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77" w:type="dxa"/>
        <w:tblInd w:w="-459" w:type="dxa"/>
        <w:tblLook w:val="04A0" w:firstRow="1" w:lastRow="0" w:firstColumn="1" w:lastColumn="0" w:noHBand="0" w:noVBand="1"/>
      </w:tblPr>
      <w:tblGrid>
        <w:gridCol w:w="10377"/>
      </w:tblGrid>
      <w:tr w:rsidR="00BC1C1B" w:rsidRPr="00E4165F" w14:paraId="67A5E7F5" w14:textId="77777777" w:rsidTr="00125CE1">
        <w:tc>
          <w:tcPr>
            <w:tcW w:w="10377" w:type="dxa"/>
            <w:shd w:val="clear" w:color="auto" w:fill="8DB3E2" w:themeFill="text2" w:themeFillTint="66"/>
          </w:tcPr>
          <w:p w14:paraId="5F23489F" w14:textId="77777777" w:rsidR="00BC1C1B" w:rsidRPr="009C193F" w:rsidRDefault="005C1B35" w:rsidP="009C193F">
            <w:pPr>
              <w:jc w:val="center"/>
              <w:rPr>
                <w:rFonts w:ascii="Arial" w:hAnsi="Arial" w:cs="Arial"/>
                <w:b/>
              </w:rPr>
            </w:pPr>
            <w:r w:rsidRPr="009C193F">
              <w:rPr>
                <w:rFonts w:ascii="Arial" w:hAnsi="Arial" w:cs="Arial"/>
                <w:b/>
              </w:rPr>
              <w:t>TERMES DE REFERENCE</w:t>
            </w:r>
          </w:p>
        </w:tc>
      </w:tr>
      <w:tr w:rsidR="00BC1C1B" w:rsidRPr="00BC1C1B" w14:paraId="0F054C01" w14:textId="77777777" w:rsidTr="00125CE1">
        <w:tc>
          <w:tcPr>
            <w:tcW w:w="10377" w:type="dxa"/>
            <w:shd w:val="clear" w:color="auto" w:fill="F2F2F2" w:themeFill="background1" w:themeFillShade="F2"/>
          </w:tcPr>
          <w:p w14:paraId="62C086EE" w14:textId="77777777" w:rsidR="00BC1C1B" w:rsidRPr="009C193F" w:rsidRDefault="005C1B35" w:rsidP="009C193F">
            <w:pPr>
              <w:jc w:val="center"/>
              <w:rPr>
                <w:rFonts w:ascii="Arial" w:hAnsi="Arial" w:cs="Arial"/>
                <w:b/>
              </w:rPr>
            </w:pPr>
            <w:r w:rsidRPr="009C193F">
              <w:rPr>
                <w:rFonts w:ascii="Arial" w:hAnsi="Arial" w:cs="Arial"/>
                <w:b/>
              </w:rPr>
              <w:t xml:space="preserve">APPUI TECHNIQUE </w:t>
            </w:r>
            <w:r w:rsidR="00CE5034" w:rsidRPr="009C193F">
              <w:rPr>
                <w:rFonts w:ascii="Arial" w:hAnsi="Arial" w:cs="Arial"/>
                <w:b/>
              </w:rPr>
              <w:t xml:space="preserve">POUR LE RENFORCMENT DU SYSTÈME </w:t>
            </w:r>
            <w:r w:rsidRPr="009C193F">
              <w:rPr>
                <w:rFonts w:ascii="Arial" w:hAnsi="Arial" w:cs="Arial"/>
                <w:b/>
              </w:rPr>
              <w:t xml:space="preserve">SUIVI ET EVALUATION DES ACTIVITES VIH EN GUINEE </w:t>
            </w:r>
          </w:p>
        </w:tc>
      </w:tr>
      <w:tr w:rsidR="00DC1AAF" w:rsidRPr="004E2578" w14:paraId="7BF85C14" w14:textId="77777777" w:rsidTr="00125CE1">
        <w:tc>
          <w:tcPr>
            <w:tcW w:w="10377" w:type="dxa"/>
          </w:tcPr>
          <w:p w14:paraId="59417949" w14:textId="77777777" w:rsidR="00DC1AAF" w:rsidRPr="009C193F" w:rsidRDefault="00DC1AAF" w:rsidP="009C193F">
            <w:pPr>
              <w:rPr>
                <w:rFonts w:ascii="Arial" w:hAnsi="Arial" w:cs="Arial"/>
              </w:rPr>
            </w:pPr>
          </w:p>
          <w:p w14:paraId="3FD6C4D4" w14:textId="77777777" w:rsidR="00DC1AAF" w:rsidRPr="009C193F" w:rsidRDefault="00DC1AAF" w:rsidP="009C193F">
            <w:pPr>
              <w:shd w:val="clear" w:color="auto" w:fill="DAEEF3" w:themeFill="accent5" w:themeFillTint="33"/>
              <w:rPr>
                <w:rFonts w:ascii="Arial" w:hAnsi="Arial" w:cs="Arial"/>
              </w:rPr>
            </w:pPr>
            <w:r w:rsidRPr="009C193F">
              <w:rPr>
                <w:rFonts w:ascii="Arial" w:hAnsi="Arial" w:cs="Arial"/>
              </w:rPr>
              <w:t>CONTEXTE ET JUSTIFICATION </w:t>
            </w:r>
          </w:p>
          <w:p w14:paraId="2D49D4A8" w14:textId="77777777" w:rsidR="00C40088" w:rsidRPr="009C193F" w:rsidRDefault="00C40088" w:rsidP="009C193F">
            <w:pPr>
              <w:spacing w:before="240"/>
              <w:jc w:val="both"/>
              <w:rPr>
                <w:rFonts w:ascii="Arial" w:hAnsi="Arial" w:cs="Arial"/>
              </w:rPr>
            </w:pPr>
            <w:r w:rsidRPr="009C193F">
              <w:rPr>
                <w:rFonts w:ascii="Arial" w:hAnsi="Arial" w:cs="Arial"/>
              </w:rPr>
              <w:t>L’objet du suivi et évaluation est de fournir les données nécessaires pour : 1) orienter la planification, la coordination et la mise en œuvre de la riposte au VIH, 2) évaluer l’efficacité de cette riposte, et 3) recenser les domaines dans lesquels les programmes peuvent être améliorés. En outre, les données de suivi et évaluation sont nécessaires pour garantir la responsabilisation vis-à-vis des personnes infectées ou affectées par le VIH et le sida, ainsi que des personnes qui fournissent des ressources financières pour riposter contre le virus.</w:t>
            </w:r>
          </w:p>
          <w:p w14:paraId="046FEA21" w14:textId="77777777" w:rsidR="004E2578" w:rsidRPr="009C193F" w:rsidRDefault="00DC1AAF" w:rsidP="009C193F">
            <w:pPr>
              <w:spacing w:before="240"/>
              <w:jc w:val="both"/>
              <w:rPr>
                <w:rFonts w:ascii="Arial" w:hAnsi="Arial" w:cs="Arial"/>
              </w:rPr>
            </w:pPr>
            <w:r w:rsidRPr="009C193F">
              <w:rPr>
                <w:rFonts w:ascii="Arial" w:hAnsi="Arial" w:cs="Arial"/>
              </w:rPr>
              <w:t xml:space="preserve">En </w:t>
            </w:r>
            <w:r w:rsidR="00C40088" w:rsidRPr="009C193F">
              <w:rPr>
                <w:rFonts w:ascii="Arial" w:hAnsi="Arial" w:cs="Arial"/>
              </w:rPr>
              <w:t>Guinée, dans le cadre du suivi de la réponse nationale au VIH/sida</w:t>
            </w:r>
            <w:r w:rsidR="004E2578" w:rsidRPr="009C193F">
              <w:rPr>
                <w:rFonts w:ascii="Arial" w:hAnsi="Arial" w:cs="Arial"/>
              </w:rPr>
              <w:t xml:space="preserve"> et pour la production, la diffusion et l’utilisation de l’information stratégique dans le domaine du VIH/Sida</w:t>
            </w:r>
            <w:r w:rsidR="00C40088" w:rsidRPr="009C193F">
              <w:rPr>
                <w:rFonts w:ascii="Arial" w:hAnsi="Arial" w:cs="Arial"/>
              </w:rPr>
              <w:t xml:space="preserve">, </w:t>
            </w:r>
            <w:r w:rsidR="004E2578" w:rsidRPr="009C193F">
              <w:rPr>
                <w:rFonts w:ascii="Arial" w:hAnsi="Arial" w:cs="Arial"/>
              </w:rPr>
              <w:t xml:space="preserve">deux structures jouent un rôle capital. Il s’agit du département Planification Suivi-Evaluation et Recherche du SE/CNLS et l’Unité de S&amp;E du PNLS-H. Pour appuyer ces deux structures, il a </w:t>
            </w:r>
            <w:r w:rsidR="00C40088" w:rsidRPr="009C193F">
              <w:rPr>
                <w:rFonts w:ascii="Arial" w:hAnsi="Arial" w:cs="Arial"/>
              </w:rPr>
              <w:t xml:space="preserve">été </w:t>
            </w:r>
            <w:r w:rsidRPr="009C193F">
              <w:rPr>
                <w:rFonts w:ascii="Arial" w:hAnsi="Arial" w:cs="Arial"/>
              </w:rPr>
              <w:t xml:space="preserve">mis en place un Groupe Technique de Suivi et Evaluation (GTSE). Le GTSE </w:t>
            </w:r>
            <w:r w:rsidR="004E2578" w:rsidRPr="009C193F">
              <w:rPr>
                <w:rFonts w:ascii="Arial" w:hAnsi="Arial" w:cs="Arial"/>
              </w:rPr>
              <w:t xml:space="preserve">conseille et </w:t>
            </w:r>
            <w:r w:rsidRPr="009C193F">
              <w:rPr>
                <w:rFonts w:ascii="Arial" w:hAnsi="Arial" w:cs="Arial"/>
              </w:rPr>
              <w:t>oriente l</w:t>
            </w:r>
            <w:r w:rsidR="004E2578" w:rsidRPr="009C193F">
              <w:rPr>
                <w:rFonts w:ascii="Arial" w:hAnsi="Arial" w:cs="Arial"/>
              </w:rPr>
              <w:t xml:space="preserve">es </w:t>
            </w:r>
            <w:r w:rsidRPr="009C193F">
              <w:rPr>
                <w:rFonts w:ascii="Arial" w:hAnsi="Arial" w:cs="Arial"/>
              </w:rPr>
              <w:t>action</w:t>
            </w:r>
            <w:r w:rsidR="004E2578" w:rsidRPr="009C193F">
              <w:rPr>
                <w:rFonts w:ascii="Arial" w:hAnsi="Arial" w:cs="Arial"/>
              </w:rPr>
              <w:t>s</w:t>
            </w:r>
            <w:r w:rsidRPr="009C193F">
              <w:rPr>
                <w:rFonts w:ascii="Arial" w:hAnsi="Arial" w:cs="Arial"/>
              </w:rPr>
              <w:t xml:space="preserve"> </w:t>
            </w:r>
            <w:r w:rsidR="004E2578" w:rsidRPr="009C193F">
              <w:rPr>
                <w:rFonts w:ascii="Arial" w:hAnsi="Arial" w:cs="Arial"/>
              </w:rPr>
              <w:t xml:space="preserve">en matière de </w:t>
            </w:r>
            <w:r w:rsidRPr="009C193F">
              <w:rPr>
                <w:rFonts w:ascii="Arial" w:hAnsi="Arial" w:cs="Arial"/>
              </w:rPr>
              <w:t xml:space="preserve">Suivi-Evaluation et Recherche </w:t>
            </w:r>
            <w:r w:rsidR="004E2578" w:rsidRPr="009C193F">
              <w:rPr>
                <w:rFonts w:ascii="Arial" w:hAnsi="Arial" w:cs="Arial"/>
              </w:rPr>
              <w:t>dans le domaine du VIH/sida.</w:t>
            </w:r>
          </w:p>
          <w:p w14:paraId="5475B733" w14:textId="77777777" w:rsidR="00DC1AAF" w:rsidRPr="009C193F" w:rsidRDefault="00DC1AAF" w:rsidP="009C193F">
            <w:pPr>
              <w:spacing w:before="240"/>
              <w:jc w:val="both"/>
              <w:rPr>
                <w:rFonts w:ascii="Arial" w:hAnsi="Arial" w:cs="Arial"/>
              </w:rPr>
            </w:pPr>
            <w:r w:rsidRPr="009C193F">
              <w:rPr>
                <w:rFonts w:ascii="Arial" w:hAnsi="Arial" w:cs="Arial"/>
              </w:rPr>
              <w:t xml:space="preserve">Malgré </w:t>
            </w:r>
            <w:r w:rsidR="004E2578" w:rsidRPr="009C193F">
              <w:rPr>
                <w:rFonts w:ascii="Arial" w:hAnsi="Arial" w:cs="Arial"/>
              </w:rPr>
              <w:t xml:space="preserve">ces dispositifs, le système de S&amp;E de la réponse présente des faiblesses notoires. En effet, </w:t>
            </w:r>
            <w:r w:rsidRPr="009C193F">
              <w:rPr>
                <w:rFonts w:ascii="Arial" w:hAnsi="Arial" w:cs="Arial"/>
              </w:rPr>
              <w:t xml:space="preserve">les mécanismes liés à la gestion des intrants et </w:t>
            </w:r>
            <w:r w:rsidR="004E2578" w:rsidRPr="009C193F">
              <w:rPr>
                <w:rFonts w:ascii="Arial" w:hAnsi="Arial" w:cs="Arial"/>
              </w:rPr>
              <w:t>des</w:t>
            </w:r>
            <w:r w:rsidRPr="009C193F">
              <w:rPr>
                <w:rFonts w:ascii="Arial" w:hAnsi="Arial" w:cs="Arial"/>
              </w:rPr>
              <w:t xml:space="preserve"> approvisionnements dans les différents sites </w:t>
            </w:r>
            <w:r w:rsidR="004E2578" w:rsidRPr="009C193F">
              <w:rPr>
                <w:rFonts w:ascii="Arial" w:hAnsi="Arial" w:cs="Arial"/>
              </w:rPr>
              <w:t>de Prise en Charge</w:t>
            </w:r>
            <w:r w:rsidR="00FE7BC8" w:rsidRPr="009C193F">
              <w:rPr>
                <w:rFonts w:ascii="Arial" w:hAnsi="Arial" w:cs="Arial"/>
              </w:rPr>
              <w:t xml:space="preserve"> </w:t>
            </w:r>
            <w:r w:rsidR="004E2578" w:rsidRPr="009C193F">
              <w:rPr>
                <w:rFonts w:ascii="Arial" w:hAnsi="Arial" w:cs="Arial"/>
              </w:rPr>
              <w:t>(</w:t>
            </w:r>
            <w:r w:rsidRPr="009C193F">
              <w:rPr>
                <w:rFonts w:ascii="Arial" w:hAnsi="Arial" w:cs="Arial"/>
              </w:rPr>
              <w:t>PEC</w:t>
            </w:r>
            <w:r w:rsidR="004E2578" w:rsidRPr="009C193F">
              <w:rPr>
                <w:rFonts w:ascii="Arial" w:hAnsi="Arial" w:cs="Arial"/>
              </w:rPr>
              <w:t>)</w:t>
            </w:r>
            <w:r w:rsidRPr="009C193F">
              <w:rPr>
                <w:rFonts w:ascii="Arial" w:hAnsi="Arial" w:cs="Arial"/>
              </w:rPr>
              <w:t xml:space="preserve">, </w:t>
            </w:r>
            <w:r w:rsidR="004E2578" w:rsidRPr="009C193F">
              <w:rPr>
                <w:rFonts w:ascii="Arial" w:hAnsi="Arial" w:cs="Arial"/>
              </w:rPr>
              <w:t xml:space="preserve">de </w:t>
            </w:r>
            <w:r w:rsidRPr="009C193F">
              <w:rPr>
                <w:rFonts w:ascii="Arial" w:hAnsi="Arial" w:cs="Arial"/>
              </w:rPr>
              <w:t xml:space="preserve">PTME, CDV et CDT sont caractérisés par des difficultés d’obtention de données </w:t>
            </w:r>
            <w:r w:rsidR="004E2578" w:rsidRPr="009C193F">
              <w:rPr>
                <w:rFonts w:ascii="Arial" w:hAnsi="Arial" w:cs="Arial"/>
              </w:rPr>
              <w:t xml:space="preserve">fiables </w:t>
            </w:r>
            <w:r w:rsidRPr="009C193F">
              <w:rPr>
                <w:rFonts w:ascii="Arial" w:hAnsi="Arial" w:cs="Arial"/>
              </w:rPr>
              <w:t xml:space="preserve">sur la file active des sites PEC et PTME et l’inexistence d’un système de distribution opérationnel jusqu’aux patients (centres périphériques). </w:t>
            </w:r>
            <w:r w:rsidR="00FE7BC8" w:rsidRPr="009C193F">
              <w:rPr>
                <w:rFonts w:ascii="Arial" w:hAnsi="Arial" w:cs="Arial"/>
              </w:rPr>
              <w:t xml:space="preserve">De plus, la </w:t>
            </w:r>
            <w:r w:rsidRPr="009C193F">
              <w:rPr>
                <w:rFonts w:ascii="Arial" w:hAnsi="Arial" w:cs="Arial"/>
              </w:rPr>
              <w:t xml:space="preserve">faible complétude des données de rapport mensuel, </w:t>
            </w:r>
            <w:r w:rsidR="00FE7BC8" w:rsidRPr="009C193F">
              <w:rPr>
                <w:rFonts w:ascii="Arial" w:hAnsi="Arial" w:cs="Arial"/>
              </w:rPr>
              <w:t xml:space="preserve">la </w:t>
            </w:r>
            <w:r w:rsidRPr="009C193F">
              <w:rPr>
                <w:rFonts w:ascii="Arial" w:hAnsi="Arial" w:cs="Arial"/>
              </w:rPr>
              <w:t xml:space="preserve">faible remontée des données du niveau périphérique vers le niveau central, </w:t>
            </w:r>
            <w:r w:rsidR="00FE7BC8" w:rsidRPr="009C193F">
              <w:rPr>
                <w:rFonts w:ascii="Arial" w:hAnsi="Arial" w:cs="Arial"/>
              </w:rPr>
              <w:t>l’</w:t>
            </w:r>
            <w:r w:rsidRPr="009C193F">
              <w:rPr>
                <w:rFonts w:ascii="Arial" w:hAnsi="Arial" w:cs="Arial"/>
              </w:rPr>
              <w:t xml:space="preserve">engagement variable des </w:t>
            </w:r>
            <w:r w:rsidR="00FE7BC8" w:rsidRPr="009C193F">
              <w:rPr>
                <w:rFonts w:ascii="Arial" w:hAnsi="Arial" w:cs="Arial"/>
              </w:rPr>
              <w:t>agents de S&amp;E</w:t>
            </w:r>
            <w:r w:rsidRPr="009C193F">
              <w:rPr>
                <w:rFonts w:ascii="Arial" w:hAnsi="Arial" w:cs="Arial"/>
              </w:rPr>
              <w:t xml:space="preserve">, </w:t>
            </w:r>
            <w:r w:rsidR="00FE7BC8" w:rsidRPr="009C193F">
              <w:rPr>
                <w:rFonts w:ascii="Arial" w:hAnsi="Arial" w:cs="Arial"/>
              </w:rPr>
              <w:t>sont entre autres difficultés qui émaillent le S&amp;E.</w:t>
            </w:r>
            <w:r w:rsidRPr="009C193F">
              <w:rPr>
                <w:rFonts w:ascii="Arial" w:hAnsi="Arial" w:cs="Arial"/>
              </w:rPr>
              <w:t xml:space="preserve"> </w:t>
            </w:r>
          </w:p>
          <w:p w14:paraId="4301F6BE" w14:textId="77777777" w:rsidR="00B94E8D" w:rsidRPr="009C193F" w:rsidRDefault="00DC1AAF" w:rsidP="009C193F">
            <w:pPr>
              <w:spacing w:before="240"/>
              <w:jc w:val="both"/>
              <w:rPr>
                <w:rFonts w:ascii="Arial" w:hAnsi="Arial" w:cs="Arial"/>
              </w:rPr>
            </w:pPr>
            <w:r w:rsidRPr="009C193F">
              <w:rPr>
                <w:rFonts w:ascii="Arial" w:hAnsi="Arial" w:cs="Arial"/>
              </w:rPr>
              <w:t>Dans ce c</w:t>
            </w:r>
            <w:r w:rsidR="00FE7BC8" w:rsidRPr="009C193F">
              <w:rPr>
                <w:rFonts w:ascii="Arial" w:hAnsi="Arial" w:cs="Arial"/>
              </w:rPr>
              <w:t>ontexte, avec l’appui technique de ONUSIDA et un financement du FM, le pays a entrepris l’</w:t>
            </w:r>
            <w:r w:rsidRPr="009C193F">
              <w:rPr>
                <w:rFonts w:ascii="Arial" w:hAnsi="Arial" w:cs="Arial"/>
              </w:rPr>
              <w:t xml:space="preserve">actualisation de la file active des personnes vivant avec le VIH (adultes, enfants et femmes </w:t>
            </w:r>
            <w:r w:rsidR="00FE7BC8" w:rsidRPr="009C193F">
              <w:rPr>
                <w:rFonts w:ascii="Arial" w:hAnsi="Arial" w:cs="Arial"/>
              </w:rPr>
              <w:t xml:space="preserve">enceintes </w:t>
            </w:r>
            <w:r w:rsidRPr="009C193F">
              <w:rPr>
                <w:rFonts w:ascii="Arial" w:hAnsi="Arial" w:cs="Arial"/>
              </w:rPr>
              <w:t xml:space="preserve">dans le cadre de l’option B+ de la PTME) </w:t>
            </w:r>
            <w:r w:rsidR="00FE7BC8" w:rsidRPr="009C193F">
              <w:rPr>
                <w:rFonts w:ascii="Arial" w:hAnsi="Arial" w:cs="Arial"/>
              </w:rPr>
              <w:t xml:space="preserve">et qui suivent un traitement par les </w:t>
            </w:r>
            <w:r w:rsidR="00B94E8D" w:rsidRPr="009C193F">
              <w:rPr>
                <w:rFonts w:ascii="Arial" w:hAnsi="Arial" w:cs="Arial"/>
              </w:rPr>
              <w:t xml:space="preserve">ARV, expérience pilote utilisant le </w:t>
            </w:r>
            <w:r w:rsidRPr="009C193F">
              <w:rPr>
                <w:rFonts w:ascii="Arial" w:hAnsi="Arial" w:cs="Arial"/>
              </w:rPr>
              <w:t xml:space="preserve">logiciel « modèle simplifié reproductible (MSR) ». </w:t>
            </w:r>
            <w:r w:rsidR="00B94E8D" w:rsidRPr="009C193F">
              <w:rPr>
                <w:rFonts w:ascii="Arial" w:hAnsi="Arial" w:cs="Arial"/>
              </w:rPr>
              <w:t>L</w:t>
            </w:r>
            <w:r w:rsidR="008562C5" w:rsidRPr="009C193F">
              <w:rPr>
                <w:rFonts w:ascii="Arial" w:hAnsi="Arial" w:cs="Arial"/>
              </w:rPr>
              <w:t>es résultats livrés ont conclu à une surestimation de plus de 5000 patients de la cohorte alors considérée, ramenant la file active de 41 000 à 35</w:t>
            </w:r>
            <w:r w:rsidR="00B94E8D" w:rsidRPr="009C193F">
              <w:rPr>
                <w:rFonts w:ascii="Arial" w:hAnsi="Arial" w:cs="Arial"/>
              </w:rPr>
              <w:t> </w:t>
            </w:r>
            <w:r w:rsidR="008562C5" w:rsidRPr="009C193F">
              <w:rPr>
                <w:rFonts w:ascii="Arial" w:hAnsi="Arial" w:cs="Arial"/>
              </w:rPr>
              <w:t>000</w:t>
            </w:r>
            <w:r w:rsidR="00B94E8D" w:rsidRPr="009C193F">
              <w:rPr>
                <w:rFonts w:ascii="Arial" w:hAnsi="Arial" w:cs="Arial"/>
              </w:rPr>
              <w:t xml:space="preserve">. Il était prévu un contrôle de qualité du MSR après l’audit de la file qui malheureusement n’a pas été faite. </w:t>
            </w:r>
          </w:p>
          <w:p w14:paraId="3D63C159" w14:textId="77777777" w:rsidR="00DC1AAF" w:rsidRPr="009C193F" w:rsidRDefault="00113EBE" w:rsidP="009C193F">
            <w:pPr>
              <w:pStyle w:val="NoSpacing"/>
              <w:spacing w:before="240"/>
              <w:jc w:val="both"/>
              <w:rPr>
                <w:rFonts w:ascii="Arial" w:hAnsi="Arial" w:cs="Arial"/>
                <w:lang w:val="fr-BE"/>
              </w:rPr>
            </w:pPr>
            <w:r w:rsidRPr="009C193F">
              <w:rPr>
                <w:rFonts w:ascii="Arial" w:hAnsi="Arial" w:cs="Arial"/>
                <w:lang w:val="fr-BE"/>
              </w:rPr>
              <w:t>À la suite de</w:t>
            </w:r>
            <w:r w:rsidR="00DC1AAF" w:rsidRPr="009C193F">
              <w:rPr>
                <w:rFonts w:ascii="Arial" w:hAnsi="Arial" w:cs="Arial"/>
                <w:lang w:val="fr-BE"/>
              </w:rPr>
              <w:t xml:space="preserve"> l’audit de la file active des patients sous ARV, </w:t>
            </w:r>
            <w:r w:rsidR="00FE7BC8" w:rsidRPr="009C193F">
              <w:rPr>
                <w:rFonts w:ascii="Arial" w:hAnsi="Arial" w:cs="Arial"/>
                <w:lang w:val="fr-BE"/>
              </w:rPr>
              <w:t xml:space="preserve">et toujours avec le financement du FM, </w:t>
            </w:r>
            <w:r w:rsidR="00DC1AAF" w:rsidRPr="009C193F">
              <w:rPr>
                <w:rFonts w:ascii="Arial" w:hAnsi="Arial" w:cs="Arial"/>
                <w:lang w:val="fr-BE"/>
              </w:rPr>
              <w:t xml:space="preserve">il a été </w:t>
            </w:r>
            <w:r w:rsidR="00FE7BC8" w:rsidRPr="009C193F">
              <w:rPr>
                <w:rFonts w:ascii="Arial" w:hAnsi="Arial" w:cs="Arial"/>
                <w:lang w:val="fr-BE"/>
              </w:rPr>
              <w:t>proceé à</w:t>
            </w:r>
            <w:r w:rsidR="00DC1AAF" w:rsidRPr="009C193F">
              <w:rPr>
                <w:rFonts w:ascii="Arial" w:hAnsi="Arial" w:cs="Arial"/>
                <w:lang w:val="fr-BE"/>
              </w:rPr>
              <w:t xml:space="preserve"> la mise à échelle </w:t>
            </w:r>
            <w:r w:rsidR="00FE7BC8" w:rsidRPr="009C193F">
              <w:rPr>
                <w:rFonts w:ascii="Arial" w:hAnsi="Arial" w:cs="Arial"/>
                <w:lang w:val="fr-BE"/>
              </w:rPr>
              <w:t xml:space="preserve">de l’utilisation du </w:t>
            </w:r>
            <w:r w:rsidR="00DC1AAF" w:rsidRPr="009C193F">
              <w:rPr>
                <w:rFonts w:ascii="Arial" w:hAnsi="Arial" w:cs="Arial"/>
                <w:lang w:val="fr-BE"/>
              </w:rPr>
              <w:t>MSR</w:t>
            </w:r>
            <w:r w:rsidR="00FE7BC8" w:rsidRPr="009C193F">
              <w:rPr>
                <w:rFonts w:ascii="Arial" w:hAnsi="Arial" w:cs="Arial"/>
                <w:lang w:val="fr-BE"/>
              </w:rPr>
              <w:t xml:space="preserve"> pour le suivi des patients. C’est ainsi que </w:t>
            </w:r>
            <w:r w:rsidR="00DC1AAF" w:rsidRPr="009C193F">
              <w:rPr>
                <w:rFonts w:ascii="Arial" w:hAnsi="Arial" w:cs="Arial"/>
                <w:lang w:val="fr-BE"/>
              </w:rPr>
              <w:t xml:space="preserve">42 kits informatiques ont été installés dans les sites de prise en charge et 96 prestataires ont été formés et outillées en techniques d’utilisation du MSR. </w:t>
            </w:r>
          </w:p>
          <w:p w14:paraId="36FD4382" w14:textId="77777777" w:rsidR="00DC1AAF" w:rsidRPr="009C193F" w:rsidRDefault="00DC1AAF" w:rsidP="009C193F">
            <w:pPr>
              <w:pStyle w:val="Default"/>
              <w:spacing w:before="240"/>
              <w:jc w:val="both"/>
              <w:rPr>
                <w:rFonts w:ascii="Arial" w:hAnsi="Arial" w:cs="Arial"/>
                <w:color w:val="auto"/>
                <w:sz w:val="22"/>
                <w:szCs w:val="22"/>
                <w:lang w:val="fr-BE"/>
              </w:rPr>
            </w:pPr>
            <w:r w:rsidRPr="009C193F">
              <w:rPr>
                <w:rFonts w:ascii="Arial" w:hAnsi="Arial" w:cs="Arial"/>
                <w:color w:val="auto"/>
                <w:sz w:val="22"/>
                <w:szCs w:val="22"/>
                <w:lang w:val="fr-BE"/>
              </w:rPr>
              <w:t>Lors de la réalisation d’une mission trimestrielle de validation des données</w:t>
            </w:r>
            <w:r w:rsidR="00936668" w:rsidRPr="009C193F">
              <w:rPr>
                <w:rFonts w:ascii="Arial" w:hAnsi="Arial" w:cs="Arial"/>
                <w:color w:val="auto"/>
                <w:sz w:val="22"/>
                <w:szCs w:val="22"/>
                <w:lang w:val="fr-BE"/>
              </w:rPr>
              <w:t xml:space="preserve"> nationales</w:t>
            </w:r>
            <w:r w:rsidRPr="009C193F">
              <w:rPr>
                <w:rFonts w:ascii="Arial" w:hAnsi="Arial" w:cs="Arial"/>
                <w:color w:val="auto"/>
                <w:sz w:val="22"/>
                <w:szCs w:val="22"/>
                <w:lang w:val="fr-BE"/>
              </w:rPr>
              <w:t>, il a été fait une analyse de la file active de l’ensemble des sites au niveau nationale qui a montré que 28 d’entre eux (15 à Conakry et 13 dans les régions) constituent 90% de la file active nationale. Le pays a donc décidé de concentrer ses efforts sur ces sites prioritaires afin d’avoir plus d’impact.</w:t>
            </w:r>
          </w:p>
          <w:p w14:paraId="2D139357" w14:textId="77777777" w:rsidR="00F876F1" w:rsidRPr="009C193F" w:rsidRDefault="00DC1AAF" w:rsidP="009C193F">
            <w:pPr>
              <w:spacing w:before="240"/>
              <w:jc w:val="both"/>
              <w:rPr>
                <w:rFonts w:ascii="Arial" w:hAnsi="Arial" w:cs="Arial"/>
              </w:rPr>
            </w:pPr>
            <w:r w:rsidRPr="009C193F">
              <w:rPr>
                <w:rFonts w:ascii="Arial" w:hAnsi="Arial" w:cs="Arial"/>
              </w:rPr>
              <w:t xml:space="preserve">Dans l’optique de prouver la validité des données issues du MSR, une équipe technique composée du PNLSH, de l’AT/ONUSIDA et de l’ONUSIDA s’est réunie pour faire une analyse minutieuse des données de ces sites prioritaires </w:t>
            </w:r>
            <w:r w:rsidR="003A43D9" w:rsidRPr="009C193F">
              <w:rPr>
                <w:rFonts w:ascii="Arial" w:hAnsi="Arial" w:cs="Arial"/>
              </w:rPr>
              <w:t xml:space="preserve">à partir duquel </w:t>
            </w:r>
            <w:r w:rsidRPr="009C193F">
              <w:rPr>
                <w:rFonts w:ascii="Arial" w:hAnsi="Arial" w:cs="Arial"/>
              </w:rPr>
              <w:t xml:space="preserve">un rapport </w:t>
            </w:r>
            <w:r w:rsidR="003A43D9" w:rsidRPr="009C193F">
              <w:rPr>
                <w:rFonts w:ascii="Arial" w:hAnsi="Arial" w:cs="Arial"/>
              </w:rPr>
              <w:t>a été élaboré</w:t>
            </w:r>
            <w:r w:rsidRPr="009C193F">
              <w:rPr>
                <w:rFonts w:ascii="Arial" w:hAnsi="Arial" w:cs="Arial"/>
              </w:rPr>
              <w:t xml:space="preserve"> </w:t>
            </w:r>
            <w:r w:rsidR="003A43D9" w:rsidRPr="009C193F">
              <w:rPr>
                <w:rFonts w:ascii="Arial" w:hAnsi="Arial" w:cs="Arial"/>
              </w:rPr>
              <w:t>en vue d’</w:t>
            </w:r>
            <w:r w:rsidRPr="009C193F">
              <w:rPr>
                <w:rFonts w:ascii="Arial" w:hAnsi="Arial" w:cs="Arial"/>
              </w:rPr>
              <w:t>une validation nationale de la file active de la République de Guinée en 2018</w:t>
            </w:r>
            <w:r w:rsidR="003A43D9" w:rsidRPr="009C193F">
              <w:rPr>
                <w:rFonts w:ascii="Arial" w:hAnsi="Arial" w:cs="Arial"/>
              </w:rPr>
              <w:t>, par toutes les parties prenantes</w:t>
            </w:r>
            <w:r w:rsidRPr="009C193F">
              <w:rPr>
                <w:rFonts w:ascii="Arial" w:hAnsi="Arial" w:cs="Arial"/>
              </w:rPr>
              <w:t>.</w:t>
            </w:r>
            <w:r w:rsidR="00F876F1" w:rsidRPr="009C193F">
              <w:rPr>
                <w:rFonts w:ascii="Arial" w:hAnsi="Arial" w:cs="Arial"/>
              </w:rPr>
              <w:t xml:space="preserve"> A ce jour, la file active est estimée à plus 40 000 patients (le dernier rapport du programme est en attente).</w:t>
            </w:r>
          </w:p>
          <w:p w14:paraId="63084486" w14:textId="77777777" w:rsidR="00DC1AAF" w:rsidRPr="009C193F" w:rsidRDefault="00DC1AAF" w:rsidP="009C193F">
            <w:pPr>
              <w:spacing w:before="240"/>
              <w:jc w:val="both"/>
              <w:rPr>
                <w:rFonts w:ascii="Arial" w:hAnsi="Arial" w:cs="Arial"/>
              </w:rPr>
            </w:pPr>
            <w:r w:rsidRPr="009C193F">
              <w:rPr>
                <w:rFonts w:ascii="Arial" w:hAnsi="Arial" w:cs="Arial"/>
              </w:rPr>
              <w:t>En vue de s’aligner sur les orientations du ministère de la santé, les indicateurs liées au VIH ont été paramétrés dans le DHIS2 mais qui</w:t>
            </w:r>
            <w:r w:rsidR="003A43D9" w:rsidRPr="009C193F">
              <w:rPr>
                <w:rFonts w:ascii="Arial" w:hAnsi="Arial" w:cs="Arial"/>
              </w:rPr>
              <w:t>, malheureusement,</w:t>
            </w:r>
            <w:r w:rsidRPr="009C193F">
              <w:rPr>
                <w:rFonts w:ascii="Arial" w:hAnsi="Arial" w:cs="Arial"/>
              </w:rPr>
              <w:t xml:space="preserve"> connait </w:t>
            </w:r>
            <w:r w:rsidR="003A43D9" w:rsidRPr="009C193F">
              <w:rPr>
                <w:rFonts w:ascii="Arial" w:hAnsi="Arial" w:cs="Arial"/>
              </w:rPr>
              <w:t xml:space="preserve">encore </w:t>
            </w:r>
            <w:r w:rsidRPr="009C193F">
              <w:rPr>
                <w:rFonts w:ascii="Arial" w:hAnsi="Arial" w:cs="Arial"/>
              </w:rPr>
              <w:t xml:space="preserve">un timide remplissage par les agents à la base. </w:t>
            </w:r>
          </w:p>
          <w:p w14:paraId="4F39B34D" w14:textId="77777777" w:rsidR="00DC1AAF" w:rsidRPr="009C193F" w:rsidRDefault="00F876F1" w:rsidP="009C193F">
            <w:pPr>
              <w:spacing w:before="240"/>
              <w:jc w:val="both"/>
              <w:rPr>
                <w:rFonts w:ascii="Arial" w:hAnsi="Arial" w:cs="Arial"/>
              </w:rPr>
            </w:pPr>
            <w:r w:rsidRPr="009C193F">
              <w:rPr>
                <w:rFonts w:ascii="Arial" w:hAnsi="Arial" w:cs="Arial"/>
              </w:rPr>
              <w:t xml:space="preserve">Afin de pallier </w:t>
            </w:r>
            <w:proofErr w:type="gramStart"/>
            <w:r w:rsidR="00043B68">
              <w:rPr>
                <w:rFonts w:ascii="Arial" w:hAnsi="Arial" w:cs="Arial"/>
              </w:rPr>
              <w:t>aux</w:t>
            </w:r>
            <w:proofErr w:type="gramEnd"/>
            <w:r w:rsidRPr="009C193F">
              <w:rPr>
                <w:rFonts w:ascii="Arial" w:hAnsi="Arial" w:cs="Arial"/>
              </w:rPr>
              <w:t xml:space="preserve"> </w:t>
            </w:r>
            <w:r w:rsidR="00DC1AAF" w:rsidRPr="009C193F">
              <w:rPr>
                <w:rFonts w:ascii="Arial" w:hAnsi="Arial" w:cs="Arial"/>
              </w:rPr>
              <w:t>difficultés d’obtention des données réelles pour le renseignement des indicateurs liées au 90-90-90</w:t>
            </w:r>
            <w:r w:rsidRPr="009C193F">
              <w:rPr>
                <w:rFonts w:ascii="Arial" w:hAnsi="Arial" w:cs="Arial"/>
              </w:rPr>
              <w:t xml:space="preserve">, </w:t>
            </w:r>
            <w:r w:rsidR="00DC1AAF" w:rsidRPr="009C193F">
              <w:rPr>
                <w:rFonts w:ascii="Arial" w:hAnsi="Arial" w:cs="Arial"/>
              </w:rPr>
              <w:t xml:space="preserve">le </w:t>
            </w:r>
            <w:r w:rsidRPr="009C193F">
              <w:rPr>
                <w:rFonts w:ascii="Arial" w:hAnsi="Arial" w:cs="Arial"/>
              </w:rPr>
              <w:t>Programme</w:t>
            </w:r>
            <w:r w:rsidR="00DC1AAF" w:rsidRPr="009C193F">
              <w:rPr>
                <w:rFonts w:ascii="Arial" w:hAnsi="Arial" w:cs="Arial"/>
              </w:rPr>
              <w:t xml:space="preserve"> sollicite un appui technique du bureau régional de ONUSIDA </w:t>
            </w:r>
            <w:r w:rsidR="003A43D9" w:rsidRPr="009C193F">
              <w:rPr>
                <w:rFonts w:ascii="Arial" w:hAnsi="Arial" w:cs="Arial"/>
              </w:rPr>
              <w:t xml:space="preserve">afin d’aider </w:t>
            </w:r>
            <w:r w:rsidR="00DC1AAF" w:rsidRPr="009C193F">
              <w:rPr>
                <w:rFonts w:ascii="Arial" w:hAnsi="Arial" w:cs="Arial"/>
              </w:rPr>
              <w:t xml:space="preserve">au </w:t>
            </w:r>
            <w:r w:rsidR="00DC1AAF" w:rsidRPr="009C193F">
              <w:rPr>
                <w:rFonts w:ascii="Arial" w:hAnsi="Arial" w:cs="Arial"/>
              </w:rPr>
              <w:lastRenderedPageBreak/>
              <w:t xml:space="preserve">renforcement du système de suivi et évaluation national </w:t>
            </w:r>
            <w:r w:rsidRPr="009C193F">
              <w:rPr>
                <w:rFonts w:ascii="Arial" w:hAnsi="Arial" w:cs="Arial"/>
              </w:rPr>
              <w:t xml:space="preserve">en général et celui du secteur santé en particulier </w:t>
            </w:r>
            <w:r w:rsidR="00DC1AAF" w:rsidRPr="009C193F">
              <w:rPr>
                <w:rFonts w:ascii="Arial" w:hAnsi="Arial" w:cs="Arial"/>
              </w:rPr>
              <w:t xml:space="preserve">pour l’atteinte des trois 90, </w:t>
            </w:r>
            <w:r w:rsidRPr="009C193F">
              <w:rPr>
                <w:rFonts w:ascii="Arial" w:hAnsi="Arial" w:cs="Arial"/>
              </w:rPr>
              <w:t>ceci justifie les présents TDR</w:t>
            </w:r>
            <w:r w:rsidR="00DC1AAF" w:rsidRPr="009C193F">
              <w:rPr>
                <w:rFonts w:ascii="Arial" w:hAnsi="Arial" w:cs="Arial"/>
              </w:rPr>
              <w:t xml:space="preserve">. </w:t>
            </w:r>
          </w:p>
          <w:p w14:paraId="73A07D04" w14:textId="77777777" w:rsidR="00DC1AAF" w:rsidRPr="009C193F" w:rsidRDefault="00DC1AAF" w:rsidP="009C193F">
            <w:pPr>
              <w:jc w:val="both"/>
              <w:rPr>
                <w:rFonts w:ascii="Arial" w:hAnsi="Arial" w:cs="Arial"/>
              </w:rPr>
            </w:pPr>
          </w:p>
          <w:p w14:paraId="6EE8FFCE" w14:textId="77777777" w:rsidR="00DC1AAF" w:rsidRPr="009C193F" w:rsidRDefault="00DC1AAF" w:rsidP="009C193F">
            <w:pPr>
              <w:shd w:val="clear" w:color="auto" w:fill="DAEEF3" w:themeFill="accent5" w:themeFillTint="33"/>
              <w:rPr>
                <w:rFonts w:ascii="Arial" w:hAnsi="Arial" w:cs="Arial"/>
              </w:rPr>
            </w:pPr>
            <w:r w:rsidRPr="009C193F">
              <w:rPr>
                <w:rFonts w:ascii="Arial" w:hAnsi="Arial" w:cs="Arial"/>
              </w:rPr>
              <w:t xml:space="preserve">OBJECTIFS  </w:t>
            </w:r>
          </w:p>
          <w:p w14:paraId="7BAA7DB0" w14:textId="77777777" w:rsidR="00DC1AAF" w:rsidRPr="009C193F" w:rsidRDefault="00DC1AAF" w:rsidP="009C193F">
            <w:pPr>
              <w:spacing w:before="240"/>
              <w:jc w:val="both"/>
              <w:rPr>
                <w:rFonts w:ascii="Arial" w:hAnsi="Arial" w:cs="Arial"/>
              </w:rPr>
            </w:pPr>
            <w:r w:rsidRPr="009C193F">
              <w:rPr>
                <w:rFonts w:ascii="Arial" w:hAnsi="Arial" w:cs="Arial"/>
              </w:rPr>
              <w:t xml:space="preserve">Appuyer le </w:t>
            </w:r>
            <w:r w:rsidR="00F876F1" w:rsidRPr="009C193F">
              <w:rPr>
                <w:rFonts w:ascii="Arial" w:hAnsi="Arial" w:cs="Arial"/>
              </w:rPr>
              <w:t xml:space="preserve">PNLS-H et le </w:t>
            </w:r>
            <w:r w:rsidRPr="009C193F">
              <w:rPr>
                <w:rFonts w:ascii="Arial" w:hAnsi="Arial" w:cs="Arial"/>
              </w:rPr>
              <w:t xml:space="preserve">GTSE </w:t>
            </w:r>
            <w:r w:rsidR="003A43D9" w:rsidRPr="009C193F">
              <w:rPr>
                <w:rFonts w:ascii="Arial" w:hAnsi="Arial" w:cs="Arial"/>
              </w:rPr>
              <w:t>dans</w:t>
            </w:r>
            <w:r w:rsidRPr="009C193F">
              <w:rPr>
                <w:rFonts w:ascii="Arial" w:hAnsi="Arial" w:cs="Arial"/>
              </w:rPr>
              <w:t xml:space="preserve"> le renforcement du système de suivi et évaluation national pour le renseignement des indicateurs VIH</w:t>
            </w:r>
            <w:r w:rsidR="003A43D9" w:rsidRPr="009C193F">
              <w:rPr>
                <w:rFonts w:ascii="Arial" w:hAnsi="Arial" w:cs="Arial"/>
              </w:rPr>
              <w:t>.</w:t>
            </w:r>
          </w:p>
          <w:p w14:paraId="56A4D2E1" w14:textId="77777777" w:rsidR="00DC1AAF" w:rsidRPr="009C193F" w:rsidRDefault="00DC1AAF" w:rsidP="009C193F">
            <w:pPr>
              <w:spacing w:before="240"/>
              <w:jc w:val="both"/>
              <w:rPr>
                <w:rFonts w:ascii="Arial" w:hAnsi="Arial" w:cs="Arial"/>
              </w:rPr>
            </w:pPr>
            <w:r w:rsidRPr="009C193F">
              <w:rPr>
                <w:rFonts w:ascii="Arial" w:hAnsi="Arial" w:cs="Arial"/>
              </w:rPr>
              <w:t>Spécifiquement, il s’agira de :</w:t>
            </w:r>
          </w:p>
          <w:p w14:paraId="0C3AEB04" w14:textId="2772552F" w:rsidR="00F876F1" w:rsidRPr="009C193F" w:rsidRDefault="00DC1AAF" w:rsidP="009C193F">
            <w:pPr>
              <w:pStyle w:val="ListParagraph"/>
              <w:numPr>
                <w:ilvl w:val="0"/>
                <w:numId w:val="8"/>
              </w:numPr>
              <w:spacing w:before="240"/>
              <w:jc w:val="both"/>
              <w:rPr>
                <w:rFonts w:ascii="Arial" w:eastAsiaTheme="minorHAnsi" w:hAnsi="Arial" w:cs="Arial"/>
                <w:lang w:val="fr-BE" w:bidi="ar-SA"/>
              </w:rPr>
            </w:pPr>
            <w:r w:rsidRPr="009C193F">
              <w:rPr>
                <w:rFonts w:ascii="Arial" w:eastAsiaTheme="minorHAnsi" w:hAnsi="Arial" w:cs="Arial"/>
                <w:lang w:val="fr-BE" w:bidi="ar-SA"/>
              </w:rPr>
              <w:t xml:space="preserve">Faire une analyse holistique du </w:t>
            </w:r>
            <w:r w:rsidR="00F876F1" w:rsidRPr="009C193F">
              <w:rPr>
                <w:rFonts w:ascii="Arial" w:eastAsiaTheme="minorHAnsi" w:hAnsi="Arial" w:cs="Arial"/>
                <w:lang w:val="fr-BE" w:bidi="ar-SA"/>
              </w:rPr>
              <w:t xml:space="preserve">système de </w:t>
            </w:r>
            <w:r w:rsidRPr="009C193F">
              <w:rPr>
                <w:rFonts w:ascii="Arial" w:eastAsiaTheme="minorHAnsi" w:hAnsi="Arial" w:cs="Arial"/>
                <w:lang w:val="fr-BE" w:bidi="ar-SA"/>
              </w:rPr>
              <w:t>suivi et évaluation en vue d</w:t>
            </w:r>
            <w:r w:rsidR="00F876F1" w:rsidRPr="009C193F">
              <w:rPr>
                <w:rFonts w:ascii="Arial" w:eastAsiaTheme="minorHAnsi" w:hAnsi="Arial" w:cs="Arial"/>
                <w:lang w:val="fr-BE" w:bidi="ar-SA"/>
              </w:rPr>
              <w:t>’identifier les goulots d’étranglement pour la collecte, la remonté, l’analyse et l’utilisation des données de même que le suivi des patients sous ARV</w:t>
            </w:r>
            <w:r w:rsidR="00394152">
              <w:rPr>
                <w:rFonts w:ascii="Arial" w:eastAsiaTheme="minorHAnsi" w:hAnsi="Arial" w:cs="Arial"/>
                <w:lang w:val="fr-BE" w:bidi="ar-SA"/>
              </w:rPr>
              <w:t xml:space="preserve"> et des intrants VIH</w:t>
            </w:r>
            <w:bookmarkStart w:id="0" w:name="_GoBack"/>
            <w:bookmarkEnd w:id="0"/>
          </w:p>
          <w:p w14:paraId="4B56B3CC" w14:textId="53EC9D03" w:rsidR="00607EFC" w:rsidRPr="009C193F" w:rsidRDefault="00607EFC" w:rsidP="009C193F">
            <w:pPr>
              <w:pStyle w:val="ListParagraph"/>
              <w:numPr>
                <w:ilvl w:val="0"/>
                <w:numId w:val="8"/>
              </w:numPr>
              <w:spacing w:before="240"/>
              <w:jc w:val="both"/>
              <w:rPr>
                <w:rFonts w:ascii="Arial" w:eastAsiaTheme="minorHAnsi" w:hAnsi="Arial" w:cs="Arial"/>
                <w:lang w:val="fr-BE" w:bidi="ar-SA"/>
              </w:rPr>
            </w:pPr>
            <w:r w:rsidRPr="009C193F">
              <w:rPr>
                <w:rFonts w:ascii="Arial" w:eastAsiaTheme="minorHAnsi" w:hAnsi="Arial" w:cs="Arial"/>
                <w:lang w:val="fr-BE" w:bidi="ar-SA"/>
              </w:rPr>
              <w:t>Mettre à jour les responsables du CNLS et du PNLS-H en matière de</w:t>
            </w:r>
            <w:r w:rsidR="00125CE1">
              <w:rPr>
                <w:rFonts w:ascii="Arial" w:eastAsiaTheme="minorHAnsi" w:hAnsi="Arial" w:cs="Arial"/>
                <w:lang w:val="fr-BE" w:bidi="ar-SA"/>
              </w:rPr>
              <w:t xml:space="preserve">s dernières recommandations du MERG en matière de système de </w:t>
            </w:r>
            <w:r w:rsidRPr="009C193F">
              <w:rPr>
                <w:rFonts w:ascii="Arial" w:eastAsiaTheme="minorHAnsi" w:hAnsi="Arial" w:cs="Arial"/>
                <w:lang w:val="fr-BE" w:bidi="ar-SA"/>
              </w:rPr>
              <w:t>S&amp;E des réponses nationales au VIH/sida</w:t>
            </w:r>
            <w:r w:rsidR="00125CE1">
              <w:rPr>
                <w:rFonts w:ascii="Arial" w:eastAsiaTheme="minorHAnsi" w:hAnsi="Arial" w:cs="Arial"/>
                <w:lang w:val="fr-BE" w:bidi="ar-SA"/>
              </w:rPr>
              <w:t xml:space="preserve"> et d’utilisation des logiciels de collecte d’information et de suivi des patients et intrants</w:t>
            </w:r>
            <w:r w:rsidR="00125CE1" w:rsidRPr="009C193F">
              <w:rPr>
                <w:rFonts w:ascii="Arial" w:eastAsiaTheme="minorHAnsi" w:hAnsi="Arial" w:cs="Arial"/>
                <w:lang w:val="fr-BE" w:bidi="ar-SA"/>
              </w:rPr>
              <w:t xml:space="preserve"> ;</w:t>
            </w:r>
          </w:p>
          <w:p w14:paraId="583C6D8D" w14:textId="77777777" w:rsidR="00DC1AAF" w:rsidRPr="009C193F" w:rsidRDefault="00DC1AAF" w:rsidP="009C193F">
            <w:pPr>
              <w:pStyle w:val="ListParagraph"/>
              <w:numPr>
                <w:ilvl w:val="0"/>
                <w:numId w:val="8"/>
              </w:numPr>
              <w:spacing w:before="240"/>
              <w:jc w:val="both"/>
              <w:rPr>
                <w:rFonts w:ascii="Arial" w:eastAsiaTheme="minorHAnsi" w:hAnsi="Arial" w:cs="Arial"/>
                <w:lang w:val="fr-BE" w:bidi="ar-SA"/>
              </w:rPr>
            </w:pPr>
            <w:r w:rsidRPr="009C193F">
              <w:rPr>
                <w:rFonts w:ascii="Arial" w:eastAsiaTheme="minorHAnsi" w:hAnsi="Arial" w:cs="Arial"/>
                <w:lang w:val="fr-BE" w:bidi="ar-SA"/>
              </w:rPr>
              <w:t>Partager l</w:t>
            </w:r>
            <w:r w:rsidR="00607EFC" w:rsidRPr="009C193F">
              <w:rPr>
                <w:rFonts w:ascii="Arial" w:eastAsiaTheme="minorHAnsi" w:hAnsi="Arial" w:cs="Arial"/>
                <w:lang w:val="fr-BE" w:bidi="ar-SA"/>
              </w:rPr>
              <w:t xml:space="preserve">es </w:t>
            </w:r>
            <w:r w:rsidRPr="009C193F">
              <w:rPr>
                <w:rFonts w:ascii="Arial" w:eastAsiaTheme="minorHAnsi" w:hAnsi="Arial" w:cs="Arial"/>
                <w:lang w:val="fr-BE" w:bidi="ar-SA"/>
              </w:rPr>
              <w:t>expérience</w:t>
            </w:r>
            <w:r w:rsidR="00607EFC" w:rsidRPr="009C193F">
              <w:rPr>
                <w:rFonts w:ascii="Arial" w:eastAsiaTheme="minorHAnsi" w:hAnsi="Arial" w:cs="Arial"/>
                <w:lang w:val="fr-BE" w:bidi="ar-SA"/>
              </w:rPr>
              <w:t>s d’</w:t>
            </w:r>
            <w:r w:rsidRPr="009C193F">
              <w:rPr>
                <w:rFonts w:ascii="Arial" w:eastAsiaTheme="minorHAnsi" w:hAnsi="Arial" w:cs="Arial"/>
                <w:lang w:val="fr-BE" w:bidi="ar-SA"/>
              </w:rPr>
              <w:t>autres pays de la sous-région</w:t>
            </w:r>
            <w:r w:rsidR="00607EFC" w:rsidRPr="009C193F">
              <w:rPr>
                <w:rFonts w:ascii="Arial" w:eastAsiaTheme="minorHAnsi" w:hAnsi="Arial" w:cs="Arial"/>
                <w:lang w:val="fr-BE" w:bidi="ar-SA"/>
              </w:rPr>
              <w:t xml:space="preserve"> en matière de succès en S&amp;E de réponse nationale au VIH/sida</w:t>
            </w:r>
          </w:p>
          <w:p w14:paraId="2143AF43" w14:textId="77777777" w:rsidR="00DC1AAF" w:rsidRPr="009C193F" w:rsidRDefault="00DC1AAF" w:rsidP="009C193F">
            <w:pPr>
              <w:pStyle w:val="ListParagraph"/>
              <w:numPr>
                <w:ilvl w:val="0"/>
                <w:numId w:val="8"/>
              </w:numPr>
              <w:spacing w:before="240"/>
              <w:jc w:val="both"/>
              <w:rPr>
                <w:rFonts w:ascii="Arial" w:eastAsiaTheme="minorHAnsi" w:hAnsi="Arial" w:cs="Arial"/>
                <w:lang w:val="fr-BE" w:bidi="ar-SA"/>
              </w:rPr>
            </w:pPr>
            <w:r w:rsidRPr="009C193F">
              <w:rPr>
                <w:rFonts w:ascii="Arial" w:eastAsiaTheme="minorHAnsi" w:hAnsi="Arial" w:cs="Arial"/>
                <w:lang w:val="fr-BE" w:bidi="ar-SA"/>
              </w:rPr>
              <w:t>Formuler des recommandations opérationnelles</w:t>
            </w:r>
            <w:r w:rsidR="00607EFC" w:rsidRPr="009C193F">
              <w:rPr>
                <w:rFonts w:ascii="Arial" w:eastAsiaTheme="minorHAnsi" w:hAnsi="Arial" w:cs="Arial"/>
                <w:lang w:val="fr-BE" w:bidi="ar-SA"/>
              </w:rPr>
              <w:t xml:space="preserve"> en vue d’améliorer les performances du S&amp;E de la réponse nationale au VIH/sida en Guinée.</w:t>
            </w:r>
          </w:p>
          <w:p w14:paraId="3CA76C8A" w14:textId="77777777" w:rsidR="00DC1AAF" w:rsidRPr="009C193F" w:rsidRDefault="00DC1AAF" w:rsidP="009C193F">
            <w:pPr>
              <w:rPr>
                <w:rFonts w:ascii="Arial" w:hAnsi="Arial" w:cs="Arial"/>
              </w:rPr>
            </w:pPr>
          </w:p>
          <w:p w14:paraId="7DFBC3BE" w14:textId="77777777" w:rsidR="00DC1AAF" w:rsidRPr="009C193F" w:rsidRDefault="00DC1AAF" w:rsidP="009C193F">
            <w:pPr>
              <w:shd w:val="clear" w:color="auto" w:fill="DAEEF3" w:themeFill="accent5" w:themeFillTint="33"/>
              <w:rPr>
                <w:rFonts w:ascii="Arial" w:hAnsi="Arial" w:cs="Arial"/>
              </w:rPr>
            </w:pPr>
            <w:r w:rsidRPr="009C193F">
              <w:rPr>
                <w:rFonts w:ascii="Arial" w:hAnsi="Arial" w:cs="Arial"/>
              </w:rPr>
              <w:t>METHODOLOGIE</w:t>
            </w:r>
          </w:p>
          <w:p w14:paraId="3E915984" w14:textId="77777777" w:rsidR="00DC1AAF" w:rsidRPr="009C193F" w:rsidRDefault="00DC1AAF" w:rsidP="009C193F">
            <w:pPr>
              <w:spacing w:before="240" w:after="200"/>
              <w:jc w:val="both"/>
              <w:rPr>
                <w:rFonts w:ascii="Arial" w:hAnsi="Arial" w:cs="Arial"/>
              </w:rPr>
            </w:pPr>
            <w:r w:rsidRPr="009C193F">
              <w:rPr>
                <w:rFonts w:ascii="Arial" w:hAnsi="Arial" w:cs="Arial"/>
              </w:rPr>
              <w:t xml:space="preserve">La mission se fera essentiellement à travers </w:t>
            </w:r>
            <w:r w:rsidR="00607EFC" w:rsidRPr="009C193F">
              <w:rPr>
                <w:rFonts w:ascii="Arial" w:hAnsi="Arial" w:cs="Arial"/>
              </w:rPr>
              <w:t xml:space="preserve">les échanges avec les acteurs sur place, l’analyse et l’exploitation documentaires et </w:t>
            </w:r>
            <w:r w:rsidRPr="009C193F">
              <w:rPr>
                <w:rFonts w:ascii="Arial" w:hAnsi="Arial" w:cs="Arial"/>
              </w:rPr>
              <w:t xml:space="preserve">l’organisation d’un atelier de concertation avec les </w:t>
            </w:r>
            <w:r w:rsidR="00607EFC" w:rsidRPr="009C193F">
              <w:rPr>
                <w:rFonts w:ascii="Arial" w:hAnsi="Arial" w:cs="Arial"/>
              </w:rPr>
              <w:t xml:space="preserve">acteurs et toutes les parties prenantes </w:t>
            </w:r>
            <w:r w:rsidR="009C193F" w:rsidRPr="009C193F">
              <w:rPr>
                <w:rFonts w:ascii="Arial" w:hAnsi="Arial" w:cs="Arial"/>
              </w:rPr>
              <w:t>du S&amp;E de la réponse nationale au VIH/sida</w:t>
            </w:r>
            <w:r w:rsidRPr="009C193F">
              <w:rPr>
                <w:rFonts w:ascii="Arial" w:hAnsi="Arial" w:cs="Arial"/>
              </w:rPr>
              <w:t xml:space="preserve"> </w:t>
            </w:r>
          </w:p>
          <w:p w14:paraId="692402C7" w14:textId="77777777" w:rsidR="00DC1AAF" w:rsidRPr="009C193F" w:rsidRDefault="009C193F" w:rsidP="009C193F">
            <w:pPr>
              <w:shd w:val="clear" w:color="auto" w:fill="DAEEF3" w:themeFill="accent5" w:themeFillTint="33"/>
              <w:rPr>
                <w:rFonts w:ascii="Arial" w:hAnsi="Arial" w:cs="Arial"/>
              </w:rPr>
            </w:pPr>
            <w:r w:rsidRPr="009C193F">
              <w:rPr>
                <w:rFonts w:ascii="Arial" w:hAnsi="Arial" w:cs="Arial"/>
              </w:rPr>
              <w:t>PERIODE</w:t>
            </w:r>
          </w:p>
          <w:p w14:paraId="258B86BA" w14:textId="34C97C6F" w:rsidR="00DC1AAF" w:rsidRPr="009C193F" w:rsidRDefault="009C193F" w:rsidP="009C193F">
            <w:pPr>
              <w:spacing w:before="240" w:after="200"/>
              <w:jc w:val="both"/>
              <w:rPr>
                <w:rFonts w:ascii="Arial" w:hAnsi="Arial" w:cs="Arial"/>
              </w:rPr>
            </w:pPr>
            <w:r w:rsidRPr="009C193F">
              <w:rPr>
                <w:rFonts w:ascii="Arial" w:hAnsi="Arial" w:cs="Arial"/>
              </w:rPr>
              <w:t xml:space="preserve">Du </w:t>
            </w:r>
            <w:r w:rsidR="00125CE1">
              <w:rPr>
                <w:rFonts w:ascii="Arial" w:hAnsi="Arial" w:cs="Arial"/>
              </w:rPr>
              <w:t xml:space="preserve">25 mars </w:t>
            </w:r>
            <w:r w:rsidRPr="009C193F">
              <w:rPr>
                <w:rFonts w:ascii="Arial" w:hAnsi="Arial" w:cs="Arial"/>
              </w:rPr>
              <w:t xml:space="preserve">au 08 </w:t>
            </w:r>
            <w:r w:rsidR="00125CE1">
              <w:rPr>
                <w:rFonts w:ascii="Arial" w:hAnsi="Arial" w:cs="Arial"/>
              </w:rPr>
              <w:t>Avril</w:t>
            </w:r>
            <w:r w:rsidRPr="009C193F">
              <w:rPr>
                <w:rFonts w:ascii="Arial" w:hAnsi="Arial" w:cs="Arial"/>
              </w:rPr>
              <w:t xml:space="preserve"> 2019</w:t>
            </w:r>
          </w:p>
          <w:p w14:paraId="74BC5FC4" w14:textId="77777777" w:rsidR="00DC1AAF" w:rsidRPr="009C193F" w:rsidRDefault="00DC1AAF" w:rsidP="009C193F">
            <w:pPr>
              <w:shd w:val="clear" w:color="auto" w:fill="DAEEF3" w:themeFill="accent5" w:themeFillTint="33"/>
              <w:rPr>
                <w:rFonts w:ascii="Arial" w:hAnsi="Arial" w:cs="Arial"/>
              </w:rPr>
            </w:pPr>
            <w:r w:rsidRPr="009C193F">
              <w:rPr>
                <w:rFonts w:ascii="Arial" w:hAnsi="Arial" w:cs="Arial"/>
              </w:rPr>
              <w:t>PARTICIPANTS</w:t>
            </w:r>
          </w:p>
          <w:p w14:paraId="79B2C601" w14:textId="3DF49FD7" w:rsidR="00DC1AAF" w:rsidRPr="009C193F" w:rsidRDefault="009C193F" w:rsidP="009C193F">
            <w:pPr>
              <w:spacing w:before="240" w:after="200"/>
              <w:jc w:val="both"/>
              <w:rPr>
                <w:rFonts w:ascii="Arial" w:hAnsi="Arial" w:cs="Arial"/>
              </w:rPr>
            </w:pPr>
            <w:r w:rsidRPr="009C193F">
              <w:rPr>
                <w:rFonts w:ascii="Arial" w:hAnsi="Arial" w:cs="Arial"/>
              </w:rPr>
              <w:t xml:space="preserve">Une trentaine de participants en provenance </w:t>
            </w:r>
            <w:r w:rsidR="00DC1AAF" w:rsidRPr="009C193F">
              <w:rPr>
                <w:rFonts w:ascii="Arial" w:hAnsi="Arial" w:cs="Arial"/>
              </w:rPr>
              <w:t>de</w:t>
            </w:r>
            <w:r w:rsidRPr="009C193F">
              <w:rPr>
                <w:rFonts w:ascii="Arial" w:hAnsi="Arial" w:cs="Arial"/>
              </w:rPr>
              <w:t>s</w:t>
            </w:r>
            <w:r w:rsidR="00DC1AAF" w:rsidRPr="009C193F">
              <w:rPr>
                <w:rFonts w:ascii="Arial" w:hAnsi="Arial" w:cs="Arial"/>
              </w:rPr>
              <w:t xml:space="preserve"> structures</w:t>
            </w:r>
            <w:r w:rsidR="00125CE1">
              <w:rPr>
                <w:rFonts w:ascii="Arial" w:hAnsi="Arial" w:cs="Arial"/>
              </w:rPr>
              <w:t xml:space="preserve"> centrales et régionales </w:t>
            </w:r>
            <w:r w:rsidR="00DC1AAF" w:rsidRPr="009C193F">
              <w:rPr>
                <w:rFonts w:ascii="Arial" w:hAnsi="Arial" w:cs="Arial"/>
              </w:rPr>
              <w:t>intervenant dans le VIH et la TB</w:t>
            </w:r>
            <w:r w:rsidRPr="009C193F">
              <w:rPr>
                <w:rFonts w:ascii="Arial" w:hAnsi="Arial" w:cs="Arial"/>
              </w:rPr>
              <w:t xml:space="preserve"> en Guinée</w:t>
            </w:r>
          </w:p>
          <w:p w14:paraId="5A631277" w14:textId="77777777" w:rsidR="00DC1AAF" w:rsidRPr="009C193F" w:rsidRDefault="00DC1AAF" w:rsidP="009C193F">
            <w:pPr>
              <w:shd w:val="clear" w:color="auto" w:fill="DAEEF3" w:themeFill="accent5" w:themeFillTint="33"/>
              <w:rPr>
                <w:rFonts w:ascii="Arial" w:hAnsi="Arial" w:cs="Arial"/>
              </w:rPr>
            </w:pPr>
            <w:r w:rsidRPr="009C193F">
              <w:rPr>
                <w:rFonts w:ascii="Arial" w:hAnsi="Arial" w:cs="Arial"/>
              </w:rPr>
              <w:t>AGENDA</w:t>
            </w:r>
          </w:p>
          <w:p w14:paraId="25C8540C" w14:textId="77777777" w:rsidR="00DC1AAF" w:rsidRDefault="00DC1AAF" w:rsidP="009C193F">
            <w:pPr>
              <w:spacing w:after="200"/>
              <w:jc w:val="both"/>
              <w:rPr>
                <w:rFonts w:ascii="Arial" w:hAnsi="Arial" w:cs="Arial"/>
              </w:rPr>
            </w:pPr>
          </w:p>
          <w:tbl>
            <w:tblPr>
              <w:tblpPr w:leftFromText="141" w:rightFromText="141" w:vertAnchor="page" w:horzAnchor="margin" w:tblpY="3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6710"/>
              <w:gridCol w:w="1464"/>
            </w:tblGrid>
            <w:tr w:rsidR="00A342D2" w:rsidRPr="009C193F" w14:paraId="3530013C" w14:textId="77777777" w:rsidTr="00A342D2">
              <w:tc>
                <w:tcPr>
                  <w:tcW w:w="974" w:type="pct"/>
                  <w:shd w:val="clear" w:color="auto" w:fill="D9D9D9"/>
                </w:tcPr>
                <w:p w14:paraId="114D0AA8" w14:textId="77777777" w:rsidR="00A342D2" w:rsidRPr="009C193F" w:rsidRDefault="00A342D2" w:rsidP="00A342D2">
                  <w:pPr>
                    <w:spacing w:line="240" w:lineRule="auto"/>
                    <w:contextualSpacing/>
                    <w:jc w:val="center"/>
                    <w:rPr>
                      <w:rFonts w:ascii="Arial" w:hAnsi="Arial" w:cs="Arial"/>
                    </w:rPr>
                  </w:pPr>
                </w:p>
              </w:tc>
              <w:tc>
                <w:tcPr>
                  <w:tcW w:w="3305" w:type="pct"/>
                  <w:shd w:val="clear" w:color="auto" w:fill="D9D9D9"/>
                </w:tcPr>
                <w:p w14:paraId="539E8EA5" w14:textId="77777777" w:rsidR="00A342D2" w:rsidRPr="009C193F" w:rsidRDefault="00A342D2" w:rsidP="00A342D2">
                  <w:pPr>
                    <w:spacing w:line="240" w:lineRule="auto"/>
                    <w:contextualSpacing/>
                    <w:jc w:val="center"/>
                    <w:rPr>
                      <w:rFonts w:ascii="Arial" w:hAnsi="Arial" w:cs="Arial"/>
                    </w:rPr>
                  </w:pPr>
                </w:p>
              </w:tc>
              <w:tc>
                <w:tcPr>
                  <w:tcW w:w="721" w:type="pct"/>
                  <w:shd w:val="clear" w:color="auto" w:fill="D9D9D9"/>
                </w:tcPr>
                <w:p w14:paraId="04D331F4" w14:textId="77777777" w:rsidR="00A342D2" w:rsidRPr="009C193F" w:rsidRDefault="00A342D2" w:rsidP="00A342D2">
                  <w:pPr>
                    <w:spacing w:line="240" w:lineRule="auto"/>
                    <w:contextualSpacing/>
                    <w:jc w:val="center"/>
                    <w:rPr>
                      <w:rFonts w:ascii="Arial" w:hAnsi="Arial" w:cs="Arial"/>
                    </w:rPr>
                  </w:pPr>
                </w:p>
              </w:tc>
            </w:tr>
            <w:tr w:rsidR="00A342D2" w:rsidRPr="009C193F" w14:paraId="1E47729C" w14:textId="77777777" w:rsidTr="00A342D2">
              <w:trPr>
                <w:trHeight w:val="124"/>
              </w:trPr>
              <w:tc>
                <w:tcPr>
                  <w:tcW w:w="5000" w:type="pct"/>
                  <w:gridSpan w:val="3"/>
                  <w:shd w:val="clear" w:color="auto" w:fill="FDE9D9" w:themeFill="accent6" w:themeFillTint="33"/>
                </w:tcPr>
                <w:p w14:paraId="0DAC18FE" w14:textId="77777777" w:rsidR="00A342D2" w:rsidRPr="009C193F" w:rsidRDefault="00A342D2" w:rsidP="00A342D2">
                  <w:pPr>
                    <w:spacing w:line="240" w:lineRule="auto"/>
                    <w:contextualSpacing/>
                    <w:jc w:val="center"/>
                    <w:rPr>
                      <w:rFonts w:ascii="Arial" w:hAnsi="Arial" w:cs="Arial"/>
                    </w:rPr>
                  </w:pPr>
                </w:p>
              </w:tc>
            </w:tr>
            <w:tr w:rsidR="00A342D2" w:rsidRPr="009C193F" w14:paraId="4AD3F36E" w14:textId="77777777" w:rsidTr="00A342D2">
              <w:tc>
                <w:tcPr>
                  <w:tcW w:w="974" w:type="pct"/>
                  <w:shd w:val="clear" w:color="auto" w:fill="auto"/>
                </w:tcPr>
                <w:p w14:paraId="36049633"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6902FFF6"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33226D9D" w14:textId="77777777" w:rsidR="00A342D2" w:rsidRPr="009C193F" w:rsidRDefault="00A342D2" w:rsidP="00A342D2">
                  <w:pPr>
                    <w:spacing w:line="240" w:lineRule="auto"/>
                    <w:contextualSpacing/>
                    <w:jc w:val="both"/>
                    <w:rPr>
                      <w:rFonts w:ascii="Arial" w:hAnsi="Arial" w:cs="Arial"/>
                    </w:rPr>
                  </w:pPr>
                </w:p>
              </w:tc>
            </w:tr>
            <w:tr w:rsidR="00A342D2" w:rsidRPr="009C193F" w14:paraId="72E414D6" w14:textId="77777777" w:rsidTr="00A342D2">
              <w:tc>
                <w:tcPr>
                  <w:tcW w:w="974" w:type="pct"/>
                  <w:shd w:val="clear" w:color="auto" w:fill="auto"/>
                </w:tcPr>
                <w:p w14:paraId="402EA32B"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58368B27"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3F852B8A" w14:textId="77777777" w:rsidR="00A342D2" w:rsidRPr="009C193F" w:rsidRDefault="00A342D2" w:rsidP="00A342D2">
                  <w:pPr>
                    <w:spacing w:line="240" w:lineRule="auto"/>
                    <w:contextualSpacing/>
                    <w:jc w:val="both"/>
                    <w:rPr>
                      <w:rFonts w:ascii="Arial" w:hAnsi="Arial" w:cs="Arial"/>
                    </w:rPr>
                  </w:pPr>
                </w:p>
              </w:tc>
            </w:tr>
            <w:tr w:rsidR="00A342D2" w:rsidRPr="009C193F" w14:paraId="27DAB7B0" w14:textId="77777777" w:rsidTr="00A342D2">
              <w:tc>
                <w:tcPr>
                  <w:tcW w:w="974" w:type="pct"/>
                  <w:shd w:val="clear" w:color="auto" w:fill="auto"/>
                </w:tcPr>
                <w:p w14:paraId="33004F6D"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2DF3E1D7" w14:textId="77777777" w:rsidR="00A342D2" w:rsidRPr="009C193F" w:rsidRDefault="00A342D2" w:rsidP="00A342D2">
                  <w:pPr>
                    <w:pStyle w:val="ListParagraph"/>
                    <w:numPr>
                      <w:ilvl w:val="0"/>
                      <w:numId w:val="9"/>
                    </w:numPr>
                    <w:jc w:val="both"/>
                    <w:rPr>
                      <w:rFonts w:ascii="Arial" w:eastAsiaTheme="minorHAnsi" w:hAnsi="Arial" w:cs="Arial"/>
                      <w:lang w:val="fr-BE" w:bidi="ar-SA"/>
                    </w:rPr>
                  </w:pPr>
                </w:p>
              </w:tc>
              <w:tc>
                <w:tcPr>
                  <w:tcW w:w="721" w:type="pct"/>
                  <w:shd w:val="clear" w:color="auto" w:fill="auto"/>
                </w:tcPr>
                <w:p w14:paraId="002BB566" w14:textId="77777777" w:rsidR="00A342D2" w:rsidRPr="009C193F" w:rsidRDefault="00A342D2" w:rsidP="00A342D2">
                  <w:pPr>
                    <w:spacing w:line="240" w:lineRule="auto"/>
                    <w:contextualSpacing/>
                    <w:jc w:val="both"/>
                    <w:rPr>
                      <w:rFonts w:ascii="Arial" w:hAnsi="Arial" w:cs="Arial"/>
                    </w:rPr>
                  </w:pPr>
                </w:p>
              </w:tc>
            </w:tr>
            <w:tr w:rsidR="00A342D2" w:rsidRPr="009C193F" w14:paraId="10F88EF5" w14:textId="77777777" w:rsidTr="00A342D2">
              <w:tc>
                <w:tcPr>
                  <w:tcW w:w="974" w:type="pct"/>
                  <w:shd w:val="clear" w:color="auto" w:fill="D9D9D9" w:themeFill="background1" w:themeFillShade="D9"/>
                </w:tcPr>
                <w:p w14:paraId="0CC5A62C"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D9D9D9" w:themeFill="background1" w:themeFillShade="D9"/>
                </w:tcPr>
                <w:p w14:paraId="15848F93"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D9D9D9" w:themeFill="background1" w:themeFillShade="D9"/>
                </w:tcPr>
                <w:p w14:paraId="1984A69D" w14:textId="77777777" w:rsidR="00A342D2" w:rsidRPr="009C193F" w:rsidRDefault="00A342D2" w:rsidP="00A342D2">
                  <w:pPr>
                    <w:spacing w:line="240" w:lineRule="auto"/>
                    <w:contextualSpacing/>
                    <w:jc w:val="both"/>
                    <w:rPr>
                      <w:rFonts w:ascii="Arial" w:hAnsi="Arial" w:cs="Arial"/>
                    </w:rPr>
                  </w:pPr>
                </w:p>
              </w:tc>
            </w:tr>
            <w:tr w:rsidR="00A342D2" w:rsidRPr="009C193F" w14:paraId="4E10D061" w14:textId="77777777" w:rsidTr="00A342D2">
              <w:tc>
                <w:tcPr>
                  <w:tcW w:w="974" w:type="pct"/>
                  <w:shd w:val="clear" w:color="auto" w:fill="auto"/>
                </w:tcPr>
                <w:p w14:paraId="2A911024"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1A250554"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194A2F99" w14:textId="77777777" w:rsidR="00A342D2" w:rsidRPr="009C193F" w:rsidRDefault="00A342D2" w:rsidP="00A342D2">
                  <w:pPr>
                    <w:spacing w:line="240" w:lineRule="auto"/>
                    <w:contextualSpacing/>
                    <w:jc w:val="both"/>
                    <w:rPr>
                      <w:rFonts w:ascii="Arial" w:hAnsi="Arial" w:cs="Arial"/>
                    </w:rPr>
                  </w:pPr>
                </w:p>
              </w:tc>
            </w:tr>
            <w:tr w:rsidR="00A342D2" w:rsidRPr="009C193F" w14:paraId="4F4A395F" w14:textId="77777777" w:rsidTr="00A342D2">
              <w:tc>
                <w:tcPr>
                  <w:tcW w:w="974" w:type="pct"/>
                  <w:shd w:val="clear" w:color="auto" w:fill="auto"/>
                </w:tcPr>
                <w:p w14:paraId="7617043C"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6C0A5A52"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6437E49D" w14:textId="77777777" w:rsidR="00A342D2" w:rsidRPr="009C193F" w:rsidRDefault="00A342D2" w:rsidP="00A342D2">
                  <w:pPr>
                    <w:spacing w:line="240" w:lineRule="auto"/>
                    <w:contextualSpacing/>
                    <w:jc w:val="both"/>
                    <w:rPr>
                      <w:rFonts w:ascii="Arial" w:hAnsi="Arial" w:cs="Arial"/>
                    </w:rPr>
                  </w:pPr>
                </w:p>
              </w:tc>
            </w:tr>
            <w:tr w:rsidR="00A342D2" w:rsidRPr="009C193F" w14:paraId="50E4F395" w14:textId="77777777" w:rsidTr="00A342D2">
              <w:tc>
                <w:tcPr>
                  <w:tcW w:w="974" w:type="pct"/>
                  <w:shd w:val="clear" w:color="auto" w:fill="auto"/>
                </w:tcPr>
                <w:p w14:paraId="6D87BF49"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0BC24231"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36721038" w14:textId="77777777" w:rsidR="00A342D2" w:rsidRPr="009C193F" w:rsidRDefault="00A342D2" w:rsidP="00A342D2">
                  <w:pPr>
                    <w:spacing w:line="240" w:lineRule="auto"/>
                    <w:contextualSpacing/>
                    <w:jc w:val="both"/>
                    <w:rPr>
                      <w:rFonts w:ascii="Arial" w:hAnsi="Arial" w:cs="Arial"/>
                    </w:rPr>
                  </w:pPr>
                </w:p>
              </w:tc>
            </w:tr>
            <w:tr w:rsidR="00A342D2" w:rsidRPr="009C193F" w14:paraId="6864E3D1" w14:textId="77777777" w:rsidTr="00A342D2">
              <w:tc>
                <w:tcPr>
                  <w:tcW w:w="974" w:type="pct"/>
                  <w:shd w:val="clear" w:color="auto" w:fill="auto"/>
                </w:tcPr>
                <w:p w14:paraId="7A6180A7"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09918B98"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2FA502B0" w14:textId="77777777" w:rsidR="00A342D2" w:rsidRPr="009C193F" w:rsidRDefault="00A342D2" w:rsidP="00A342D2">
                  <w:pPr>
                    <w:spacing w:line="240" w:lineRule="auto"/>
                    <w:contextualSpacing/>
                    <w:jc w:val="both"/>
                    <w:rPr>
                      <w:rFonts w:ascii="Arial" w:hAnsi="Arial" w:cs="Arial"/>
                    </w:rPr>
                  </w:pPr>
                </w:p>
              </w:tc>
            </w:tr>
            <w:tr w:rsidR="00A342D2" w:rsidRPr="009C193F" w14:paraId="79613F07" w14:textId="77777777" w:rsidTr="00A342D2">
              <w:tc>
                <w:tcPr>
                  <w:tcW w:w="974" w:type="pct"/>
                  <w:shd w:val="clear" w:color="auto" w:fill="auto"/>
                </w:tcPr>
                <w:p w14:paraId="0184A684"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58F4C468"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411FBB4D" w14:textId="77777777" w:rsidR="00A342D2" w:rsidRPr="009C193F" w:rsidRDefault="00A342D2" w:rsidP="00A342D2">
                  <w:pPr>
                    <w:spacing w:line="240" w:lineRule="auto"/>
                    <w:contextualSpacing/>
                    <w:jc w:val="both"/>
                    <w:rPr>
                      <w:rFonts w:ascii="Arial" w:hAnsi="Arial" w:cs="Arial"/>
                    </w:rPr>
                  </w:pPr>
                </w:p>
              </w:tc>
            </w:tr>
            <w:tr w:rsidR="00A342D2" w:rsidRPr="009C193F" w14:paraId="29C954E1" w14:textId="77777777" w:rsidTr="00A342D2">
              <w:tc>
                <w:tcPr>
                  <w:tcW w:w="974" w:type="pct"/>
                  <w:shd w:val="clear" w:color="auto" w:fill="D9D9D9" w:themeFill="background1" w:themeFillShade="D9"/>
                </w:tcPr>
                <w:p w14:paraId="22BBE961"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D9D9D9" w:themeFill="background1" w:themeFillShade="D9"/>
                </w:tcPr>
                <w:p w14:paraId="1DF4EF34"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D9D9D9" w:themeFill="background1" w:themeFillShade="D9"/>
                </w:tcPr>
                <w:p w14:paraId="588963DF" w14:textId="77777777" w:rsidR="00A342D2" w:rsidRPr="009C193F" w:rsidRDefault="00A342D2" w:rsidP="00A342D2">
                  <w:pPr>
                    <w:spacing w:line="240" w:lineRule="auto"/>
                    <w:contextualSpacing/>
                    <w:jc w:val="both"/>
                    <w:rPr>
                      <w:rFonts w:ascii="Arial" w:hAnsi="Arial" w:cs="Arial"/>
                    </w:rPr>
                  </w:pPr>
                </w:p>
              </w:tc>
            </w:tr>
            <w:tr w:rsidR="00A342D2" w:rsidRPr="009C193F" w14:paraId="32CBDF12" w14:textId="77777777" w:rsidTr="00A342D2">
              <w:tc>
                <w:tcPr>
                  <w:tcW w:w="974" w:type="pct"/>
                  <w:shd w:val="clear" w:color="auto" w:fill="auto"/>
                </w:tcPr>
                <w:p w14:paraId="2BCA00AD"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7F88A484"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381C5A95" w14:textId="77777777" w:rsidR="00A342D2" w:rsidRPr="009C193F" w:rsidRDefault="00A342D2" w:rsidP="00A342D2">
                  <w:pPr>
                    <w:spacing w:line="240" w:lineRule="auto"/>
                    <w:contextualSpacing/>
                    <w:jc w:val="both"/>
                    <w:rPr>
                      <w:rFonts w:ascii="Arial" w:hAnsi="Arial" w:cs="Arial"/>
                    </w:rPr>
                  </w:pPr>
                </w:p>
              </w:tc>
            </w:tr>
            <w:tr w:rsidR="00A342D2" w:rsidRPr="009C193F" w14:paraId="0B58D7BF" w14:textId="77777777" w:rsidTr="00A342D2">
              <w:trPr>
                <w:trHeight w:val="334"/>
              </w:trPr>
              <w:tc>
                <w:tcPr>
                  <w:tcW w:w="974" w:type="pct"/>
                  <w:shd w:val="clear" w:color="auto" w:fill="auto"/>
                </w:tcPr>
                <w:p w14:paraId="52398051"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auto"/>
                </w:tcPr>
                <w:p w14:paraId="02FC87E9" w14:textId="77777777" w:rsidR="00A342D2" w:rsidRPr="009C193F" w:rsidRDefault="00A342D2" w:rsidP="00A342D2">
                  <w:pPr>
                    <w:spacing w:after="0" w:line="240" w:lineRule="auto"/>
                    <w:jc w:val="both"/>
                    <w:rPr>
                      <w:rFonts w:ascii="Arial" w:hAnsi="Arial" w:cs="Arial"/>
                    </w:rPr>
                  </w:pPr>
                </w:p>
              </w:tc>
              <w:tc>
                <w:tcPr>
                  <w:tcW w:w="721" w:type="pct"/>
                  <w:shd w:val="clear" w:color="auto" w:fill="auto"/>
                </w:tcPr>
                <w:p w14:paraId="2CF69903" w14:textId="77777777" w:rsidR="00A342D2" w:rsidRPr="009C193F" w:rsidRDefault="00A342D2" w:rsidP="00A342D2">
                  <w:pPr>
                    <w:spacing w:after="0" w:line="240" w:lineRule="auto"/>
                    <w:contextualSpacing/>
                    <w:jc w:val="both"/>
                    <w:rPr>
                      <w:rFonts w:ascii="Arial" w:hAnsi="Arial" w:cs="Arial"/>
                    </w:rPr>
                  </w:pPr>
                </w:p>
              </w:tc>
            </w:tr>
            <w:tr w:rsidR="00A342D2" w:rsidRPr="009C193F" w14:paraId="1A9D4813" w14:textId="77777777" w:rsidTr="00A342D2">
              <w:trPr>
                <w:trHeight w:val="334"/>
              </w:trPr>
              <w:tc>
                <w:tcPr>
                  <w:tcW w:w="974" w:type="pct"/>
                  <w:shd w:val="clear" w:color="auto" w:fill="auto"/>
                </w:tcPr>
                <w:p w14:paraId="6A5961B9"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auto"/>
                </w:tcPr>
                <w:p w14:paraId="0206DDE9" w14:textId="77777777" w:rsidR="00A342D2" w:rsidRPr="009C193F" w:rsidRDefault="00A342D2" w:rsidP="00A342D2">
                  <w:pPr>
                    <w:spacing w:after="0" w:line="240" w:lineRule="auto"/>
                    <w:jc w:val="both"/>
                    <w:rPr>
                      <w:rFonts w:ascii="Arial" w:hAnsi="Arial" w:cs="Arial"/>
                    </w:rPr>
                  </w:pPr>
                </w:p>
              </w:tc>
              <w:tc>
                <w:tcPr>
                  <w:tcW w:w="721" w:type="pct"/>
                  <w:shd w:val="clear" w:color="auto" w:fill="auto"/>
                </w:tcPr>
                <w:p w14:paraId="5C7BF61B" w14:textId="77777777" w:rsidR="00A342D2" w:rsidRPr="009C193F" w:rsidRDefault="00A342D2" w:rsidP="00A342D2">
                  <w:pPr>
                    <w:spacing w:after="0" w:line="240" w:lineRule="auto"/>
                    <w:contextualSpacing/>
                    <w:jc w:val="both"/>
                    <w:rPr>
                      <w:rFonts w:ascii="Arial" w:hAnsi="Arial" w:cs="Arial"/>
                    </w:rPr>
                  </w:pPr>
                </w:p>
              </w:tc>
            </w:tr>
            <w:tr w:rsidR="00A342D2" w:rsidRPr="009C193F" w14:paraId="74462463" w14:textId="77777777" w:rsidTr="00A342D2">
              <w:trPr>
                <w:trHeight w:val="264"/>
              </w:trPr>
              <w:tc>
                <w:tcPr>
                  <w:tcW w:w="974" w:type="pct"/>
                  <w:shd w:val="clear" w:color="auto" w:fill="D9D9D9" w:themeFill="background1" w:themeFillShade="D9"/>
                </w:tcPr>
                <w:p w14:paraId="1EE2B85A"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D9D9D9" w:themeFill="background1" w:themeFillShade="D9"/>
                </w:tcPr>
                <w:p w14:paraId="7AC7180D" w14:textId="77777777" w:rsidR="00A342D2" w:rsidRPr="009C193F" w:rsidRDefault="00A342D2" w:rsidP="00A342D2">
                  <w:pPr>
                    <w:spacing w:after="0" w:line="240" w:lineRule="auto"/>
                    <w:jc w:val="both"/>
                    <w:rPr>
                      <w:rFonts w:ascii="Arial" w:hAnsi="Arial" w:cs="Arial"/>
                    </w:rPr>
                  </w:pPr>
                </w:p>
              </w:tc>
              <w:tc>
                <w:tcPr>
                  <w:tcW w:w="721" w:type="pct"/>
                  <w:shd w:val="clear" w:color="auto" w:fill="D9D9D9" w:themeFill="background1" w:themeFillShade="D9"/>
                </w:tcPr>
                <w:p w14:paraId="42F2B63D" w14:textId="77777777" w:rsidR="00A342D2" w:rsidRPr="009C193F" w:rsidRDefault="00A342D2" w:rsidP="00A342D2">
                  <w:pPr>
                    <w:spacing w:after="0" w:line="240" w:lineRule="auto"/>
                    <w:contextualSpacing/>
                    <w:jc w:val="both"/>
                    <w:rPr>
                      <w:rFonts w:ascii="Arial" w:hAnsi="Arial" w:cs="Arial"/>
                    </w:rPr>
                  </w:pPr>
                </w:p>
              </w:tc>
            </w:tr>
            <w:tr w:rsidR="00A342D2" w:rsidRPr="009C193F" w14:paraId="065ADCC8" w14:textId="77777777" w:rsidTr="00A342D2">
              <w:trPr>
                <w:trHeight w:val="124"/>
              </w:trPr>
              <w:tc>
                <w:tcPr>
                  <w:tcW w:w="5000" w:type="pct"/>
                  <w:gridSpan w:val="3"/>
                  <w:shd w:val="clear" w:color="auto" w:fill="FDE9D9" w:themeFill="accent6" w:themeFillTint="33"/>
                </w:tcPr>
                <w:p w14:paraId="41EEEF30" w14:textId="77777777" w:rsidR="00A342D2" w:rsidRPr="009C193F" w:rsidRDefault="00A342D2" w:rsidP="00A342D2">
                  <w:pPr>
                    <w:spacing w:line="240" w:lineRule="auto"/>
                    <w:contextualSpacing/>
                    <w:jc w:val="center"/>
                    <w:rPr>
                      <w:rFonts w:ascii="Arial" w:hAnsi="Arial" w:cs="Arial"/>
                    </w:rPr>
                  </w:pPr>
                </w:p>
              </w:tc>
            </w:tr>
            <w:tr w:rsidR="00A342D2" w:rsidRPr="009C193F" w14:paraId="6FC18448" w14:textId="77777777" w:rsidTr="00A342D2">
              <w:trPr>
                <w:trHeight w:val="268"/>
              </w:trPr>
              <w:tc>
                <w:tcPr>
                  <w:tcW w:w="974" w:type="pct"/>
                  <w:shd w:val="clear" w:color="auto" w:fill="auto"/>
                </w:tcPr>
                <w:p w14:paraId="66D49E0D"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auto"/>
                </w:tcPr>
                <w:p w14:paraId="05C037CF" w14:textId="77777777" w:rsidR="00A342D2" w:rsidRPr="009C193F" w:rsidRDefault="00A342D2" w:rsidP="00A342D2">
                  <w:pPr>
                    <w:pStyle w:val="ListParagraph"/>
                    <w:ind w:firstLine="0"/>
                    <w:jc w:val="both"/>
                    <w:rPr>
                      <w:rFonts w:ascii="Arial" w:eastAsiaTheme="minorHAnsi" w:hAnsi="Arial" w:cs="Arial"/>
                      <w:lang w:val="fr-BE" w:bidi="ar-SA"/>
                    </w:rPr>
                  </w:pPr>
                </w:p>
              </w:tc>
              <w:tc>
                <w:tcPr>
                  <w:tcW w:w="721" w:type="pct"/>
                  <w:shd w:val="clear" w:color="auto" w:fill="auto"/>
                </w:tcPr>
                <w:p w14:paraId="3A29C6EF" w14:textId="77777777" w:rsidR="00A342D2" w:rsidRPr="009C193F" w:rsidRDefault="00A342D2" w:rsidP="00A342D2">
                  <w:pPr>
                    <w:spacing w:after="0" w:line="240" w:lineRule="auto"/>
                    <w:contextualSpacing/>
                    <w:jc w:val="both"/>
                    <w:rPr>
                      <w:rFonts w:ascii="Arial" w:hAnsi="Arial" w:cs="Arial"/>
                    </w:rPr>
                  </w:pPr>
                </w:p>
              </w:tc>
            </w:tr>
            <w:tr w:rsidR="00A342D2" w:rsidRPr="009C193F" w14:paraId="6DB936C5" w14:textId="77777777" w:rsidTr="00A342D2">
              <w:tc>
                <w:tcPr>
                  <w:tcW w:w="974" w:type="pct"/>
                  <w:shd w:val="clear" w:color="auto" w:fill="D9D9D9" w:themeFill="background1" w:themeFillShade="D9"/>
                </w:tcPr>
                <w:p w14:paraId="6DFCA69B"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D9D9D9" w:themeFill="background1" w:themeFillShade="D9"/>
                </w:tcPr>
                <w:p w14:paraId="10906A3E"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D9D9D9" w:themeFill="background1" w:themeFillShade="D9"/>
                </w:tcPr>
                <w:p w14:paraId="0F488F96" w14:textId="77777777" w:rsidR="00A342D2" w:rsidRPr="009C193F" w:rsidRDefault="00A342D2" w:rsidP="00A342D2">
                  <w:pPr>
                    <w:spacing w:line="240" w:lineRule="auto"/>
                    <w:contextualSpacing/>
                    <w:jc w:val="both"/>
                    <w:rPr>
                      <w:rFonts w:ascii="Arial" w:hAnsi="Arial" w:cs="Arial"/>
                    </w:rPr>
                  </w:pPr>
                </w:p>
              </w:tc>
            </w:tr>
            <w:tr w:rsidR="00A342D2" w:rsidRPr="009C193F" w14:paraId="02DA1B62" w14:textId="77777777" w:rsidTr="00A342D2">
              <w:tc>
                <w:tcPr>
                  <w:tcW w:w="974" w:type="pct"/>
                  <w:shd w:val="clear" w:color="auto" w:fill="auto"/>
                </w:tcPr>
                <w:p w14:paraId="75771621"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7498E5D9"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28B6AB65" w14:textId="77777777" w:rsidR="00A342D2" w:rsidRPr="009C193F" w:rsidRDefault="00A342D2" w:rsidP="00A342D2">
                  <w:pPr>
                    <w:spacing w:line="240" w:lineRule="auto"/>
                    <w:contextualSpacing/>
                    <w:jc w:val="both"/>
                    <w:rPr>
                      <w:rFonts w:ascii="Arial" w:hAnsi="Arial" w:cs="Arial"/>
                    </w:rPr>
                  </w:pPr>
                </w:p>
              </w:tc>
            </w:tr>
            <w:tr w:rsidR="00A342D2" w:rsidRPr="009C193F" w14:paraId="20A8EE5A" w14:textId="77777777" w:rsidTr="00A342D2">
              <w:tc>
                <w:tcPr>
                  <w:tcW w:w="974" w:type="pct"/>
                  <w:shd w:val="clear" w:color="auto" w:fill="auto"/>
                </w:tcPr>
                <w:p w14:paraId="04594257"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6F52BEE0"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54717BD8" w14:textId="77777777" w:rsidR="00A342D2" w:rsidRPr="009C193F" w:rsidRDefault="00A342D2" w:rsidP="00A342D2">
                  <w:pPr>
                    <w:spacing w:line="240" w:lineRule="auto"/>
                    <w:contextualSpacing/>
                    <w:jc w:val="both"/>
                    <w:rPr>
                      <w:rFonts w:ascii="Arial" w:hAnsi="Arial" w:cs="Arial"/>
                    </w:rPr>
                  </w:pPr>
                </w:p>
              </w:tc>
            </w:tr>
            <w:tr w:rsidR="00A342D2" w:rsidRPr="009C193F" w14:paraId="27B903E2" w14:textId="77777777" w:rsidTr="00A342D2">
              <w:tc>
                <w:tcPr>
                  <w:tcW w:w="974" w:type="pct"/>
                  <w:shd w:val="clear" w:color="auto" w:fill="auto"/>
                </w:tcPr>
                <w:p w14:paraId="0BCCC738"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4A035EA0"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7E51EB33" w14:textId="77777777" w:rsidR="00A342D2" w:rsidRPr="009C193F" w:rsidRDefault="00A342D2" w:rsidP="00A342D2">
                  <w:pPr>
                    <w:spacing w:line="240" w:lineRule="auto"/>
                    <w:contextualSpacing/>
                    <w:jc w:val="both"/>
                    <w:rPr>
                      <w:rFonts w:ascii="Arial" w:hAnsi="Arial" w:cs="Arial"/>
                    </w:rPr>
                  </w:pPr>
                </w:p>
              </w:tc>
            </w:tr>
            <w:tr w:rsidR="00A342D2" w:rsidRPr="009C193F" w14:paraId="6C4E964E" w14:textId="77777777" w:rsidTr="00A342D2">
              <w:tc>
                <w:tcPr>
                  <w:tcW w:w="974" w:type="pct"/>
                  <w:shd w:val="clear" w:color="auto" w:fill="D9D9D9" w:themeFill="background1" w:themeFillShade="D9"/>
                </w:tcPr>
                <w:p w14:paraId="7FD6AE6B"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D9D9D9" w:themeFill="background1" w:themeFillShade="D9"/>
                </w:tcPr>
                <w:p w14:paraId="69EE3D59"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D9D9D9" w:themeFill="background1" w:themeFillShade="D9"/>
                </w:tcPr>
                <w:p w14:paraId="73B4708C" w14:textId="77777777" w:rsidR="00A342D2" w:rsidRPr="009C193F" w:rsidRDefault="00A342D2" w:rsidP="00A342D2">
                  <w:pPr>
                    <w:spacing w:line="240" w:lineRule="auto"/>
                    <w:contextualSpacing/>
                    <w:jc w:val="both"/>
                    <w:rPr>
                      <w:rFonts w:ascii="Arial" w:hAnsi="Arial" w:cs="Arial"/>
                    </w:rPr>
                  </w:pPr>
                </w:p>
              </w:tc>
            </w:tr>
            <w:tr w:rsidR="00A342D2" w:rsidRPr="009C193F" w14:paraId="663767D8" w14:textId="77777777" w:rsidTr="00A342D2">
              <w:tc>
                <w:tcPr>
                  <w:tcW w:w="974" w:type="pct"/>
                  <w:shd w:val="clear" w:color="auto" w:fill="auto"/>
                </w:tcPr>
                <w:p w14:paraId="1DE91A76"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12A8D88B"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7287FE65" w14:textId="77777777" w:rsidR="00A342D2" w:rsidRPr="009C193F" w:rsidRDefault="00A342D2" w:rsidP="00A342D2">
                  <w:pPr>
                    <w:spacing w:line="240" w:lineRule="auto"/>
                    <w:contextualSpacing/>
                    <w:jc w:val="both"/>
                    <w:rPr>
                      <w:rFonts w:ascii="Arial" w:hAnsi="Arial" w:cs="Arial"/>
                    </w:rPr>
                  </w:pPr>
                </w:p>
              </w:tc>
            </w:tr>
            <w:tr w:rsidR="00A342D2" w:rsidRPr="009C193F" w14:paraId="0C659DB2" w14:textId="77777777" w:rsidTr="00A342D2">
              <w:trPr>
                <w:trHeight w:val="334"/>
              </w:trPr>
              <w:tc>
                <w:tcPr>
                  <w:tcW w:w="974" w:type="pct"/>
                  <w:shd w:val="clear" w:color="auto" w:fill="auto"/>
                </w:tcPr>
                <w:p w14:paraId="7697ACBF"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auto"/>
                </w:tcPr>
                <w:p w14:paraId="33CB0F14" w14:textId="77777777" w:rsidR="00A342D2" w:rsidRPr="009C193F" w:rsidRDefault="00A342D2" w:rsidP="00A342D2">
                  <w:pPr>
                    <w:spacing w:after="0" w:line="240" w:lineRule="auto"/>
                    <w:jc w:val="both"/>
                    <w:rPr>
                      <w:rFonts w:ascii="Arial" w:hAnsi="Arial" w:cs="Arial"/>
                    </w:rPr>
                  </w:pPr>
                </w:p>
              </w:tc>
              <w:tc>
                <w:tcPr>
                  <w:tcW w:w="721" w:type="pct"/>
                  <w:shd w:val="clear" w:color="auto" w:fill="auto"/>
                </w:tcPr>
                <w:p w14:paraId="100E3721" w14:textId="77777777" w:rsidR="00A342D2" w:rsidRPr="009C193F" w:rsidRDefault="00A342D2" w:rsidP="00A342D2">
                  <w:pPr>
                    <w:spacing w:after="0" w:line="240" w:lineRule="auto"/>
                    <w:contextualSpacing/>
                    <w:jc w:val="both"/>
                    <w:rPr>
                      <w:rFonts w:ascii="Arial" w:hAnsi="Arial" w:cs="Arial"/>
                    </w:rPr>
                  </w:pPr>
                </w:p>
              </w:tc>
            </w:tr>
            <w:tr w:rsidR="00A342D2" w:rsidRPr="009C193F" w14:paraId="1FFD1033" w14:textId="77777777" w:rsidTr="00A342D2">
              <w:trPr>
                <w:trHeight w:val="264"/>
              </w:trPr>
              <w:tc>
                <w:tcPr>
                  <w:tcW w:w="974" w:type="pct"/>
                  <w:shd w:val="clear" w:color="auto" w:fill="D9D9D9" w:themeFill="background1" w:themeFillShade="D9"/>
                </w:tcPr>
                <w:p w14:paraId="315F6BB0"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D9D9D9" w:themeFill="background1" w:themeFillShade="D9"/>
                </w:tcPr>
                <w:p w14:paraId="34B3175B" w14:textId="77777777" w:rsidR="00A342D2" w:rsidRPr="009C193F" w:rsidRDefault="00A342D2" w:rsidP="00A342D2">
                  <w:pPr>
                    <w:spacing w:after="0" w:line="240" w:lineRule="auto"/>
                    <w:jc w:val="both"/>
                    <w:rPr>
                      <w:rFonts w:ascii="Arial" w:hAnsi="Arial" w:cs="Arial"/>
                    </w:rPr>
                  </w:pPr>
                </w:p>
              </w:tc>
              <w:tc>
                <w:tcPr>
                  <w:tcW w:w="721" w:type="pct"/>
                  <w:shd w:val="clear" w:color="auto" w:fill="D9D9D9" w:themeFill="background1" w:themeFillShade="D9"/>
                </w:tcPr>
                <w:p w14:paraId="5593BE6C" w14:textId="77777777" w:rsidR="00A342D2" w:rsidRPr="009C193F" w:rsidRDefault="00A342D2" w:rsidP="00A342D2">
                  <w:pPr>
                    <w:spacing w:after="0" w:line="240" w:lineRule="auto"/>
                    <w:contextualSpacing/>
                    <w:jc w:val="both"/>
                    <w:rPr>
                      <w:rFonts w:ascii="Arial" w:hAnsi="Arial" w:cs="Arial"/>
                    </w:rPr>
                  </w:pPr>
                </w:p>
              </w:tc>
            </w:tr>
            <w:tr w:rsidR="00A342D2" w:rsidRPr="009C193F" w14:paraId="5BF39E26" w14:textId="77777777" w:rsidTr="00A342D2">
              <w:trPr>
                <w:trHeight w:val="124"/>
              </w:trPr>
              <w:tc>
                <w:tcPr>
                  <w:tcW w:w="5000" w:type="pct"/>
                  <w:gridSpan w:val="3"/>
                  <w:shd w:val="clear" w:color="auto" w:fill="FDE9D9" w:themeFill="accent6" w:themeFillTint="33"/>
                </w:tcPr>
                <w:p w14:paraId="4A633BA2" w14:textId="77777777" w:rsidR="00A342D2" w:rsidRPr="009C193F" w:rsidRDefault="00A342D2" w:rsidP="00A342D2">
                  <w:pPr>
                    <w:spacing w:line="240" w:lineRule="auto"/>
                    <w:contextualSpacing/>
                    <w:jc w:val="center"/>
                    <w:rPr>
                      <w:rFonts w:ascii="Arial" w:hAnsi="Arial" w:cs="Arial"/>
                    </w:rPr>
                  </w:pPr>
                </w:p>
              </w:tc>
            </w:tr>
            <w:tr w:rsidR="00A342D2" w:rsidRPr="009C193F" w14:paraId="16DF336C" w14:textId="77777777" w:rsidTr="00A342D2">
              <w:tc>
                <w:tcPr>
                  <w:tcW w:w="974" w:type="pct"/>
                  <w:shd w:val="clear" w:color="auto" w:fill="auto"/>
                </w:tcPr>
                <w:p w14:paraId="2C071204"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auto"/>
                </w:tcPr>
                <w:p w14:paraId="264AE0BF" w14:textId="77777777" w:rsidR="00A342D2" w:rsidRPr="009C193F" w:rsidRDefault="00A342D2" w:rsidP="00A342D2">
                  <w:pPr>
                    <w:spacing w:after="0" w:line="240" w:lineRule="auto"/>
                    <w:jc w:val="both"/>
                    <w:rPr>
                      <w:rFonts w:ascii="Arial" w:hAnsi="Arial" w:cs="Arial"/>
                    </w:rPr>
                  </w:pPr>
                </w:p>
              </w:tc>
              <w:tc>
                <w:tcPr>
                  <w:tcW w:w="721" w:type="pct"/>
                  <w:shd w:val="clear" w:color="auto" w:fill="auto"/>
                </w:tcPr>
                <w:p w14:paraId="219CC931" w14:textId="77777777" w:rsidR="00A342D2" w:rsidRPr="009C193F" w:rsidRDefault="00A342D2" w:rsidP="00A342D2">
                  <w:pPr>
                    <w:spacing w:after="0" w:line="240" w:lineRule="auto"/>
                    <w:contextualSpacing/>
                    <w:jc w:val="both"/>
                    <w:rPr>
                      <w:rFonts w:ascii="Arial" w:hAnsi="Arial" w:cs="Arial"/>
                    </w:rPr>
                  </w:pPr>
                </w:p>
              </w:tc>
            </w:tr>
            <w:tr w:rsidR="00A342D2" w:rsidRPr="009C193F" w14:paraId="0507B9BA" w14:textId="77777777" w:rsidTr="00A342D2">
              <w:tc>
                <w:tcPr>
                  <w:tcW w:w="974" w:type="pct"/>
                  <w:shd w:val="clear" w:color="auto" w:fill="D9D9D9" w:themeFill="background1" w:themeFillShade="D9"/>
                </w:tcPr>
                <w:p w14:paraId="0BC468D1"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D9D9D9" w:themeFill="background1" w:themeFillShade="D9"/>
                </w:tcPr>
                <w:p w14:paraId="08F5BE58"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D9D9D9" w:themeFill="background1" w:themeFillShade="D9"/>
                </w:tcPr>
                <w:p w14:paraId="5693F415" w14:textId="77777777" w:rsidR="00A342D2" w:rsidRPr="009C193F" w:rsidRDefault="00A342D2" w:rsidP="00A342D2">
                  <w:pPr>
                    <w:spacing w:line="240" w:lineRule="auto"/>
                    <w:contextualSpacing/>
                    <w:jc w:val="both"/>
                    <w:rPr>
                      <w:rFonts w:ascii="Arial" w:hAnsi="Arial" w:cs="Arial"/>
                    </w:rPr>
                  </w:pPr>
                </w:p>
              </w:tc>
            </w:tr>
            <w:tr w:rsidR="00A342D2" w:rsidRPr="009C193F" w14:paraId="69EFE842" w14:textId="77777777" w:rsidTr="00A342D2">
              <w:tc>
                <w:tcPr>
                  <w:tcW w:w="974" w:type="pct"/>
                  <w:shd w:val="clear" w:color="auto" w:fill="auto"/>
                </w:tcPr>
                <w:p w14:paraId="146CBDDC"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2ABC579F"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167A392B" w14:textId="77777777" w:rsidR="00A342D2" w:rsidRPr="009C193F" w:rsidRDefault="00A342D2" w:rsidP="00A342D2">
                  <w:pPr>
                    <w:spacing w:line="240" w:lineRule="auto"/>
                    <w:contextualSpacing/>
                    <w:jc w:val="both"/>
                    <w:rPr>
                      <w:rFonts w:ascii="Arial" w:hAnsi="Arial" w:cs="Arial"/>
                    </w:rPr>
                  </w:pPr>
                </w:p>
              </w:tc>
            </w:tr>
            <w:tr w:rsidR="00A342D2" w:rsidRPr="009C193F" w14:paraId="2A446CDA" w14:textId="77777777" w:rsidTr="00A342D2">
              <w:tc>
                <w:tcPr>
                  <w:tcW w:w="974" w:type="pct"/>
                  <w:shd w:val="clear" w:color="auto" w:fill="auto"/>
                </w:tcPr>
                <w:p w14:paraId="33AE0A50"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36CE6CD7"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28323C6A" w14:textId="77777777" w:rsidR="00A342D2" w:rsidRPr="009C193F" w:rsidRDefault="00A342D2" w:rsidP="00A342D2">
                  <w:pPr>
                    <w:spacing w:line="240" w:lineRule="auto"/>
                    <w:contextualSpacing/>
                    <w:jc w:val="both"/>
                    <w:rPr>
                      <w:rFonts w:ascii="Arial" w:hAnsi="Arial" w:cs="Arial"/>
                    </w:rPr>
                  </w:pPr>
                </w:p>
              </w:tc>
            </w:tr>
            <w:tr w:rsidR="00A342D2" w:rsidRPr="009C193F" w14:paraId="442EAE03" w14:textId="77777777" w:rsidTr="00A342D2">
              <w:tc>
                <w:tcPr>
                  <w:tcW w:w="974" w:type="pct"/>
                  <w:shd w:val="clear" w:color="auto" w:fill="auto"/>
                </w:tcPr>
                <w:p w14:paraId="1E109F78"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7EC281E0"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06FD72ED" w14:textId="77777777" w:rsidR="00A342D2" w:rsidRPr="009C193F" w:rsidRDefault="00A342D2" w:rsidP="00A342D2">
                  <w:pPr>
                    <w:spacing w:line="240" w:lineRule="auto"/>
                    <w:contextualSpacing/>
                    <w:jc w:val="both"/>
                    <w:rPr>
                      <w:rFonts w:ascii="Arial" w:hAnsi="Arial" w:cs="Arial"/>
                    </w:rPr>
                  </w:pPr>
                </w:p>
              </w:tc>
            </w:tr>
            <w:tr w:rsidR="00A342D2" w:rsidRPr="009C193F" w14:paraId="1D9403F7" w14:textId="77777777" w:rsidTr="00A342D2">
              <w:tc>
                <w:tcPr>
                  <w:tcW w:w="974" w:type="pct"/>
                  <w:shd w:val="clear" w:color="auto" w:fill="auto"/>
                </w:tcPr>
                <w:p w14:paraId="4DD6809B"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auto"/>
                </w:tcPr>
                <w:p w14:paraId="39109A25"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auto"/>
                </w:tcPr>
                <w:p w14:paraId="4CF63D21" w14:textId="77777777" w:rsidR="00A342D2" w:rsidRPr="009C193F" w:rsidRDefault="00A342D2" w:rsidP="00A342D2">
                  <w:pPr>
                    <w:spacing w:line="240" w:lineRule="auto"/>
                    <w:contextualSpacing/>
                    <w:jc w:val="both"/>
                    <w:rPr>
                      <w:rFonts w:ascii="Arial" w:hAnsi="Arial" w:cs="Arial"/>
                    </w:rPr>
                  </w:pPr>
                </w:p>
              </w:tc>
            </w:tr>
            <w:tr w:rsidR="00A342D2" w:rsidRPr="009C193F" w14:paraId="6D0A6C50" w14:textId="77777777" w:rsidTr="00A342D2">
              <w:trPr>
                <w:trHeight w:val="177"/>
              </w:trPr>
              <w:tc>
                <w:tcPr>
                  <w:tcW w:w="974" w:type="pct"/>
                  <w:shd w:val="clear" w:color="auto" w:fill="auto"/>
                </w:tcPr>
                <w:p w14:paraId="5268E090" w14:textId="77777777" w:rsidR="00A342D2" w:rsidRPr="009C193F" w:rsidRDefault="00A342D2" w:rsidP="00A342D2">
                  <w:pPr>
                    <w:spacing w:after="0" w:line="240" w:lineRule="auto"/>
                    <w:contextualSpacing/>
                    <w:jc w:val="both"/>
                    <w:rPr>
                      <w:rFonts w:ascii="Arial" w:hAnsi="Arial" w:cs="Arial"/>
                    </w:rPr>
                  </w:pPr>
                </w:p>
              </w:tc>
              <w:tc>
                <w:tcPr>
                  <w:tcW w:w="3305" w:type="pct"/>
                  <w:shd w:val="clear" w:color="auto" w:fill="auto"/>
                </w:tcPr>
                <w:p w14:paraId="1C7BD93E" w14:textId="77777777" w:rsidR="00A342D2" w:rsidRPr="009C193F" w:rsidRDefault="00A342D2" w:rsidP="00A342D2">
                  <w:pPr>
                    <w:spacing w:line="240" w:lineRule="auto"/>
                    <w:jc w:val="both"/>
                    <w:rPr>
                      <w:rFonts w:ascii="Arial" w:hAnsi="Arial" w:cs="Arial"/>
                    </w:rPr>
                  </w:pPr>
                </w:p>
              </w:tc>
              <w:tc>
                <w:tcPr>
                  <w:tcW w:w="721" w:type="pct"/>
                  <w:shd w:val="clear" w:color="auto" w:fill="auto"/>
                </w:tcPr>
                <w:p w14:paraId="5649ECB3" w14:textId="77777777" w:rsidR="00A342D2" w:rsidRPr="009C193F" w:rsidRDefault="00A342D2" w:rsidP="00A342D2">
                  <w:pPr>
                    <w:spacing w:after="0" w:line="240" w:lineRule="auto"/>
                    <w:contextualSpacing/>
                    <w:jc w:val="both"/>
                    <w:rPr>
                      <w:rFonts w:ascii="Arial" w:hAnsi="Arial" w:cs="Arial"/>
                    </w:rPr>
                  </w:pPr>
                </w:p>
              </w:tc>
            </w:tr>
            <w:tr w:rsidR="00A342D2" w:rsidRPr="009C193F" w14:paraId="61ABF0E9" w14:textId="77777777" w:rsidTr="00A342D2">
              <w:tc>
                <w:tcPr>
                  <w:tcW w:w="974" w:type="pct"/>
                  <w:shd w:val="clear" w:color="auto" w:fill="D9D9D9" w:themeFill="background1" w:themeFillShade="D9"/>
                </w:tcPr>
                <w:p w14:paraId="43EA185F" w14:textId="77777777" w:rsidR="00A342D2" w:rsidRPr="009C193F" w:rsidRDefault="00A342D2" w:rsidP="00A342D2">
                  <w:pPr>
                    <w:spacing w:line="240" w:lineRule="auto"/>
                    <w:contextualSpacing/>
                    <w:jc w:val="both"/>
                    <w:rPr>
                      <w:rFonts w:ascii="Arial" w:hAnsi="Arial" w:cs="Arial"/>
                    </w:rPr>
                  </w:pPr>
                </w:p>
              </w:tc>
              <w:tc>
                <w:tcPr>
                  <w:tcW w:w="3305" w:type="pct"/>
                  <w:shd w:val="clear" w:color="auto" w:fill="D9D9D9" w:themeFill="background1" w:themeFillShade="D9"/>
                </w:tcPr>
                <w:p w14:paraId="06B5D027" w14:textId="77777777" w:rsidR="00A342D2" w:rsidRPr="009C193F" w:rsidRDefault="00A342D2" w:rsidP="00A342D2">
                  <w:pPr>
                    <w:spacing w:line="240" w:lineRule="auto"/>
                    <w:contextualSpacing/>
                    <w:jc w:val="both"/>
                    <w:rPr>
                      <w:rFonts w:ascii="Arial" w:hAnsi="Arial" w:cs="Arial"/>
                    </w:rPr>
                  </w:pPr>
                </w:p>
              </w:tc>
              <w:tc>
                <w:tcPr>
                  <w:tcW w:w="721" w:type="pct"/>
                  <w:shd w:val="clear" w:color="auto" w:fill="D9D9D9" w:themeFill="background1" w:themeFillShade="D9"/>
                </w:tcPr>
                <w:p w14:paraId="07FF2144" w14:textId="77777777" w:rsidR="00A342D2" w:rsidRPr="009C193F" w:rsidRDefault="00A342D2" w:rsidP="00A342D2">
                  <w:pPr>
                    <w:spacing w:line="240" w:lineRule="auto"/>
                    <w:contextualSpacing/>
                    <w:jc w:val="both"/>
                    <w:rPr>
                      <w:rFonts w:ascii="Arial" w:hAnsi="Arial" w:cs="Arial"/>
                    </w:rPr>
                  </w:pPr>
                </w:p>
              </w:tc>
            </w:tr>
          </w:tbl>
          <w:p w14:paraId="1C46183A" w14:textId="77777777" w:rsidR="00DC1AAF" w:rsidRPr="009C193F" w:rsidRDefault="00DC1AAF" w:rsidP="009C193F">
            <w:pPr>
              <w:spacing w:before="240" w:after="200"/>
              <w:jc w:val="both"/>
              <w:rPr>
                <w:rFonts w:ascii="Arial" w:hAnsi="Arial" w:cs="Arial"/>
              </w:rPr>
            </w:pPr>
          </w:p>
          <w:p w14:paraId="481C2D08" w14:textId="77777777" w:rsidR="00DC1AAF" w:rsidRPr="009C193F" w:rsidRDefault="00DC1AAF" w:rsidP="009C193F">
            <w:pPr>
              <w:spacing w:before="240" w:after="200"/>
              <w:jc w:val="both"/>
              <w:rPr>
                <w:rFonts w:ascii="Arial" w:hAnsi="Arial" w:cs="Arial"/>
              </w:rPr>
            </w:pPr>
          </w:p>
        </w:tc>
      </w:tr>
    </w:tbl>
    <w:p w14:paraId="01F152BF" w14:textId="77777777" w:rsidR="00E4165F" w:rsidRDefault="00E4165F" w:rsidP="00A342D2"/>
    <w:sectPr w:rsidR="00E4165F" w:rsidSect="009C193F">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520"/>
    <w:multiLevelType w:val="hybridMultilevel"/>
    <w:tmpl w:val="6F50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87252"/>
    <w:multiLevelType w:val="hybridMultilevel"/>
    <w:tmpl w:val="06CC0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B0C8A"/>
    <w:multiLevelType w:val="hybridMultilevel"/>
    <w:tmpl w:val="654803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C16CF"/>
    <w:multiLevelType w:val="hybridMultilevel"/>
    <w:tmpl w:val="B4D4AB56"/>
    <w:lvl w:ilvl="0" w:tplc="2B8AC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B2483"/>
    <w:multiLevelType w:val="hybridMultilevel"/>
    <w:tmpl w:val="DCECC5DC"/>
    <w:lvl w:ilvl="0" w:tplc="33AE265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62DF0"/>
    <w:multiLevelType w:val="hybridMultilevel"/>
    <w:tmpl w:val="DB4EDFEE"/>
    <w:lvl w:ilvl="0" w:tplc="979CB2E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C30621"/>
    <w:multiLevelType w:val="hybridMultilevel"/>
    <w:tmpl w:val="6204B51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5A1801"/>
    <w:multiLevelType w:val="hybridMultilevel"/>
    <w:tmpl w:val="297CB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B7E0B"/>
    <w:multiLevelType w:val="hybridMultilevel"/>
    <w:tmpl w:val="A4F28B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A57230"/>
    <w:multiLevelType w:val="hybridMultilevel"/>
    <w:tmpl w:val="A148BC56"/>
    <w:lvl w:ilvl="0" w:tplc="C01EB028">
      <w:start w:val="7"/>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CA0FFF"/>
    <w:multiLevelType w:val="hybridMultilevel"/>
    <w:tmpl w:val="CB9E1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8"/>
  </w:num>
  <w:num w:numId="6">
    <w:abstractNumId w:val="9"/>
  </w:num>
  <w:num w:numId="7">
    <w:abstractNumId w:val="1"/>
  </w:num>
  <w:num w:numId="8">
    <w:abstractNumId w:val="3"/>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1B"/>
    <w:rsid w:val="00003681"/>
    <w:rsid w:val="0003454E"/>
    <w:rsid w:val="00041E09"/>
    <w:rsid w:val="00043B68"/>
    <w:rsid w:val="00066421"/>
    <w:rsid w:val="000C2E4E"/>
    <w:rsid w:val="000F5242"/>
    <w:rsid w:val="00113EBE"/>
    <w:rsid w:val="00125CE1"/>
    <w:rsid w:val="001373A5"/>
    <w:rsid w:val="002A3A91"/>
    <w:rsid w:val="002D3E50"/>
    <w:rsid w:val="0035434B"/>
    <w:rsid w:val="00356F45"/>
    <w:rsid w:val="00394152"/>
    <w:rsid w:val="003A43D9"/>
    <w:rsid w:val="003B11A0"/>
    <w:rsid w:val="00463DE1"/>
    <w:rsid w:val="004B290A"/>
    <w:rsid w:val="004D58FD"/>
    <w:rsid w:val="004E2578"/>
    <w:rsid w:val="00526A64"/>
    <w:rsid w:val="005C1B35"/>
    <w:rsid w:val="005C1B7C"/>
    <w:rsid w:val="005E2731"/>
    <w:rsid w:val="00607EFC"/>
    <w:rsid w:val="00613CF3"/>
    <w:rsid w:val="006328F4"/>
    <w:rsid w:val="006C73E5"/>
    <w:rsid w:val="006D629C"/>
    <w:rsid w:val="00774740"/>
    <w:rsid w:val="007B377A"/>
    <w:rsid w:val="007C5D85"/>
    <w:rsid w:val="008562C5"/>
    <w:rsid w:val="008D4940"/>
    <w:rsid w:val="008E7BB5"/>
    <w:rsid w:val="00920859"/>
    <w:rsid w:val="00936668"/>
    <w:rsid w:val="00941271"/>
    <w:rsid w:val="00980FB9"/>
    <w:rsid w:val="009C193F"/>
    <w:rsid w:val="009C3252"/>
    <w:rsid w:val="009C6B6C"/>
    <w:rsid w:val="00A16DB9"/>
    <w:rsid w:val="00A17AF2"/>
    <w:rsid w:val="00A342D2"/>
    <w:rsid w:val="00AB29B9"/>
    <w:rsid w:val="00AE2ECB"/>
    <w:rsid w:val="00B83708"/>
    <w:rsid w:val="00B94E8D"/>
    <w:rsid w:val="00B9756A"/>
    <w:rsid w:val="00BC1C1B"/>
    <w:rsid w:val="00C40088"/>
    <w:rsid w:val="00CE5034"/>
    <w:rsid w:val="00D976FA"/>
    <w:rsid w:val="00DA7BE7"/>
    <w:rsid w:val="00DC1AAF"/>
    <w:rsid w:val="00DF002A"/>
    <w:rsid w:val="00E20377"/>
    <w:rsid w:val="00E4165F"/>
    <w:rsid w:val="00E6791A"/>
    <w:rsid w:val="00E8015B"/>
    <w:rsid w:val="00EA6F6E"/>
    <w:rsid w:val="00EB370E"/>
    <w:rsid w:val="00EC2A9E"/>
    <w:rsid w:val="00EC2C9C"/>
    <w:rsid w:val="00F52A90"/>
    <w:rsid w:val="00F876F1"/>
    <w:rsid w:val="00FD57D4"/>
    <w:rsid w:val="00FE1634"/>
    <w:rsid w:val="00FE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E60B"/>
  <w15:chartTrackingRefBased/>
  <w15:docId w15:val="{F4F9DB99-2C2C-40E5-B087-D078F319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List Paragraph1"/>
    <w:basedOn w:val="Normal"/>
    <w:link w:val="ListParagraphChar"/>
    <w:uiPriority w:val="34"/>
    <w:qFormat/>
    <w:rsid w:val="00BC1C1B"/>
    <w:pPr>
      <w:spacing w:after="0" w:line="240" w:lineRule="auto"/>
      <w:ind w:left="720" w:firstLine="360"/>
      <w:contextualSpacing/>
    </w:pPr>
    <w:rPr>
      <w:rFonts w:ascii="Calibri" w:eastAsia="Times New Roman" w:hAnsi="Calibri" w:cs="Times New Roman"/>
      <w:lang w:val="fr-FR" w:bidi="en-US"/>
    </w:rPr>
  </w:style>
  <w:style w:type="character" w:customStyle="1" w:styleId="ListParagraphChar">
    <w:name w:val="List Paragraph Char"/>
    <w:aliases w:val="References Char,Paragraphe de liste1 Char,List Paragraph1 Char"/>
    <w:link w:val="ListParagraph"/>
    <w:uiPriority w:val="34"/>
    <w:rsid w:val="00BC1C1B"/>
    <w:rPr>
      <w:rFonts w:ascii="Calibri" w:eastAsia="Times New Roman" w:hAnsi="Calibri" w:cs="Times New Roman"/>
      <w:lang w:bidi="en-US"/>
    </w:rPr>
  </w:style>
  <w:style w:type="paragraph" w:styleId="NoSpacing">
    <w:name w:val="No Spacing"/>
    <w:uiPriority w:val="1"/>
    <w:qFormat/>
    <w:rsid w:val="00FE1634"/>
    <w:pPr>
      <w:spacing w:after="0" w:line="240" w:lineRule="auto"/>
    </w:pPr>
  </w:style>
  <w:style w:type="paragraph" w:customStyle="1" w:styleId="Default">
    <w:name w:val="Default"/>
    <w:rsid w:val="00A16DB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99065">
      <w:bodyDiv w:val="1"/>
      <w:marLeft w:val="0"/>
      <w:marRight w:val="0"/>
      <w:marTop w:val="0"/>
      <w:marBottom w:val="0"/>
      <w:divBdr>
        <w:top w:val="none" w:sz="0" w:space="0" w:color="auto"/>
        <w:left w:val="none" w:sz="0" w:space="0" w:color="auto"/>
        <w:bottom w:val="none" w:sz="0" w:space="0" w:color="auto"/>
        <w:right w:val="none" w:sz="0" w:space="0" w:color="auto"/>
      </w:divBdr>
    </w:div>
    <w:div w:id="19199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918</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pascalbonimy@hotmail.com</dc:creator>
  <cp:keywords/>
  <dc:description/>
  <cp:lastModifiedBy>SY KAGNASSY, Dado</cp:lastModifiedBy>
  <cp:revision>5</cp:revision>
  <dcterms:created xsi:type="dcterms:W3CDTF">2019-02-08T12:58:00Z</dcterms:created>
  <dcterms:modified xsi:type="dcterms:W3CDTF">2019-02-17T15:13:00Z</dcterms:modified>
</cp:coreProperties>
</file>