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FD6D1" w14:textId="77777777" w:rsidR="00FE2B19" w:rsidRPr="005B52BA" w:rsidRDefault="00FE2B19" w:rsidP="00FE2B19">
      <w:pPr>
        <w:autoSpaceDE w:val="0"/>
        <w:autoSpaceDN w:val="0"/>
        <w:adjustRightInd w:val="0"/>
        <w:jc w:val="both"/>
        <w:rPr>
          <w:rFonts w:ascii="Calibri" w:hAnsi="Calibri" w:cs="Arial"/>
          <w:b/>
          <w:noProof/>
        </w:rPr>
      </w:pPr>
      <w:r>
        <w:rPr>
          <w:noProof/>
        </w:rPr>
        <mc:AlternateContent>
          <mc:Choice Requires="wps">
            <w:drawing>
              <wp:anchor distT="0" distB="0" distL="114300" distR="114300" simplePos="0" relativeHeight="251675648" behindDoc="0" locked="0" layoutInCell="1" allowOverlap="1" wp14:anchorId="7F752419" wp14:editId="2AE31432">
                <wp:simplePos x="0" y="0"/>
                <wp:positionH relativeFrom="column">
                  <wp:posOffset>2449830</wp:posOffset>
                </wp:positionH>
                <wp:positionV relativeFrom="paragraph">
                  <wp:posOffset>208915</wp:posOffset>
                </wp:positionV>
                <wp:extent cx="1028700" cy="1000125"/>
                <wp:effectExtent l="0" t="0" r="0" b="9525"/>
                <wp:wrapNone/>
                <wp:docPr id="10" name="Zone de texte 10"/>
                <wp:cNvGraphicFramePr/>
                <a:graphic xmlns:a="http://schemas.openxmlformats.org/drawingml/2006/main">
                  <a:graphicData uri="http://schemas.microsoft.com/office/word/2010/wordprocessingShape">
                    <wps:wsp>
                      <wps:cNvSpPr txBox="1"/>
                      <wps:spPr>
                        <a:xfrm>
                          <a:off x="0" y="0"/>
                          <a:ext cx="102870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22B21" w14:textId="77777777" w:rsidR="00240456" w:rsidRDefault="00240456" w:rsidP="00FE2B19">
                            <w:r w:rsidRPr="00722368">
                              <w:rPr>
                                <w:noProof/>
                              </w:rPr>
                              <w:drawing>
                                <wp:inline distT="0" distB="0" distL="0" distR="0" wp14:anchorId="701E9B45" wp14:editId="6137AB83">
                                  <wp:extent cx="890905" cy="895350"/>
                                  <wp:effectExtent l="0" t="0" r="4445" b="0"/>
                                  <wp:docPr id="112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905" cy="895350"/>
                                          </a:xfrm>
                                          <a:prstGeom prst="rect">
                                            <a:avLst/>
                                          </a:prstGeom>
                                          <a:gradFill rotWithShape="0">
                                            <a:gsLst>
                                              <a:gs pos="0">
                                                <a:srgbClr val="FFFFFF"/>
                                              </a:gs>
                                              <a:gs pos="100000">
                                                <a:srgbClr val="D6E3BC"/>
                                              </a:gs>
                                            </a:gsLst>
                                            <a:lin ang="5400000" scaled="1"/>
                                          </a:grad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52419" id="_x0000_t202" coordsize="21600,21600" o:spt="202" path="m,l,21600r21600,l21600,xe">
                <v:stroke joinstyle="miter"/>
                <v:path gradientshapeok="t" o:connecttype="rect"/>
              </v:shapetype>
              <v:shape id="Zone de texte 10" o:spid="_x0000_s1026" type="#_x0000_t202" style="position:absolute;left:0;text-align:left;margin-left:192.9pt;margin-top:16.45pt;width:81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" fillcolor="white [3201]" stroked="f" strokeweight=".5pt">
                <v:textbox>
                  <w:txbxContent>
                    <w:p w14:paraId="62222B21" w14:textId="77777777" w:rsidR="00240456" w:rsidRDefault="00240456" w:rsidP="00FE2B19">
                      <w:r w:rsidRPr="00722368">
                        <w:rPr>
                          <w:noProof/>
                        </w:rPr>
                        <w:drawing>
                          <wp:inline distT="0" distB="0" distL="0" distR="0" wp14:anchorId="701E9B45" wp14:editId="6137AB83">
                            <wp:extent cx="890905" cy="895350"/>
                            <wp:effectExtent l="0" t="0" r="4445" b="0"/>
                            <wp:docPr id="112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905" cy="895350"/>
                                    </a:xfrm>
                                    <a:prstGeom prst="rect">
                                      <a:avLst/>
                                    </a:prstGeom>
                                    <a:gradFill rotWithShape="0">
                                      <a:gsLst>
                                        <a:gs pos="0">
                                          <a:srgbClr val="FFFFFF"/>
                                        </a:gs>
                                        <a:gs pos="100000">
                                          <a:srgbClr val="D6E3BC"/>
                                        </a:gs>
                                      </a:gsLst>
                                      <a:lin ang="5400000" scaled="1"/>
                                    </a:gradFill>
                                    <a:ln>
                                      <a:noFill/>
                                    </a:ln>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5739C18" wp14:editId="648A95EF">
                <wp:simplePos x="0" y="0"/>
                <wp:positionH relativeFrom="column">
                  <wp:posOffset>5564505</wp:posOffset>
                </wp:positionH>
                <wp:positionV relativeFrom="paragraph">
                  <wp:posOffset>208915</wp:posOffset>
                </wp:positionV>
                <wp:extent cx="942975" cy="904875"/>
                <wp:effectExtent l="0" t="0" r="9525" b="9525"/>
                <wp:wrapNone/>
                <wp:docPr id="11" name="Zone de texte 11"/>
                <wp:cNvGraphicFramePr/>
                <a:graphic xmlns:a="http://schemas.openxmlformats.org/drawingml/2006/main">
                  <a:graphicData uri="http://schemas.microsoft.com/office/word/2010/wordprocessingShape">
                    <wps:wsp>
                      <wps:cNvSpPr txBox="1"/>
                      <wps:spPr>
                        <a:xfrm>
                          <a:off x="0" y="0"/>
                          <a:ext cx="94297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BADC3" w14:textId="77777777" w:rsidR="00240456" w:rsidRDefault="00240456" w:rsidP="00FE2B19">
                            <w:r w:rsidRPr="00722368">
                              <w:rPr>
                                <w:noProof/>
                              </w:rPr>
                              <w:drawing>
                                <wp:inline distT="0" distB="0" distL="0" distR="0" wp14:anchorId="522CBB08" wp14:editId="19100411">
                                  <wp:extent cx="692161" cy="698128"/>
                                  <wp:effectExtent l="0" t="0" r="0" b="6985"/>
                                  <wp:docPr id="11270" name="Image 1" descr="Description : C:\Users\Hilal\Desktop\LOGO CN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Image 1" descr="Description : C:\Users\Hilal\Desktop\LOGO CNL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61" cy="6981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39C18" id="Zone de texte 11" o:spid="_x0000_s1027" type="#_x0000_t202" style="position:absolute;left:0;text-align:left;margin-left:438.15pt;margin-top:16.45pt;width:74.25pt;height:7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" fillcolor="white [3201]" stroked="f" strokeweight=".5pt">
                <v:textbox>
                  <w:txbxContent>
                    <w:p w14:paraId="2FBBADC3" w14:textId="77777777" w:rsidR="00240456" w:rsidRDefault="00240456" w:rsidP="00FE2B19">
                      <w:r w:rsidRPr="00722368">
                        <w:rPr>
                          <w:noProof/>
                        </w:rPr>
                        <w:drawing>
                          <wp:inline distT="0" distB="0" distL="0" distR="0" wp14:anchorId="522CBB08" wp14:editId="19100411">
                            <wp:extent cx="692161" cy="698128"/>
                            <wp:effectExtent l="0" t="0" r="0" b="6985"/>
                            <wp:docPr id="11270" name="Image 1" descr="Description : C:\Users\Hilal\Desktop\LOGO CN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Image 1" descr="Description : C:\Users\Hilal\Desktop\LOGO CNL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61" cy="69812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txbxContent>
                </v:textbox>
              </v:shape>
            </w:pict>
          </mc:Fallback>
        </mc:AlternateContent>
      </w:r>
      <w:r>
        <w:rPr>
          <w:noProof/>
        </w:rPr>
        <w:drawing>
          <wp:anchor distT="0" distB="0" distL="114300" distR="114300" simplePos="0" relativeHeight="251674624" behindDoc="1" locked="0" layoutInCell="1" allowOverlap="1" wp14:anchorId="368ECA68" wp14:editId="33A6CE83">
            <wp:simplePos x="0" y="0"/>
            <wp:positionH relativeFrom="column">
              <wp:posOffset>-666750</wp:posOffset>
            </wp:positionH>
            <wp:positionV relativeFrom="paragraph">
              <wp:posOffset>-781050</wp:posOffset>
            </wp:positionV>
            <wp:extent cx="2912400" cy="10692000"/>
            <wp:effectExtent l="0" t="0" r="254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Techno_01.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2912400" cy="1069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b/>
          <w:noProof/>
        </w:rPr>
        <w:br w:type="textWrapping" w:clear="all"/>
      </w:r>
    </w:p>
    <w:p w14:paraId="0650DD55" w14:textId="77777777" w:rsidR="00FE2B19" w:rsidRPr="005B52BA" w:rsidRDefault="00FE2B19" w:rsidP="00FE2B19">
      <w:pPr>
        <w:autoSpaceDE w:val="0"/>
        <w:autoSpaceDN w:val="0"/>
        <w:adjustRightInd w:val="0"/>
        <w:jc w:val="both"/>
        <w:rPr>
          <w:rFonts w:ascii="Calibri" w:hAnsi="Calibri" w:cs="Arial"/>
          <w:b/>
          <w:noProof/>
        </w:rPr>
      </w:pPr>
    </w:p>
    <w:p w14:paraId="6747AB57" w14:textId="77777777" w:rsidR="00FE2B19" w:rsidRPr="005B52BA" w:rsidRDefault="00FE2B19" w:rsidP="00FE2B19">
      <w:pPr>
        <w:autoSpaceDE w:val="0"/>
        <w:autoSpaceDN w:val="0"/>
        <w:adjustRightInd w:val="0"/>
        <w:jc w:val="both"/>
        <w:rPr>
          <w:rFonts w:ascii="Calibri" w:hAnsi="Calibri" w:cs="Arial"/>
          <w:b/>
          <w:noProof/>
        </w:rPr>
      </w:pPr>
    </w:p>
    <w:p w14:paraId="438521EA" w14:textId="77777777" w:rsidR="00FE2B19" w:rsidRPr="005B52BA" w:rsidRDefault="00FE2B19" w:rsidP="00FE2B19">
      <w:pPr>
        <w:autoSpaceDE w:val="0"/>
        <w:autoSpaceDN w:val="0"/>
        <w:adjustRightInd w:val="0"/>
        <w:jc w:val="both"/>
        <w:rPr>
          <w:rFonts w:ascii="Calibri" w:hAnsi="Calibri" w:cs="Arial"/>
          <w:b/>
          <w:noProof/>
        </w:rPr>
      </w:pPr>
      <w:r>
        <w:rPr>
          <w:rFonts w:ascii="Calibri" w:hAnsi="Calibri" w:cs="Arial"/>
          <w:b/>
          <w:noProof/>
        </w:rPr>
        <mc:AlternateContent>
          <mc:Choice Requires="wps">
            <w:drawing>
              <wp:anchor distT="0" distB="0" distL="114300" distR="114300" simplePos="0" relativeHeight="251678720" behindDoc="0" locked="0" layoutInCell="1" allowOverlap="1" wp14:anchorId="23FAF4E5" wp14:editId="214D4584">
                <wp:simplePos x="0" y="0"/>
                <wp:positionH relativeFrom="column">
                  <wp:posOffset>3592830</wp:posOffset>
                </wp:positionH>
                <wp:positionV relativeFrom="paragraph">
                  <wp:posOffset>74295</wp:posOffset>
                </wp:positionV>
                <wp:extent cx="1857375" cy="390525"/>
                <wp:effectExtent l="0" t="0" r="9525" b="9525"/>
                <wp:wrapNone/>
                <wp:docPr id="66" name="Zone de texte 66"/>
                <wp:cNvGraphicFramePr/>
                <a:graphic xmlns:a="http://schemas.openxmlformats.org/drawingml/2006/main">
                  <a:graphicData uri="http://schemas.microsoft.com/office/word/2010/wordprocessingShape">
                    <wps:wsp>
                      <wps:cNvSpPr txBox="1"/>
                      <wps:spPr>
                        <a:xfrm>
                          <a:off x="0" y="0"/>
                          <a:ext cx="18573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8B1B5" w14:textId="77777777" w:rsidR="00240456" w:rsidRPr="0012439A" w:rsidRDefault="00240456" w:rsidP="00FE2B19">
                            <w:pPr>
                              <w:rPr>
                                <w:rFonts w:ascii="Tahoma" w:hAnsi="Tahoma"/>
                                <w:b/>
                                <w:color w:val="2F5496" w:themeColor="accent5" w:themeShade="BF"/>
                              </w:rPr>
                            </w:pPr>
                            <w:r w:rsidRPr="0012439A">
                              <w:rPr>
                                <w:rFonts w:ascii="Tahoma" w:hAnsi="Tahoma"/>
                                <w:b/>
                                <w:color w:val="2F5496" w:themeColor="accent5" w:themeShade="BF"/>
                              </w:rPr>
                              <w:t>PRIMATURE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AF4E5" id="Zone de texte 66" o:spid="_x0000_s1028" type="#_x0000_t202" style="position:absolute;left:0;text-align:left;margin-left:282.9pt;margin-top:5.85pt;width:146.25pt;height:3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" fillcolor="white [3201]" stroked="f" strokeweight=".5pt">
                <v:textbox>
                  <w:txbxContent>
                    <w:p w14:paraId="1678B1B5" w14:textId="77777777" w:rsidR="00240456" w:rsidRPr="0012439A" w:rsidRDefault="00240456" w:rsidP="00FE2B19">
                      <w:pPr>
                        <w:rPr>
                          <w:rFonts w:ascii="Tahoma" w:hAnsi="Tahoma"/>
                          <w:b/>
                          <w:color w:val="2F5496" w:themeColor="accent5" w:themeShade="BF"/>
                        </w:rPr>
                      </w:pPr>
                      <w:r w:rsidRPr="0012439A">
                        <w:rPr>
                          <w:rFonts w:ascii="Tahoma" w:hAnsi="Tahoma"/>
                          <w:b/>
                          <w:color w:val="2F5496" w:themeColor="accent5" w:themeShade="BF"/>
                        </w:rPr>
                        <w:t>PRIMATURE</w:t>
                      </w:r>
                    </w:p>
                  </w:txbxContent>
                </v:textbox>
              </v:shape>
            </w:pict>
          </mc:Fallback>
        </mc:AlternateContent>
      </w:r>
    </w:p>
    <w:p w14:paraId="6572EAC4" w14:textId="77777777" w:rsidR="00FE2B19" w:rsidRPr="005B52BA" w:rsidRDefault="00FE2B19" w:rsidP="00FE2B19">
      <w:pPr>
        <w:autoSpaceDE w:val="0"/>
        <w:autoSpaceDN w:val="0"/>
        <w:adjustRightInd w:val="0"/>
        <w:jc w:val="both"/>
        <w:rPr>
          <w:rFonts w:ascii="Calibri" w:hAnsi="Calibri" w:cs="Arial"/>
          <w:b/>
          <w:noProof/>
        </w:rPr>
      </w:pPr>
    </w:p>
    <w:p w14:paraId="04A55C77" w14:textId="77777777" w:rsidR="00FE2B19" w:rsidRPr="005B52BA" w:rsidRDefault="00FE2B19" w:rsidP="00FE2B19">
      <w:pPr>
        <w:autoSpaceDE w:val="0"/>
        <w:autoSpaceDN w:val="0"/>
        <w:adjustRightInd w:val="0"/>
        <w:jc w:val="both"/>
        <w:rPr>
          <w:rFonts w:ascii="Calibri" w:hAnsi="Calibri" w:cs="Arial"/>
          <w:b/>
          <w:noProof/>
        </w:rPr>
      </w:pPr>
    </w:p>
    <w:p w14:paraId="56D8ECFD" w14:textId="77777777" w:rsidR="00FE2B19" w:rsidRPr="005B52BA" w:rsidRDefault="00FE2B19" w:rsidP="00FE2B19">
      <w:pPr>
        <w:autoSpaceDE w:val="0"/>
        <w:autoSpaceDN w:val="0"/>
        <w:adjustRightInd w:val="0"/>
        <w:jc w:val="both"/>
        <w:rPr>
          <w:rFonts w:ascii="Calibri" w:hAnsi="Calibri" w:cs="Arial"/>
          <w:b/>
          <w:noProof/>
        </w:rPr>
      </w:pPr>
      <w:r>
        <w:rPr>
          <w:rFonts w:ascii="Calibri" w:hAnsi="Calibri" w:cs="Arial"/>
          <w:b/>
          <w:noProof/>
        </w:rPr>
        <mc:AlternateContent>
          <mc:Choice Requires="wps">
            <w:drawing>
              <wp:anchor distT="0" distB="0" distL="114300" distR="114300" simplePos="0" relativeHeight="251677696" behindDoc="0" locked="0" layoutInCell="1" allowOverlap="1" wp14:anchorId="082B97DB" wp14:editId="2C70AF32">
                <wp:simplePos x="0" y="0"/>
                <wp:positionH relativeFrom="column">
                  <wp:posOffset>2726055</wp:posOffset>
                </wp:positionH>
                <wp:positionV relativeFrom="paragraph">
                  <wp:posOffset>11431</wp:posOffset>
                </wp:positionV>
                <wp:extent cx="3981450" cy="5524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9814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E24D7" w14:textId="4A6F4FD4" w:rsidR="00240456" w:rsidRPr="0012439A" w:rsidRDefault="00240456" w:rsidP="00FE2B19">
                            <w:pPr>
                              <w:jc w:val="center"/>
                              <w:rPr>
                                <w:rFonts w:ascii="Tahoma" w:hAnsi="Tahoma" w:cs="Tahoma"/>
                                <w:b/>
                                <w:color w:val="2F5496" w:themeColor="accent5" w:themeShade="BF"/>
                              </w:rPr>
                            </w:pPr>
                            <w:r w:rsidRPr="0012439A">
                              <w:rPr>
                                <w:rFonts w:ascii="Tahoma" w:hAnsi="Tahoma" w:cs="Tahoma"/>
                                <w:b/>
                                <w:color w:val="2F5496" w:themeColor="accent5" w:themeShade="BF"/>
                              </w:rPr>
                              <w:t xml:space="preserve">COMITE NATIONAL DE LUTTE CONTRE LE </w:t>
                            </w:r>
                            <w:r>
                              <w:rPr>
                                <w:rFonts w:ascii="Tahoma" w:hAnsi="Tahoma" w:cs="Tahoma"/>
                                <w:b/>
                                <w:color w:val="2F5496" w:themeColor="accent5" w:themeShade="BF"/>
                              </w:rPr>
                              <w:t>sida</w:t>
                            </w:r>
                          </w:p>
                          <w:p w14:paraId="23C81098" w14:textId="77777777" w:rsidR="00240456" w:rsidRPr="0012439A" w:rsidRDefault="00240456" w:rsidP="00FE2B19">
                            <w:pPr>
                              <w:jc w:val="center"/>
                              <w:rPr>
                                <w:rFonts w:ascii="Tahoma" w:hAnsi="Tahoma" w:cs="Tahoma"/>
                                <w:b/>
                                <w:color w:val="2F5496" w:themeColor="accent5" w:themeShade="BF"/>
                              </w:rPr>
                            </w:pPr>
                            <w:r w:rsidRPr="0012439A">
                              <w:rPr>
                                <w:rFonts w:ascii="Tahoma" w:hAnsi="Tahoma" w:cs="Tahoma"/>
                                <w:b/>
                                <w:color w:val="2F5496" w:themeColor="accent5" w:themeShade="BF"/>
                              </w:rPr>
                              <w:t>SECRETARIAT EXECUTIF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B97DB" id="Zone de texte 20" o:spid="_x0000_s1029" type="#_x0000_t202" style="position:absolute;left:0;text-align:left;margin-left:214.65pt;margin-top:.9pt;width:313.5pt;height:4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" fillcolor="white [3201]" stroked="f" strokeweight=".5pt">
                <v:textbox>
                  <w:txbxContent>
                    <w:p w14:paraId="30AE24D7" w14:textId="4A6F4FD4" w:rsidR="00240456" w:rsidRPr="0012439A" w:rsidRDefault="00240456" w:rsidP="00FE2B19">
                      <w:pPr>
                        <w:jc w:val="center"/>
                        <w:rPr>
                          <w:rFonts w:ascii="Tahoma" w:hAnsi="Tahoma" w:cs="Tahoma"/>
                          <w:b/>
                          <w:color w:val="2F5496" w:themeColor="accent5" w:themeShade="BF"/>
                        </w:rPr>
                      </w:pPr>
                      <w:r w:rsidRPr="0012439A">
                        <w:rPr>
                          <w:rFonts w:ascii="Tahoma" w:hAnsi="Tahoma" w:cs="Tahoma"/>
                          <w:b/>
                          <w:color w:val="2F5496" w:themeColor="accent5" w:themeShade="BF"/>
                        </w:rPr>
                        <w:t xml:space="preserve">COMITE NATIONAL DE LUTTE CONTRE LE </w:t>
                      </w:r>
                      <w:r>
                        <w:rPr>
                          <w:rFonts w:ascii="Tahoma" w:hAnsi="Tahoma" w:cs="Tahoma"/>
                          <w:b/>
                          <w:color w:val="2F5496" w:themeColor="accent5" w:themeShade="BF"/>
                        </w:rPr>
                        <w:t>sida</w:t>
                      </w:r>
                    </w:p>
                    <w:p w14:paraId="23C81098" w14:textId="77777777" w:rsidR="00240456" w:rsidRPr="0012439A" w:rsidRDefault="00240456" w:rsidP="00FE2B19">
                      <w:pPr>
                        <w:jc w:val="center"/>
                        <w:rPr>
                          <w:rFonts w:ascii="Tahoma" w:hAnsi="Tahoma" w:cs="Tahoma"/>
                          <w:b/>
                          <w:color w:val="2F5496" w:themeColor="accent5" w:themeShade="BF"/>
                        </w:rPr>
                      </w:pPr>
                      <w:r w:rsidRPr="0012439A">
                        <w:rPr>
                          <w:rFonts w:ascii="Tahoma" w:hAnsi="Tahoma" w:cs="Tahoma"/>
                          <w:b/>
                          <w:color w:val="2F5496" w:themeColor="accent5" w:themeShade="BF"/>
                        </w:rPr>
                        <w:t>SECRETARIAT EXECUTIF</w:t>
                      </w:r>
                    </w:p>
                  </w:txbxContent>
                </v:textbox>
              </v:shape>
            </w:pict>
          </mc:Fallback>
        </mc:AlternateContent>
      </w:r>
    </w:p>
    <w:p w14:paraId="5B0882BF" w14:textId="77777777" w:rsidR="00FE2B19" w:rsidRPr="005B52BA" w:rsidRDefault="00FE2B19" w:rsidP="00FE2B19">
      <w:pPr>
        <w:autoSpaceDE w:val="0"/>
        <w:autoSpaceDN w:val="0"/>
        <w:adjustRightInd w:val="0"/>
        <w:jc w:val="both"/>
        <w:rPr>
          <w:rFonts w:ascii="Calibri" w:hAnsi="Calibri" w:cs="Arial"/>
          <w:b/>
          <w:noProof/>
        </w:rPr>
      </w:pPr>
    </w:p>
    <w:p w14:paraId="708CB53F" w14:textId="77777777" w:rsidR="00FE2B19" w:rsidRPr="005B52BA" w:rsidRDefault="00FE2B19" w:rsidP="00FE2B19">
      <w:pPr>
        <w:autoSpaceDE w:val="0"/>
        <w:autoSpaceDN w:val="0"/>
        <w:adjustRightInd w:val="0"/>
        <w:jc w:val="both"/>
        <w:rPr>
          <w:rFonts w:ascii="Calibri" w:hAnsi="Calibri" w:cs="Arial"/>
          <w:b/>
          <w:noProof/>
        </w:rPr>
      </w:pPr>
    </w:p>
    <w:p w14:paraId="61122640" w14:textId="77777777" w:rsidR="00FE2B19" w:rsidRPr="005B52BA" w:rsidRDefault="00FE2B19" w:rsidP="00FE2B19">
      <w:pPr>
        <w:autoSpaceDE w:val="0"/>
        <w:autoSpaceDN w:val="0"/>
        <w:adjustRightInd w:val="0"/>
        <w:jc w:val="both"/>
        <w:rPr>
          <w:rFonts w:ascii="Calibri" w:hAnsi="Calibri" w:cs="Arial"/>
          <w:b/>
          <w:noProof/>
        </w:rPr>
      </w:pPr>
    </w:p>
    <w:p w14:paraId="1052428A" w14:textId="77777777" w:rsidR="00FE2B19" w:rsidRPr="005B52BA" w:rsidRDefault="00FE2B19" w:rsidP="00FE2B19">
      <w:pPr>
        <w:autoSpaceDE w:val="0"/>
        <w:autoSpaceDN w:val="0"/>
        <w:adjustRightInd w:val="0"/>
        <w:jc w:val="both"/>
        <w:rPr>
          <w:rFonts w:ascii="Calibri" w:hAnsi="Calibri" w:cs="Arial"/>
          <w:b/>
          <w:noProof/>
        </w:rPr>
      </w:pPr>
    </w:p>
    <w:p w14:paraId="3ECF6114" w14:textId="77777777" w:rsidR="00FE2B19" w:rsidRPr="005B52BA" w:rsidRDefault="00FE2B19" w:rsidP="00FE2B19">
      <w:pPr>
        <w:autoSpaceDE w:val="0"/>
        <w:autoSpaceDN w:val="0"/>
        <w:adjustRightInd w:val="0"/>
        <w:jc w:val="both"/>
        <w:rPr>
          <w:rFonts w:ascii="Calibri" w:hAnsi="Calibri" w:cs="Arial"/>
          <w:b/>
          <w:noProof/>
        </w:rPr>
      </w:pPr>
      <w:r>
        <w:rPr>
          <w:rFonts w:ascii="Calibri" w:hAnsi="Calibri" w:cs="Arial"/>
          <w:b/>
          <w:noProof/>
        </w:rPr>
        <mc:AlternateContent>
          <mc:Choice Requires="wps">
            <w:drawing>
              <wp:anchor distT="0" distB="0" distL="114300" distR="114300" simplePos="0" relativeHeight="251680768" behindDoc="0" locked="0" layoutInCell="1" allowOverlap="1" wp14:anchorId="0037B1DB" wp14:editId="79FDED9F">
                <wp:simplePos x="0" y="0"/>
                <wp:positionH relativeFrom="column">
                  <wp:posOffset>2440305</wp:posOffset>
                </wp:positionH>
                <wp:positionV relativeFrom="paragraph">
                  <wp:posOffset>186055</wp:posOffset>
                </wp:positionV>
                <wp:extent cx="4029075" cy="2314575"/>
                <wp:effectExtent l="76200" t="76200" r="104775" b="104775"/>
                <wp:wrapNone/>
                <wp:docPr id="73" name="Parchemin horizontal 73"/>
                <wp:cNvGraphicFramePr/>
                <a:graphic xmlns:a="http://schemas.openxmlformats.org/drawingml/2006/main">
                  <a:graphicData uri="http://schemas.microsoft.com/office/word/2010/wordprocessingShape">
                    <wps:wsp>
                      <wps:cNvSpPr/>
                      <wps:spPr>
                        <a:xfrm>
                          <a:off x="0" y="0"/>
                          <a:ext cx="4029075" cy="2314575"/>
                        </a:xfrm>
                        <a:prstGeom prst="horizontalScroll">
                          <a:avLst/>
                        </a:prstGeom>
                        <a:effectLst>
                          <a:glow rad="63500">
                            <a:schemeClr val="accent1">
                              <a:satMod val="175000"/>
                              <a:alpha val="40000"/>
                            </a:schemeClr>
                          </a:glow>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281F0A" w14:textId="2819610B" w:rsidR="00240456" w:rsidRPr="0012439A" w:rsidRDefault="00240456" w:rsidP="00FE2B19">
                            <w:pPr>
                              <w:jc w:val="center"/>
                              <w:rPr>
                                <w:rFonts w:ascii="Arial Black" w:hAnsi="Arial Black" w:cs="Lucida Sans Unicode"/>
                                <w:color w:val="FF0000"/>
                                <w:sz w:val="40"/>
                                <w:szCs w:val="40"/>
                              </w:rPr>
                            </w:pPr>
                            <w:r w:rsidRPr="0012439A">
                              <w:rPr>
                                <w:rFonts w:ascii="Arial Black" w:hAnsi="Arial Black" w:cs="Lucida Sans Unicode"/>
                                <w:color w:val="FF0000"/>
                                <w:sz w:val="40"/>
                                <w:szCs w:val="40"/>
                              </w:rPr>
                              <w:t xml:space="preserve">CADRE STRATEGIQUE NATIONAL DE LUTTE CONTRE LE </w:t>
                            </w:r>
                            <w:r>
                              <w:rPr>
                                <w:rFonts w:ascii="Arial Black" w:hAnsi="Arial Black" w:cs="Lucida Sans Unicode"/>
                                <w:color w:val="FF0000"/>
                                <w:sz w:val="40"/>
                                <w:szCs w:val="40"/>
                              </w:rPr>
                              <w:t>sida</w:t>
                            </w:r>
                            <w:r w:rsidRPr="0012439A">
                              <w:rPr>
                                <w:rFonts w:ascii="Arial Black" w:hAnsi="Arial Black" w:cs="Lucida Sans Unicode"/>
                                <w:color w:val="FF0000"/>
                                <w:sz w:val="40"/>
                                <w:szCs w:val="40"/>
                              </w:rPr>
                              <w:t xml:space="preserve"> </w:t>
                            </w:r>
                          </w:p>
                          <w:p w14:paraId="593BBF89" w14:textId="77777777" w:rsidR="00240456" w:rsidRPr="0012439A" w:rsidRDefault="00240456" w:rsidP="00FE2B19">
                            <w:pPr>
                              <w:jc w:val="center"/>
                              <w:rPr>
                                <w:rFonts w:ascii="Arial Black" w:hAnsi="Arial Black" w:cs="Lucida Sans Unicode"/>
                                <w:color w:val="FF0000"/>
                                <w:sz w:val="36"/>
                                <w:szCs w:val="36"/>
                              </w:rPr>
                            </w:pPr>
                            <w:r w:rsidRPr="0012439A">
                              <w:rPr>
                                <w:rFonts w:ascii="Arial Black" w:hAnsi="Arial Black" w:cs="Lucida Sans Unicode"/>
                                <w:color w:val="FF0000"/>
                                <w:sz w:val="40"/>
                                <w:szCs w:val="40"/>
                              </w:rPr>
                              <w:t>2018-2022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37B1D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73" o:spid="_x0000_s1030" type="#_x0000_t98" style="position:absolute;left:0;text-align:left;margin-left:192.15pt;margin-top:14.65pt;width:317.25pt;height:182.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" fillcolor="#5b9bd5 [3204]" strokecolor="#1f4d78 [1604]" strokeweight="1pt">
                <v:stroke joinstyle="miter"/>
                <v:textbox>
                  <w:txbxContent>
                    <w:p w14:paraId="77281F0A" w14:textId="2819610B" w:rsidR="00240456" w:rsidRPr="0012439A" w:rsidRDefault="00240456" w:rsidP="00FE2B19">
                      <w:pPr>
                        <w:jc w:val="center"/>
                        <w:rPr>
                          <w:rFonts w:ascii="Arial Black" w:hAnsi="Arial Black" w:cs="Lucida Sans Unicode"/>
                          <w:color w:val="FF0000"/>
                          <w:sz w:val="40"/>
                          <w:szCs w:val="40"/>
                        </w:rPr>
                      </w:pPr>
                      <w:r w:rsidRPr="0012439A">
                        <w:rPr>
                          <w:rFonts w:ascii="Arial Black" w:hAnsi="Arial Black" w:cs="Lucida Sans Unicode"/>
                          <w:color w:val="FF0000"/>
                          <w:sz w:val="40"/>
                          <w:szCs w:val="40"/>
                        </w:rPr>
                        <w:t xml:space="preserve">CADRE STRATEGIQUE NATIONAL DE LUTTE CONTRE LE </w:t>
                      </w:r>
                      <w:r>
                        <w:rPr>
                          <w:rFonts w:ascii="Arial Black" w:hAnsi="Arial Black" w:cs="Lucida Sans Unicode"/>
                          <w:color w:val="FF0000"/>
                          <w:sz w:val="40"/>
                          <w:szCs w:val="40"/>
                        </w:rPr>
                        <w:t>sida</w:t>
                      </w:r>
                      <w:r w:rsidRPr="0012439A">
                        <w:rPr>
                          <w:rFonts w:ascii="Arial Black" w:hAnsi="Arial Black" w:cs="Lucida Sans Unicode"/>
                          <w:color w:val="FF0000"/>
                          <w:sz w:val="40"/>
                          <w:szCs w:val="40"/>
                        </w:rPr>
                        <w:t xml:space="preserve"> </w:t>
                      </w:r>
                    </w:p>
                    <w:p w14:paraId="593BBF89" w14:textId="77777777" w:rsidR="00240456" w:rsidRPr="0012439A" w:rsidRDefault="00240456" w:rsidP="00FE2B19">
                      <w:pPr>
                        <w:jc w:val="center"/>
                        <w:rPr>
                          <w:rFonts w:ascii="Arial Black" w:hAnsi="Arial Black" w:cs="Lucida Sans Unicode"/>
                          <w:color w:val="FF0000"/>
                          <w:sz w:val="36"/>
                          <w:szCs w:val="36"/>
                        </w:rPr>
                      </w:pPr>
                      <w:r w:rsidRPr="0012439A">
                        <w:rPr>
                          <w:rFonts w:ascii="Arial Black" w:hAnsi="Arial Black" w:cs="Lucida Sans Unicode"/>
                          <w:color w:val="FF0000"/>
                          <w:sz w:val="40"/>
                          <w:szCs w:val="40"/>
                        </w:rPr>
                        <w:t>2018-2022</w:t>
                      </w:r>
                    </w:p>
                  </w:txbxContent>
                </v:textbox>
              </v:shape>
            </w:pict>
          </mc:Fallback>
        </mc:AlternateContent>
      </w:r>
    </w:p>
    <w:p w14:paraId="34CC17E7" w14:textId="77777777" w:rsidR="00FE2B19" w:rsidRPr="005B52BA" w:rsidRDefault="00FE2B19" w:rsidP="00FE2B19">
      <w:pPr>
        <w:autoSpaceDE w:val="0"/>
        <w:autoSpaceDN w:val="0"/>
        <w:adjustRightInd w:val="0"/>
        <w:jc w:val="both"/>
        <w:rPr>
          <w:rFonts w:ascii="Calibri" w:hAnsi="Calibri" w:cs="Arial"/>
          <w:b/>
          <w:noProof/>
        </w:rPr>
      </w:pPr>
    </w:p>
    <w:p w14:paraId="14BDD861" w14:textId="77777777" w:rsidR="00FE2B19" w:rsidRPr="005B52BA" w:rsidRDefault="00FE2B19" w:rsidP="00FE2B19">
      <w:pPr>
        <w:autoSpaceDE w:val="0"/>
        <w:autoSpaceDN w:val="0"/>
        <w:adjustRightInd w:val="0"/>
        <w:jc w:val="both"/>
        <w:rPr>
          <w:rFonts w:ascii="Calibri" w:hAnsi="Calibri" w:cs="Arial"/>
          <w:b/>
          <w:noProof/>
        </w:rPr>
      </w:pPr>
    </w:p>
    <w:p w14:paraId="5222C473" w14:textId="77777777" w:rsidR="00FE2B19" w:rsidRPr="005B52BA" w:rsidRDefault="00FE2B19" w:rsidP="00FE2B19">
      <w:pPr>
        <w:autoSpaceDE w:val="0"/>
        <w:autoSpaceDN w:val="0"/>
        <w:adjustRightInd w:val="0"/>
        <w:jc w:val="both"/>
        <w:rPr>
          <w:rFonts w:ascii="Calibri" w:hAnsi="Calibri" w:cs="Arial"/>
          <w:b/>
          <w:noProof/>
        </w:rPr>
      </w:pPr>
    </w:p>
    <w:p w14:paraId="1AD746FF" w14:textId="77777777" w:rsidR="00FE2B19" w:rsidRPr="005B52BA" w:rsidRDefault="00FE2B19" w:rsidP="00FE2B19">
      <w:pPr>
        <w:autoSpaceDE w:val="0"/>
        <w:autoSpaceDN w:val="0"/>
        <w:adjustRightInd w:val="0"/>
        <w:jc w:val="both"/>
        <w:rPr>
          <w:rFonts w:ascii="Calibri" w:hAnsi="Calibri" w:cs="Arial"/>
          <w:b/>
          <w:noProof/>
        </w:rPr>
      </w:pPr>
    </w:p>
    <w:p w14:paraId="4FCB6899" w14:textId="77777777" w:rsidR="00FE2B19" w:rsidRPr="005B52BA" w:rsidRDefault="00FE2B19" w:rsidP="00FE2B19">
      <w:pPr>
        <w:autoSpaceDE w:val="0"/>
        <w:autoSpaceDN w:val="0"/>
        <w:adjustRightInd w:val="0"/>
        <w:jc w:val="both"/>
        <w:rPr>
          <w:rFonts w:ascii="Calibri" w:hAnsi="Calibri" w:cs="Arial"/>
          <w:b/>
          <w:noProof/>
        </w:rPr>
      </w:pPr>
    </w:p>
    <w:p w14:paraId="497885C1" w14:textId="77777777" w:rsidR="00FE2B19" w:rsidRPr="005B52BA" w:rsidRDefault="00FE2B19" w:rsidP="00FE2B19">
      <w:pPr>
        <w:autoSpaceDE w:val="0"/>
        <w:autoSpaceDN w:val="0"/>
        <w:adjustRightInd w:val="0"/>
        <w:jc w:val="both"/>
        <w:rPr>
          <w:rFonts w:ascii="Calibri" w:hAnsi="Calibri" w:cs="Arial"/>
          <w:b/>
          <w:noProof/>
        </w:rPr>
      </w:pPr>
    </w:p>
    <w:p w14:paraId="2FB02497" w14:textId="77777777" w:rsidR="00FE2B19" w:rsidRPr="005B52BA" w:rsidRDefault="00FE2B19" w:rsidP="00FE2B19">
      <w:pPr>
        <w:autoSpaceDE w:val="0"/>
        <w:autoSpaceDN w:val="0"/>
        <w:adjustRightInd w:val="0"/>
        <w:jc w:val="both"/>
        <w:rPr>
          <w:rFonts w:ascii="Calibri" w:hAnsi="Calibri" w:cs="Arial"/>
          <w:b/>
          <w:noProof/>
        </w:rPr>
      </w:pPr>
    </w:p>
    <w:p w14:paraId="137888C7" w14:textId="77777777" w:rsidR="00FE2B19" w:rsidRPr="005B52BA" w:rsidRDefault="00FE2B19" w:rsidP="00FE2B19">
      <w:pPr>
        <w:autoSpaceDE w:val="0"/>
        <w:autoSpaceDN w:val="0"/>
        <w:adjustRightInd w:val="0"/>
        <w:jc w:val="both"/>
        <w:rPr>
          <w:rFonts w:ascii="Calibri" w:hAnsi="Calibri" w:cs="Arial"/>
          <w:b/>
          <w:noProof/>
        </w:rPr>
      </w:pPr>
    </w:p>
    <w:p w14:paraId="1223FE8E" w14:textId="77777777" w:rsidR="00FE2B19" w:rsidRPr="005B52BA" w:rsidRDefault="00FE2B19" w:rsidP="00FE2B19">
      <w:pPr>
        <w:autoSpaceDE w:val="0"/>
        <w:autoSpaceDN w:val="0"/>
        <w:adjustRightInd w:val="0"/>
        <w:jc w:val="both"/>
        <w:rPr>
          <w:rFonts w:ascii="Calibri" w:hAnsi="Calibri" w:cs="Arial"/>
          <w:b/>
          <w:noProof/>
        </w:rPr>
      </w:pPr>
    </w:p>
    <w:p w14:paraId="09E95346" w14:textId="77777777" w:rsidR="00FE2B19" w:rsidRPr="005B52BA" w:rsidRDefault="00FE2B19" w:rsidP="00FE2B19">
      <w:pPr>
        <w:autoSpaceDE w:val="0"/>
        <w:autoSpaceDN w:val="0"/>
        <w:adjustRightInd w:val="0"/>
        <w:jc w:val="both"/>
        <w:rPr>
          <w:rFonts w:ascii="Calibri" w:hAnsi="Calibri" w:cs="Arial"/>
          <w:b/>
          <w:noProof/>
        </w:rPr>
      </w:pPr>
    </w:p>
    <w:p w14:paraId="572C550F" w14:textId="77777777" w:rsidR="00FE2B19" w:rsidRPr="005B52BA" w:rsidRDefault="00FE2B19" w:rsidP="00FE2B19">
      <w:pPr>
        <w:autoSpaceDE w:val="0"/>
        <w:autoSpaceDN w:val="0"/>
        <w:adjustRightInd w:val="0"/>
        <w:jc w:val="both"/>
        <w:rPr>
          <w:rFonts w:ascii="Calibri" w:hAnsi="Calibri" w:cs="Arial"/>
          <w:b/>
          <w:noProof/>
        </w:rPr>
      </w:pPr>
    </w:p>
    <w:p w14:paraId="5AC7F5DE" w14:textId="77777777" w:rsidR="00FE2B19" w:rsidRPr="005B52BA" w:rsidRDefault="00FE2B19" w:rsidP="00FE2B19">
      <w:pPr>
        <w:autoSpaceDE w:val="0"/>
        <w:autoSpaceDN w:val="0"/>
        <w:adjustRightInd w:val="0"/>
        <w:jc w:val="both"/>
        <w:rPr>
          <w:rFonts w:ascii="Calibri" w:hAnsi="Calibri" w:cs="Arial"/>
          <w:b/>
          <w:noProof/>
        </w:rPr>
      </w:pPr>
    </w:p>
    <w:p w14:paraId="4430222F" w14:textId="77777777" w:rsidR="00FE2B19" w:rsidRPr="005B52BA" w:rsidRDefault="00FE2B19" w:rsidP="00FE2B19">
      <w:pPr>
        <w:autoSpaceDE w:val="0"/>
        <w:autoSpaceDN w:val="0"/>
        <w:adjustRightInd w:val="0"/>
        <w:jc w:val="both"/>
        <w:rPr>
          <w:rFonts w:ascii="Calibri" w:hAnsi="Calibri" w:cs="Arial"/>
          <w:b/>
          <w:noProof/>
        </w:rPr>
      </w:pPr>
      <w:r>
        <w:rPr>
          <w:rFonts w:ascii="Calibri" w:hAnsi="Calibri" w:cs="Arial"/>
          <w:b/>
          <w:noProof/>
        </w:rPr>
        <mc:AlternateContent>
          <mc:Choice Requires="wps">
            <w:drawing>
              <wp:anchor distT="0" distB="0" distL="114300" distR="114300" simplePos="0" relativeHeight="251681792" behindDoc="0" locked="0" layoutInCell="1" allowOverlap="1" wp14:anchorId="1596EB1E" wp14:editId="1D91F283">
                <wp:simplePos x="0" y="0"/>
                <wp:positionH relativeFrom="margin">
                  <wp:align>right</wp:align>
                </wp:positionH>
                <wp:positionV relativeFrom="paragraph">
                  <wp:posOffset>158750</wp:posOffset>
                </wp:positionV>
                <wp:extent cx="2952750" cy="1895475"/>
                <wp:effectExtent l="0" t="0" r="0" b="9525"/>
                <wp:wrapNone/>
                <wp:docPr id="74" name="Zone de texte 74"/>
                <wp:cNvGraphicFramePr/>
                <a:graphic xmlns:a="http://schemas.openxmlformats.org/drawingml/2006/main">
                  <a:graphicData uri="http://schemas.microsoft.com/office/word/2010/wordprocessingShape">
                    <wps:wsp>
                      <wps:cNvSpPr txBox="1"/>
                      <wps:spPr>
                        <a:xfrm>
                          <a:off x="0" y="0"/>
                          <a:ext cx="295275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B3195" w14:textId="77777777" w:rsidR="00240456" w:rsidRDefault="00240456" w:rsidP="00FE2B19">
                            <w:r>
                              <w:rPr>
                                <w:rFonts w:ascii="Source Sans Pro" w:hAnsi="Source Sans Pro" w:cs="Arial"/>
                                <w:noProof/>
                                <w:color w:val="909090"/>
                                <w:sz w:val="21"/>
                                <w:szCs w:val="21"/>
                              </w:rPr>
                              <w:drawing>
                                <wp:inline distT="0" distB="0" distL="0" distR="0" wp14:anchorId="3AE9C560" wp14:editId="3545D49C">
                                  <wp:extent cx="2019300" cy="1442882"/>
                                  <wp:effectExtent l="0" t="0" r="0" b="5080"/>
                                  <wp:docPr id="75" name="Image 75" descr="image logo 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logo si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200" cy="14542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6EB1E" id="Zone de texte 74" o:spid="_x0000_s1031" type="#_x0000_t202" style="position:absolute;left:0;text-align:left;margin-left:181.3pt;margin-top:12.5pt;width:232.5pt;height:149.25pt;z-index:2516817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" fillcolor="white [3201]" stroked="f" strokeweight=".5pt">
                <v:textbox>
                  <w:txbxContent>
                    <w:p w14:paraId="1C2B3195" w14:textId="77777777" w:rsidR="00240456" w:rsidRDefault="00240456" w:rsidP="00FE2B19">
                      <w:r>
                        <w:rPr>
                          <w:rFonts w:ascii="Source Sans Pro" w:hAnsi="Source Sans Pro" w:cs="Arial"/>
                          <w:noProof/>
                          <w:color w:val="909090"/>
                          <w:sz w:val="21"/>
                          <w:szCs w:val="21"/>
                        </w:rPr>
                        <w:drawing>
                          <wp:inline distT="0" distB="0" distL="0" distR="0" wp14:anchorId="3AE9C560" wp14:editId="3545D49C">
                            <wp:extent cx="2019300" cy="1442882"/>
                            <wp:effectExtent l="0" t="0" r="0" b="5080"/>
                            <wp:docPr id="75" name="Image 75" descr="image logo 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logo si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200" cy="1454243"/>
                                    </a:xfrm>
                                    <a:prstGeom prst="rect">
                                      <a:avLst/>
                                    </a:prstGeom>
                                    <a:noFill/>
                                    <a:ln>
                                      <a:noFill/>
                                    </a:ln>
                                  </pic:spPr>
                                </pic:pic>
                              </a:graphicData>
                            </a:graphic>
                          </wp:inline>
                        </w:drawing>
                      </w:r>
                    </w:p>
                  </w:txbxContent>
                </v:textbox>
                <w10:wrap anchorx="margin"/>
              </v:shape>
            </w:pict>
          </mc:Fallback>
        </mc:AlternateContent>
      </w:r>
    </w:p>
    <w:p w14:paraId="059C4B6E" w14:textId="77777777" w:rsidR="00FE2B19" w:rsidRPr="005B52BA" w:rsidRDefault="00FE2B19" w:rsidP="00FE2B19">
      <w:pPr>
        <w:autoSpaceDE w:val="0"/>
        <w:autoSpaceDN w:val="0"/>
        <w:adjustRightInd w:val="0"/>
        <w:jc w:val="both"/>
        <w:rPr>
          <w:rFonts w:ascii="Calibri" w:hAnsi="Calibri" w:cs="Arial"/>
          <w:b/>
          <w:noProof/>
        </w:rPr>
      </w:pPr>
    </w:p>
    <w:p w14:paraId="58067315" w14:textId="77777777" w:rsidR="00FE2B19" w:rsidRPr="005B52BA" w:rsidRDefault="00FE2B19" w:rsidP="00FE2B19">
      <w:pPr>
        <w:autoSpaceDE w:val="0"/>
        <w:autoSpaceDN w:val="0"/>
        <w:adjustRightInd w:val="0"/>
        <w:jc w:val="both"/>
        <w:rPr>
          <w:rFonts w:ascii="Calibri" w:hAnsi="Calibri" w:cs="Arial"/>
          <w:b/>
          <w:noProof/>
        </w:rPr>
      </w:pPr>
    </w:p>
    <w:p w14:paraId="0A79C858" w14:textId="77777777" w:rsidR="00FE2B19" w:rsidRPr="005B52BA" w:rsidRDefault="00FE2B19" w:rsidP="00FE2B19">
      <w:pPr>
        <w:autoSpaceDE w:val="0"/>
        <w:autoSpaceDN w:val="0"/>
        <w:adjustRightInd w:val="0"/>
        <w:jc w:val="both"/>
        <w:rPr>
          <w:rFonts w:ascii="Calibri" w:hAnsi="Calibri" w:cs="Arial"/>
          <w:b/>
          <w:noProof/>
        </w:rPr>
      </w:pPr>
    </w:p>
    <w:p w14:paraId="7D079807" w14:textId="77777777" w:rsidR="00FE2B19" w:rsidRPr="005B52BA" w:rsidRDefault="00FE2B19" w:rsidP="00FE2B19">
      <w:pPr>
        <w:autoSpaceDE w:val="0"/>
        <w:autoSpaceDN w:val="0"/>
        <w:adjustRightInd w:val="0"/>
        <w:jc w:val="both"/>
        <w:rPr>
          <w:rFonts w:ascii="Calibri" w:hAnsi="Calibri" w:cs="Arial"/>
          <w:b/>
          <w:noProof/>
        </w:rPr>
      </w:pPr>
    </w:p>
    <w:p w14:paraId="2760505C" w14:textId="77777777" w:rsidR="00FE2B19" w:rsidRPr="005B52BA" w:rsidRDefault="00FE2B19" w:rsidP="00FE2B19">
      <w:pPr>
        <w:autoSpaceDE w:val="0"/>
        <w:autoSpaceDN w:val="0"/>
        <w:adjustRightInd w:val="0"/>
        <w:jc w:val="both"/>
        <w:rPr>
          <w:rFonts w:ascii="Calibri" w:hAnsi="Calibri" w:cs="Arial"/>
          <w:b/>
          <w:noProof/>
        </w:rPr>
      </w:pPr>
    </w:p>
    <w:p w14:paraId="34F7B12A" w14:textId="77777777" w:rsidR="00FE2B19" w:rsidRPr="005B52BA" w:rsidRDefault="00FE2B19" w:rsidP="00FE2B19">
      <w:pPr>
        <w:autoSpaceDE w:val="0"/>
        <w:autoSpaceDN w:val="0"/>
        <w:adjustRightInd w:val="0"/>
        <w:jc w:val="both"/>
        <w:rPr>
          <w:rFonts w:ascii="Calibri" w:hAnsi="Calibri" w:cs="Arial"/>
          <w:b/>
          <w:noProof/>
        </w:rPr>
      </w:pPr>
    </w:p>
    <w:p w14:paraId="1D5466A3" w14:textId="77777777" w:rsidR="00FE2B19" w:rsidRPr="005B52BA" w:rsidRDefault="00FE2B19" w:rsidP="00FE2B19">
      <w:pPr>
        <w:autoSpaceDE w:val="0"/>
        <w:autoSpaceDN w:val="0"/>
        <w:adjustRightInd w:val="0"/>
        <w:jc w:val="both"/>
        <w:rPr>
          <w:rFonts w:ascii="Calibri" w:hAnsi="Calibri" w:cs="Arial"/>
          <w:b/>
          <w:noProof/>
        </w:rPr>
      </w:pPr>
    </w:p>
    <w:p w14:paraId="49F22E8A" w14:textId="77777777" w:rsidR="00FE2B19" w:rsidRPr="005B52BA" w:rsidRDefault="00FE2B19" w:rsidP="00FE2B19">
      <w:pPr>
        <w:autoSpaceDE w:val="0"/>
        <w:autoSpaceDN w:val="0"/>
        <w:adjustRightInd w:val="0"/>
        <w:jc w:val="both"/>
        <w:rPr>
          <w:rFonts w:ascii="Calibri" w:hAnsi="Calibri" w:cs="Arial"/>
          <w:b/>
          <w:noProof/>
        </w:rPr>
      </w:pPr>
    </w:p>
    <w:p w14:paraId="6AF04E3B" w14:textId="77777777" w:rsidR="00FE2B19" w:rsidRPr="005B52BA" w:rsidRDefault="00FE2B19" w:rsidP="00FE2B19">
      <w:pPr>
        <w:autoSpaceDE w:val="0"/>
        <w:autoSpaceDN w:val="0"/>
        <w:adjustRightInd w:val="0"/>
        <w:jc w:val="both"/>
        <w:rPr>
          <w:rFonts w:ascii="Calibri" w:hAnsi="Calibri" w:cs="Arial"/>
          <w:b/>
          <w:noProof/>
        </w:rPr>
      </w:pPr>
    </w:p>
    <w:p w14:paraId="1FF60F11" w14:textId="77777777" w:rsidR="00FE2B19" w:rsidRPr="005B52BA" w:rsidRDefault="00FE2B19" w:rsidP="00FE2B19">
      <w:pPr>
        <w:autoSpaceDE w:val="0"/>
        <w:autoSpaceDN w:val="0"/>
        <w:adjustRightInd w:val="0"/>
        <w:jc w:val="both"/>
        <w:rPr>
          <w:rFonts w:ascii="Calibri" w:hAnsi="Calibri" w:cs="Arial"/>
          <w:b/>
          <w:noProof/>
        </w:rPr>
      </w:pPr>
      <w:r>
        <w:rPr>
          <w:rFonts w:ascii="Calibri" w:hAnsi="Calibri" w:cs="Arial"/>
          <w:b/>
          <w:noProof/>
        </w:rPr>
        <mc:AlternateContent>
          <mc:Choice Requires="wps">
            <w:drawing>
              <wp:anchor distT="0" distB="0" distL="114300" distR="114300" simplePos="0" relativeHeight="251682816" behindDoc="0" locked="0" layoutInCell="1" allowOverlap="1" wp14:anchorId="32E9145B" wp14:editId="031147E9">
                <wp:simplePos x="0" y="0"/>
                <wp:positionH relativeFrom="column">
                  <wp:posOffset>3383280</wp:posOffset>
                </wp:positionH>
                <wp:positionV relativeFrom="paragraph">
                  <wp:posOffset>88900</wp:posOffset>
                </wp:positionV>
                <wp:extent cx="2895600" cy="1543050"/>
                <wp:effectExtent l="0" t="0" r="19050" b="19050"/>
                <wp:wrapNone/>
                <wp:docPr id="76" name="Ellipse 76"/>
                <wp:cNvGraphicFramePr/>
                <a:graphic xmlns:a="http://schemas.openxmlformats.org/drawingml/2006/main">
                  <a:graphicData uri="http://schemas.microsoft.com/office/word/2010/wordprocessingShape">
                    <wps:wsp>
                      <wps:cNvSpPr/>
                      <wps:spPr>
                        <a:xfrm>
                          <a:off x="0" y="0"/>
                          <a:ext cx="2895600" cy="1543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FA2B41" w14:textId="77777777" w:rsidR="00240456" w:rsidRPr="007B5A2E" w:rsidRDefault="00240456" w:rsidP="00FE2B19">
                            <w:pPr>
                              <w:jc w:val="center"/>
                              <w:rPr>
                                <w:rFonts w:ascii="Lucida Sans Unicode" w:hAnsi="Lucida Sans Unicode" w:cs="Lucida Sans Unicode"/>
                              </w:rPr>
                            </w:pPr>
                            <w:r w:rsidRPr="007B5A2E">
                              <w:rPr>
                                <w:rFonts w:ascii="Lucida Sans Unicode" w:hAnsi="Lucida Sans Unicode" w:cs="Lucida Sans Unicode"/>
                                <w:b/>
                                <w:i/>
                              </w:rPr>
                              <w:t>Atteindre les objectifs 90-90-90 d’ici 2020 et éradiquer l’épidémie du VIH à l’horizon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E9145B" id="Ellipse 76" o:spid="_x0000_s1032" style="position:absolute;left:0;text-align:left;margin-left:266.4pt;margin-top:7pt;width:228pt;height:12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" fillcolor="#5b9bd5 [3204]" strokecolor="#1f4d78 [1604]" strokeweight="1pt">
                <v:stroke joinstyle="miter"/>
                <v:textbox>
                  <w:txbxContent>
                    <w:p w14:paraId="52FA2B41" w14:textId="77777777" w:rsidR="00240456" w:rsidRPr="007B5A2E" w:rsidRDefault="00240456" w:rsidP="00FE2B19">
                      <w:pPr>
                        <w:jc w:val="center"/>
                        <w:rPr>
                          <w:rFonts w:ascii="Lucida Sans Unicode" w:hAnsi="Lucida Sans Unicode" w:cs="Lucida Sans Unicode"/>
                        </w:rPr>
                      </w:pPr>
                      <w:r w:rsidRPr="007B5A2E">
                        <w:rPr>
                          <w:rFonts w:ascii="Lucida Sans Unicode" w:hAnsi="Lucida Sans Unicode" w:cs="Lucida Sans Unicode"/>
                          <w:b/>
                          <w:i/>
                        </w:rPr>
                        <w:t>Atteindre les objectifs 90-90-90 d’ici 2020 et éradiquer l’épidémie du VIH à l’horizon 2030</w:t>
                      </w:r>
                    </w:p>
                  </w:txbxContent>
                </v:textbox>
              </v:oval>
            </w:pict>
          </mc:Fallback>
        </mc:AlternateContent>
      </w:r>
    </w:p>
    <w:p w14:paraId="3DACCCBA" w14:textId="77777777" w:rsidR="00FE2B19" w:rsidRPr="005B52BA" w:rsidRDefault="00FE2B19" w:rsidP="00FE2B19">
      <w:pPr>
        <w:autoSpaceDE w:val="0"/>
        <w:autoSpaceDN w:val="0"/>
        <w:adjustRightInd w:val="0"/>
        <w:jc w:val="both"/>
        <w:rPr>
          <w:rFonts w:ascii="Calibri" w:hAnsi="Calibri" w:cs="Arial"/>
          <w:b/>
          <w:noProof/>
        </w:rPr>
      </w:pPr>
    </w:p>
    <w:p w14:paraId="2936D556" w14:textId="77777777" w:rsidR="00FE2B19" w:rsidRPr="005B52BA" w:rsidRDefault="00FE2B19" w:rsidP="00FE2B19">
      <w:pPr>
        <w:autoSpaceDE w:val="0"/>
        <w:autoSpaceDN w:val="0"/>
        <w:adjustRightInd w:val="0"/>
        <w:jc w:val="both"/>
        <w:rPr>
          <w:rFonts w:ascii="Calibri" w:hAnsi="Calibri"/>
        </w:rPr>
      </w:pPr>
    </w:p>
    <w:p w14:paraId="37A30EF2" w14:textId="77777777" w:rsidR="00FE2B19" w:rsidRPr="005B52BA" w:rsidRDefault="00FE2B19" w:rsidP="00FE2B19">
      <w:pPr>
        <w:autoSpaceDE w:val="0"/>
        <w:autoSpaceDN w:val="0"/>
        <w:adjustRightInd w:val="0"/>
        <w:jc w:val="both"/>
        <w:rPr>
          <w:rFonts w:ascii="Calibri" w:hAnsi="Calibri"/>
        </w:rPr>
      </w:pPr>
    </w:p>
    <w:p w14:paraId="0581376E" w14:textId="77777777" w:rsidR="00FE2B19" w:rsidRPr="005B52BA" w:rsidRDefault="00FE2B19" w:rsidP="00FE2B19">
      <w:pPr>
        <w:autoSpaceDE w:val="0"/>
        <w:autoSpaceDN w:val="0"/>
        <w:adjustRightInd w:val="0"/>
        <w:jc w:val="both"/>
        <w:rPr>
          <w:rFonts w:ascii="Calibri" w:hAnsi="Calibri"/>
        </w:rPr>
      </w:pPr>
    </w:p>
    <w:p w14:paraId="49381E73" w14:textId="77777777" w:rsidR="00FE2B19" w:rsidRPr="005B52BA" w:rsidRDefault="00FE2B19" w:rsidP="00FE2B19">
      <w:pPr>
        <w:autoSpaceDE w:val="0"/>
        <w:autoSpaceDN w:val="0"/>
        <w:adjustRightInd w:val="0"/>
        <w:jc w:val="both"/>
        <w:rPr>
          <w:rFonts w:ascii="Calibri" w:hAnsi="Calibri"/>
        </w:rPr>
      </w:pPr>
    </w:p>
    <w:p w14:paraId="08F4F10E" w14:textId="77777777" w:rsidR="00FE2B19" w:rsidRPr="005B52BA" w:rsidRDefault="00FE2B19" w:rsidP="00FE2B19">
      <w:pPr>
        <w:autoSpaceDE w:val="0"/>
        <w:autoSpaceDN w:val="0"/>
        <w:adjustRightInd w:val="0"/>
        <w:jc w:val="both"/>
        <w:rPr>
          <w:rFonts w:ascii="Calibri" w:hAnsi="Calibri"/>
        </w:rPr>
      </w:pPr>
    </w:p>
    <w:p w14:paraId="37D0604E" w14:textId="77777777" w:rsidR="00FE2B19" w:rsidRPr="005B52BA" w:rsidRDefault="00FE2B19" w:rsidP="00FE2B19">
      <w:pPr>
        <w:autoSpaceDE w:val="0"/>
        <w:autoSpaceDN w:val="0"/>
        <w:adjustRightInd w:val="0"/>
        <w:jc w:val="both"/>
        <w:rPr>
          <w:rFonts w:ascii="Calibri" w:hAnsi="Calibri"/>
        </w:rPr>
      </w:pPr>
    </w:p>
    <w:p w14:paraId="500B6F58" w14:textId="77777777" w:rsidR="00FE2B19" w:rsidRPr="005B52BA" w:rsidRDefault="00FE2B19" w:rsidP="00FE2B19">
      <w:pPr>
        <w:autoSpaceDE w:val="0"/>
        <w:autoSpaceDN w:val="0"/>
        <w:adjustRightInd w:val="0"/>
        <w:jc w:val="both"/>
        <w:rPr>
          <w:rFonts w:ascii="Calibri" w:hAnsi="Calibri"/>
        </w:rPr>
      </w:pPr>
    </w:p>
    <w:p w14:paraId="61BB6918" w14:textId="77777777" w:rsidR="00FE2B19" w:rsidRPr="005B52BA" w:rsidRDefault="00FE2B19" w:rsidP="00FE2B19">
      <w:pPr>
        <w:autoSpaceDE w:val="0"/>
        <w:autoSpaceDN w:val="0"/>
        <w:adjustRightInd w:val="0"/>
        <w:jc w:val="both"/>
        <w:rPr>
          <w:rFonts w:ascii="Calibri" w:hAnsi="Calibri"/>
        </w:rPr>
      </w:pPr>
    </w:p>
    <w:p w14:paraId="6DBBADA9" w14:textId="77777777" w:rsidR="00FE2B19" w:rsidRPr="005B52BA" w:rsidRDefault="00FE2B19" w:rsidP="00FE2B19">
      <w:pPr>
        <w:autoSpaceDE w:val="0"/>
        <w:autoSpaceDN w:val="0"/>
        <w:adjustRightInd w:val="0"/>
        <w:jc w:val="both"/>
        <w:rPr>
          <w:rFonts w:ascii="Calibri" w:hAnsi="Calibri"/>
        </w:rPr>
      </w:pPr>
    </w:p>
    <w:p w14:paraId="54021478" w14:textId="77777777" w:rsidR="00FE2B19" w:rsidRPr="005B52BA" w:rsidRDefault="00FE2B19" w:rsidP="00FE2B19">
      <w:pPr>
        <w:autoSpaceDE w:val="0"/>
        <w:autoSpaceDN w:val="0"/>
        <w:adjustRightInd w:val="0"/>
        <w:jc w:val="both"/>
        <w:rPr>
          <w:rFonts w:ascii="Calibri" w:hAnsi="Calibri"/>
        </w:rPr>
      </w:pPr>
      <w:r>
        <w:rPr>
          <w:rFonts w:ascii="Calibri" w:hAnsi="Calibri"/>
          <w:noProof/>
        </w:rPr>
        <mc:AlternateContent>
          <mc:Choice Requires="wps">
            <w:drawing>
              <wp:anchor distT="0" distB="0" distL="114300" distR="114300" simplePos="0" relativeHeight="251679744" behindDoc="0" locked="0" layoutInCell="1" allowOverlap="1" wp14:anchorId="5B290728" wp14:editId="49007196">
                <wp:simplePos x="0" y="0"/>
                <wp:positionH relativeFrom="column">
                  <wp:posOffset>3830955</wp:posOffset>
                </wp:positionH>
                <wp:positionV relativeFrom="paragraph">
                  <wp:posOffset>166370</wp:posOffset>
                </wp:positionV>
                <wp:extent cx="2667000" cy="53340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26670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30AD4" w14:textId="35871B82" w:rsidR="00240456" w:rsidRPr="0012439A" w:rsidRDefault="00240456" w:rsidP="00FE2B19">
                            <w:pPr>
                              <w:rPr>
                                <w:b/>
                                <w:sz w:val="28"/>
                                <w:szCs w:val="28"/>
                              </w:rPr>
                            </w:pPr>
                            <w:r w:rsidRPr="0012439A">
                              <w:rPr>
                                <w:b/>
                                <w:sz w:val="28"/>
                                <w:szCs w:val="28"/>
                              </w:rPr>
                              <w:t xml:space="preserve">Conakry, </w:t>
                            </w:r>
                            <w:r>
                              <w:rPr>
                                <w:b/>
                                <w:sz w:val="28"/>
                                <w:szCs w:val="28"/>
                              </w:rPr>
                              <w:t>Août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90728" id="Zone de texte 68" o:spid="_x0000_s1033" type="#_x0000_t202" style="position:absolute;left:0;text-align:left;margin-left:301.65pt;margin-top:13.1pt;width:210pt;height:4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" fillcolor="white [3201]" stroked="f" strokeweight=".5pt">
                <v:textbox>
                  <w:txbxContent>
                    <w:p w14:paraId="3A830AD4" w14:textId="35871B82" w:rsidR="00240456" w:rsidRPr="0012439A" w:rsidRDefault="00240456" w:rsidP="00FE2B19">
                      <w:pPr>
                        <w:rPr>
                          <w:b/>
                          <w:sz w:val="28"/>
                          <w:szCs w:val="28"/>
                        </w:rPr>
                      </w:pPr>
                      <w:r w:rsidRPr="0012439A">
                        <w:rPr>
                          <w:b/>
                          <w:sz w:val="28"/>
                          <w:szCs w:val="28"/>
                        </w:rPr>
                        <w:t xml:space="preserve">Conakry, </w:t>
                      </w:r>
                      <w:r>
                        <w:rPr>
                          <w:b/>
                          <w:sz w:val="28"/>
                          <w:szCs w:val="28"/>
                        </w:rPr>
                        <w:t>Août 2018</w:t>
                      </w:r>
                    </w:p>
                  </w:txbxContent>
                </v:textbox>
              </v:shape>
            </w:pict>
          </mc:Fallback>
        </mc:AlternateContent>
      </w:r>
    </w:p>
    <w:p w14:paraId="6ED824F8" w14:textId="77777777" w:rsidR="00FE2B19" w:rsidRDefault="00FE2B19" w:rsidP="00FE2B19">
      <w:pPr>
        <w:autoSpaceDE w:val="0"/>
        <w:autoSpaceDN w:val="0"/>
        <w:adjustRightInd w:val="0"/>
        <w:jc w:val="both"/>
        <w:rPr>
          <w:rFonts w:ascii="Calibri" w:hAnsi="Calibri"/>
        </w:rPr>
      </w:pPr>
    </w:p>
    <w:p w14:paraId="61AF8C4A" w14:textId="77777777" w:rsidR="00106FD1" w:rsidRDefault="00106FD1" w:rsidP="00FE2B19">
      <w:pPr>
        <w:autoSpaceDE w:val="0"/>
        <w:autoSpaceDN w:val="0"/>
        <w:adjustRightInd w:val="0"/>
        <w:jc w:val="both"/>
        <w:rPr>
          <w:rFonts w:ascii="Calibri" w:hAnsi="Calibri"/>
        </w:rPr>
      </w:pPr>
    </w:p>
    <w:p w14:paraId="554D41C2" w14:textId="77777777" w:rsidR="00EA15A3" w:rsidRDefault="00EA15A3" w:rsidP="00FE2B19">
      <w:pPr>
        <w:autoSpaceDE w:val="0"/>
        <w:autoSpaceDN w:val="0"/>
        <w:adjustRightInd w:val="0"/>
        <w:jc w:val="both"/>
        <w:rPr>
          <w:rFonts w:ascii="Calibri" w:hAnsi="Calibri"/>
        </w:rPr>
      </w:pPr>
    </w:p>
    <w:p w14:paraId="53062F55" w14:textId="77777777" w:rsidR="000344B2" w:rsidRDefault="00EA15A3" w:rsidP="00F8709A">
      <w:pPr>
        <w:autoSpaceDE w:val="0"/>
        <w:autoSpaceDN w:val="0"/>
        <w:adjustRightInd w:val="0"/>
        <w:jc w:val="both"/>
        <w:rPr>
          <w:noProof/>
        </w:rPr>
      </w:pPr>
      <w:r w:rsidRPr="00EA15A3">
        <w:rPr>
          <w:rFonts w:ascii="Calibri" w:hAnsi="Calibri"/>
          <w:b/>
        </w:rPr>
        <w:t>TABLE DES MATIERE</w:t>
      </w:r>
      <w:r w:rsidR="00895621" w:rsidRPr="00EA15A3">
        <w:rPr>
          <w:b/>
        </w:rPr>
        <w:fldChar w:fldCharType="begin"/>
      </w:r>
      <w:r w:rsidR="00895621" w:rsidRPr="00EA15A3">
        <w:rPr>
          <w:b/>
        </w:rPr>
        <w:instrText xml:space="preserve"> TOC \o "1-3" </w:instrText>
      </w:r>
      <w:r w:rsidR="00895621" w:rsidRPr="00EA15A3">
        <w:rPr>
          <w:b/>
        </w:rPr>
        <w:fldChar w:fldCharType="separate"/>
      </w:r>
    </w:p>
    <w:p w14:paraId="2F52BE79" w14:textId="0CFD7BCC" w:rsidR="000344B2" w:rsidRDefault="000344B2">
      <w:pPr>
        <w:pStyle w:val="TM1"/>
        <w:tabs>
          <w:tab w:val="right" w:leader="dot" w:pos="9855"/>
        </w:tabs>
        <w:rPr>
          <w:rFonts w:eastAsiaTheme="minorEastAsia" w:cstheme="minorBidi"/>
          <w:b w:val="0"/>
          <w:bCs w:val="0"/>
          <w:caps w:val="0"/>
          <w:noProof/>
          <w:sz w:val="24"/>
          <w:szCs w:val="24"/>
        </w:rPr>
      </w:pPr>
      <w:r w:rsidRPr="00A73845">
        <w:rPr>
          <w:rFonts w:ascii="Calibri" w:hAnsi="Calibri"/>
          <w:noProof/>
        </w:rPr>
        <w:t>Liste des sigles et acronymes</w:t>
      </w:r>
      <w:r>
        <w:rPr>
          <w:noProof/>
        </w:rPr>
        <w:tab/>
      </w:r>
      <w:r>
        <w:rPr>
          <w:noProof/>
        </w:rPr>
        <w:fldChar w:fldCharType="begin"/>
      </w:r>
      <w:r>
        <w:rPr>
          <w:noProof/>
        </w:rPr>
        <w:instrText xml:space="preserve"> PAGEREF _Toc520983512 \h </w:instrText>
      </w:r>
      <w:r>
        <w:rPr>
          <w:noProof/>
        </w:rPr>
      </w:r>
      <w:r>
        <w:rPr>
          <w:noProof/>
        </w:rPr>
        <w:fldChar w:fldCharType="separate"/>
      </w:r>
      <w:r>
        <w:rPr>
          <w:noProof/>
        </w:rPr>
        <w:t>3</w:t>
      </w:r>
      <w:r>
        <w:rPr>
          <w:noProof/>
        </w:rPr>
        <w:fldChar w:fldCharType="end"/>
      </w:r>
    </w:p>
    <w:p w14:paraId="146205B2" w14:textId="66EA900D" w:rsidR="000344B2" w:rsidRDefault="000344B2">
      <w:pPr>
        <w:pStyle w:val="TM1"/>
        <w:tabs>
          <w:tab w:val="right" w:leader="dot" w:pos="9855"/>
        </w:tabs>
        <w:rPr>
          <w:rFonts w:eastAsiaTheme="minorEastAsia" w:cstheme="minorBidi"/>
          <w:b w:val="0"/>
          <w:bCs w:val="0"/>
          <w:caps w:val="0"/>
          <w:noProof/>
          <w:sz w:val="24"/>
          <w:szCs w:val="24"/>
        </w:rPr>
      </w:pPr>
      <w:r w:rsidRPr="00A73845">
        <w:rPr>
          <w:rFonts w:ascii="Calibri" w:hAnsi="Calibri"/>
          <w:noProof/>
          <w:color w:val="2F5496" w:themeColor="accent5" w:themeShade="BF"/>
        </w:rPr>
        <w:t>Préface</w:t>
      </w:r>
      <w:r>
        <w:rPr>
          <w:noProof/>
        </w:rPr>
        <w:tab/>
      </w:r>
      <w:r>
        <w:rPr>
          <w:noProof/>
        </w:rPr>
        <w:fldChar w:fldCharType="begin"/>
      </w:r>
      <w:r>
        <w:rPr>
          <w:noProof/>
        </w:rPr>
        <w:instrText xml:space="preserve"> PAGEREF _Toc520983513 \h </w:instrText>
      </w:r>
      <w:r>
        <w:rPr>
          <w:noProof/>
        </w:rPr>
      </w:r>
      <w:r>
        <w:rPr>
          <w:noProof/>
        </w:rPr>
        <w:fldChar w:fldCharType="separate"/>
      </w:r>
      <w:r>
        <w:rPr>
          <w:noProof/>
        </w:rPr>
        <w:t>5</w:t>
      </w:r>
      <w:r>
        <w:rPr>
          <w:noProof/>
        </w:rPr>
        <w:fldChar w:fldCharType="end"/>
      </w:r>
    </w:p>
    <w:p w14:paraId="0F813A0F" w14:textId="144745AB" w:rsidR="000344B2" w:rsidRDefault="000344B2">
      <w:pPr>
        <w:pStyle w:val="TM1"/>
        <w:tabs>
          <w:tab w:val="right" w:leader="dot" w:pos="9855"/>
        </w:tabs>
        <w:rPr>
          <w:rFonts w:eastAsiaTheme="minorEastAsia" w:cstheme="minorBidi"/>
          <w:b w:val="0"/>
          <w:bCs w:val="0"/>
          <w:caps w:val="0"/>
          <w:noProof/>
          <w:sz w:val="24"/>
          <w:szCs w:val="24"/>
        </w:rPr>
      </w:pPr>
      <w:r w:rsidRPr="00A73845">
        <w:rPr>
          <w:rFonts w:ascii="Calibri" w:hAnsi="Calibri"/>
          <w:noProof/>
          <w:color w:val="2F5496" w:themeColor="accent5" w:themeShade="BF"/>
        </w:rPr>
        <w:t>Remerciements</w:t>
      </w:r>
      <w:r>
        <w:rPr>
          <w:noProof/>
        </w:rPr>
        <w:tab/>
      </w:r>
      <w:r>
        <w:rPr>
          <w:noProof/>
        </w:rPr>
        <w:fldChar w:fldCharType="begin"/>
      </w:r>
      <w:r>
        <w:rPr>
          <w:noProof/>
        </w:rPr>
        <w:instrText xml:space="preserve"> PAGEREF _Toc520983514 \h </w:instrText>
      </w:r>
      <w:r>
        <w:rPr>
          <w:noProof/>
        </w:rPr>
      </w:r>
      <w:r>
        <w:rPr>
          <w:noProof/>
        </w:rPr>
        <w:fldChar w:fldCharType="separate"/>
      </w:r>
      <w:r>
        <w:rPr>
          <w:noProof/>
        </w:rPr>
        <w:t>6</w:t>
      </w:r>
      <w:r>
        <w:rPr>
          <w:noProof/>
        </w:rPr>
        <w:fldChar w:fldCharType="end"/>
      </w:r>
    </w:p>
    <w:p w14:paraId="6B9D145C" w14:textId="0004EEDE" w:rsidR="000344B2" w:rsidRDefault="000344B2">
      <w:pPr>
        <w:pStyle w:val="TM1"/>
        <w:tabs>
          <w:tab w:val="right" w:leader="dot" w:pos="9855"/>
        </w:tabs>
        <w:rPr>
          <w:rFonts w:eastAsiaTheme="minorEastAsia" w:cstheme="minorBidi"/>
          <w:b w:val="0"/>
          <w:bCs w:val="0"/>
          <w:caps w:val="0"/>
          <w:noProof/>
          <w:sz w:val="24"/>
          <w:szCs w:val="24"/>
        </w:rPr>
      </w:pPr>
      <w:r w:rsidRPr="00A73845">
        <w:rPr>
          <w:rFonts w:ascii="Calibri" w:hAnsi="Calibri"/>
          <w:noProof/>
          <w:color w:val="2F5496" w:themeColor="accent5" w:themeShade="BF"/>
        </w:rPr>
        <w:t>Résumé exécutif du CSN</w:t>
      </w:r>
      <w:r>
        <w:rPr>
          <w:noProof/>
        </w:rPr>
        <w:tab/>
      </w:r>
      <w:r>
        <w:rPr>
          <w:noProof/>
        </w:rPr>
        <w:fldChar w:fldCharType="begin"/>
      </w:r>
      <w:r>
        <w:rPr>
          <w:noProof/>
        </w:rPr>
        <w:instrText xml:space="preserve"> PAGEREF _Toc520983515 \h </w:instrText>
      </w:r>
      <w:r>
        <w:rPr>
          <w:noProof/>
        </w:rPr>
      </w:r>
      <w:r>
        <w:rPr>
          <w:noProof/>
        </w:rPr>
        <w:fldChar w:fldCharType="separate"/>
      </w:r>
      <w:r>
        <w:rPr>
          <w:noProof/>
        </w:rPr>
        <w:t>7</w:t>
      </w:r>
      <w:r>
        <w:rPr>
          <w:noProof/>
        </w:rPr>
        <w:fldChar w:fldCharType="end"/>
      </w:r>
    </w:p>
    <w:p w14:paraId="0422EF22" w14:textId="5705C91D" w:rsidR="000344B2" w:rsidRDefault="000344B2">
      <w:pPr>
        <w:pStyle w:val="TM1"/>
        <w:tabs>
          <w:tab w:val="right" w:leader="dot" w:pos="9855"/>
        </w:tabs>
        <w:rPr>
          <w:rFonts w:eastAsiaTheme="minorEastAsia" w:cstheme="minorBidi"/>
          <w:b w:val="0"/>
          <w:bCs w:val="0"/>
          <w:caps w:val="0"/>
          <w:noProof/>
          <w:sz w:val="24"/>
          <w:szCs w:val="24"/>
        </w:rPr>
      </w:pPr>
      <w:r w:rsidRPr="00A73845">
        <w:rPr>
          <w:rFonts w:ascii="Calibri" w:hAnsi="Calibri"/>
          <w:noProof/>
        </w:rPr>
        <w:t>Introduction</w:t>
      </w:r>
      <w:r>
        <w:rPr>
          <w:noProof/>
        </w:rPr>
        <w:tab/>
      </w:r>
      <w:r>
        <w:rPr>
          <w:noProof/>
        </w:rPr>
        <w:fldChar w:fldCharType="begin"/>
      </w:r>
      <w:r>
        <w:rPr>
          <w:noProof/>
        </w:rPr>
        <w:instrText xml:space="preserve"> PAGEREF _Toc520983516 \h </w:instrText>
      </w:r>
      <w:r>
        <w:rPr>
          <w:noProof/>
        </w:rPr>
      </w:r>
      <w:r>
        <w:rPr>
          <w:noProof/>
        </w:rPr>
        <w:fldChar w:fldCharType="separate"/>
      </w:r>
      <w:r>
        <w:rPr>
          <w:noProof/>
        </w:rPr>
        <w:t>11</w:t>
      </w:r>
      <w:r>
        <w:rPr>
          <w:noProof/>
        </w:rPr>
        <w:fldChar w:fldCharType="end"/>
      </w:r>
    </w:p>
    <w:p w14:paraId="4B3C996F" w14:textId="38D846A8" w:rsidR="000344B2" w:rsidRDefault="000344B2">
      <w:pPr>
        <w:pStyle w:val="TM1"/>
        <w:tabs>
          <w:tab w:val="right" w:leader="dot" w:pos="9855"/>
        </w:tabs>
        <w:rPr>
          <w:rFonts w:eastAsiaTheme="minorEastAsia" w:cstheme="minorBidi"/>
          <w:b w:val="0"/>
          <w:bCs w:val="0"/>
          <w:caps w:val="0"/>
          <w:noProof/>
          <w:sz w:val="24"/>
          <w:szCs w:val="24"/>
        </w:rPr>
      </w:pPr>
      <w:r w:rsidRPr="00A73845">
        <w:rPr>
          <w:rFonts w:ascii="Calibri" w:hAnsi="Calibri"/>
          <w:noProof/>
        </w:rPr>
        <w:t>PROCESSUS D’ELABORATION DU CADRE STRATEGIQUE NATIONAL</w:t>
      </w:r>
      <w:r>
        <w:rPr>
          <w:noProof/>
        </w:rPr>
        <w:tab/>
      </w:r>
      <w:r>
        <w:rPr>
          <w:noProof/>
        </w:rPr>
        <w:fldChar w:fldCharType="begin"/>
      </w:r>
      <w:r>
        <w:rPr>
          <w:noProof/>
        </w:rPr>
        <w:instrText xml:space="preserve"> PAGEREF _Toc520983517 \h </w:instrText>
      </w:r>
      <w:r>
        <w:rPr>
          <w:noProof/>
        </w:rPr>
      </w:r>
      <w:r>
        <w:rPr>
          <w:noProof/>
        </w:rPr>
        <w:fldChar w:fldCharType="separate"/>
      </w:r>
      <w:r>
        <w:rPr>
          <w:noProof/>
        </w:rPr>
        <w:t>11</w:t>
      </w:r>
      <w:r>
        <w:rPr>
          <w:noProof/>
        </w:rPr>
        <w:fldChar w:fldCharType="end"/>
      </w:r>
    </w:p>
    <w:p w14:paraId="6ED705FF" w14:textId="2B2DB2F4" w:rsidR="000344B2" w:rsidRDefault="000344B2">
      <w:pPr>
        <w:pStyle w:val="TM1"/>
        <w:tabs>
          <w:tab w:val="left" w:pos="480"/>
          <w:tab w:val="right" w:leader="dot" w:pos="9855"/>
        </w:tabs>
        <w:rPr>
          <w:rFonts w:eastAsiaTheme="minorEastAsia" w:cstheme="minorBidi"/>
          <w:b w:val="0"/>
          <w:bCs w:val="0"/>
          <w:caps w:val="0"/>
          <w:noProof/>
          <w:sz w:val="24"/>
          <w:szCs w:val="24"/>
        </w:rPr>
      </w:pPr>
      <w:r w:rsidRPr="00A73845">
        <w:rPr>
          <w:rFonts w:ascii="Calibri" w:hAnsi="Calibri"/>
          <w:noProof/>
        </w:rPr>
        <w:t>1.</w:t>
      </w:r>
      <w:r>
        <w:rPr>
          <w:rFonts w:eastAsiaTheme="minorEastAsia" w:cstheme="minorBidi"/>
          <w:b w:val="0"/>
          <w:bCs w:val="0"/>
          <w:caps w:val="0"/>
          <w:noProof/>
          <w:sz w:val="24"/>
          <w:szCs w:val="24"/>
        </w:rPr>
        <w:tab/>
      </w:r>
      <w:r w:rsidRPr="00A73845">
        <w:rPr>
          <w:rFonts w:ascii="Calibri" w:hAnsi="Calibri"/>
          <w:noProof/>
        </w:rPr>
        <w:t>CONTEXTE NATIONAL</w:t>
      </w:r>
      <w:r>
        <w:rPr>
          <w:noProof/>
        </w:rPr>
        <w:tab/>
      </w:r>
      <w:r>
        <w:rPr>
          <w:noProof/>
        </w:rPr>
        <w:fldChar w:fldCharType="begin"/>
      </w:r>
      <w:r>
        <w:rPr>
          <w:noProof/>
        </w:rPr>
        <w:instrText xml:space="preserve"> PAGEREF _Toc520983518 \h </w:instrText>
      </w:r>
      <w:r>
        <w:rPr>
          <w:noProof/>
        </w:rPr>
      </w:r>
      <w:r>
        <w:rPr>
          <w:noProof/>
        </w:rPr>
        <w:fldChar w:fldCharType="separate"/>
      </w:r>
      <w:r>
        <w:rPr>
          <w:noProof/>
        </w:rPr>
        <w:t>12</w:t>
      </w:r>
      <w:r>
        <w:rPr>
          <w:noProof/>
        </w:rPr>
        <w:fldChar w:fldCharType="end"/>
      </w:r>
    </w:p>
    <w:p w14:paraId="4A0DFD33" w14:textId="69254B4E"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1.1.</w:t>
      </w:r>
      <w:r>
        <w:rPr>
          <w:rFonts w:eastAsiaTheme="minorEastAsia" w:cstheme="minorBidi"/>
          <w:smallCaps w:val="0"/>
          <w:noProof/>
          <w:sz w:val="24"/>
          <w:szCs w:val="24"/>
        </w:rPr>
        <w:tab/>
      </w:r>
      <w:r w:rsidRPr="00A73845">
        <w:rPr>
          <w:rFonts w:ascii="Calibri" w:hAnsi="Calibri"/>
          <w:noProof/>
          <w:color w:val="2F5496" w:themeColor="accent5" w:themeShade="BF"/>
        </w:rPr>
        <w:t>Présentation du pays et contexte administratif</w:t>
      </w:r>
      <w:r>
        <w:rPr>
          <w:noProof/>
        </w:rPr>
        <w:tab/>
      </w:r>
      <w:r>
        <w:rPr>
          <w:noProof/>
        </w:rPr>
        <w:fldChar w:fldCharType="begin"/>
      </w:r>
      <w:r>
        <w:rPr>
          <w:noProof/>
        </w:rPr>
        <w:instrText xml:space="preserve"> PAGEREF _Toc520983519 \h </w:instrText>
      </w:r>
      <w:r>
        <w:rPr>
          <w:noProof/>
        </w:rPr>
      </w:r>
      <w:r>
        <w:rPr>
          <w:noProof/>
        </w:rPr>
        <w:fldChar w:fldCharType="separate"/>
      </w:r>
      <w:r>
        <w:rPr>
          <w:noProof/>
        </w:rPr>
        <w:t>12</w:t>
      </w:r>
      <w:r>
        <w:rPr>
          <w:noProof/>
        </w:rPr>
        <w:fldChar w:fldCharType="end"/>
      </w:r>
    </w:p>
    <w:p w14:paraId="15B76738" w14:textId="6467CB8D"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1.2.</w:t>
      </w:r>
      <w:r>
        <w:rPr>
          <w:rFonts w:eastAsiaTheme="minorEastAsia" w:cstheme="minorBidi"/>
          <w:smallCaps w:val="0"/>
          <w:noProof/>
          <w:sz w:val="24"/>
          <w:szCs w:val="24"/>
        </w:rPr>
        <w:tab/>
      </w:r>
      <w:r w:rsidRPr="00A73845">
        <w:rPr>
          <w:rFonts w:ascii="Calibri" w:hAnsi="Calibri"/>
          <w:noProof/>
          <w:color w:val="2F5496" w:themeColor="accent5" w:themeShade="BF"/>
        </w:rPr>
        <w:t>Situation socio-économique</w:t>
      </w:r>
      <w:r>
        <w:rPr>
          <w:noProof/>
        </w:rPr>
        <w:tab/>
      </w:r>
      <w:r>
        <w:rPr>
          <w:noProof/>
        </w:rPr>
        <w:fldChar w:fldCharType="begin"/>
      </w:r>
      <w:r>
        <w:rPr>
          <w:noProof/>
        </w:rPr>
        <w:instrText xml:space="preserve"> PAGEREF _Toc520983520 \h </w:instrText>
      </w:r>
      <w:r>
        <w:rPr>
          <w:noProof/>
        </w:rPr>
      </w:r>
      <w:r>
        <w:rPr>
          <w:noProof/>
        </w:rPr>
        <w:fldChar w:fldCharType="separate"/>
      </w:r>
      <w:r>
        <w:rPr>
          <w:noProof/>
        </w:rPr>
        <w:t>14</w:t>
      </w:r>
      <w:r>
        <w:rPr>
          <w:noProof/>
        </w:rPr>
        <w:fldChar w:fldCharType="end"/>
      </w:r>
    </w:p>
    <w:p w14:paraId="37FF9314" w14:textId="32798D08"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1.3.</w:t>
      </w:r>
      <w:r>
        <w:rPr>
          <w:rFonts w:eastAsiaTheme="minorEastAsia" w:cstheme="minorBidi"/>
          <w:smallCaps w:val="0"/>
          <w:noProof/>
          <w:sz w:val="24"/>
          <w:szCs w:val="24"/>
        </w:rPr>
        <w:tab/>
      </w:r>
      <w:r w:rsidRPr="00A73845">
        <w:rPr>
          <w:rFonts w:ascii="Calibri" w:hAnsi="Calibri"/>
          <w:noProof/>
          <w:color w:val="2F5496" w:themeColor="accent5" w:themeShade="BF"/>
        </w:rPr>
        <w:t>Situation sanitaire du pays</w:t>
      </w:r>
      <w:r>
        <w:rPr>
          <w:noProof/>
        </w:rPr>
        <w:tab/>
      </w:r>
      <w:r>
        <w:rPr>
          <w:noProof/>
        </w:rPr>
        <w:fldChar w:fldCharType="begin"/>
      </w:r>
      <w:r>
        <w:rPr>
          <w:noProof/>
        </w:rPr>
        <w:instrText xml:space="preserve"> PAGEREF _Toc520983521 \h </w:instrText>
      </w:r>
      <w:r>
        <w:rPr>
          <w:noProof/>
        </w:rPr>
      </w:r>
      <w:r>
        <w:rPr>
          <w:noProof/>
        </w:rPr>
        <w:fldChar w:fldCharType="separate"/>
      </w:r>
      <w:r>
        <w:rPr>
          <w:noProof/>
        </w:rPr>
        <w:t>14</w:t>
      </w:r>
      <w:r>
        <w:rPr>
          <w:noProof/>
        </w:rPr>
        <w:fldChar w:fldCharType="end"/>
      </w:r>
    </w:p>
    <w:p w14:paraId="62BA47E5" w14:textId="66341FCC" w:rsidR="000344B2" w:rsidRDefault="000344B2">
      <w:pPr>
        <w:pStyle w:val="TM1"/>
        <w:tabs>
          <w:tab w:val="left" w:pos="480"/>
          <w:tab w:val="right" w:leader="dot" w:pos="9855"/>
        </w:tabs>
        <w:rPr>
          <w:rFonts w:eastAsiaTheme="minorEastAsia" w:cstheme="minorBidi"/>
          <w:b w:val="0"/>
          <w:bCs w:val="0"/>
          <w:caps w:val="0"/>
          <w:noProof/>
          <w:sz w:val="24"/>
          <w:szCs w:val="24"/>
        </w:rPr>
      </w:pPr>
      <w:r w:rsidRPr="00A73845">
        <w:rPr>
          <w:rFonts w:ascii="Calibri" w:hAnsi="Calibri"/>
          <w:noProof/>
        </w:rPr>
        <w:t>2.</w:t>
      </w:r>
      <w:r>
        <w:rPr>
          <w:rFonts w:eastAsiaTheme="minorEastAsia" w:cstheme="minorBidi"/>
          <w:b w:val="0"/>
          <w:bCs w:val="0"/>
          <w:caps w:val="0"/>
          <w:noProof/>
          <w:sz w:val="24"/>
          <w:szCs w:val="24"/>
        </w:rPr>
        <w:tab/>
      </w:r>
      <w:r w:rsidRPr="00A73845">
        <w:rPr>
          <w:rFonts w:ascii="Calibri" w:hAnsi="Calibri"/>
          <w:noProof/>
        </w:rPr>
        <w:t>SYNTHESE DE L’ANALYSE DE SITUATION EPIDEMIOLOGIQUE ET DE LA REPONSE AU VIH</w:t>
      </w:r>
      <w:r>
        <w:rPr>
          <w:noProof/>
        </w:rPr>
        <w:tab/>
      </w:r>
      <w:r>
        <w:rPr>
          <w:noProof/>
        </w:rPr>
        <w:fldChar w:fldCharType="begin"/>
      </w:r>
      <w:r>
        <w:rPr>
          <w:noProof/>
        </w:rPr>
        <w:instrText xml:space="preserve"> PAGEREF _Toc520983522 \h </w:instrText>
      </w:r>
      <w:r>
        <w:rPr>
          <w:noProof/>
        </w:rPr>
      </w:r>
      <w:r>
        <w:rPr>
          <w:noProof/>
        </w:rPr>
        <w:fldChar w:fldCharType="separate"/>
      </w:r>
      <w:r>
        <w:rPr>
          <w:noProof/>
        </w:rPr>
        <w:t>17</w:t>
      </w:r>
      <w:r>
        <w:rPr>
          <w:noProof/>
        </w:rPr>
        <w:fldChar w:fldCharType="end"/>
      </w:r>
    </w:p>
    <w:p w14:paraId="1F651008" w14:textId="69FFEB6C"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2.1.</w:t>
      </w:r>
      <w:r>
        <w:rPr>
          <w:rFonts w:eastAsiaTheme="minorEastAsia" w:cstheme="minorBidi"/>
          <w:smallCaps w:val="0"/>
          <w:noProof/>
          <w:sz w:val="24"/>
          <w:szCs w:val="24"/>
        </w:rPr>
        <w:tab/>
      </w:r>
      <w:r w:rsidRPr="00A73845">
        <w:rPr>
          <w:rFonts w:ascii="Calibri" w:hAnsi="Calibri"/>
          <w:noProof/>
          <w:color w:val="2F5496" w:themeColor="accent5" w:themeShade="BF"/>
        </w:rPr>
        <w:t>Analyse de la situation épidémiologique du VIH/sida</w:t>
      </w:r>
      <w:r>
        <w:rPr>
          <w:noProof/>
        </w:rPr>
        <w:tab/>
      </w:r>
      <w:r>
        <w:rPr>
          <w:noProof/>
        </w:rPr>
        <w:fldChar w:fldCharType="begin"/>
      </w:r>
      <w:r>
        <w:rPr>
          <w:noProof/>
        </w:rPr>
        <w:instrText xml:space="preserve"> PAGEREF _Toc520983523 \h </w:instrText>
      </w:r>
      <w:r>
        <w:rPr>
          <w:noProof/>
        </w:rPr>
      </w:r>
      <w:r>
        <w:rPr>
          <w:noProof/>
        </w:rPr>
        <w:fldChar w:fldCharType="separate"/>
      </w:r>
      <w:r>
        <w:rPr>
          <w:noProof/>
        </w:rPr>
        <w:t>17</w:t>
      </w:r>
      <w:r>
        <w:rPr>
          <w:noProof/>
        </w:rPr>
        <w:fldChar w:fldCharType="end"/>
      </w:r>
    </w:p>
    <w:p w14:paraId="0324D5B5" w14:textId="45991AF4"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2.2.</w:t>
      </w:r>
      <w:r>
        <w:rPr>
          <w:rFonts w:eastAsiaTheme="minorEastAsia" w:cstheme="minorBidi"/>
          <w:smallCaps w:val="0"/>
          <w:noProof/>
          <w:sz w:val="24"/>
          <w:szCs w:val="24"/>
        </w:rPr>
        <w:tab/>
      </w:r>
      <w:r w:rsidRPr="00A73845">
        <w:rPr>
          <w:rFonts w:ascii="Calibri" w:hAnsi="Calibri"/>
          <w:noProof/>
          <w:color w:val="2F5496" w:themeColor="accent5" w:themeShade="BF"/>
        </w:rPr>
        <w:t>Synthèse de l’analyse de la réponse</w:t>
      </w:r>
      <w:r>
        <w:rPr>
          <w:noProof/>
        </w:rPr>
        <w:tab/>
      </w:r>
      <w:r>
        <w:rPr>
          <w:noProof/>
        </w:rPr>
        <w:fldChar w:fldCharType="begin"/>
      </w:r>
      <w:r>
        <w:rPr>
          <w:noProof/>
        </w:rPr>
        <w:instrText xml:space="preserve"> PAGEREF _Toc520983524 \h </w:instrText>
      </w:r>
      <w:r>
        <w:rPr>
          <w:noProof/>
        </w:rPr>
      </w:r>
      <w:r>
        <w:rPr>
          <w:noProof/>
        </w:rPr>
        <w:fldChar w:fldCharType="separate"/>
      </w:r>
      <w:r>
        <w:rPr>
          <w:noProof/>
        </w:rPr>
        <w:t>21</w:t>
      </w:r>
      <w:r>
        <w:rPr>
          <w:noProof/>
        </w:rPr>
        <w:fldChar w:fldCharType="end"/>
      </w:r>
    </w:p>
    <w:p w14:paraId="37272937" w14:textId="430F841A" w:rsidR="000344B2" w:rsidRDefault="000344B2">
      <w:pPr>
        <w:pStyle w:val="TM1"/>
        <w:tabs>
          <w:tab w:val="left" w:pos="480"/>
          <w:tab w:val="right" w:leader="dot" w:pos="9855"/>
        </w:tabs>
        <w:rPr>
          <w:rFonts w:eastAsiaTheme="minorEastAsia" w:cstheme="minorBidi"/>
          <w:b w:val="0"/>
          <w:bCs w:val="0"/>
          <w:caps w:val="0"/>
          <w:noProof/>
          <w:sz w:val="24"/>
          <w:szCs w:val="24"/>
        </w:rPr>
      </w:pPr>
      <w:r w:rsidRPr="00A73845">
        <w:rPr>
          <w:rFonts w:ascii="Calibri" w:hAnsi="Calibri"/>
          <w:noProof/>
        </w:rPr>
        <w:t>3.</w:t>
      </w:r>
      <w:r>
        <w:rPr>
          <w:rFonts w:eastAsiaTheme="minorEastAsia" w:cstheme="minorBidi"/>
          <w:b w:val="0"/>
          <w:bCs w:val="0"/>
          <w:caps w:val="0"/>
          <w:noProof/>
          <w:sz w:val="24"/>
          <w:szCs w:val="24"/>
        </w:rPr>
        <w:tab/>
      </w:r>
      <w:r w:rsidRPr="00A73845">
        <w:rPr>
          <w:rFonts w:ascii="Calibri" w:hAnsi="Calibri"/>
          <w:noProof/>
        </w:rPr>
        <w:t>CADRE STRATEGIQUE NATIONAL 2018 - 2022</w:t>
      </w:r>
      <w:r>
        <w:rPr>
          <w:noProof/>
        </w:rPr>
        <w:tab/>
      </w:r>
      <w:r>
        <w:rPr>
          <w:noProof/>
        </w:rPr>
        <w:fldChar w:fldCharType="begin"/>
      </w:r>
      <w:r>
        <w:rPr>
          <w:noProof/>
        </w:rPr>
        <w:instrText xml:space="preserve"> PAGEREF _Toc520983525 \h </w:instrText>
      </w:r>
      <w:r>
        <w:rPr>
          <w:noProof/>
        </w:rPr>
      </w:r>
      <w:r>
        <w:rPr>
          <w:noProof/>
        </w:rPr>
        <w:fldChar w:fldCharType="separate"/>
      </w:r>
      <w:r>
        <w:rPr>
          <w:noProof/>
        </w:rPr>
        <w:t>31</w:t>
      </w:r>
      <w:r>
        <w:rPr>
          <w:noProof/>
        </w:rPr>
        <w:fldChar w:fldCharType="end"/>
      </w:r>
    </w:p>
    <w:p w14:paraId="7465001E" w14:textId="56051B6D"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3.1.</w:t>
      </w:r>
      <w:r>
        <w:rPr>
          <w:rFonts w:eastAsiaTheme="minorEastAsia" w:cstheme="minorBidi"/>
          <w:smallCaps w:val="0"/>
          <w:noProof/>
          <w:sz w:val="24"/>
          <w:szCs w:val="24"/>
        </w:rPr>
        <w:tab/>
      </w:r>
      <w:r w:rsidRPr="00A73845">
        <w:rPr>
          <w:rFonts w:ascii="Calibri" w:hAnsi="Calibri"/>
          <w:noProof/>
          <w:color w:val="2F5496" w:themeColor="accent5" w:themeShade="BF"/>
        </w:rPr>
        <w:t>Vision du Cadre Stratégique National de lutte contre le sida 2018-2022</w:t>
      </w:r>
      <w:r>
        <w:rPr>
          <w:noProof/>
        </w:rPr>
        <w:tab/>
      </w:r>
      <w:r>
        <w:rPr>
          <w:noProof/>
        </w:rPr>
        <w:fldChar w:fldCharType="begin"/>
      </w:r>
      <w:r>
        <w:rPr>
          <w:noProof/>
        </w:rPr>
        <w:instrText xml:space="preserve"> PAGEREF _Toc520983526 \h </w:instrText>
      </w:r>
      <w:r>
        <w:rPr>
          <w:noProof/>
        </w:rPr>
      </w:r>
      <w:r>
        <w:rPr>
          <w:noProof/>
        </w:rPr>
        <w:fldChar w:fldCharType="separate"/>
      </w:r>
      <w:r>
        <w:rPr>
          <w:noProof/>
        </w:rPr>
        <w:t>31</w:t>
      </w:r>
      <w:r>
        <w:rPr>
          <w:noProof/>
        </w:rPr>
        <w:fldChar w:fldCharType="end"/>
      </w:r>
    </w:p>
    <w:p w14:paraId="61C26746" w14:textId="7B845FEE"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3.2.</w:t>
      </w:r>
      <w:r>
        <w:rPr>
          <w:rFonts w:eastAsiaTheme="minorEastAsia" w:cstheme="minorBidi"/>
          <w:smallCaps w:val="0"/>
          <w:noProof/>
          <w:sz w:val="24"/>
          <w:szCs w:val="24"/>
        </w:rPr>
        <w:tab/>
      </w:r>
      <w:r w:rsidRPr="00A73845">
        <w:rPr>
          <w:rFonts w:ascii="Calibri" w:hAnsi="Calibri"/>
          <w:noProof/>
          <w:color w:val="2F5496" w:themeColor="accent5" w:themeShade="BF"/>
        </w:rPr>
        <w:t>Principes directeurs du CSN 2018 - 2022</w:t>
      </w:r>
      <w:r>
        <w:rPr>
          <w:noProof/>
        </w:rPr>
        <w:tab/>
      </w:r>
      <w:r>
        <w:rPr>
          <w:noProof/>
        </w:rPr>
        <w:fldChar w:fldCharType="begin"/>
      </w:r>
      <w:r>
        <w:rPr>
          <w:noProof/>
        </w:rPr>
        <w:instrText xml:space="preserve"> PAGEREF _Toc520983527 \h </w:instrText>
      </w:r>
      <w:r>
        <w:rPr>
          <w:noProof/>
        </w:rPr>
      </w:r>
      <w:r>
        <w:rPr>
          <w:noProof/>
        </w:rPr>
        <w:fldChar w:fldCharType="separate"/>
      </w:r>
      <w:r>
        <w:rPr>
          <w:noProof/>
        </w:rPr>
        <w:t>31</w:t>
      </w:r>
      <w:r>
        <w:rPr>
          <w:noProof/>
        </w:rPr>
        <w:fldChar w:fldCharType="end"/>
      </w:r>
    </w:p>
    <w:p w14:paraId="7A00C351" w14:textId="37D765EC"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3.3.</w:t>
      </w:r>
      <w:r>
        <w:rPr>
          <w:rFonts w:eastAsiaTheme="minorEastAsia" w:cstheme="minorBidi"/>
          <w:smallCaps w:val="0"/>
          <w:noProof/>
          <w:sz w:val="24"/>
          <w:szCs w:val="24"/>
        </w:rPr>
        <w:tab/>
      </w:r>
      <w:r w:rsidRPr="00A73845">
        <w:rPr>
          <w:rFonts w:ascii="Calibri" w:hAnsi="Calibri"/>
          <w:noProof/>
          <w:color w:val="2F5496" w:themeColor="accent5" w:themeShade="BF"/>
        </w:rPr>
        <w:t>Cibles prioritaires pour les interventions du CSN 2018-2022</w:t>
      </w:r>
      <w:r>
        <w:rPr>
          <w:noProof/>
        </w:rPr>
        <w:tab/>
      </w:r>
      <w:r>
        <w:rPr>
          <w:noProof/>
        </w:rPr>
        <w:fldChar w:fldCharType="begin"/>
      </w:r>
      <w:r>
        <w:rPr>
          <w:noProof/>
        </w:rPr>
        <w:instrText xml:space="preserve"> PAGEREF _Toc520983528 \h </w:instrText>
      </w:r>
      <w:r>
        <w:rPr>
          <w:noProof/>
        </w:rPr>
      </w:r>
      <w:r>
        <w:rPr>
          <w:noProof/>
        </w:rPr>
        <w:fldChar w:fldCharType="separate"/>
      </w:r>
      <w:r>
        <w:rPr>
          <w:noProof/>
        </w:rPr>
        <w:t>32</w:t>
      </w:r>
      <w:r>
        <w:rPr>
          <w:noProof/>
        </w:rPr>
        <w:fldChar w:fldCharType="end"/>
      </w:r>
    </w:p>
    <w:p w14:paraId="0A51E0EE" w14:textId="2F569120"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3.4.</w:t>
      </w:r>
      <w:r>
        <w:rPr>
          <w:rFonts w:eastAsiaTheme="minorEastAsia" w:cstheme="minorBidi"/>
          <w:smallCaps w:val="0"/>
          <w:noProof/>
          <w:sz w:val="24"/>
          <w:szCs w:val="24"/>
        </w:rPr>
        <w:tab/>
      </w:r>
      <w:r w:rsidRPr="00A73845">
        <w:rPr>
          <w:rFonts w:ascii="Calibri" w:hAnsi="Calibri"/>
          <w:noProof/>
          <w:color w:val="2F5496" w:themeColor="accent5" w:themeShade="BF"/>
        </w:rPr>
        <w:t>Cadre et chaine des résultats du CSN 2018-2022</w:t>
      </w:r>
      <w:r>
        <w:rPr>
          <w:noProof/>
        </w:rPr>
        <w:tab/>
      </w:r>
      <w:r>
        <w:rPr>
          <w:noProof/>
        </w:rPr>
        <w:fldChar w:fldCharType="begin"/>
      </w:r>
      <w:r>
        <w:rPr>
          <w:noProof/>
        </w:rPr>
        <w:instrText xml:space="preserve"> PAGEREF _Toc520983529 \h </w:instrText>
      </w:r>
      <w:r>
        <w:rPr>
          <w:noProof/>
        </w:rPr>
      </w:r>
      <w:r>
        <w:rPr>
          <w:noProof/>
        </w:rPr>
        <w:fldChar w:fldCharType="separate"/>
      </w:r>
      <w:r>
        <w:rPr>
          <w:noProof/>
        </w:rPr>
        <w:t>33</w:t>
      </w:r>
      <w:r>
        <w:rPr>
          <w:noProof/>
        </w:rPr>
        <w:fldChar w:fldCharType="end"/>
      </w:r>
    </w:p>
    <w:p w14:paraId="022ED086" w14:textId="1F9BCB78"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3.5.</w:t>
      </w:r>
      <w:r>
        <w:rPr>
          <w:rFonts w:eastAsiaTheme="minorEastAsia" w:cstheme="minorBidi"/>
          <w:smallCaps w:val="0"/>
          <w:noProof/>
          <w:sz w:val="24"/>
          <w:szCs w:val="24"/>
        </w:rPr>
        <w:tab/>
      </w:r>
      <w:r w:rsidRPr="00A73845">
        <w:rPr>
          <w:rFonts w:ascii="Calibri" w:hAnsi="Calibri"/>
          <w:noProof/>
          <w:color w:val="2F5496" w:themeColor="accent5" w:themeShade="BF"/>
        </w:rPr>
        <w:t>Les interventions prioritaires du CSN 2018-2022</w:t>
      </w:r>
      <w:r>
        <w:rPr>
          <w:noProof/>
        </w:rPr>
        <w:tab/>
      </w:r>
      <w:r>
        <w:rPr>
          <w:noProof/>
        </w:rPr>
        <w:fldChar w:fldCharType="begin"/>
      </w:r>
      <w:r>
        <w:rPr>
          <w:noProof/>
        </w:rPr>
        <w:instrText xml:space="preserve"> PAGEREF _Toc520983530 \h </w:instrText>
      </w:r>
      <w:r>
        <w:rPr>
          <w:noProof/>
        </w:rPr>
      </w:r>
      <w:r>
        <w:rPr>
          <w:noProof/>
        </w:rPr>
        <w:fldChar w:fldCharType="separate"/>
      </w:r>
      <w:r>
        <w:rPr>
          <w:noProof/>
        </w:rPr>
        <w:t>34</w:t>
      </w:r>
      <w:r>
        <w:rPr>
          <w:noProof/>
        </w:rPr>
        <w:fldChar w:fldCharType="end"/>
      </w:r>
    </w:p>
    <w:p w14:paraId="590251C9" w14:textId="26F27AD4" w:rsidR="000344B2" w:rsidRDefault="000344B2">
      <w:pPr>
        <w:pStyle w:val="TM1"/>
        <w:tabs>
          <w:tab w:val="left" w:pos="480"/>
          <w:tab w:val="right" w:leader="dot" w:pos="9855"/>
        </w:tabs>
        <w:rPr>
          <w:rFonts w:eastAsiaTheme="minorEastAsia" w:cstheme="minorBidi"/>
          <w:b w:val="0"/>
          <w:bCs w:val="0"/>
          <w:caps w:val="0"/>
          <w:noProof/>
          <w:sz w:val="24"/>
          <w:szCs w:val="24"/>
        </w:rPr>
      </w:pPr>
      <w:r w:rsidRPr="00A73845">
        <w:rPr>
          <w:rFonts w:ascii="Calibri" w:eastAsiaTheme="majorEastAsia" w:hAnsi="Calibri"/>
          <w:noProof/>
        </w:rPr>
        <w:t>4.</w:t>
      </w:r>
      <w:r>
        <w:rPr>
          <w:rFonts w:eastAsiaTheme="minorEastAsia" w:cstheme="minorBidi"/>
          <w:b w:val="0"/>
          <w:bCs w:val="0"/>
          <w:caps w:val="0"/>
          <w:noProof/>
          <w:sz w:val="24"/>
          <w:szCs w:val="24"/>
        </w:rPr>
        <w:tab/>
      </w:r>
      <w:r w:rsidRPr="00A73845">
        <w:rPr>
          <w:rFonts w:ascii="Calibri" w:eastAsiaTheme="majorEastAsia" w:hAnsi="Calibri"/>
          <w:noProof/>
        </w:rPr>
        <w:t>MISE EN ŒUVRE DU CADRE STRATEGIQUE NATIONAL 2018 – 2022</w:t>
      </w:r>
      <w:r>
        <w:rPr>
          <w:noProof/>
        </w:rPr>
        <w:tab/>
      </w:r>
      <w:r>
        <w:rPr>
          <w:noProof/>
        </w:rPr>
        <w:fldChar w:fldCharType="begin"/>
      </w:r>
      <w:r>
        <w:rPr>
          <w:noProof/>
        </w:rPr>
        <w:instrText xml:space="preserve"> PAGEREF _Toc520983531 \h </w:instrText>
      </w:r>
      <w:r>
        <w:rPr>
          <w:noProof/>
        </w:rPr>
      </w:r>
      <w:r>
        <w:rPr>
          <w:noProof/>
        </w:rPr>
        <w:fldChar w:fldCharType="separate"/>
      </w:r>
      <w:r>
        <w:rPr>
          <w:noProof/>
        </w:rPr>
        <w:t>40</w:t>
      </w:r>
      <w:r>
        <w:rPr>
          <w:noProof/>
        </w:rPr>
        <w:fldChar w:fldCharType="end"/>
      </w:r>
    </w:p>
    <w:p w14:paraId="49087333" w14:textId="0ED6C1D3"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eastAsiaTheme="majorEastAsia" w:hAnsi="Calibri"/>
          <w:noProof/>
          <w:color w:val="2F5496" w:themeColor="accent5" w:themeShade="BF"/>
        </w:rPr>
        <w:t>4.1.</w:t>
      </w:r>
      <w:r>
        <w:rPr>
          <w:rFonts w:eastAsiaTheme="minorEastAsia" w:cstheme="minorBidi"/>
          <w:smallCaps w:val="0"/>
          <w:noProof/>
          <w:sz w:val="24"/>
          <w:szCs w:val="24"/>
        </w:rPr>
        <w:tab/>
      </w:r>
      <w:r w:rsidRPr="00A73845">
        <w:rPr>
          <w:rFonts w:ascii="Calibri" w:hAnsi="Calibri"/>
          <w:noProof/>
          <w:color w:val="2F5496" w:themeColor="accent5" w:themeShade="BF"/>
        </w:rPr>
        <w:t>Cadre institutionnel de mise en œuvre</w:t>
      </w:r>
      <w:r>
        <w:rPr>
          <w:noProof/>
        </w:rPr>
        <w:tab/>
      </w:r>
      <w:r>
        <w:rPr>
          <w:noProof/>
        </w:rPr>
        <w:fldChar w:fldCharType="begin"/>
      </w:r>
      <w:r>
        <w:rPr>
          <w:noProof/>
        </w:rPr>
        <w:instrText xml:space="preserve"> PAGEREF _Toc520983532 \h </w:instrText>
      </w:r>
      <w:r>
        <w:rPr>
          <w:noProof/>
        </w:rPr>
      </w:r>
      <w:r>
        <w:rPr>
          <w:noProof/>
        </w:rPr>
        <w:fldChar w:fldCharType="separate"/>
      </w:r>
      <w:r>
        <w:rPr>
          <w:noProof/>
        </w:rPr>
        <w:t>40</w:t>
      </w:r>
      <w:r>
        <w:rPr>
          <w:noProof/>
        </w:rPr>
        <w:fldChar w:fldCharType="end"/>
      </w:r>
    </w:p>
    <w:p w14:paraId="64383A93" w14:textId="699F07D2"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4.2.</w:t>
      </w:r>
      <w:r>
        <w:rPr>
          <w:rFonts w:eastAsiaTheme="minorEastAsia" w:cstheme="minorBidi"/>
          <w:smallCaps w:val="0"/>
          <w:noProof/>
          <w:sz w:val="24"/>
          <w:szCs w:val="24"/>
        </w:rPr>
        <w:tab/>
      </w:r>
      <w:r w:rsidRPr="00A73845">
        <w:rPr>
          <w:rFonts w:ascii="Calibri" w:hAnsi="Calibri"/>
          <w:noProof/>
          <w:color w:val="2F5496" w:themeColor="accent5" w:themeShade="BF"/>
        </w:rPr>
        <w:t>Opérationnalisation du Cadre Stratégique National 2018-2022</w:t>
      </w:r>
      <w:r>
        <w:rPr>
          <w:noProof/>
        </w:rPr>
        <w:tab/>
      </w:r>
      <w:r>
        <w:rPr>
          <w:noProof/>
        </w:rPr>
        <w:fldChar w:fldCharType="begin"/>
      </w:r>
      <w:r>
        <w:rPr>
          <w:noProof/>
        </w:rPr>
        <w:instrText xml:space="preserve"> PAGEREF _Toc520983533 \h </w:instrText>
      </w:r>
      <w:r>
        <w:rPr>
          <w:noProof/>
        </w:rPr>
      </w:r>
      <w:r>
        <w:rPr>
          <w:noProof/>
        </w:rPr>
        <w:fldChar w:fldCharType="separate"/>
      </w:r>
      <w:r>
        <w:rPr>
          <w:noProof/>
        </w:rPr>
        <w:t>40</w:t>
      </w:r>
      <w:r>
        <w:rPr>
          <w:noProof/>
        </w:rPr>
        <w:fldChar w:fldCharType="end"/>
      </w:r>
    </w:p>
    <w:p w14:paraId="5C2C0B71" w14:textId="5DCDF4E8" w:rsidR="000344B2" w:rsidRDefault="000344B2">
      <w:pPr>
        <w:pStyle w:val="TM1"/>
        <w:tabs>
          <w:tab w:val="left" w:pos="480"/>
          <w:tab w:val="right" w:leader="dot" w:pos="9855"/>
        </w:tabs>
        <w:rPr>
          <w:rFonts w:eastAsiaTheme="minorEastAsia" w:cstheme="minorBidi"/>
          <w:b w:val="0"/>
          <w:bCs w:val="0"/>
          <w:caps w:val="0"/>
          <w:noProof/>
          <w:sz w:val="24"/>
          <w:szCs w:val="24"/>
        </w:rPr>
      </w:pPr>
      <w:r w:rsidRPr="00A73845">
        <w:rPr>
          <w:rFonts w:ascii="Calibri" w:eastAsiaTheme="majorEastAsia" w:hAnsi="Calibri"/>
          <w:noProof/>
        </w:rPr>
        <w:t>5.</w:t>
      </w:r>
      <w:r>
        <w:rPr>
          <w:rFonts w:eastAsiaTheme="minorEastAsia" w:cstheme="minorBidi"/>
          <w:b w:val="0"/>
          <w:bCs w:val="0"/>
          <w:caps w:val="0"/>
          <w:noProof/>
          <w:sz w:val="24"/>
          <w:szCs w:val="24"/>
        </w:rPr>
        <w:tab/>
      </w:r>
      <w:r w:rsidRPr="00A73845">
        <w:rPr>
          <w:rFonts w:ascii="Calibri" w:eastAsiaTheme="majorEastAsia" w:hAnsi="Calibri"/>
          <w:noProof/>
        </w:rPr>
        <w:t>SUIVI ET EVALUATION DU PLAN STRATEGIQUE NATIONAL 2018-2022</w:t>
      </w:r>
      <w:r>
        <w:rPr>
          <w:noProof/>
        </w:rPr>
        <w:tab/>
      </w:r>
      <w:r>
        <w:rPr>
          <w:noProof/>
        </w:rPr>
        <w:fldChar w:fldCharType="begin"/>
      </w:r>
      <w:r>
        <w:rPr>
          <w:noProof/>
        </w:rPr>
        <w:instrText xml:space="preserve"> PAGEREF _Toc520983534 \h </w:instrText>
      </w:r>
      <w:r>
        <w:rPr>
          <w:noProof/>
        </w:rPr>
      </w:r>
      <w:r>
        <w:rPr>
          <w:noProof/>
        </w:rPr>
        <w:fldChar w:fldCharType="separate"/>
      </w:r>
      <w:r>
        <w:rPr>
          <w:noProof/>
        </w:rPr>
        <w:t>41</w:t>
      </w:r>
      <w:r>
        <w:rPr>
          <w:noProof/>
        </w:rPr>
        <w:fldChar w:fldCharType="end"/>
      </w:r>
    </w:p>
    <w:p w14:paraId="20BFD96D" w14:textId="3F5801B9"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5.1.</w:t>
      </w:r>
      <w:r>
        <w:rPr>
          <w:rFonts w:eastAsiaTheme="minorEastAsia" w:cstheme="minorBidi"/>
          <w:smallCaps w:val="0"/>
          <w:noProof/>
          <w:sz w:val="24"/>
          <w:szCs w:val="24"/>
        </w:rPr>
        <w:tab/>
      </w:r>
      <w:r w:rsidRPr="00A73845">
        <w:rPr>
          <w:rFonts w:ascii="Calibri" w:hAnsi="Calibri"/>
          <w:noProof/>
          <w:color w:val="2F5496" w:themeColor="accent5" w:themeShade="BF"/>
        </w:rPr>
        <w:t>Cadre de mise en œuvre du système de suivi et d’évaluation</w:t>
      </w:r>
      <w:r>
        <w:rPr>
          <w:noProof/>
        </w:rPr>
        <w:tab/>
      </w:r>
      <w:r>
        <w:rPr>
          <w:noProof/>
        </w:rPr>
        <w:fldChar w:fldCharType="begin"/>
      </w:r>
      <w:r>
        <w:rPr>
          <w:noProof/>
        </w:rPr>
        <w:instrText xml:space="preserve"> PAGEREF _Toc520983535 \h </w:instrText>
      </w:r>
      <w:r>
        <w:rPr>
          <w:noProof/>
        </w:rPr>
      </w:r>
      <w:r>
        <w:rPr>
          <w:noProof/>
        </w:rPr>
        <w:fldChar w:fldCharType="separate"/>
      </w:r>
      <w:r>
        <w:rPr>
          <w:noProof/>
        </w:rPr>
        <w:t>41</w:t>
      </w:r>
      <w:r>
        <w:rPr>
          <w:noProof/>
        </w:rPr>
        <w:fldChar w:fldCharType="end"/>
      </w:r>
    </w:p>
    <w:p w14:paraId="7B04E93C" w14:textId="75797ABE"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5.2.</w:t>
      </w:r>
      <w:r>
        <w:rPr>
          <w:rFonts w:eastAsiaTheme="minorEastAsia" w:cstheme="minorBidi"/>
          <w:smallCaps w:val="0"/>
          <w:noProof/>
          <w:sz w:val="24"/>
          <w:szCs w:val="24"/>
        </w:rPr>
        <w:tab/>
      </w:r>
      <w:r w:rsidRPr="00A73845">
        <w:rPr>
          <w:rFonts w:ascii="Calibri" w:hAnsi="Calibri"/>
          <w:noProof/>
          <w:color w:val="2F5496" w:themeColor="accent5" w:themeShade="BF"/>
        </w:rPr>
        <w:t>Données d’enquêtes et de recherches</w:t>
      </w:r>
      <w:r>
        <w:rPr>
          <w:noProof/>
        </w:rPr>
        <w:tab/>
      </w:r>
      <w:r>
        <w:rPr>
          <w:noProof/>
        </w:rPr>
        <w:fldChar w:fldCharType="begin"/>
      </w:r>
      <w:r>
        <w:rPr>
          <w:noProof/>
        </w:rPr>
        <w:instrText xml:space="preserve"> PAGEREF _Toc520983536 \h </w:instrText>
      </w:r>
      <w:r>
        <w:rPr>
          <w:noProof/>
        </w:rPr>
      </w:r>
      <w:r>
        <w:rPr>
          <w:noProof/>
        </w:rPr>
        <w:fldChar w:fldCharType="separate"/>
      </w:r>
      <w:r>
        <w:rPr>
          <w:noProof/>
        </w:rPr>
        <w:t>43</w:t>
      </w:r>
      <w:r>
        <w:rPr>
          <w:noProof/>
        </w:rPr>
        <w:fldChar w:fldCharType="end"/>
      </w:r>
    </w:p>
    <w:p w14:paraId="06749D4F" w14:textId="2E77484A"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eastAsiaTheme="majorEastAsia" w:hAnsi="Calibri"/>
          <w:noProof/>
          <w:color w:val="2F5496" w:themeColor="accent5" w:themeShade="BF"/>
        </w:rPr>
        <w:t>5.3.</w:t>
      </w:r>
      <w:r>
        <w:rPr>
          <w:rFonts w:eastAsiaTheme="minorEastAsia" w:cstheme="minorBidi"/>
          <w:smallCaps w:val="0"/>
          <w:noProof/>
          <w:sz w:val="24"/>
          <w:szCs w:val="24"/>
        </w:rPr>
        <w:tab/>
      </w:r>
      <w:r w:rsidRPr="00A73845">
        <w:rPr>
          <w:rFonts w:ascii="Calibri" w:eastAsiaTheme="majorEastAsia" w:hAnsi="Calibri"/>
          <w:noProof/>
          <w:color w:val="2F5496" w:themeColor="accent5" w:themeShade="BF"/>
        </w:rPr>
        <w:t>Cadre de performance du CSN 2018-2022</w:t>
      </w:r>
      <w:r>
        <w:rPr>
          <w:noProof/>
        </w:rPr>
        <w:tab/>
      </w:r>
      <w:r>
        <w:rPr>
          <w:noProof/>
        </w:rPr>
        <w:fldChar w:fldCharType="begin"/>
      </w:r>
      <w:r>
        <w:rPr>
          <w:noProof/>
        </w:rPr>
        <w:instrText xml:space="preserve"> PAGEREF _Toc520983537 \h </w:instrText>
      </w:r>
      <w:r>
        <w:rPr>
          <w:noProof/>
        </w:rPr>
      </w:r>
      <w:r>
        <w:rPr>
          <w:noProof/>
        </w:rPr>
        <w:fldChar w:fldCharType="separate"/>
      </w:r>
      <w:r>
        <w:rPr>
          <w:noProof/>
        </w:rPr>
        <w:t>44</w:t>
      </w:r>
      <w:r>
        <w:rPr>
          <w:noProof/>
        </w:rPr>
        <w:fldChar w:fldCharType="end"/>
      </w:r>
    </w:p>
    <w:p w14:paraId="42C39293" w14:textId="45624315" w:rsidR="000344B2" w:rsidRDefault="000344B2">
      <w:pPr>
        <w:pStyle w:val="TM1"/>
        <w:tabs>
          <w:tab w:val="left" w:pos="480"/>
          <w:tab w:val="right" w:leader="dot" w:pos="9855"/>
        </w:tabs>
        <w:rPr>
          <w:rFonts w:eastAsiaTheme="minorEastAsia" w:cstheme="minorBidi"/>
          <w:b w:val="0"/>
          <w:bCs w:val="0"/>
          <w:caps w:val="0"/>
          <w:noProof/>
          <w:sz w:val="24"/>
          <w:szCs w:val="24"/>
        </w:rPr>
      </w:pPr>
      <w:r w:rsidRPr="00A73845">
        <w:rPr>
          <w:rFonts w:ascii="Calibri" w:eastAsiaTheme="majorEastAsia" w:hAnsi="Calibri"/>
          <w:noProof/>
        </w:rPr>
        <w:t>6.</w:t>
      </w:r>
      <w:r>
        <w:rPr>
          <w:rFonts w:eastAsiaTheme="minorEastAsia" w:cstheme="minorBidi"/>
          <w:b w:val="0"/>
          <w:bCs w:val="0"/>
          <w:caps w:val="0"/>
          <w:noProof/>
          <w:sz w:val="24"/>
          <w:szCs w:val="24"/>
        </w:rPr>
        <w:tab/>
      </w:r>
      <w:r w:rsidRPr="00A73845">
        <w:rPr>
          <w:rFonts w:ascii="Calibri" w:eastAsiaTheme="majorEastAsia" w:hAnsi="Calibri"/>
          <w:noProof/>
        </w:rPr>
        <w:t>BUDGET ET FINANCEMENT DU CSN 2018-2022</w:t>
      </w:r>
      <w:r>
        <w:rPr>
          <w:noProof/>
        </w:rPr>
        <w:tab/>
      </w:r>
      <w:r>
        <w:rPr>
          <w:noProof/>
        </w:rPr>
        <w:fldChar w:fldCharType="begin"/>
      </w:r>
      <w:r>
        <w:rPr>
          <w:noProof/>
        </w:rPr>
        <w:instrText xml:space="preserve"> PAGEREF _Toc520983538 \h </w:instrText>
      </w:r>
      <w:r>
        <w:rPr>
          <w:noProof/>
        </w:rPr>
      </w:r>
      <w:r>
        <w:rPr>
          <w:noProof/>
        </w:rPr>
        <w:fldChar w:fldCharType="separate"/>
      </w:r>
      <w:r>
        <w:rPr>
          <w:noProof/>
        </w:rPr>
        <w:t>44</w:t>
      </w:r>
      <w:r>
        <w:rPr>
          <w:noProof/>
        </w:rPr>
        <w:fldChar w:fldCharType="end"/>
      </w:r>
    </w:p>
    <w:p w14:paraId="63DAF80D" w14:textId="499CA3E2"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6.1.</w:t>
      </w:r>
      <w:r>
        <w:rPr>
          <w:rFonts w:eastAsiaTheme="minorEastAsia" w:cstheme="minorBidi"/>
          <w:smallCaps w:val="0"/>
          <w:noProof/>
          <w:sz w:val="24"/>
          <w:szCs w:val="24"/>
        </w:rPr>
        <w:tab/>
      </w:r>
      <w:r w:rsidRPr="00A73845">
        <w:rPr>
          <w:rFonts w:ascii="Calibri" w:hAnsi="Calibri"/>
          <w:noProof/>
          <w:color w:val="2F5496" w:themeColor="accent5" w:themeShade="BF"/>
        </w:rPr>
        <w:t>Modalités d’établissement du budget et des gaps financiers du CSN 2018-2022</w:t>
      </w:r>
      <w:r>
        <w:rPr>
          <w:noProof/>
        </w:rPr>
        <w:tab/>
      </w:r>
      <w:r>
        <w:rPr>
          <w:noProof/>
        </w:rPr>
        <w:fldChar w:fldCharType="begin"/>
      </w:r>
      <w:r>
        <w:rPr>
          <w:noProof/>
        </w:rPr>
        <w:instrText xml:space="preserve"> PAGEREF _Toc520983539 \h </w:instrText>
      </w:r>
      <w:r>
        <w:rPr>
          <w:noProof/>
        </w:rPr>
      </w:r>
      <w:r>
        <w:rPr>
          <w:noProof/>
        </w:rPr>
        <w:fldChar w:fldCharType="separate"/>
      </w:r>
      <w:r>
        <w:rPr>
          <w:noProof/>
        </w:rPr>
        <w:t>44</w:t>
      </w:r>
      <w:r>
        <w:rPr>
          <w:noProof/>
        </w:rPr>
        <w:fldChar w:fldCharType="end"/>
      </w:r>
    </w:p>
    <w:p w14:paraId="626B0514" w14:textId="1BA38E0C"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6.2.</w:t>
      </w:r>
      <w:r>
        <w:rPr>
          <w:rFonts w:eastAsiaTheme="minorEastAsia" w:cstheme="minorBidi"/>
          <w:smallCaps w:val="0"/>
          <w:noProof/>
          <w:sz w:val="24"/>
          <w:szCs w:val="24"/>
        </w:rPr>
        <w:tab/>
      </w:r>
      <w:r w:rsidRPr="00A73845">
        <w:rPr>
          <w:rFonts w:ascii="Calibri" w:hAnsi="Calibri"/>
          <w:noProof/>
          <w:color w:val="2F5496" w:themeColor="accent5" w:themeShade="BF"/>
        </w:rPr>
        <w:t>Estimation globale des gaps financiers du CSN 2018-2022</w:t>
      </w:r>
      <w:r>
        <w:rPr>
          <w:noProof/>
        </w:rPr>
        <w:tab/>
      </w:r>
      <w:r>
        <w:rPr>
          <w:noProof/>
        </w:rPr>
        <w:fldChar w:fldCharType="begin"/>
      </w:r>
      <w:r>
        <w:rPr>
          <w:noProof/>
        </w:rPr>
        <w:instrText xml:space="preserve"> PAGEREF _Toc520983540 \h </w:instrText>
      </w:r>
      <w:r>
        <w:rPr>
          <w:noProof/>
        </w:rPr>
      </w:r>
      <w:r>
        <w:rPr>
          <w:noProof/>
        </w:rPr>
        <w:fldChar w:fldCharType="separate"/>
      </w:r>
      <w:r>
        <w:rPr>
          <w:noProof/>
        </w:rPr>
        <w:t>45</w:t>
      </w:r>
      <w:r>
        <w:rPr>
          <w:noProof/>
        </w:rPr>
        <w:fldChar w:fldCharType="end"/>
      </w:r>
    </w:p>
    <w:p w14:paraId="3EAEC1DB" w14:textId="70F3C96F"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6.3.</w:t>
      </w:r>
      <w:r>
        <w:rPr>
          <w:rFonts w:eastAsiaTheme="minorEastAsia" w:cstheme="minorBidi"/>
          <w:smallCaps w:val="0"/>
          <w:noProof/>
          <w:sz w:val="24"/>
          <w:szCs w:val="24"/>
        </w:rPr>
        <w:tab/>
      </w:r>
      <w:r w:rsidRPr="00A73845">
        <w:rPr>
          <w:rFonts w:ascii="Calibri" w:hAnsi="Calibri"/>
          <w:noProof/>
          <w:color w:val="2F5496" w:themeColor="accent5" w:themeShade="BF"/>
        </w:rPr>
        <w:t>Stratégie pour la mobilisation des ressources</w:t>
      </w:r>
      <w:r>
        <w:rPr>
          <w:noProof/>
        </w:rPr>
        <w:tab/>
      </w:r>
      <w:r>
        <w:rPr>
          <w:noProof/>
        </w:rPr>
        <w:fldChar w:fldCharType="begin"/>
      </w:r>
      <w:r>
        <w:rPr>
          <w:noProof/>
        </w:rPr>
        <w:instrText xml:space="preserve"> PAGEREF _Toc520983541 \h </w:instrText>
      </w:r>
      <w:r>
        <w:rPr>
          <w:noProof/>
        </w:rPr>
      </w:r>
      <w:r>
        <w:rPr>
          <w:noProof/>
        </w:rPr>
        <w:fldChar w:fldCharType="separate"/>
      </w:r>
      <w:r>
        <w:rPr>
          <w:noProof/>
        </w:rPr>
        <w:t>45</w:t>
      </w:r>
      <w:r>
        <w:rPr>
          <w:noProof/>
        </w:rPr>
        <w:fldChar w:fldCharType="end"/>
      </w:r>
    </w:p>
    <w:p w14:paraId="514FD67C" w14:textId="046ADD3F"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6.4.</w:t>
      </w:r>
      <w:r>
        <w:rPr>
          <w:rFonts w:eastAsiaTheme="minorEastAsia" w:cstheme="minorBidi"/>
          <w:smallCaps w:val="0"/>
          <w:noProof/>
          <w:sz w:val="24"/>
          <w:szCs w:val="24"/>
        </w:rPr>
        <w:tab/>
      </w:r>
      <w:r w:rsidRPr="00A73845">
        <w:rPr>
          <w:rFonts w:ascii="Calibri" w:hAnsi="Calibri"/>
          <w:noProof/>
          <w:color w:val="2F5496" w:themeColor="accent5" w:themeShade="BF"/>
        </w:rPr>
        <w:t>Mécanismes de Gestion des Ressources et Financières</w:t>
      </w:r>
      <w:r>
        <w:rPr>
          <w:noProof/>
        </w:rPr>
        <w:tab/>
      </w:r>
      <w:r>
        <w:rPr>
          <w:noProof/>
        </w:rPr>
        <w:fldChar w:fldCharType="begin"/>
      </w:r>
      <w:r>
        <w:rPr>
          <w:noProof/>
        </w:rPr>
        <w:instrText xml:space="preserve"> PAGEREF _Toc520983542 \h </w:instrText>
      </w:r>
      <w:r>
        <w:rPr>
          <w:noProof/>
        </w:rPr>
      </w:r>
      <w:r>
        <w:rPr>
          <w:noProof/>
        </w:rPr>
        <w:fldChar w:fldCharType="separate"/>
      </w:r>
      <w:r>
        <w:rPr>
          <w:noProof/>
        </w:rPr>
        <w:t>45</w:t>
      </w:r>
      <w:r>
        <w:rPr>
          <w:noProof/>
        </w:rPr>
        <w:fldChar w:fldCharType="end"/>
      </w:r>
    </w:p>
    <w:p w14:paraId="7EE42A69" w14:textId="71FD3924" w:rsidR="000344B2" w:rsidRDefault="000344B2">
      <w:pPr>
        <w:pStyle w:val="TM1"/>
        <w:tabs>
          <w:tab w:val="left" w:pos="480"/>
          <w:tab w:val="right" w:leader="dot" w:pos="9855"/>
        </w:tabs>
        <w:rPr>
          <w:rFonts w:eastAsiaTheme="minorEastAsia" w:cstheme="minorBidi"/>
          <w:b w:val="0"/>
          <w:bCs w:val="0"/>
          <w:caps w:val="0"/>
          <w:noProof/>
          <w:sz w:val="24"/>
          <w:szCs w:val="24"/>
        </w:rPr>
      </w:pPr>
      <w:r w:rsidRPr="00A73845">
        <w:rPr>
          <w:rFonts w:ascii="Calibri" w:eastAsiaTheme="majorEastAsia" w:hAnsi="Calibri"/>
          <w:noProof/>
        </w:rPr>
        <w:t>7.</w:t>
      </w:r>
      <w:r>
        <w:rPr>
          <w:rFonts w:eastAsiaTheme="minorEastAsia" w:cstheme="minorBidi"/>
          <w:b w:val="0"/>
          <w:bCs w:val="0"/>
          <w:caps w:val="0"/>
          <w:noProof/>
          <w:sz w:val="24"/>
          <w:szCs w:val="24"/>
        </w:rPr>
        <w:tab/>
      </w:r>
      <w:r w:rsidRPr="00A73845">
        <w:rPr>
          <w:rFonts w:ascii="Calibri" w:eastAsiaTheme="majorEastAsia" w:hAnsi="Calibri"/>
          <w:noProof/>
        </w:rPr>
        <w:t>CONDITIONS DE SUCCES ET MESURES D’ATTENUATION DES RISQUES</w:t>
      </w:r>
      <w:r>
        <w:rPr>
          <w:noProof/>
        </w:rPr>
        <w:tab/>
      </w:r>
      <w:r>
        <w:rPr>
          <w:noProof/>
        </w:rPr>
        <w:fldChar w:fldCharType="begin"/>
      </w:r>
      <w:r>
        <w:rPr>
          <w:noProof/>
        </w:rPr>
        <w:instrText xml:space="preserve"> PAGEREF _Toc520983543 \h </w:instrText>
      </w:r>
      <w:r>
        <w:rPr>
          <w:noProof/>
        </w:rPr>
      </w:r>
      <w:r>
        <w:rPr>
          <w:noProof/>
        </w:rPr>
        <w:fldChar w:fldCharType="separate"/>
      </w:r>
      <w:r>
        <w:rPr>
          <w:noProof/>
        </w:rPr>
        <w:t>46</w:t>
      </w:r>
      <w:r>
        <w:rPr>
          <w:noProof/>
        </w:rPr>
        <w:fldChar w:fldCharType="end"/>
      </w:r>
    </w:p>
    <w:p w14:paraId="123BF668" w14:textId="75E23E5A" w:rsidR="000344B2" w:rsidRDefault="000344B2">
      <w:pPr>
        <w:pStyle w:val="TM1"/>
        <w:tabs>
          <w:tab w:val="left" w:pos="480"/>
          <w:tab w:val="right" w:leader="dot" w:pos="9855"/>
        </w:tabs>
        <w:rPr>
          <w:rFonts w:eastAsiaTheme="minorEastAsia" w:cstheme="minorBidi"/>
          <w:b w:val="0"/>
          <w:bCs w:val="0"/>
          <w:caps w:val="0"/>
          <w:noProof/>
          <w:sz w:val="24"/>
          <w:szCs w:val="24"/>
        </w:rPr>
      </w:pPr>
      <w:r w:rsidRPr="00A73845">
        <w:rPr>
          <w:rFonts w:ascii="Calibri" w:hAnsi="Calibri"/>
          <w:noProof/>
        </w:rPr>
        <w:t>8.</w:t>
      </w:r>
      <w:r>
        <w:rPr>
          <w:rFonts w:eastAsiaTheme="minorEastAsia" w:cstheme="minorBidi"/>
          <w:b w:val="0"/>
          <w:bCs w:val="0"/>
          <w:caps w:val="0"/>
          <w:noProof/>
          <w:sz w:val="24"/>
          <w:szCs w:val="24"/>
        </w:rPr>
        <w:tab/>
      </w:r>
      <w:r w:rsidRPr="00A73845">
        <w:rPr>
          <w:rFonts w:ascii="Calibri" w:hAnsi="Calibri"/>
          <w:noProof/>
        </w:rPr>
        <w:t>ANNEXES</w:t>
      </w:r>
      <w:r>
        <w:rPr>
          <w:noProof/>
        </w:rPr>
        <w:tab/>
      </w:r>
      <w:r>
        <w:rPr>
          <w:noProof/>
        </w:rPr>
        <w:fldChar w:fldCharType="begin"/>
      </w:r>
      <w:r>
        <w:rPr>
          <w:noProof/>
        </w:rPr>
        <w:instrText xml:space="preserve"> PAGEREF _Toc520983544 \h </w:instrText>
      </w:r>
      <w:r>
        <w:rPr>
          <w:noProof/>
        </w:rPr>
      </w:r>
      <w:r>
        <w:rPr>
          <w:noProof/>
        </w:rPr>
        <w:fldChar w:fldCharType="separate"/>
      </w:r>
      <w:r>
        <w:rPr>
          <w:noProof/>
        </w:rPr>
        <w:t>49</w:t>
      </w:r>
      <w:r>
        <w:rPr>
          <w:noProof/>
        </w:rPr>
        <w:fldChar w:fldCharType="end"/>
      </w:r>
    </w:p>
    <w:p w14:paraId="2168BBCA" w14:textId="24FFE7C4"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8.1.</w:t>
      </w:r>
      <w:r>
        <w:rPr>
          <w:rFonts w:eastAsiaTheme="minorEastAsia" w:cstheme="minorBidi"/>
          <w:smallCaps w:val="0"/>
          <w:noProof/>
          <w:sz w:val="24"/>
          <w:szCs w:val="24"/>
        </w:rPr>
        <w:tab/>
      </w:r>
      <w:r w:rsidRPr="00A73845">
        <w:rPr>
          <w:rFonts w:ascii="Calibri" w:hAnsi="Calibri"/>
          <w:noProof/>
          <w:color w:val="2F5496" w:themeColor="accent5" w:themeShade="BF"/>
        </w:rPr>
        <w:t>CADRE DE PERFORMANCE DU CSN 2018-2022</w:t>
      </w:r>
      <w:r>
        <w:rPr>
          <w:noProof/>
        </w:rPr>
        <w:tab/>
      </w:r>
      <w:r>
        <w:rPr>
          <w:noProof/>
        </w:rPr>
        <w:fldChar w:fldCharType="begin"/>
      </w:r>
      <w:r>
        <w:rPr>
          <w:noProof/>
        </w:rPr>
        <w:instrText xml:space="preserve"> PAGEREF _Toc520983545 \h </w:instrText>
      </w:r>
      <w:r>
        <w:rPr>
          <w:noProof/>
        </w:rPr>
      </w:r>
      <w:r>
        <w:rPr>
          <w:noProof/>
        </w:rPr>
        <w:fldChar w:fldCharType="separate"/>
      </w:r>
      <w:r>
        <w:rPr>
          <w:noProof/>
        </w:rPr>
        <w:t>49</w:t>
      </w:r>
      <w:r>
        <w:rPr>
          <w:noProof/>
        </w:rPr>
        <w:fldChar w:fldCharType="end"/>
      </w:r>
    </w:p>
    <w:p w14:paraId="49F8FD36" w14:textId="704CE3A7"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8.2.</w:t>
      </w:r>
      <w:r>
        <w:rPr>
          <w:rFonts w:eastAsiaTheme="minorEastAsia" w:cstheme="minorBidi"/>
          <w:smallCaps w:val="0"/>
          <w:noProof/>
          <w:sz w:val="24"/>
          <w:szCs w:val="24"/>
        </w:rPr>
        <w:tab/>
      </w:r>
      <w:r w:rsidRPr="00A73845">
        <w:rPr>
          <w:rFonts w:ascii="Calibri" w:hAnsi="Calibri"/>
          <w:noProof/>
          <w:color w:val="2F5496" w:themeColor="accent5" w:themeShade="BF"/>
        </w:rPr>
        <w:t>CADRE DES RESULTATS DU CSN 2018-2022</w:t>
      </w:r>
      <w:r>
        <w:rPr>
          <w:noProof/>
        </w:rPr>
        <w:tab/>
      </w:r>
      <w:r>
        <w:rPr>
          <w:noProof/>
        </w:rPr>
        <w:fldChar w:fldCharType="begin"/>
      </w:r>
      <w:r>
        <w:rPr>
          <w:noProof/>
        </w:rPr>
        <w:instrText xml:space="preserve"> PAGEREF _Toc520983546 \h </w:instrText>
      </w:r>
      <w:r>
        <w:rPr>
          <w:noProof/>
        </w:rPr>
      </w:r>
      <w:r>
        <w:rPr>
          <w:noProof/>
        </w:rPr>
        <w:fldChar w:fldCharType="separate"/>
      </w:r>
      <w:r>
        <w:rPr>
          <w:noProof/>
        </w:rPr>
        <w:t>52</w:t>
      </w:r>
      <w:r>
        <w:rPr>
          <w:noProof/>
        </w:rPr>
        <w:fldChar w:fldCharType="end"/>
      </w:r>
    </w:p>
    <w:p w14:paraId="7016EFBC" w14:textId="6282966C"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color w:val="2F5496" w:themeColor="accent5" w:themeShade="BF"/>
        </w:rPr>
        <w:t>8.3.</w:t>
      </w:r>
      <w:r>
        <w:rPr>
          <w:rFonts w:eastAsiaTheme="minorEastAsia" w:cstheme="minorBidi"/>
          <w:smallCaps w:val="0"/>
          <w:noProof/>
          <w:sz w:val="24"/>
          <w:szCs w:val="24"/>
        </w:rPr>
        <w:tab/>
      </w:r>
      <w:r w:rsidRPr="00A73845">
        <w:rPr>
          <w:rFonts w:ascii="Calibri" w:hAnsi="Calibri"/>
          <w:noProof/>
          <w:color w:val="2F5496" w:themeColor="accent5" w:themeShade="BF"/>
        </w:rPr>
        <w:t>REPARTITION DU BUDGET CSN 2018-2022</w:t>
      </w:r>
      <w:r>
        <w:rPr>
          <w:noProof/>
        </w:rPr>
        <w:tab/>
      </w:r>
      <w:r>
        <w:rPr>
          <w:noProof/>
        </w:rPr>
        <w:fldChar w:fldCharType="begin"/>
      </w:r>
      <w:r>
        <w:rPr>
          <w:noProof/>
        </w:rPr>
        <w:instrText xml:space="preserve"> PAGEREF _Toc520983547 \h </w:instrText>
      </w:r>
      <w:r>
        <w:rPr>
          <w:noProof/>
        </w:rPr>
      </w:r>
      <w:r>
        <w:rPr>
          <w:noProof/>
        </w:rPr>
        <w:fldChar w:fldCharType="separate"/>
      </w:r>
      <w:r>
        <w:rPr>
          <w:noProof/>
        </w:rPr>
        <w:t>55</w:t>
      </w:r>
      <w:r>
        <w:rPr>
          <w:noProof/>
        </w:rPr>
        <w:fldChar w:fldCharType="end"/>
      </w:r>
    </w:p>
    <w:p w14:paraId="3AF7E773" w14:textId="78010A74" w:rsidR="000344B2" w:rsidRDefault="000344B2">
      <w:pPr>
        <w:pStyle w:val="TM2"/>
        <w:tabs>
          <w:tab w:val="left" w:pos="960"/>
          <w:tab w:val="right" w:leader="dot" w:pos="9855"/>
        </w:tabs>
        <w:rPr>
          <w:rFonts w:eastAsiaTheme="minorEastAsia" w:cstheme="minorBidi"/>
          <w:smallCaps w:val="0"/>
          <w:noProof/>
          <w:sz w:val="24"/>
          <w:szCs w:val="24"/>
        </w:rPr>
      </w:pPr>
      <w:r w:rsidRPr="00A73845">
        <w:rPr>
          <w:rFonts w:ascii="Calibri" w:hAnsi="Calibri"/>
          <w:noProof/>
        </w:rPr>
        <w:t>8.4.</w:t>
      </w:r>
      <w:r>
        <w:rPr>
          <w:rFonts w:eastAsiaTheme="minorEastAsia" w:cstheme="minorBidi"/>
          <w:smallCaps w:val="0"/>
          <w:noProof/>
          <w:sz w:val="24"/>
          <w:szCs w:val="24"/>
        </w:rPr>
        <w:tab/>
      </w:r>
      <w:r w:rsidRPr="00A73845">
        <w:rPr>
          <w:rFonts w:ascii="Calibri" w:hAnsi="Calibri"/>
          <w:noProof/>
        </w:rPr>
        <w:t>Liste des participants à l’atelier de planification du cadre stratégique national de lutte contre le sida du 13 au 22 novembre 2017 à Kindia</w:t>
      </w:r>
      <w:r>
        <w:rPr>
          <w:noProof/>
        </w:rPr>
        <w:tab/>
      </w:r>
      <w:r>
        <w:rPr>
          <w:noProof/>
        </w:rPr>
        <w:fldChar w:fldCharType="begin"/>
      </w:r>
      <w:r>
        <w:rPr>
          <w:noProof/>
        </w:rPr>
        <w:instrText xml:space="preserve"> PAGEREF _Toc520983548 \h </w:instrText>
      </w:r>
      <w:r>
        <w:rPr>
          <w:noProof/>
        </w:rPr>
      </w:r>
      <w:r>
        <w:rPr>
          <w:noProof/>
        </w:rPr>
        <w:fldChar w:fldCharType="separate"/>
      </w:r>
      <w:r>
        <w:rPr>
          <w:noProof/>
        </w:rPr>
        <w:t>56</w:t>
      </w:r>
      <w:r>
        <w:rPr>
          <w:noProof/>
        </w:rPr>
        <w:fldChar w:fldCharType="end"/>
      </w:r>
    </w:p>
    <w:p w14:paraId="201BFC32" w14:textId="3AC302A4" w:rsidR="00FE2B19" w:rsidRPr="00EA15A3" w:rsidRDefault="00895621" w:rsidP="00EA15A3">
      <w:pPr>
        <w:pStyle w:val="En-ttedetabledesmatires"/>
        <w:spacing w:before="0" w:line="240" w:lineRule="auto"/>
        <w:rPr>
          <w:rFonts w:ascii="Calibri" w:hAnsi="Calibri"/>
          <w:sz w:val="22"/>
          <w:szCs w:val="22"/>
        </w:rPr>
      </w:pPr>
      <w:r w:rsidRPr="00EA15A3">
        <w:rPr>
          <w:rFonts w:ascii="Calibri" w:hAnsi="Calibri"/>
          <w:sz w:val="22"/>
          <w:szCs w:val="22"/>
        </w:rPr>
        <w:fldChar w:fldCharType="end"/>
      </w:r>
      <w:r w:rsidR="00FE2B19" w:rsidRPr="00EA15A3">
        <w:rPr>
          <w:rFonts w:ascii="Calibri" w:hAnsi="Calibri"/>
          <w:sz w:val="22"/>
          <w:szCs w:val="22"/>
        </w:rPr>
        <w:br w:type="page"/>
      </w:r>
    </w:p>
    <w:p w14:paraId="6CA6CBE0" w14:textId="3E68AD02" w:rsidR="00FE2B19" w:rsidRPr="00252CE7" w:rsidRDefault="00252CE7" w:rsidP="00252CE7">
      <w:pPr>
        <w:pStyle w:val="Titre1"/>
        <w:numPr>
          <w:ilvl w:val="0"/>
          <w:numId w:val="0"/>
        </w:numPr>
        <w:pBdr>
          <w:bottom w:val="single" w:sz="4" w:space="1" w:color="auto"/>
        </w:pBdr>
        <w:spacing w:after="0"/>
        <w:jc w:val="center"/>
        <w:rPr>
          <w:rFonts w:ascii="Calibri" w:hAnsi="Calibri"/>
          <w:color w:val="C00000"/>
        </w:rPr>
      </w:pPr>
      <w:bookmarkStart w:id="0" w:name="_Toc500520911"/>
      <w:bookmarkStart w:id="1" w:name="_Toc518498138"/>
      <w:bookmarkStart w:id="2" w:name="_Toc520983512"/>
      <w:r w:rsidRPr="00252CE7">
        <w:rPr>
          <w:rFonts w:ascii="Calibri" w:hAnsi="Calibri"/>
          <w:color w:val="C00000"/>
        </w:rPr>
        <w:t>LISTE DES SIGLES ET ACRONYMES</w:t>
      </w:r>
      <w:bookmarkEnd w:id="0"/>
      <w:bookmarkEnd w:id="1"/>
      <w:bookmarkEnd w:id="2"/>
    </w:p>
    <w:p w14:paraId="55E835AD" w14:textId="77777777" w:rsidR="00FE2B19" w:rsidRPr="005B52BA" w:rsidRDefault="00FE2B19" w:rsidP="00FE2B19">
      <w:pPr>
        <w:pStyle w:val="Paragraphedeliste"/>
        <w:ind w:left="0"/>
        <w:jc w:val="both"/>
        <w:rPr>
          <w:rFonts w:ascii="Calibri" w:hAnsi="Calibri"/>
        </w:rPr>
      </w:pPr>
    </w:p>
    <w:tbl>
      <w:tblPr>
        <w:tblW w:w="0" w:type="auto"/>
        <w:tblLook w:val="01E0" w:firstRow="1" w:lastRow="1" w:firstColumn="1" w:lastColumn="1" w:noHBand="0" w:noVBand="0"/>
      </w:tblPr>
      <w:tblGrid>
        <w:gridCol w:w="1715"/>
        <w:gridCol w:w="7641"/>
      </w:tblGrid>
      <w:tr w:rsidR="00FE2B19" w:rsidRPr="00252CE7" w14:paraId="3CA1F5B3" w14:textId="77777777" w:rsidTr="00FE2B19">
        <w:trPr>
          <w:trHeight w:val="284"/>
        </w:trPr>
        <w:tc>
          <w:tcPr>
            <w:tcW w:w="1715" w:type="dxa"/>
            <w:shd w:val="clear" w:color="auto" w:fill="92D050"/>
            <w:vAlign w:val="center"/>
          </w:tcPr>
          <w:p w14:paraId="48601DDE"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AGBEF</w:t>
            </w:r>
          </w:p>
        </w:tc>
        <w:tc>
          <w:tcPr>
            <w:tcW w:w="7641" w:type="dxa"/>
            <w:vAlign w:val="center"/>
          </w:tcPr>
          <w:p w14:paraId="2A669655" w14:textId="77777777" w:rsidR="00FE2B19" w:rsidRPr="00252CE7" w:rsidRDefault="00FE2B19" w:rsidP="00FE2B19">
            <w:pPr>
              <w:jc w:val="both"/>
              <w:rPr>
                <w:rFonts w:asciiTheme="minorHAnsi" w:hAnsiTheme="minorHAnsi" w:cstheme="minorHAnsi"/>
                <w:noProof/>
                <w:color w:val="000000"/>
                <w:sz w:val="20"/>
                <w:szCs w:val="20"/>
              </w:rPr>
            </w:pPr>
            <w:r w:rsidRPr="00252CE7">
              <w:rPr>
                <w:rFonts w:asciiTheme="minorHAnsi" w:hAnsiTheme="minorHAnsi" w:cstheme="minorHAnsi"/>
                <w:noProof/>
                <w:color w:val="000000"/>
                <w:sz w:val="20"/>
                <w:szCs w:val="20"/>
              </w:rPr>
              <w:t>Association Guinéenne du Bien Etre Familiale</w:t>
            </w:r>
          </w:p>
        </w:tc>
      </w:tr>
      <w:tr w:rsidR="00FE2B19" w:rsidRPr="00252CE7" w14:paraId="03C5AF41" w14:textId="77777777" w:rsidTr="00FE2B19">
        <w:trPr>
          <w:trHeight w:val="284"/>
        </w:trPr>
        <w:tc>
          <w:tcPr>
            <w:tcW w:w="1715" w:type="dxa"/>
            <w:shd w:val="clear" w:color="auto" w:fill="92D050"/>
            <w:vAlign w:val="center"/>
          </w:tcPr>
          <w:p w14:paraId="2C5B9E0F"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ARV</w:t>
            </w:r>
          </w:p>
        </w:tc>
        <w:tc>
          <w:tcPr>
            <w:tcW w:w="7641" w:type="dxa"/>
            <w:vAlign w:val="center"/>
          </w:tcPr>
          <w:p w14:paraId="51CB6A9B"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Antirétroviraux</w:t>
            </w:r>
          </w:p>
        </w:tc>
      </w:tr>
      <w:tr w:rsidR="00FE2B19" w:rsidRPr="00252CE7" w14:paraId="2085CE45" w14:textId="77777777" w:rsidTr="00FE2B19">
        <w:trPr>
          <w:trHeight w:val="284"/>
        </w:trPr>
        <w:tc>
          <w:tcPr>
            <w:tcW w:w="1715" w:type="dxa"/>
            <w:shd w:val="clear" w:color="auto" w:fill="92D050"/>
            <w:vAlign w:val="center"/>
          </w:tcPr>
          <w:p w14:paraId="51E0F627"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ASFEGMASSI</w:t>
            </w:r>
          </w:p>
        </w:tc>
        <w:tc>
          <w:tcPr>
            <w:tcW w:w="7641" w:type="dxa"/>
            <w:vAlign w:val="center"/>
          </w:tcPr>
          <w:p w14:paraId="3E501015" w14:textId="77777777" w:rsidR="00FE2B19" w:rsidRPr="00252CE7" w:rsidRDefault="00FE2B19" w:rsidP="00FE2B19">
            <w:pPr>
              <w:jc w:val="both"/>
              <w:rPr>
                <w:rFonts w:asciiTheme="minorHAnsi" w:hAnsiTheme="minorHAnsi" w:cstheme="minorHAnsi"/>
                <w:noProof/>
                <w:color w:val="000000"/>
                <w:sz w:val="20"/>
                <w:szCs w:val="20"/>
              </w:rPr>
            </w:pPr>
            <w:r w:rsidRPr="00252CE7">
              <w:rPr>
                <w:rFonts w:asciiTheme="minorHAnsi" w:hAnsiTheme="minorHAnsi" w:cstheme="minorHAnsi"/>
                <w:noProof/>
                <w:color w:val="000000"/>
                <w:sz w:val="20"/>
                <w:szCs w:val="20"/>
              </w:rPr>
              <w:t xml:space="preserve">Association des Femmes de Guinée pour la </w:t>
            </w:r>
          </w:p>
        </w:tc>
      </w:tr>
      <w:tr w:rsidR="00FE2B19" w:rsidRPr="00252CE7" w14:paraId="6E0305B2" w14:textId="77777777" w:rsidTr="00FE2B19">
        <w:trPr>
          <w:trHeight w:val="284"/>
        </w:trPr>
        <w:tc>
          <w:tcPr>
            <w:tcW w:w="1715" w:type="dxa"/>
            <w:shd w:val="clear" w:color="auto" w:fill="92D050"/>
            <w:vAlign w:val="center"/>
          </w:tcPr>
          <w:p w14:paraId="48470256"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BND</w:t>
            </w:r>
          </w:p>
        </w:tc>
        <w:tc>
          <w:tcPr>
            <w:tcW w:w="7641" w:type="dxa"/>
            <w:vAlign w:val="center"/>
          </w:tcPr>
          <w:p w14:paraId="67316BD7"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Budget National de Développement</w:t>
            </w:r>
          </w:p>
        </w:tc>
      </w:tr>
      <w:tr w:rsidR="00FE2B19" w:rsidRPr="00252CE7" w14:paraId="07AFF209" w14:textId="77777777" w:rsidTr="00FE2B19">
        <w:trPr>
          <w:trHeight w:val="284"/>
        </w:trPr>
        <w:tc>
          <w:tcPr>
            <w:tcW w:w="1715" w:type="dxa"/>
            <w:shd w:val="clear" w:color="auto" w:fill="92D050"/>
            <w:vAlign w:val="center"/>
          </w:tcPr>
          <w:p w14:paraId="013BD560"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CCC</w:t>
            </w:r>
          </w:p>
        </w:tc>
        <w:tc>
          <w:tcPr>
            <w:tcW w:w="7641" w:type="dxa"/>
            <w:vAlign w:val="center"/>
          </w:tcPr>
          <w:p w14:paraId="6F757254"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Communication pour le Changement de Comportement</w:t>
            </w:r>
          </w:p>
        </w:tc>
      </w:tr>
      <w:tr w:rsidR="00FE2B19" w:rsidRPr="00252CE7" w14:paraId="7309B480" w14:textId="77777777" w:rsidTr="00FE2B19">
        <w:trPr>
          <w:trHeight w:val="284"/>
        </w:trPr>
        <w:tc>
          <w:tcPr>
            <w:tcW w:w="1715" w:type="dxa"/>
            <w:shd w:val="clear" w:color="auto" w:fill="92D050"/>
            <w:vAlign w:val="center"/>
          </w:tcPr>
          <w:p w14:paraId="03E5097B"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CECOJE</w:t>
            </w:r>
          </w:p>
        </w:tc>
        <w:tc>
          <w:tcPr>
            <w:tcW w:w="7641" w:type="dxa"/>
            <w:vAlign w:val="center"/>
          </w:tcPr>
          <w:p w14:paraId="04A96EBB" w14:textId="77777777" w:rsidR="00FE2B19" w:rsidRPr="00252CE7" w:rsidRDefault="00FE2B19" w:rsidP="00FE2B19">
            <w:pPr>
              <w:jc w:val="both"/>
              <w:rPr>
                <w:rFonts w:asciiTheme="minorHAnsi" w:hAnsiTheme="minorHAnsi" w:cstheme="minorHAnsi"/>
                <w:noProof/>
                <w:color w:val="000000"/>
                <w:sz w:val="20"/>
                <w:szCs w:val="20"/>
              </w:rPr>
            </w:pPr>
            <w:r w:rsidRPr="00252CE7">
              <w:rPr>
                <w:rFonts w:asciiTheme="minorHAnsi" w:hAnsiTheme="minorHAnsi" w:cstheme="minorHAnsi"/>
                <w:noProof/>
                <w:color w:val="000000"/>
                <w:sz w:val="20"/>
                <w:szCs w:val="20"/>
              </w:rPr>
              <w:t>Centre d’Ecoute, de Conseil et d’Orientation des Jeunes</w:t>
            </w:r>
          </w:p>
        </w:tc>
      </w:tr>
      <w:tr w:rsidR="00FE2B19" w:rsidRPr="00252CE7" w14:paraId="063DBE2F" w14:textId="77777777" w:rsidTr="00FE2B19">
        <w:trPr>
          <w:trHeight w:val="284"/>
        </w:trPr>
        <w:tc>
          <w:tcPr>
            <w:tcW w:w="1715" w:type="dxa"/>
            <w:shd w:val="clear" w:color="auto" w:fill="92D050"/>
            <w:vAlign w:val="center"/>
          </w:tcPr>
          <w:p w14:paraId="565E9805"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CDV</w:t>
            </w:r>
          </w:p>
        </w:tc>
        <w:tc>
          <w:tcPr>
            <w:tcW w:w="7641" w:type="dxa"/>
            <w:vAlign w:val="center"/>
          </w:tcPr>
          <w:p w14:paraId="05FAEC09"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Conseil et Dépistage Volontaires</w:t>
            </w:r>
          </w:p>
        </w:tc>
      </w:tr>
      <w:tr w:rsidR="00FE2B19" w:rsidRPr="00252CE7" w14:paraId="529C32BD" w14:textId="77777777" w:rsidTr="00FE2B19">
        <w:trPr>
          <w:trHeight w:val="284"/>
        </w:trPr>
        <w:tc>
          <w:tcPr>
            <w:tcW w:w="1715" w:type="dxa"/>
            <w:shd w:val="clear" w:color="auto" w:fill="92D050"/>
            <w:vAlign w:val="center"/>
          </w:tcPr>
          <w:p w14:paraId="09B5CB4C"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CHU</w:t>
            </w:r>
          </w:p>
        </w:tc>
        <w:tc>
          <w:tcPr>
            <w:tcW w:w="7641" w:type="dxa"/>
            <w:vAlign w:val="center"/>
          </w:tcPr>
          <w:p w14:paraId="1E44DB42"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Centre Hospitalier et Universitaire</w:t>
            </w:r>
          </w:p>
        </w:tc>
      </w:tr>
      <w:tr w:rsidR="00FE2B19" w:rsidRPr="00252CE7" w14:paraId="2FC3FD1F" w14:textId="77777777" w:rsidTr="00FE2B19">
        <w:trPr>
          <w:trHeight w:val="284"/>
        </w:trPr>
        <w:tc>
          <w:tcPr>
            <w:tcW w:w="1715" w:type="dxa"/>
            <w:shd w:val="clear" w:color="auto" w:fill="92D050"/>
            <w:vAlign w:val="center"/>
          </w:tcPr>
          <w:p w14:paraId="4D536C9A"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CSN</w:t>
            </w:r>
          </w:p>
        </w:tc>
        <w:tc>
          <w:tcPr>
            <w:tcW w:w="7641" w:type="dxa"/>
            <w:vAlign w:val="center"/>
          </w:tcPr>
          <w:p w14:paraId="147A3806"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Cadre Stratégique National</w:t>
            </w:r>
          </w:p>
        </w:tc>
      </w:tr>
      <w:tr w:rsidR="00FE2B19" w:rsidRPr="00252CE7" w14:paraId="5FE022E7" w14:textId="77777777" w:rsidTr="00FE2B19">
        <w:trPr>
          <w:trHeight w:val="284"/>
        </w:trPr>
        <w:tc>
          <w:tcPr>
            <w:tcW w:w="1715" w:type="dxa"/>
            <w:shd w:val="clear" w:color="auto" w:fill="92D050"/>
            <w:vAlign w:val="center"/>
          </w:tcPr>
          <w:p w14:paraId="0CD257EB"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CNLS</w:t>
            </w:r>
          </w:p>
        </w:tc>
        <w:tc>
          <w:tcPr>
            <w:tcW w:w="7641" w:type="dxa"/>
            <w:vAlign w:val="center"/>
          </w:tcPr>
          <w:p w14:paraId="7C839B0C" w14:textId="7D388D44"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 xml:space="preserve">Comité National de Lutte contre le </w:t>
            </w:r>
            <w:r w:rsidR="0036679F" w:rsidRPr="00252CE7">
              <w:rPr>
                <w:rFonts w:asciiTheme="minorHAnsi" w:hAnsiTheme="minorHAnsi" w:cstheme="minorHAnsi"/>
                <w:sz w:val="20"/>
                <w:szCs w:val="20"/>
              </w:rPr>
              <w:t>sida</w:t>
            </w:r>
          </w:p>
        </w:tc>
      </w:tr>
      <w:tr w:rsidR="00FE2B19" w:rsidRPr="00252CE7" w14:paraId="7443632C" w14:textId="77777777" w:rsidTr="00FE2B19">
        <w:trPr>
          <w:trHeight w:val="284"/>
        </w:trPr>
        <w:tc>
          <w:tcPr>
            <w:tcW w:w="1715" w:type="dxa"/>
            <w:shd w:val="clear" w:color="auto" w:fill="92D050"/>
            <w:vAlign w:val="center"/>
          </w:tcPr>
          <w:p w14:paraId="34A7E863"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CNTS</w:t>
            </w:r>
          </w:p>
        </w:tc>
        <w:tc>
          <w:tcPr>
            <w:tcW w:w="7641" w:type="dxa"/>
            <w:vAlign w:val="center"/>
          </w:tcPr>
          <w:p w14:paraId="288AEA18"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Centre National de Transfusion Sanguine</w:t>
            </w:r>
          </w:p>
        </w:tc>
      </w:tr>
      <w:tr w:rsidR="00FE2B19" w:rsidRPr="00252CE7" w14:paraId="17484B18" w14:textId="77777777" w:rsidTr="00FE2B19">
        <w:trPr>
          <w:trHeight w:val="284"/>
        </w:trPr>
        <w:tc>
          <w:tcPr>
            <w:tcW w:w="1715" w:type="dxa"/>
            <w:shd w:val="clear" w:color="auto" w:fill="92D050"/>
            <w:vAlign w:val="center"/>
          </w:tcPr>
          <w:p w14:paraId="584081A0"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CPN</w:t>
            </w:r>
          </w:p>
        </w:tc>
        <w:tc>
          <w:tcPr>
            <w:tcW w:w="7641" w:type="dxa"/>
            <w:vAlign w:val="center"/>
          </w:tcPr>
          <w:p w14:paraId="3DB9ADAB"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Consultation prénatale</w:t>
            </w:r>
          </w:p>
        </w:tc>
      </w:tr>
      <w:tr w:rsidR="00FE2B19" w:rsidRPr="00252CE7" w14:paraId="59DC251D" w14:textId="77777777" w:rsidTr="00FE2B19">
        <w:trPr>
          <w:trHeight w:val="284"/>
        </w:trPr>
        <w:tc>
          <w:tcPr>
            <w:tcW w:w="1715" w:type="dxa"/>
            <w:shd w:val="clear" w:color="auto" w:fill="92D050"/>
            <w:vAlign w:val="center"/>
          </w:tcPr>
          <w:p w14:paraId="4B75A69E"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CRLS</w:t>
            </w:r>
          </w:p>
        </w:tc>
        <w:tc>
          <w:tcPr>
            <w:tcW w:w="7641" w:type="dxa"/>
            <w:vAlign w:val="center"/>
          </w:tcPr>
          <w:p w14:paraId="7B85DF80" w14:textId="273EC669"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 xml:space="preserve">Comité Régional de Lutte contre le </w:t>
            </w:r>
            <w:r w:rsidR="0036679F" w:rsidRPr="00252CE7">
              <w:rPr>
                <w:rFonts w:asciiTheme="minorHAnsi" w:hAnsiTheme="minorHAnsi" w:cstheme="minorHAnsi"/>
                <w:sz w:val="20"/>
                <w:szCs w:val="20"/>
              </w:rPr>
              <w:t>sida</w:t>
            </w:r>
          </w:p>
        </w:tc>
      </w:tr>
      <w:tr w:rsidR="00FE2B19" w:rsidRPr="00252CE7" w14:paraId="49DC9C17" w14:textId="77777777" w:rsidTr="00FE2B19">
        <w:trPr>
          <w:trHeight w:val="284"/>
        </w:trPr>
        <w:tc>
          <w:tcPr>
            <w:tcW w:w="1715" w:type="dxa"/>
            <w:shd w:val="clear" w:color="auto" w:fill="92D050"/>
            <w:vAlign w:val="center"/>
          </w:tcPr>
          <w:p w14:paraId="6D88ADDD"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DPS</w:t>
            </w:r>
          </w:p>
        </w:tc>
        <w:tc>
          <w:tcPr>
            <w:tcW w:w="7641" w:type="dxa"/>
            <w:vAlign w:val="center"/>
          </w:tcPr>
          <w:p w14:paraId="2F82D971"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Direction Préfectorale de la Santé Publique</w:t>
            </w:r>
          </w:p>
        </w:tc>
      </w:tr>
      <w:tr w:rsidR="00FE2B19" w:rsidRPr="00252CE7" w14:paraId="269AEC30" w14:textId="77777777" w:rsidTr="00FE2B19">
        <w:trPr>
          <w:trHeight w:val="284"/>
        </w:trPr>
        <w:tc>
          <w:tcPr>
            <w:tcW w:w="1715" w:type="dxa"/>
            <w:shd w:val="clear" w:color="auto" w:fill="92D050"/>
            <w:vAlign w:val="center"/>
          </w:tcPr>
          <w:p w14:paraId="2F5D089B"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DRS</w:t>
            </w:r>
          </w:p>
        </w:tc>
        <w:tc>
          <w:tcPr>
            <w:tcW w:w="7641" w:type="dxa"/>
            <w:vAlign w:val="center"/>
          </w:tcPr>
          <w:p w14:paraId="1F1FEB84"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Direction Régionale de la Santé</w:t>
            </w:r>
          </w:p>
        </w:tc>
      </w:tr>
      <w:tr w:rsidR="00FE2B19" w:rsidRPr="00252CE7" w14:paraId="5029AFCE" w14:textId="77777777" w:rsidTr="00FE2B19">
        <w:trPr>
          <w:trHeight w:val="284"/>
        </w:trPr>
        <w:tc>
          <w:tcPr>
            <w:tcW w:w="1715" w:type="dxa"/>
            <w:shd w:val="clear" w:color="auto" w:fill="92D050"/>
            <w:vAlign w:val="center"/>
          </w:tcPr>
          <w:p w14:paraId="2063C0FC"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EDS</w:t>
            </w:r>
          </w:p>
        </w:tc>
        <w:tc>
          <w:tcPr>
            <w:tcW w:w="7641" w:type="dxa"/>
            <w:vAlign w:val="center"/>
          </w:tcPr>
          <w:p w14:paraId="2DEF4B54"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Enquête Démographique et de Santé</w:t>
            </w:r>
          </w:p>
        </w:tc>
      </w:tr>
      <w:tr w:rsidR="00FE2B19" w:rsidRPr="00252CE7" w14:paraId="57C7A198" w14:textId="77777777" w:rsidTr="00FE2B19">
        <w:trPr>
          <w:trHeight w:val="284"/>
        </w:trPr>
        <w:tc>
          <w:tcPr>
            <w:tcW w:w="1715" w:type="dxa"/>
            <w:shd w:val="clear" w:color="auto" w:fill="92D050"/>
            <w:vAlign w:val="center"/>
          </w:tcPr>
          <w:p w14:paraId="6A4A46F4"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ESCOMB</w:t>
            </w:r>
          </w:p>
        </w:tc>
        <w:tc>
          <w:tcPr>
            <w:tcW w:w="7641" w:type="dxa"/>
            <w:vAlign w:val="center"/>
          </w:tcPr>
          <w:p w14:paraId="3E90E5AB"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Enquête de Surveillance Comportementale et Biologique</w:t>
            </w:r>
          </w:p>
        </w:tc>
      </w:tr>
      <w:tr w:rsidR="00FE2B19" w:rsidRPr="00252CE7" w14:paraId="5F22990F" w14:textId="77777777" w:rsidTr="00FE2B19">
        <w:trPr>
          <w:trHeight w:val="284"/>
        </w:trPr>
        <w:tc>
          <w:tcPr>
            <w:tcW w:w="1715" w:type="dxa"/>
            <w:shd w:val="clear" w:color="auto" w:fill="92D050"/>
            <w:vAlign w:val="center"/>
          </w:tcPr>
          <w:p w14:paraId="208F2135"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FDS</w:t>
            </w:r>
          </w:p>
        </w:tc>
        <w:tc>
          <w:tcPr>
            <w:tcW w:w="7641" w:type="dxa"/>
            <w:vAlign w:val="center"/>
          </w:tcPr>
          <w:p w14:paraId="2DF9B1B1"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Forces de D</w:t>
            </w:r>
            <w:r w:rsidRPr="00252CE7">
              <w:rPr>
                <w:rFonts w:asciiTheme="minorHAnsi" w:hAnsiTheme="minorHAnsi" w:cstheme="minorHAnsi"/>
                <w:b/>
                <w:noProof/>
                <w:color w:val="000000"/>
                <w:sz w:val="20"/>
                <w:szCs w:val="20"/>
              </w:rPr>
              <w:t>é</w:t>
            </w:r>
            <w:r w:rsidRPr="00252CE7">
              <w:rPr>
                <w:rFonts w:asciiTheme="minorHAnsi" w:hAnsiTheme="minorHAnsi" w:cstheme="minorHAnsi"/>
                <w:noProof/>
                <w:color w:val="000000"/>
                <w:sz w:val="20"/>
                <w:szCs w:val="20"/>
              </w:rPr>
              <w:t>fense et de Sécurité</w:t>
            </w:r>
          </w:p>
        </w:tc>
      </w:tr>
      <w:tr w:rsidR="00FE2B19" w:rsidRPr="00252CE7" w14:paraId="39E6C6F6" w14:textId="77777777" w:rsidTr="00FE2B19">
        <w:trPr>
          <w:trHeight w:val="284"/>
        </w:trPr>
        <w:tc>
          <w:tcPr>
            <w:tcW w:w="1715" w:type="dxa"/>
            <w:shd w:val="clear" w:color="auto" w:fill="92D050"/>
            <w:vAlign w:val="center"/>
          </w:tcPr>
          <w:p w14:paraId="4D56B269"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FM</w:t>
            </w:r>
          </w:p>
        </w:tc>
        <w:tc>
          <w:tcPr>
            <w:tcW w:w="7641" w:type="dxa"/>
            <w:vAlign w:val="center"/>
          </w:tcPr>
          <w:p w14:paraId="12073772" w14:textId="7627A556"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 xml:space="preserve">Fonds Mondial de lutte contre le </w:t>
            </w:r>
            <w:r w:rsidR="0036679F" w:rsidRPr="00252CE7">
              <w:rPr>
                <w:rFonts w:asciiTheme="minorHAnsi" w:hAnsiTheme="minorHAnsi" w:cstheme="minorHAnsi"/>
                <w:noProof/>
                <w:color w:val="000000"/>
                <w:sz w:val="20"/>
                <w:szCs w:val="20"/>
              </w:rPr>
              <w:t>sida</w:t>
            </w:r>
            <w:r w:rsidRPr="00252CE7">
              <w:rPr>
                <w:rFonts w:asciiTheme="minorHAnsi" w:hAnsiTheme="minorHAnsi" w:cstheme="minorHAnsi"/>
                <w:noProof/>
                <w:color w:val="000000"/>
                <w:sz w:val="20"/>
                <w:szCs w:val="20"/>
              </w:rPr>
              <w:t>, le Paludisme et la Tuberculose</w:t>
            </w:r>
          </w:p>
        </w:tc>
      </w:tr>
      <w:tr w:rsidR="00FE2B19" w:rsidRPr="00252CE7" w14:paraId="6CDE075D" w14:textId="77777777" w:rsidTr="00FE2B19">
        <w:trPr>
          <w:trHeight w:val="284"/>
        </w:trPr>
        <w:tc>
          <w:tcPr>
            <w:tcW w:w="1715" w:type="dxa"/>
            <w:shd w:val="clear" w:color="auto" w:fill="92D050"/>
            <w:vAlign w:val="center"/>
          </w:tcPr>
          <w:p w14:paraId="656BAE32"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FMG</w:t>
            </w:r>
          </w:p>
        </w:tc>
        <w:tc>
          <w:tcPr>
            <w:tcW w:w="7641" w:type="dxa"/>
            <w:vAlign w:val="center"/>
          </w:tcPr>
          <w:p w14:paraId="6F06A467" w14:textId="77777777" w:rsidR="00FE2B19" w:rsidRPr="00252CE7" w:rsidRDefault="00FE2B19" w:rsidP="00FE2B19">
            <w:pPr>
              <w:jc w:val="both"/>
              <w:rPr>
                <w:rFonts w:asciiTheme="minorHAnsi" w:hAnsiTheme="minorHAnsi" w:cstheme="minorHAnsi"/>
                <w:noProof/>
                <w:color w:val="000000"/>
                <w:sz w:val="20"/>
                <w:szCs w:val="20"/>
              </w:rPr>
            </w:pPr>
            <w:r w:rsidRPr="00252CE7">
              <w:rPr>
                <w:rFonts w:asciiTheme="minorHAnsi" w:hAnsiTheme="minorHAnsi" w:cstheme="minorHAnsi"/>
                <w:noProof/>
                <w:color w:val="000000"/>
                <w:sz w:val="20"/>
                <w:szCs w:val="20"/>
              </w:rPr>
              <w:t>Fraternité Médicale Guinée</w:t>
            </w:r>
          </w:p>
        </w:tc>
      </w:tr>
      <w:tr w:rsidR="00FE2B19" w:rsidRPr="00252CE7" w14:paraId="1F2514A5" w14:textId="77777777" w:rsidTr="00FE2B19">
        <w:trPr>
          <w:trHeight w:val="284"/>
        </w:trPr>
        <w:tc>
          <w:tcPr>
            <w:tcW w:w="1715" w:type="dxa"/>
            <w:shd w:val="clear" w:color="auto" w:fill="92D050"/>
            <w:vAlign w:val="center"/>
          </w:tcPr>
          <w:p w14:paraId="3D67070D"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HSH</w:t>
            </w:r>
          </w:p>
        </w:tc>
        <w:tc>
          <w:tcPr>
            <w:tcW w:w="7641" w:type="dxa"/>
            <w:vAlign w:val="center"/>
          </w:tcPr>
          <w:p w14:paraId="34864C2C"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Hommes ayant des rapports Sexuels avec des Hommes</w:t>
            </w:r>
          </w:p>
        </w:tc>
      </w:tr>
      <w:tr w:rsidR="00FE2B19" w:rsidRPr="00252CE7" w14:paraId="64AC1FE8" w14:textId="77777777" w:rsidTr="00FE2B19">
        <w:trPr>
          <w:trHeight w:val="284"/>
        </w:trPr>
        <w:tc>
          <w:tcPr>
            <w:tcW w:w="1715" w:type="dxa"/>
            <w:shd w:val="clear" w:color="auto" w:fill="92D050"/>
            <w:vAlign w:val="center"/>
          </w:tcPr>
          <w:p w14:paraId="3D310B8A"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IO</w:t>
            </w:r>
          </w:p>
        </w:tc>
        <w:tc>
          <w:tcPr>
            <w:tcW w:w="7641" w:type="dxa"/>
            <w:vAlign w:val="center"/>
          </w:tcPr>
          <w:p w14:paraId="1D947DD5"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Infections Opportunistes</w:t>
            </w:r>
          </w:p>
        </w:tc>
      </w:tr>
      <w:tr w:rsidR="00FE2B19" w:rsidRPr="00252CE7" w14:paraId="13DE0BF8" w14:textId="77777777" w:rsidTr="00FE2B19">
        <w:trPr>
          <w:trHeight w:val="284"/>
        </w:trPr>
        <w:tc>
          <w:tcPr>
            <w:tcW w:w="1715" w:type="dxa"/>
            <w:shd w:val="clear" w:color="auto" w:fill="92D050"/>
            <w:vAlign w:val="center"/>
          </w:tcPr>
          <w:p w14:paraId="3A50E4B8"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IST</w:t>
            </w:r>
          </w:p>
        </w:tc>
        <w:tc>
          <w:tcPr>
            <w:tcW w:w="7641" w:type="dxa"/>
            <w:vAlign w:val="center"/>
          </w:tcPr>
          <w:p w14:paraId="4C632DBA"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Infections sexuellement transmissibles</w:t>
            </w:r>
          </w:p>
        </w:tc>
      </w:tr>
      <w:tr w:rsidR="00FE2B19" w:rsidRPr="00252CE7" w14:paraId="34CDAE37" w14:textId="77777777" w:rsidTr="00FE2B19">
        <w:trPr>
          <w:trHeight w:val="284"/>
        </w:trPr>
        <w:tc>
          <w:tcPr>
            <w:tcW w:w="1715" w:type="dxa"/>
            <w:shd w:val="clear" w:color="auto" w:fill="92D050"/>
          </w:tcPr>
          <w:p w14:paraId="487DE2F0" w14:textId="77777777" w:rsidR="00FE2B19" w:rsidRPr="00252CE7" w:rsidRDefault="00FE2B19" w:rsidP="00FE2B19">
            <w:pPr>
              <w:jc w:val="both"/>
              <w:rPr>
                <w:rFonts w:asciiTheme="minorHAnsi" w:hAnsiTheme="minorHAnsi" w:cstheme="minorHAnsi"/>
                <w:spacing w:val="-5"/>
                <w:sz w:val="20"/>
                <w:szCs w:val="20"/>
              </w:rPr>
            </w:pPr>
            <w:r w:rsidRPr="00252CE7">
              <w:rPr>
                <w:rFonts w:asciiTheme="minorHAnsi" w:hAnsiTheme="minorHAnsi" w:cstheme="minorHAnsi"/>
                <w:spacing w:val="-5"/>
                <w:sz w:val="20"/>
                <w:szCs w:val="20"/>
              </w:rPr>
              <w:t>MICS</w:t>
            </w:r>
          </w:p>
        </w:tc>
        <w:tc>
          <w:tcPr>
            <w:tcW w:w="7641" w:type="dxa"/>
            <w:vAlign w:val="center"/>
          </w:tcPr>
          <w:p w14:paraId="2077F3B8" w14:textId="77777777" w:rsidR="00FE2B19" w:rsidRPr="00252CE7" w:rsidRDefault="00FE2B19" w:rsidP="00FE2B19">
            <w:pPr>
              <w:rPr>
                <w:rFonts w:asciiTheme="minorHAnsi" w:hAnsiTheme="minorHAnsi" w:cstheme="minorHAnsi"/>
                <w:noProof/>
                <w:color w:val="000000"/>
                <w:sz w:val="20"/>
                <w:szCs w:val="20"/>
              </w:rPr>
            </w:pPr>
            <w:r w:rsidRPr="00252CE7">
              <w:rPr>
                <w:rFonts w:asciiTheme="minorHAnsi" w:hAnsiTheme="minorHAnsi" w:cstheme="minorHAnsi"/>
                <w:noProof/>
                <w:color w:val="000000"/>
                <w:sz w:val="20"/>
                <w:szCs w:val="20"/>
              </w:rPr>
              <w:t>Multiple Indicator Cluster Surveys (Enquête par Grappes à Indicateurs Multiples)</w:t>
            </w:r>
          </w:p>
        </w:tc>
      </w:tr>
      <w:tr w:rsidR="00FE2B19" w:rsidRPr="00252CE7" w14:paraId="5F985928" w14:textId="77777777" w:rsidTr="00FE2B19">
        <w:trPr>
          <w:trHeight w:val="284"/>
        </w:trPr>
        <w:tc>
          <w:tcPr>
            <w:tcW w:w="1715" w:type="dxa"/>
            <w:shd w:val="clear" w:color="auto" w:fill="92D050"/>
            <w:vAlign w:val="center"/>
          </w:tcPr>
          <w:p w14:paraId="7CD77027"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OCASS</w:t>
            </w:r>
          </w:p>
        </w:tc>
        <w:tc>
          <w:tcPr>
            <w:tcW w:w="7641" w:type="dxa"/>
            <w:vAlign w:val="center"/>
          </w:tcPr>
          <w:p w14:paraId="6FF686A5"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 xml:space="preserve">Observatoire Communautaire d’Accès aux Services de Santé </w:t>
            </w:r>
          </w:p>
        </w:tc>
      </w:tr>
      <w:tr w:rsidR="00FE2B19" w:rsidRPr="00252CE7" w14:paraId="32AAEDD0" w14:textId="77777777" w:rsidTr="00FE2B19">
        <w:trPr>
          <w:trHeight w:val="284"/>
        </w:trPr>
        <w:tc>
          <w:tcPr>
            <w:tcW w:w="1715" w:type="dxa"/>
            <w:shd w:val="clear" w:color="auto" w:fill="92D050"/>
            <w:vAlign w:val="center"/>
          </w:tcPr>
          <w:p w14:paraId="72A13F0D"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OMS</w:t>
            </w:r>
          </w:p>
        </w:tc>
        <w:tc>
          <w:tcPr>
            <w:tcW w:w="7641" w:type="dxa"/>
            <w:vAlign w:val="center"/>
          </w:tcPr>
          <w:p w14:paraId="2EFCC8AA"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Organisation Mondiale de la Santé</w:t>
            </w:r>
          </w:p>
        </w:tc>
      </w:tr>
      <w:tr w:rsidR="00FE2B19" w:rsidRPr="00252CE7" w14:paraId="14550848" w14:textId="77777777" w:rsidTr="00FE2B19">
        <w:trPr>
          <w:trHeight w:val="284"/>
        </w:trPr>
        <w:tc>
          <w:tcPr>
            <w:tcW w:w="1715" w:type="dxa"/>
            <w:shd w:val="clear" w:color="auto" w:fill="92D050"/>
            <w:vAlign w:val="center"/>
          </w:tcPr>
          <w:p w14:paraId="6272060C"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ONG</w:t>
            </w:r>
          </w:p>
        </w:tc>
        <w:tc>
          <w:tcPr>
            <w:tcW w:w="7641" w:type="dxa"/>
            <w:vAlign w:val="center"/>
          </w:tcPr>
          <w:p w14:paraId="4B5EF11F"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Organisation Non Gouvernementale</w:t>
            </w:r>
          </w:p>
        </w:tc>
      </w:tr>
      <w:tr w:rsidR="00FE2B19" w:rsidRPr="00252CE7" w14:paraId="3684CDC5" w14:textId="77777777" w:rsidTr="00FE2B19">
        <w:trPr>
          <w:trHeight w:val="284"/>
        </w:trPr>
        <w:tc>
          <w:tcPr>
            <w:tcW w:w="1715" w:type="dxa"/>
            <w:shd w:val="clear" w:color="auto" w:fill="92D050"/>
            <w:vAlign w:val="center"/>
          </w:tcPr>
          <w:p w14:paraId="1D2B79B7" w14:textId="20BD5C36"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ONU</w:t>
            </w:r>
            <w:r w:rsidR="0036679F" w:rsidRPr="00252CE7">
              <w:rPr>
                <w:rFonts w:asciiTheme="minorHAnsi" w:hAnsiTheme="minorHAnsi" w:cstheme="minorHAnsi"/>
                <w:sz w:val="20"/>
                <w:szCs w:val="20"/>
              </w:rPr>
              <w:t>SIDA</w:t>
            </w:r>
            <w:r w:rsidRPr="00252CE7">
              <w:rPr>
                <w:rFonts w:asciiTheme="minorHAnsi" w:hAnsiTheme="minorHAnsi" w:cstheme="minorHAnsi"/>
                <w:sz w:val="20"/>
                <w:szCs w:val="20"/>
              </w:rPr>
              <w:t> </w:t>
            </w:r>
          </w:p>
        </w:tc>
        <w:tc>
          <w:tcPr>
            <w:tcW w:w="7641" w:type="dxa"/>
            <w:vAlign w:val="center"/>
          </w:tcPr>
          <w:p w14:paraId="27E926DE" w14:textId="344A8898"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Programme Commun des Nations Unies sur le VIH/</w:t>
            </w:r>
            <w:r w:rsidR="0036679F" w:rsidRPr="00252CE7">
              <w:rPr>
                <w:rFonts w:asciiTheme="minorHAnsi" w:hAnsiTheme="minorHAnsi" w:cstheme="minorHAnsi"/>
                <w:sz w:val="20"/>
                <w:szCs w:val="20"/>
              </w:rPr>
              <w:t>sida</w:t>
            </w:r>
          </w:p>
        </w:tc>
      </w:tr>
      <w:tr w:rsidR="00FE2B19" w:rsidRPr="00252CE7" w14:paraId="7AFD56ED" w14:textId="77777777" w:rsidTr="00FE2B19">
        <w:trPr>
          <w:trHeight w:val="284"/>
        </w:trPr>
        <w:tc>
          <w:tcPr>
            <w:tcW w:w="1715" w:type="dxa"/>
            <w:shd w:val="clear" w:color="auto" w:fill="92D050"/>
            <w:vAlign w:val="center"/>
          </w:tcPr>
          <w:p w14:paraId="65EAB4CA"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PNLAT</w:t>
            </w:r>
          </w:p>
        </w:tc>
        <w:tc>
          <w:tcPr>
            <w:tcW w:w="7641" w:type="dxa"/>
            <w:vAlign w:val="center"/>
          </w:tcPr>
          <w:p w14:paraId="782693B4"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Programme National de Lutte Anti Tuberculose</w:t>
            </w:r>
          </w:p>
        </w:tc>
      </w:tr>
      <w:tr w:rsidR="00FE2B19" w:rsidRPr="00252CE7" w14:paraId="20FA2811" w14:textId="77777777" w:rsidTr="00FE2B19">
        <w:trPr>
          <w:trHeight w:val="284"/>
        </w:trPr>
        <w:tc>
          <w:tcPr>
            <w:tcW w:w="1715" w:type="dxa"/>
            <w:shd w:val="clear" w:color="auto" w:fill="92D050"/>
          </w:tcPr>
          <w:p w14:paraId="63FCA9B9" w14:textId="7CE3486F"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PN</w:t>
            </w:r>
            <w:r w:rsidR="00252CE7">
              <w:rPr>
                <w:rFonts w:asciiTheme="minorHAnsi" w:hAnsiTheme="minorHAnsi" w:cstheme="minorHAnsi"/>
                <w:sz w:val="20"/>
                <w:szCs w:val="20"/>
              </w:rPr>
              <w:t>LSH</w:t>
            </w:r>
          </w:p>
        </w:tc>
        <w:tc>
          <w:tcPr>
            <w:tcW w:w="7641" w:type="dxa"/>
            <w:vAlign w:val="center"/>
          </w:tcPr>
          <w:p w14:paraId="6F080023" w14:textId="41B18964"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 xml:space="preserve">Programme </w:t>
            </w:r>
            <w:r w:rsidR="00252CE7">
              <w:rPr>
                <w:rFonts w:asciiTheme="minorHAnsi" w:hAnsiTheme="minorHAnsi" w:cstheme="minorHAnsi"/>
                <w:noProof/>
                <w:color w:val="000000"/>
                <w:sz w:val="20"/>
                <w:szCs w:val="20"/>
              </w:rPr>
              <w:t>national de lutte contre le VIH/Sida et les Hépatites</w:t>
            </w:r>
          </w:p>
        </w:tc>
      </w:tr>
      <w:tr w:rsidR="00FE2B19" w:rsidRPr="00252CE7" w14:paraId="188CB3E7" w14:textId="77777777" w:rsidTr="00FE2B19">
        <w:trPr>
          <w:trHeight w:val="284"/>
        </w:trPr>
        <w:tc>
          <w:tcPr>
            <w:tcW w:w="1715" w:type="dxa"/>
            <w:shd w:val="clear" w:color="auto" w:fill="92D050"/>
            <w:vAlign w:val="center"/>
          </w:tcPr>
          <w:p w14:paraId="37CA426A"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PS</w:t>
            </w:r>
          </w:p>
        </w:tc>
        <w:tc>
          <w:tcPr>
            <w:tcW w:w="7641" w:type="dxa"/>
            <w:vAlign w:val="center"/>
          </w:tcPr>
          <w:p w14:paraId="6562C0D6"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Professionnel (le)s du Sexe</w:t>
            </w:r>
          </w:p>
        </w:tc>
      </w:tr>
      <w:tr w:rsidR="00FE2B19" w:rsidRPr="00252CE7" w14:paraId="0CDEC405" w14:textId="77777777" w:rsidTr="00FE2B19">
        <w:trPr>
          <w:trHeight w:val="284"/>
        </w:trPr>
        <w:tc>
          <w:tcPr>
            <w:tcW w:w="1715" w:type="dxa"/>
            <w:shd w:val="clear" w:color="auto" w:fill="92D050"/>
            <w:vAlign w:val="center"/>
          </w:tcPr>
          <w:p w14:paraId="68DE5672"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PSI</w:t>
            </w:r>
          </w:p>
        </w:tc>
        <w:tc>
          <w:tcPr>
            <w:tcW w:w="7641" w:type="dxa"/>
            <w:vAlign w:val="center"/>
          </w:tcPr>
          <w:p w14:paraId="34A72FBA"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Population Services International</w:t>
            </w:r>
          </w:p>
        </w:tc>
      </w:tr>
      <w:tr w:rsidR="00FE2B19" w:rsidRPr="00252CE7" w14:paraId="1B612AF2" w14:textId="77777777" w:rsidTr="00FE2B19">
        <w:trPr>
          <w:trHeight w:val="284"/>
        </w:trPr>
        <w:tc>
          <w:tcPr>
            <w:tcW w:w="1715" w:type="dxa"/>
            <w:shd w:val="clear" w:color="auto" w:fill="92D050"/>
            <w:vAlign w:val="center"/>
          </w:tcPr>
          <w:p w14:paraId="5912B84D"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PTF</w:t>
            </w:r>
          </w:p>
        </w:tc>
        <w:tc>
          <w:tcPr>
            <w:tcW w:w="7641" w:type="dxa"/>
            <w:vAlign w:val="center"/>
          </w:tcPr>
          <w:p w14:paraId="3E353C90"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Partenaire Technique et Financier</w:t>
            </w:r>
          </w:p>
        </w:tc>
      </w:tr>
      <w:tr w:rsidR="00FE2B19" w:rsidRPr="00252CE7" w14:paraId="79233D59" w14:textId="77777777" w:rsidTr="00FE2B19">
        <w:trPr>
          <w:trHeight w:val="284"/>
        </w:trPr>
        <w:tc>
          <w:tcPr>
            <w:tcW w:w="1715" w:type="dxa"/>
            <w:shd w:val="clear" w:color="auto" w:fill="92D050"/>
            <w:vAlign w:val="center"/>
          </w:tcPr>
          <w:p w14:paraId="79B93617"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PTME</w:t>
            </w:r>
          </w:p>
        </w:tc>
        <w:tc>
          <w:tcPr>
            <w:tcW w:w="7641" w:type="dxa"/>
            <w:vAlign w:val="center"/>
          </w:tcPr>
          <w:p w14:paraId="515D08B1"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Prévention de la Transmission du VIH de la Mère à l’Enfant</w:t>
            </w:r>
          </w:p>
        </w:tc>
      </w:tr>
      <w:tr w:rsidR="00FE2B19" w:rsidRPr="00252CE7" w14:paraId="0EFE66D9" w14:textId="77777777" w:rsidTr="00FE2B19">
        <w:trPr>
          <w:trHeight w:val="284"/>
        </w:trPr>
        <w:tc>
          <w:tcPr>
            <w:tcW w:w="1715" w:type="dxa"/>
            <w:shd w:val="clear" w:color="auto" w:fill="92D050"/>
            <w:vAlign w:val="center"/>
          </w:tcPr>
          <w:p w14:paraId="57F5715F"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PVVIH</w:t>
            </w:r>
          </w:p>
        </w:tc>
        <w:tc>
          <w:tcPr>
            <w:tcW w:w="7641" w:type="dxa"/>
            <w:vAlign w:val="center"/>
          </w:tcPr>
          <w:p w14:paraId="7E0B3508" w14:textId="6F5A13D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 xml:space="preserve">Personne Vivant avec le Virus du </w:t>
            </w:r>
            <w:r w:rsidR="0036679F" w:rsidRPr="00252CE7">
              <w:rPr>
                <w:rFonts w:asciiTheme="minorHAnsi" w:hAnsiTheme="minorHAnsi" w:cstheme="minorHAnsi"/>
                <w:sz w:val="20"/>
                <w:szCs w:val="20"/>
              </w:rPr>
              <w:t>sida</w:t>
            </w:r>
          </w:p>
        </w:tc>
      </w:tr>
      <w:tr w:rsidR="00FE2B19" w:rsidRPr="00252CE7" w14:paraId="7B02C973" w14:textId="77777777" w:rsidTr="00FE2B19">
        <w:trPr>
          <w:trHeight w:val="284"/>
        </w:trPr>
        <w:tc>
          <w:tcPr>
            <w:tcW w:w="1715" w:type="dxa"/>
            <w:shd w:val="clear" w:color="auto" w:fill="92D050"/>
            <w:vAlign w:val="center"/>
          </w:tcPr>
          <w:p w14:paraId="61AC15A6"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REGAP+</w:t>
            </w:r>
          </w:p>
        </w:tc>
        <w:tc>
          <w:tcPr>
            <w:tcW w:w="7641" w:type="dxa"/>
            <w:vAlign w:val="center"/>
          </w:tcPr>
          <w:p w14:paraId="21C76F3A"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Réseau Guinéen des Associations des Personnes Vivant avec le VIH</w:t>
            </w:r>
          </w:p>
        </w:tc>
      </w:tr>
      <w:tr w:rsidR="00FE2B19" w:rsidRPr="00252CE7" w14:paraId="3EF4F134" w14:textId="77777777" w:rsidTr="00FE2B19">
        <w:trPr>
          <w:trHeight w:val="284"/>
        </w:trPr>
        <w:tc>
          <w:tcPr>
            <w:tcW w:w="1715" w:type="dxa"/>
            <w:shd w:val="clear" w:color="auto" w:fill="92D050"/>
            <w:vAlign w:val="center"/>
          </w:tcPr>
          <w:p w14:paraId="1B54F714"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RGPH</w:t>
            </w:r>
          </w:p>
        </w:tc>
        <w:tc>
          <w:tcPr>
            <w:tcW w:w="7641" w:type="dxa"/>
            <w:vAlign w:val="center"/>
          </w:tcPr>
          <w:p w14:paraId="25977875" w14:textId="77777777" w:rsidR="00FE2B19" w:rsidRPr="00252CE7" w:rsidRDefault="00FE2B19" w:rsidP="00FE2B19">
            <w:pPr>
              <w:jc w:val="both"/>
              <w:rPr>
                <w:rFonts w:asciiTheme="minorHAnsi" w:hAnsiTheme="minorHAnsi" w:cstheme="minorHAnsi"/>
                <w:noProof/>
                <w:color w:val="000000"/>
                <w:sz w:val="20"/>
                <w:szCs w:val="20"/>
              </w:rPr>
            </w:pPr>
            <w:r w:rsidRPr="00252CE7">
              <w:rPr>
                <w:rFonts w:asciiTheme="minorHAnsi" w:hAnsiTheme="minorHAnsi" w:cstheme="minorHAnsi"/>
                <w:noProof/>
                <w:color w:val="000000"/>
                <w:sz w:val="20"/>
                <w:szCs w:val="20"/>
              </w:rPr>
              <w:t>Recensement Général de la Population et de l’Habitat</w:t>
            </w:r>
          </w:p>
        </w:tc>
      </w:tr>
      <w:tr w:rsidR="00FE2B19" w:rsidRPr="00252CE7" w14:paraId="58B4A695" w14:textId="77777777" w:rsidTr="00FE2B19">
        <w:trPr>
          <w:trHeight w:val="284"/>
        </w:trPr>
        <w:tc>
          <w:tcPr>
            <w:tcW w:w="1715" w:type="dxa"/>
            <w:shd w:val="clear" w:color="auto" w:fill="92D050"/>
            <w:vAlign w:val="center"/>
          </w:tcPr>
          <w:p w14:paraId="55D6236B"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SE/CNLS</w:t>
            </w:r>
          </w:p>
        </w:tc>
        <w:tc>
          <w:tcPr>
            <w:tcW w:w="7641" w:type="dxa"/>
            <w:vAlign w:val="center"/>
          </w:tcPr>
          <w:p w14:paraId="13199D4F"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Secrétariat Exécutif du CNLS</w:t>
            </w:r>
          </w:p>
        </w:tc>
      </w:tr>
      <w:tr w:rsidR="00FE2B19" w:rsidRPr="00252CE7" w14:paraId="64FB67FE" w14:textId="77777777" w:rsidTr="00FE2B19">
        <w:trPr>
          <w:trHeight w:val="284"/>
        </w:trPr>
        <w:tc>
          <w:tcPr>
            <w:tcW w:w="1715" w:type="dxa"/>
            <w:shd w:val="clear" w:color="auto" w:fill="92D050"/>
            <w:vAlign w:val="center"/>
          </w:tcPr>
          <w:p w14:paraId="25677587" w14:textId="2E40C2F7" w:rsidR="00FE2B19" w:rsidRPr="00252CE7" w:rsidRDefault="00252CE7" w:rsidP="00FE2B19">
            <w:pPr>
              <w:jc w:val="both"/>
              <w:rPr>
                <w:rFonts w:asciiTheme="minorHAnsi" w:hAnsiTheme="minorHAnsi" w:cstheme="minorHAnsi"/>
                <w:sz w:val="20"/>
                <w:szCs w:val="20"/>
              </w:rPr>
            </w:pPr>
            <w:r>
              <w:rPr>
                <w:rFonts w:asciiTheme="minorHAnsi" w:hAnsiTheme="minorHAnsi" w:cstheme="minorHAnsi"/>
                <w:sz w:val="20"/>
                <w:szCs w:val="20"/>
              </w:rPr>
              <w:t>S</w:t>
            </w:r>
            <w:r w:rsidR="0036679F" w:rsidRPr="00252CE7">
              <w:rPr>
                <w:rFonts w:asciiTheme="minorHAnsi" w:hAnsiTheme="minorHAnsi" w:cstheme="minorHAnsi"/>
                <w:sz w:val="20"/>
                <w:szCs w:val="20"/>
              </w:rPr>
              <w:t>ida</w:t>
            </w:r>
          </w:p>
        </w:tc>
        <w:tc>
          <w:tcPr>
            <w:tcW w:w="7641" w:type="dxa"/>
            <w:vAlign w:val="center"/>
          </w:tcPr>
          <w:p w14:paraId="0D1475E4"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 xml:space="preserve">Syndrome de </w:t>
            </w:r>
            <w:proofErr w:type="spellStart"/>
            <w:r w:rsidRPr="00252CE7">
              <w:rPr>
                <w:rFonts w:asciiTheme="minorHAnsi" w:hAnsiTheme="minorHAnsi" w:cstheme="minorHAnsi"/>
                <w:sz w:val="20"/>
                <w:szCs w:val="20"/>
              </w:rPr>
              <w:t>I’Immuno</w:t>
            </w:r>
            <w:proofErr w:type="spellEnd"/>
            <w:r w:rsidRPr="00252CE7">
              <w:rPr>
                <w:rFonts w:asciiTheme="minorHAnsi" w:hAnsiTheme="minorHAnsi" w:cstheme="minorHAnsi"/>
                <w:sz w:val="20"/>
                <w:szCs w:val="20"/>
              </w:rPr>
              <w:t>-Déficience Acquise</w:t>
            </w:r>
          </w:p>
        </w:tc>
      </w:tr>
      <w:tr w:rsidR="00FE2B19" w:rsidRPr="00252CE7" w14:paraId="65695FA4" w14:textId="77777777" w:rsidTr="00FE2B19">
        <w:trPr>
          <w:trHeight w:val="284"/>
        </w:trPr>
        <w:tc>
          <w:tcPr>
            <w:tcW w:w="1715" w:type="dxa"/>
            <w:shd w:val="clear" w:color="auto" w:fill="92D050"/>
            <w:vAlign w:val="center"/>
          </w:tcPr>
          <w:p w14:paraId="1BD17602"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SOLTHIS</w:t>
            </w:r>
          </w:p>
        </w:tc>
        <w:tc>
          <w:tcPr>
            <w:tcW w:w="7641" w:type="dxa"/>
            <w:vAlign w:val="center"/>
          </w:tcPr>
          <w:p w14:paraId="4DA8F26F"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Solidarité Thérapeutique et Initiatives pour la Santé</w:t>
            </w:r>
          </w:p>
        </w:tc>
      </w:tr>
      <w:tr w:rsidR="00FE2B19" w:rsidRPr="00252CE7" w14:paraId="36BBC8C8" w14:textId="77777777" w:rsidTr="00FE2B19">
        <w:trPr>
          <w:trHeight w:val="284"/>
        </w:trPr>
        <w:tc>
          <w:tcPr>
            <w:tcW w:w="1715" w:type="dxa"/>
            <w:shd w:val="clear" w:color="auto" w:fill="92D050"/>
            <w:vAlign w:val="center"/>
          </w:tcPr>
          <w:p w14:paraId="1687162F"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TB</w:t>
            </w:r>
          </w:p>
        </w:tc>
        <w:tc>
          <w:tcPr>
            <w:tcW w:w="7641" w:type="dxa"/>
            <w:vAlign w:val="center"/>
          </w:tcPr>
          <w:p w14:paraId="576AC95D"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noProof/>
                <w:color w:val="000000"/>
                <w:sz w:val="20"/>
                <w:szCs w:val="20"/>
              </w:rPr>
              <w:t>Tuberculose</w:t>
            </w:r>
          </w:p>
        </w:tc>
      </w:tr>
      <w:tr w:rsidR="00FE2B19" w:rsidRPr="00252CE7" w14:paraId="6DE4D4E8" w14:textId="77777777" w:rsidTr="00FE2B19">
        <w:trPr>
          <w:trHeight w:val="284"/>
        </w:trPr>
        <w:tc>
          <w:tcPr>
            <w:tcW w:w="1715" w:type="dxa"/>
            <w:shd w:val="clear" w:color="auto" w:fill="92D050"/>
            <w:vAlign w:val="center"/>
          </w:tcPr>
          <w:p w14:paraId="5D126BE2"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UNFPA</w:t>
            </w:r>
          </w:p>
        </w:tc>
        <w:tc>
          <w:tcPr>
            <w:tcW w:w="7641" w:type="dxa"/>
            <w:vAlign w:val="center"/>
          </w:tcPr>
          <w:p w14:paraId="26C1A507"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Fonds des Nations Unies pour la Population</w:t>
            </w:r>
          </w:p>
        </w:tc>
      </w:tr>
      <w:tr w:rsidR="00FE2B19" w:rsidRPr="00252CE7" w14:paraId="74DC89C4" w14:textId="77777777" w:rsidTr="00FE2B19">
        <w:trPr>
          <w:trHeight w:val="284"/>
        </w:trPr>
        <w:tc>
          <w:tcPr>
            <w:tcW w:w="1715" w:type="dxa"/>
            <w:shd w:val="clear" w:color="auto" w:fill="92D050"/>
            <w:vAlign w:val="center"/>
          </w:tcPr>
          <w:p w14:paraId="7EC8C08A" w14:textId="77777777" w:rsidR="00FE2B19" w:rsidRPr="00252CE7" w:rsidRDefault="00FE2B19" w:rsidP="00FE2B19">
            <w:pPr>
              <w:jc w:val="both"/>
              <w:rPr>
                <w:rFonts w:asciiTheme="minorHAnsi" w:hAnsiTheme="minorHAnsi" w:cstheme="minorHAnsi"/>
                <w:sz w:val="20"/>
                <w:szCs w:val="20"/>
                <w:lang w:val="en-GB"/>
              </w:rPr>
            </w:pPr>
            <w:r w:rsidRPr="00252CE7">
              <w:rPr>
                <w:rFonts w:asciiTheme="minorHAnsi" w:hAnsiTheme="minorHAnsi" w:cstheme="minorHAnsi"/>
                <w:sz w:val="20"/>
                <w:szCs w:val="20"/>
              </w:rPr>
              <w:t>UNICEF</w:t>
            </w:r>
          </w:p>
        </w:tc>
        <w:tc>
          <w:tcPr>
            <w:tcW w:w="7641" w:type="dxa"/>
            <w:vAlign w:val="center"/>
          </w:tcPr>
          <w:p w14:paraId="768F5C80"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Fonds des Nations Unies pour l’Enfance</w:t>
            </w:r>
          </w:p>
        </w:tc>
      </w:tr>
      <w:tr w:rsidR="00FE2B19" w:rsidRPr="00252CE7" w14:paraId="6E9F5D0D" w14:textId="77777777" w:rsidTr="00FE2B19">
        <w:trPr>
          <w:trHeight w:val="284"/>
        </w:trPr>
        <w:tc>
          <w:tcPr>
            <w:tcW w:w="1715" w:type="dxa"/>
            <w:shd w:val="clear" w:color="auto" w:fill="92D050"/>
            <w:vAlign w:val="center"/>
          </w:tcPr>
          <w:p w14:paraId="4B9E1A5D"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VIH</w:t>
            </w:r>
          </w:p>
        </w:tc>
        <w:tc>
          <w:tcPr>
            <w:tcW w:w="7641" w:type="dxa"/>
            <w:vAlign w:val="center"/>
          </w:tcPr>
          <w:p w14:paraId="0B664CDC" w14:textId="77777777" w:rsidR="00FE2B19" w:rsidRPr="00252CE7" w:rsidRDefault="00FE2B19" w:rsidP="00FE2B19">
            <w:pPr>
              <w:jc w:val="both"/>
              <w:rPr>
                <w:rFonts w:asciiTheme="minorHAnsi" w:hAnsiTheme="minorHAnsi" w:cstheme="minorHAnsi"/>
                <w:sz w:val="20"/>
                <w:szCs w:val="20"/>
              </w:rPr>
            </w:pPr>
            <w:r w:rsidRPr="00252CE7">
              <w:rPr>
                <w:rFonts w:asciiTheme="minorHAnsi" w:hAnsiTheme="minorHAnsi" w:cstheme="minorHAnsi"/>
                <w:sz w:val="20"/>
                <w:szCs w:val="20"/>
              </w:rPr>
              <w:t>Virus de l’Immunodéficience Humaine</w:t>
            </w:r>
          </w:p>
        </w:tc>
      </w:tr>
    </w:tbl>
    <w:p w14:paraId="72C1A059" w14:textId="77777777" w:rsidR="00FE2B19" w:rsidRPr="005B52BA" w:rsidRDefault="00FE2B19" w:rsidP="00FE2B19">
      <w:pPr>
        <w:pStyle w:val="Paragraphedeliste"/>
        <w:ind w:left="0"/>
        <w:jc w:val="both"/>
        <w:rPr>
          <w:rFonts w:ascii="Calibri" w:hAnsi="Calibri"/>
        </w:rPr>
      </w:pPr>
    </w:p>
    <w:p w14:paraId="09317471" w14:textId="0D30A83D" w:rsidR="00FE2B19" w:rsidRDefault="00FE2B19" w:rsidP="00FE2B19">
      <w:pPr>
        <w:jc w:val="both"/>
        <w:rPr>
          <w:rFonts w:ascii="Calibri" w:hAnsi="Calibri"/>
        </w:rPr>
      </w:pPr>
    </w:p>
    <w:p w14:paraId="1EB2D2AD" w14:textId="4D4903C3" w:rsidR="00252CE7" w:rsidRDefault="00252CE7" w:rsidP="00FE2B19">
      <w:pPr>
        <w:jc w:val="both"/>
        <w:rPr>
          <w:rFonts w:ascii="Calibri" w:hAnsi="Calibri"/>
        </w:rPr>
      </w:pPr>
    </w:p>
    <w:p w14:paraId="052227EC" w14:textId="0A623CE3" w:rsidR="00252CE7" w:rsidRDefault="00252CE7" w:rsidP="00FE2B19">
      <w:pPr>
        <w:jc w:val="both"/>
        <w:rPr>
          <w:rFonts w:ascii="Calibri" w:hAnsi="Calibri"/>
        </w:rPr>
      </w:pPr>
    </w:p>
    <w:p w14:paraId="75C6941F" w14:textId="5E2D6A49" w:rsidR="00252CE7" w:rsidRDefault="00252CE7" w:rsidP="00FE2B19">
      <w:pPr>
        <w:jc w:val="both"/>
        <w:rPr>
          <w:rFonts w:ascii="Calibri" w:hAnsi="Calibri"/>
        </w:rPr>
      </w:pPr>
    </w:p>
    <w:p w14:paraId="0F536AA2" w14:textId="77777777" w:rsidR="00252CE7" w:rsidRPr="005B52BA" w:rsidRDefault="00252CE7" w:rsidP="00FE2B19">
      <w:pPr>
        <w:jc w:val="both"/>
        <w:rPr>
          <w:rFonts w:ascii="Calibri" w:hAnsi="Calibri"/>
        </w:rPr>
      </w:pPr>
    </w:p>
    <w:p w14:paraId="494CBB23" w14:textId="1E240E98" w:rsidR="00FE2B19" w:rsidRPr="00252CE7" w:rsidRDefault="00252CE7" w:rsidP="00252CE7">
      <w:pPr>
        <w:pStyle w:val="Titre1"/>
        <w:numPr>
          <w:ilvl w:val="0"/>
          <w:numId w:val="0"/>
        </w:numPr>
        <w:pBdr>
          <w:bottom w:val="single" w:sz="4" w:space="1" w:color="auto"/>
        </w:pBdr>
        <w:spacing w:after="0"/>
        <w:jc w:val="center"/>
        <w:rPr>
          <w:rFonts w:ascii="Calibri" w:hAnsi="Calibri"/>
          <w:color w:val="C00000"/>
        </w:rPr>
      </w:pPr>
      <w:r w:rsidRPr="00252CE7">
        <w:rPr>
          <w:rFonts w:ascii="Calibri" w:hAnsi="Calibri"/>
          <w:color w:val="C00000"/>
        </w:rPr>
        <w:t>LISTE DES TABLEAUX ET GRAPHIQUES</w:t>
      </w:r>
    </w:p>
    <w:p w14:paraId="5B025B30" w14:textId="77777777" w:rsidR="00252CE7" w:rsidRDefault="00252CE7" w:rsidP="00FE2B19">
      <w:pPr>
        <w:spacing w:after="160" w:line="259" w:lineRule="auto"/>
        <w:rPr>
          <w:rFonts w:ascii="Calibri" w:hAnsi="Calibri"/>
        </w:rPr>
      </w:pPr>
    </w:p>
    <w:p w14:paraId="0C96CA6D" w14:textId="335EE84B" w:rsidR="00FE2B19" w:rsidRPr="007E1F2C" w:rsidRDefault="00252CE7" w:rsidP="00252CE7">
      <w:pPr>
        <w:pBdr>
          <w:bottom w:val="single" w:sz="4" w:space="1" w:color="auto"/>
        </w:pBdr>
        <w:spacing w:after="160" w:line="259" w:lineRule="auto"/>
        <w:rPr>
          <w:rFonts w:ascii="Calibri" w:hAnsi="Calibri"/>
          <w:b/>
        </w:rPr>
      </w:pPr>
      <w:r w:rsidRPr="007E1F2C">
        <w:rPr>
          <w:rFonts w:ascii="Calibri" w:hAnsi="Calibri"/>
          <w:b/>
        </w:rPr>
        <w:t>Liste des tableaux</w:t>
      </w:r>
    </w:p>
    <w:p w14:paraId="2A8A89CD" w14:textId="67351573" w:rsidR="009F1C8A" w:rsidRPr="009F1C8A" w:rsidRDefault="00252CE7">
      <w:pPr>
        <w:pStyle w:val="TM1"/>
        <w:tabs>
          <w:tab w:val="right" w:leader="dot" w:pos="9855"/>
        </w:tabs>
        <w:rPr>
          <w:rFonts w:eastAsiaTheme="minorEastAsia" w:cstheme="minorBidi"/>
          <w:b w:val="0"/>
          <w:bCs w:val="0"/>
          <w:caps w:val="0"/>
          <w:noProof/>
        </w:rPr>
      </w:pPr>
      <w:r w:rsidRPr="009F1C8A">
        <w:rPr>
          <w:rFonts w:ascii="Calibri" w:hAnsi="Calibri"/>
          <w:b w:val="0"/>
        </w:rPr>
        <w:fldChar w:fldCharType="begin"/>
      </w:r>
      <w:r w:rsidRPr="009F1C8A">
        <w:rPr>
          <w:rFonts w:ascii="Calibri" w:hAnsi="Calibri"/>
          <w:b w:val="0"/>
        </w:rPr>
        <w:instrText xml:space="preserve"> TOC \h \z \t "tab,1" </w:instrText>
      </w:r>
      <w:r w:rsidRPr="009F1C8A">
        <w:rPr>
          <w:rFonts w:ascii="Calibri" w:hAnsi="Calibri"/>
          <w:b w:val="0"/>
        </w:rPr>
        <w:fldChar w:fldCharType="separate"/>
      </w:r>
      <w:hyperlink w:anchor="_Toc521064257" w:history="1">
        <w:r w:rsidR="009F1C8A">
          <w:rPr>
            <w:rStyle w:val="Lienhypertexte"/>
            <w:b w:val="0"/>
            <w:caps w:val="0"/>
            <w:noProof/>
          </w:rPr>
          <w:t>Tableau 1 : S</w:t>
        </w:r>
        <w:r w:rsidR="00F02B7E">
          <w:rPr>
            <w:rStyle w:val="Lienhypertexte"/>
            <w:b w:val="0"/>
            <w:caps w:val="0"/>
            <w:noProof/>
          </w:rPr>
          <w:t>ynthèse du processus d’élaboration du CSN</w:t>
        </w:r>
        <w:r w:rsidR="009F1C8A" w:rsidRPr="009F1C8A">
          <w:rPr>
            <w:rStyle w:val="Lienhypertexte"/>
            <w:b w:val="0"/>
            <w:caps w:val="0"/>
            <w:noProof/>
          </w:rPr>
          <w:t xml:space="preserve"> 2018-202</w:t>
        </w:r>
        <w:r w:rsidR="009F1C8A" w:rsidRPr="009F1C8A">
          <w:rPr>
            <w:rStyle w:val="Lienhypertexte"/>
            <w:b w:val="0"/>
            <w:noProof/>
          </w:rPr>
          <w:t>2</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_Toc521064257 \h </w:instrText>
        </w:r>
        <w:r w:rsidR="009F1C8A" w:rsidRPr="009F1C8A">
          <w:rPr>
            <w:b w:val="0"/>
            <w:noProof/>
            <w:webHidden/>
          </w:rPr>
        </w:r>
        <w:r w:rsidR="009F1C8A" w:rsidRPr="009F1C8A">
          <w:rPr>
            <w:b w:val="0"/>
            <w:noProof/>
            <w:webHidden/>
          </w:rPr>
          <w:fldChar w:fldCharType="separate"/>
        </w:r>
        <w:r w:rsidR="009F1C8A" w:rsidRPr="009F1C8A">
          <w:rPr>
            <w:b w:val="0"/>
            <w:noProof/>
            <w:webHidden/>
          </w:rPr>
          <w:t>12</w:t>
        </w:r>
        <w:r w:rsidR="009F1C8A" w:rsidRPr="009F1C8A">
          <w:rPr>
            <w:b w:val="0"/>
            <w:noProof/>
            <w:webHidden/>
          </w:rPr>
          <w:fldChar w:fldCharType="end"/>
        </w:r>
      </w:hyperlink>
    </w:p>
    <w:p w14:paraId="1FD54E79" w14:textId="05A8D15C" w:rsidR="009F1C8A" w:rsidRPr="009F1C8A" w:rsidRDefault="00DB4486">
      <w:pPr>
        <w:pStyle w:val="TM1"/>
        <w:tabs>
          <w:tab w:val="right" w:leader="dot" w:pos="9855"/>
        </w:tabs>
        <w:rPr>
          <w:rFonts w:eastAsiaTheme="minorEastAsia" w:cstheme="minorBidi"/>
          <w:b w:val="0"/>
          <w:bCs w:val="0"/>
          <w:caps w:val="0"/>
          <w:noProof/>
        </w:rPr>
      </w:pPr>
      <w:hyperlink w:anchor="_Toc521064258" w:history="1">
        <w:r w:rsidR="009F1C8A">
          <w:rPr>
            <w:rStyle w:val="Lienhypertexte"/>
            <w:b w:val="0"/>
            <w:caps w:val="0"/>
            <w:noProof/>
          </w:rPr>
          <w:t>Tableau 2 : P</w:t>
        </w:r>
        <w:r w:rsidR="00F02B7E">
          <w:rPr>
            <w:rStyle w:val="Lienhypertexte"/>
            <w:b w:val="0"/>
            <w:caps w:val="0"/>
            <w:noProof/>
          </w:rPr>
          <w:t>rojection de la population guinéenne par ré</w:t>
        </w:r>
        <w:r w:rsidR="009F1C8A" w:rsidRPr="009F1C8A">
          <w:rPr>
            <w:rStyle w:val="Lienhypertexte"/>
            <w:b w:val="0"/>
            <w:caps w:val="0"/>
            <w:noProof/>
          </w:rPr>
          <w:t>gion administrative</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_Toc521064258 \h </w:instrText>
        </w:r>
        <w:r w:rsidR="009F1C8A" w:rsidRPr="009F1C8A">
          <w:rPr>
            <w:b w:val="0"/>
            <w:noProof/>
            <w:webHidden/>
          </w:rPr>
        </w:r>
        <w:r w:rsidR="009F1C8A" w:rsidRPr="009F1C8A">
          <w:rPr>
            <w:b w:val="0"/>
            <w:noProof/>
            <w:webHidden/>
          </w:rPr>
          <w:fldChar w:fldCharType="separate"/>
        </w:r>
        <w:r w:rsidR="009F1C8A" w:rsidRPr="009F1C8A">
          <w:rPr>
            <w:b w:val="0"/>
            <w:noProof/>
            <w:webHidden/>
          </w:rPr>
          <w:t>13</w:t>
        </w:r>
        <w:r w:rsidR="009F1C8A" w:rsidRPr="009F1C8A">
          <w:rPr>
            <w:b w:val="0"/>
            <w:noProof/>
            <w:webHidden/>
          </w:rPr>
          <w:fldChar w:fldCharType="end"/>
        </w:r>
      </w:hyperlink>
    </w:p>
    <w:p w14:paraId="5530447F" w14:textId="04A13731" w:rsidR="009F1C8A" w:rsidRPr="009F1C8A" w:rsidRDefault="00DB4486">
      <w:pPr>
        <w:pStyle w:val="TM1"/>
        <w:tabs>
          <w:tab w:val="right" w:leader="dot" w:pos="9855"/>
        </w:tabs>
        <w:rPr>
          <w:rFonts w:eastAsiaTheme="minorEastAsia" w:cstheme="minorBidi"/>
          <w:b w:val="0"/>
          <w:bCs w:val="0"/>
          <w:caps w:val="0"/>
          <w:noProof/>
        </w:rPr>
      </w:pPr>
      <w:hyperlink w:anchor="_Toc521064259" w:history="1">
        <w:r w:rsidR="009F1C8A">
          <w:rPr>
            <w:rStyle w:val="Lienhypertexte"/>
            <w:b w:val="0"/>
            <w:caps w:val="0"/>
            <w:noProof/>
          </w:rPr>
          <w:t>Tableau 3 : S</w:t>
        </w:r>
        <w:r w:rsidR="009F1C8A" w:rsidRPr="009F1C8A">
          <w:rPr>
            <w:rStyle w:val="Lienhypertexte"/>
            <w:b w:val="0"/>
            <w:caps w:val="0"/>
            <w:noProof/>
          </w:rPr>
          <w:t>ituation des principaux indicateurs sanitaires</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_Toc521064259 \h </w:instrText>
        </w:r>
        <w:r w:rsidR="009F1C8A" w:rsidRPr="009F1C8A">
          <w:rPr>
            <w:b w:val="0"/>
            <w:noProof/>
            <w:webHidden/>
          </w:rPr>
        </w:r>
        <w:r w:rsidR="009F1C8A" w:rsidRPr="009F1C8A">
          <w:rPr>
            <w:b w:val="0"/>
            <w:noProof/>
            <w:webHidden/>
          </w:rPr>
          <w:fldChar w:fldCharType="separate"/>
        </w:r>
        <w:r w:rsidR="009F1C8A" w:rsidRPr="009F1C8A">
          <w:rPr>
            <w:b w:val="0"/>
            <w:noProof/>
            <w:webHidden/>
          </w:rPr>
          <w:t>15</w:t>
        </w:r>
        <w:r w:rsidR="009F1C8A" w:rsidRPr="009F1C8A">
          <w:rPr>
            <w:b w:val="0"/>
            <w:noProof/>
            <w:webHidden/>
          </w:rPr>
          <w:fldChar w:fldCharType="end"/>
        </w:r>
      </w:hyperlink>
    </w:p>
    <w:p w14:paraId="37C097BD" w14:textId="40B235F8" w:rsidR="009F1C8A" w:rsidRPr="009F1C8A" w:rsidRDefault="00DB4486">
      <w:pPr>
        <w:pStyle w:val="TM1"/>
        <w:tabs>
          <w:tab w:val="right" w:leader="dot" w:pos="9855"/>
        </w:tabs>
        <w:rPr>
          <w:rFonts w:eastAsiaTheme="minorEastAsia" w:cstheme="minorBidi"/>
          <w:b w:val="0"/>
          <w:bCs w:val="0"/>
          <w:caps w:val="0"/>
          <w:noProof/>
        </w:rPr>
      </w:pPr>
      <w:hyperlink w:anchor="_Toc521064260" w:history="1">
        <w:r w:rsidR="009F1C8A">
          <w:rPr>
            <w:rStyle w:val="Lienhypertexte"/>
            <w:b w:val="0"/>
            <w:caps w:val="0"/>
            <w:noProof/>
          </w:rPr>
          <w:t>Tableau 4 : S</w:t>
        </w:r>
        <w:r w:rsidR="009F1C8A" w:rsidRPr="009F1C8A">
          <w:rPr>
            <w:rStyle w:val="Lienhypertexte"/>
            <w:b w:val="0"/>
            <w:caps w:val="0"/>
            <w:noProof/>
          </w:rPr>
          <w:t>ituation des ressources humaines de la sante en 20</w:t>
        </w:r>
        <w:r w:rsidR="009F1C8A" w:rsidRPr="009F1C8A">
          <w:rPr>
            <w:rStyle w:val="Lienhypertexte"/>
            <w:b w:val="0"/>
            <w:noProof/>
          </w:rPr>
          <w:t>14</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_Toc521064260 \h </w:instrText>
        </w:r>
        <w:r w:rsidR="009F1C8A" w:rsidRPr="009F1C8A">
          <w:rPr>
            <w:b w:val="0"/>
            <w:noProof/>
            <w:webHidden/>
          </w:rPr>
        </w:r>
        <w:r w:rsidR="009F1C8A" w:rsidRPr="009F1C8A">
          <w:rPr>
            <w:b w:val="0"/>
            <w:noProof/>
            <w:webHidden/>
          </w:rPr>
          <w:fldChar w:fldCharType="separate"/>
        </w:r>
        <w:r w:rsidR="009F1C8A" w:rsidRPr="009F1C8A">
          <w:rPr>
            <w:b w:val="0"/>
            <w:noProof/>
            <w:webHidden/>
          </w:rPr>
          <w:t>16</w:t>
        </w:r>
        <w:r w:rsidR="009F1C8A" w:rsidRPr="009F1C8A">
          <w:rPr>
            <w:b w:val="0"/>
            <w:noProof/>
            <w:webHidden/>
          </w:rPr>
          <w:fldChar w:fldCharType="end"/>
        </w:r>
      </w:hyperlink>
    </w:p>
    <w:p w14:paraId="7289F67D" w14:textId="187C62EC" w:rsidR="009F1C8A" w:rsidRPr="009F1C8A" w:rsidRDefault="00DB4486">
      <w:pPr>
        <w:pStyle w:val="TM1"/>
        <w:tabs>
          <w:tab w:val="right" w:leader="dot" w:pos="9855"/>
        </w:tabs>
        <w:rPr>
          <w:rFonts w:eastAsiaTheme="minorEastAsia" w:cstheme="minorBidi"/>
          <w:b w:val="0"/>
          <w:bCs w:val="0"/>
          <w:caps w:val="0"/>
          <w:noProof/>
        </w:rPr>
      </w:pPr>
      <w:hyperlink w:anchor="_Toc521064261" w:history="1">
        <w:r w:rsidR="009F1C8A">
          <w:rPr>
            <w:rStyle w:val="Lienhypertexte"/>
            <w:b w:val="0"/>
            <w:caps w:val="0"/>
            <w:noProof/>
          </w:rPr>
          <w:t>Tableau 5 : S</w:t>
        </w:r>
        <w:r w:rsidR="009F1C8A" w:rsidRPr="009F1C8A">
          <w:rPr>
            <w:rStyle w:val="Lienhypertexte"/>
            <w:b w:val="0"/>
            <w:caps w:val="0"/>
            <w:noProof/>
          </w:rPr>
          <w:t>ituat</w:t>
        </w:r>
        <w:r w:rsidR="00F02B7E">
          <w:rPr>
            <w:rStyle w:val="Lienhypertexte"/>
            <w:b w:val="0"/>
            <w:caps w:val="0"/>
            <w:noProof/>
          </w:rPr>
          <w:t>ion des statistiques sur le. VIH</w:t>
        </w:r>
        <w:r w:rsidR="009F1C8A" w:rsidRPr="009F1C8A">
          <w:rPr>
            <w:rStyle w:val="Lienhypertexte"/>
            <w:b w:val="0"/>
            <w:caps w:val="0"/>
            <w:noProof/>
          </w:rPr>
          <w:t xml:space="preserve"> en 2016</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_Toc521064261 \h </w:instrText>
        </w:r>
        <w:r w:rsidR="009F1C8A" w:rsidRPr="009F1C8A">
          <w:rPr>
            <w:b w:val="0"/>
            <w:noProof/>
            <w:webHidden/>
          </w:rPr>
        </w:r>
        <w:r w:rsidR="009F1C8A" w:rsidRPr="009F1C8A">
          <w:rPr>
            <w:b w:val="0"/>
            <w:noProof/>
            <w:webHidden/>
          </w:rPr>
          <w:fldChar w:fldCharType="separate"/>
        </w:r>
        <w:r w:rsidR="009F1C8A" w:rsidRPr="009F1C8A">
          <w:rPr>
            <w:b w:val="0"/>
            <w:noProof/>
            <w:webHidden/>
          </w:rPr>
          <w:t>17</w:t>
        </w:r>
        <w:r w:rsidR="009F1C8A" w:rsidRPr="009F1C8A">
          <w:rPr>
            <w:b w:val="0"/>
            <w:noProof/>
            <w:webHidden/>
          </w:rPr>
          <w:fldChar w:fldCharType="end"/>
        </w:r>
      </w:hyperlink>
    </w:p>
    <w:p w14:paraId="31C20888" w14:textId="272F7316" w:rsidR="009F1C8A" w:rsidRPr="009F1C8A" w:rsidRDefault="00DB4486">
      <w:pPr>
        <w:pStyle w:val="TM1"/>
        <w:tabs>
          <w:tab w:val="right" w:leader="dot" w:pos="9855"/>
        </w:tabs>
        <w:rPr>
          <w:rFonts w:eastAsiaTheme="minorEastAsia" w:cstheme="minorBidi"/>
          <w:b w:val="0"/>
          <w:bCs w:val="0"/>
          <w:caps w:val="0"/>
          <w:noProof/>
        </w:rPr>
      </w:pPr>
      <w:hyperlink w:anchor="_Toc521064262" w:history="1">
        <w:r w:rsidR="009F1C8A">
          <w:rPr>
            <w:rStyle w:val="Lienhypertexte"/>
            <w:b w:val="0"/>
            <w:caps w:val="0"/>
            <w:noProof/>
          </w:rPr>
          <w:t>Tableau 6 : C</w:t>
        </w:r>
        <w:r w:rsidR="00F02B7E">
          <w:rPr>
            <w:rStyle w:val="Lienhypertexte"/>
            <w:b w:val="0"/>
            <w:caps w:val="0"/>
            <w:noProof/>
          </w:rPr>
          <w:t>aractéristiques de l’épidé</w:t>
        </w:r>
        <w:r w:rsidR="009F1C8A" w:rsidRPr="009F1C8A">
          <w:rPr>
            <w:rStyle w:val="Lienhypertexte"/>
            <w:b w:val="0"/>
            <w:caps w:val="0"/>
            <w:noProof/>
          </w:rPr>
          <w:t>mie d</w:t>
        </w:r>
        <w:r w:rsidR="00F02B7E">
          <w:rPr>
            <w:rStyle w:val="Lienhypertexte"/>
            <w:b w:val="0"/>
            <w:caps w:val="0"/>
            <w:noProof/>
          </w:rPr>
          <w:t>u VIH chez les populations vulné</w:t>
        </w:r>
        <w:r w:rsidR="009F1C8A" w:rsidRPr="009F1C8A">
          <w:rPr>
            <w:rStyle w:val="Lienhypertexte"/>
            <w:b w:val="0"/>
            <w:caps w:val="0"/>
            <w:noProof/>
          </w:rPr>
          <w:t>rables</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_Toc521064262 \h </w:instrText>
        </w:r>
        <w:r w:rsidR="009F1C8A" w:rsidRPr="009F1C8A">
          <w:rPr>
            <w:b w:val="0"/>
            <w:noProof/>
            <w:webHidden/>
          </w:rPr>
        </w:r>
        <w:r w:rsidR="009F1C8A" w:rsidRPr="009F1C8A">
          <w:rPr>
            <w:b w:val="0"/>
            <w:noProof/>
            <w:webHidden/>
          </w:rPr>
          <w:fldChar w:fldCharType="separate"/>
        </w:r>
        <w:r w:rsidR="009F1C8A" w:rsidRPr="009F1C8A">
          <w:rPr>
            <w:b w:val="0"/>
            <w:noProof/>
            <w:webHidden/>
          </w:rPr>
          <w:t>20</w:t>
        </w:r>
        <w:r w:rsidR="009F1C8A" w:rsidRPr="009F1C8A">
          <w:rPr>
            <w:b w:val="0"/>
            <w:noProof/>
            <w:webHidden/>
          </w:rPr>
          <w:fldChar w:fldCharType="end"/>
        </w:r>
      </w:hyperlink>
    </w:p>
    <w:p w14:paraId="7BCE0B44" w14:textId="47CEB211" w:rsidR="009F1C8A" w:rsidRPr="009F1C8A" w:rsidRDefault="00DB4486">
      <w:pPr>
        <w:pStyle w:val="TM1"/>
        <w:tabs>
          <w:tab w:val="right" w:leader="dot" w:pos="9855"/>
        </w:tabs>
        <w:rPr>
          <w:rFonts w:eastAsiaTheme="minorEastAsia" w:cstheme="minorBidi"/>
          <w:b w:val="0"/>
          <w:bCs w:val="0"/>
          <w:caps w:val="0"/>
          <w:noProof/>
        </w:rPr>
      </w:pPr>
      <w:hyperlink w:anchor="_Toc521064263" w:history="1">
        <w:r w:rsidR="009F1C8A">
          <w:rPr>
            <w:rStyle w:val="Lienhypertexte"/>
            <w:b w:val="0"/>
            <w:caps w:val="0"/>
            <w:noProof/>
          </w:rPr>
          <w:t>Tableau 7 : E</w:t>
        </w:r>
        <w:r w:rsidR="009F1C8A" w:rsidRPr="009F1C8A">
          <w:rPr>
            <w:rStyle w:val="Lienhypertexte"/>
            <w:b w:val="0"/>
            <w:caps w:val="0"/>
            <w:noProof/>
          </w:rPr>
          <w:t>volution des principaux indicateurs</w:t>
        </w:r>
        <w:r w:rsidR="00F02B7E">
          <w:rPr>
            <w:rStyle w:val="Lienhypertexte"/>
            <w:b w:val="0"/>
            <w:caps w:val="0"/>
            <w:noProof/>
          </w:rPr>
          <w:t xml:space="preserve"> de la PTME</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_Toc521064263 \h </w:instrText>
        </w:r>
        <w:r w:rsidR="009F1C8A" w:rsidRPr="009F1C8A">
          <w:rPr>
            <w:b w:val="0"/>
            <w:noProof/>
            <w:webHidden/>
          </w:rPr>
        </w:r>
        <w:r w:rsidR="009F1C8A" w:rsidRPr="009F1C8A">
          <w:rPr>
            <w:b w:val="0"/>
            <w:noProof/>
            <w:webHidden/>
          </w:rPr>
          <w:fldChar w:fldCharType="separate"/>
        </w:r>
        <w:r w:rsidR="009F1C8A" w:rsidRPr="009F1C8A">
          <w:rPr>
            <w:b w:val="0"/>
            <w:noProof/>
            <w:webHidden/>
          </w:rPr>
          <w:t>25</w:t>
        </w:r>
        <w:r w:rsidR="009F1C8A" w:rsidRPr="009F1C8A">
          <w:rPr>
            <w:b w:val="0"/>
            <w:noProof/>
            <w:webHidden/>
          </w:rPr>
          <w:fldChar w:fldCharType="end"/>
        </w:r>
      </w:hyperlink>
    </w:p>
    <w:p w14:paraId="2A9322F2" w14:textId="30767EBC" w:rsidR="009F1C8A" w:rsidRPr="009F1C8A" w:rsidRDefault="00DB4486">
      <w:pPr>
        <w:pStyle w:val="TM1"/>
        <w:tabs>
          <w:tab w:val="right" w:leader="dot" w:pos="9855"/>
        </w:tabs>
        <w:rPr>
          <w:rFonts w:eastAsiaTheme="minorEastAsia" w:cstheme="minorBidi"/>
          <w:b w:val="0"/>
          <w:bCs w:val="0"/>
          <w:caps w:val="0"/>
          <w:noProof/>
        </w:rPr>
      </w:pPr>
      <w:hyperlink w:anchor="_Toc521064264" w:history="1">
        <w:r w:rsidR="009F1C8A">
          <w:rPr>
            <w:rStyle w:val="Lienhypertexte"/>
            <w:b w:val="0"/>
            <w:caps w:val="0"/>
            <w:noProof/>
          </w:rPr>
          <w:t>Tableau 8 : M</w:t>
        </w:r>
        <w:r w:rsidR="009F1C8A" w:rsidRPr="009F1C8A">
          <w:rPr>
            <w:rStyle w:val="Lienhypertexte"/>
            <w:b w:val="0"/>
            <w:caps w:val="0"/>
            <w:noProof/>
          </w:rPr>
          <w:t>atrice des produits et interventions prioritaires</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_Toc521064264 \h </w:instrText>
        </w:r>
        <w:r w:rsidR="009F1C8A" w:rsidRPr="009F1C8A">
          <w:rPr>
            <w:b w:val="0"/>
            <w:noProof/>
            <w:webHidden/>
          </w:rPr>
        </w:r>
        <w:r w:rsidR="009F1C8A" w:rsidRPr="009F1C8A">
          <w:rPr>
            <w:b w:val="0"/>
            <w:noProof/>
            <w:webHidden/>
          </w:rPr>
          <w:fldChar w:fldCharType="separate"/>
        </w:r>
        <w:r w:rsidR="009F1C8A" w:rsidRPr="009F1C8A">
          <w:rPr>
            <w:b w:val="0"/>
            <w:noProof/>
            <w:webHidden/>
          </w:rPr>
          <w:t>35</w:t>
        </w:r>
        <w:r w:rsidR="009F1C8A" w:rsidRPr="009F1C8A">
          <w:rPr>
            <w:b w:val="0"/>
            <w:noProof/>
            <w:webHidden/>
          </w:rPr>
          <w:fldChar w:fldCharType="end"/>
        </w:r>
      </w:hyperlink>
    </w:p>
    <w:p w14:paraId="69B05F79" w14:textId="1F5B383F" w:rsidR="009F1C8A" w:rsidRPr="009F1C8A" w:rsidRDefault="00DB4486">
      <w:pPr>
        <w:pStyle w:val="TM1"/>
        <w:tabs>
          <w:tab w:val="right" w:leader="dot" w:pos="9855"/>
        </w:tabs>
        <w:rPr>
          <w:rFonts w:eastAsiaTheme="minorEastAsia" w:cstheme="minorBidi"/>
          <w:b w:val="0"/>
          <w:bCs w:val="0"/>
          <w:caps w:val="0"/>
          <w:noProof/>
        </w:rPr>
      </w:pPr>
      <w:hyperlink w:anchor="_Toc521064265" w:history="1">
        <w:r w:rsidR="009F1C8A">
          <w:rPr>
            <w:rStyle w:val="Lienhypertexte"/>
            <w:b w:val="0"/>
            <w:caps w:val="0"/>
            <w:noProof/>
          </w:rPr>
          <w:t>Tableau 9 : P</w:t>
        </w:r>
        <w:r w:rsidR="00563646">
          <w:rPr>
            <w:rStyle w:val="Lienhypertexte"/>
            <w:b w:val="0"/>
            <w:caps w:val="0"/>
            <w:noProof/>
          </w:rPr>
          <w:t>ré</w:t>
        </w:r>
        <w:r w:rsidR="009F1C8A" w:rsidRPr="009F1C8A">
          <w:rPr>
            <w:rStyle w:val="Lienhypertexte"/>
            <w:b w:val="0"/>
            <w:caps w:val="0"/>
            <w:noProof/>
          </w:rPr>
          <w:t>sentati</w:t>
        </w:r>
        <w:r w:rsidR="00563646">
          <w:rPr>
            <w:rStyle w:val="Lienhypertexte"/>
            <w:b w:val="0"/>
            <w:caps w:val="0"/>
            <w:noProof/>
          </w:rPr>
          <w:t>on des mécanismes et periodicité</w:t>
        </w:r>
        <w:r w:rsidR="009F1C8A" w:rsidRPr="009F1C8A">
          <w:rPr>
            <w:rStyle w:val="Lienhypertexte"/>
            <w:b w:val="0"/>
            <w:caps w:val="0"/>
            <w:noProof/>
          </w:rPr>
          <w:t xml:space="preserve"> de rapportage</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_Toc521064265 \h </w:instrText>
        </w:r>
        <w:r w:rsidR="009F1C8A" w:rsidRPr="009F1C8A">
          <w:rPr>
            <w:b w:val="0"/>
            <w:noProof/>
            <w:webHidden/>
          </w:rPr>
        </w:r>
        <w:r w:rsidR="009F1C8A" w:rsidRPr="009F1C8A">
          <w:rPr>
            <w:b w:val="0"/>
            <w:noProof/>
            <w:webHidden/>
          </w:rPr>
          <w:fldChar w:fldCharType="separate"/>
        </w:r>
        <w:r w:rsidR="009F1C8A" w:rsidRPr="009F1C8A">
          <w:rPr>
            <w:b w:val="0"/>
            <w:noProof/>
            <w:webHidden/>
          </w:rPr>
          <w:t>42</w:t>
        </w:r>
        <w:r w:rsidR="009F1C8A" w:rsidRPr="009F1C8A">
          <w:rPr>
            <w:b w:val="0"/>
            <w:noProof/>
            <w:webHidden/>
          </w:rPr>
          <w:fldChar w:fldCharType="end"/>
        </w:r>
      </w:hyperlink>
    </w:p>
    <w:p w14:paraId="2E4BA2B0" w14:textId="73989028" w:rsidR="009F1C8A" w:rsidRPr="009F1C8A" w:rsidRDefault="00DB4486">
      <w:pPr>
        <w:pStyle w:val="TM1"/>
        <w:tabs>
          <w:tab w:val="right" w:leader="dot" w:pos="9855"/>
        </w:tabs>
        <w:rPr>
          <w:rFonts w:eastAsiaTheme="minorEastAsia" w:cstheme="minorBidi"/>
          <w:b w:val="0"/>
          <w:bCs w:val="0"/>
          <w:caps w:val="0"/>
          <w:noProof/>
        </w:rPr>
      </w:pPr>
      <w:hyperlink w:anchor="_Toc521064266" w:history="1">
        <w:r w:rsidR="009F1C8A">
          <w:rPr>
            <w:rStyle w:val="Lienhypertexte"/>
            <w:b w:val="0"/>
            <w:caps w:val="0"/>
            <w:noProof/>
          </w:rPr>
          <w:t>Tableau 10 : L</w:t>
        </w:r>
        <w:r w:rsidR="009F1C8A" w:rsidRPr="009F1C8A">
          <w:rPr>
            <w:rStyle w:val="Lienhypertexte"/>
            <w:b w:val="0"/>
            <w:caps w:val="0"/>
            <w:noProof/>
          </w:rPr>
          <w:t>iste d</w:t>
        </w:r>
        <w:r w:rsidR="00563646">
          <w:rPr>
            <w:rStyle w:val="Lienhypertexte"/>
            <w:b w:val="0"/>
            <w:caps w:val="0"/>
            <w:noProof/>
          </w:rPr>
          <w:t>es priorites nationales en matière d’é</w:t>
        </w:r>
        <w:r w:rsidR="009F1C8A" w:rsidRPr="009F1C8A">
          <w:rPr>
            <w:rStyle w:val="Lienhypertexte"/>
            <w:b w:val="0"/>
            <w:caps w:val="0"/>
            <w:noProof/>
          </w:rPr>
          <w:t>tude et de recherche</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_Toc521064266 \h </w:instrText>
        </w:r>
        <w:r w:rsidR="009F1C8A" w:rsidRPr="009F1C8A">
          <w:rPr>
            <w:b w:val="0"/>
            <w:noProof/>
            <w:webHidden/>
          </w:rPr>
        </w:r>
        <w:r w:rsidR="009F1C8A" w:rsidRPr="009F1C8A">
          <w:rPr>
            <w:b w:val="0"/>
            <w:noProof/>
            <w:webHidden/>
          </w:rPr>
          <w:fldChar w:fldCharType="separate"/>
        </w:r>
        <w:r w:rsidR="009F1C8A" w:rsidRPr="009F1C8A">
          <w:rPr>
            <w:b w:val="0"/>
            <w:noProof/>
            <w:webHidden/>
          </w:rPr>
          <w:t>43</w:t>
        </w:r>
        <w:r w:rsidR="009F1C8A" w:rsidRPr="009F1C8A">
          <w:rPr>
            <w:b w:val="0"/>
            <w:noProof/>
            <w:webHidden/>
          </w:rPr>
          <w:fldChar w:fldCharType="end"/>
        </w:r>
      </w:hyperlink>
    </w:p>
    <w:p w14:paraId="26AD0BD6" w14:textId="135A2FF7" w:rsidR="009F1C8A" w:rsidRPr="009F1C8A" w:rsidRDefault="00DB4486">
      <w:pPr>
        <w:pStyle w:val="TM1"/>
        <w:tabs>
          <w:tab w:val="right" w:leader="dot" w:pos="9855"/>
        </w:tabs>
        <w:rPr>
          <w:rFonts w:eastAsiaTheme="minorEastAsia" w:cstheme="minorBidi"/>
          <w:b w:val="0"/>
          <w:bCs w:val="0"/>
          <w:caps w:val="0"/>
          <w:noProof/>
        </w:rPr>
      </w:pPr>
      <w:hyperlink w:anchor="_Toc521064267" w:history="1">
        <w:r w:rsidR="009F1C8A">
          <w:rPr>
            <w:rStyle w:val="Lienhypertexte"/>
            <w:b w:val="0"/>
            <w:caps w:val="0"/>
            <w:noProof/>
          </w:rPr>
          <w:t>Tableau 11 : S</w:t>
        </w:r>
        <w:r w:rsidR="00563646">
          <w:rPr>
            <w:rStyle w:val="Lienhypertexte"/>
            <w:b w:val="0"/>
            <w:caps w:val="0"/>
            <w:noProof/>
          </w:rPr>
          <w:t>ynthè</w:t>
        </w:r>
        <w:r w:rsidR="009F1C8A" w:rsidRPr="009F1C8A">
          <w:rPr>
            <w:rStyle w:val="Lienhypertexte"/>
            <w:b w:val="0"/>
            <w:caps w:val="0"/>
            <w:noProof/>
          </w:rPr>
          <w:t>se du budget du ca</w:t>
        </w:r>
        <w:r w:rsidR="00563646">
          <w:rPr>
            <w:rStyle w:val="Lienhypertexte"/>
            <w:b w:val="0"/>
            <w:caps w:val="0"/>
            <w:noProof/>
          </w:rPr>
          <w:t>dre straté</w:t>
        </w:r>
        <w:r w:rsidR="009F1C8A" w:rsidRPr="009F1C8A">
          <w:rPr>
            <w:rStyle w:val="Lienhypertexte"/>
            <w:b w:val="0"/>
            <w:caps w:val="0"/>
            <w:noProof/>
          </w:rPr>
          <w:t>gique national 2018-2022</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_Toc521064267 \h </w:instrText>
        </w:r>
        <w:r w:rsidR="009F1C8A" w:rsidRPr="009F1C8A">
          <w:rPr>
            <w:b w:val="0"/>
            <w:noProof/>
            <w:webHidden/>
          </w:rPr>
        </w:r>
        <w:r w:rsidR="009F1C8A" w:rsidRPr="009F1C8A">
          <w:rPr>
            <w:b w:val="0"/>
            <w:noProof/>
            <w:webHidden/>
          </w:rPr>
          <w:fldChar w:fldCharType="separate"/>
        </w:r>
        <w:r w:rsidR="009F1C8A" w:rsidRPr="009F1C8A">
          <w:rPr>
            <w:b w:val="0"/>
            <w:noProof/>
            <w:webHidden/>
          </w:rPr>
          <w:t>45</w:t>
        </w:r>
        <w:r w:rsidR="009F1C8A" w:rsidRPr="009F1C8A">
          <w:rPr>
            <w:b w:val="0"/>
            <w:noProof/>
            <w:webHidden/>
          </w:rPr>
          <w:fldChar w:fldCharType="end"/>
        </w:r>
      </w:hyperlink>
    </w:p>
    <w:p w14:paraId="57ABD8AC" w14:textId="348CB410" w:rsidR="009F1C8A" w:rsidRPr="009F1C8A" w:rsidRDefault="00DB4486">
      <w:pPr>
        <w:pStyle w:val="TM1"/>
        <w:tabs>
          <w:tab w:val="right" w:leader="dot" w:pos="9855"/>
        </w:tabs>
        <w:rPr>
          <w:rFonts w:eastAsiaTheme="minorEastAsia" w:cstheme="minorBidi"/>
          <w:b w:val="0"/>
          <w:bCs w:val="0"/>
          <w:caps w:val="0"/>
          <w:noProof/>
        </w:rPr>
      </w:pPr>
      <w:hyperlink w:anchor="_Toc521064268" w:history="1">
        <w:r w:rsidR="009F1C8A">
          <w:rPr>
            <w:rStyle w:val="Lienhypertexte"/>
            <w:b w:val="0"/>
            <w:caps w:val="0"/>
            <w:noProof/>
          </w:rPr>
          <w:t>Tableau 12 : T</w:t>
        </w:r>
        <w:r w:rsidR="009F1C8A" w:rsidRPr="009F1C8A">
          <w:rPr>
            <w:rStyle w:val="Lienhypertexte"/>
            <w:b w:val="0"/>
            <w:caps w:val="0"/>
            <w:noProof/>
          </w:rPr>
          <w:t>ableau d’analyse des risques et mesures</w:t>
        </w:r>
        <w:r w:rsidR="009F1C8A" w:rsidRPr="009F1C8A">
          <w:rPr>
            <w:b w:val="0"/>
            <w:noProof/>
            <w:webHidden/>
          </w:rPr>
          <w:tab/>
        </w:r>
        <w:r w:rsidR="009F1C8A" w:rsidRPr="009F1C8A">
          <w:rPr>
            <w:b w:val="0"/>
            <w:noProof/>
            <w:webHidden/>
          </w:rPr>
          <w:fldChar w:fldCharType="begin"/>
        </w:r>
        <w:r w:rsidR="009F1C8A" w:rsidRPr="009F1C8A">
          <w:rPr>
            <w:b w:val="0"/>
            <w:noProof/>
            <w:webHidden/>
          </w:rPr>
          <w:instrText xml:space="preserve"> PAGEREF _Toc521064268 \h </w:instrText>
        </w:r>
        <w:r w:rsidR="009F1C8A" w:rsidRPr="009F1C8A">
          <w:rPr>
            <w:b w:val="0"/>
            <w:noProof/>
            <w:webHidden/>
          </w:rPr>
        </w:r>
        <w:r w:rsidR="009F1C8A" w:rsidRPr="009F1C8A">
          <w:rPr>
            <w:b w:val="0"/>
            <w:noProof/>
            <w:webHidden/>
          </w:rPr>
          <w:fldChar w:fldCharType="separate"/>
        </w:r>
        <w:r w:rsidR="009F1C8A" w:rsidRPr="009F1C8A">
          <w:rPr>
            <w:b w:val="0"/>
            <w:noProof/>
            <w:webHidden/>
          </w:rPr>
          <w:t>47</w:t>
        </w:r>
        <w:r w:rsidR="009F1C8A" w:rsidRPr="009F1C8A">
          <w:rPr>
            <w:b w:val="0"/>
            <w:noProof/>
            <w:webHidden/>
          </w:rPr>
          <w:fldChar w:fldCharType="end"/>
        </w:r>
      </w:hyperlink>
    </w:p>
    <w:p w14:paraId="069A0A7A" w14:textId="185C18FE" w:rsidR="00252CE7" w:rsidRDefault="00252CE7" w:rsidP="00FE2B19">
      <w:pPr>
        <w:spacing w:after="160" w:line="259" w:lineRule="auto"/>
        <w:rPr>
          <w:rFonts w:ascii="Calibri" w:hAnsi="Calibri"/>
          <w:sz w:val="20"/>
          <w:szCs w:val="20"/>
        </w:rPr>
      </w:pPr>
      <w:r w:rsidRPr="009F1C8A">
        <w:rPr>
          <w:rFonts w:ascii="Calibri" w:hAnsi="Calibri"/>
          <w:sz w:val="20"/>
          <w:szCs w:val="20"/>
        </w:rPr>
        <w:fldChar w:fldCharType="end"/>
      </w:r>
    </w:p>
    <w:p w14:paraId="20377B3A" w14:textId="718444D8" w:rsidR="009F1C8A" w:rsidRPr="007E1F2C" w:rsidRDefault="009F1C8A" w:rsidP="009F1C8A">
      <w:pPr>
        <w:pBdr>
          <w:bottom w:val="single" w:sz="4" w:space="1" w:color="auto"/>
        </w:pBdr>
        <w:spacing w:after="160" w:line="259" w:lineRule="auto"/>
        <w:rPr>
          <w:rFonts w:ascii="Calibri" w:hAnsi="Calibri"/>
          <w:b/>
        </w:rPr>
      </w:pPr>
      <w:r w:rsidRPr="007E1F2C">
        <w:rPr>
          <w:rFonts w:ascii="Calibri" w:hAnsi="Calibri"/>
          <w:b/>
        </w:rPr>
        <w:t>Liste des figures</w:t>
      </w:r>
    </w:p>
    <w:p w14:paraId="61EA03AB" w14:textId="4EC1A6B0" w:rsidR="007E1F2C" w:rsidRPr="007E1F2C" w:rsidRDefault="00284484">
      <w:pPr>
        <w:pStyle w:val="TM1"/>
        <w:tabs>
          <w:tab w:val="right" w:leader="dot" w:pos="9855"/>
        </w:tabs>
        <w:rPr>
          <w:rFonts w:eastAsiaTheme="minorEastAsia" w:cstheme="minorBidi"/>
          <w:b w:val="0"/>
          <w:bCs w:val="0"/>
          <w:caps w:val="0"/>
          <w:noProof/>
        </w:rPr>
      </w:pPr>
      <w:r w:rsidRPr="007E1F2C">
        <w:rPr>
          <w:rFonts w:ascii="Calibri" w:hAnsi="Calibri"/>
          <w:b w:val="0"/>
        </w:rPr>
        <w:fldChar w:fldCharType="begin"/>
      </w:r>
      <w:r w:rsidRPr="007E1F2C">
        <w:rPr>
          <w:rFonts w:ascii="Calibri" w:hAnsi="Calibri"/>
          <w:b w:val="0"/>
        </w:rPr>
        <w:instrText xml:space="preserve"> TOC \h \z \t "fig,1" </w:instrText>
      </w:r>
      <w:r w:rsidRPr="007E1F2C">
        <w:rPr>
          <w:rFonts w:ascii="Calibri" w:hAnsi="Calibri"/>
          <w:b w:val="0"/>
        </w:rPr>
        <w:fldChar w:fldCharType="separate"/>
      </w:r>
      <w:hyperlink w:anchor="_Toc521064657" w:history="1">
        <w:r w:rsidR="007E1F2C">
          <w:rPr>
            <w:rStyle w:val="Lienhypertexte"/>
            <w:b w:val="0"/>
            <w:caps w:val="0"/>
            <w:noProof/>
          </w:rPr>
          <w:t>Figure 1 : C</w:t>
        </w:r>
        <w:r w:rsidR="00563646">
          <w:rPr>
            <w:rStyle w:val="Lienhypertexte"/>
            <w:b w:val="0"/>
            <w:caps w:val="0"/>
            <w:noProof/>
          </w:rPr>
          <w:t>arte administrative de la Guiné</w:t>
        </w:r>
        <w:r w:rsidR="007E1F2C" w:rsidRPr="007E1F2C">
          <w:rPr>
            <w:rStyle w:val="Lienhypertexte"/>
            <w:b w:val="0"/>
            <w:caps w:val="0"/>
            <w:noProof/>
          </w:rPr>
          <w:t>e</w:t>
        </w:r>
        <w:r w:rsidR="007E1F2C" w:rsidRPr="007E1F2C">
          <w:rPr>
            <w:b w:val="0"/>
            <w:noProof/>
            <w:webHidden/>
          </w:rPr>
          <w:tab/>
        </w:r>
        <w:r w:rsidR="007E1F2C" w:rsidRPr="007E1F2C">
          <w:rPr>
            <w:b w:val="0"/>
            <w:noProof/>
            <w:webHidden/>
          </w:rPr>
          <w:fldChar w:fldCharType="begin"/>
        </w:r>
        <w:r w:rsidR="007E1F2C" w:rsidRPr="007E1F2C">
          <w:rPr>
            <w:b w:val="0"/>
            <w:noProof/>
            <w:webHidden/>
          </w:rPr>
          <w:instrText xml:space="preserve"> PAGEREF _Toc521064657 \h </w:instrText>
        </w:r>
        <w:r w:rsidR="007E1F2C" w:rsidRPr="007E1F2C">
          <w:rPr>
            <w:b w:val="0"/>
            <w:noProof/>
            <w:webHidden/>
          </w:rPr>
        </w:r>
        <w:r w:rsidR="007E1F2C" w:rsidRPr="007E1F2C">
          <w:rPr>
            <w:b w:val="0"/>
            <w:noProof/>
            <w:webHidden/>
          </w:rPr>
          <w:fldChar w:fldCharType="separate"/>
        </w:r>
        <w:r w:rsidR="007E1F2C" w:rsidRPr="007E1F2C">
          <w:rPr>
            <w:b w:val="0"/>
            <w:noProof/>
            <w:webHidden/>
          </w:rPr>
          <w:t>13</w:t>
        </w:r>
        <w:r w:rsidR="007E1F2C" w:rsidRPr="007E1F2C">
          <w:rPr>
            <w:b w:val="0"/>
            <w:noProof/>
            <w:webHidden/>
          </w:rPr>
          <w:fldChar w:fldCharType="end"/>
        </w:r>
      </w:hyperlink>
    </w:p>
    <w:p w14:paraId="699BB23A" w14:textId="0DCF9458" w:rsidR="007E1F2C" w:rsidRPr="007E1F2C" w:rsidRDefault="00DB4486">
      <w:pPr>
        <w:pStyle w:val="TM1"/>
        <w:tabs>
          <w:tab w:val="right" w:leader="dot" w:pos="9855"/>
        </w:tabs>
        <w:rPr>
          <w:rFonts w:eastAsiaTheme="minorEastAsia" w:cstheme="minorBidi"/>
          <w:b w:val="0"/>
          <w:bCs w:val="0"/>
          <w:caps w:val="0"/>
          <w:noProof/>
        </w:rPr>
      </w:pPr>
      <w:hyperlink w:anchor="_Toc521064658" w:history="1">
        <w:r w:rsidR="007E1F2C">
          <w:rPr>
            <w:rStyle w:val="Lienhypertexte"/>
            <w:b w:val="0"/>
            <w:caps w:val="0"/>
            <w:noProof/>
          </w:rPr>
          <w:t>Figure 2 : P</w:t>
        </w:r>
        <w:r w:rsidR="007E1F2C" w:rsidRPr="007E1F2C">
          <w:rPr>
            <w:rStyle w:val="Lienhypertexte"/>
            <w:b w:val="0"/>
            <w:caps w:val="0"/>
            <w:noProof/>
          </w:rPr>
          <w:t>opulations p</w:t>
        </w:r>
        <w:r w:rsidR="00563646">
          <w:rPr>
            <w:rStyle w:val="Lienhypertexte"/>
            <w:b w:val="0"/>
            <w:caps w:val="0"/>
            <w:noProof/>
          </w:rPr>
          <w:t>rioritaires retenues dans le CSN</w:t>
        </w:r>
        <w:r w:rsidR="007E1F2C" w:rsidRPr="007E1F2C">
          <w:rPr>
            <w:rStyle w:val="Lienhypertexte"/>
            <w:b w:val="0"/>
            <w:caps w:val="0"/>
            <w:noProof/>
          </w:rPr>
          <w:t xml:space="preserve"> 201</w:t>
        </w:r>
        <w:r w:rsidR="007E1F2C" w:rsidRPr="007E1F2C">
          <w:rPr>
            <w:rStyle w:val="Lienhypertexte"/>
            <w:b w:val="0"/>
            <w:noProof/>
          </w:rPr>
          <w:t>8-2022</w:t>
        </w:r>
        <w:r w:rsidR="007E1F2C" w:rsidRPr="007E1F2C">
          <w:rPr>
            <w:b w:val="0"/>
            <w:noProof/>
            <w:webHidden/>
          </w:rPr>
          <w:tab/>
        </w:r>
        <w:r w:rsidR="007E1F2C" w:rsidRPr="007E1F2C">
          <w:rPr>
            <w:b w:val="0"/>
            <w:noProof/>
            <w:webHidden/>
          </w:rPr>
          <w:fldChar w:fldCharType="begin"/>
        </w:r>
        <w:r w:rsidR="007E1F2C" w:rsidRPr="007E1F2C">
          <w:rPr>
            <w:b w:val="0"/>
            <w:noProof/>
            <w:webHidden/>
          </w:rPr>
          <w:instrText xml:space="preserve"> PAGEREF _Toc521064658 \h </w:instrText>
        </w:r>
        <w:r w:rsidR="007E1F2C" w:rsidRPr="007E1F2C">
          <w:rPr>
            <w:b w:val="0"/>
            <w:noProof/>
            <w:webHidden/>
          </w:rPr>
        </w:r>
        <w:r w:rsidR="007E1F2C" w:rsidRPr="007E1F2C">
          <w:rPr>
            <w:b w:val="0"/>
            <w:noProof/>
            <w:webHidden/>
          </w:rPr>
          <w:fldChar w:fldCharType="separate"/>
        </w:r>
        <w:r w:rsidR="007E1F2C" w:rsidRPr="007E1F2C">
          <w:rPr>
            <w:b w:val="0"/>
            <w:noProof/>
            <w:webHidden/>
          </w:rPr>
          <w:t>33</w:t>
        </w:r>
        <w:r w:rsidR="007E1F2C" w:rsidRPr="007E1F2C">
          <w:rPr>
            <w:b w:val="0"/>
            <w:noProof/>
            <w:webHidden/>
          </w:rPr>
          <w:fldChar w:fldCharType="end"/>
        </w:r>
      </w:hyperlink>
    </w:p>
    <w:p w14:paraId="1511459F" w14:textId="310F0BBB" w:rsidR="007E1F2C" w:rsidRPr="007E1F2C" w:rsidRDefault="00DB4486">
      <w:pPr>
        <w:pStyle w:val="TM1"/>
        <w:tabs>
          <w:tab w:val="right" w:leader="dot" w:pos="9855"/>
        </w:tabs>
        <w:rPr>
          <w:rFonts w:eastAsiaTheme="minorEastAsia" w:cstheme="minorBidi"/>
          <w:b w:val="0"/>
          <w:bCs w:val="0"/>
          <w:caps w:val="0"/>
          <w:noProof/>
        </w:rPr>
      </w:pPr>
      <w:hyperlink w:anchor="_Toc521064659" w:history="1">
        <w:r w:rsidR="007E1F2C">
          <w:rPr>
            <w:rStyle w:val="Lienhypertexte"/>
            <w:b w:val="0"/>
            <w:caps w:val="0"/>
            <w:noProof/>
          </w:rPr>
          <w:t>Figure 3 : F</w:t>
        </w:r>
        <w:r w:rsidR="00563646">
          <w:rPr>
            <w:rStyle w:val="Lienhypertexte"/>
            <w:b w:val="0"/>
            <w:caps w:val="0"/>
            <w:noProof/>
          </w:rPr>
          <w:t>luxogramme des donné</w:t>
        </w:r>
        <w:r w:rsidR="007E1F2C" w:rsidRPr="007E1F2C">
          <w:rPr>
            <w:rStyle w:val="Lienhypertexte"/>
            <w:b w:val="0"/>
            <w:caps w:val="0"/>
            <w:noProof/>
          </w:rPr>
          <w:t>es/informations</w:t>
        </w:r>
        <w:r w:rsidR="007E1F2C" w:rsidRPr="007E1F2C">
          <w:rPr>
            <w:b w:val="0"/>
            <w:noProof/>
            <w:webHidden/>
          </w:rPr>
          <w:tab/>
        </w:r>
        <w:r w:rsidR="007E1F2C" w:rsidRPr="007E1F2C">
          <w:rPr>
            <w:b w:val="0"/>
            <w:noProof/>
            <w:webHidden/>
          </w:rPr>
          <w:fldChar w:fldCharType="begin"/>
        </w:r>
        <w:r w:rsidR="007E1F2C" w:rsidRPr="007E1F2C">
          <w:rPr>
            <w:b w:val="0"/>
            <w:noProof/>
            <w:webHidden/>
          </w:rPr>
          <w:instrText xml:space="preserve"> PAGEREF _Toc521064659 \h </w:instrText>
        </w:r>
        <w:r w:rsidR="007E1F2C" w:rsidRPr="007E1F2C">
          <w:rPr>
            <w:b w:val="0"/>
            <w:noProof/>
            <w:webHidden/>
          </w:rPr>
        </w:r>
        <w:r w:rsidR="007E1F2C" w:rsidRPr="007E1F2C">
          <w:rPr>
            <w:b w:val="0"/>
            <w:noProof/>
            <w:webHidden/>
          </w:rPr>
          <w:fldChar w:fldCharType="separate"/>
        </w:r>
        <w:r w:rsidR="007E1F2C" w:rsidRPr="007E1F2C">
          <w:rPr>
            <w:b w:val="0"/>
            <w:noProof/>
            <w:webHidden/>
          </w:rPr>
          <w:t>42</w:t>
        </w:r>
        <w:r w:rsidR="007E1F2C" w:rsidRPr="007E1F2C">
          <w:rPr>
            <w:b w:val="0"/>
            <w:noProof/>
            <w:webHidden/>
          </w:rPr>
          <w:fldChar w:fldCharType="end"/>
        </w:r>
      </w:hyperlink>
    </w:p>
    <w:p w14:paraId="7A521990" w14:textId="2824EF98" w:rsidR="009F1C8A" w:rsidRDefault="00284484" w:rsidP="00FE2B19">
      <w:pPr>
        <w:spacing w:after="160" w:line="259" w:lineRule="auto"/>
        <w:rPr>
          <w:rFonts w:ascii="Calibri" w:hAnsi="Calibri"/>
          <w:sz w:val="20"/>
          <w:szCs w:val="20"/>
        </w:rPr>
      </w:pPr>
      <w:r w:rsidRPr="007E1F2C">
        <w:rPr>
          <w:rFonts w:ascii="Calibri" w:hAnsi="Calibri"/>
          <w:sz w:val="20"/>
          <w:szCs w:val="20"/>
        </w:rPr>
        <w:fldChar w:fldCharType="end"/>
      </w:r>
    </w:p>
    <w:p w14:paraId="2C086081" w14:textId="2085C4AC" w:rsidR="007E1F2C" w:rsidRPr="007E1F2C" w:rsidRDefault="007E1F2C" w:rsidP="007E1F2C">
      <w:pPr>
        <w:pBdr>
          <w:bottom w:val="single" w:sz="4" w:space="1" w:color="auto"/>
        </w:pBdr>
        <w:spacing w:after="160" w:line="259" w:lineRule="auto"/>
        <w:rPr>
          <w:rFonts w:ascii="Calibri" w:hAnsi="Calibri"/>
          <w:b/>
        </w:rPr>
      </w:pPr>
      <w:r w:rsidRPr="007E1F2C">
        <w:rPr>
          <w:rFonts w:ascii="Calibri" w:hAnsi="Calibri"/>
          <w:b/>
        </w:rPr>
        <w:t>Liste des graphiques</w:t>
      </w:r>
    </w:p>
    <w:p w14:paraId="6CC5CE10" w14:textId="2B721CBB" w:rsidR="00563646" w:rsidRPr="00563646" w:rsidRDefault="000A784D">
      <w:pPr>
        <w:pStyle w:val="TM1"/>
        <w:tabs>
          <w:tab w:val="right" w:leader="dot" w:pos="9855"/>
        </w:tabs>
        <w:rPr>
          <w:rFonts w:eastAsiaTheme="minorEastAsia" w:cstheme="minorBidi"/>
          <w:b w:val="0"/>
          <w:bCs w:val="0"/>
          <w:caps w:val="0"/>
          <w:noProof/>
        </w:rPr>
      </w:pPr>
      <w:r w:rsidRPr="00563646">
        <w:rPr>
          <w:rFonts w:ascii="Calibri" w:hAnsi="Calibri"/>
          <w:b w:val="0"/>
        </w:rPr>
        <w:fldChar w:fldCharType="begin"/>
      </w:r>
      <w:r w:rsidRPr="00563646">
        <w:rPr>
          <w:rFonts w:ascii="Calibri" w:hAnsi="Calibri"/>
          <w:b w:val="0"/>
        </w:rPr>
        <w:instrText xml:space="preserve"> TOC \h \z \t "graph,1" </w:instrText>
      </w:r>
      <w:r w:rsidRPr="00563646">
        <w:rPr>
          <w:rFonts w:ascii="Calibri" w:hAnsi="Calibri"/>
          <w:b w:val="0"/>
        </w:rPr>
        <w:fldChar w:fldCharType="separate"/>
      </w:r>
      <w:hyperlink w:anchor="_Toc521065107" w:history="1">
        <w:r w:rsidR="00563646">
          <w:rPr>
            <w:rStyle w:val="Lienhypertexte"/>
            <w:b w:val="0"/>
            <w:caps w:val="0"/>
            <w:noProof/>
          </w:rPr>
          <w:t>Graphique 1 : Distribution des tests VIH</w:t>
        </w:r>
        <w:r w:rsidR="00563646" w:rsidRPr="00563646">
          <w:rPr>
            <w:rStyle w:val="Lienhypertexte"/>
            <w:b w:val="0"/>
            <w:caps w:val="0"/>
            <w:noProof/>
          </w:rPr>
          <w:t xml:space="preserve"> positif</w:t>
        </w:r>
        <w:r w:rsidR="00563646">
          <w:rPr>
            <w:rStyle w:val="Lienhypertexte"/>
            <w:b w:val="0"/>
            <w:caps w:val="0"/>
            <w:noProof/>
          </w:rPr>
          <w:t>s</w:t>
        </w:r>
        <w:r w:rsidR="00563646" w:rsidRPr="00563646">
          <w:rPr>
            <w:rStyle w:val="Lienhypertexte"/>
            <w:b w:val="0"/>
            <w:caps w:val="0"/>
            <w:noProof/>
          </w:rPr>
          <w:t xml:space="preserve"> au 1er semestre 2017</w:t>
        </w:r>
        <w:r w:rsidR="00563646" w:rsidRPr="00563646">
          <w:rPr>
            <w:b w:val="0"/>
            <w:noProof/>
            <w:webHidden/>
          </w:rPr>
          <w:tab/>
        </w:r>
        <w:r w:rsidR="00563646" w:rsidRPr="00563646">
          <w:rPr>
            <w:b w:val="0"/>
            <w:noProof/>
            <w:webHidden/>
          </w:rPr>
          <w:fldChar w:fldCharType="begin"/>
        </w:r>
        <w:r w:rsidR="00563646" w:rsidRPr="00563646">
          <w:rPr>
            <w:b w:val="0"/>
            <w:noProof/>
            <w:webHidden/>
          </w:rPr>
          <w:instrText xml:space="preserve"> PAGEREF _Toc521065107 \h </w:instrText>
        </w:r>
        <w:r w:rsidR="00563646" w:rsidRPr="00563646">
          <w:rPr>
            <w:b w:val="0"/>
            <w:noProof/>
            <w:webHidden/>
          </w:rPr>
        </w:r>
        <w:r w:rsidR="00563646" w:rsidRPr="00563646">
          <w:rPr>
            <w:b w:val="0"/>
            <w:noProof/>
            <w:webHidden/>
          </w:rPr>
          <w:fldChar w:fldCharType="separate"/>
        </w:r>
        <w:r w:rsidR="00563646" w:rsidRPr="00563646">
          <w:rPr>
            <w:b w:val="0"/>
            <w:noProof/>
            <w:webHidden/>
          </w:rPr>
          <w:t>17</w:t>
        </w:r>
        <w:r w:rsidR="00563646" w:rsidRPr="00563646">
          <w:rPr>
            <w:b w:val="0"/>
            <w:noProof/>
            <w:webHidden/>
          </w:rPr>
          <w:fldChar w:fldCharType="end"/>
        </w:r>
      </w:hyperlink>
    </w:p>
    <w:p w14:paraId="7B7F3F88" w14:textId="1B37351E" w:rsidR="00563646" w:rsidRPr="00563646" w:rsidRDefault="00DB4486">
      <w:pPr>
        <w:pStyle w:val="TM1"/>
        <w:tabs>
          <w:tab w:val="right" w:leader="dot" w:pos="9855"/>
        </w:tabs>
        <w:rPr>
          <w:rFonts w:eastAsiaTheme="minorEastAsia" w:cstheme="minorBidi"/>
          <w:b w:val="0"/>
          <w:bCs w:val="0"/>
          <w:caps w:val="0"/>
          <w:noProof/>
        </w:rPr>
      </w:pPr>
      <w:hyperlink w:anchor="_Toc521065108" w:history="1">
        <w:r w:rsidR="00563646">
          <w:rPr>
            <w:rStyle w:val="Lienhypertexte"/>
            <w:b w:val="0"/>
            <w:caps w:val="0"/>
            <w:noProof/>
          </w:rPr>
          <w:t>Graphique 2 : Modélisation de l’é</w:t>
        </w:r>
        <w:r w:rsidR="00563646" w:rsidRPr="00563646">
          <w:rPr>
            <w:rStyle w:val="Lienhypertexte"/>
            <w:b w:val="0"/>
            <w:caps w:val="0"/>
            <w:noProof/>
          </w:rPr>
          <w:t>vol</w:t>
        </w:r>
        <w:r w:rsidR="00563646">
          <w:rPr>
            <w:rStyle w:val="Lienhypertexte"/>
            <w:b w:val="0"/>
            <w:caps w:val="0"/>
            <w:noProof/>
          </w:rPr>
          <w:t>ution des nouvelles infections à VIH</w:t>
        </w:r>
        <w:r w:rsidR="00563646" w:rsidRPr="00563646">
          <w:rPr>
            <w:b w:val="0"/>
            <w:noProof/>
            <w:webHidden/>
          </w:rPr>
          <w:tab/>
        </w:r>
        <w:r w:rsidR="00563646" w:rsidRPr="00563646">
          <w:rPr>
            <w:b w:val="0"/>
            <w:noProof/>
            <w:webHidden/>
          </w:rPr>
          <w:fldChar w:fldCharType="begin"/>
        </w:r>
        <w:r w:rsidR="00563646" w:rsidRPr="00563646">
          <w:rPr>
            <w:b w:val="0"/>
            <w:noProof/>
            <w:webHidden/>
          </w:rPr>
          <w:instrText xml:space="preserve"> PAGEREF _Toc521065108 \h </w:instrText>
        </w:r>
        <w:r w:rsidR="00563646" w:rsidRPr="00563646">
          <w:rPr>
            <w:b w:val="0"/>
            <w:noProof/>
            <w:webHidden/>
          </w:rPr>
        </w:r>
        <w:r w:rsidR="00563646" w:rsidRPr="00563646">
          <w:rPr>
            <w:b w:val="0"/>
            <w:noProof/>
            <w:webHidden/>
          </w:rPr>
          <w:fldChar w:fldCharType="separate"/>
        </w:r>
        <w:r w:rsidR="00563646" w:rsidRPr="00563646">
          <w:rPr>
            <w:b w:val="0"/>
            <w:noProof/>
            <w:webHidden/>
          </w:rPr>
          <w:t>18</w:t>
        </w:r>
        <w:r w:rsidR="00563646" w:rsidRPr="00563646">
          <w:rPr>
            <w:b w:val="0"/>
            <w:noProof/>
            <w:webHidden/>
          </w:rPr>
          <w:fldChar w:fldCharType="end"/>
        </w:r>
      </w:hyperlink>
    </w:p>
    <w:p w14:paraId="5BB55132" w14:textId="4F9C8DB4" w:rsidR="00563646" w:rsidRPr="00563646" w:rsidRDefault="00DB4486">
      <w:pPr>
        <w:pStyle w:val="TM1"/>
        <w:tabs>
          <w:tab w:val="right" w:leader="dot" w:pos="9855"/>
        </w:tabs>
        <w:rPr>
          <w:rFonts w:eastAsiaTheme="minorEastAsia" w:cstheme="minorBidi"/>
          <w:b w:val="0"/>
          <w:bCs w:val="0"/>
          <w:caps w:val="0"/>
          <w:noProof/>
        </w:rPr>
      </w:pPr>
      <w:hyperlink w:anchor="_Toc521065109" w:history="1">
        <w:r w:rsidR="00563646">
          <w:rPr>
            <w:rStyle w:val="Lienhypertexte"/>
            <w:b w:val="0"/>
            <w:caps w:val="0"/>
            <w:noProof/>
          </w:rPr>
          <w:t>Graphique 3 : Prévalence des IST</w:t>
        </w:r>
        <w:r w:rsidR="00563646" w:rsidRPr="00563646">
          <w:rPr>
            <w:rStyle w:val="Lienhypertexte"/>
            <w:b w:val="0"/>
            <w:caps w:val="0"/>
            <w:noProof/>
          </w:rPr>
          <w:t xml:space="preserve"> au cours des 12 derniers mois </w:t>
        </w:r>
        <w:r w:rsidR="00563646">
          <w:rPr>
            <w:rStyle w:val="Lienhypertexte"/>
            <w:b w:val="0"/>
            <w:caps w:val="0"/>
            <w:noProof/>
          </w:rPr>
          <w:t>(ESCOMB</w:t>
        </w:r>
        <w:r w:rsidR="00563646" w:rsidRPr="00563646">
          <w:rPr>
            <w:rStyle w:val="Lienhypertexte"/>
            <w:b w:val="0"/>
            <w:caps w:val="0"/>
            <w:noProof/>
          </w:rPr>
          <w:t xml:space="preserve"> 2015</w:t>
        </w:r>
        <w:r w:rsidR="00563646">
          <w:rPr>
            <w:rStyle w:val="Lienhypertexte"/>
            <w:b w:val="0"/>
            <w:caps w:val="0"/>
            <w:noProof/>
          </w:rPr>
          <w:t>)</w:t>
        </w:r>
        <w:r w:rsidR="00563646" w:rsidRPr="00563646">
          <w:rPr>
            <w:b w:val="0"/>
            <w:noProof/>
            <w:webHidden/>
          </w:rPr>
          <w:tab/>
        </w:r>
        <w:r w:rsidR="00563646" w:rsidRPr="00563646">
          <w:rPr>
            <w:b w:val="0"/>
            <w:noProof/>
            <w:webHidden/>
          </w:rPr>
          <w:fldChar w:fldCharType="begin"/>
        </w:r>
        <w:r w:rsidR="00563646" w:rsidRPr="00563646">
          <w:rPr>
            <w:b w:val="0"/>
            <w:noProof/>
            <w:webHidden/>
          </w:rPr>
          <w:instrText xml:space="preserve"> PAGEREF _Toc521065109 \h </w:instrText>
        </w:r>
        <w:r w:rsidR="00563646" w:rsidRPr="00563646">
          <w:rPr>
            <w:b w:val="0"/>
            <w:noProof/>
            <w:webHidden/>
          </w:rPr>
        </w:r>
        <w:r w:rsidR="00563646" w:rsidRPr="00563646">
          <w:rPr>
            <w:b w:val="0"/>
            <w:noProof/>
            <w:webHidden/>
          </w:rPr>
          <w:fldChar w:fldCharType="separate"/>
        </w:r>
        <w:r w:rsidR="00563646" w:rsidRPr="00563646">
          <w:rPr>
            <w:b w:val="0"/>
            <w:noProof/>
            <w:webHidden/>
          </w:rPr>
          <w:t>19</w:t>
        </w:r>
        <w:r w:rsidR="00563646" w:rsidRPr="00563646">
          <w:rPr>
            <w:b w:val="0"/>
            <w:noProof/>
            <w:webHidden/>
          </w:rPr>
          <w:fldChar w:fldCharType="end"/>
        </w:r>
      </w:hyperlink>
    </w:p>
    <w:p w14:paraId="55F8D0B1" w14:textId="3A8A4D6D" w:rsidR="00563646" w:rsidRPr="00563646" w:rsidRDefault="00DB4486">
      <w:pPr>
        <w:pStyle w:val="TM1"/>
        <w:tabs>
          <w:tab w:val="right" w:leader="dot" w:pos="9855"/>
        </w:tabs>
        <w:rPr>
          <w:rFonts w:eastAsiaTheme="minorEastAsia" w:cstheme="minorBidi"/>
          <w:b w:val="0"/>
          <w:bCs w:val="0"/>
          <w:caps w:val="0"/>
          <w:noProof/>
        </w:rPr>
      </w:pPr>
      <w:hyperlink w:anchor="_Toc521065110" w:history="1">
        <w:r w:rsidR="00563646">
          <w:rPr>
            <w:rStyle w:val="Lienhypertexte"/>
            <w:b w:val="0"/>
            <w:caps w:val="0"/>
            <w:noProof/>
          </w:rPr>
          <w:t>Graphique 4 : Prévalence du VIH</w:t>
        </w:r>
        <w:r w:rsidR="00563646" w:rsidRPr="00563646">
          <w:rPr>
            <w:rStyle w:val="Lienhypertexte"/>
            <w:b w:val="0"/>
            <w:caps w:val="0"/>
            <w:noProof/>
          </w:rPr>
          <w:t xml:space="preserve"> chez les professio</w:t>
        </w:r>
        <w:r w:rsidR="00563646">
          <w:rPr>
            <w:rStyle w:val="Lienhypertexte"/>
            <w:b w:val="0"/>
            <w:caps w:val="0"/>
            <w:noProof/>
          </w:rPr>
          <w:t>nnels de sexe par région (ESCOMB</w:t>
        </w:r>
        <w:r w:rsidR="00563646" w:rsidRPr="00563646">
          <w:rPr>
            <w:rStyle w:val="Lienhypertexte"/>
            <w:b w:val="0"/>
            <w:caps w:val="0"/>
            <w:noProof/>
          </w:rPr>
          <w:t xml:space="preserve"> 2015)</w:t>
        </w:r>
        <w:r w:rsidR="00563646" w:rsidRPr="00563646">
          <w:rPr>
            <w:b w:val="0"/>
            <w:noProof/>
            <w:webHidden/>
          </w:rPr>
          <w:tab/>
        </w:r>
        <w:r w:rsidR="00563646" w:rsidRPr="00563646">
          <w:rPr>
            <w:b w:val="0"/>
            <w:noProof/>
            <w:webHidden/>
          </w:rPr>
          <w:fldChar w:fldCharType="begin"/>
        </w:r>
        <w:r w:rsidR="00563646" w:rsidRPr="00563646">
          <w:rPr>
            <w:b w:val="0"/>
            <w:noProof/>
            <w:webHidden/>
          </w:rPr>
          <w:instrText xml:space="preserve"> PAGEREF _Toc521065110 \h </w:instrText>
        </w:r>
        <w:r w:rsidR="00563646" w:rsidRPr="00563646">
          <w:rPr>
            <w:b w:val="0"/>
            <w:noProof/>
            <w:webHidden/>
          </w:rPr>
        </w:r>
        <w:r w:rsidR="00563646" w:rsidRPr="00563646">
          <w:rPr>
            <w:b w:val="0"/>
            <w:noProof/>
            <w:webHidden/>
          </w:rPr>
          <w:fldChar w:fldCharType="separate"/>
        </w:r>
        <w:r w:rsidR="00563646" w:rsidRPr="00563646">
          <w:rPr>
            <w:b w:val="0"/>
            <w:noProof/>
            <w:webHidden/>
          </w:rPr>
          <w:t>20</w:t>
        </w:r>
        <w:r w:rsidR="00563646" w:rsidRPr="00563646">
          <w:rPr>
            <w:b w:val="0"/>
            <w:noProof/>
            <w:webHidden/>
          </w:rPr>
          <w:fldChar w:fldCharType="end"/>
        </w:r>
      </w:hyperlink>
    </w:p>
    <w:p w14:paraId="456AF4DC" w14:textId="433343D9" w:rsidR="00563646" w:rsidRPr="00563646" w:rsidRDefault="00DB4486">
      <w:pPr>
        <w:pStyle w:val="TM1"/>
        <w:tabs>
          <w:tab w:val="right" w:leader="dot" w:pos="9855"/>
        </w:tabs>
        <w:rPr>
          <w:rFonts w:eastAsiaTheme="minorEastAsia" w:cstheme="minorBidi"/>
          <w:b w:val="0"/>
          <w:bCs w:val="0"/>
          <w:caps w:val="0"/>
          <w:noProof/>
        </w:rPr>
      </w:pPr>
      <w:hyperlink w:anchor="_Toc521065111" w:history="1">
        <w:r w:rsidR="00563646">
          <w:rPr>
            <w:rStyle w:val="Lienhypertexte"/>
            <w:b w:val="0"/>
            <w:caps w:val="0"/>
            <w:noProof/>
          </w:rPr>
          <w:t>G</w:t>
        </w:r>
        <w:r w:rsidR="00563646" w:rsidRPr="00563646">
          <w:rPr>
            <w:rStyle w:val="Lienhypertexte"/>
            <w:b w:val="0"/>
            <w:caps w:val="0"/>
            <w:noProof/>
          </w:rPr>
          <w:t>raphique 5 :</w:t>
        </w:r>
        <w:r w:rsidR="00563646">
          <w:rPr>
            <w:rStyle w:val="Lienhypertexte"/>
            <w:b w:val="0"/>
            <w:caps w:val="0"/>
            <w:noProof/>
          </w:rPr>
          <w:t xml:space="preserve"> Dé</w:t>
        </w:r>
        <w:r w:rsidR="00563646" w:rsidRPr="00563646">
          <w:rPr>
            <w:rStyle w:val="Lienhypertexte"/>
            <w:b w:val="0"/>
            <w:caps w:val="0"/>
            <w:noProof/>
          </w:rPr>
          <w:t>pistage du vih d</w:t>
        </w:r>
        <w:r w:rsidR="00563646">
          <w:rPr>
            <w:rStyle w:val="Lienhypertexte"/>
            <w:b w:val="0"/>
            <w:caps w:val="0"/>
            <w:noProof/>
          </w:rPr>
          <w:t>ans les cdv, tendances sur la pé</w:t>
        </w:r>
        <w:r w:rsidR="00563646" w:rsidRPr="00563646">
          <w:rPr>
            <w:rStyle w:val="Lienhypertexte"/>
            <w:b w:val="0"/>
            <w:caps w:val="0"/>
            <w:noProof/>
          </w:rPr>
          <w:t>riode 2013-20</w:t>
        </w:r>
        <w:r w:rsidR="00563646" w:rsidRPr="00563646">
          <w:rPr>
            <w:rStyle w:val="Lienhypertexte"/>
            <w:b w:val="0"/>
            <w:noProof/>
          </w:rPr>
          <w:t>16</w:t>
        </w:r>
        <w:r w:rsidR="00563646" w:rsidRPr="00563646">
          <w:rPr>
            <w:b w:val="0"/>
            <w:noProof/>
            <w:webHidden/>
          </w:rPr>
          <w:tab/>
        </w:r>
        <w:r w:rsidR="00563646" w:rsidRPr="00563646">
          <w:rPr>
            <w:b w:val="0"/>
            <w:noProof/>
            <w:webHidden/>
          </w:rPr>
          <w:fldChar w:fldCharType="begin"/>
        </w:r>
        <w:r w:rsidR="00563646" w:rsidRPr="00563646">
          <w:rPr>
            <w:b w:val="0"/>
            <w:noProof/>
            <w:webHidden/>
          </w:rPr>
          <w:instrText xml:space="preserve"> PAGEREF _Toc521065111 \h </w:instrText>
        </w:r>
        <w:r w:rsidR="00563646" w:rsidRPr="00563646">
          <w:rPr>
            <w:b w:val="0"/>
            <w:noProof/>
            <w:webHidden/>
          </w:rPr>
        </w:r>
        <w:r w:rsidR="00563646" w:rsidRPr="00563646">
          <w:rPr>
            <w:b w:val="0"/>
            <w:noProof/>
            <w:webHidden/>
          </w:rPr>
          <w:fldChar w:fldCharType="separate"/>
        </w:r>
        <w:r w:rsidR="00563646" w:rsidRPr="00563646">
          <w:rPr>
            <w:b w:val="0"/>
            <w:noProof/>
            <w:webHidden/>
          </w:rPr>
          <w:t>21</w:t>
        </w:r>
        <w:r w:rsidR="00563646" w:rsidRPr="00563646">
          <w:rPr>
            <w:b w:val="0"/>
            <w:noProof/>
            <w:webHidden/>
          </w:rPr>
          <w:fldChar w:fldCharType="end"/>
        </w:r>
      </w:hyperlink>
    </w:p>
    <w:p w14:paraId="33407E9B" w14:textId="67EECB1D" w:rsidR="00563646" w:rsidRPr="00563646" w:rsidRDefault="00DB4486">
      <w:pPr>
        <w:pStyle w:val="TM1"/>
        <w:tabs>
          <w:tab w:val="right" w:leader="dot" w:pos="9855"/>
        </w:tabs>
        <w:rPr>
          <w:rFonts w:eastAsiaTheme="minorEastAsia" w:cstheme="minorBidi"/>
          <w:b w:val="0"/>
          <w:bCs w:val="0"/>
          <w:caps w:val="0"/>
          <w:noProof/>
        </w:rPr>
      </w:pPr>
      <w:hyperlink w:anchor="_Toc521065112" w:history="1">
        <w:r w:rsidR="00563646">
          <w:rPr>
            <w:rStyle w:val="Lienhypertexte"/>
            <w:b w:val="0"/>
            <w:caps w:val="0"/>
            <w:noProof/>
          </w:rPr>
          <w:t>Graphique 6 : Donné</w:t>
        </w:r>
        <w:r w:rsidR="00563646" w:rsidRPr="00563646">
          <w:rPr>
            <w:rStyle w:val="Lienhypertexte"/>
            <w:b w:val="0"/>
            <w:caps w:val="0"/>
            <w:noProof/>
          </w:rPr>
          <w:t>es compor</w:t>
        </w:r>
        <w:r w:rsidR="00563646">
          <w:rPr>
            <w:rStyle w:val="Lienhypertexte"/>
            <w:b w:val="0"/>
            <w:caps w:val="0"/>
            <w:noProof/>
          </w:rPr>
          <w:t>tementales des populations vulné</w:t>
        </w:r>
        <w:r w:rsidR="00563646" w:rsidRPr="00563646">
          <w:rPr>
            <w:rStyle w:val="Lienhypertexte"/>
            <w:b w:val="0"/>
            <w:caps w:val="0"/>
            <w:noProof/>
          </w:rPr>
          <w:t>rables</w:t>
        </w:r>
        <w:r w:rsidR="00563646" w:rsidRPr="00563646">
          <w:rPr>
            <w:b w:val="0"/>
            <w:noProof/>
            <w:webHidden/>
          </w:rPr>
          <w:tab/>
        </w:r>
        <w:r w:rsidR="00563646" w:rsidRPr="00563646">
          <w:rPr>
            <w:b w:val="0"/>
            <w:noProof/>
            <w:webHidden/>
          </w:rPr>
          <w:fldChar w:fldCharType="begin"/>
        </w:r>
        <w:r w:rsidR="00563646" w:rsidRPr="00563646">
          <w:rPr>
            <w:b w:val="0"/>
            <w:noProof/>
            <w:webHidden/>
          </w:rPr>
          <w:instrText xml:space="preserve"> PAGEREF _Toc521065112 \h </w:instrText>
        </w:r>
        <w:r w:rsidR="00563646" w:rsidRPr="00563646">
          <w:rPr>
            <w:b w:val="0"/>
            <w:noProof/>
            <w:webHidden/>
          </w:rPr>
        </w:r>
        <w:r w:rsidR="00563646" w:rsidRPr="00563646">
          <w:rPr>
            <w:b w:val="0"/>
            <w:noProof/>
            <w:webHidden/>
          </w:rPr>
          <w:fldChar w:fldCharType="separate"/>
        </w:r>
        <w:r w:rsidR="00563646" w:rsidRPr="00563646">
          <w:rPr>
            <w:b w:val="0"/>
            <w:noProof/>
            <w:webHidden/>
          </w:rPr>
          <w:t>23</w:t>
        </w:r>
        <w:r w:rsidR="00563646" w:rsidRPr="00563646">
          <w:rPr>
            <w:b w:val="0"/>
            <w:noProof/>
            <w:webHidden/>
          </w:rPr>
          <w:fldChar w:fldCharType="end"/>
        </w:r>
      </w:hyperlink>
    </w:p>
    <w:p w14:paraId="4C45BC40" w14:textId="20822329" w:rsidR="00563646" w:rsidRPr="00563646" w:rsidRDefault="00DB4486">
      <w:pPr>
        <w:pStyle w:val="TM1"/>
        <w:tabs>
          <w:tab w:val="right" w:leader="dot" w:pos="9855"/>
        </w:tabs>
        <w:rPr>
          <w:rFonts w:eastAsiaTheme="minorEastAsia" w:cstheme="minorBidi"/>
          <w:b w:val="0"/>
          <w:bCs w:val="0"/>
          <w:caps w:val="0"/>
          <w:noProof/>
        </w:rPr>
      </w:pPr>
      <w:hyperlink w:anchor="_Toc521065113" w:history="1">
        <w:r w:rsidR="00563646">
          <w:rPr>
            <w:rStyle w:val="Lienhypertexte"/>
            <w:b w:val="0"/>
            <w:caps w:val="0"/>
            <w:noProof/>
          </w:rPr>
          <w:t>Graphique 7 : E</w:t>
        </w:r>
        <w:r w:rsidR="00563646" w:rsidRPr="00563646">
          <w:rPr>
            <w:rStyle w:val="Lienhypertexte"/>
            <w:b w:val="0"/>
            <w:caps w:val="0"/>
            <w:noProof/>
          </w:rPr>
          <w:t xml:space="preserve">volution </w:t>
        </w:r>
        <w:r w:rsidR="00563646">
          <w:rPr>
            <w:rStyle w:val="Lienhypertexte"/>
            <w:b w:val="0"/>
            <w:caps w:val="0"/>
            <w:noProof/>
          </w:rPr>
          <w:t>des sites PTME et fonctionnalité</w:t>
        </w:r>
        <w:r w:rsidR="00563646" w:rsidRPr="00563646">
          <w:rPr>
            <w:rStyle w:val="Lienhypertexte"/>
            <w:b w:val="0"/>
            <w:caps w:val="0"/>
            <w:noProof/>
          </w:rPr>
          <w:t xml:space="preserve"> des sites en fin 2017</w:t>
        </w:r>
        <w:r w:rsidR="00563646" w:rsidRPr="00563646">
          <w:rPr>
            <w:b w:val="0"/>
            <w:noProof/>
            <w:webHidden/>
          </w:rPr>
          <w:tab/>
        </w:r>
        <w:r w:rsidR="00563646" w:rsidRPr="00563646">
          <w:rPr>
            <w:b w:val="0"/>
            <w:noProof/>
            <w:webHidden/>
          </w:rPr>
          <w:fldChar w:fldCharType="begin"/>
        </w:r>
        <w:r w:rsidR="00563646" w:rsidRPr="00563646">
          <w:rPr>
            <w:b w:val="0"/>
            <w:noProof/>
            <w:webHidden/>
          </w:rPr>
          <w:instrText xml:space="preserve"> PAGEREF _Toc521065113 \h </w:instrText>
        </w:r>
        <w:r w:rsidR="00563646" w:rsidRPr="00563646">
          <w:rPr>
            <w:b w:val="0"/>
            <w:noProof/>
            <w:webHidden/>
          </w:rPr>
        </w:r>
        <w:r w:rsidR="00563646" w:rsidRPr="00563646">
          <w:rPr>
            <w:b w:val="0"/>
            <w:noProof/>
            <w:webHidden/>
          </w:rPr>
          <w:fldChar w:fldCharType="separate"/>
        </w:r>
        <w:r w:rsidR="00563646" w:rsidRPr="00563646">
          <w:rPr>
            <w:b w:val="0"/>
            <w:noProof/>
            <w:webHidden/>
          </w:rPr>
          <w:t>24</w:t>
        </w:r>
        <w:r w:rsidR="00563646" w:rsidRPr="00563646">
          <w:rPr>
            <w:b w:val="0"/>
            <w:noProof/>
            <w:webHidden/>
          </w:rPr>
          <w:fldChar w:fldCharType="end"/>
        </w:r>
      </w:hyperlink>
    </w:p>
    <w:p w14:paraId="2A53C914" w14:textId="61B3FDE2" w:rsidR="00563646" w:rsidRPr="00563646" w:rsidRDefault="00DB4486">
      <w:pPr>
        <w:pStyle w:val="TM1"/>
        <w:tabs>
          <w:tab w:val="right" w:leader="dot" w:pos="9855"/>
        </w:tabs>
        <w:rPr>
          <w:rFonts w:eastAsiaTheme="minorEastAsia" w:cstheme="minorBidi"/>
          <w:b w:val="0"/>
          <w:bCs w:val="0"/>
          <w:caps w:val="0"/>
          <w:noProof/>
        </w:rPr>
      </w:pPr>
      <w:hyperlink w:anchor="_Toc521065114" w:history="1">
        <w:r w:rsidR="00563646">
          <w:rPr>
            <w:rStyle w:val="Lienhypertexte"/>
            <w:b w:val="0"/>
            <w:caps w:val="0"/>
            <w:noProof/>
          </w:rPr>
          <w:t>Graphique 8 : Prévalence du VIH</w:t>
        </w:r>
        <w:r w:rsidR="00563646" w:rsidRPr="00563646">
          <w:rPr>
            <w:rStyle w:val="Lienhypertexte"/>
            <w:b w:val="0"/>
            <w:caps w:val="0"/>
            <w:noProof/>
          </w:rPr>
          <w:t xml:space="preserve"> parmi les dons de sang</w:t>
        </w:r>
        <w:r w:rsidR="00563646" w:rsidRPr="00563646">
          <w:rPr>
            <w:b w:val="0"/>
            <w:noProof/>
            <w:webHidden/>
          </w:rPr>
          <w:tab/>
        </w:r>
        <w:r w:rsidR="00563646" w:rsidRPr="00563646">
          <w:rPr>
            <w:b w:val="0"/>
            <w:noProof/>
            <w:webHidden/>
          </w:rPr>
          <w:fldChar w:fldCharType="begin"/>
        </w:r>
        <w:r w:rsidR="00563646" w:rsidRPr="00563646">
          <w:rPr>
            <w:b w:val="0"/>
            <w:noProof/>
            <w:webHidden/>
          </w:rPr>
          <w:instrText xml:space="preserve"> PAGEREF _Toc521065114 \h </w:instrText>
        </w:r>
        <w:r w:rsidR="00563646" w:rsidRPr="00563646">
          <w:rPr>
            <w:b w:val="0"/>
            <w:noProof/>
            <w:webHidden/>
          </w:rPr>
        </w:r>
        <w:r w:rsidR="00563646" w:rsidRPr="00563646">
          <w:rPr>
            <w:b w:val="0"/>
            <w:noProof/>
            <w:webHidden/>
          </w:rPr>
          <w:fldChar w:fldCharType="separate"/>
        </w:r>
        <w:r w:rsidR="00563646" w:rsidRPr="00563646">
          <w:rPr>
            <w:b w:val="0"/>
            <w:noProof/>
            <w:webHidden/>
          </w:rPr>
          <w:t>26</w:t>
        </w:r>
        <w:r w:rsidR="00563646" w:rsidRPr="00563646">
          <w:rPr>
            <w:b w:val="0"/>
            <w:noProof/>
            <w:webHidden/>
          </w:rPr>
          <w:fldChar w:fldCharType="end"/>
        </w:r>
      </w:hyperlink>
    </w:p>
    <w:p w14:paraId="6B55D855" w14:textId="5B4C79FA" w:rsidR="00563646" w:rsidRPr="00563646" w:rsidRDefault="00DB4486">
      <w:pPr>
        <w:pStyle w:val="TM1"/>
        <w:tabs>
          <w:tab w:val="right" w:leader="dot" w:pos="9855"/>
        </w:tabs>
        <w:rPr>
          <w:rFonts w:eastAsiaTheme="minorEastAsia" w:cstheme="minorBidi"/>
          <w:b w:val="0"/>
          <w:bCs w:val="0"/>
          <w:caps w:val="0"/>
          <w:noProof/>
        </w:rPr>
      </w:pPr>
      <w:hyperlink w:anchor="_Toc521065115" w:history="1">
        <w:r w:rsidR="00563646">
          <w:rPr>
            <w:rStyle w:val="Lienhypertexte"/>
            <w:b w:val="0"/>
            <w:caps w:val="0"/>
            <w:noProof/>
          </w:rPr>
          <w:t>Graphique 9 : E</w:t>
        </w:r>
        <w:r w:rsidR="00563646" w:rsidRPr="00563646">
          <w:rPr>
            <w:rStyle w:val="Lienhypertexte"/>
            <w:b w:val="0"/>
            <w:caps w:val="0"/>
            <w:noProof/>
          </w:rPr>
          <w:t>volution du nomb</w:t>
        </w:r>
        <w:r w:rsidR="00563646">
          <w:rPr>
            <w:rStyle w:val="Lienhypertexte"/>
            <w:b w:val="0"/>
            <w:caps w:val="0"/>
            <w:noProof/>
          </w:rPr>
          <w:t>re et de la couverture des PVVIH sous ARV</w:t>
        </w:r>
        <w:r w:rsidR="00563646" w:rsidRPr="00563646">
          <w:rPr>
            <w:b w:val="0"/>
            <w:noProof/>
            <w:webHidden/>
          </w:rPr>
          <w:tab/>
        </w:r>
        <w:r w:rsidR="00563646" w:rsidRPr="00563646">
          <w:rPr>
            <w:b w:val="0"/>
            <w:noProof/>
            <w:webHidden/>
          </w:rPr>
          <w:fldChar w:fldCharType="begin"/>
        </w:r>
        <w:r w:rsidR="00563646" w:rsidRPr="00563646">
          <w:rPr>
            <w:b w:val="0"/>
            <w:noProof/>
            <w:webHidden/>
          </w:rPr>
          <w:instrText xml:space="preserve"> PAGEREF _Toc521065115 \h </w:instrText>
        </w:r>
        <w:r w:rsidR="00563646" w:rsidRPr="00563646">
          <w:rPr>
            <w:b w:val="0"/>
            <w:noProof/>
            <w:webHidden/>
          </w:rPr>
        </w:r>
        <w:r w:rsidR="00563646" w:rsidRPr="00563646">
          <w:rPr>
            <w:b w:val="0"/>
            <w:noProof/>
            <w:webHidden/>
          </w:rPr>
          <w:fldChar w:fldCharType="separate"/>
        </w:r>
        <w:r w:rsidR="00563646" w:rsidRPr="00563646">
          <w:rPr>
            <w:b w:val="0"/>
            <w:noProof/>
            <w:webHidden/>
          </w:rPr>
          <w:t>27</w:t>
        </w:r>
        <w:r w:rsidR="00563646" w:rsidRPr="00563646">
          <w:rPr>
            <w:b w:val="0"/>
            <w:noProof/>
            <w:webHidden/>
          </w:rPr>
          <w:fldChar w:fldCharType="end"/>
        </w:r>
      </w:hyperlink>
    </w:p>
    <w:p w14:paraId="57592D70" w14:textId="36924CE4" w:rsidR="00563646" w:rsidRPr="00563646" w:rsidRDefault="00DB4486">
      <w:pPr>
        <w:pStyle w:val="TM1"/>
        <w:tabs>
          <w:tab w:val="right" w:leader="dot" w:pos="9855"/>
        </w:tabs>
        <w:rPr>
          <w:rFonts w:eastAsiaTheme="minorEastAsia" w:cstheme="minorBidi"/>
          <w:b w:val="0"/>
          <w:bCs w:val="0"/>
          <w:caps w:val="0"/>
          <w:noProof/>
        </w:rPr>
      </w:pPr>
      <w:hyperlink w:anchor="_Toc521065116" w:history="1">
        <w:r w:rsidR="00563646">
          <w:rPr>
            <w:rStyle w:val="Lienhypertexte"/>
            <w:b w:val="0"/>
            <w:caps w:val="0"/>
            <w:noProof/>
          </w:rPr>
          <w:t>Graphique 10 : C</w:t>
        </w:r>
        <w:r w:rsidR="00563646" w:rsidRPr="00563646">
          <w:rPr>
            <w:rStyle w:val="Lienhypertexte"/>
            <w:b w:val="0"/>
            <w:caps w:val="0"/>
            <w:noProof/>
          </w:rPr>
          <w:t>asc</w:t>
        </w:r>
        <w:r w:rsidR="00563646">
          <w:rPr>
            <w:rStyle w:val="Lienhypertexte"/>
            <w:b w:val="0"/>
            <w:caps w:val="0"/>
            <w:noProof/>
          </w:rPr>
          <w:t>ade la prise en charge des PVVIH</w:t>
        </w:r>
        <w:r w:rsidR="00563646" w:rsidRPr="00563646">
          <w:rPr>
            <w:b w:val="0"/>
            <w:noProof/>
            <w:webHidden/>
          </w:rPr>
          <w:tab/>
        </w:r>
        <w:r w:rsidR="00563646" w:rsidRPr="00563646">
          <w:rPr>
            <w:b w:val="0"/>
            <w:noProof/>
            <w:webHidden/>
          </w:rPr>
          <w:fldChar w:fldCharType="begin"/>
        </w:r>
        <w:r w:rsidR="00563646" w:rsidRPr="00563646">
          <w:rPr>
            <w:b w:val="0"/>
            <w:noProof/>
            <w:webHidden/>
          </w:rPr>
          <w:instrText xml:space="preserve"> PAGEREF _Toc521065116 \h </w:instrText>
        </w:r>
        <w:r w:rsidR="00563646" w:rsidRPr="00563646">
          <w:rPr>
            <w:b w:val="0"/>
            <w:noProof/>
            <w:webHidden/>
          </w:rPr>
        </w:r>
        <w:r w:rsidR="00563646" w:rsidRPr="00563646">
          <w:rPr>
            <w:b w:val="0"/>
            <w:noProof/>
            <w:webHidden/>
          </w:rPr>
          <w:fldChar w:fldCharType="separate"/>
        </w:r>
        <w:r w:rsidR="00563646" w:rsidRPr="00563646">
          <w:rPr>
            <w:b w:val="0"/>
            <w:noProof/>
            <w:webHidden/>
          </w:rPr>
          <w:t>27</w:t>
        </w:r>
        <w:r w:rsidR="00563646" w:rsidRPr="00563646">
          <w:rPr>
            <w:b w:val="0"/>
            <w:noProof/>
            <w:webHidden/>
          </w:rPr>
          <w:fldChar w:fldCharType="end"/>
        </w:r>
      </w:hyperlink>
    </w:p>
    <w:p w14:paraId="45EEAB7E" w14:textId="43609F23" w:rsidR="007E1F2C" w:rsidRDefault="000A784D" w:rsidP="00FE2B19">
      <w:pPr>
        <w:spacing w:after="160" w:line="259" w:lineRule="auto"/>
        <w:rPr>
          <w:rFonts w:ascii="Calibri" w:hAnsi="Calibri"/>
          <w:sz w:val="20"/>
          <w:szCs w:val="20"/>
        </w:rPr>
      </w:pPr>
      <w:r w:rsidRPr="00563646">
        <w:rPr>
          <w:rFonts w:ascii="Calibri" w:hAnsi="Calibri"/>
          <w:sz w:val="20"/>
          <w:szCs w:val="20"/>
        </w:rPr>
        <w:fldChar w:fldCharType="end"/>
      </w:r>
    </w:p>
    <w:p w14:paraId="5BC039D6" w14:textId="77777777" w:rsidR="007E1F2C" w:rsidRDefault="007E1F2C" w:rsidP="00FE2B19">
      <w:pPr>
        <w:spacing w:after="160" w:line="259" w:lineRule="auto"/>
        <w:rPr>
          <w:rFonts w:ascii="Calibri" w:hAnsi="Calibri"/>
        </w:rPr>
      </w:pPr>
    </w:p>
    <w:p w14:paraId="7B883110" w14:textId="77777777" w:rsidR="00A1336F" w:rsidRDefault="00A1336F">
      <w:pPr>
        <w:spacing w:after="160" w:line="259" w:lineRule="auto"/>
        <w:rPr>
          <w:rFonts w:ascii="Calibri" w:hAnsi="Calibri" w:cs="Arial"/>
          <w:b/>
          <w:color w:val="2F5496" w:themeColor="accent5" w:themeShade="BF"/>
          <w:sz w:val="28"/>
          <w:szCs w:val="28"/>
        </w:rPr>
      </w:pPr>
      <w:bookmarkStart w:id="3" w:name="_Toc500496771"/>
      <w:bookmarkStart w:id="4" w:name="_Toc500520912"/>
      <w:r>
        <w:rPr>
          <w:rFonts w:ascii="Calibri" w:hAnsi="Calibri"/>
          <w:color w:val="2F5496" w:themeColor="accent5" w:themeShade="BF"/>
          <w:sz w:val="28"/>
          <w:szCs w:val="28"/>
        </w:rPr>
        <w:br w:type="page"/>
      </w:r>
    </w:p>
    <w:p w14:paraId="61701952" w14:textId="1724C8EF" w:rsidR="000032AC" w:rsidRPr="00252CE7" w:rsidRDefault="00252CE7" w:rsidP="00252CE7">
      <w:pPr>
        <w:pStyle w:val="Titre1"/>
        <w:numPr>
          <w:ilvl w:val="0"/>
          <w:numId w:val="0"/>
        </w:numPr>
        <w:pBdr>
          <w:bottom w:val="single" w:sz="4" w:space="1" w:color="auto"/>
        </w:pBdr>
        <w:spacing w:after="0"/>
        <w:jc w:val="center"/>
        <w:rPr>
          <w:rFonts w:ascii="Calibri" w:hAnsi="Calibri"/>
          <w:color w:val="C00000"/>
        </w:rPr>
      </w:pPr>
      <w:bookmarkStart w:id="5" w:name="_Toc520983513"/>
      <w:r w:rsidRPr="00252CE7">
        <w:rPr>
          <w:rFonts w:ascii="Calibri" w:hAnsi="Calibri"/>
          <w:color w:val="C00000"/>
        </w:rPr>
        <w:t>PREFACE</w:t>
      </w:r>
      <w:bookmarkEnd w:id="3"/>
      <w:bookmarkEnd w:id="4"/>
      <w:bookmarkEnd w:id="5"/>
    </w:p>
    <w:p w14:paraId="248845BE" w14:textId="77777777" w:rsidR="000032AC" w:rsidRPr="005B52BA" w:rsidRDefault="000032AC" w:rsidP="000032AC">
      <w:pPr>
        <w:jc w:val="both"/>
        <w:rPr>
          <w:rFonts w:ascii="Calibri" w:hAnsi="Calibri"/>
        </w:rPr>
      </w:pPr>
    </w:p>
    <w:p w14:paraId="6FEEA4E9" w14:textId="18071A7F" w:rsidR="006A3DEF" w:rsidRPr="005B52BA" w:rsidRDefault="004D2946" w:rsidP="006A3DEF">
      <w:pPr>
        <w:jc w:val="both"/>
        <w:rPr>
          <w:rFonts w:ascii="Calibri" w:hAnsi="Calibri"/>
        </w:rPr>
      </w:pPr>
      <w:r>
        <w:rPr>
          <w:rFonts w:ascii="Calibri" w:hAnsi="Calibri"/>
        </w:rPr>
        <w:t>Depuis plusieurs décennies maintenant, l</w:t>
      </w:r>
      <w:r w:rsidR="006A3DEF" w:rsidRPr="005B52BA">
        <w:rPr>
          <w:rFonts w:ascii="Calibri" w:hAnsi="Calibri"/>
        </w:rPr>
        <w:t xml:space="preserve">a République de Guinée </w:t>
      </w:r>
      <w:r>
        <w:rPr>
          <w:rFonts w:ascii="Calibri" w:hAnsi="Calibri"/>
        </w:rPr>
        <w:t>a fait de la riposte au sida une priorité sanitaire et de développement</w:t>
      </w:r>
      <w:r w:rsidR="006A3DEF" w:rsidRPr="005B52BA">
        <w:rPr>
          <w:rFonts w:ascii="Calibri" w:hAnsi="Calibri"/>
        </w:rPr>
        <w:t>. Cela s’est matérialisé par une stabilité, voire un fléchissement de la courbe de prévalence nationale du VIH</w:t>
      </w:r>
      <w:r>
        <w:rPr>
          <w:rFonts w:ascii="Calibri" w:hAnsi="Calibri"/>
        </w:rPr>
        <w:t xml:space="preserve"> et une amélioration des conditions de vie et de la survie des personnes vivant avec le VIH</w:t>
      </w:r>
      <w:r w:rsidR="006A3DEF" w:rsidRPr="005B52BA">
        <w:rPr>
          <w:rFonts w:ascii="Calibri" w:hAnsi="Calibri"/>
        </w:rPr>
        <w:t xml:space="preserve">. Ces efforts ont été soutenus par les acteurs nationaux, les partenaires au développement au rang desquels figurent en bonne place la coopération bilatérale et multilatérale, le Fonds mondial de Lutte contre le </w:t>
      </w:r>
      <w:r w:rsidR="0036679F">
        <w:rPr>
          <w:rFonts w:ascii="Calibri" w:hAnsi="Calibri"/>
        </w:rPr>
        <w:t>sida</w:t>
      </w:r>
      <w:r w:rsidR="006A3DEF" w:rsidRPr="005B52BA">
        <w:rPr>
          <w:rFonts w:ascii="Calibri" w:hAnsi="Calibri"/>
        </w:rPr>
        <w:t>, la tuberculose et le paludisme, l’ONU</w:t>
      </w:r>
      <w:r w:rsidR="0036679F">
        <w:rPr>
          <w:rFonts w:ascii="Calibri" w:hAnsi="Calibri"/>
        </w:rPr>
        <w:t>SIDA</w:t>
      </w:r>
      <w:r w:rsidR="006A3DEF" w:rsidRPr="005B52BA">
        <w:rPr>
          <w:rFonts w:ascii="Calibri" w:hAnsi="Calibri"/>
        </w:rPr>
        <w:t xml:space="preserve"> et toutes les agences du Système des Nations Unies. </w:t>
      </w:r>
    </w:p>
    <w:p w14:paraId="31396CA4" w14:textId="77777777" w:rsidR="006A3DEF" w:rsidRPr="005B52BA" w:rsidRDefault="006A3DEF" w:rsidP="006A3DEF">
      <w:pPr>
        <w:jc w:val="both"/>
        <w:rPr>
          <w:rFonts w:ascii="Calibri" w:hAnsi="Calibri"/>
        </w:rPr>
      </w:pPr>
    </w:p>
    <w:p w14:paraId="03099BEF" w14:textId="7C3C8E92" w:rsidR="006A3DEF" w:rsidRPr="005B52BA" w:rsidRDefault="004D2946" w:rsidP="006A3DEF">
      <w:pPr>
        <w:jc w:val="both"/>
        <w:rPr>
          <w:rFonts w:ascii="Calibri" w:hAnsi="Calibri"/>
        </w:rPr>
      </w:pPr>
      <w:r>
        <w:rPr>
          <w:rFonts w:ascii="Calibri" w:hAnsi="Calibri"/>
        </w:rPr>
        <w:t>Le Conseil national de l</w:t>
      </w:r>
      <w:r w:rsidR="006A3DEF" w:rsidRPr="005B52BA">
        <w:rPr>
          <w:rFonts w:ascii="Calibri" w:hAnsi="Calibri"/>
        </w:rPr>
        <w:t xml:space="preserve">utte contre le </w:t>
      </w:r>
      <w:r w:rsidR="0036679F">
        <w:rPr>
          <w:rFonts w:ascii="Calibri" w:hAnsi="Calibri"/>
        </w:rPr>
        <w:t>sida</w:t>
      </w:r>
      <w:r w:rsidR="006A3DEF" w:rsidRPr="005B52BA">
        <w:rPr>
          <w:rFonts w:ascii="Calibri" w:hAnsi="Calibri"/>
        </w:rPr>
        <w:t xml:space="preserve"> que je préside personnellement depuis sa création en 2002, a permis à mon pays d’opérer des changements significatifs dans la gestion de sa réponse, avec une plus grande responsabilisation du niveau décentralisé et une volonté </w:t>
      </w:r>
      <w:r>
        <w:rPr>
          <w:rFonts w:ascii="Calibri" w:hAnsi="Calibri"/>
        </w:rPr>
        <w:t xml:space="preserve">affichée </w:t>
      </w:r>
      <w:r w:rsidR="006A3DEF" w:rsidRPr="005B52BA">
        <w:rPr>
          <w:rFonts w:ascii="Calibri" w:hAnsi="Calibri"/>
        </w:rPr>
        <w:t>d’opérationnaliser l’accès universel aux services.</w:t>
      </w:r>
    </w:p>
    <w:p w14:paraId="22AFD6D3" w14:textId="77777777" w:rsidR="006A3DEF" w:rsidRPr="005B52BA" w:rsidRDefault="006A3DEF" w:rsidP="006A3DEF">
      <w:pPr>
        <w:spacing w:line="276" w:lineRule="auto"/>
        <w:jc w:val="both"/>
        <w:rPr>
          <w:rFonts w:ascii="Calibri" w:hAnsi="Calibri"/>
        </w:rPr>
      </w:pPr>
    </w:p>
    <w:p w14:paraId="2E64BBF5" w14:textId="0365FE87" w:rsidR="004D2946" w:rsidRDefault="004D2946" w:rsidP="006A3DEF">
      <w:pPr>
        <w:jc w:val="both"/>
        <w:rPr>
          <w:rFonts w:ascii="Calibri" w:hAnsi="Calibri"/>
        </w:rPr>
      </w:pPr>
      <w:r>
        <w:rPr>
          <w:rFonts w:ascii="Calibri" w:hAnsi="Calibri"/>
        </w:rPr>
        <w:t>Le Cadre s</w:t>
      </w:r>
      <w:r w:rsidR="006A3DEF" w:rsidRPr="005B52BA">
        <w:rPr>
          <w:rFonts w:ascii="Calibri" w:hAnsi="Calibri"/>
        </w:rPr>
        <w:t>trat</w:t>
      </w:r>
      <w:r>
        <w:rPr>
          <w:rFonts w:ascii="Calibri" w:hAnsi="Calibri"/>
        </w:rPr>
        <w:t>égique n</w:t>
      </w:r>
      <w:r w:rsidR="006A3DEF" w:rsidRPr="005B52BA">
        <w:rPr>
          <w:rFonts w:ascii="Calibri" w:hAnsi="Calibri"/>
        </w:rPr>
        <w:t xml:space="preserve">ational de lutte contre le </w:t>
      </w:r>
      <w:r w:rsidR="0036679F">
        <w:rPr>
          <w:rFonts w:ascii="Calibri" w:hAnsi="Calibri"/>
        </w:rPr>
        <w:t>sida</w:t>
      </w:r>
      <w:r w:rsidR="006A3DEF" w:rsidRPr="005B52BA">
        <w:rPr>
          <w:rFonts w:ascii="Calibri" w:hAnsi="Calibri"/>
        </w:rPr>
        <w:t xml:space="preserve"> 2018 – 2022, quatrième du genre élaboré </w:t>
      </w:r>
      <w:r w:rsidR="00D4389A">
        <w:rPr>
          <w:rFonts w:ascii="Calibri" w:hAnsi="Calibri"/>
        </w:rPr>
        <w:t xml:space="preserve">de manière participative et inclusive </w:t>
      </w:r>
      <w:r w:rsidR="006A3DEF" w:rsidRPr="005B52BA">
        <w:rPr>
          <w:rFonts w:ascii="Calibri" w:hAnsi="Calibri"/>
        </w:rPr>
        <w:t>par le pays, est l’indispensable instrument d’orientation qui nous permettra de consolider les acquis obtenus ces dernières années</w:t>
      </w:r>
      <w:r>
        <w:rPr>
          <w:rFonts w:ascii="Calibri" w:hAnsi="Calibri"/>
        </w:rPr>
        <w:t>. Il s’agira sur ces bases d’impulser un élan collectif</w:t>
      </w:r>
      <w:r w:rsidR="006A3DEF" w:rsidRPr="005B52BA">
        <w:rPr>
          <w:rFonts w:ascii="Calibri" w:hAnsi="Calibri"/>
        </w:rPr>
        <w:t xml:space="preserve"> </w:t>
      </w:r>
      <w:r>
        <w:rPr>
          <w:rFonts w:ascii="Calibri" w:hAnsi="Calibri"/>
        </w:rPr>
        <w:t>afin de faire</w:t>
      </w:r>
      <w:r w:rsidR="006A3DEF" w:rsidRPr="005B52BA">
        <w:rPr>
          <w:rFonts w:ascii="Calibri" w:hAnsi="Calibri"/>
        </w:rPr>
        <w:t xml:space="preserve"> progresser significativement </w:t>
      </w:r>
      <w:r>
        <w:rPr>
          <w:rFonts w:ascii="Calibri" w:hAnsi="Calibri"/>
        </w:rPr>
        <w:t xml:space="preserve">les performances en matière </w:t>
      </w:r>
      <w:r w:rsidR="006A3DEF" w:rsidRPr="005B52BA">
        <w:rPr>
          <w:rFonts w:ascii="Calibri" w:hAnsi="Calibri"/>
        </w:rPr>
        <w:t>de prévention</w:t>
      </w:r>
      <w:r>
        <w:rPr>
          <w:rFonts w:ascii="Calibri" w:hAnsi="Calibri"/>
        </w:rPr>
        <w:t>, d’offre de</w:t>
      </w:r>
      <w:r w:rsidR="006A3DEF" w:rsidRPr="005B52BA">
        <w:rPr>
          <w:rFonts w:ascii="Calibri" w:hAnsi="Calibri"/>
        </w:rPr>
        <w:t xml:space="preserve"> services de prise en charge </w:t>
      </w:r>
      <w:r>
        <w:rPr>
          <w:rFonts w:ascii="Calibri" w:hAnsi="Calibri"/>
        </w:rPr>
        <w:t xml:space="preserve">qui se doivent d’être </w:t>
      </w:r>
      <w:r w:rsidR="006A3DEF" w:rsidRPr="005B52BA">
        <w:rPr>
          <w:rFonts w:ascii="Calibri" w:hAnsi="Calibri"/>
        </w:rPr>
        <w:t xml:space="preserve">plus accessibles et de meilleure qualité, </w:t>
      </w:r>
      <w:r>
        <w:rPr>
          <w:rFonts w:ascii="Calibri" w:hAnsi="Calibri"/>
        </w:rPr>
        <w:t xml:space="preserve">avec également un intérêt conséquent pour </w:t>
      </w:r>
      <w:r w:rsidR="006A3DEF" w:rsidRPr="005B52BA">
        <w:rPr>
          <w:rFonts w:ascii="Calibri" w:hAnsi="Calibri"/>
        </w:rPr>
        <w:t>l’appui aux personnes infectées et affectées</w:t>
      </w:r>
      <w:r>
        <w:rPr>
          <w:rFonts w:ascii="Calibri" w:hAnsi="Calibri"/>
        </w:rPr>
        <w:t xml:space="preserve"> et la</w:t>
      </w:r>
      <w:r w:rsidR="006A3DEF" w:rsidRPr="005B52BA">
        <w:rPr>
          <w:rFonts w:ascii="Calibri" w:hAnsi="Calibri"/>
        </w:rPr>
        <w:t xml:space="preserve"> coordination de la réponse</w:t>
      </w:r>
      <w:r>
        <w:rPr>
          <w:rFonts w:ascii="Calibri" w:hAnsi="Calibri"/>
        </w:rPr>
        <w:t xml:space="preserve">. Cela va mener notre pays à être au rendez-vous de </w:t>
      </w:r>
      <w:r w:rsidRPr="005B52BA">
        <w:rPr>
          <w:rFonts w:ascii="Calibri" w:eastAsia="Calibri" w:hAnsi="Calibri" w:cs="Arial"/>
        </w:rPr>
        <w:t>l’éradication de l’épidémie du VIH à l’horizon 2030</w:t>
      </w:r>
      <w:r>
        <w:rPr>
          <w:rFonts w:ascii="Calibri" w:eastAsia="Calibri" w:hAnsi="Calibri" w:cs="Arial"/>
        </w:rPr>
        <w:t xml:space="preserve"> que le Gouvernement a souscris à côté des autres pays.</w:t>
      </w:r>
    </w:p>
    <w:p w14:paraId="27585748" w14:textId="77777777" w:rsidR="004D2946" w:rsidRDefault="004D2946" w:rsidP="006A3DEF">
      <w:pPr>
        <w:jc w:val="both"/>
        <w:rPr>
          <w:rFonts w:ascii="Calibri" w:hAnsi="Calibri"/>
        </w:rPr>
      </w:pPr>
    </w:p>
    <w:p w14:paraId="2FA4845E" w14:textId="77777777" w:rsidR="00D4389A" w:rsidRDefault="004D2946" w:rsidP="006A3DEF">
      <w:pPr>
        <w:jc w:val="both"/>
        <w:rPr>
          <w:rFonts w:ascii="Calibri" w:hAnsi="Calibri"/>
        </w:rPr>
      </w:pPr>
      <w:r>
        <w:rPr>
          <w:rFonts w:ascii="Calibri" w:hAnsi="Calibri"/>
        </w:rPr>
        <w:t>Pour réaliser ces objectifs</w:t>
      </w:r>
      <w:r w:rsidR="00D4389A">
        <w:rPr>
          <w:rFonts w:ascii="Calibri" w:hAnsi="Calibri"/>
        </w:rPr>
        <w:t>, il nous faut mobiliser les compétences nationales et internationales certes, mais surtout les ressources financières nécessaires.</w:t>
      </w:r>
    </w:p>
    <w:p w14:paraId="195FC84F" w14:textId="4B8054ED" w:rsidR="006A3DEF" w:rsidRPr="005B52BA" w:rsidRDefault="006A3DEF" w:rsidP="00D4389A">
      <w:pPr>
        <w:jc w:val="both"/>
        <w:rPr>
          <w:rFonts w:ascii="Calibri" w:hAnsi="Calibri"/>
        </w:rPr>
      </w:pPr>
    </w:p>
    <w:p w14:paraId="6A4C99F0" w14:textId="77777777" w:rsidR="00D4389A" w:rsidRDefault="006A3DEF" w:rsidP="006A3DEF">
      <w:pPr>
        <w:spacing w:line="276" w:lineRule="auto"/>
        <w:jc w:val="both"/>
        <w:rPr>
          <w:rFonts w:ascii="Calibri" w:hAnsi="Calibri"/>
        </w:rPr>
      </w:pPr>
      <w:r w:rsidRPr="005B52BA">
        <w:rPr>
          <w:rFonts w:ascii="Calibri" w:hAnsi="Calibri"/>
        </w:rPr>
        <w:t xml:space="preserve">L’ambition de son Excellence Monsieur le Professeur Alpha CONDE, Président de la République et de son Gouvernement est d’améliorer sans cesse le bien-être des citoyens afin qu’ils participent activement au développement harmonieux de notre pays pour le grand bénéfice des populations actuelles et des générations futures. </w:t>
      </w:r>
    </w:p>
    <w:p w14:paraId="67AC0C66" w14:textId="77777777" w:rsidR="00D4389A" w:rsidRDefault="00D4389A" w:rsidP="006A3DEF">
      <w:pPr>
        <w:spacing w:line="276" w:lineRule="auto"/>
        <w:jc w:val="both"/>
        <w:rPr>
          <w:rFonts w:ascii="Calibri" w:hAnsi="Calibri"/>
        </w:rPr>
      </w:pPr>
    </w:p>
    <w:p w14:paraId="16685184" w14:textId="77777777" w:rsidR="00D4389A" w:rsidRDefault="00D4389A" w:rsidP="006A3DEF">
      <w:pPr>
        <w:spacing w:line="276" w:lineRule="auto"/>
        <w:jc w:val="both"/>
        <w:rPr>
          <w:rFonts w:ascii="Calibri" w:hAnsi="Calibri"/>
        </w:rPr>
      </w:pPr>
      <w:r>
        <w:rPr>
          <w:rFonts w:ascii="Calibri" w:hAnsi="Calibri"/>
        </w:rPr>
        <w:t xml:space="preserve">Aussi, le Gouvernement par ma voix ne ménagera aucun effort pour apporter son soutien total à la mise en œuvre de ce Cadre stratégique, en mobilisant ses propres ressources mais aussi en mobilisant ses partenaires au développement. </w:t>
      </w:r>
    </w:p>
    <w:p w14:paraId="55675889" w14:textId="77777777" w:rsidR="00D4389A" w:rsidRDefault="00D4389A" w:rsidP="006A3DEF">
      <w:pPr>
        <w:spacing w:line="276" w:lineRule="auto"/>
        <w:jc w:val="both"/>
        <w:rPr>
          <w:rFonts w:ascii="Calibri" w:hAnsi="Calibri"/>
        </w:rPr>
      </w:pPr>
    </w:p>
    <w:p w14:paraId="0A944164" w14:textId="3B0BF94A" w:rsidR="006A3DEF" w:rsidRPr="005B52BA" w:rsidRDefault="00D4389A" w:rsidP="006A3DEF">
      <w:pPr>
        <w:spacing w:line="276" w:lineRule="auto"/>
        <w:jc w:val="both"/>
        <w:rPr>
          <w:rFonts w:ascii="Calibri" w:hAnsi="Calibri"/>
        </w:rPr>
      </w:pPr>
      <w:r>
        <w:rPr>
          <w:rFonts w:ascii="Calibri" w:hAnsi="Calibri"/>
        </w:rPr>
        <w:t>D’ores et déjà j’invite chaque acteur de la riposte au sida et la population guinéenne et tous les partenaires à s’approprier ce document et en faire l’instrument clé pour vaincre l’épidémie du sida et assurer de meilleures conditions de vie à nos vaillantes populations.</w:t>
      </w:r>
    </w:p>
    <w:p w14:paraId="749D3FC3" w14:textId="77777777" w:rsidR="006A3DEF" w:rsidRPr="005B52BA" w:rsidRDefault="006A3DEF" w:rsidP="006A3DEF">
      <w:pPr>
        <w:spacing w:line="276" w:lineRule="auto"/>
        <w:jc w:val="both"/>
        <w:rPr>
          <w:rFonts w:ascii="Calibri" w:hAnsi="Calibri"/>
        </w:rPr>
      </w:pPr>
    </w:p>
    <w:p w14:paraId="4FA42303" w14:textId="4A7BEC2B" w:rsidR="006A3DEF" w:rsidRPr="005B52BA" w:rsidRDefault="00E80C3E" w:rsidP="006A3DEF">
      <w:pPr>
        <w:autoSpaceDE w:val="0"/>
        <w:autoSpaceDN w:val="0"/>
        <w:adjustRightInd w:val="0"/>
        <w:spacing w:before="120" w:after="120"/>
        <w:jc w:val="center"/>
        <w:rPr>
          <w:rFonts w:ascii="Calibri" w:hAnsi="Calibri"/>
          <w:b/>
          <w:noProof/>
        </w:rPr>
      </w:pPr>
      <w:r>
        <w:rPr>
          <w:rFonts w:ascii="Calibri" w:hAnsi="Calibri"/>
          <w:b/>
          <w:noProof/>
        </w:rPr>
        <w:t xml:space="preserve">                                                                           </w:t>
      </w:r>
      <w:r w:rsidR="006A3DEF" w:rsidRPr="005B52BA">
        <w:rPr>
          <w:rFonts w:ascii="Calibri" w:hAnsi="Calibri"/>
          <w:b/>
          <w:noProof/>
        </w:rPr>
        <w:t xml:space="preserve">Le Président du Comité National de Lutte contre le </w:t>
      </w:r>
      <w:r w:rsidR="0036679F">
        <w:rPr>
          <w:rFonts w:ascii="Calibri" w:hAnsi="Calibri"/>
          <w:b/>
          <w:noProof/>
        </w:rPr>
        <w:t>sida</w:t>
      </w:r>
    </w:p>
    <w:p w14:paraId="66DFF7A3" w14:textId="0F200058" w:rsidR="006A3DEF" w:rsidRDefault="00E80C3E" w:rsidP="006A3DEF">
      <w:pPr>
        <w:autoSpaceDE w:val="0"/>
        <w:autoSpaceDN w:val="0"/>
        <w:adjustRightInd w:val="0"/>
        <w:spacing w:before="120" w:after="120"/>
        <w:jc w:val="center"/>
        <w:rPr>
          <w:rFonts w:ascii="Calibri" w:hAnsi="Calibri"/>
          <w:b/>
          <w:noProof/>
        </w:rPr>
      </w:pPr>
      <w:r>
        <w:rPr>
          <w:rFonts w:ascii="Calibri" w:hAnsi="Calibri"/>
          <w:b/>
          <w:noProof/>
        </w:rPr>
        <w:t xml:space="preserve">                                                                           </w:t>
      </w:r>
      <w:r w:rsidR="006A3DEF" w:rsidRPr="005B52BA">
        <w:rPr>
          <w:rFonts w:ascii="Calibri" w:hAnsi="Calibri"/>
          <w:b/>
          <w:noProof/>
        </w:rPr>
        <w:t>Premier Ministre</w:t>
      </w:r>
    </w:p>
    <w:p w14:paraId="460BDFDB" w14:textId="2F2D4CE2" w:rsidR="00473C11" w:rsidRPr="005B52BA" w:rsidRDefault="00E80C3E" w:rsidP="006A3DEF">
      <w:pPr>
        <w:autoSpaceDE w:val="0"/>
        <w:autoSpaceDN w:val="0"/>
        <w:adjustRightInd w:val="0"/>
        <w:spacing w:before="120" w:after="120"/>
        <w:jc w:val="center"/>
        <w:rPr>
          <w:rFonts w:ascii="Calibri" w:hAnsi="Calibri"/>
          <w:b/>
          <w:noProof/>
        </w:rPr>
      </w:pPr>
      <w:r>
        <w:rPr>
          <w:rFonts w:ascii="Calibri" w:hAnsi="Calibri"/>
          <w:b/>
          <w:noProof/>
        </w:rPr>
        <w:t xml:space="preserve">                                                                          </w:t>
      </w:r>
      <w:r w:rsidR="00DF2CE8">
        <w:rPr>
          <w:rFonts w:ascii="Calibri" w:hAnsi="Calibri"/>
          <w:b/>
          <w:noProof/>
        </w:rPr>
        <w:t>Dr Ibrahima Kassory FOFANA</w:t>
      </w:r>
    </w:p>
    <w:p w14:paraId="392C2858" w14:textId="77777777" w:rsidR="006A3DEF" w:rsidRPr="005B52BA" w:rsidRDefault="006A3DEF" w:rsidP="006A3DEF">
      <w:pPr>
        <w:autoSpaceDE w:val="0"/>
        <w:autoSpaceDN w:val="0"/>
        <w:adjustRightInd w:val="0"/>
        <w:spacing w:before="120" w:after="120"/>
        <w:ind w:left="2124" w:firstLine="708"/>
        <w:rPr>
          <w:rFonts w:ascii="Calibri" w:hAnsi="Calibri"/>
          <w:b/>
          <w:noProof/>
          <w:highlight w:val="lightGray"/>
        </w:rPr>
      </w:pPr>
    </w:p>
    <w:p w14:paraId="3949F415" w14:textId="57D716B5" w:rsidR="00483A39" w:rsidRPr="005B52BA" w:rsidRDefault="00483A39">
      <w:pPr>
        <w:spacing w:after="160" w:line="259" w:lineRule="auto"/>
        <w:rPr>
          <w:rFonts w:ascii="Calibri" w:hAnsi="Calibri"/>
        </w:rPr>
      </w:pPr>
      <w:r w:rsidRPr="005B52BA">
        <w:rPr>
          <w:rFonts w:ascii="Calibri" w:hAnsi="Calibri"/>
        </w:rPr>
        <w:br w:type="page"/>
      </w:r>
    </w:p>
    <w:p w14:paraId="156F8BE0" w14:textId="44A01ACD" w:rsidR="00483A39" w:rsidRPr="00252CE7" w:rsidRDefault="00252CE7" w:rsidP="00252CE7">
      <w:pPr>
        <w:pStyle w:val="Titre1"/>
        <w:numPr>
          <w:ilvl w:val="0"/>
          <w:numId w:val="0"/>
        </w:numPr>
        <w:pBdr>
          <w:bottom w:val="single" w:sz="4" w:space="1" w:color="auto"/>
        </w:pBdr>
        <w:spacing w:after="0"/>
        <w:jc w:val="center"/>
        <w:rPr>
          <w:rFonts w:ascii="Calibri" w:hAnsi="Calibri"/>
          <w:color w:val="C00000"/>
        </w:rPr>
      </w:pPr>
      <w:bookmarkStart w:id="6" w:name="_Toc500496772"/>
      <w:bookmarkStart w:id="7" w:name="_Toc500520913"/>
      <w:bookmarkStart w:id="8" w:name="_Toc520983514"/>
      <w:r w:rsidRPr="00252CE7">
        <w:rPr>
          <w:rFonts w:ascii="Calibri" w:hAnsi="Calibri"/>
          <w:color w:val="C00000"/>
        </w:rPr>
        <w:t>REMERCIEMENTS</w:t>
      </w:r>
      <w:bookmarkEnd w:id="6"/>
      <w:bookmarkEnd w:id="7"/>
      <w:bookmarkEnd w:id="8"/>
    </w:p>
    <w:p w14:paraId="7355D070" w14:textId="77777777" w:rsidR="00483A39" w:rsidRPr="005B52BA" w:rsidRDefault="00483A39" w:rsidP="00CC4D6E">
      <w:pPr>
        <w:jc w:val="both"/>
        <w:rPr>
          <w:rFonts w:ascii="Calibri" w:hAnsi="Calibri"/>
        </w:rPr>
      </w:pPr>
    </w:p>
    <w:p w14:paraId="66DF24AB" w14:textId="77777777" w:rsidR="00350EB7" w:rsidRDefault="006D08D9" w:rsidP="00CC4D6E">
      <w:pPr>
        <w:jc w:val="both"/>
        <w:rPr>
          <w:rFonts w:ascii="Calibri" w:hAnsi="Calibri"/>
        </w:rPr>
      </w:pPr>
      <w:r>
        <w:rPr>
          <w:rFonts w:ascii="Calibri" w:hAnsi="Calibri"/>
        </w:rPr>
        <w:t>Afin de poursuivre la riposte au sida sur la base d’orientation pertinente</w:t>
      </w:r>
      <w:r w:rsidR="00350EB7">
        <w:rPr>
          <w:rFonts w:ascii="Calibri" w:hAnsi="Calibri"/>
        </w:rPr>
        <w:t xml:space="preserve"> après fin 2017</w:t>
      </w:r>
      <w:r>
        <w:rPr>
          <w:rFonts w:ascii="Calibri" w:hAnsi="Calibri"/>
        </w:rPr>
        <w:t>,</w:t>
      </w:r>
      <w:r w:rsidR="00350EB7">
        <w:rPr>
          <w:rFonts w:ascii="Calibri" w:hAnsi="Calibri"/>
        </w:rPr>
        <w:t xml:space="preserve"> un processus dont le leadership a été assuré par le Secrétariat exécutif du Conseil national de lutte contre le sida a été conduit.</w:t>
      </w:r>
    </w:p>
    <w:p w14:paraId="0FCBA6CE" w14:textId="77777777" w:rsidR="00350EB7" w:rsidRDefault="00350EB7" w:rsidP="00CC4D6E">
      <w:pPr>
        <w:jc w:val="both"/>
        <w:rPr>
          <w:rFonts w:ascii="Calibri" w:hAnsi="Calibri"/>
        </w:rPr>
      </w:pPr>
    </w:p>
    <w:p w14:paraId="46C835BB" w14:textId="2B273BC6" w:rsidR="006D08D9" w:rsidRDefault="00350EB7" w:rsidP="00350EB7">
      <w:pPr>
        <w:jc w:val="both"/>
        <w:rPr>
          <w:rFonts w:ascii="Calibri" w:hAnsi="Calibri"/>
        </w:rPr>
      </w:pPr>
      <w:r>
        <w:rPr>
          <w:rFonts w:ascii="Calibri" w:hAnsi="Calibri"/>
        </w:rPr>
        <w:t>Au terme d’un processus inclusif et participatif guidé par les orientations internationales, le pays vient de se doter d’un nouveau Cadre stratégique n</w:t>
      </w:r>
      <w:r w:rsidR="00483A39" w:rsidRPr="005B52BA">
        <w:rPr>
          <w:rFonts w:ascii="Calibri" w:hAnsi="Calibri"/>
        </w:rPr>
        <w:t xml:space="preserve">ational de lutte contre le </w:t>
      </w:r>
      <w:r w:rsidR="0036679F">
        <w:rPr>
          <w:rFonts w:ascii="Calibri" w:hAnsi="Calibri"/>
        </w:rPr>
        <w:t>sida</w:t>
      </w:r>
      <w:r w:rsidR="00483A39" w:rsidRPr="005B52BA">
        <w:rPr>
          <w:rFonts w:ascii="Calibri" w:hAnsi="Calibri"/>
        </w:rPr>
        <w:t xml:space="preserve"> </w:t>
      </w:r>
      <w:r>
        <w:rPr>
          <w:rFonts w:ascii="Calibri" w:hAnsi="Calibri"/>
        </w:rPr>
        <w:t xml:space="preserve">qui va couvrir la période </w:t>
      </w:r>
      <w:r w:rsidR="00483A39" w:rsidRPr="005B52BA">
        <w:rPr>
          <w:rFonts w:ascii="Calibri" w:hAnsi="Calibri"/>
        </w:rPr>
        <w:t>2018-2022</w:t>
      </w:r>
      <w:r>
        <w:rPr>
          <w:rFonts w:ascii="Calibri" w:hAnsi="Calibri"/>
        </w:rPr>
        <w:t>. Ce processus a connu la participation de l’ensemble des représentants des acteurs nationaux de tous les secteurs (public, communautaire, privé, confessionnel), des partenaires techniques et financiers, mais aussi celle</w:t>
      </w:r>
      <w:r w:rsidR="00483A39" w:rsidRPr="005B52BA">
        <w:rPr>
          <w:rFonts w:ascii="Calibri" w:hAnsi="Calibri"/>
        </w:rPr>
        <w:t xml:space="preserve"> des populations clés</w:t>
      </w:r>
      <w:r w:rsidR="006D08D9">
        <w:rPr>
          <w:rFonts w:ascii="Calibri" w:hAnsi="Calibri"/>
        </w:rPr>
        <w:t xml:space="preserve"> et des personnes vivant avec le VIH</w:t>
      </w:r>
      <w:r w:rsidR="00483A39" w:rsidRPr="005B52BA">
        <w:rPr>
          <w:rFonts w:ascii="Calibri" w:hAnsi="Calibri"/>
        </w:rPr>
        <w:t xml:space="preserve">. </w:t>
      </w:r>
    </w:p>
    <w:p w14:paraId="76D4E495" w14:textId="77777777" w:rsidR="006D08D9" w:rsidRDefault="006D08D9" w:rsidP="00CC4D6E">
      <w:pPr>
        <w:jc w:val="both"/>
        <w:rPr>
          <w:rFonts w:ascii="Calibri" w:hAnsi="Calibri"/>
        </w:rPr>
      </w:pPr>
    </w:p>
    <w:p w14:paraId="66A4C0A9" w14:textId="22908A93" w:rsidR="00483A39" w:rsidRPr="005B52BA" w:rsidRDefault="00350EB7" w:rsidP="00CC4D6E">
      <w:pPr>
        <w:jc w:val="both"/>
        <w:rPr>
          <w:rFonts w:ascii="Calibri" w:hAnsi="Calibri"/>
        </w:rPr>
      </w:pPr>
      <w:r>
        <w:rPr>
          <w:rFonts w:ascii="Calibri" w:hAnsi="Calibri"/>
        </w:rPr>
        <w:t>Ce Cadre stratégique que nous tenons entre les mains est bâti</w:t>
      </w:r>
      <w:r w:rsidR="00483A39" w:rsidRPr="005B52BA">
        <w:rPr>
          <w:rFonts w:ascii="Calibri" w:hAnsi="Calibri"/>
        </w:rPr>
        <w:t xml:space="preserve"> sur la base de la revue du cadre stratégique national 2013-2017</w:t>
      </w:r>
      <w:r>
        <w:rPr>
          <w:rFonts w:ascii="Calibri" w:hAnsi="Calibri"/>
        </w:rPr>
        <w:t xml:space="preserve"> qui a fourni l</w:t>
      </w:r>
      <w:r w:rsidR="00483A39" w:rsidRPr="005B52BA">
        <w:rPr>
          <w:rFonts w:ascii="Calibri" w:hAnsi="Calibri"/>
        </w:rPr>
        <w:t xml:space="preserve">es évidences et </w:t>
      </w:r>
      <w:r>
        <w:rPr>
          <w:rFonts w:ascii="Calibri" w:hAnsi="Calibri"/>
        </w:rPr>
        <w:t>le</w:t>
      </w:r>
      <w:r w:rsidR="00483A39" w:rsidRPr="005B52BA">
        <w:rPr>
          <w:rFonts w:ascii="Calibri" w:hAnsi="Calibri"/>
        </w:rPr>
        <w:t xml:space="preserve"> contexte national</w:t>
      </w:r>
      <w:r>
        <w:rPr>
          <w:rFonts w:ascii="Calibri" w:hAnsi="Calibri"/>
        </w:rPr>
        <w:t xml:space="preserve">. </w:t>
      </w:r>
      <w:r w:rsidR="006D08D9">
        <w:rPr>
          <w:rFonts w:ascii="Calibri" w:hAnsi="Calibri"/>
        </w:rPr>
        <w:t xml:space="preserve">Parvenir à mettre fin à l’épidémie du VIH à l’horizon 2030, réduire la morbidité et mortalité liée au sida ont constitué la </w:t>
      </w:r>
      <w:r w:rsidR="00483A39" w:rsidRPr="005B52BA">
        <w:rPr>
          <w:rFonts w:ascii="Calibri" w:hAnsi="Calibri"/>
        </w:rPr>
        <w:t xml:space="preserve">pierre angulaire </w:t>
      </w:r>
      <w:r w:rsidR="006D08D9">
        <w:rPr>
          <w:rFonts w:ascii="Calibri" w:hAnsi="Calibri"/>
        </w:rPr>
        <w:t>qui a servi d’orientation globale à</w:t>
      </w:r>
      <w:r w:rsidR="00F33501">
        <w:rPr>
          <w:rFonts w:ascii="Calibri" w:hAnsi="Calibri"/>
        </w:rPr>
        <w:t xml:space="preserve"> l’élaboration de ce Cadre stratégique n</w:t>
      </w:r>
      <w:r w:rsidR="00483A39" w:rsidRPr="005B52BA">
        <w:rPr>
          <w:rFonts w:ascii="Calibri" w:hAnsi="Calibri"/>
        </w:rPr>
        <w:t>ational 2018-2022.</w:t>
      </w:r>
    </w:p>
    <w:p w14:paraId="59801398" w14:textId="77777777" w:rsidR="00483A39" w:rsidRPr="005B52BA" w:rsidRDefault="00483A39" w:rsidP="00483A39">
      <w:pPr>
        <w:spacing w:line="276" w:lineRule="auto"/>
        <w:jc w:val="both"/>
        <w:rPr>
          <w:rFonts w:ascii="Calibri" w:hAnsi="Calibri"/>
        </w:rPr>
      </w:pPr>
      <w:r w:rsidRPr="005B52BA">
        <w:rPr>
          <w:rFonts w:ascii="Calibri" w:hAnsi="Calibri"/>
        </w:rPr>
        <w:t xml:space="preserve"> </w:t>
      </w:r>
    </w:p>
    <w:p w14:paraId="217CA642" w14:textId="77777777" w:rsidR="00483A39" w:rsidRPr="005B52BA" w:rsidRDefault="00483A39" w:rsidP="00483A39">
      <w:pPr>
        <w:spacing w:line="276" w:lineRule="auto"/>
        <w:jc w:val="both"/>
        <w:rPr>
          <w:rFonts w:ascii="Calibri" w:hAnsi="Calibri"/>
        </w:rPr>
      </w:pPr>
      <w:r w:rsidRPr="005B52BA">
        <w:rPr>
          <w:rFonts w:ascii="Calibri" w:hAnsi="Calibri"/>
        </w:rPr>
        <w:t xml:space="preserve">Au terme de ce processus, je tiens à exprimer mes sentiments de gratitude à toutes les personnes physiques et morales qui ont contribué à son élaboration.  </w:t>
      </w:r>
    </w:p>
    <w:p w14:paraId="4602E501" w14:textId="77777777" w:rsidR="00483A39" w:rsidRPr="005B52BA" w:rsidRDefault="00483A39" w:rsidP="00483A39">
      <w:pPr>
        <w:spacing w:line="276" w:lineRule="auto"/>
        <w:jc w:val="both"/>
        <w:rPr>
          <w:rFonts w:ascii="Calibri" w:hAnsi="Calibri"/>
        </w:rPr>
      </w:pPr>
    </w:p>
    <w:p w14:paraId="78182596" w14:textId="6DC74F42" w:rsidR="00483A39" w:rsidRPr="005B52BA" w:rsidRDefault="00483A39" w:rsidP="00483A39">
      <w:pPr>
        <w:spacing w:line="276" w:lineRule="auto"/>
        <w:jc w:val="both"/>
        <w:rPr>
          <w:rFonts w:ascii="Calibri" w:hAnsi="Calibri"/>
        </w:rPr>
      </w:pPr>
      <w:r w:rsidRPr="005B52BA">
        <w:rPr>
          <w:rFonts w:ascii="Calibri" w:hAnsi="Calibri"/>
        </w:rPr>
        <w:t xml:space="preserve">J’exprime également mes sentiments de gratitude à l’ensemble des membres du comité de pilotage du CNLS, </w:t>
      </w:r>
      <w:r w:rsidR="00892B42">
        <w:rPr>
          <w:rFonts w:ascii="Calibri" w:hAnsi="Calibri"/>
        </w:rPr>
        <w:t>aux Organisations de la société c</w:t>
      </w:r>
      <w:r w:rsidRPr="005B52BA">
        <w:rPr>
          <w:rFonts w:ascii="Calibri" w:hAnsi="Calibri"/>
        </w:rPr>
        <w:t>ivile, aux par</w:t>
      </w:r>
      <w:r w:rsidR="00892B42">
        <w:rPr>
          <w:rFonts w:ascii="Calibri" w:hAnsi="Calibri"/>
        </w:rPr>
        <w:t>tenaires de développement, aux E</w:t>
      </w:r>
      <w:r w:rsidRPr="005B52BA">
        <w:rPr>
          <w:rFonts w:ascii="Calibri" w:hAnsi="Calibri"/>
        </w:rPr>
        <w:t>xperts et Consultants, au personnel du</w:t>
      </w:r>
      <w:r w:rsidR="00892B42">
        <w:rPr>
          <w:rFonts w:ascii="Calibri" w:hAnsi="Calibri"/>
        </w:rPr>
        <w:t xml:space="preserve"> SE/CNLS et du Ministère de la s</w:t>
      </w:r>
      <w:r w:rsidRPr="005B52BA">
        <w:rPr>
          <w:rFonts w:ascii="Calibri" w:hAnsi="Calibri"/>
        </w:rPr>
        <w:t xml:space="preserve">anté, pour la qualité du travail réalisé et pour les sacrifices </w:t>
      </w:r>
      <w:r w:rsidR="00350EB7">
        <w:rPr>
          <w:rFonts w:ascii="Calibri" w:hAnsi="Calibri"/>
        </w:rPr>
        <w:t>consentis pour l’élaboration de ce Cadre stratégique</w:t>
      </w:r>
      <w:r w:rsidRPr="005B52BA">
        <w:rPr>
          <w:rFonts w:ascii="Calibri" w:hAnsi="Calibri"/>
        </w:rPr>
        <w:t xml:space="preserve">.  </w:t>
      </w:r>
    </w:p>
    <w:p w14:paraId="5166DD9B" w14:textId="77777777" w:rsidR="00483A39" w:rsidRPr="005B52BA" w:rsidRDefault="00483A39" w:rsidP="00483A39">
      <w:pPr>
        <w:spacing w:line="276" w:lineRule="auto"/>
        <w:jc w:val="both"/>
        <w:rPr>
          <w:rFonts w:ascii="Calibri" w:hAnsi="Calibri"/>
        </w:rPr>
      </w:pPr>
    </w:p>
    <w:p w14:paraId="725075B9" w14:textId="06BFFEE4" w:rsidR="00483A39" w:rsidRPr="005B52BA" w:rsidRDefault="00350EB7" w:rsidP="00483A39">
      <w:pPr>
        <w:spacing w:line="276" w:lineRule="auto"/>
        <w:jc w:val="both"/>
        <w:rPr>
          <w:rFonts w:ascii="Calibri" w:hAnsi="Calibri" w:cs="Arial"/>
          <w:bCs/>
        </w:rPr>
      </w:pPr>
      <w:r>
        <w:rPr>
          <w:rFonts w:ascii="Calibri" w:hAnsi="Calibri" w:cs="Arial"/>
          <w:bCs/>
        </w:rPr>
        <w:t xml:space="preserve">Je saisis l’occasion pour </w:t>
      </w:r>
      <w:r w:rsidR="00483A39" w:rsidRPr="005B52BA">
        <w:rPr>
          <w:rFonts w:ascii="Calibri" w:hAnsi="Calibri" w:cs="Arial"/>
          <w:bCs/>
        </w:rPr>
        <w:t xml:space="preserve">remercier vivement Son Excellence Monsieur le Professeur Alpha CONDE, Président de la République de Guinée, pour la grande attention accordée à la riposte au </w:t>
      </w:r>
      <w:r w:rsidR="0036679F">
        <w:rPr>
          <w:rFonts w:ascii="Calibri" w:hAnsi="Calibri" w:cs="Arial"/>
          <w:bCs/>
        </w:rPr>
        <w:t>sida</w:t>
      </w:r>
      <w:r w:rsidR="00483A39" w:rsidRPr="005B52BA">
        <w:rPr>
          <w:rFonts w:ascii="Calibri" w:hAnsi="Calibri" w:cs="Arial"/>
          <w:bCs/>
        </w:rPr>
        <w:t>.</w:t>
      </w:r>
    </w:p>
    <w:p w14:paraId="13C12210" w14:textId="77777777" w:rsidR="00483A39" w:rsidRPr="005B52BA" w:rsidRDefault="00483A39" w:rsidP="00483A39">
      <w:pPr>
        <w:spacing w:line="276" w:lineRule="auto"/>
        <w:jc w:val="both"/>
        <w:rPr>
          <w:rFonts w:ascii="Calibri" w:hAnsi="Calibri" w:cs="Arial"/>
          <w:bCs/>
        </w:rPr>
      </w:pPr>
    </w:p>
    <w:p w14:paraId="734469FF" w14:textId="0CD3AAE8" w:rsidR="00483A39" w:rsidRPr="005B52BA" w:rsidRDefault="00483A39" w:rsidP="00483A39">
      <w:pPr>
        <w:spacing w:line="276" w:lineRule="auto"/>
        <w:jc w:val="both"/>
        <w:rPr>
          <w:rFonts w:ascii="Calibri" w:hAnsi="Calibri" w:cs="Arial"/>
          <w:bCs/>
        </w:rPr>
      </w:pPr>
      <w:r w:rsidRPr="005B52BA">
        <w:rPr>
          <w:rFonts w:ascii="Calibri" w:hAnsi="Calibri" w:cs="Arial"/>
          <w:bCs/>
        </w:rPr>
        <w:t>C’est le lieu pour moi de saluer les efforts fournis par Son Excellence Monsieur</w:t>
      </w:r>
      <w:r w:rsidR="00350EB7">
        <w:rPr>
          <w:rFonts w:ascii="Calibri" w:hAnsi="Calibri" w:cs="Arial"/>
          <w:bCs/>
        </w:rPr>
        <w:t xml:space="preserve"> le</w:t>
      </w:r>
      <w:r w:rsidRPr="005B52BA">
        <w:rPr>
          <w:rFonts w:ascii="Calibri" w:hAnsi="Calibri" w:cs="Arial"/>
          <w:bCs/>
        </w:rPr>
        <w:t xml:space="preserve"> Premier Ministre, Chef du Gouvernement, Président du CNLS et de l’ensemble des membres de son gouvernement en faveur de la riposte nationale.</w:t>
      </w:r>
    </w:p>
    <w:p w14:paraId="22A33F98" w14:textId="77777777" w:rsidR="00483A39" w:rsidRPr="005B52BA" w:rsidRDefault="00483A39" w:rsidP="00483A39">
      <w:pPr>
        <w:jc w:val="both"/>
        <w:rPr>
          <w:rFonts w:ascii="Calibri" w:hAnsi="Calibri"/>
        </w:rPr>
      </w:pPr>
    </w:p>
    <w:p w14:paraId="6BCB69AE" w14:textId="77777777" w:rsidR="00483A39" w:rsidRPr="005B52BA" w:rsidRDefault="00483A39" w:rsidP="00483A39">
      <w:pPr>
        <w:jc w:val="both"/>
        <w:rPr>
          <w:rFonts w:ascii="Calibri" w:hAnsi="Calibri"/>
        </w:rPr>
      </w:pPr>
    </w:p>
    <w:p w14:paraId="75A232A4" w14:textId="77777777" w:rsidR="00483A39" w:rsidRPr="005B52BA" w:rsidRDefault="00483A39" w:rsidP="00483A39">
      <w:pPr>
        <w:autoSpaceDE w:val="0"/>
        <w:autoSpaceDN w:val="0"/>
        <w:adjustRightInd w:val="0"/>
        <w:spacing w:before="120" w:after="120"/>
        <w:ind w:left="2832"/>
        <w:jc w:val="right"/>
        <w:rPr>
          <w:rFonts w:ascii="Calibri" w:hAnsi="Calibri"/>
          <w:b/>
          <w:noProof/>
        </w:rPr>
      </w:pPr>
      <w:r w:rsidRPr="005B52BA">
        <w:rPr>
          <w:rFonts w:ascii="Calibri" w:hAnsi="Calibri"/>
          <w:b/>
          <w:noProof/>
        </w:rPr>
        <w:t>Le Secrétaire  Exécutif du CNLS</w:t>
      </w:r>
    </w:p>
    <w:p w14:paraId="3464B9B6" w14:textId="77777777" w:rsidR="00483A39" w:rsidRPr="005B52BA" w:rsidRDefault="00483A39" w:rsidP="00483A39">
      <w:pPr>
        <w:autoSpaceDE w:val="0"/>
        <w:autoSpaceDN w:val="0"/>
        <w:adjustRightInd w:val="0"/>
        <w:spacing w:before="120" w:after="120"/>
        <w:ind w:left="2832"/>
        <w:jc w:val="center"/>
        <w:rPr>
          <w:rFonts w:ascii="Calibri" w:hAnsi="Calibri"/>
          <w:b/>
          <w:noProof/>
        </w:rPr>
      </w:pPr>
    </w:p>
    <w:p w14:paraId="17354646" w14:textId="52412436" w:rsidR="00483A39" w:rsidRPr="005B52BA" w:rsidRDefault="00483A39" w:rsidP="00483A39">
      <w:pPr>
        <w:autoSpaceDE w:val="0"/>
        <w:autoSpaceDN w:val="0"/>
        <w:adjustRightInd w:val="0"/>
        <w:spacing w:before="120" w:after="120"/>
        <w:ind w:left="2832" w:firstLine="708"/>
        <w:jc w:val="right"/>
        <w:rPr>
          <w:rFonts w:ascii="Calibri" w:hAnsi="Calibri"/>
          <w:b/>
          <w:noProof/>
        </w:rPr>
      </w:pPr>
      <w:r w:rsidRPr="005B52BA">
        <w:rPr>
          <w:rFonts w:ascii="Calibri" w:hAnsi="Calibri"/>
          <w:b/>
          <w:noProof/>
        </w:rPr>
        <w:t>Dr. Abass DIAKITE</w:t>
      </w:r>
    </w:p>
    <w:p w14:paraId="71D5A605" w14:textId="77777777" w:rsidR="00483A39" w:rsidRPr="005B52BA" w:rsidRDefault="00483A39" w:rsidP="00483A39">
      <w:pPr>
        <w:jc w:val="both"/>
        <w:rPr>
          <w:rFonts w:ascii="Calibri" w:hAnsi="Calibri"/>
        </w:rPr>
      </w:pPr>
    </w:p>
    <w:p w14:paraId="2C4F0FAB" w14:textId="77777777" w:rsidR="00483A39" w:rsidRPr="005B52BA" w:rsidRDefault="00483A39" w:rsidP="00483A39">
      <w:pPr>
        <w:jc w:val="both"/>
        <w:rPr>
          <w:rFonts w:ascii="Calibri" w:hAnsi="Calibri"/>
        </w:rPr>
      </w:pPr>
    </w:p>
    <w:p w14:paraId="718EFC3C" w14:textId="77777777" w:rsidR="006A3DEF" w:rsidRPr="005B52BA" w:rsidRDefault="006A3DEF">
      <w:pPr>
        <w:spacing w:after="160" w:line="259" w:lineRule="auto"/>
        <w:rPr>
          <w:rFonts w:ascii="Calibri" w:hAnsi="Calibri"/>
        </w:rPr>
      </w:pPr>
    </w:p>
    <w:p w14:paraId="71FF5FFC" w14:textId="23A9846C" w:rsidR="006A3DEF" w:rsidRPr="005B52BA" w:rsidRDefault="006A3DEF">
      <w:pPr>
        <w:spacing w:after="160" w:line="259" w:lineRule="auto"/>
        <w:rPr>
          <w:rFonts w:ascii="Calibri" w:hAnsi="Calibri"/>
        </w:rPr>
      </w:pPr>
      <w:r w:rsidRPr="005B52BA">
        <w:rPr>
          <w:rFonts w:ascii="Calibri" w:hAnsi="Calibri"/>
        </w:rPr>
        <w:br w:type="page"/>
      </w:r>
    </w:p>
    <w:p w14:paraId="56CE6AAA" w14:textId="310EC526" w:rsidR="00EF66E7" w:rsidRPr="00252CE7" w:rsidRDefault="00252CE7" w:rsidP="00252CE7">
      <w:pPr>
        <w:pStyle w:val="Titre1"/>
        <w:numPr>
          <w:ilvl w:val="0"/>
          <w:numId w:val="0"/>
        </w:numPr>
        <w:pBdr>
          <w:bottom w:val="single" w:sz="4" w:space="1" w:color="auto"/>
        </w:pBdr>
        <w:spacing w:after="0"/>
        <w:jc w:val="center"/>
        <w:rPr>
          <w:rFonts w:ascii="Calibri" w:hAnsi="Calibri"/>
          <w:color w:val="C00000"/>
        </w:rPr>
      </w:pPr>
      <w:bookmarkStart w:id="9" w:name="_Toc500496773"/>
      <w:bookmarkStart w:id="10" w:name="_Toc500520914"/>
      <w:bookmarkStart w:id="11" w:name="_Toc520983515"/>
      <w:r w:rsidRPr="00252CE7">
        <w:rPr>
          <w:rFonts w:ascii="Calibri" w:hAnsi="Calibri"/>
          <w:color w:val="C00000"/>
        </w:rPr>
        <w:t>RESUME EXECUTIF DU CSN</w:t>
      </w:r>
      <w:bookmarkEnd w:id="9"/>
      <w:bookmarkEnd w:id="10"/>
      <w:bookmarkEnd w:id="11"/>
      <w:r>
        <w:rPr>
          <w:rFonts w:ascii="Calibri" w:hAnsi="Calibri"/>
          <w:color w:val="C00000"/>
        </w:rPr>
        <w:t xml:space="preserve"> 2018-2022</w:t>
      </w:r>
    </w:p>
    <w:p w14:paraId="47DED632" w14:textId="77777777" w:rsidR="00EF66E7" w:rsidRPr="005B52BA" w:rsidRDefault="00EF66E7" w:rsidP="00EF66E7">
      <w:pPr>
        <w:autoSpaceDE w:val="0"/>
        <w:autoSpaceDN w:val="0"/>
        <w:adjustRightInd w:val="0"/>
        <w:jc w:val="both"/>
        <w:rPr>
          <w:rFonts w:ascii="Calibri" w:hAnsi="Calibri" w:cs="Arial"/>
          <w:noProof/>
        </w:rPr>
      </w:pPr>
    </w:p>
    <w:p w14:paraId="0D46C16E" w14:textId="77777777" w:rsidR="001464B3" w:rsidRPr="00654CE7" w:rsidRDefault="001464B3" w:rsidP="001464B3">
      <w:pPr>
        <w:autoSpaceDE w:val="0"/>
        <w:autoSpaceDN w:val="0"/>
        <w:adjustRightInd w:val="0"/>
        <w:jc w:val="both"/>
        <w:rPr>
          <w:rFonts w:cs="Calibri"/>
          <w:noProof/>
        </w:rPr>
      </w:pPr>
      <w:r w:rsidRPr="00654CE7">
        <w:rPr>
          <w:rFonts w:cs="Calibri"/>
          <w:noProof/>
        </w:rPr>
        <w:t xml:space="preserve">Menée sous le leadership du Secrétariat exécutif du Comité national de lutte contre le sida (CNLS), l’élaboration du Cadre stratégique national de riposte au sida 2018-2022 a suivi plusieurs étapes et s’est déroulé selon une approche participative, inclusive et multisectorielle. La revue de la mise en œuvre du CSN 2013-2017 a permis de faire le point sur les acquis et les insuffisances de la réponse nationale. </w:t>
      </w:r>
    </w:p>
    <w:p w14:paraId="6E77470A" w14:textId="77777777" w:rsidR="001464B3" w:rsidRPr="00654CE7" w:rsidRDefault="001464B3" w:rsidP="001464B3">
      <w:pPr>
        <w:autoSpaceDE w:val="0"/>
        <w:autoSpaceDN w:val="0"/>
        <w:adjustRightInd w:val="0"/>
        <w:jc w:val="both"/>
        <w:rPr>
          <w:rFonts w:cs="Calibri"/>
          <w:noProof/>
        </w:rPr>
      </w:pPr>
    </w:p>
    <w:p w14:paraId="70ED3FAB" w14:textId="77777777" w:rsidR="001464B3" w:rsidRPr="00654CE7" w:rsidRDefault="001464B3" w:rsidP="001464B3">
      <w:pPr>
        <w:autoSpaceDE w:val="0"/>
        <w:autoSpaceDN w:val="0"/>
        <w:adjustRightInd w:val="0"/>
        <w:jc w:val="both"/>
        <w:rPr>
          <w:rFonts w:cs="Calibri"/>
        </w:rPr>
      </w:pPr>
      <w:r w:rsidRPr="00654CE7">
        <w:rPr>
          <w:rFonts w:cs="Calibri"/>
          <w:noProof/>
        </w:rPr>
        <w:t xml:space="preserve">L’analyse de la dynamique et de la cascade de l’épidémie du VIH, basée sur les données épidémiologiques de routine, d’enquête et de recherche, a permis d’en comprendre les déterminants, de mesurer l’ampleur au sein des différentes couches de la population puis de déterminer les groupes de populations prioritaires. La prévalence quoiqu’en baisse, importante et de type généralisé. En fin 2016, l’ONUSIDA estimait la prévalence du VIH parmi </w:t>
      </w:r>
      <w:r w:rsidRPr="00654CE7">
        <w:rPr>
          <w:rFonts w:cs="Calibri"/>
        </w:rPr>
        <w:t>la population de 15-49 ans à 1,5% (contre 1,7% en 2012 (EDS-MICS 2012)) et l’incidence du VIH tout âge confondu pour 1000 habitants est de 0,67 [0,50 – 0,89]. On note par ailleurs :</w:t>
      </w:r>
    </w:p>
    <w:p w14:paraId="58B078D5" w14:textId="77777777" w:rsidR="001464B3" w:rsidRPr="00654CE7" w:rsidRDefault="001464B3" w:rsidP="001464B3">
      <w:pPr>
        <w:pStyle w:val="Paragraphedeliste"/>
        <w:numPr>
          <w:ilvl w:val="0"/>
          <w:numId w:val="34"/>
        </w:numPr>
        <w:autoSpaceDE w:val="0"/>
        <w:autoSpaceDN w:val="0"/>
        <w:adjustRightInd w:val="0"/>
        <w:jc w:val="both"/>
        <w:rPr>
          <w:rFonts w:ascii="Calibri" w:hAnsi="Calibri" w:cs="Calibri"/>
          <w:noProof/>
          <w:szCs w:val="22"/>
        </w:rPr>
      </w:pPr>
      <w:r w:rsidRPr="00654CE7">
        <w:rPr>
          <w:rFonts w:ascii="Calibri" w:hAnsi="Calibri" w:cs="Calibri"/>
          <w:noProof/>
          <w:szCs w:val="22"/>
          <w:u w:val="single"/>
        </w:rPr>
        <w:t>Une disparité de la prévalence du VIH   selon les régions, selon le genre et selon l’âge</w:t>
      </w:r>
      <w:r w:rsidRPr="00654CE7">
        <w:rPr>
          <w:rFonts w:ascii="Calibri" w:hAnsi="Calibri" w:cs="Calibri"/>
          <w:noProof/>
          <w:szCs w:val="22"/>
        </w:rPr>
        <w:t xml:space="preserve">: </w:t>
      </w:r>
      <w:r w:rsidRPr="00654CE7">
        <w:rPr>
          <w:rFonts w:ascii="Calibri" w:hAnsi="Calibri" w:cs="Calibri"/>
          <w:szCs w:val="22"/>
        </w:rPr>
        <w:t>Conakry : 2,7%, Boké 1,6%, Kindia 1,0%, Mamou 1,7%, Labé 1,6%, Faranah 1,4%, Kankan 1,6% et N’Zérékoré, 1,7%. Le lieu de résidence (urbain : 2,7% et rural : 1,2%) ; l’âge (15-24 ans : 0,9%, avec 1,5% chez les 15-19 ans et 25-49 ans : 2,3%) ; et le sexe (Homme : 1,2% et Femme : 2,1%). Chez les femmes enceintes elle a connu une augmentation de 2,5% en 2008 à 2015 (3,56%, ENSS). Il en est de même chez les enfants où les nouvelles sont en progrès depuis 2014 selon les estimations</w:t>
      </w:r>
    </w:p>
    <w:p w14:paraId="05186B02" w14:textId="77777777" w:rsidR="001464B3" w:rsidRPr="00654CE7" w:rsidRDefault="001464B3" w:rsidP="001464B3">
      <w:pPr>
        <w:pStyle w:val="Paragraphedeliste"/>
        <w:numPr>
          <w:ilvl w:val="0"/>
          <w:numId w:val="34"/>
        </w:numPr>
        <w:autoSpaceDE w:val="0"/>
        <w:autoSpaceDN w:val="0"/>
        <w:adjustRightInd w:val="0"/>
        <w:jc w:val="both"/>
        <w:rPr>
          <w:rFonts w:ascii="Calibri" w:hAnsi="Calibri" w:cs="Calibri"/>
          <w:noProof/>
          <w:szCs w:val="22"/>
        </w:rPr>
      </w:pPr>
      <w:r w:rsidRPr="00654CE7">
        <w:rPr>
          <w:rFonts w:ascii="Calibri" w:hAnsi="Calibri" w:cs="Calibri"/>
          <w:noProof/>
          <w:szCs w:val="22"/>
          <w:u w:val="single"/>
        </w:rPr>
        <w:t xml:space="preserve">Un niveau élevé de la prévalence du VIH dans certains groupes sociaux professionnels : </w:t>
      </w:r>
      <w:r w:rsidRPr="00654CE7">
        <w:rPr>
          <w:rFonts w:ascii="Calibri" w:hAnsi="Calibri" w:cs="Calibri"/>
          <w:noProof/>
          <w:szCs w:val="22"/>
        </w:rPr>
        <w:t>Travailleurs du sexe, leurs clients (10,7 en 2017, et les partenaires de leurs clients, les hommes ayant des relations sexuelles avec les hommes (11,4% en 2017), donneurs de sang (3,52%), Patients tuberculeux (24% pour coinfection TB/VIH), 3,8% chez les Pêcheurs, 3,5% chez les hommes en uniforme, 2,3% chez les camionneurs et 2,5% au sein de la population carcérale, respectivement en 2015 et 2017.</w:t>
      </w:r>
    </w:p>
    <w:p w14:paraId="14CDE739" w14:textId="77777777" w:rsidR="001464B3" w:rsidRPr="00654CE7" w:rsidRDefault="001464B3" w:rsidP="001464B3">
      <w:pPr>
        <w:pStyle w:val="Paragraphedeliste"/>
        <w:numPr>
          <w:ilvl w:val="0"/>
          <w:numId w:val="21"/>
        </w:numPr>
        <w:autoSpaceDE w:val="0"/>
        <w:autoSpaceDN w:val="0"/>
        <w:adjustRightInd w:val="0"/>
        <w:ind w:left="714" w:hanging="357"/>
        <w:contextualSpacing w:val="0"/>
        <w:jc w:val="both"/>
        <w:rPr>
          <w:rFonts w:ascii="Calibri" w:hAnsi="Calibri" w:cs="Calibri"/>
          <w:b/>
          <w:noProof/>
          <w:szCs w:val="22"/>
        </w:rPr>
      </w:pPr>
      <w:r w:rsidRPr="00654CE7">
        <w:rPr>
          <w:rFonts w:ascii="Calibri" w:hAnsi="Calibri" w:cs="Calibri"/>
          <w:noProof/>
          <w:szCs w:val="22"/>
          <w:u w:val="single"/>
        </w:rPr>
        <w:t xml:space="preserve">Une forte prévalence des IST </w:t>
      </w:r>
      <w:r w:rsidRPr="00654CE7">
        <w:rPr>
          <w:rFonts w:ascii="Calibri" w:hAnsi="Calibri" w:cs="Calibri"/>
          <w:noProof/>
          <w:szCs w:val="22"/>
        </w:rPr>
        <w:t xml:space="preserve">particulièrement chez les </w:t>
      </w:r>
      <w:r w:rsidRPr="00654CE7">
        <w:rPr>
          <w:rFonts w:ascii="Calibri" w:hAnsi="Calibri" w:cs="Calibri"/>
          <w:szCs w:val="22"/>
        </w:rPr>
        <w:t>professionnelles de sexe (35,50%), suivis par les jeunes de 15-24 ans (23,79%).</w:t>
      </w:r>
    </w:p>
    <w:p w14:paraId="3A2C31BA" w14:textId="77777777" w:rsidR="001464B3" w:rsidRPr="00654CE7" w:rsidRDefault="001464B3" w:rsidP="001464B3">
      <w:pPr>
        <w:pStyle w:val="Paragraphedeliste"/>
        <w:numPr>
          <w:ilvl w:val="0"/>
          <w:numId w:val="21"/>
        </w:numPr>
        <w:autoSpaceDE w:val="0"/>
        <w:autoSpaceDN w:val="0"/>
        <w:adjustRightInd w:val="0"/>
        <w:ind w:left="714" w:hanging="357"/>
        <w:contextualSpacing w:val="0"/>
        <w:jc w:val="both"/>
        <w:rPr>
          <w:rFonts w:ascii="Calibri" w:hAnsi="Calibri" w:cs="Calibri"/>
          <w:b/>
          <w:noProof/>
          <w:szCs w:val="22"/>
        </w:rPr>
      </w:pPr>
      <w:r w:rsidRPr="00654CE7">
        <w:rPr>
          <w:rFonts w:ascii="Calibri" w:hAnsi="Calibri" w:cs="Calibri"/>
          <w:noProof/>
          <w:szCs w:val="22"/>
          <w:u w:val="single"/>
        </w:rPr>
        <w:t>Une persistance des facteurs de risque associés à des niveaux de connaissances relativement moins importants au sein des groupes sociaux</w:t>
      </w:r>
    </w:p>
    <w:p w14:paraId="4C7C7301" w14:textId="77777777" w:rsidR="001464B3" w:rsidRPr="00654CE7" w:rsidRDefault="001464B3" w:rsidP="001464B3">
      <w:pPr>
        <w:autoSpaceDE w:val="0"/>
        <w:autoSpaceDN w:val="0"/>
        <w:adjustRightInd w:val="0"/>
        <w:jc w:val="both"/>
        <w:rPr>
          <w:rFonts w:cs="Calibri"/>
          <w:noProof/>
        </w:rPr>
      </w:pPr>
    </w:p>
    <w:p w14:paraId="5D54BD4F" w14:textId="77777777" w:rsidR="001464B3" w:rsidRPr="00654CE7" w:rsidRDefault="001464B3" w:rsidP="001464B3">
      <w:pPr>
        <w:autoSpaceDE w:val="0"/>
        <w:autoSpaceDN w:val="0"/>
        <w:adjustRightInd w:val="0"/>
        <w:jc w:val="both"/>
        <w:rPr>
          <w:rFonts w:cs="Calibri"/>
          <w:noProof/>
        </w:rPr>
      </w:pPr>
      <w:r w:rsidRPr="00654CE7">
        <w:rPr>
          <w:rFonts w:cs="Calibri"/>
          <w:noProof/>
        </w:rPr>
        <w:t>L’analyse de la réponse au VIH à mis en exergue les acquis fondamentaux dont entre autres :</w:t>
      </w:r>
    </w:p>
    <w:p w14:paraId="16EF78A3" w14:textId="77777777" w:rsidR="001464B3" w:rsidRPr="00654CE7" w:rsidRDefault="001464B3" w:rsidP="001464B3">
      <w:pPr>
        <w:pStyle w:val="Paragraphedeliste"/>
        <w:numPr>
          <w:ilvl w:val="0"/>
          <w:numId w:val="21"/>
        </w:numPr>
        <w:autoSpaceDE w:val="0"/>
        <w:autoSpaceDN w:val="0"/>
        <w:adjustRightInd w:val="0"/>
        <w:jc w:val="both"/>
        <w:rPr>
          <w:rFonts w:ascii="Calibri" w:hAnsi="Calibri" w:cs="Calibri"/>
          <w:noProof/>
          <w:szCs w:val="22"/>
        </w:rPr>
      </w:pPr>
      <w:r w:rsidRPr="00654CE7">
        <w:rPr>
          <w:rFonts w:ascii="Calibri" w:hAnsi="Calibri" w:cs="Calibri"/>
          <w:noProof/>
          <w:szCs w:val="22"/>
        </w:rPr>
        <w:t>L’existence d’une coordination nationale suffisamment décentralisée pour assurer le leadership de la réponse au VIH</w:t>
      </w:r>
    </w:p>
    <w:p w14:paraId="7BF3BF22" w14:textId="77777777" w:rsidR="001464B3" w:rsidRPr="00654CE7" w:rsidRDefault="001464B3" w:rsidP="001464B3">
      <w:pPr>
        <w:pStyle w:val="Paragraphedeliste"/>
        <w:numPr>
          <w:ilvl w:val="0"/>
          <w:numId w:val="21"/>
        </w:numPr>
        <w:autoSpaceDE w:val="0"/>
        <w:autoSpaceDN w:val="0"/>
        <w:adjustRightInd w:val="0"/>
        <w:jc w:val="both"/>
        <w:rPr>
          <w:rFonts w:ascii="Calibri" w:hAnsi="Calibri" w:cs="Calibri"/>
          <w:noProof/>
          <w:szCs w:val="22"/>
        </w:rPr>
      </w:pPr>
      <w:r w:rsidRPr="00654CE7">
        <w:rPr>
          <w:rFonts w:ascii="Calibri" w:hAnsi="Calibri" w:cs="Calibri"/>
          <w:noProof/>
          <w:szCs w:val="22"/>
        </w:rPr>
        <w:t>Un tissu associatif et commuautaire</w:t>
      </w:r>
    </w:p>
    <w:p w14:paraId="50F864DA" w14:textId="77777777" w:rsidR="001464B3" w:rsidRPr="00654CE7" w:rsidRDefault="001464B3" w:rsidP="001464B3">
      <w:pPr>
        <w:pStyle w:val="Paragraphedeliste"/>
        <w:numPr>
          <w:ilvl w:val="0"/>
          <w:numId w:val="21"/>
        </w:numPr>
        <w:autoSpaceDE w:val="0"/>
        <w:autoSpaceDN w:val="0"/>
        <w:adjustRightInd w:val="0"/>
        <w:jc w:val="both"/>
        <w:rPr>
          <w:rFonts w:ascii="Calibri" w:hAnsi="Calibri" w:cs="Calibri"/>
          <w:noProof/>
          <w:szCs w:val="22"/>
        </w:rPr>
      </w:pPr>
      <w:r w:rsidRPr="00654CE7">
        <w:rPr>
          <w:rFonts w:ascii="Calibri" w:hAnsi="Calibri" w:cs="Calibri"/>
          <w:noProof/>
          <w:szCs w:val="22"/>
        </w:rPr>
        <w:t xml:space="preserve">Une utilisation plus accrue des préservatifs (chez les jeunes : </w:t>
      </w:r>
      <w:r w:rsidRPr="00654CE7">
        <w:rPr>
          <w:rFonts w:ascii="Calibri" w:hAnsi="Calibri" w:cs="Calibri"/>
          <w:szCs w:val="22"/>
        </w:rPr>
        <w:t>40% en 2013 à 60% en 2016)</w:t>
      </w:r>
    </w:p>
    <w:p w14:paraId="6441CF71" w14:textId="77777777" w:rsidR="001464B3" w:rsidRPr="00654CE7" w:rsidRDefault="001464B3" w:rsidP="001464B3">
      <w:pPr>
        <w:pStyle w:val="Paragraphedeliste"/>
        <w:numPr>
          <w:ilvl w:val="0"/>
          <w:numId w:val="21"/>
        </w:numPr>
        <w:autoSpaceDE w:val="0"/>
        <w:autoSpaceDN w:val="0"/>
        <w:adjustRightInd w:val="0"/>
        <w:jc w:val="both"/>
        <w:rPr>
          <w:rFonts w:ascii="Calibri" w:hAnsi="Calibri" w:cs="Calibri"/>
          <w:noProof/>
          <w:szCs w:val="22"/>
        </w:rPr>
      </w:pPr>
      <w:r w:rsidRPr="00654CE7">
        <w:rPr>
          <w:rFonts w:ascii="Calibri" w:hAnsi="Calibri" w:cs="Calibri"/>
          <w:noProof/>
          <w:szCs w:val="22"/>
        </w:rPr>
        <w:t xml:space="preserve">Un système de santé qui offre des prestations relatives au VIH de plus étoffées, diversifiées et décentralisées : plateforme de dépistage précoce, plateforme de charge virale, sites PTME 131  en 2013 </w:t>
      </w:r>
      <w:r w:rsidRPr="00654CE7">
        <w:rPr>
          <w:rFonts w:ascii="Calibri" w:hAnsi="Calibri" w:cs="Calibri"/>
          <w:noProof/>
          <w:szCs w:val="22"/>
          <w:shd w:val="clear" w:color="auto" w:fill="FFFFFF"/>
        </w:rPr>
        <w:t>à 706 dont 394 fonctionnels en 2017</w:t>
      </w:r>
      <w:r w:rsidRPr="00654CE7">
        <w:rPr>
          <w:rFonts w:ascii="Calibri" w:hAnsi="Calibri" w:cs="Calibri"/>
          <w:noProof/>
          <w:szCs w:val="22"/>
        </w:rPr>
        <w:t>, sites de prise en charge (101 en 2013 et 142 en 2017 dont 86 fonctionnels)</w:t>
      </w:r>
    </w:p>
    <w:p w14:paraId="4BC0107F" w14:textId="77777777" w:rsidR="001464B3" w:rsidRPr="00654CE7" w:rsidRDefault="001464B3" w:rsidP="001464B3">
      <w:pPr>
        <w:pStyle w:val="Paragraphedeliste"/>
        <w:numPr>
          <w:ilvl w:val="0"/>
          <w:numId w:val="21"/>
        </w:numPr>
        <w:rPr>
          <w:rFonts w:ascii="Calibri" w:hAnsi="Calibri" w:cs="Calibri"/>
          <w:noProof/>
          <w:szCs w:val="22"/>
        </w:rPr>
      </w:pPr>
      <w:r w:rsidRPr="00654CE7">
        <w:rPr>
          <w:rFonts w:ascii="Calibri" w:hAnsi="Calibri" w:cs="Calibri"/>
          <w:noProof/>
          <w:szCs w:val="22"/>
        </w:rPr>
        <w:t xml:space="preserve">Une amélioration de la performance de la prise en charge (nombre de PVVIH sous ARV : </w:t>
      </w:r>
      <w:r w:rsidRPr="00654CE7">
        <w:rPr>
          <w:rFonts w:ascii="Calibri" w:hAnsi="Calibri" w:cs="Calibri"/>
          <w:bCs/>
          <w:color w:val="000000"/>
          <w:szCs w:val="22"/>
        </w:rPr>
        <w:t>27.792 en 2013 à 43.673 en 2016 et 51406 en fin 2017)</w:t>
      </w:r>
    </w:p>
    <w:p w14:paraId="2245A7F0" w14:textId="77777777" w:rsidR="001464B3" w:rsidRPr="00654CE7" w:rsidRDefault="001464B3" w:rsidP="001464B3">
      <w:pPr>
        <w:pStyle w:val="Paragraphedeliste"/>
        <w:numPr>
          <w:ilvl w:val="0"/>
          <w:numId w:val="21"/>
        </w:numPr>
        <w:rPr>
          <w:rFonts w:ascii="Calibri" w:hAnsi="Calibri" w:cs="Calibri"/>
          <w:noProof/>
          <w:szCs w:val="22"/>
        </w:rPr>
      </w:pPr>
      <w:r w:rsidRPr="00654CE7">
        <w:rPr>
          <w:rFonts w:ascii="Calibri" w:hAnsi="Calibri" w:cs="Calibri"/>
          <w:noProof/>
          <w:szCs w:val="22"/>
        </w:rPr>
        <w:t xml:space="preserve">Une amélioration de la qualité de la qualité de prise en charge (taux de survie à 12 mois, (adultes et enfants) : 70% (2012), 77,5% (2014), 78,7% (2015) et </w:t>
      </w:r>
      <w:r w:rsidRPr="00654CE7">
        <w:rPr>
          <w:rFonts w:ascii="Calibri" w:hAnsi="Calibri" w:cs="Calibri"/>
          <w:bCs/>
          <w:color w:val="000000"/>
          <w:szCs w:val="22"/>
        </w:rPr>
        <w:t>taux de survie à 24 mois des patients (adultes et enfants) après le début du traitement est de 64,9% (2015) pour une cible attendue de 77% en 2017)</w:t>
      </w:r>
    </w:p>
    <w:p w14:paraId="654866D2" w14:textId="77777777" w:rsidR="001464B3" w:rsidRPr="00654CE7" w:rsidRDefault="001464B3" w:rsidP="001464B3">
      <w:pPr>
        <w:autoSpaceDE w:val="0"/>
        <w:autoSpaceDN w:val="0"/>
        <w:adjustRightInd w:val="0"/>
        <w:jc w:val="both"/>
        <w:rPr>
          <w:rFonts w:cs="Calibri"/>
          <w:noProof/>
        </w:rPr>
      </w:pPr>
    </w:p>
    <w:p w14:paraId="259D6ED1" w14:textId="77777777" w:rsidR="001464B3" w:rsidRPr="00654CE7" w:rsidRDefault="001464B3" w:rsidP="001464B3">
      <w:pPr>
        <w:autoSpaceDE w:val="0"/>
        <w:autoSpaceDN w:val="0"/>
        <w:adjustRightInd w:val="0"/>
        <w:jc w:val="both"/>
        <w:rPr>
          <w:rFonts w:cs="Calibri"/>
        </w:rPr>
      </w:pPr>
      <w:r w:rsidRPr="00654CE7">
        <w:rPr>
          <w:rFonts w:cs="Calibri"/>
          <w:noProof/>
        </w:rPr>
        <w:t>En dépit des acquis et des progrès, l’analyse de la réponse a également identifié les défis et contraintes qui restent à surmonter, ainsi que les lacunes programmatiques. Il s’agit de i) de la</w:t>
      </w:r>
      <w:r w:rsidRPr="00654CE7">
        <w:rPr>
          <w:rFonts w:cs="Calibri"/>
        </w:rPr>
        <w:t xml:space="preserve"> timide baisse des nouvelles infections, ii) la morbidité et la mortalité liées au VIH qui restent élevées parmi les PVVIH et iii) la faible gouvernance et leadership de la riposte à tous les niveaux, y compris la faiblesse mobilisation des ressources financières.</w:t>
      </w:r>
    </w:p>
    <w:p w14:paraId="23B10A50" w14:textId="77777777" w:rsidR="001464B3" w:rsidRPr="00654CE7" w:rsidRDefault="001464B3" w:rsidP="001464B3">
      <w:pPr>
        <w:autoSpaceDE w:val="0"/>
        <w:autoSpaceDN w:val="0"/>
        <w:adjustRightInd w:val="0"/>
        <w:jc w:val="both"/>
        <w:rPr>
          <w:rFonts w:cs="Calibri"/>
          <w:b/>
          <w:noProof/>
          <w:highlight w:val="yellow"/>
        </w:rPr>
      </w:pPr>
    </w:p>
    <w:p w14:paraId="59E5765A" w14:textId="77777777" w:rsidR="001464B3" w:rsidRPr="00654CE7" w:rsidRDefault="001464B3" w:rsidP="001464B3">
      <w:pPr>
        <w:autoSpaceDE w:val="0"/>
        <w:autoSpaceDN w:val="0"/>
        <w:adjustRightInd w:val="0"/>
        <w:jc w:val="both"/>
        <w:rPr>
          <w:rFonts w:cs="Calibri"/>
          <w:noProof/>
        </w:rPr>
      </w:pPr>
      <w:r w:rsidRPr="00654CE7">
        <w:rPr>
          <w:rFonts w:cs="Calibri"/>
          <w:noProof/>
        </w:rPr>
        <w:t>Au terme de l’analyse de la situation et de la réponse nationale au VIH, des priorités ont été définies pour la période 2018-2022. Outre les interventions d’ordre général, la priorité sera accordée aux cibles suivantes pour la période 2018-2022 :</w:t>
      </w:r>
    </w:p>
    <w:p w14:paraId="52FA4BFC" w14:textId="77777777" w:rsidR="001464B3" w:rsidRPr="00654CE7" w:rsidRDefault="001464B3" w:rsidP="001464B3">
      <w:pPr>
        <w:autoSpaceDE w:val="0"/>
        <w:autoSpaceDN w:val="0"/>
        <w:adjustRightInd w:val="0"/>
        <w:jc w:val="both"/>
        <w:rPr>
          <w:rFonts w:cs="Calibri"/>
          <w:noProof/>
        </w:rPr>
      </w:pPr>
      <w:r w:rsidRPr="00654CE7">
        <w:rPr>
          <w:rFonts w:cs="Calibri"/>
          <w:noProof/>
        </w:rPr>
        <w:drawing>
          <wp:inline distT="0" distB="0" distL="0" distR="0" wp14:anchorId="7C438605" wp14:editId="45796FA1">
            <wp:extent cx="2796540" cy="2349500"/>
            <wp:effectExtent l="0" t="0" r="0" b="0"/>
            <wp:docPr id="3"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2349500"/>
                    </a:xfrm>
                    <a:prstGeom prst="rect">
                      <a:avLst/>
                    </a:prstGeom>
                    <a:noFill/>
                    <a:ln>
                      <a:noFill/>
                    </a:ln>
                  </pic:spPr>
                </pic:pic>
              </a:graphicData>
            </a:graphic>
          </wp:inline>
        </w:drawing>
      </w:r>
      <w:r w:rsidRPr="00654CE7">
        <w:rPr>
          <w:rFonts w:cs="Calibri"/>
          <w:noProof/>
        </w:rPr>
        <w:drawing>
          <wp:inline distT="0" distB="0" distL="0" distR="0" wp14:anchorId="5EBC54D2" wp14:editId="7A0ED440">
            <wp:extent cx="2796540" cy="2232660"/>
            <wp:effectExtent l="0" t="0" r="0" b="0"/>
            <wp:docPr id="67"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540" cy="2232660"/>
                    </a:xfrm>
                    <a:prstGeom prst="rect">
                      <a:avLst/>
                    </a:prstGeom>
                    <a:noFill/>
                    <a:ln>
                      <a:noFill/>
                    </a:ln>
                  </pic:spPr>
                </pic:pic>
              </a:graphicData>
            </a:graphic>
          </wp:inline>
        </w:drawing>
      </w:r>
    </w:p>
    <w:p w14:paraId="6741F4F6" w14:textId="77777777" w:rsidR="001464B3" w:rsidRPr="00654CE7" w:rsidRDefault="001464B3" w:rsidP="001464B3">
      <w:pPr>
        <w:autoSpaceDE w:val="0"/>
        <w:autoSpaceDN w:val="0"/>
        <w:adjustRightInd w:val="0"/>
        <w:jc w:val="both"/>
        <w:rPr>
          <w:rFonts w:cs="Calibri"/>
          <w:b/>
          <w:noProof/>
        </w:rPr>
      </w:pPr>
    </w:p>
    <w:p w14:paraId="685F6937" w14:textId="77777777" w:rsidR="001464B3" w:rsidRPr="00654CE7" w:rsidRDefault="001464B3" w:rsidP="001464B3">
      <w:pPr>
        <w:jc w:val="both"/>
        <w:rPr>
          <w:rFonts w:cs="Calibri"/>
          <w:color w:val="333333"/>
        </w:rPr>
      </w:pPr>
      <w:r w:rsidRPr="00654CE7">
        <w:rPr>
          <w:rFonts w:cs="Calibri"/>
          <w:shd w:val="clear" w:color="auto" w:fill="FFFFFF"/>
        </w:rPr>
        <w:t>Le présent Cadre Stratégique National a pour v</w:t>
      </w:r>
      <w:r w:rsidRPr="00654CE7">
        <w:rPr>
          <w:rFonts w:cs="Calibri"/>
          <w:color w:val="333333"/>
          <w:shd w:val="clear" w:color="auto" w:fill="FFFFFF"/>
        </w:rPr>
        <w:t>ision de « </w:t>
      </w:r>
      <w:r w:rsidRPr="00654CE7">
        <w:rPr>
          <w:rFonts w:cs="Calibri"/>
          <w:b/>
          <w:color w:val="00B0F0"/>
          <w:shd w:val="clear" w:color="auto" w:fill="FFFFFF"/>
        </w:rPr>
        <w:t>parvenir à mettre fin à l’épidémie du VIH en tant que menace de santé publique d’ici à fin 2030, à travers l’adhésion aux engagements internationaux convenus lors de l’Assemblée</w:t>
      </w:r>
      <w:r w:rsidRPr="00654CE7">
        <w:rPr>
          <w:rFonts w:cs="Calibri"/>
          <w:b/>
          <w:color w:val="00B0F0"/>
        </w:rPr>
        <w:t xml:space="preserve"> Générale des Nations Unies de 2016</w:t>
      </w:r>
      <w:r w:rsidRPr="00654CE7">
        <w:rPr>
          <w:rFonts w:cs="Calibri"/>
          <w:color w:val="00B0F0"/>
          <w:shd w:val="clear" w:color="auto" w:fill="FFFFFF"/>
        </w:rPr>
        <w:t> </w:t>
      </w:r>
      <w:r w:rsidRPr="00654CE7">
        <w:rPr>
          <w:rFonts w:cs="Calibri"/>
          <w:color w:val="333333"/>
          <w:shd w:val="clear" w:color="auto" w:fill="FFFFFF"/>
        </w:rPr>
        <w:t xml:space="preserve">». Aussi, le cap pour 2022 est de ramener les nouvelles infections à moins de 5.000, le nombre de décès liés au sida à moins de 2000 à fin 2022 et éliminer </w:t>
      </w:r>
      <w:r w:rsidRPr="00654CE7">
        <w:rPr>
          <w:rFonts w:cs="Calibri"/>
          <w:color w:val="333333"/>
        </w:rPr>
        <w:t>la stigmatisation et la discrimination liées au VIH.</w:t>
      </w:r>
    </w:p>
    <w:p w14:paraId="2F5459BE" w14:textId="77777777" w:rsidR="001464B3" w:rsidRPr="00654CE7" w:rsidRDefault="001464B3" w:rsidP="001464B3">
      <w:pPr>
        <w:jc w:val="both"/>
        <w:rPr>
          <w:rFonts w:cs="Calibri"/>
          <w:shd w:val="clear" w:color="auto" w:fill="FFFFFF"/>
        </w:rPr>
      </w:pPr>
    </w:p>
    <w:p w14:paraId="5203A40A" w14:textId="77777777" w:rsidR="001464B3" w:rsidRPr="00654CE7" w:rsidRDefault="001464B3" w:rsidP="001464B3">
      <w:pPr>
        <w:jc w:val="both"/>
        <w:rPr>
          <w:rFonts w:cs="Calibri"/>
          <w:shd w:val="clear" w:color="auto" w:fill="FFFFFF"/>
        </w:rPr>
      </w:pPr>
      <w:r w:rsidRPr="00654CE7">
        <w:rPr>
          <w:rFonts w:cs="Calibri"/>
          <w:shd w:val="clear" w:color="auto" w:fill="FFFFFF"/>
        </w:rPr>
        <w:t xml:space="preserve">Le CSN 2018-2022 </w:t>
      </w:r>
      <w:r w:rsidRPr="00654CE7">
        <w:rPr>
          <w:rFonts w:cs="Calibri"/>
          <w:bCs/>
          <w:noProof/>
          <w:lang w:val="fr-CH" w:eastAsia="fr-CA"/>
        </w:rPr>
        <w:t>s’aligne et se fonde sur : i) les objectifs et engagements mondiaux en matière de riposte au sida, en particulier l’objectif d’élimination de l’épidémie du VIH à l’horizon 2030, incluant l’élimination de la transmission du VIH de la mère à l’enfant, ii) la politique nationale de santé et le plan national de développement sanitaire 2015-2024, iii) la politique nationale de santé communautaire et le plan stratégique de santé communautaire 2018-2022 et v) la politique nationale de biologie médicale et le plan directeur de développement de la biologie médicale.</w:t>
      </w:r>
    </w:p>
    <w:p w14:paraId="70B9018D" w14:textId="77777777" w:rsidR="001464B3" w:rsidRPr="00654CE7" w:rsidRDefault="001464B3" w:rsidP="001464B3">
      <w:pPr>
        <w:jc w:val="both"/>
        <w:rPr>
          <w:rFonts w:cs="Calibri"/>
          <w:shd w:val="clear" w:color="auto" w:fill="FFFFFF"/>
        </w:rPr>
      </w:pPr>
    </w:p>
    <w:p w14:paraId="047D69F9" w14:textId="77777777" w:rsidR="001464B3" w:rsidRPr="00AC7D50" w:rsidRDefault="001464B3" w:rsidP="001464B3">
      <w:pPr>
        <w:jc w:val="both"/>
        <w:rPr>
          <w:rFonts w:cs="Arial"/>
          <w:shd w:val="clear" w:color="auto" w:fill="FFFFFF"/>
        </w:rPr>
      </w:pPr>
      <w:r w:rsidRPr="00AC7D50">
        <w:rPr>
          <w:rFonts w:cs="Arial"/>
          <w:shd w:val="clear" w:color="auto" w:fill="FFFFFF"/>
        </w:rPr>
        <w:t>Les priorités et les impacts/effets attendus sont les suivants :</w:t>
      </w:r>
    </w:p>
    <w:p w14:paraId="5A5730B9" w14:textId="77777777" w:rsidR="001464B3" w:rsidRDefault="001464B3" w:rsidP="001464B3">
      <w:pPr>
        <w:jc w:val="both"/>
        <w:rPr>
          <w:rFonts w:cs="Arial"/>
          <w:shd w:val="clear" w:color="auto" w:fill="FFFFFF"/>
        </w:rPr>
      </w:pPr>
    </w:p>
    <w:tbl>
      <w:tblPr>
        <w:tblW w:w="9851" w:type="dxa"/>
        <w:tblCellMar>
          <w:left w:w="70" w:type="dxa"/>
          <w:right w:w="70" w:type="dxa"/>
        </w:tblCellMar>
        <w:tblLook w:val="04A0" w:firstRow="1" w:lastRow="0" w:firstColumn="1" w:lastColumn="0" w:noHBand="0" w:noVBand="1"/>
      </w:tblPr>
      <w:tblGrid>
        <w:gridCol w:w="983"/>
        <w:gridCol w:w="992"/>
        <w:gridCol w:w="584"/>
        <w:gridCol w:w="7292"/>
      </w:tblGrid>
      <w:tr w:rsidR="001464B3" w:rsidRPr="000B012F" w14:paraId="79D9555A" w14:textId="77777777" w:rsidTr="001044F4">
        <w:trPr>
          <w:trHeight w:val="560"/>
        </w:trPr>
        <w:tc>
          <w:tcPr>
            <w:tcW w:w="1975" w:type="dxa"/>
            <w:gridSpan w:val="2"/>
            <w:tcBorders>
              <w:top w:val="single" w:sz="4" w:space="0" w:color="auto"/>
              <w:left w:val="single" w:sz="4" w:space="0" w:color="auto"/>
              <w:bottom w:val="single" w:sz="4" w:space="0" w:color="auto"/>
              <w:right w:val="single" w:sz="4" w:space="0" w:color="auto"/>
            </w:tcBorders>
            <w:shd w:val="clear" w:color="000000" w:fill="FF0000"/>
            <w:vAlign w:val="center"/>
            <w:hideMark/>
          </w:tcPr>
          <w:p w14:paraId="5DF51D0B" w14:textId="77777777" w:rsidR="001464B3" w:rsidRPr="00697349" w:rsidRDefault="001464B3" w:rsidP="001044F4">
            <w:pPr>
              <w:rPr>
                <w:b/>
                <w:bCs/>
                <w:color w:val="FFFFFF"/>
                <w:sz w:val="20"/>
                <w:szCs w:val="20"/>
              </w:rPr>
            </w:pPr>
            <w:r w:rsidRPr="00697349">
              <w:rPr>
                <w:b/>
                <w:bCs/>
                <w:color w:val="FFFFFF"/>
                <w:sz w:val="20"/>
                <w:szCs w:val="20"/>
              </w:rPr>
              <w:t>Priorité -1</w:t>
            </w:r>
          </w:p>
        </w:tc>
        <w:tc>
          <w:tcPr>
            <w:tcW w:w="7876" w:type="dxa"/>
            <w:gridSpan w:val="2"/>
            <w:tcBorders>
              <w:top w:val="single" w:sz="4" w:space="0" w:color="auto"/>
              <w:left w:val="nil"/>
              <w:bottom w:val="single" w:sz="4" w:space="0" w:color="auto"/>
              <w:right w:val="single" w:sz="4" w:space="0" w:color="auto"/>
            </w:tcBorders>
            <w:shd w:val="clear" w:color="000000" w:fill="E7E6E6"/>
            <w:vAlign w:val="center"/>
            <w:hideMark/>
          </w:tcPr>
          <w:p w14:paraId="1F682828" w14:textId="77777777" w:rsidR="001464B3" w:rsidRPr="00697349" w:rsidRDefault="001464B3" w:rsidP="001044F4">
            <w:pPr>
              <w:jc w:val="both"/>
              <w:rPr>
                <w:color w:val="000000"/>
                <w:sz w:val="20"/>
                <w:szCs w:val="20"/>
              </w:rPr>
            </w:pPr>
            <w:r w:rsidRPr="00697349">
              <w:rPr>
                <w:color w:val="000000"/>
                <w:sz w:val="20"/>
                <w:szCs w:val="20"/>
              </w:rPr>
              <w:t>Réduire très significativement les nouvelles infections parmi les populations vulnérables (en l’occurrence les jeunes filles, les jeunes femmes), les populations clés et éliminer celle chez les enfants</w:t>
            </w:r>
          </w:p>
        </w:tc>
      </w:tr>
      <w:tr w:rsidR="001464B3" w:rsidRPr="000B012F" w14:paraId="08342786" w14:textId="77777777" w:rsidTr="001044F4">
        <w:trPr>
          <w:gridBefore w:val="1"/>
          <w:wBefore w:w="983" w:type="dxa"/>
          <w:trHeight w:val="393"/>
        </w:trPr>
        <w:tc>
          <w:tcPr>
            <w:tcW w:w="992"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21AC6132" w14:textId="77777777" w:rsidR="001464B3" w:rsidRPr="00697349" w:rsidRDefault="001464B3" w:rsidP="001044F4">
            <w:pPr>
              <w:ind w:left="-780" w:firstLine="780"/>
              <w:rPr>
                <w:color w:val="FFFFFF"/>
                <w:sz w:val="20"/>
                <w:szCs w:val="20"/>
              </w:rPr>
            </w:pPr>
            <w:r w:rsidRPr="00697349">
              <w:rPr>
                <w:color w:val="FFFFFF"/>
                <w:sz w:val="20"/>
                <w:szCs w:val="20"/>
              </w:rPr>
              <w:t>Impact-1</w:t>
            </w:r>
          </w:p>
        </w:tc>
        <w:tc>
          <w:tcPr>
            <w:tcW w:w="7876" w:type="dxa"/>
            <w:gridSpan w:val="2"/>
            <w:tcBorders>
              <w:top w:val="single" w:sz="4" w:space="0" w:color="auto"/>
              <w:left w:val="nil"/>
              <w:bottom w:val="single" w:sz="4" w:space="0" w:color="auto"/>
              <w:right w:val="single" w:sz="4" w:space="0" w:color="auto"/>
            </w:tcBorders>
            <w:shd w:val="clear" w:color="000000" w:fill="E7E6E6"/>
            <w:vAlign w:val="center"/>
            <w:hideMark/>
          </w:tcPr>
          <w:p w14:paraId="6D198C9C" w14:textId="77777777" w:rsidR="001464B3" w:rsidRPr="00697349" w:rsidRDefault="001464B3" w:rsidP="001044F4">
            <w:pPr>
              <w:jc w:val="both"/>
              <w:rPr>
                <w:color w:val="000000"/>
                <w:sz w:val="20"/>
                <w:szCs w:val="20"/>
              </w:rPr>
            </w:pPr>
            <w:r w:rsidRPr="00697349">
              <w:rPr>
                <w:color w:val="000000"/>
                <w:sz w:val="20"/>
                <w:szCs w:val="20"/>
              </w:rPr>
              <w:t xml:space="preserve">Les nouvelles infections sont réduites de 50% d’ici </w:t>
            </w:r>
            <w:r w:rsidRPr="00697349">
              <w:rPr>
                <w:rFonts w:cs="Arial"/>
                <w:color w:val="000000"/>
                <w:sz w:val="20"/>
                <w:szCs w:val="20"/>
              </w:rPr>
              <w:t>à fin</w:t>
            </w:r>
            <w:r w:rsidRPr="00697349">
              <w:rPr>
                <w:color w:val="000000"/>
                <w:sz w:val="20"/>
                <w:szCs w:val="20"/>
              </w:rPr>
              <w:t xml:space="preserve"> 2022</w:t>
            </w:r>
          </w:p>
        </w:tc>
      </w:tr>
      <w:tr w:rsidR="001464B3" w:rsidRPr="000B012F" w14:paraId="0900FDD1" w14:textId="77777777" w:rsidTr="001044F4">
        <w:trPr>
          <w:trHeight w:val="320"/>
        </w:trPr>
        <w:tc>
          <w:tcPr>
            <w:tcW w:w="983" w:type="dxa"/>
            <w:tcBorders>
              <w:top w:val="nil"/>
              <w:left w:val="nil"/>
              <w:bottom w:val="nil"/>
              <w:right w:val="nil"/>
            </w:tcBorders>
            <w:shd w:val="clear" w:color="000000" w:fill="FFFFFF"/>
            <w:noWrap/>
            <w:vAlign w:val="bottom"/>
            <w:hideMark/>
          </w:tcPr>
          <w:p w14:paraId="53DCF40E" w14:textId="77777777" w:rsidR="001464B3" w:rsidRPr="00697349" w:rsidRDefault="001464B3" w:rsidP="001044F4">
            <w:pPr>
              <w:rPr>
                <w:color w:val="000000"/>
                <w:sz w:val="20"/>
                <w:szCs w:val="20"/>
              </w:rPr>
            </w:pPr>
            <w:r w:rsidRPr="00697349">
              <w:rPr>
                <w:color w:val="000000"/>
                <w:sz w:val="20"/>
                <w:szCs w:val="20"/>
              </w:rPr>
              <w:t> </w:t>
            </w:r>
          </w:p>
        </w:tc>
        <w:tc>
          <w:tcPr>
            <w:tcW w:w="992" w:type="dxa"/>
            <w:tcBorders>
              <w:top w:val="nil"/>
              <w:left w:val="nil"/>
              <w:bottom w:val="nil"/>
              <w:right w:val="nil"/>
            </w:tcBorders>
            <w:shd w:val="clear" w:color="000000" w:fill="FFFFFF"/>
            <w:noWrap/>
            <w:vAlign w:val="bottom"/>
            <w:hideMark/>
          </w:tcPr>
          <w:p w14:paraId="5E8B95A6" w14:textId="77777777" w:rsidR="001464B3" w:rsidRPr="00697349" w:rsidRDefault="001464B3" w:rsidP="001044F4">
            <w:pPr>
              <w:rPr>
                <w:color w:val="000000"/>
                <w:sz w:val="20"/>
                <w:szCs w:val="20"/>
              </w:rPr>
            </w:pPr>
            <w:r w:rsidRPr="00697349">
              <w:rPr>
                <w:color w:val="000000"/>
                <w:sz w:val="20"/>
                <w:szCs w:val="20"/>
              </w:rPr>
              <w:t> </w:t>
            </w:r>
          </w:p>
        </w:tc>
        <w:tc>
          <w:tcPr>
            <w:tcW w:w="7876" w:type="dxa"/>
            <w:gridSpan w:val="2"/>
            <w:tcBorders>
              <w:top w:val="single" w:sz="4" w:space="0" w:color="auto"/>
              <w:left w:val="single" w:sz="4" w:space="0" w:color="auto"/>
              <w:bottom w:val="single" w:sz="4" w:space="0" w:color="auto"/>
              <w:right w:val="single" w:sz="4" w:space="0" w:color="auto"/>
            </w:tcBorders>
            <w:shd w:val="clear" w:color="000000" w:fill="C5E0B3"/>
            <w:vAlign w:val="center"/>
            <w:hideMark/>
          </w:tcPr>
          <w:p w14:paraId="2BF8F5F8" w14:textId="77777777" w:rsidR="001464B3" w:rsidRPr="00697349" w:rsidRDefault="001464B3" w:rsidP="001044F4">
            <w:pPr>
              <w:rPr>
                <w:b/>
                <w:bCs/>
                <w:color w:val="000000"/>
                <w:sz w:val="20"/>
                <w:szCs w:val="20"/>
              </w:rPr>
            </w:pPr>
            <w:r w:rsidRPr="00697349">
              <w:rPr>
                <w:b/>
                <w:bCs/>
                <w:color w:val="000000"/>
                <w:sz w:val="20"/>
                <w:szCs w:val="20"/>
              </w:rPr>
              <w:t>Effets</w:t>
            </w:r>
          </w:p>
        </w:tc>
      </w:tr>
      <w:tr w:rsidR="001464B3" w:rsidRPr="000B012F" w14:paraId="6AD592C3" w14:textId="77777777" w:rsidTr="001044F4">
        <w:trPr>
          <w:gridBefore w:val="1"/>
          <w:wBefore w:w="983" w:type="dxa"/>
          <w:trHeight w:val="560"/>
        </w:trPr>
        <w:tc>
          <w:tcPr>
            <w:tcW w:w="992" w:type="dxa"/>
            <w:tcBorders>
              <w:top w:val="nil"/>
              <w:left w:val="nil"/>
              <w:bottom w:val="nil"/>
              <w:right w:val="nil"/>
            </w:tcBorders>
            <w:shd w:val="clear" w:color="000000" w:fill="FFFFFF"/>
            <w:noWrap/>
            <w:vAlign w:val="bottom"/>
            <w:hideMark/>
          </w:tcPr>
          <w:p w14:paraId="061602C9"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nil"/>
              <w:left w:val="nil"/>
              <w:bottom w:val="nil"/>
              <w:right w:val="nil"/>
            </w:tcBorders>
            <w:shd w:val="clear" w:color="000000" w:fill="FFFFFF"/>
            <w:noWrap/>
            <w:vAlign w:val="bottom"/>
            <w:hideMark/>
          </w:tcPr>
          <w:p w14:paraId="157593EB"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nil"/>
              <w:left w:val="single" w:sz="4" w:space="0" w:color="auto"/>
              <w:bottom w:val="single" w:sz="4" w:space="0" w:color="auto"/>
              <w:right w:val="single" w:sz="4" w:space="0" w:color="auto"/>
            </w:tcBorders>
            <w:shd w:val="clear" w:color="000000" w:fill="FFFFFF"/>
            <w:vAlign w:val="center"/>
            <w:hideMark/>
          </w:tcPr>
          <w:p w14:paraId="5AB84901" w14:textId="77777777" w:rsidR="001464B3" w:rsidRPr="00697349" w:rsidRDefault="001464B3" w:rsidP="001044F4">
            <w:pPr>
              <w:rPr>
                <w:color w:val="000000"/>
                <w:sz w:val="20"/>
                <w:szCs w:val="20"/>
              </w:rPr>
            </w:pPr>
            <w:r w:rsidRPr="00697349">
              <w:rPr>
                <w:color w:val="000000"/>
                <w:sz w:val="20"/>
                <w:szCs w:val="20"/>
              </w:rPr>
              <w:t>1.1-Au moins 80% des populations clés (PS, UDI, HSH) et populations vulnérables (Miniers, routiers, hommes en uniforme, populations carcérales, pêcheurs) ont des comportements à moindre risque d’ici 2022</w:t>
            </w:r>
          </w:p>
        </w:tc>
      </w:tr>
      <w:tr w:rsidR="001464B3" w:rsidRPr="000B012F" w14:paraId="7FBCA9D4" w14:textId="77777777" w:rsidTr="001044F4">
        <w:trPr>
          <w:gridBefore w:val="1"/>
          <w:wBefore w:w="983" w:type="dxa"/>
          <w:trHeight w:val="320"/>
        </w:trPr>
        <w:tc>
          <w:tcPr>
            <w:tcW w:w="992" w:type="dxa"/>
            <w:tcBorders>
              <w:top w:val="nil"/>
              <w:left w:val="nil"/>
              <w:bottom w:val="nil"/>
              <w:right w:val="nil"/>
            </w:tcBorders>
            <w:shd w:val="clear" w:color="000000" w:fill="FFFFFF"/>
            <w:noWrap/>
            <w:vAlign w:val="bottom"/>
            <w:hideMark/>
          </w:tcPr>
          <w:p w14:paraId="1E6C3628"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nil"/>
              <w:left w:val="nil"/>
              <w:bottom w:val="nil"/>
              <w:right w:val="nil"/>
            </w:tcBorders>
            <w:shd w:val="clear" w:color="000000" w:fill="FFFFFF"/>
            <w:noWrap/>
            <w:vAlign w:val="bottom"/>
            <w:hideMark/>
          </w:tcPr>
          <w:p w14:paraId="386664FD"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nil"/>
              <w:left w:val="single" w:sz="4" w:space="0" w:color="auto"/>
              <w:bottom w:val="single" w:sz="4" w:space="0" w:color="auto"/>
              <w:right w:val="single" w:sz="4" w:space="0" w:color="auto"/>
            </w:tcBorders>
            <w:shd w:val="clear" w:color="000000" w:fill="FFFFFF"/>
            <w:vAlign w:val="center"/>
            <w:hideMark/>
          </w:tcPr>
          <w:p w14:paraId="4B3D0A30" w14:textId="77777777" w:rsidR="001464B3" w:rsidRPr="00697349" w:rsidRDefault="001464B3" w:rsidP="001044F4">
            <w:pPr>
              <w:rPr>
                <w:color w:val="000000"/>
                <w:sz w:val="20"/>
                <w:szCs w:val="20"/>
              </w:rPr>
            </w:pPr>
            <w:r w:rsidRPr="00697349">
              <w:rPr>
                <w:color w:val="000000"/>
                <w:sz w:val="20"/>
                <w:szCs w:val="20"/>
              </w:rPr>
              <w:t>1.2-90% des PVVIH connaissent leur statut sérologique et sont référés vers les services de soins/traitement</w:t>
            </w:r>
          </w:p>
        </w:tc>
      </w:tr>
      <w:tr w:rsidR="001464B3" w:rsidRPr="000B012F" w14:paraId="168EA3B1" w14:textId="77777777" w:rsidTr="001044F4">
        <w:trPr>
          <w:gridBefore w:val="1"/>
          <w:wBefore w:w="983" w:type="dxa"/>
          <w:trHeight w:val="320"/>
        </w:trPr>
        <w:tc>
          <w:tcPr>
            <w:tcW w:w="992" w:type="dxa"/>
            <w:tcBorders>
              <w:top w:val="nil"/>
              <w:left w:val="nil"/>
              <w:bottom w:val="nil"/>
              <w:right w:val="nil"/>
            </w:tcBorders>
            <w:shd w:val="clear" w:color="000000" w:fill="FFFFFF"/>
            <w:noWrap/>
            <w:vAlign w:val="bottom"/>
            <w:hideMark/>
          </w:tcPr>
          <w:p w14:paraId="03CC146B"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nil"/>
              <w:left w:val="nil"/>
              <w:bottom w:val="nil"/>
              <w:right w:val="nil"/>
            </w:tcBorders>
            <w:shd w:val="clear" w:color="000000" w:fill="FFFFFF"/>
            <w:noWrap/>
            <w:vAlign w:val="bottom"/>
            <w:hideMark/>
          </w:tcPr>
          <w:p w14:paraId="4737FDA6"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nil"/>
              <w:left w:val="single" w:sz="4" w:space="0" w:color="auto"/>
              <w:bottom w:val="single" w:sz="4" w:space="0" w:color="auto"/>
              <w:right w:val="single" w:sz="4" w:space="0" w:color="auto"/>
            </w:tcBorders>
            <w:shd w:val="clear" w:color="000000" w:fill="FFFFFF"/>
            <w:vAlign w:val="center"/>
            <w:hideMark/>
          </w:tcPr>
          <w:p w14:paraId="4A0AACA9" w14:textId="77777777" w:rsidR="001464B3" w:rsidRPr="00697349" w:rsidRDefault="001464B3" w:rsidP="001044F4">
            <w:pPr>
              <w:rPr>
                <w:color w:val="000000"/>
                <w:sz w:val="20"/>
                <w:szCs w:val="20"/>
              </w:rPr>
            </w:pPr>
            <w:r w:rsidRPr="00697349">
              <w:rPr>
                <w:color w:val="000000"/>
                <w:sz w:val="20"/>
                <w:szCs w:val="20"/>
              </w:rPr>
              <w:t>1.3-la transmission sanguine du VIH est éliminée (risque=0%) pendant la période 2018-2022</w:t>
            </w:r>
          </w:p>
        </w:tc>
      </w:tr>
      <w:tr w:rsidR="001464B3" w:rsidRPr="000B012F" w14:paraId="6BE83B52" w14:textId="77777777" w:rsidTr="001044F4">
        <w:trPr>
          <w:gridBefore w:val="1"/>
          <w:wBefore w:w="983" w:type="dxa"/>
          <w:trHeight w:val="560"/>
        </w:trPr>
        <w:tc>
          <w:tcPr>
            <w:tcW w:w="992" w:type="dxa"/>
            <w:tcBorders>
              <w:top w:val="nil"/>
              <w:left w:val="nil"/>
              <w:bottom w:val="nil"/>
              <w:right w:val="nil"/>
            </w:tcBorders>
            <w:shd w:val="clear" w:color="000000" w:fill="FFFFFF"/>
            <w:noWrap/>
            <w:vAlign w:val="bottom"/>
            <w:hideMark/>
          </w:tcPr>
          <w:p w14:paraId="792A7E09"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nil"/>
              <w:left w:val="nil"/>
              <w:bottom w:val="nil"/>
              <w:right w:val="nil"/>
            </w:tcBorders>
            <w:shd w:val="clear" w:color="000000" w:fill="FFFFFF"/>
            <w:noWrap/>
            <w:vAlign w:val="bottom"/>
            <w:hideMark/>
          </w:tcPr>
          <w:p w14:paraId="6E321D12"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nil"/>
              <w:left w:val="single" w:sz="4" w:space="0" w:color="auto"/>
              <w:bottom w:val="single" w:sz="4" w:space="0" w:color="auto"/>
              <w:right w:val="single" w:sz="4" w:space="0" w:color="auto"/>
            </w:tcBorders>
            <w:shd w:val="clear" w:color="000000" w:fill="FFFFFF"/>
            <w:vAlign w:val="center"/>
            <w:hideMark/>
          </w:tcPr>
          <w:p w14:paraId="13923AD8" w14:textId="77777777" w:rsidR="001464B3" w:rsidRPr="00697349" w:rsidRDefault="001464B3" w:rsidP="001044F4">
            <w:pPr>
              <w:rPr>
                <w:color w:val="000000"/>
                <w:sz w:val="20"/>
                <w:szCs w:val="20"/>
              </w:rPr>
            </w:pPr>
            <w:r w:rsidRPr="00697349">
              <w:rPr>
                <w:color w:val="000000"/>
                <w:sz w:val="20"/>
                <w:szCs w:val="20"/>
              </w:rPr>
              <w:t>1.4-</w:t>
            </w:r>
            <w:r w:rsidRPr="000B012F">
              <w:rPr>
                <w:sz w:val="20"/>
                <w:szCs w:val="20"/>
              </w:rPr>
              <w:t xml:space="preserve"> </w:t>
            </w:r>
            <w:r w:rsidRPr="00697349">
              <w:rPr>
                <w:color w:val="000000"/>
                <w:sz w:val="20"/>
                <w:szCs w:val="20"/>
              </w:rPr>
              <w:t>Le taux de transmission du VIH de la mère à l’enfant est réduit à moins de 5%</w:t>
            </w:r>
          </w:p>
        </w:tc>
      </w:tr>
      <w:tr w:rsidR="001464B3" w:rsidRPr="000B012F" w14:paraId="3723542D" w14:textId="77777777" w:rsidTr="001044F4">
        <w:trPr>
          <w:gridBefore w:val="1"/>
          <w:wBefore w:w="983" w:type="dxa"/>
          <w:trHeight w:val="560"/>
        </w:trPr>
        <w:tc>
          <w:tcPr>
            <w:tcW w:w="992" w:type="dxa"/>
            <w:tcBorders>
              <w:top w:val="nil"/>
              <w:left w:val="nil"/>
              <w:bottom w:val="nil"/>
              <w:right w:val="nil"/>
            </w:tcBorders>
            <w:shd w:val="clear" w:color="000000" w:fill="FFFFFF"/>
            <w:noWrap/>
            <w:vAlign w:val="bottom"/>
            <w:hideMark/>
          </w:tcPr>
          <w:p w14:paraId="4738A43C"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nil"/>
              <w:left w:val="nil"/>
              <w:bottom w:val="single" w:sz="4" w:space="0" w:color="auto"/>
              <w:right w:val="nil"/>
            </w:tcBorders>
            <w:shd w:val="clear" w:color="000000" w:fill="FFFFFF"/>
            <w:noWrap/>
            <w:vAlign w:val="bottom"/>
            <w:hideMark/>
          </w:tcPr>
          <w:p w14:paraId="63017DEB"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nil"/>
              <w:left w:val="single" w:sz="4" w:space="0" w:color="auto"/>
              <w:bottom w:val="single" w:sz="4" w:space="0" w:color="auto"/>
              <w:right w:val="single" w:sz="4" w:space="0" w:color="auto"/>
            </w:tcBorders>
            <w:shd w:val="clear" w:color="000000" w:fill="FFFFFF"/>
            <w:vAlign w:val="center"/>
            <w:hideMark/>
          </w:tcPr>
          <w:p w14:paraId="4B487E55" w14:textId="77777777" w:rsidR="001464B3" w:rsidRPr="00697349" w:rsidRDefault="001464B3" w:rsidP="001044F4">
            <w:pPr>
              <w:rPr>
                <w:color w:val="000000"/>
                <w:sz w:val="20"/>
                <w:szCs w:val="20"/>
              </w:rPr>
            </w:pPr>
            <w:r w:rsidRPr="00697349">
              <w:rPr>
                <w:sz w:val="20"/>
                <w:szCs w:val="20"/>
              </w:rPr>
              <w:t>1.5-70% des femmes et jeunes filles victimes de VSBG pendant la période 2018-2022 ont bénéfici</w:t>
            </w:r>
            <w:r w:rsidRPr="00697349">
              <w:rPr>
                <w:rFonts w:cs="Arial"/>
                <w:sz w:val="20"/>
                <w:szCs w:val="20"/>
              </w:rPr>
              <w:t>é</w:t>
            </w:r>
            <w:r w:rsidRPr="00697349">
              <w:rPr>
                <w:sz w:val="20"/>
                <w:szCs w:val="20"/>
              </w:rPr>
              <w:t xml:space="preserve"> d’une prise en charge holistique (sant</w:t>
            </w:r>
            <w:r w:rsidRPr="00697349">
              <w:rPr>
                <w:rFonts w:cs="Arial"/>
                <w:sz w:val="20"/>
                <w:szCs w:val="20"/>
              </w:rPr>
              <w:t>é</w:t>
            </w:r>
            <w:r w:rsidRPr="00697349">
              <w:rPr>
                <w:sz w:val="20"/>
                <w:szCs w:val="20"/>
              </w:rPr>
              <w:t>, juridique et psychologique)</w:t>
            </w:r>
          </w:p>
        </w:tc>
      </w:tr>
      <w:tr w:rsidR="001464B3" w:rsidRPr="000B012F" w14:paraId="1DFA1415" w14:textId="77777777" w:rsidTr="001044F4">
        <w:trPr>
          <w:trHeight w:val="377"/>
        </w:trPr>
        <w:tc>
          <w:tcPr>
            <w:tcW w:w="1975" w:type="dxa"/>
            <w:gridSpan w:val="2"/>
            <w:tcBorders>
              <w:top w:val="single" w:sz="4" w:space="0" w:color="auto"/>
              <w:left w:val="single" w:sz="4" w:space="0" w:color="auto"/>
              <w:bottom w:val="single" w:sz="4" w:space="0" w:color="auto"/>
              <w:right w:val="single" w:sz="4" w:space="0" w:color="auto"/>
            </w:tcBorders>
            <w:shd w:val="clear" w:color="000000" w:fill="FF0000"/>
            <w:vAlign w:val="center"/>
            <w:hideMark/>
          </w:tcPr>
          <w:p w14:paraId="61611F42" w14:textId="77777777" w:rsidR="001464B3" w:rsidRPr="00697349" w:rsidRDefault="001464B3" w:rsidP="001044F4">
            <w:pPr>
              <w:rPr>
                <w:b/>
                <w:bCs/>
                <w:color w:val="FFFFFF"/>
                <w:sz w:val="20"/>
                <w:szCs w:val="20"/>
              </w:rPr>
            </w:pPr>
            <w:r w:rsidRPr="00697349">
              <w:rPr>
                <w:b/>
                <w:bCs/>
                <w:color w:val="FFFFFF"/>
                <w:sz w:val="20"/>
                <w:szCs w:val="20"/>
              </w:rPr>
              <w:t>Priorité -2</w:t>
            </w:r>
          </w:p>
        </w:tc>
        <w:tc>
          <w:tcPr>
            <w:tcW w:w="7876" w:type="dxa"/>
            <w:gridSpan w:val="2"/>
            <w:tcBorders>
              <w:top w:val="single" w:sz="4" w:space="0" w:color="auto"/>
              <w:left w:val="nil"/>
              <w:bottom w:val="single" w:sz="4" w:space="0" w:color="auto"/>
              <w:right w:val="single" w:sz="4" w:space="0" w:color="auto"/>
            </w:tcBorders>
            <w:shd w:val="clear" w:color="000000" w:fill="E7E6E6"/>
            <w:vAlign w:val="center"/>
            <w:hideMark/>
          </w:tcPr>
          <w:p w14:paraId="65F909CE" w14:textId="77777777" w:rsidR="001464B3" w:rsidRPr="00697349" w:rsidRDefault="001464B3" w:rsidP="001044F4">
            <w:pPr>
              <w:jc w:val="both"/>
              <w:rPr>
                <w:color w:val="000000"/>
                <w:sz w:val="20"/>
                <w:szCs w:val="20"/>
              </w:rPr>
            </w:pPr>
            <w:r w:rsidRPr="00697349">
              <w:rPr>
                <w:color w:val="000000"/>
                <w:sz w:val="20"/>
                <w:szCs w:val="20"/>
              </w:rPr>
              <w:t>Réduire de manière très significative la mortalité chez les PVVIH</w:t>
            </w:r>
          </w:p>
        </w:tc>
      </w:tr>
      <w:tr w:rsidR="001464B3" w:rsidRPr="000B012F" w14:paraId="45F7049B" w14:textId="77777777" w:rsidTr="001044F4">
        <w:trPr>
          <w:gridBefore w:val="1"/>
          <w:wBefore w:w="983" w:type="dxa"/>
          <w:trHeight w:val="320"/>
        </w:trPr>
        <w:tc>
          <w:tcPr>
            <w:tcW w:w="992"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1DE120DA" w14:textId="77777777" w:rsidR="001464B3" w:rsidRPr="00697349" w:rsidRDefault="001464B3" w:rsidP="001044F4">
            <w:pPr>
              <w:rPr>
                <w:color w:val="FFFFFF"/>
                <w:sz w:val="20"/>
                <w:szCs w:val="20"/>
              </w:rPr>
            </w:pPr>
            <w:r w:rsidRPr="00697349">
              <w:rPr>
                <w:color w:val="FFFFFF"/>
                <w:sz w:val="20"/>
                <w:szCs w:val="20"/>
              </w:rPr>
              <w:t>Impact-2</w:t>
            </w:r>
          </w:p>
        </w:tc>
        <w:tc>
          <w:tcPr>
            <w:tcW w:w="7876" w:type="dxa"/>
            <w:gridSpan w:val="2"/>
            <w:tcBorders>
              <w:top w:val="single" w:sz="4" w:space="0" w:color="auto"/>
              <w:left w:val="nil"/>
              <w:bottom w:val="single" w:sz="4" w:space="0" w:color="auto"/>
              <w:right w:val="single" w:sz="4" w:space="0" w:color="auto"/>
            </w:tcBorders>
            <w:shd w:val="clear" w:color="000000" w:fill="E7E6E6"/>
            <w:vAlign w:val="center"/>
            <w:hideMark/>
          </w:tcPr>
          <w:p w14:paraId="60B62003" w14:textId="77777777" w:rsidR="001464B3" w:rsidRPr="00697349" w:rsidRDefault="001464B3" w:rsidP="001044F4">
            <w:pPr>
              <w:jc w:val="both"/>
              <w:rPr>
                <w:color w:val="000000"/>
                <w:sz w:val="20"/>
                <w:szCs w:val="20"/>
              </w:rPr>
            </w:pPr>
            <w:r w:rsidRPr="00697349">
              <w:rPr>
                <w:color w:val="000000"/>
                <w:sz w:val="20"/>
                <w:szCs w:val="20"/>
              </w:rPr>
              <w:t>D’ici à fin 2022, La mortalité liée au VIH/sida est réduite d'au moins 62%</w:t>
            </w:r>
          </w:p>
        </w:tc>
      </w:tr>
      <w:tr w:rsidR="001464B3" w:rsidRPr="000B012F" w14:paraId="2B89579B" w14:textId="77777777" w:rsidTr="001044F4">
        <w:trPr>
          <w:trHeight w:val="223"/>
        </w:trPr>
        <w:tc>
          <w:tcPr>
            <w:tcW w:w="983" w:type="dxa"/>
            <w:tcBorders>
              <w:top w:val="nil"/>
              <w:left w:val="nil"/>
              <w:bottom w:val="nil"/>
              <w:right w:val="nil"/>
            </w:tcBorders>
            <w:shd w:val="clear" w:color="000000" w:fill="FFFFFF"/>
            <w:noWrap/>
            <w:vAlign w:val="bottom"/>
            <w:hideMark/>
          </w:tcPr>
          <w:p w14:paraId="30788F44" w14:textId="77777777" w:rsidR="001464B3" w:rsidRPr="00697349" w:rsidRDefault="001464B3" w:rsidP="001044F4">
            <w:pPr>
              <w:rPr>
                <w:color w:val="000000"/>
                <w:sz w:val="20"/>
                <w:szCs w:val="20"/>
              </w:rPr>
            </w:pPr>
            <w:r w:rsidRPr="00697349">
              <w:rPr>
                <w:color w:val="000000"/>
                <w:sz w:val="20"/>
                <w:szCs w:val="20"/>
              </w:rPr>
              <w:t> </w:t>
            </w:r>
          </w:p>
        </w:tc>
        <w:tc>
          <w:tcPr>
            <w:tcW w:w="992" w:type="dxa"/>
            <w:tcBorders>
              <w:top w:val="nil"/>
              <w:left w:val="nil"/>
              <w:bottom w:val="nil"/>
              <w:right w:val="nil"/>
            </w:tcBorders>
            <w:shd w:val="clear" w:color="000000" w:fill="FFFFFF"/>
            <w:noWrap/>
            <w:vAlign w:val="bottom"/>
            <w:hideMark/>
          </w:tcPr>
          <w:p w14:paraId="1C1CFF31" w14:textId="77777777" w:rsidR="001464B3" w:rsidRPr="00697349" w:rsidRDefault="001464B3" w:rsidP="001044F4">
            <w:pPr>
              <w:rPr>
                <w:color w:val="000000"/>
                <w:sz w:val="20"/>
                <w:szCs w:val="20"/>
              </w:rPr>
            </w:pPr>
            <w:r w:rsidRPr="00697349">
              <w:rPr>
                <w:color w:val="000000"/>
                <w:sz w:val="20"/>
                <w:szCs w:val="20"/>
              </w:rPr>
              <w:t> </w:t>
            </w:r>
          </w:p>
        </w:tc>
        <w:tc>
          <w:tcPr>
            <w:tcW w:w="7876" w:type="dxa"/>
            <w:gridSpan w:val="2"/>
            <w:tcBorders>
              <w:top w:val="single" w:sz="4" w:space="0" w:color="auto"/>
              <w:left w:val="single" w:sz="4" w:space="0" w:color="auto"/>
              <w:bottom w:val="single" w:sz="4" w:space="0" w:color="auto"/>
              <w:right w:val="single" w:sz="4" w:space="0" w:color="auto"/>
            </w:tcBorders>
            <w:shd w:val="clear" w:color="000000" w:fill="C5E0B3"/>
            <w:vAlign w:val="center"/>
            <w:hideMark/>
          </w:tcPr>
          <w:p w14:paraId="1F76CC53" w14:textId="77777777" w:rsidR="001464B3" w:rsidRPr="00697349" w:rsidRDefault="001464B3" w:rsidP="001044F4">
            <w:pPr>
              <w:rPr>
                <w:b/>
                <w:bCs/>
                <w:color w:val="000000"/>
                <w:sz w:val="20"/>
                <w:szCs w:val="20"/>
              </w:rPr>
            </w:pPr>
            <w:r w:rsidRPr="00697349">
              <w:rPr>
                <w:b/>
                <w:bCs/>
                <w:color w:val="000000"/>
                <w:sz w:val="20"/>
                <w:szCs w:val="20"/>
              </w:rPr>
              <w:t>Effets</w:t>
            </w:r>
          </w:p>
        </w:tc>
      </w:tr>
      <w:tr w:rsidR="001464B3" w:rsidRPr="000B012F" w14:paraId="09A83E39" w14:textId="77777777" w:rsidTr="001044F4">
        <w:trPr>
          <w:gridBefore w:val="1"/>
          <w:wBefore w:w="983" w:type="dxa"/>
          <w:trHeight w:val="560"/>
        </w:trPr>
        <w:tc>
          <w:tcPr>
            <w:tcW w:w="992" w:type="dxa"/>
            <w:tcBorders>
              <w:top w:val="nil"/>
              <w:left w:val="nil"/>
              <w:bottom w:val="nil"/>
              <w:right w:val="nil"/>
            </w:tcBorders>
            <w:shd w:val="clear" w:color="000000" w:fill="FFFFFF"/>
            <w:noWrap/>
            <w:vAlign w:val="bottom"/>
            <w:hideMark/>
          </w:tcPr>
          <w:p w14:paraId="4EF2ABC6"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nil"/>
              <w:left w:val="nil"/>
              <w:bottom w:val="nil"/>
              <w:right w:val="nil"/>
            </w:tcBorders>
            <w:shd w:val="clear" w:color="000000" w:fill="FFFFFF"/>
            <w:noWrap/>
            <w:vAlign w:val="bottom"/>
            <w:hideMark/>
          </w:tcPr>
          <w:p w14:paraId="4EB4BC4C"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882A2" w14:textId="77777777" w:rsidR="001464B3" w:rsidRPr="00697349" w:rsidRDefault="001464B3" w:rsidP="001044F4">
            <w:pPr>
              <w:jc w:val="both"/>
              <w:rPr>
                <w:color w:val="000000"/>
                <w:sz w:val="20"/>
                <w:szCs w:val="20"/>
              </w:rPr>
            </w:pPr>
            <w:r w:rsidRPr="00697349">
              <w:rPr>
                <w:color w:val="000000"/>
                <w:sz w:val="20"/>
                <w:szCs w:val="20"/>
              </w:rPr>
              <w:t>2.1-75% des adultes et enfants vivant avec le VIH bénéficient d’une prise en charge médicale, psychologique, sociale de qualité d’ici à 2022</w:t>
            </w:r>
          </w:p>
        </w:tc>
      </w:tr>
      <w:tr w:rsidR="001464B3" w:rsidRPr="000B012F" w14:paraId="0E54966C" w14:textId="77777777" w:rsidTr="001044F4">
        <w:trPr>
          <w:trHeight w:val="320"/>
        </w:trPr>
        <w:tc>
          <w:tcPr>
            <w:tcW w:w="983" w:type="dxa"/>
            <w:tcBorders>
              <w:top w:val="nil"/>
              <w:left w:val="nil"/>
              <w:bottom w:val="nil"/>
              <w:right w:val="nil"/>
            </w:tcBorders>
            <w:shd w:val="clear" w:color="000000" w:fill="FFFFFF"/>
            <w:noWrap/>
            <w:vAlign w:val="bottom"/>
            <w:hideMark/>
          </w:tcPr>
          <w:p w14:paraId="1667BB1F" w14:textId="77777777" w:rsidR="001464B3" w:rsidRPr="00697349" w:rsidRDefault="001464B3" w:rsidP="001044F4">
            <w:pPr>
              <w:rPr>
                <w:color w:val="000000"/>
                <w:sz w:val="20"/>
                <w:szCs w:val="20"/>
              </w:rPr>
            </w:pPr>
            <w:r w:rsidRPr="00697349">
              <w:rPr>
                <w:color w:val="000000"/>
                <w:sz w:val="20"/>
                <w:szCs w:val="20"/>
              </w:rPr>
              <w:t> </w:t>
            </w:r>
          </w:p>
        </w:tc>
        <w:tc>
          <w:tcPr>
            <w:tcW w:w="992" w:type="dxa"/>
            <w:tcBorders>
              <w:top w:val="nil"/>
              <w:left w:val="nil"/>
              <w:bottom w:val="nil"/>
              <w:right w:val="nil"/>
            </w:tcBorders>
            <w:shd w:val="clear" w:color="000000" w:fill="FFFFFF"/>
            <w:noWrap/>
            <w:vAlign w:val="bottom"/>
            <w:hideMark/>
          </w:tcPr>
          <w:p w14:paraId="24824066"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nil"/>
              <w:left w:val="nil"/>
              <w:bottom w:val="nil"/>
              <w:right w:val="nil"/>
            </w:tcBorders>
            <w:shd w:val="clear" w:color="000000" w:fill="FFFFFF"/>
            <w:noWrap/>
            <w:vAlign w:val="bottom"/>
            <w:hideMark/>
          </w:tcPr>
          <w:p w14:paraId="33ED3C02"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nil"/>
              <w:left w:val="single" w:sz="4" w:space="0" w:color="auto"/>
              <w:bottom w:val="single" w:sz="4" w:space="0" w:color="auto"/>
              <w:right w:val="single" w:sz="4" w:space="0" w:color="auto"/>
            </w:tcBorders>
            <w:shd w:val="clear" w:color="000000" w:fill="FFFFFF"/>
            <w:vAlign w:val="center"/>
            <w:hideMark/>
          </w:tcPr>
          <w:p w14:paraId="2F23DFFC" w14:textId="77777777" w:rsidR="001464B3" w:rsidRPr="00697349" w:rsidRDefault="001464B3" w:rsidP="001044F4">
            <w:pPr>
              <w:jc w:val="both"/>
              <w:rPr>
                <w:color w:val="000000"/>
                <w:sz w:val="20"/>
                <w:szCs w:val="20"/>
              </w:rPr>
            </w:pPr>
            <w:r w:rsidRPr="00697349">
              <w:rPr>
                <w:color w:val="000000"/>
                <w:sz w:val="20"/>
                <w:szCs w:val="20"/>
              </w:rPr>
              <w:t>2.2-Le taux de décès chez les patients coïnfect</w:t>
            </w:r>
            <w:r w:rsidRPr="00697349">
              <w:rPr>
                <w:rFonts w:cs="Arial"/>
                <w:color w:val="000000"/>
                <w:sz w:val="20"/>
                <w:szCs w:val="20"/>
              </w:rPr>
              <w:t>é</w:t>
            </w:r>
            <w:r w:rsidRPr="00697349">
              <w:rPr>
                <w:color w:val="000000"/>
                <w:sz w:val="20"/>
                <w:szCs w:val="20"/>
              </w:rPr>
              <w:t xml:space="preserve">s TB/VIH est réduit de 70% d’ici </w:t>
            </w:r>
            <w:r w:rsidRPr="00697349">
              <w:rPr>
                <w:rFonts w:cs="Arial"/>
                <w:color w:val="000000"/>
                <w:sz w:val="20"/>
                <w:szCs w:val="20"/>
              </w:rPr>
              <w:t>à</w:t>
            </w:r>
            <w:r w:rsidRPr="00697349">
              <w:rPr>
                <w:color w:val="000000"/>
                <w:sz w:val="20"/>
                <w:szCs w:val="20"/>
              </w:rPr>
              <w:t xml:space="preserve"> fin 2022</w:t>
            </w:r>
          </w:p>
        </w:tc>
      </w:tr>
      <w:tr w:rsidR="001464B3" w:rsidRPr="000B012F" w14:paraId="50A6621A" w14:textId="77777777" w:rsidTr="001044F4">
        <w:trPr>
          <w:trHeight w:val="320"/>
        </w:trPr>
        <w:tc>
          <w:tcPr>
            <w:tcW w:w="983" w:type="dxa"/>
            <w:tcBorders>
              <w:top w:val="nil"/>
              <w:left w:val="nil"/>
              <w:right w:val="nil"/>
            </w:tcBorders>
            <w:shd w:val="clear" w:color="000000" w:fill="FFFFFF"/>
            <w:noWrap/>
            <w:vAlign w:val="bottom"/>
          </w:tcPr>
          <w:p w14:paraId="5E1B78D6" w14:textId="77777777" w:rsidR="001464B3" w:rsidRPr="00697349" w:rsidRDefault="001464B3" w:rsidP="001044F4">
            <w:pPr>
              <w:rPr>
                <w:color w:val="000000"/>
                <w:sz w:val="20"/>
                <w:szCs w:val="20"/>
              </w:rPr>
            </w:pPr>
          </w:p>
        </w:tc>
        <w:tc>
          <w:tcPr>
            <w:tcW w:w="992" w:type="dxa"/>
            <w:tcBorders>
              <w:top w:val="nil"/>
              <w:left w:val="nil"/>
              <w:right w:val="nil"/>
            </w:tcBorders>
            <w:shd w:val="clear" w:color="000000" w:fill="FFFFFF"/>
            <w:noWrap/>
            <w:vAlign w:val="bottom"/>
          </w:tcPr>
          <w:p w14:paraId="5EF78E25" w14:textId="77777777" w:rsidR="001464B3" w:rsidRPr="00697349" w:rsidRDefault="001464B3" w:rsidP="001044F4">
            <w:pPr>
              <w:rPr>
                <w:color w:val="000000"/>
                <w:sz w:val="20"/>
                <w:szCs w:val="20"/>
              </w:rPr>
            </w:pPr>
          </w:p>
        </w:tc>
        <w:tc>
          <w:tcPr>
            <w:tcW w:w="584" w:type="dxa"/>
            <w:tcBorders>
              <w:top w:val="nil"/>
              <w:left w:val="nil"/>
              <w:right w:val="nil"/>
            </w:tcBorders>
            <w:shd w:val="clear" w:color="000000" w:fill="FFFFFF"/>
            <w:noWrap/>
            <w:vAlign w:val="bottom"/>
          </w:tcPr>
          <w:p w14:paraId="5A150A91" w14:textId="77777777" w:rsidR="001464B3" w:rsidRPr="00697349" w:rsidRDefault="001464B3" w:rsidP="001044F4">
            <w:pPr>
              <w:rPr>
                <w:color w:val="000000"/>
                <w:sz w:val="20"/>
                <w:szCs w:val="20"/>
              </w:rPr>
            </w:pPr>
          </w:p>
        </w:tc>
        <w:tc>
          <w:tcPr>
            <w:tcW w:w="7292" w:type="dxa"/>
            <w:tcBorders>
              <w:top w:val="nil"/>
              <w:left w:val="single" w:sz="4" w:space="0" w:color="auto"/>
              <w:bottom w:val="single" w:sz="4" w:space="0" w:color="auto"/>
              <w:right w:val="single" w:sz="4" w:space="0" w:color="auto"/>
            </w:tcBorders>
            <w:shd w:val="clear" w:color="000000" w:fill="FFFFFF"/>
            <w:vAlign w:val="center"/>
          </w:tcPr>
          <w:p w14:paraId="74433071" w14:textId="77777777" w:rsidR="001464B3" w:rsidRPr="00697349" w:rsidRDefault="001464B3" w:rsidP="001044F4">
            <w:pPr>
              <w:jc w:val="both"/>
              <w:rPr>
                <w:color w:val="000000"/>
                <w:sz w:val="20"/>
                <w:szCs w:val="20"/>
              </w:rPr>
            </w:pPr>
            <w:r w:rsidRPr="00697349">
              <w:rPr>
                <w:color w:val="000000"/>
                <w:sz w:val="20"/>
                <w:szCs w:val="20"/>
              </w:rPr>
              <w:t>2.3-90% des PVVIH sous ARV ont une charge virale indétectable à 12 mois en 2022</w:t>
            </w:r>
          </w:p>
        </w:tc>
      </w:tr>
      <w:tr w:rsidR="001464B3" w:rsidRPr="000B012F" w14:paraId="3A52A5FF" w14:textId="77777777" w:rsidTr="001044F4">
        <w:trPr>
          <w:trHeight w:val="560"/>
        </w:trPr>
        <w:tc>
          <w:tcPr>
            <w:tcW w:w="983" w:type="dxa"/>
            <w:tcBorders>
              <w:left w:val="nil"/>
              <w:bottom w:val="single" w:sz="4" w:space="0" w:color="auto"/>
              <w:right w:val="nil"/>
            </w:tcBorders>
            <w:shd w:val="clear" w:color="000000" w:fill="FFFFFF"/>
            <w:noWrap/>
            <w:vAlign w:val="bottom"/>
          </w:tcPr>
          <w:p w14:paraId="1A0E4D73" w14:textId="77777777" w:rsidR="001464B3" w:rsidRPr="00697349" w:rsidRDefault="001464B3" w:rsidP="001044F4">
            <w:pPr>
              <w:rPr>
                <w:color w:val="000000"/>
                <w:sz w:val="20"/>
                <w:szCs w:val="20"/>
              </w:rPr>
            </w:pPr>
          </w:p>
        </w:tc>
        <w:tc>
          <w:tcPr>
            <w:tcW w:w="992" w:type="dxa"/>
            <w:tcBorders>
              <w:left w:val="nil"/>
              <w:bottom w:val="single" w:sz="4" w:space="0" w:color="auto"/>
              <w:right w:val="nil"/>
            </w:tcBorders>
            <w:shd w:val="clear" w:color="000000" w:fill="FFFFFF"/>
            <w:noWrap/>
            <w:vAlign w:val="bottom"/>
          </w:tcPr>
          <w:p w14:paraId="31BDEBA0" w14:textId="77777777" w:rsidR="001464B3" w:rsidRPr="00697349" w:rsidRDefault="001464B3" w:rsidP="001044F4">
            <w:pPr>
              <w:rPr>
                <w:color w:val="000000"/>
                <w:sz w:val="20"/>
                <w:szCs w:val="20"/>
              </w:rPr>
            </w:pPr>
          </w:p>
        </w:tc>
        <w:tc>
          <w:tcPr>
            <w:tcW w:w="584" w:type="dxa"/>
            <w:tcBorders>
              <w:left w:val="nil"/>
              <w:bottom w:val="single" w:sz="4" w:space="0" w:color="auto"/>
              <w:right w:val="nil"/>
            </w:tcBorders>
            <w:shd w:val="clear" w:color="000000" w:fill="FFFFFF"/>
            <w:noWrap/>
            <w:vAlign w:val="bottom"/>
          </w:tcPr>
          <w:p w14:paraId="5E053177" w14:textId="77777777" w:rsidR="001464B3" w:rsidRPr="00697349" w:rsidRDefault="001464B3" w:rsidP="001044F4">
            <w:pPr>
              <w:rPr>
                <w:color w:val="000000"/>
                <w:sz w:val="20"/>
                <w:szCs w:val="20"/>
              </w:rPr>
            </w:pPr>
          </w:p>
        </w:tc>
        <w:tc>
          <w:tcPr>
            <w:tcW w:w="7292" w:type="dxa"/>
            <w:tcBorders>
              <w:top w:val="nil"/>
              <w:left w:val="single" w:sz="4" w:space="0" w:color="auto"/>
              <w:bottom w:val="single" w:sz="4" w:space="0" w:color="auto"/>
              <w:right w:val="single" w:sz="4" w:space="0" w:color="auto"/>
            </w:tcBorders>
            <w:shd w:val="clear" w:color="000000" w:fill="FFFFFF"/>
            <w:vAlign w:val="center"/>
          </w:tcPr>
          <w:p w14:paraId="084781FE" w14:textId="77777777" w:rsidR="001464B3" w:rsidRPr="00697349" w:rsidRDefault="001464B3" w:rsidP="001044F4">
            <w:pPr>
              <w:jc w:val="both"/>
              <w:rPr>
                <w:color w:val="000000"/>
                <w:sz w:val="20"/>
                <w:szCs w:val="20"/>
              </w:rPr>
            </w:pPr>
            <w:r w:rsidRPr="00697349">
              <w:rPr>
                <w:color w:val="000000"/>
                <w:sz w:val="20"/>
                <w:szCs w:val="20"/>
              </w:rPr>
              <w:t>2.4-Au moins 90% des adultes de 15-49 ans, y compris les prestataires de soins et de services ont des attitudes de non- stigmatisation et non- discrimination à l’égard des PVVIH d’ici à fin 2022</w:t>
            </w:r>
          </w:p>
        </w:tc>
      </w:tr>
      <w:tr w:rsidR="001464B3" w:rsidRPr="000B012F" w14:paraId="6C7E4D8B" w14:textId="77777777" w:rsidTr="001044F4">
        <w:trPr>
          <w:trHeight w:val="560"/>
        </w:trPr>
        <w:tc>
          <w:tcPr>
            <w:tcW w:w="1975" w:type="dxa"/>
            <w:gridSpan w:val="2"/>
            <w:tcBorders>
              <w:top w:val="single" w:sz="4" w:space="0" w:color="auto"/>
              <w:left w:val="single" w:sz="4" w:space="0" w:color="auto"/>
              <w:bottom w:val="single" w:sz="4" w:space="0" w:color="auto"/>
              <w:right w:val="single" w:sz="4" w:space="0" w:color="auto"/>
            </w:tcBorders>
            <w:shd w:val="clear" w:color="000000" w:fill="FF0000"/>
            <w:vAlign w:val="center"/>
            <w:hideMark/>
          </w:tcPr>
          <w:p w14:paraId="0FB6EE5F" w14:textId="77777777" w:rsidR="001464B3" w:rsidRPr="00697349" w:rsidRDefault="001464B3" w:rsidP="001044F4">
            <w:pPr>
              <w:rPr>
                <w:b/>
                <w:bCs/>
                <w:color w:val="FFFFFF"/>
                <w:sz w:val="20"/>
                <w:szCs w:val="20"/>
              </w:rPr>
            </w:pPr>
            <w:r w:rsidRPr="00697349">
              <w:rPr>
                <w:b/>
                <w:bCs/>
                <w:color w:val="FFFFFF"/>
                <w:sz w:val="20"/>
                <w:szCs w:val="20"/>
              </w:rPr>
              <w:t>Priorité -3</w:t>
            </w:r>
          </w:p>
        </w:tc>
        <w:tc>
          <w:tcPr>
            <w:tcW w:w="7876" w:type="dxa"/>
            <w:gridSpan w:val="2"/>
            <w:tcBorders>
              <w:top w:val="single" w:sz="4" w:space="0" w:color="auto"/>
              <w:left w:val="nil"/>
              <w:bottom w:val="single" w:sz="4" w:space="0" w:color="auto"/>
              <w:right w:val="single" w:sz="4" w:space="0" w:color="auto"/>
            </w:tcBorders>
            <w:shd w:val="clear" w:color="000000" w:fill="E7E6E6"/>
            <w:vAlign w:val="center"/>
            <w:hideMark/>
          </w:tcPr>
          <w:p w14:paraId="77E377F8" w14:textId="77777777" w:rsidR="001464B3" w:rsidRPr="00697349" w:rsidRDefault="001464B3" w:rsidP="001044F4">
            <w:pPr>
              <w:jc w:val="both"/>
              <w:rPr>
                <w:color w:val="000000"/>
                <w:sz w:val="20"/>
                <w:szCs w:val="20"/>
              </w:rPr>
            </w:pPr>
            <w:r w:rsidRPr="00697349">
              <w:rPr>
                <w:color w:val="000000"/>
                <w:sz w:val="20"/>
                <w:szCs w:val="20"/>
              </w:rPr>
              <w:t>Renforcer la gouvernance et la résilience de la riposte au sida pour des meilleures réponses locales et pour la disponibilité de l’information stratégique</w:t>
            </w:r>
          </w:p>
        </w:tc>
      </w:tr>
      <w:tr w:rsidR="001464B3" w:rsidRPr="000B012F" w14:paraId="087CF977" w14:textId="77777777" w:rsidTr="001044F4">
        <w:trPr>
          <w:gridBefore w:val="1"/>
          <w:wBefore w:w="983" w:type="dxa"/>
          <w:trHeight w:val="560"/>
        </w:trPr>
        <w:tc>
          <w:tcPr>
            <w:tcW w:w="992"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4471AF6D" w14:textId="77777777" w:rsidR="001464B3" w:rsidRPr="00697349" w:rsidRDefault="001464B3" w:rsidP="001044F4">
            <w:pPr>
              <w:rPr>
                <w:color w:val="FFFFFF"/>
                <w:sz w:val="20"/>
                <w:szCs w:val="20"/>
              </w:rPr>
            </w:pPr>
            <w:r w:rsidRPr="00697349">
              <w:rPr>
                <w:color w:val="FFFFFF"/>
                <w:sz w:val="20"/>
                <w:szCs w:val="20"/>
              </w:rPr>
              <w:t>Impact-3</w:t>
            </w:r>
          </w:p>
        </w:tc>
        <w:tc>
          <w:tcPr>
            <w:tcW w:w="7876" w:type="dxa"/>
            <w:gridSpan w:val="2"/>
            <w:tcBorders>
              <w:top w:val="single" w:sz="4" w:space="0" w:color="auto"/>
              <w:left w:val="nil"/>
              <w:bottom w:val="single" w:sz="4" w:space="0" w:color="auto"/>
              <w:right w:val="single" w:sz="4" w:space="0" w:color="auto"/>
            </w:tcBorders>
            <w:shd w:val="clear" w:color="000000" w:fill="E7E6E6"/>
            <w:vAlign w:val="center"/>
            <w:hideMark/>
          </w:tcPr>
          <w:p w14:paraId="5863D205" w14:textId="77777777" w:rsidR="001464B3" w:rsidRPr="00697349" w:rsidRDefault="001464B3" w:rsidP="001044F4">
            <w:pPr>
              <w:jc w:val="both"/>
              <w:rPr>
                <w:color w:val="000000"/>
                <w:sz w:val="20"/>
                <w:szCs w:val="20"/>
              </w:rPr>
            </w:pPr>
            <w:r w:rsidRPr="00697349">
              <w:rPr>
                <w:color w:val="000000"/>
                <w:sz w:val="20"/>
                <w:szCs w:val="20"/>
              </w:rPr>
              <w:t>Les systèmes de gestion, de suivi évaluation, de coordination et de gouvernance de la réponse au VIH sont renforcés et résilients d’ici à fin 2022</w:t>
            </w:r>
          </w:p>
        </w:tc>
      </w:tr>
      <w:tr w:rsidR="001464B3" w:rsidRPr="000B012F" w14:paraId="5FB7933B" w14:textId="77777777" w:rsidTr="001044F4">
        <w:trPr>
          <w:trHeight w:val="223"/>
        </w:trPr>
        <w:tc>
          <w:tcPr>
            <w:tcW w:w="983" w:type="dxa"/>
            <w:tcBorders>
              <w:top w:val="nil"/>
              <w:left w:val="nil"/>
              <w:bottom w:val="nil"/>
              <w:right w:val="nil"/>
            </w:tcBorders>
            <w:shd w:val="clear" w:color="000000" w:fill="FFFFFF"/>
            <w:noWrap/>
            <w:vAlign w:val="bottom"/>
            <w:hideMark/>
          </w:tcPr>
          <w:p w14:paraId="3D7AF012" w14:textId="77777777" w:rsidR="001464B3" w:rsidRPr="00697349" w:rsidRDefault="001464B3" w:rsidP="001044F4">
            <w:pPr>
              <w:rPr>
                <w:color w:val="000000"/>
                <w:sz w:val="20"/>
                <w:szCs w:val="20"/>
              </w:rPr>
            </w:pPr>
            <w:r w:rsidRPr="00697349">
              <w:rPr>
                <w:color w:val="000000"/>
                <w:sz w:val="20"/>
                <w:szCs w:val="20"/>
              </w:rPr>
              <w:t> </w:t>
            </w:r>
          </w:p>
        </w:tc>
        <w:tc>
          <w:tcPr>
            <w:tcW w:w="992" w:type="dxa"/>
            <w:tcBorders>
              <w:top w:val="nil"/>
              <w:left w:val="nil"/>
              <w:bottom w:val="nil"/>
              <w:right w:val="nil"/>
            </w:tcBorders>
            <w:shd w:val="clear" w:color="000000" w:fill="FFFFFF"/>
            <w:noWrap/>
            <w:vAlign w:val="bottom"/>
            <w:hideMark/>
          </w:tcPr>
          <w:p w14:paraId="3058B1F7" w14:textId="77777777" w:rsidR="001464B3" w:rsidRPr="00697349" w:rsidRDefault="001464B3" w:rsidP="001044F4">
            <w:pPr>
              <w:rPr>
                <w:color w:val="000000"/>
                <w:sz w:val="20"/>
                <w:szCs w:val="20"/>
              </w:rPr>
            </w:pPr>
            <w:r w:rsidRPr="00697349">
              <w:rPr>
                <w:color w:val="000000"/>
                <w:sz w:val="20"/>
                <w:szCs w:val="20"/>
              </w:rPr>
              <w:t> </w:t>
            </w:r>
          </w:p>
        </w:tc>
        <w:tc>
          <w:tcPr>
            <w:tcW w:w="7876" w:type="dxa"/>
            <w:gridSpan w:val="2"/>
            <w:tcBorders>
              <w:top w:val="single" w:sz="4" w:space="0" w:color="auto"/>
              <w:left w:val="single" w:sz="4" w:space="0" w:color="auto"/>
              <w:bottom w:val="single" w:sz="4" w:space="0" w:color="auto"/>
              <w:right w:val="single" w:sz="4" w:space="0" w:color="auto"/>
            </w:tcBorders>
            <w:shd w:val="clear" w:color="000000" w:fill="C5E0B3"/>
            <w:vAlign w:val="center"/>
            <w:hideMark/>
          </w:tcPr>
          <w:p w14:paraId="55B018E3" w14:textId="77777777" w:rsidR="001464B3" w:rsidRPr="00697349" w:rsidRDefault="001464B3" w:rsidP="001044F4">
            <w:pPr>
              <w:rPr>
                <w:b/>
                <w:bCs/>
                <w:color w:val="000000"/>
                <w:sz w:val="20"/>
                <w:szCs w:val="20"/>
              </w:rPr>
            </w:pPr>
            <w:r w:rsidRPr="00697349">
              <w:rPr>
                <w:b/>
                <w:bCs/>
                <w:color w:val="000000"/>
                <w:sz w:val="20"/>
                <w:szCs w:val="20"/>
              </w:rPr>
              <w:t>Effets</w:t>
            </w:r>
          </w:p>
        </w:tc>
      </w:tr>
      <w:tr w:rsidR="001464B3" w:rsidRPr="000B012F" w14:paraId="2B56AC0E" w14:textId="77777777" w:rsidTr="001044F4">
        <w:trPr>
          <w:trHeight w:val="320"/>
        </w:trPr>
        <w:tc>
          <w:tcPr>
            <w:tcW w:w="983" w:type="dxa"/>
            <w:tcBorders>
              <w:top w:val="nil"/>
              <w:left w:val="nil"/>
              <w:bottom w:val="nil"/>
              <w:right w:val="nil"/>
            </w:tcBorders>
            <w:shd w:val="clear" w:color="000000" w:fill="FFFFFF"/>
            <w:noWrap/>
            <w:vAlign w:val="bottom"/>
            <w:hideMark/>
          </w:tcPr>
          <w:p w14:paraId="20982550" w14:textId="77777777" w:rsidR="001464B3" w:rsidRPr="00697349" w:rsidRDefault="001464B3" w:rsidP="001044F4">
            <w:pPr>
              <w:rPr>
                <w:color w:val="000000"/>
                <w:sz w:val="20"/>
                <w:szCs w:val="20"/>
              </w:rPr>
            </w:pPr>
            <w:r w:rsidRPr="00697349">
              <w:rPr>
                <w:color w:val="000000"/>
                <w:sz w:val="20"/>
                <w:szCs w:val="20"/>
              </w:rPr>
              <w:t> </w:t>
            </w:r>
          </w:p>
        </w:tc>
        <w:tc>
          <w:tcPr>
            <w:tcW w:w="992" w:type="dxa"/>
            <w:tcBorders>
              <w:top w:val="nil"/>
              <w:left w:val="nil"/>
              <w:bottom w:val="nil"/>
              <w:right w:val="nil"/>
            </w:tcBorders>
            <w:shd w:val="clear" w:color="000000" w:fill="FFFFFF"/>
            <w:noWrap/>
            <w:vAlign w:val="bottom"/>
            <w:hideMark/>
          </w:tcPr>
          <w:p w14:paraId="07DC309A"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single" w:sz="4" w:space="0" w:color="auto"/>
              <w:left w:val="nil"/>
              <w:bottom w:val="nil"/>
              <w:right w:val="nil"/>
            </w:tcBorders>
            <w:shd w:val="clear" w:color="000000" w:fill="FFFFFF"/>
            <w:noWrap/>
            <w:vAlign w:val="bottom"/>
            <w:hideMark/>
          </w:tcPr>
          <w:p w14:paraId="254142D0"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ACE83F" w14:textId="77777777" w:rsidR="001464B3" w:rsidRPr="00697349" w:rsidRDefault="001464B3" w:rsidP="001044F4">
            <w:pPr>
              <w:jc w:val="both"/>
              <w:rPr>
                <w:color w:val="000000"/>
                <w:sz w:val="20"/>
                <w:szCs w:val="20"/>
              </w:rPr>
            </w:pPr>
            <w:r w:rsidRPr="00697349">
              <w:rPr>
                <w:color w:val="000000"/>
                <w:sz w:val="20"/>
                <w:szCs w:val="20"/>
              </w:rPr>
              <w:t xml:space="preserve">3.1-D’ici </w:t>
            </w:r>
            <w:r w:rsidRPr="00697349">
              <w:rPr>
                <w:rFonts w:cs="Arial"/>
                <w:color w:val="000000"/>
                <w:sz w:val="20"/>
                <w:szCs w:val="20"/>
              </w:rPr>
              <w:t>à</w:t>
            </w:r>
            <w:r w:rsidRPr="00697349">
              <w:rPr>
                <w:color w:val="000000"/>
                <w:sz w:val="20"/>
                <w:szCs w:val="20"/>
              </w:rPr>
              <w:t xml:space="preserve"> fin 2022, le taux d’exécution financière du PSN est supérieur </w:t>
            </w:r>
            <w:r w:rsidRPr="00697349">
              <w:rPr>
                <w:rFonts w:cs="Arial"/>
                <w:color w:val="000000"/>
                <w:sz w:val="20"/>
                <w:szCs w:val="20"/>
              </w:rPr>
              <w:t>à</w:t>
            </w:r>
            <w:r w:rsidRPr="00697349">
              <w:rPr>
                <w:color w:val="000000"/>
                <w:sz w:val="20"/>
                <w:szCs w:val="20"/>
              </w:rPr>
              <w:t xml:space="preserve"> 80%</w:t>
            </w:r>
          </w:p>
        </w:tc>
      </w:tr>
      <w:tr w:rsidR="001464B3" w:rsidRPr="000B012F" w14:paraId="1BB87952" w14:textId="77777777" w:rsidTr="001044F4">
        <w:trPr>
          <w:trHeight w:val="320"/>
        </w:trPr>
        <w:tc>
          <w:tcPr>
            <w:tcW w:w="983" w:type="dxa"/>
            <w:tcBorders>
              <w:top w:val="nil"/>
              <w:left w:val="nil"/>
              <w:bottom w:val="nil"/>
              <w:right w:val="nil"/>
            </w:tcBorders>
            <w:shd w:val="clear" w:color="000000" w:fill="FFFFFF"/>
            <w:noWrap/>
            <w:vAlign w:val="bottom"/>
            <w:hideMark/>
          </w:tcPr>
          <w:p w14:paraId="37134F88" w14:textId="77777777" w:rsidR="001464B3" w:rsidRPr="00697349" w:rsidRDefault="001464B3" w:rsidP="001044F4">
            <w:pPr>
              <w:rPr>
                <w:color w:val="000000"/>
                <w:sz w:val="20"/>
                <w:szCs w:val="20"/>
              </w:rPr>
            </w:pPr>
            <w:r w:rsidRPr="00697349">
              <w:rPr>
                <w:color w:val="000000"/>
                <w:sz w:val="20"/>
                <w:szCs w:val="20"/>
              </w:rPr>
              <w:t> </w:t>
            </w:r>
          </w:p>
        </w:tc>
        <w:tc>
          <w:tcPr>
            <w:tcW w:w="992" w:type="dxa"/>
            <w:tcBorders>
              <w:top w:val="nil"/>
              <w:left w:val="nil"/>
              <w:bottom w:val="nil"/>
              <w:right w:val="nil"/>
            </w:tcBorders>
            <w:shd w:val="clear" w:color="000000" w:fill="FFFFFF"/>
            <w:noWrap/>
            <w:vAlign w:val="bottom"/>
            <w:hideMark/>
          </w:tcPr>
          <w:p w14:paraId="7ADEE1F4"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nil"/>
              <w:left w:val="nil"/>
              <w:bottom w:val="nil"/>
              <w:right w:val="nil"/>
            </w:tcBorders>
            <w:shd w:val="clear" w:color="000000" w:fill="FFFFFF"/>
            <w:noWrap/>
            <w:vAlign w:val="bottom"/>
            <w:hideMark/>
          </w:tcPr>
          <w:p w14:paraId="538F4DC4"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nil"/>
              <w:left w:val="single" w:sz="4" w:space="0" w:color="auto"/>
              <w:bottom w:val="single" w:sz="4" w:space="0" w:color="auto"/>
              <w:right w:val="single" w:sz="4" w:space="0" w:color="auto"/>
            </w:tcBorders>
            <w:shd w:val="clear" w:color="000000" w:fill="FFFFFF"/>
            <w:vAlign w:val="center"/>
            <w:hideMark/>
          </w:tcPr>
          <w:p w14:paraId="3BA7496C" w14:textId="77777777" w:rsidR="001464B3" w:rsidRPr="00697349" w:rsidRDefault="001464B3" w:rsidP="001044F4">
            <w:pPr>
              <w:jc w:val="both"/>
              <w:rPr>
                <w:color w:val="000000"/>
                <w:sz w:val="20"/>
                <w:szCs w:val="20"/>
              </w:rPr>
            </w:pPr>
            <w:r w:rsidRPr="00697349">
              <w:rPr>
                <w:color w:val="000000"/>
                <w:sz w:val="20"/>
                <w:szCs w:val="20"/>
              </w:rPr>
              <w:t xml:space="preserve">3-2-Le secteur communautaire et le secteur privé disposent des capacités managériales, techniques et opérationnelles pour assurer au moins 80% de la réponse dans leur secteur d’ici à fin 2022 </w:t>
            </w:r>
          </w:p>
        </w:tc>
      </w:tr>
      <w:tr w:rsidR="001464B3" w:rsidRPr="000B012F" w14:paraId="1CD10BAA" w14:textId="77777777" w:rsidTr="001044F4">
        <w:trPr>
          <w:trHeight w:val="560"/>
        </w:trPr>
        <w:tc>
          <w:tcPr>
            <w:tcW w:w="983" w:type="dxa"/>
            <w:tcBorders>
              <w:top w:val="nil"/>
              <w:left w:val="nil"/>
              <w:bottom w:val="nil"/>
              <w:right w:val="nil"/>
            </w:tcBorders>
            <w:shd w:val="clear" w:color="000000" w:fill="FFFFFF"/>
            <w:noWrap/>
            <w:vAlign w:val="bottom"/>
            <w:hideMark/>
          </w:tcPr>
          <w:p w14:paraId="0F130467" w14:textId="77777777" w:rsidR="001464B3" w:rsidRPr="00697349" w:rsidRDefault="001464B3" w:rsidP="001044F4">
            <w:pPr>
              <w:rPr>
                <w:color w:val="000000"/>
                <w:sz w:val="20"/>
                <w:szCs w:val="20"/>
              </w:rPr>
            </w:pPr>
            <w:r w:rsidRPr="00697349">
              <w:rPr>
                <w:color w:val="000000"/>
                <w:sz w:val="20"/>
                <w:szCs w:val="20"/>
              </w:rPr>
              <w:t> </w:t>
            </w:r>
          </w:p>
        </w:tc>
        <w:tc>
          <w:tcPr>
            <w:tcW w:w="992" w:type="dxa"/>
            <w:tcBorders>
              <w:top w:val="nil"/>
              <w:left w:val="nil"/>
              <w:bottom w:val="nil"/>
              <w:right w:val="nil"/>
            </w:tcBorders>
            <w:shd w:val="clear" w:color="000000" w:fill="FFFFFF"/>
            <w:noWrap/>
            <w:vAlign w:val="bottom"/>
            <w:hideMark/>
          </w:tcPr>
          <w:p w14:paraId="679C8D13"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nil"/>
              <w:left w:val="nil"/>
              <w:bottom w:val="nil"/>
              <w:right w:val="nil"/>
            </w:tcBorders>
            <w:shd w:val="clear" w:color="000000" w:fill="FFFFFF"/>
            <w:noWrap/>
            <w:vAlign w:val="bottom"/>
            <w:hideMark/>
          </w:tcPr>
          <w:p w14:paraId="7BDD11CD"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nil"/>
              <w:left w:val="single" w:sz="4" w:space="0" w:color="auto"/>
              <w:bottom w:val="single" w:sz="4" w:space="0" w:color="auto"/>
              <w:right w:val="single" w:sz="4" w:space="0" w:color="auto"/>
            </w:tcBorders>
            <w:shd w:val="clear" w:color="000000" w:fill="FFFFFF"/>
            <w:vAlign w:val="center"/>
            <w:hideMark/>
          </w:tcPr>
          <w:p w14:paraId="6B00E7FF" w14:textId="77777777" w:rsidR="001464B3" w:rsidRPr="00697349" w:rsidRDefault="001464B3" w:rsidP="001044F4">
            <w:pPr>
              <w:jc w:val="both"/>
              <w:rPr>
                <w:color w:val="000000"/>
                <w:sz w:val="20"/>
                <w:szCs w:val="20"/>
              </w:rPr>
            </w:pPr>
            <w:r w:rsidRPr="00697349">
              <w:rPr>
                <w:color w:val="000000"/>
                <w:sz w:val="20"/>
                <w:szCs w:val="20"/>
              </w:rPr>
              <w:t xml:space="preserve">3.3-Durant la période 2018- 2022, le système national de suivi évaluation de la riposte est </w:t>
            </w:r>
            <w:r w:rsidRPr="00697349">
              <w:rPr>
                <w:rFonts w:cs="Arial"/>
                <w:color w:val="000000"/>
                <w:sz w:val="20"/>
                <w:szCs w:val="20"/>
              </w:rPr>
              <w:t>à</w:t>
            </w:r>
            <w:r w:rsidRPr="00697349">
              <w:rPr>
                <w:color w:val="000000"/>
                <w:sz w:val="20"/>
                <w:szCs w:val="20"/>
              </w:rPr>
              <w:t xml:space="preserve"> même de produire tous les données et indicateurs avec une qualit</w:t>
            </w:r>
            <w:r w:rsidRPr="00697349">
              <w:rPr>
                <w:rFonts w:cs="Arial"/>
                <w:color w:val="000000"/>
                <w:sz w:val="20"/>
                <w:szCs w:val="20"/>
              </w:rPr>
              <w:t>é</w:t>
            </w:r>
            <w:r w:rsidRPr="00697349">
              <w:rPr>
                <w:color w:val="000000"/>
                <w:sz w:val="20"/>
                <w:szCs w:val="20"/>
              </w:rPr>
              <w:t xml:space="preserve">, une complétude et une promptitude supérieure </w:t>
            </w:r>
            <w:r w:rsidRPr="00697349">
              <w:rPr>
                <w:rFonts w:cs="Arial"/>
                <w:color w:val="000000"/>
                <w:sz w:val="20"/>
                <w:szCs w:val="20"/>
              </w:rPr>
              <w:t>à</w:t>
            </w:r>
            <w:r w:rsidRPr="00697349">
              <w:rPr>
                <w:color w:val="000000"/>
                <w:sz w:val="20"/>
                <w:szCs w:val="20"/>
              </w:rPr>
              <w:t xml:space="preserve"> 95% </w:t>
            </w:r>
          </w:p>
        </w:tc>
      </w:tr>
      <w:tr w:rsidR="001464B3" w:rsidRPr="000B012F" w14:paraId="0757A81D" w14:textId="77777777" w:rsidTr="001044F4">
        <w:trPr>
          <w:trHeight w:val="320"/>
        </w:trPr>
        <w:tc>
          <w:tcPr>
            <w:tcW w:w="983" w:type="dxa"/>
            <w:tcBorders>
              <w:top w:val="nil"/>
              <w:left w:val="nil"/>
              <w:bottom w:val="nil"/>
              <w:right w:val="nil"/>
            </w:tcBorders>
            <w:shd w:val="clear" w:color="000000" w:fill="FFFFFF"/>
            <w:noWrap/>
            <w:vAlign w:val="bottom"/>
            <w:hideMark/>
          </w:tcPr>
          <w:p w14:paraId="1AB92D23" w14:textId="77777777" w:rsidR="001464B3" w:rsidRPr="00697349" w:rsidRDefault="001464B3" w:rsidP="001044F4">
            <w:pPr>
              <w:rPr>
                <w:color w:val="000000"/>
                <w:sz w:val="20"/>
                <w:szCs w:val="20"/>
              </w:rPr>
            </w:pPr>
            <w:r w:rsidRPr="00697349">
              <w:rPr>
                <w:color w:val="000000"/>
                <w:sz w:val="20"/>
                <w:szCs w:val="20"/>
              </w:rPr>
              <w:t> </w:t>
            </w:r>
          </w:p>
        </w:tc>
        <w:tc>
          <w:tcPr>
            <w:tcW w:w="992" w:type="dxa"/>
            <w:tcBorders>
              <w:top w:val="nil"/>
              <w:left w:val="nil"/>
              <w:bottom w:val="nil"/>
              <w:right w:val="nil"/>
            </w:tcBorders>
            <w:shd w:val="clear" w:color="000000" w:fill="FFFFFF"/>
            <w:noWrap/>
            <w:vAlign w:val="bottom"/>
            <w:hideMark/>
          </w:tcPr>
          <w:p w14:paraId="4D0549EB" w14:textId="77777777" w:rsidR="001464B3" w:rsidRPr="00697349" w:rsidRDefault="001464B3" w:rsidP="001044F4">
            <w:pPr>
              <w:rPr>
                <w:color w:val="000000"/>
                <w:sz w:val="20"/>
                <w:szCs w:val="20"/>
              </w:rPr>
            </w:pPr>
            <w:r w:rsidRPr="00697349">
              <w:rPr>
                <w:color w:val="000000"/>
                <w:sz w:val="20"/>
                <w:szCs w:val="20"/>
              </w:rPr>
              <w:t> </w:t>
            </w:r>
          </w:p>
        </w:tc>
        <w:tc>
          <w:tcPr>
            <w:tcW w:w="584" w:type="dxa"/>
            <w:tcBorders>
              <w:top w:val="nil"/>
              <w:left w:val="nil"/>
              <w:bottom w:val="nil"/>
              <w:right w:val="nil"/>
            </w:tcBorders>
            <w:shd w:val="clear" w:color="000000" w:fill="FFFFFF"/>
            <w:noWrap/>
            <w:vAlign w:val="bottom"/>
            <w:hideMark/>
          </w:tcPr>
          <w:p w14:paraId="5EF18AAB" w14:textId="77777777" w:rsidR="001464B3" w:rsidRPr="00697349" w:rsidRDefault="001464B3" w:rsidP="001044F4">
            <w:pPr>
              <w:rPr>
                <w:color w:val="000000"/>
                <w:sz w:val="20"/>
                <w:szCs w:val="20"/>
              </w:rPr>
            </w:pPr>
            <w:r w:rsidRPr="00697349">
              <w:rPr>
                <w:color w:val="000000"/>
                <w:sz w:val="20"/>
                <w:szCs w:val="20"/>
              </w:rPr>
              <w:t> </w:t>
            </w:r>
          </w:p>
        </w:tc>
        <w:tc>
          <w:tcPr>
            <w:tcW w:w="7292" w:type="dxa"/>
            <w:tcBorders>
              <w:top w:val="nil"/>
              <w:left w:val="single" w:sz="4" w:space="0" w:color="auto"/>
              <w:bottom w:val="single" w:sz="4" w:space="0" w:color="auto"/>
              <w:right w:val="single" w:sz="4" w:space="0" w:color="auto"/>
            </w:tcBorders>
            <w:shd w:val="clear" w:color="000000" w:fill="FFFFFF"/>
            <w:vAlign w:val="center"/>
            <w:hideMark/>
          </w:tcPr>
          <w:p w14:paraId="7361BB34" w14:textId="77777777" w:rsidR="001464B3" w:rsidRPr="00697349" w:rsidRDefault="001464B3" w:rsidP="001044F4">
            <w:pPr>
              <w:jc w:val="both"/>
              <w:rPr>
                <w:color w:val="000000"/>
                <w:sz w:val="20"/>
                <w:szCs w:val="20"/>
              </w:rPr>
            </w:pPr>
            <w:r w:rsidRPr="00697349">
              <w:rPr>
                <w:color w:val="000000"/>
                <w:sz w:val="20"/>
                <w:szCs w:val="20"/>
              </w:rPr>
              <w:t>3.4-Entre 2018-2022, la gouvernance du CNLS assure une multisectorialit</w:t>
            </w:r>
            <w:r w:rsidRPr="00697349">
              <w:rPr>
                <w:rFonts w:cs="Arial"/>
                <w:color w:val="000000"/>
                <w:sz w:val="20"/>
                <w:szCs w:val="20"/>
              </w:rPr>
              <w:t>é</w:t>
            </w:r>
            <w:r w:rsidRPr="00697349">
              <w:rPr>
                <w:color w:val="000000"/>
                <w:sz w:val="20"/>
                <w:szCs w:val="20"/>
              </w:rPr>
              <w:t xml:space="preserve"> et une redevabilit</w:t>
            </w:r>
            <w:r w:rsidRPr="00697349">
              <w:rPr>
                <w:rFonts w:cs="Arial"/>
                <w:color w:val="000000"/>
                <w:sz w:val="20"/>
                <w:szCs w:val="20"/>
              </w:rPr>
              <w:t>é</w:t>
            </w:r>
            <w:r w:rsidRPr="00697349">
              <w:rPr>
                <w:color w:val="000000"/>
                <w:sz w:val="20"/>
                <w:szCs w:val="20"/>
              </w:rPr>
              <w:t xml:space="preserve"> optimales</w:t>
            </w:r>
          </w:p>
        </w:tc>
      </w:tr>
    </w:tbl>
    <w:p w14:paraId="48D91B81" w14:textId="77777777" w:rsidR="001464B3" w:rsidRPr="00654CE7" w:rsidRDefault="001464B3" w:rsidP="001464B3">
      <w:pPr>
        <w:jc w:val="both"/>
        <w:rPr>
          <w:rFonts w:cs="Calibri"/>
          <w:shd w:val="clear" w:color="auto" w:fill="FFFFFF"/>
        </w:rPr>
      </w:pPr>
    </w:p>
    <w:p w14:paraId="4C00FBD4" w14:textId="77777777" w:rsidR="001464B3" w:rsidRPr="00654CE7" w:rsidRDefault="001464B3" w:rsidP="001464B3">
      <w:pPr>
        <w:jc w:val="both"/>
        <w:rPr>
          <w:rFonts w:cs="Calibri"/>
          <w:shd w:val="clear" w:color="auto" w:fill="FFFFFF"/>
        </w:rPr>
      </w:pPr>
      <w:r w:rsidRPr="00654CE7">
        <w:rPr>
          <w:rFonts w:cs="Calibri"/>
          <w:shd w:val="clear" w:color="auto" w:fill="FFFFFF"/>
        </w:rPr>
        <w:t>Les interventions qui seront mises en œuvre visent à faire en sorte que :</w:t>
      </w:r>
    </w:p>
    <w:p w14:paraId="5CC9D74B" w14:textId="77777777" w:rsidR="001464B3" w:rsidRPr="00654CE7" w:rsidRDefault="001464B3" w:rsidP="001464B3">
      <w:pPr>
        <w:jc w:val="both"/>
        <w:rPr>
          <w:rFonts w:cs="Calibri"/>
          <w:shd w:val="clear" w:color="auto" w:fill="FFFFFF"/>
        </w:rPr>
      </w:pPr>
    </w:p>
    <w:tbl>
      <w:tblPr>
        <w:tblW w:w="9918" w:type="dxa"/>
        <w:tblBorders>
          <w:insideH w:val="single" w:sz="4" w:space="0" w:color="auto"/>
          <w:insideV w:val="single" w:sz="4" w:space="0" w:color="auto"/>
        </w:tblBorders>
        <w:tblLook w:val="04A0" w:firstRow="1" w:lastRow="0" w:firstColumn="1" w:lastColumn="0" w:noHBand="0" w:noVBand="1"/>
      </w:tblPr>
      <w:tblGrid>
        <w:gridCol w:w="9918"/>
      </w:tblGrid>
      <w:tr w:rsidR="001464B3" w:rsidRPr="00654CE7" w14:paraId="22821DAF" w14:textId="77777777" w:rsidTr="001044F4">
        <w:tc>
          <w:tcPr>
            <w:tcW w:w="9918" w:type="dxa"/>
            <w:shd w:val="clear" w:color="auto" w:fill="E7E6E6"/>
          </w:tcPr>
          <w:p w14:paraId="46554BEF" w14:textId="77777777" w:rsidR="001464B3" w:rsidRPr="00654CE7" w:rsidRDefault="001464B3" w:rsidP="001044F4">
            <w:pPr>
              <w:widowControl w:val="0"/>
              <w:autoSpaceDE w:val="0"/>
              <w:autoSpaceDN w:val="0"/>
              <w:adjustRightInd w:val="0"/>
              <w:jc w:val="both"/>
              <w:rPr>
                <w:rFonts w:cs="Calibri"/>
              </w:rPr>
            </w:pPr>
            <w:r w:rsidRPr="00654CE7">
              <w:rPr>
                <w:rFonts w:cs="Calibri"/>
              </w:rPr>
              <w:t>Les capacités et la fonctionnalité du système de santé permettent :</w:t>
            </w:r>
          </w:p>
          <w:p w14:paraId="514EFB0C" w14:textId="77777777" w:rsidR="001464B3" w:rsidRPr="00654CE7" w:rsidRDefault="001464B3" w:rsidP="001464B3">
            <w:pPr>
              <w:pStyle w:val="Paragraphedeliste"/>
              <w:widowControl w:val="0"/>
              <w:numPr>
                <w:ilvl w:val="0"/>
                <w:numId w:val="32"/>
              </w:numPr>
              <w:autoSpaceDE w:val="0"/>
              <w:autoSpaceDN w:val="0"/>
              <w:adjustRightInd w:val="0"/>
              <w:jc w:val="both"/>
              <w:rPr>
                <w:rFonts w:ascii="Calibri" w:hAnsi="Calibri" w:cs="Calibri"/>
                <w:szCs w:val="22"/>
              </w:rPr>
            </w:pPr>
            <w:r w:rsidRPr="00654CE7">
              <w:rPr>
                <w:rFonts w:ascii="Calibri" w:hAnsi="Calibri" w:cs="Calibri"/>
                <w:szCs w:val="22"/>
              </w:rPr>
              <w:t>D’éliminer les nouvelles infections chez les enfants</w:t>
            </w:r>
          </w:p>
          <w:p w14:paraId="5E01D26D" w14:textId="77777777" w:rsidR="001464B3" w:rsidRPr="00654CE7" w:rsidRDefault="001464B3" w:rsidP="001464B3">
            <w:pPr>
              <w:pStyle w:val="Paragraphedeliste"/>
              <w:widowControl w:val="0"/>
              <w:numPr>
                <w:ilvl w:val="0"/>
                <w:numId w:val="32"/>
              </w:numPr>
              <w:autoSpaceDE w:val="0"/>
              <w:autoSpaceDN w:val="0"/>
              <w:adjustRightInd w:val="0"/>
              <w:jc w:val="both"/>
              <w:rPr>
                <w:rFonts w:ascii="Calibri" w:hAnsi="Calibri" w:cs="Calibri"/>
                <w:szCs w:val="22"/>
              </w:rPr>
            </w:pPr>
            <w:r w:rsidRPr="00654CE7">
              <w:rPr>
                <w:rFonts w:ascii="Calibri" w:hAnsi="Calibri" w:cs="Calibri"/>
                <w:szCs w:val="22"/>
              </w:rPr>
              <w:t>D’éliminer les infections imputables à la transfusion sanguine et aux AES</w:t>
            </w:r>
          </w:p>
          <w:p w14:paraId="06F27BFD" w14:textId="77777777" w:rsidR="001464B3" w:rsidRPr="00654CE7" w:rsidRDefault="001464B3" w:rsidP="001464B3">
            <w:pPr>
              <w:pStyle w:val="Paragraphedeliste"/>
              <w:widowControl w:val="0"/>
              <w:numPr>
                <w:ilvl w:val="0"/>
                <w:numId w:val="32"/>
              </w:numPr>
              <w:autoSpaceDE w:val="0"/>
              <w:autoSpaceDN w:val="0"/>
              <w:adjustRightInd w:val="0"/>
              <w:jc w:val="both"/>
              <w:rPr>
                <w:rFonts w:ascii="Calibri" w:hAnsi="Calibri" w:cs="Calibri"/>
                <w:szCs w:val="22"/>
              </w:rPr>
            </w:pPr>
            <w:r w:rsidRPr="00654CE7">
              <w:rPr>
                <w:rFonts w:ascii="Calibri" w:hAnsi="Calibri" w:cs="Calibri"/>
                <w:szCs w:val="22"/>
              </w:rPr>
              <w:t>De mettre en œuvre Stratégie « dépister et traiter »</w:t>
            </w:r>
          </w:p>
          <w:p w14:paraId="1F8B4AF7" w14:textId="77777777" w:rsidR="001464B3" w:rsidRPr="00654CE7" w:rsidRDefault="001464B3" w:rsidP="001464B3">
            <w:pPr>
              <w:pStyle w:val="Paragraphedeliste"/>
              <w:widowControl w:val="0"/>
              <w:numPr>
                <w:ilvl w:val="0"/>
                <w:numId w:val="32"/>
              </w:numPr>
              <w:autoSpaceDE w:val="0"/>
              <w:autoSpaceDN w:val="0"/>
              <w:adjustRightInd w:val="0"/>
              <w:jc w:val="both"/>
              <w:rPr>
                <w:rFonts w:ascii="Calibri" w:hAnsi="Calibri" w:cs="Calibri"/>
                <w:szCs w:val="22"/>
              </w:rPr>
            </w:pPr>
            <w:r w:rsidRPr="00654CE7">
              <w:rPr>
                <w:rFonts w:ascii="Calibri" w:hAnsi="Calibri" w:cs="Calibri"/>
                <w:szCs w:val="22"/>
              </w:rPr>
              <w:t>De Traiter 90% des PVVIH dépistées</w:t>
            </w:r>
          </w:p>
          <w:p w14:paraId="3DC7A618" w14:textId="77777777" w:rsidR="001464B3" w:rsidRPr="00654CE7" w:rsidRDefault="001464B3" w:rsidP="001464B3">
            <w:pPr>
              <w:pStyle w:val="Paragraphedeliste"/>
              <w:widowControl w:val="0"/>
              <w:numPr>
                <w:ilvl w:val="0"/>
                <w:numId w:val="32"/>
              </w:numPr>
              <w:autoSpaceDE w:val="0"/>
              <w:autoSpaceDN w:val="0"/>
              <w:adjustRightInd w:val="0"/>
              <w:jc w:val="both"/>
              <w:rPr>
                <w:rFonts w:ascii="Calibri" w:hAnsi="Calibri" w:cs="Calibri"/>
                <w:szCs w:val="22"/>
              </w:rPr>
            </w:pPr>
            <w:r w:rsidRPr="00654CE7">
              <w:rPr>
                <w:rFonts w:ascii="Calibri" w:hAnsi="Calibri" w:cs="Calibri"/>
                <w:szCs w:val="22"/>
              </w:rPr>
              <w:t>D’assurer la suppression virale chez les PVVIH</w:t>
            </w:r>
          </w:p>
          <w:p w14:paraId="2F3BC1AF" w14:textId="77777777" w:rsidR="001464B3" w:rsidRPr="00654CE7" w:rsidRDefault="001464B3" w:rsidP="001464B3">
            <w:pPr>
              <w:pStyle w:val="Paragraphedeliste"/>
              <w:widowControl w:val="0"/>
              <w:numPr>
                <w:ilvl w:val="0"/>
                <w:numId w:val="32"/>
              </w:numPr>
              <w:autoSpaceDE w:val="0"/>
              <w:autoSpaceDN w:val="0"/>
              <w:adjustRightInd w:val="0"/>
              <w:jc w:val="both"/>
              <w:rPr>
                <w:rFonts w:ascii="Calibri" w:hAnsi="Calibri" w:cs="Calibri"/>
                <w:szCs w:val="22"/>
              </w:rPr>
            </w:pPr>
            <w:r w:rsidRPr="00654CE7">
              <w:rPr>
                <w:rFonts w:ascii="Calibri" w:hAnsi="Calibri" w:cs="Calibri"/>
                <w:szCs w:val="22"/>
              </w:rPr>
              <w:t>D’assurer un approvisionnement adéquat en intrants et une bonne logistique des intrants</w:t>
            </w:r>
          </w:p>
        </w:tc>
      </w:tr>
      <w:tr w:rsidR="001464B3" w:rsidRPr="00654CE7" w14:paraId="234C808A" w14:textId="77777777" w:rsidTr="001044F4">
        <w:tc>
          <w:tcPr>
            <w:tcW w:w="9918" w:type="dxa"/>
            <w:shd w:val="clear" w:color="auto" w:fill="E7E6E6"/>
          </w:tcPr>
          <w:p w14:paraId="74B98482" w14:textId="77777777" w:rsidR="001464B3" w:rsidRPr="00654CE7" w:rsidRDefault="001464B3" w:rsidP="001044F4">
            <w:pPr>
              <w:jc w:val="both"/>
              <w:rPr>
                <w:rFonts w:cs="Calibri"/>
              </w:rPr>
            </w:pPr>
            <w:r w:rsidRPr="00654CE7">
              <w:rPr>
                <w:rFonts w:cs="Calibri"/>
              </w:rPr>
              <w:t>Les réponses communautaires et sectorielles permettent :</w:t>
            </w:r>
          </w:p>
          <w:p w14:paraId="0C1D6970"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De réduire des nouvelles infections dans la population générale et chez les populations clés</w:t>
            </w:r>
          </w:p>
          <w:p w14:paraId="5F62AB0D"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De dépister 90% des personnes séropositives</w:t>
            </w:r>
          </w:p>
          <w:p w14:paraId="674908DB"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De réduire la stigmatisation discrimination</w:t>
            </w:r>
          </w:p>
          <w:p w14:paraId="77E5B26A"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De lutter efficacement contre les violences sexuelles et prendre en compte le genre</w:t>
            </w:r>
          </w:p>
          <w:p w14:paraId="41FA8C30"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D’offrir un soutien adéquat au programme de traitement ARV</w:t>
            </w:r>
          </w:p>
          <w:p w14:paraId="43E0D4B2"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De contribuer à réaliser une génération sans sida chez les enfants </w:t>
            </w:r>
          </w:p>
        </w:tc>
      </w:tr>
      <w:tr w:rsidR="001464B3" w:rsidRPr="00654CE7" w14:paraId="087C27E1" w14:textId="77777777" w:rsidTr="001044F4">
        <w:tc>
          <w:tcPr>
            <w:tcW w:w="9918" w:type="dxa"/>
            <w:shd w:val="clear" w:color="auto" w:fill="E7E6E6"/>
          </w:tcPr>
          <w:p w14:paraId="48EBF9BC" w14:textId="77777777" w:rsidR="001464B3" w:rsidRPr="00654CE7" w:rsidRDefault="001464B3" w:rsidP="001044F4">
            <w:pPr>
              <w:jc w:val="both"/>
              <w:rPr>
                <w:rFonts w:cs="Calibri"/>
              </w:rPr>
            </w:pPr>
            <w:r w:rsidRPr="00654CE7">
              <w:rPr>
                <w:rFonts w:cs="Calibri"/>
              </w:rPr>
              <w:t>Le système de suivi évaluation en place :</w:t>
            </w:r>
          </w:p>
          <w:p w14:paraId="1FD885B4"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 xml:space="preserve">Répond aux principes des 3 </w:t>
            </w:r>
            <w:proofErr w:type="spellStart"/>
            <w:r w:rsidRPr="00654CE7">
              <w:rPr>
                <w:rFonts w:ascii="Calibri" w:hAnsi="Calibri" w:cs="Calibri"/>
                <w:szCs w:val="22"/>
              </w:rPr>
              <w:t>Ones</w:t>
            </w:r>
            <w:proofErr w:type="spellEnd"/>
            <w:r w:rsidRPr="00654CE7">
              <w:rPr>
                <w:rFonts w:ascii="Calibri" w:hAnsi="Calibri" w:cs="Calibri"/>
                <w:szCs w:val="22"/>
              </w:rPr>
              <w:t> et est conforme aux 12 composantes</w:t>
            </w:r>
          </w:p>
          <w:p w14:paraId="508E0D27"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Permet de capter toutes les informations avec qualité et promptitude </w:t>
            </w:r>
          </w:p>
          <w:p w14:paraId="749B64EF"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Produire l’information stratégique nécessaire et de soutenir son utilisation optimale </w:t>
            </w:r>
          </w:p>
        </w:tc>
      </w:tr>
      <w:tr w:rsidR="001464B3" w:rsidRPr="00654CE7" w14:paraId="1B0C264D" w14:textId="77777777" w:rsidTr="001044F4">
        <w:tc>
          <w:tcPr>
            <w:tcW w:w="9918" w:type="dxa"/>
            <w:shd w:val="clear" w:color="auto" w:fill="E7E6E6"/>
          </w:tcPr>
          <w:p w14:paraId="1E128A61" w14:textId="77777777" w:rsidR="001464B3" w:rsidRPr="00654CE7" w:rsidRDefault="001464B3" w:rsidP="001044F4">
            <w:pPr>
              <w:jc w:val="both"/>
              <w:rPr>
                <w:rFonts w:cs="Calibri"/>
              </w:rPr>
            </w:pPr>
            <w:r w:rsidRPr="00654CE7">
              <w:rPr>
                <w:rFonts w:cs="Calibri"/>
              </w:rPr>
              <w:t>La gouvernance de la réponse nationale, sectorielle et décentralisée permet :</w:t>
            </w:r>
          </w:p>
          <w:p w14:paraId="48536216"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De développer une réponse multisectorielle, inclusive, harmonieuse et complète</w:t>
            </w:r>
          </w:p>
          <w:p w14:paraId="41E6BE55"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 xml:space="preserve">De mobiliser efficacement les ressources financières nécessaires </w:t>
            </w:r>
          </w:p>
          <w:p w14:paraId="4C20A2A3" w14:textId="77777777" w:rsidR="001464B3" w:rsidRPr="00654CE7" w:rsidRDefault="001464B3" w:rsidP="001464B3">
            <w:pPr>
              <w:pStyle w:val="Paragraphedeliste"/>
              <w:numPr>
                <w:ilvl w:val="0"/>
                <w:numId w:val="32"/>
              </w:numPr>
              <w:jc w:val="both"/>
              <w:rPr>
                <w:rFonts w:ascii="Calibri" w:hAnsi="Calibri" w:cs="Calibri"/>
                <w:szCs w:val="22"/>
              </w:rPr>
            </w:pPr>
            <w:r w:rsidRPr="00654CE7">
              <w:rPr>
                <w:rFonts w:ascii="Calibri" w:hAnsi="Calibri" w:cs="Calibri"/>
                <w:szCs w:val="22"/>
              </w:rPr>
              <w:t>D’assurer une bonne redevabilité</w:t>
            </w:r>
          </w:p>
        </w:tc>
      </w:tr>
    </w:tbl>
    <w:p w14:paraId="3C261EB5" w14:textId="77777777" w:rsidR="001464B3" w:rsidRPr="00654CE7" w:rsidRDefault="001464B3" w:rsidP="001464B3">
      <w:pPr>
        <w:jc w:val="both"/>
        <w:rPr>
          <w:rFonts w:cs="Calibri"/>
          <w:shd w:val="clear" w:color="auto" w:fill="FFFFFF"/>
        </w:rPr>
      </w:pPr>
    </w:p>
    <w:p w14:paraId="1D74CB37" w14:textId="77777777" w:rsidR="001464B3" w:rsidRPr="00654CE7" w:rsidRDefault="001464B3" w:rsidP="001464B3">
      <w:pPr>
        <w:autoSpaceDE w:val="0"/>
        <w:autoSpaceDN w:val="0"/>
        <w:adjustRightInd w:val="0"/>
        <w:jc w:val="both"/>
        <w:rPr>
          <w:rFonts w:cs="Calibri"/>
          <w:color w:val="000000"/>
        </w:rPr>
      </w:pPr>
      <w:r w:rsidRPr="00654CE7">
        <w:rPr>
          <w:rFonts w:cs="Calibri"/>
        </w:rPr>
        <w:t xml:space="preserve">La mise en œuvre des stratégies sectorielles de lutte contre les IST et le VIH/sida sur la période 2018-2022 </w:t>
      </w:r>
      <w:r w:rsidRPr="00654CE7">
        <w:rPr>
          <w:rFonts w:cs="Calibri"/>
          <w:color w:val="000000"/>
        </w:rPr>
        <w:t>sera organisée selon une approche basée sur la multisectorialité et la décentralisation autour d’un cadre institutionnel impliquant les différents acteurs de la riposte nationale. L</w:t>
      </w:r>
      <w:r w:rsidRPr="00654CE7">
        <w:rPr>
          <w:rFonts w:cs="Calibri"/>
          <w:shd w:val="clear" w:color="auto" w:fill="FFFFFF"/>
        </w:rPr>
        <w:t>es impacts attendus des interventions, au nombre de trois, sont les suivants :</w:t>
      </w:r>
    </w:p>
    <w:p w14:paraId="24A4BF12" w14:textId="77777777" w:rsidR="001464B3" w:rsidRPr="00654CE7" w:rsidRDefault="001464B3" w:rsidP="001464B3">
      <w:pPr>
        <w:pStyle w:val="Paragraphedeliste"/>
        <w:numPr>
          <w:ilvl w:val="0"/>
          <w:numId w:val="32"/>
        </w:numPr>
        <w:jc w:val="both"/>
        <w:rPr>
          <w:rFonts w:ascii="Calibri" w:hAnsi="Calibri" w:cs="Calibri"/>
          <w:color w:val="333333"/>
          <w:szCs w:val="22"/>
          <w:shd w:val="clear" w:color="auto" w:fill="FFFFFF"/>
        </w:rPr>
      </w:pPr>
      <w:r w:rsidRPr="00654CE7">
        <w:rPr>
          <w:rFonts w:ascii="Calibri" w:hAnsi="Calibri" w:cs="Calibri"/>
          <w:color w:val="333333"/>
          <w:szCs w:val="22"/>
          <w:shd w:val="clear" w:color="auto" w:fill="FFFFFF"/>
        </w:rPr>
        <w:t>Les nouvelles infections sont réduites de 50% d’ici à fin 2022</w:t>
      </w:r>
    </w:p>
    <w:p w14:paraId="5F42D0F5" w14:textId="77777777" w:rsidR="001464B3" w:rsidRPr="00654CE7" w:rsidRDefault="001464B3" w:rsidP="001464B3">
      <w:pPr>
        <w:pStyle w:val="Paragraphedeliste"/>
        <w:numPr>
          <w:ilvl w:val="0"/>
          <w:numId w:val="32"/>
        </w:numPr>
        <w:jc w:val="both"/>
        <w:rPr>
          <w:rFonts w:ascii="Calibri" w:hAnsi="Calibri" w:cs="Calibri"/>
          <w:color w:val="333333"/>
          <w:szCs w:val="22"/>
          <w:shd w:val="clear" w:color="auto" w:fill="FFFFFF"/>
        </w:rPr>
      </w:pPr>
      <w:r w:rsidRPr="00654CE7">
        <w:rPr>
          <w:rFonts w:ascii="Calibri" w:hAnsi="Calibri" w:cs="Calibri"/>
          <w:color w:val="333333"/>
          <w:szCs w:val="22"/>
          <w:shd w:val="clear" w:color="auto" w:fill="FFFFFF"/>
        </w:rPr>
        <w:t>D’ici à fin 2022, La mortalité liée au VIH/sida est réduite d'au moins 62%</w:t>
      </w:r>
    </w:p>
    <w:p w14:paraId="2157226B" w14:textId="77777777" w:rsidR="001464B3" w:rsidRPr="00654CE7" w:rsidRDefault="001464B3" w:rsidP="001464B3">
      <w:pPr>
        <w:pStyle w:val="Paragraphedeliste"/>
        <w:numPr>
          <w:ilvl w:val="0"/>
          <w:numId w:val="32"/>
        </w:numPr>
        <w:jc w:val="both"/>
        <w:rPr>
          <w:rFonts w:ascii="Calibri" w:hAnsi="Calibri" w:cs="Calibri"/>
          <w:color w:val="333333"/>
          <w:szCs w:val="22"/>
          <w:shd w:val="clear" w:color="auto" w:fill="FFFFFF"/>
        </w:rPr>
      </w:pPr>
      <w:r w:rsidRPr="00654CE7">
        <w:rPr>
          <w:rFonts w:ascii="Calibri" w:hAnsi="Calibri" w:cs="Calibri"/>
          <w:color w:val="333333"/>
          <w:szCs w:val="22"/>
          <w:shd w:val="clear" w:color="auto" w:fill="FFFFFF"/>
        </w:rPr>
        <w:t>Les systèmes de gestion, de suivi évaluation, de coordination et de gouvernance de la réponse au VIH sont renforcés et résilients d’ici à fin 2022</w:t>
      </w:r>
    </w:p>
    <w:p w14:paraId="26D02D6D" w14:textId="77777777" w:rsidR="001464B3" w:rsidRPr="00654CE7" w:rsidRDefault="001464B3" w:rsidP="001464B3">
      <w:pPr>
        <w:autoSpaceDE w:val="0"/>
        <w:autoSpaceDN w:val="0"/>
        <w:adjustRightInd w:val="0"/>
        <w:jc w:val="both"/>
        <w:rPr>
          <w:rFonts w:cs="Calibri"/>
          <w:b/>
          <w:noProof/>
        </w:rPr>
      </w:pPr>
    </w:p>
    <w:p w14:paraId="1B6B7E2D" w14:textId="77777777" w:rsidR="001464B3" w:rsidRPr="00654CE7" w:rsidRDefault="001464B3" w:rsidP="001464B3">
      <w:pPr>
        <w:autoSpaceDE w:val="0"/>
        <w:autoSpaceDN w:val="0"/>
        <w:adjustRightInd w:val="0"/>
        <w:jc w:val="both"/>
        <w:rPr>
          <w:rFonts w:cs="Calibri"/>
        </w:rPr>
      </w:pPr>
      <w:r w:rsidRPr="00654CE7">
        <w:rPr>
          <w:rFonts w:cs="Calibri"/>
        </w:rPr>
        <w:t>La coordination globale de la mise en œuvre sera assurée par le Secrétariat exécutif du CNLS avec l’appui de ses entités décentralisées. Le suivi et la capitalisation des interventions et des résultats seront basés principalement sur le DHIS2 et auront pour cadre de référence, les 12 composantes d’un système de suivi et évaluation fonctionnel recommandées au niveau international.</w:t>
      </w:r>
    </w:p>
    <w:p w14:paraId="05D43415" w14:textId="77777777" w:rsidR="001464B3" w:rsidRPr="00654CE7" w:rsidRDefault="001464B3" w:rsidP="001464B3">
      <w:pPr>
        <w:autoSpaceDE w:val="0"/>
        <w:autoSpaceDN w:val="0"/>
        <w:adjustRightInd w:val="0"/>
        <w:jc w:val="both"/>
        <w:rPr>
          <w:rFonts w:cs="Calibri"/>
        </w:rPr>
      </w:pPr>
    </w:p>
    <w:p w14:paraId="6EFC9603" w14:textId="1039120F" w:rsidR="007C0B8F" w:rsidRPr="00654CE7" w:rsidRDefault="007C0B8F" w:rsidP="000344B2">
      <w:pPr>
        <w:jc w:val="both"/>
        <w:rPr>
          <w:rFonts w:cs="Calibri"/>
        </w:rPr>
      </w:pPr>
      <w:r w:rsidRPr="00654CE7">
        <w:rPr>
          <w:rFonts w:cs="Calibri"/>
        </w:rPr>
        <w:t xml:space="preserve">Le coût total requis pour la mise en œuvre du </w:t>
      </w:r>
      <w:r w:rsidRPr="00092127">
        <w:rPr>
          <w:rFonts w:cs="Calibri"/>
        </w:rPr>
        <w:t xml:space="preserve">CSN 2018-2022 est </w:t>
      </w:r>
      <w:r w:rsidR="000344B2">
        <w:rPr>
          <w:rFonts w:cs="Calibri"/>
        </w:rPr>
        <w:t>262 721 048,18</w:t>
      </w:r>
      <w:r w:rsidRPr="00092127">
        <w:rPr>
          <w:rFonts w:cs="Calibri"/>
        </w:rPr>
        <w:t xml:space="preserve"> US$ soit </w:t>
      </w:r>
      <w:r w:rsidR="000344B2" w:rsidRPr="000344B2">
        <w:rPr>
          <w:rFonts w:cs="Calibri"/>
        </w:rPr>
        <w:t>2 480 819 762 751</w:t>
      </w:r>
      <w:r w:rsidRPr="00092127">
        <w:rPr>
          <w:rFonts w:cs="Calibri"/>
        </w:rPr>
        <w:t>GNF, réparti comme suit</w:t>
      </w:r>
    </w:p>
    <w:p w14:paraId="6B13D9EA" w14:textId="0EAF08A9" w:rsidR="007C0B8F" w:rsidRDefault="007C0B8F" w:rsidP="007C0B8F">
      <w:pPr>
        <w:rPr>
          <w:rFonts w:cs="Calibri"/>
          <w:b/>
        </w:rPr>
      </w:pPr>
    </w:p>
    <w:tbl>
      <w:tblPr>
        <w:tblW w:w="9584" w:type="dxa"/>
        <w:tblCellMar>
          <w:left w:w="70" w:type="dxa"/>
          <w:right w:w="70" w:type="dxa"/>
        </w:tblCellMar>
        <w:tblLook w:val="04A0" w:firstRow="1" w:lastRow="0" w:firstColumn="1" w:lastColumn="0" w:noHBand="0" w:noVBand="1"/>
      </w:tblPr>
      <w:tblGrid>
        <w:gridCol w:w="2984"/>
        <w:gridCol w:w="1100"/>
        <w:gridCol w:w="1100"/>
        <w:gridCol w:w="1100"/>
        <w:gridCol w:w="1100"/>
        <w:gridCol w:w="1100"/>
        <w:gridCol w:w="1100"/>
      </w:tblGrid>
      <w:tr w:rsidR="000344B2" w:rsidRPr="000344B2" w14:paraId="544EC892" w14:textId="77777777" w:rsidTr="000344B2">
        <w:trPr>
          <w:trHeight w:val="500"/>
        </w:trPr>
        <w:tc>
          <w:tcPr>
            <w:tcW w:w="2984"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084BAC1D" w14:textId="77777777" w:rsidR="000344B2" w:rsidRPr="000344B2" w:rsidRDefault="000344B2" w:rsidP="000344B2">
            <w:pPr>
              <w:jc w:val="center"/>
              <w:rPr>
                <w:rFonts w:ascii="Calibri" w:hAnsi="Calibri" w:cs="Calibri"/>
                <w:color w:val="FFFFFF"/>
                <w:sz w:val="15"/>
                <w:szCs w:val="15"/>
              </w:rPr>
            </w:pPr>
            <w:r w:rsidRPr="000344B2">
              <w:rPr>
                <w:rFonts w:ascii="Calibri" w:hAnsi="Calibri" w:cs="Calibri"/>
                <w:color w:val="FFFFFF"/>
                <w:sz w:val="15"/>
                <w:szCs w:val="15"/>
              </w:rPr>
              <w:t> </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5A168BE8" w14:textId="77777777" w:rsidR="000344B2" w:rsidRPr="000344B2" w:rsidRDefault="000344B2" w:rsidP="000344B2">
            <w:pPr>
              <w:jc w:val="center"/>
              <w:rPr>
                <w:rFonts w:ascii="Calibri" w:hAnsi="Calibri" w:cs="Calibri"/>
                <w:color w:val="FFFFFF"/>
                <w:sz w:val="15"/>
                <w:szCs w:val="15"/>
              </w:rPr>
            </w:pPr>
            <w:r w:rsidRPr="000344B2">
              <w:rPr>
                <w:rFonts w:ascii="Calibri" w:hAnsi="Calibri" w:cs="Calibri"/>
                <w:color w:val="FFFFFF"/>
                <w:sz w:val="15"/>
                <w:szCs w:val="15"/>
              </w:rPr>
              <w:t>2018</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2E02260A" w14:textId="77777777" w:rsidR="000344B2" w:rsidRPr="000344B2" w:rsidRDefault="000344B2" w:rsidP="000344B2">
            <w:pPr>
              <w:jc w:val="right"/>
              <w:rPr>
                <w:rFonts w:ascii="Calibri" w:hAnsi="Calibri" w:cs="Calibri"/>
                <w:color w:val="FFFFFF"/>
                <w:sz w:val="15"/>
                <w:szCs w:val="15"/>
              </w:rPr>
            </w:pPr>
            <w:r w:rsidRPr="000344B2">
              <w:rPr>
                <w:rFonts w:ascii="Calibri" w:hAnsi="Calibri" w:cs="Calibri"/>
                <w:color w:val="FFFFFF"/>
                <w:sz w:val="15"/>
                <w:szCs w:val="15"/>
              </w:rPr>
              <w:t>2019</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237A108C" w14:textId="77777777" w:rsidR="000344B2" w:rsidRPr="000344B2" w:rsidRDefault="000344B2" w:rsidP="000344B2">
            <w:pPr>
              <w:jc w:val="right"/>
              <w:rPr>
                <w:rFonts w:ascii="Calibri" w:hAnsi="Calibri" w:cs="Calibri"/>
                <w:color w:val="FFFFFF"/>
                <w:sz w:val="15"/>
                <w:szCs w:val="15"/>
              </w:rPr>
            </w:pPr>
            <w:r w:rsidRPr="000344B2">
              <w:rPr>
                <w:rFonts w:ascii="Calibri" w:hAnsi="Calibri" w:cs="Calibri"/>
                <w:color w:val="FFFFFF"/>
                <w:sz w:val="15"/>
                <w:szCs w:val="15"/>
              </w:rPr>
              <w:t>2020</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1CD98634" w14:textId="77777777" w:rsidR="000344B2" w:rsidRPr="000344B2" w:rsidRDefault="000344B2" w:rsidP="000344B2">
            <w:pPr>
              <w:jc w:val="right"/>
              <w:rPr>
                <w:rFonts w:ascii="Calibri" w:hAnsi="Calibri" w:cs="Calibri"/>
                <w:color w:val="FFFFFF"/>
                <w:sz w:val="15"/>
                <w:szCs w:val="15"/>
              </w:rPr>
            </w:pPr>
            <w:r w:rsidRPr="000344B2">
              <w:rPr>
                <w:rFonts w:ascii="Calibri" w:hAnsi="Calibri" w:cs="Calibri"/>
                <w:color w:val="FFFFFF"/>
                <w:sz w:val="15"/>
                <w:szCs w:val="15"/>
              </w:rPr>
              <w:t>2021</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5FFE4D55" w14:textId="77777777" w:rsidR="000344B2" w:rsidRPr="000344B2" w:rsidRDefault="000344B2" w:rsidP="000344B2">
            <w:pPr>
              <w:jc w:val="right"/>
              <w:rPr>
                <w:rFonts w:ascii="Calibri" w:hAnsi="Calibri" w:cs="Calibri"/>
                <w:color w:val="FFFFFF"/>
                <w:sz w:val="15"/>
                <w:szCs w:val="15"/>
              </w:rPr>
            </w:pPr>
            <w:r w:rsidRPr="000344B2">
              <w:rPr>
                <w:rFonts w:ascii="Calibri" w:hAnsi="Calibri" w:cs="Calibri"/>
                <w:color w:val="FFFFFF"/>
                <w:sz w:val="15"/>
                <w:szCs w:val="15"/>
              </w:rPr>
              <w:t>2022</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39E9AAEB" w14:textId="77777777" w:rsidR="000344B2" w:rsidRPr="000344B2" w:rsidRDefault="000344B2" w:rsidP="000344B2">
            <w:pPr>
              <w:jc w:val="center"/>
              <w:rPr>
                <w:rFonts w:ascii="Calibri" w:hAnsi="Calibri" w:cs="Calibri"/>
                <w:color w:val="FFFFFF"/>
                <w:sz w:val="15"/>
                <w:szCs w:val="15"/>
              </w:rPr>
            </w:pPr>
            <w:r w:rsidRPr="000344B2">
              <w:rPr>
                <w:rFonts w:ascii="Calibri" w:hAnsi="Calibri" w:cs="Calibri"/>
                <w:color w:val="FFFFFF"/>
                <w:sz w:val="15"/>
                <w:szCs w:val="15"/>
              </w:rPr>
              <w:t>2018-2023</w:t>
            </w:r>
          </w:p>
        </w:tc>
      </w:tr>
      <w:tr w:rsidR="000344B2" w:rsidRPr="000344B2" w14:paraId="3277F513"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8CBAD"/>
            <w:noWrap/>
            <w:vAlign w:val="center"/>
            <w:hideMark/>
          </w:tcPr>
          <w:p w14:paraId="6D7162A7"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Prévention</w:t>
            </w:r>
          </w:p>
        </w:tc>
        <w:tc>
          <w:tcPr>
            <w:tcW w:w="1100" w:type="dxa"/>
            <w:tcBorders>
              <w:top w:val="nil"/>
              <w:left w:val="nil"/>
              <w:bottom w:val="single" w:sz="4" w:space="0" w:color="auto"/>
              <w:right w:val="single" w:sz="4" w:space="0" w:color="auto"/>
            </w:tcBorders>
            <w:shd w:val="clear" w:color="000000" w:fill="F8CBAD"/>
            <w:noWrap/>
            <w:vAlign w:val="center"/>
            <w:hideMark/>
          </w:tcPr>
          <w:p w14:paraId="31E283CD"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12 493 170,41</w:t>
            </w:r>
          </w:p>
        </w:tc>
        <w:tc>
          <w:tcPr>
            <w:tcW w:w="1100" w:type="dxa"/>
            <w:tcBorders>
              <w:top w:val="nil"/>
              <w:left w:val="nil"/>
              <w:bottom w:val="single" w:sz="4" w:space="0" w:color="auto"/>
              <w:right w:val="single" w:sz="4" w:space="0" w:color="auto"/>
            </w:tcBorders>
            <w:shd w:val="clear" w:color="000000" w:fill="F8CBAD"/>
            <w:noWrap/>
            <w:vAlign w:val="center"/>
            <w:hideMark/>
          </w:tcPr>
          <w:p w14:paraId="59E70EF0"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14 562 859,91</w:t>
            </w:r>
          </w:p>
        </w:tc>
        <w:tc>
          <w:tcPr>
            <w:tcW w:w="1100" w:type="dxa"/>
            <w:tcBorders>
              <w:top w:val="nil"/>
              <w:left w:val="nil"/>
              <w:bottom w:val="single" w:sz="4" w:space="0" w:color="auto"/>
              <w:right w:val="single" w:sz="4" w:space="0" w:color="auto"/>
            </w:tcBorders>
            <w:shd w:val="clear" w:color="000000" w:fill="F8CBAD"/>
            <w:noWrap/>
            <w:vAlign w:val="center"/>
            <w:hideMark/>
          </w:tcPr>
          <w:p w14:paraId="1034E143"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16 842 992,31</w:t>
            </w:r>
          </w:p>
        </w:tc>
        <w:tc>
          <w:tcPr>
            <w:tcW w:w="1100" w:type="dxa"/>
            <w:tcBorders>
              <w:top w:val="nil"/>
              <w:left w:val="nil"/>
              <w:bottom w:val="single" w:sz="4" w:space="0" w:color="auto"/>
              <w:right w:val="single" w:sz="4" w:space="0" w:color="auto"/>
            </w:tcBorders>
            <w:shd w:val="clear" w:color="000000" w:fill="F8CBAD"/>
            <w:noWrap/>
            <w:vAlign w:val="center"/>
            <w:hideMark/>
          </w:tcPr>
          <w:p w14:paraId="57B2732C"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19 299 936,15</w:t>
            </w:r>
          </w:p>
        </w:tc>
        <w:tc>
          <w:tcPr>
            <w:tcW w:w="1100" w:type="dxa"/>
            <w:tcBorders>
              <w:top w:val="nil"/>
              <w:left w:val="nil"/>
              <w:bottom w:val="single" w:sz="4" w:space="0" w:color="auto"/>
              <w:right w:val="single" w:sz="4" w:space="0" w:color="auto"/>
            </w:tcBorders>
            <w:shd w:val="clear" w:color="000000" w:fill="F8CBAD"/>
            <w:noWrap/>
            <w:vAlign w:val="center"/>
            <w:hideMark/>
          </w:tcPr>
          <w:p w14:paraId="73F942C9"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21 724 434,18</w:t>
            </w:r>
          </w:p>
        </w:tc>
        <w:tc>
          <w:tcPr>
            <w:tcW w:w="1100" w:type="dxa"/>
            <w:tcBorders>
              <w:top w:val="nil"/>
              <w:left w:val="nil"/>
              <w:bottom w:val="single" w:sz="4" w:space="0" w:color="auto"/>
              <w:right w:val="single" w:sz="4" w:space="0" w:color="auto"/>
            </w:tcBorders>
            <w:shd w:val="clear" w:color="000000" w:fill="F8CBAD"/>
            <w:noWrap/>
            <w:vAlign w:val="center"/>
            <w:hideMark/>
          </w:tcPr>
          <w:p w14:paraId="3C841720"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84 923 392,96</w:t>
            </w:r>
          </w:p>
        </w:tc>
      </w:tr>
      <w:tr w:rsidR="000344B2" w:rsidRPr="000344B2" w14:paraId="071E05FF"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FFFFF"/>
            <w:noWrap/>
            <w:vAlign w:val="center"/>
            <w:hideMark/>
          </w:tcPr>
          <w:p w14:paraId="3F01BA8F"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Populations clés</w:t>
            </w:r>
          </w:p>
        </w:tc>
        <w:tc>
          <w:tcPr>
            <w:tcW w:w="1100" w:type="dxa"/>
            <w:tcBorders>
              <w:top w:val="nil"/>
              <w:left w:val="nil"/>
              <w:bottom w:val="single" w:sz="4" w:space="0" w:color="auto"/>
              <w:right w:val="single" w:sz="4" w:space="0" w:color="auto"/>
            </w:tcBorders>
            <w:shd w:val="clear" w:color="000000" w:fill="FFFFFF"/>
            <w:noWrap/>
            <w:vAlign w:val="center"/>
            <w:hideMark/>
          </w:tcPr>
          <w:p w14:paraId="405EE5ED"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397 134,70</w:t>
            </w:r>
          </w:p>
        </w:tc>
        <w:tc>
          <w:tcPr>
            <w:tcW w:w="1100" w:type="dxa"/>
            <w:tcBorders>
              <w:top w:val="nil"/>
              <w:left w:val="nil"/>
              <w:bottom w:val="single" w:sz="4" w:space="0" w:color="auto"/>
              <w:right w:val="single" w:sz="4" w:space="0" w:color="auto"/>
            </w:tcBorders>
            <w:shd w:val="clear" w:color="000000" w:fill="FFFFFF"/>
            <w:noWrap/>
            <w:vAlign w:val="center"/>
            <w:hideMark/>
          </w:tcPr>
          <w:p w14:paraId="13A7971B"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533 467,61</w:t>
            </w:r>
          </w:p>
        </w:tc>
        <w:tc>
          <w:tcPr>
            <w:tcW w:w="1100" w:type="dxa"/>
            <w:tcBorders>
              <w:top w:val="nil"/>
              <w:left w:val="nil"/>
              <w:bottom w:val="single" w:sz="4" w:space="0" w:color="auto"/>
              <w:right w:val="single" w:sz="4" w:space="0" w:color="auto"/>
            </w:tcBorders>
            <w:shd w:val="clear" w:color="000000" w:fill="FFFFFF"/>
            <w:noWrap/>
            <w:vAlign w:val="center"/>
            <w:hideMark/>
          </w:tcPr>
          <w:p w14:paraId="1F5CB0C4"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729 976,68</w:t>
            </w:r>
          </w:p>
        </w:tc>
        <w:tc>
          <w:tcPr>
            <w:tcW w:w="1100" w:type="dxa"/>
            <w:tcBorders>
              <w:top w:val="nil"/>
              <w:left w:val="nil"/>
              <w:bottom w:val="single" w:sz="4" w:space="0" w:color="auto"/>
              <w:right w:val="single" w:sz="4" w:space="0" w:color="auto"/>
            </w:tcBorders>
            <w:shd w:val="clear" w:color="000000" w:fill="FFFFFF"/>
            <w:noWrap/>
            <w:vAlign w:val="center"/>
            <w:hideMark/>
          </w:tcPr>
          <w:p w14:paraId="41F60D65"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863 359,36</w:t>
            </w:r>
          </w:p>
        </w:tc>
        <w:tc>
          <w:tcPr>
            <w:tcW w:w="1100" w:type="dxa"/>
            <w:tcBorders>
              <w:top w:val="nil"/>
              <w:left w:val="nil"/>
              <w:bottom w:val="single" w:sz="4" w:space="0" w:color="auto"/>
              <w:right w:val="single" w:sz="4" w:space="0" w:color="auto"/>
            </w:tcBorders>
            <w:shd w:val="clear" w:color="000000" w:fill="FFFFFF"/>
            <w:noWrap/>
            <w:vAlign w:val="center"/>
            <w:hideMark/>
          </w:tcPr>
          <w:p w14:paraId="176CAC64"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1 095 116,88</w:t>
            </w:r>
          </w:p>
        </w:tc>
        <w:tc>
          <w:tcPr>
            <w:tcW w:w="1100" w:type="dxa"/>
            <w:tcBorders>
              <w:top w:val="nil"/>
              <w:left w:val="nil"/>
              <w:bottom w:val="single" w:sz="4" w:space="0" w:color="auto"/>
              <w:right w:val="single" w:sz="4" w:space="0" w:color="auto"/>
            </w:tcBorders>
            <w:shd w:val="clear" w:color="000000" w:fill="FFFFFF"/>
            <w:noWrap/>
            <w:vAlign w:val="center"/>
            <w:hideMark/>
          </w:tcPr>
          <w:p w14:paraId="3F1E43DB"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3 619 055,22</w:t>
            </w:r>
          </w:p>
        </w:tc>
      </w:tr>
      <w:tr w:rsidR="000344B2" w:rsidRPr="000344B2" w14:paraId="7AD16CDE"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FFFFF"/>
            <w:noWrap/>
            <w:vAlign w:val="center"/>
            <w:hideMark/>
          </w:tcPr>
          <w:p w14:paraId="25D8CE85"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Populations vulnérables</w:t>
            </w:r>
          </w:p>
        </w:tc>
        <w:tc>
          <w:tcPr>
            <w:tcW w:w="1100" w:type="dxa"/>
            <w:tcBorders>
              <w:top w:val="nil"/>
              <w:left w:val="nil"/>
              <w:bottom w:val="single" w:sz="4" w:space="0" w:color="auto"/>
              <w:right w:val="single" w:sz="4" w:space="0" w:color="auto"/>
            </w:tcBorders>
            <w:shd w:val="clear" w:color="000000" w:fill="FFFFFF"/>
            <w:noWrap/>
            <w:vAlign w:val="center"/>
            <w:hideMark/>
          </w:tcPr>
          <w:p w14:paraId="097797B7"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1 579 926,63</w:t>
            </w:r>
          </w:p>
        </w:tc>
        <w:tc>
          <w:tcPr>
            <w:tcW w:w="1100" w:type="dxa"/>
            <w:tcBorders>
              <w:top w:val="nil"/>
              <w:left w:val="nil"/>
              <w:bottom w:val="single" w:sz="4" w:space="0" w:color="auto"/>
              <w:right w:val="single" w:sz="4" w:space="0" w:color="auto"/>
            </w:tcBorders>
            <w:shd w:val="clear" w:color="000000" w:fill="FFFFFF"/>
            <w:noWrap/>
            <w:vAlign w:val="center"/>
            <w:hideMark/>
          </w:tcPr>
          <w:p w14:paraId="4C040153"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1 801 379,22</w:t>
            </w:r>
          </w:p>
        </w:tc>
        <w:tc>
          <w:tcPr>
            <w:tcW w:w="1100" w:type="dxa"/>
            <w:tcBorders>
              <w:top w:val="nil"/>
              <w:left w:val="nil"/>
              <w:bottom w:val="single" w:sz="4" w:space="0" w:color="auto"/>
              <w:right w:val="single" w:sz="4" w:space="0" w:color="auto"/>
            </w:tcBorders>
            <w:shd w:val="clear" w:color="000000" w:fill="FFFFFF"/>
            <w:noWrap/>
            <w:vAlign w:val="center"/>
            <w:hideMark/>
          </w:tcPr>
          <w:p w14:paraId="50B3AFAF"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2 061 203,62</w:t>
            </w:r>
          </w:p>
        </w:tc>
        <w:tc>
          <w:tcPr>
            <w:tcW w:w="1100" w:type="dxa"/>
            <w:tcBorders>
              <w:top w:val="nil"/>
              <w:left w:val="nil"/>
              <w:bottom w:val="single" w:sz="4" w:space="0" w:color="auto"/>
              <w:right w:val="single" w:sz="4" w:space="0" w:color="auto"/>
            </w:tcBorders>
            <w:shd w:val="clear" w:color="000000" w:fill="FFFFFF"/>
            <w:noWrap/>
            <w:vAlign w:val="center"/>
            <w:hideMark/>
          </w:tcPr>
          <w:p w14:paraId="1867A0F2"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2 317 168,36</w:t>
            </w:r>
          </w:p>
        </w:tc>
        <w:tc>
          <w:tcPr>
            <w:tcW w:w="1100" w:type="dxa"/>
            <w:tcBorders>
              <w:top w:val="nil"/>
              <w:left w:val="nil"/>
              <w:bottom w:val="single" w:sz="4" w:space="0" w:color="auto"/>
              <w:right w:val="single" w:sz="4" w:space="0" w:color="auto"/>
            </w:tcBorders>
            <w:shd w:val="clear" w:color="000000" w:fill="FFFFFF"/>
            <w:noWrap/>
            <w:vAlign w:val="center"/>
            <w:hideMark/>
          </w:tcPr>
          <w:p w14:paraId="5A962B9F"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2 595 768,27</w:t>
            </w:r>
          </w:p>
        </w:tc>
        <w:tc>
          <w:tcPr>
            <w:tcW w:w="1100" w:type="dxa"/>
            <w:tcBorders>
              <w:top w:val="nil"/>
              <w:left w:val="nil"/>
              <w:bottom w:val="single" w:sz="4" w:space="0" w:color="auto"/>
              <w:right w:val="single" w:sz="4" w:space="0" w:color="auto"/>
            </w:tcBorders>
            <w:shd w:val="clear" w:color="000000" w:fill="FFFFFF"/>
            <w:noWrap/>
            <w:vAlign w:val="center"/>
            <w:hideMark/>
          </w:tcPr>
          <w:p w14:paraId="4E144615"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10 355 446,10</w:t>
            </w:r>
          </w:p>
        </w:tc>
      </w:tr>
      <w:tr w:rsidR="000344B2" w:rsidRPr="000344B2" w14:paraId="13E6BCCE"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FFFFF"/>
            <w:noWrap/>
            <w:vAlign w:val="center"/>
            <w:hideMark/>
          </w:tcPr>
          <w:p w14:paraId="4F4A674D" w14:textId="77777777" w:rsidR="000344B2" w:rsidRPr="000344B2" w:rsidRDefault="000344B2" w:rsidP="000344B2">
            <w:pPr>
              <w:rPr>
                <w:rFonts w:ascii="Calibri" w:hAnsi="Calibri" w:cs="Calibri"/>
                <w:b/>
                <w:bCs/>
                <w:i/>
                <w:iCs/>
                <w:color w:val="000000"/>
                <w:sz w:val="15"/>
                <w:szCs w:val="15"/>
              </w:rPr>
            </w:pPr>
            <w:r w:rsidRPr="000344B2">
              <w:rPr>
                <w:rFonts w:ascii="Calibri" w:hAnsi="Calibri" w:cs="Calibri"/>
                <w:b/>
                <w:bCs/>
                <w:i/>
                <w:iCs/>
                <w:color w:val="000000"/>
                <w:sz w:val="15"/>
                <w:szCs w:val="15"/>
              </w:rPr>
              <w:t>Prestation de services</w:t>
            </w:r>
          </w:p>
        </w:tc>
        <w:tc>
          <w:tcPr>
            <w:tcW w:w="1100" w:type="dxa"/>
            <w:tcBorders>
              <w:top w:val="nil"/>
              <w:left w:val="nil"/>
              <w:bottom w:val="single" w:sz="4" w:space="0" w:color="auto"/>
              <w:right w:val="single" w:sz="4" w:space="0" w:color="auto"/>
            </w:tcBorders>
            <w:shd w:val="clear" w:color="000000" w:fill="FFFFFF"/>
            <w:noWrap/>
            <w:vAlign w:val="center"/>
            <w:hideMark/>
          </w:tcPr>
          <w:p w14:paraId="7469C91D"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10 246 125,38</w:t>
            </w:r>
          </w:p>
        </w:tc>
        <w:tc>
          <w:tcPr>
            <w:tcW w:w="1100" w:type="dxa"/>
            <w:tcBorders>
              <w:top w:val="nil"/>
              <w:left w:val="nil"/>
              <w:bottom w:val="single" w:sz="4" w:space="0" w:color="auto"/>
              <w:right w:val="single" w:sz="4" w:space="0" w:color="auto"/>
            </w:tcBorders>
            <w:shd w:val="clear" w:color="000000" w:fill="FFFFFF"/>
            <w:noWrap/>
            <w:vAlign w:val="center"/>
            <w:hideMark/>
          </w:tcPr>
          <w:p w14:paraId="19555D11"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11 568 036,32</w:t>
            </w:r>
          </w:p>
        </w:tc>
        <w:tc>
          <w:tcPr>
            <w:tcW w:w="1100" w:type="dxa"/>
            <w:tcBorders>
              <w:top w:val="nil"/>
              <w:left w:val="nil"/>
              <w:bottom w:val="single" w:sz="4" w:space="0" w:color="auto"/>
              <w:right w:val="single" w:sz="4" w:space="0" w:color="auto"/>
            </w:tcBorders>
            <w:shd w:val="clear" w:color="000000" w:fill="FFFFFF"/>
            <w:noWrap/>
            <w:vAlign w:val="center"/>
            <w:hideMark/>
          </w:tcPr>
          <w:p w14:paraId="7AE00EA4"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12 909 633,24</w:t>
            </w:r>
          </w:p>
        </w:tc>
        <w:tc>
          <w:tcPr>
            <w:tcW w:w="1100" w:type="dxa"/>
            <w:tcBorders>
              <w:top w:val="nil"/>
              <w:left w:val="nil"/>
              <w:bottom w:val="single" w:sz="4" w:space="0" w:color="auto"/>
              <w:right w:val="single" w:sz="4" w:space="0" w:color="auto"/>
            </w:tcBorders>
            <w:shd w:val="clear" w:color="000000" w:fill="FFFFFF"/>
            <w:noWrap/>
            <w:vAlign w:val="center"/>
            <w:hideMark/>
          </w:tcPr>
          <w:p w14:paraId="009EB5FF"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14 427 115,86</w:t>
            </w:r>
          </w:p>
        </w:tc>
        <w:tc>
          <w:tcPr>
            <w:tcW w:w="1100" w:type="dxa"/>
            <w:tcBorders>
              <w:top w:val="nil"/>
              <w:left w:val="nil"/>
              <w:bottom w:val="single" w:sz="4" w:space="0" w:color="auto"/>
              <w:right w:val="single" w:sz="4" w:space="0" w:color="auto"/>
            </w:tcBorders>
            <w:shd w:val="clear" w:color="000000" w:fill="FFFFFF"/>
            <w:noWrap/>
            <w:vAlign w:val="center"/>
            <w:hideMark/>
          </w:tcPr>
          <w:p w14:paraId="63B8BA65"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15 476 260,86</w:t>
            </w:r>
          </w:p>
        </w:tc>
        <w:tc>
          <w:tcPr>
            <w:tcW w:w="1100" w:type="dxa"/>
            <w:tcBorders>
              <w:top w:val="nil"/>
              <w:left w:val="nil"/>
              <w:bottom w:val="single" w:sz="4" w:space="0" w:color="auto"/>
              <w:right w:val="single" w:sz="4" w:space="0" w:color="auto"/>
            </w:tcBorders>
            <w:shd w:val="clear" w:color="000000" w:fill="FFFFFF"/>
            <w:noWrap/>
            <w:vAlign w:val="center"/>
            <w:hideMark/>
          </w:tcPr>
          <w:p w14:paraId="40D3AED3"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64 627 171,67</w:t>
            </w:r>
          </w:p>
        </w:tc>
      </w:tr>
      <w:tr w:rsidR="000344B2" w:rsidRPr="000344B2" w14:paraId="302E1144"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FFFFF"/>
            <w:noWrap/>
            <w:vAlign w:val="center"/>
            <w:hideMark/>
          </w:tcPr>
          <w:p w14:paraId="15E5F0BF" w14:textId="77777777" w:rsidR="000344B2" w:rsidRPr="000344B2" w:rsidRDefault="000344B2" w:rsidP="000344B2">
            <w:pPr>
              <w:rPr>
                <w:rFonts w:ascii="Calibri" w:hAnsi="Calibri" w:cs="Calibri"/>
                <w:b/>
                <w:bCs/>
                <w:i/>
                <w:iCs/>
                <w:color w:val="000000"/>
                <w:sz w:val="15"/>
                <w:szCs w:val="15"/>
              </w:rPr>
            </w:pPr>
            <w:r w:rsidRPr="000344B2">
              <w:rPr>
                <w:rFonts w:ascii="Calibri" w:hAnsi="Calibri" w:cs="Calibri"/>
                <w:b/>
                <w:bCs/>
                <w:i/>
                <w:iCs/>
                <w:color w:val="000000"/>
                <w:sz w:val="15"/>
                <w:szCs w:val="15"/>
              </w:rPr>
              <w:t>Soins de santé</w:t>
            </w:r>
          </w:p>
        </w:tc>
        <w:tc>
          <w:tcPr>
            <w:tcW w:w="1100" w:type="dxa"/>
            <w:tcBorders>
              <w:top w:val="nil"/>
              <w:left w:val="nil"/>
              <w:bottom w:val="single" w:sz="4" w:space="0" w:color="auto"/>
              <w:right w:val="single" w:sz="4" w:space="0" w:color="auto"/>
            </w:tcBorders>
            <w:shd w:val="clear" w:color="000000" w:fill="FFFFFF"/>
            <w:noWrap/>
            <w:vAlign w:val="center"/>
            <w:hideMark/>
          </w:tcPr>
          <w:p w14:paraId="315194EC"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269 983,70</w:t>
            </w:r>
          </w:p>
        </w:tc>
        <w:tc>
          <w:tcPr>
            <w:tcW w:w="1100" w:type="dxa"/>
            <w:tcBorders>
              <w:top w:val="nil"/>
              <w:left w:val="nil"/>
              <w:bottom w:val="single" w:sz="4" w:space="0" w:color="auto"/>
              <w:right w:val="single" w:sz="4" w:space="0" w:color="auto"/>
            </w:tcBorders>
            <w:shd w:val="clear" w:color="000000" w:fill="FFFFFF"/>
            <w:noWrap/>
            <w:vAlign w:val="center"/>
            <w:hideMark/>
          </w:tcPr>
          <w:p w14:paraId="21CAEACB"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659 976,76</w:t>
            </w:r>
          </w:p>
        </w:tc>
        <w:tc>
          <w:tcPr>
            <w:tcW w:w="1100" w:type="dxa"/>
            <w:tcBorders>
              <w:top w:val="nil"/>
              <w:left w:val="nil"/>
              <w:bottom w:val="single" w:sz="4" w:space="0" w:color="auto"/>
              <w:right w:val="single" w:sz="4" w:space="0" w:color="auto"/>
            </w:tcBorders>
            <w:shd w:val="clear" w:color="000000" w:fill="FFFFFF"/>
            <w:noWrap/>
            <w:vAlign w:val="center"/>
            <w:hideMark/>
          </w:tcPr>
          <w:p w14:paraId="009E250C"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1 142 178,76</w:t>
            </w:r>
          </w:p>
        </w:tc>
        <w:tc>
          <w:tcPr>
            <w:tcW w:w="1100" w:type="dxa"/>
            <w:tcBorders>
              <w:top w:val="nil"/>
              <w:left w:val="nil"/>
              <w:bottom w:val="single" w:sz="4" w:space="0" w:color="auto"/>
              <w:right w:val="single" w:sz="4" w:space="0" w:color="auto"/>
            </w:tcBorders>
            <w:shd w:val="clear" w:color="000000" w:fill="FFFFFF"/>
            <w:noWrap/>
            <w:vAlign w:val="center"/>
            <w:hideMark/>
          </w:tcPr>
          <w:p w14:paraId="4DFFF2C8"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1 692 292,57</w:t>
            </w:r>
          </w:p>
        </w:tc>
        <w:tc>
          <w:tcPr>
            <w:tcW w:w="1100" w:type="dxa"/>
            <w:tcBorders>
              <w:top w:val="nil"/>
              <w:left w:val="nil"/>
              <w:bottom w:val="single" w:sz="4" w:space="0" w:color="auto"/>
              <w:right w:val="single" w:sz="4" w:space="0" w:color="auto"/>
            </w:tcBorders>
            <w:shd w:val="clear" w:color="000000" w:fill="FFFFFF"/>
            <w:noWrap/>
            <w:vAlign w:val="center"/>
            <w:hideMark/>
          </w:tcPr>
          <w:p w14:paraId="6F11D00D"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2 557 288,17</w:t>
            </w:r>
          </w:p>
        </w:tc>
        <w:tc>
          <w:tcPr>
            <w:tcW w:w="1100" w:type="dxa"/>
            <w:tcBorders>
              <w:top w:val="nil"/>
              <w:left w:val="nil"/>
              <w:bottom w:val="single" w:sz="4" w:space="0" w:color="auto"/>
              <w:right w:val="single" w:sz="4" w:space="0" w:color="auto"/>
            </w:tcBorders>
            <w:shd w:val="clear" w:color="000000" w:fill="FFFFFF"/>
            <w:noWrap/>
            <w:vAlign w:val="center"/>
            <w:hideMark/>
          </w:tcPr>
          <w:p w14:paraId="19676F85"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6 321 719,97</w:t>
            </w:r>
          </w:p>
        </w:tc>
      </w:tr>
      <w:tr w:rsidR="000344B2" w:rsidRPr="000344B2" w14:paraId="235B5E2D"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8CBAD"/>
            <w:noWrap/>
            <w:vAlign w:val="center"/>
            <w:hideMark/>
          </w:tcPr>
          <w:p w14:paraId="72593045"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Services de soin et de traitement</w:t>
            </w:r>
          </w:p>
        </w:tc>
        <w:tc>
          <w:tcPr>
            <w:tcW w:w="1100" w:type="dxa"/>
            <w:tcBorders>
              <w:top w:val="nil"/>
              <w:left w:val="nil"/>
              <w:bottom w:val="single" w:sz="4" w:space="0" w:color="auto"/>
              <w:right w:val="single" w:sz="4" w:space="0" w:color="auto"/>
            </w:tcBorders>
            <w:shd w:val="clear" w:color="000000" w:fill="F8CBAD"/>
            <w:noWrap/>
            <w:vAlign w:val="center"/>
            <w:hideMark/>
          </w:tcPr>
          <w:p w14:paraId="629DCDB6"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18 540 156,84</w:t>
            </w:r>
          </w:p>
        </w:tc>
        <w:tc>
          <w:tcPr>
            <w:tcW w:w="1100" w:type="dxa"/>
            <w:tcBorders>
              <w:top w:val="nil"/>
              <w:left w:val="nil"/>
              <w:bottom w:val="single" w:sz="4" w:space="0" w:color="auto"/>
              <w:right w:val="single" w:sz="4" w:space="0" w:color="auto"/>
            </w:tcBorders>
            <w:shd w:val="clear" w:color="000000" w:fill="F8CBAD"/>
            <w:noWrap/>
            <w:vAlign w:val="center"/>
            <w:hideMark/>
          </w:tcPr>
          <w:p w14:paraId="5AE9A8B1"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22 183 236,70</w:t>
            </w:r>
          </w:p>
        </w:tc>
        <w:tc>
          <w:tcPr>
            <w:tcW w:w="1100" w:type="dxa"/>
            <w:tcBorders>
              <w:top w:val="nil"/>
              <w:left w:val="nil"/>
              <w:bottom w:val="single" w:sz="4" w:space="0" w:color="auto"/>
              <w:right w:val="single" w:sz="4" w:space="0" w:color="auto"/>
            </w:tcBorders>
            <w:shd w:val="clear" w:color="000000" w:fill="F8CBAD"/>
            <w:noWrap/>
            <w:vAlign w:val="center"/>
            <w:hideMark/>
          </w:tcPr>
          <w:p w14:paraId="50F96584"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25 807 502,53</w:t>
            </w:r>
          </w:p>
        </w:tc>
        <w:tc>
          <w:tcPr>
            <w:tcW w:w="1100" w:type="dxa"/>
            <w:tcBorders>
              <w:top w:val="nil"/>
              <w:left w:val="nil"/>
              <w:bottom w:val="single" w:sz="4" w:space="0" w:color="auto"/>
              <w:right w:val="single" w:sz="4" w:space="0" w:color="auto"/>
            </w:tcBorders>
            <w:shd w:val="clear" w:color="000000" w:fill="F8CBAD"/>
            <w:noWrap/>
            <w:vAlign w:val="center"/>
            <w:hideMark/>
          </w:tcPr>
          <w:p w14:paraId="0AB86348"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28 145 942,96</w:t>
            </w:r>
          </w:p>
        </w:tc>
        <w:tc>
          <w:tcPr>
            <w:tcW w:w="1100" w:type="dxa"/>
            <w:tcBorders>
              <w:top w:val="nil"/>
              <w:left w:val="nil"/>
              <w:bottom w:val="single" w:sz="4" w:space="0" w:color="auto"/>
              <w:right w:val="single" w:sz="4" w:space="0" w:color="auto"/>
            </w:tcBorders>
            <w:shd w:val="clear" w:color="000000" w:fill="F8CBAD"/>
            <w:noWrap/>
            <w:vAlign w:val="center"/>
            <w:hideMark/>
          </w:tcPr>
          <w:p w14:paraId="5EC56AF7"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31 106 302,24</w:t>
            </w:r>
          </w:p>
        </w:tc>
        <w:tc>
          <w:tcPr>
            <w:tcW w:w="1100" w:type="dxa"/>
            <w:tcBorders>
              <w:top w:val="nil"/>
              <w:left w:val="nil"/>
              <w:bottom w:val="single" w:sz="4" w:space="0" w:color="auto"/>
              <w:right w:val="single" w:sz="4" w:space="0" w:color="auto"/>
            </w:tcBorders>
            <w:shd w:val="clear" w:color="000000" w:fill="F8CBAD"/>
            <w:noWrap/>
            <w:vAlign w:val="center"/>
            <w:hideMark/>
          </w:tcPr>
          <w:p w14:paraId="56A56D35"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125 783 141,27</w:t>
            </w:r>
          </w:p>
        </w:tc>
      </w:tr>
      <w:tr w:rsidR="000344B2" w:rsidRPr="000344B2" w14:paraId="69886AC6"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8CBAD"/>
            <w:noWrap/>
            <w:vAlign w:val="center"/>
            <w:hideMark/>
          </w:tcPr>
          <w:p w14:paraId="0338A89D"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Politique, admin., recherche, suivi et évaluation</w:t>
            </w:r>
          </w:p>
        </w:tc>
        <w:tc>
          <w:tcPr>
            <w:tcW w:w="1100" w:type="dxa"/>
            <w:tcBorders>
              <w:top w:val="nil"/>
              <w:left w:val="nil"/>
              <w:bottom w:val="single" w:sz="4" w:space="0" w:color="auto"/>
              <w:right w:val="single" w:sz="4" w:space="0" w:color="auto"/>
            </w:tcBorders>
            <w:shd w:val="clear" w:color="000000" w:fill="F8CBAD"/>
            <w:noWrap/>
            <w:vAlign w:val="center"/>
            <w:hideMark/>
          </w:tcPr>
          <w:p w14:paraId="2FA92E5B"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7 665 231,83</w:t>
            </w:r>
          </w:p>
        </w:tc>
        <w:tc>
          <w:tcPr>
            <w:tcW w:w="1100" w:type="dxa"/>
            <w:tcBorders>
              <w:top w:val="nil"/>
              <w:left w:val="nil"/>
              <w:bottom w:val="single" w:sz="4" w:space="0" w:color="auto"/>
              <w:right w:val="single" w:sz="4" w:space="0" w:color="auto"/>
            </w:tcBorders>
            <w:shd w:val="clear" w:color="000000" w:fill="F8CBAD"/>
            <w:noWrap/>
            <w:vAlign w:val="center"/>
            <w:hideMark/>
          </w:tcPr>
          <w:p w14:paraId="0864300E"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9 076 285,86</w:t>
            </w:r>
          </w:p>
        </w:tc>
        <w:tc>
          <w:tcPr>
            <w:tcW w:w="1100" w:type="dxa"/>
            <w:tcBorders>
              <w:top w:val="nil"/>
              <w:left w:val="nil"/>
              <w:bottom w:val="single" w:sz="4" w:space="0" w:color="auto"/>
              <w:right w:val="single" w:sz="4" w:space="0" w:color="auto"/>
            </w:tcBorders>
            <w:shd w:val="clear" w:color="000000" w:fill="F8CBAD"/>
            <w:noWrap/>
            <w:vAlign w:val="center"/>
            <w:hideMark/>
          </w:tcPr>
          <w:p w14:paraId="06944F26"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10 534 672,23</w:t>
            </w:r>
          </w:p>
        </w:tc>
        <w:tc>
          <w:tcPr>
            <w:tcW w:w="1100" w:type="dxa"/>
            <w:tcBorders>
              <w:top w:val="nil"/>
              <w:left w:val="nil"/>
              <w:bottom w:val="single" w:sz="4" w:space="0" w:color="auto"/>
              <w:right w:val="single" w:sz="4" w:space="0" w:color="auto"/>
            </w:tcBorders>
            <w:shd w:val="clear" w:color="000000" w:fill="F8CBAD"/>
            <w:noWrap/>
            <w:vAlign w:val="center"/>
            <w:hideMark/>
          </w:tcPr>
          <w:p w14:paraId="02AD11EA"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11 719 132,14</w:t>
            </w:r>
          </w:p>
        </w:tc>
        <w:tc>
          <w:tcPr>
            <w:tcW w:w="1100" w:type="dxa"/>
            <w:tcBorders>
              <w:top w:val="nil"/>
              <w:left w:val="nil"/>
              <w:bottom w:val="single" w:sz="4" w:space="0" w:color="auto"/>
              <w:right w:val="single" w:sz="4" w:space="0" w:color="auto"/>
            </w:tcBorders>
            <w:shd w:val="clear" w:color="000000" w:fill="F8CBAD"/>
            <w:noWrap/>
            <w:vAlign w:val="center"/>
            <w:hideMark/>
          </w:tcPr>
          <w:p w14:paraId="4494FED2"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13 049 191,89</w:t>
            </w:r>
          </w:p>
        </w:tc>
        <w:tc>
          <w:tcPr>
            <w:tcW w:w="1100" w:type="dxa"/>
            <w:tcBorders>
              <w:top w:val="nil"/>
              <w:left w:val="nil"/>
              <w:bottom w:val="single" w:sz="4" w:space="0" w:color="auto"/>
              <w:right w:val="single" w:sz="4" w:space="0" w:color="auto"/>
            </w:tcBorders>
            <w:shd w:val="clear" w:color="000000" w:fill="F8CBAD"/>
            <w:noWrap/>
            <w:vAlign w:val="center"/>
            <w:hideMark/>
          </w:tcPr>
          <w:p w14:paraId="23009CB4"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52 044 513,95</w:t>
            </w:r>
          </w:p>
        </w:tc>
      </w:tr>
      <w:tr w:rsidR="000344B2" w:rsidRPr="000344B2" w14:paraId="644F5917"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E7E6E6"/>
            <w:noWrap/>
            <w:vAlign w:val="center"/>
            <w:hideMark/>
          </w:tcPr>
          <w:p w14:paraId="31750F6A"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Total Unité de USD</w:t>
            </w:r>
          </w:p>
        </w:tc>
        <w:tc>
          <w:tcPr>
            <w:tcW w:w="1100" w:type="dxa"/>
            <w:tcBorders>
              <w:top w:val="nil"/>
              <w:left w:val="nil"/>
              <w:bottom w:val="single" w:sz="4" w:space="0" w:color="auto"/>
              <w:right w:val="single" w:sz="4" w:space="0" w:color="auto"/>
            </w:tcBorders>
            <w:shd w:val="clear" w:color="000000" w:fill="E7E6E6"/>
            <w:noWrap/>
            <w:vAlign w:val="center"/>
            <w:hideMark/>
          </w:tcPr>
          <w:p w14:paraId="72DD150B"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38 698 559,08</w:t>
            </w:r>
          </w:p>
        </w:tc>
        <w:tc>
          <w:tcPr>
            <w:tcW w:w="1100" w:type="dxa"/>
            <w:tcBorders>
              <w:top w:val="nil"/>
              <w:left w:val="nil"/>
              <w:bottom w:val="single" w:sz="4" w:space="0" w:color="auto"/>
              <w:right w:val="single" w:sz="4" w:space="0" w:color="auto"/>
            </w:tcBorders>
            <w:shd w:val="clear" w:color="000000" w:fill="E7E6E6"/>
            <w:noWrap/>
            <w:vAlign w:val="center"/>
            <w:hideMark/>
          </w:tcPr>
          <w:p w14:paraId="267D4866"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45 822 382,47</w:t>
            </w:r>
          </w:p>
        </w:tc>
        <w:tc>
          <w:tcPr>
            <w:tcW w:w="1100" w:type="dxa"/>
            <w:tcBorders>
              <w:top w:val="nil"/>
              <w:left w:val="nil"/>
              <w:bottom w:val="single" w:sz="4" w:space="0" w:color="auto"/>
              <w:right w:val="single" w:sz="4" w:space="0" w:color="auto"/>
            </w:tcBorders>
            <w:shd w:val="clear" w:color="000000" w:fill="E7E6E6"/>
            <w:noWrap/>
            <w:vAlign w:val="center"/>
            <w:hideMark/>
          </w:tcPr>
          <w:p w14:paraId="2F4F3F35"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53 185 167,07</w:t>
            </w:r>
          </w:p>
        </w:tc>
        <w:tc>
          <w:tcPr>
            <w:tcW w:w="1100" w:type="dxa"/>
            <w:tcBorders>
              <w:top w:val="nil"/>
              <w:left w:val="nil"/>
              <w:bottom w:val="single" w:sz="4" w:space="0" w:color="auto"/>
              <w:right w:val="single" w:sz="4" w:space="0" w:color="auto"/>
            </w:tcBorders>
            <w:shd w:val="clear" w:color="000000" w:fill="E7E6E6"/>
            <w:noWrap/>
            <w:vAlign w:val="center"/>
            <w:hideMark/>
          </w:tcPr>
          <w:p w14:paraId="0E38990B"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59 165 011,25</w:t>
            </w:r>
          </w:p>
        </w:tc>
        <w:tc>
          <w:tcPr>
            <w:tcW w:w="1100" w:type="dxa"/>
            <w:tcBorders>
              <w:top w:val="nil"/>
              <w:left w:val="nil"/>
              <w:bottom w:val="single" w:sz="4" w:space="0" w:color="auto"/>
              <w:right w:val="single" w:sz="4" w:space="0" w:color="auto"/>
            </w:tcBorders>
            <w:shd w:val="clear" w:color="000000" w:fill="E7E6E6"/>
            <w:noWrap/>
            <w:vAlign w:val="center"/>
            <w:hideMark/>
          </w:tcPr>
          <w:p w14:paraId="2C53E4BC"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65 879 928,31</w:t>
            </w:r>
          </w:p>
        </w:tc>
        <w:tc>
          <w:tcPr>
            <w:tcW w:w="1100" w:type="dxa"/>
            <w:tcBorders>
              <w:top w:val="nil"/>
              <w:left w:val="nil"/>
              <w:bottom w:val="single" w:sz="4" w:space="0" w:color="auto"/>
              <w:right w:val="single" w:sz="4" w:space="0" w:color="auto"/>
            </w:tcBorders>
            <w:shd w:val="clear" w:color="000000" w:fill="E7E6E6"/>
            <w:noWrap/>
            <w:vAlign w:val="center"/>
            <w:hideMark/>
          </w:tcPr>
          <w:p w14:paraId="297ABA71"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262 751 048,18</w:t>
            </w:r>
          </w:p>
        </w:tc>
      </w:tr>
    </w:tbl>
    <w:p w14:paraId="00F08096" w14:textId="415837B9" w:rsidR="001464B3" w:rsidRPr="00654CE7" w:rsidRDefault="001464B3" w:rsidP="001464B3">
      <w:pPr>
        <w:rPr>
          <w:rFonts w:cs="Calibri"/>
          <w:b/>
        </w:rPr>
      </w:pPr>
    </w:p>
    <w:p w14:paraId="2581B683" w14:textId="77777777" w:rsidR="001464B3" w:rsidRPr="00654CE7" w:rsidRDefault="001464B3" w:rsidP="001464B3">
      <w:pPr>
        <w:jc w:val="both"/>
        <w:rPr>
          <w:rFonts w:cs="Calibri"/>
        </w:rPr>
      </w:pPr>
      <w:r w:rsidRPr="00654CE7">
        <w:rPr>
          <w:rFonts w:cs="Calibri"/>
        </w:rPr>
        <w:t>Le financement sera assuré par les ressources financières internes (État, collectivités, secteur privé, ménages) et par la contribution des partenaires techniques et financiers. La mise en œuvre et l’atteinte des résultats escomptés est tributaire de la maitrise des risques et de la hauteur de la mobilisation des ressources financières. Aussi, un plan de gestion des risques dans le présent CSN et il est envisagé une Table ronde de mobilisation des ressources et des mesures robustes pour assurer la mobilisation effective des promesses de financements ainsi que la mise à contribution de financements innovants.</w:t>
      </w:r>
    </w:p>
    <w:p w14:paraId="481EA85C" w14:textId="77777777" w:rsidR="0032520C" w:rsidRDefault="0032520C">
      <w:pPr>
        <w:spacing w:after="160" w:line="259" w:lineRule="auto"/>
        <w:rPr>
          <w:rFonts w:ascii="Calibri" w:hAnsi="Calibri"/>
          <w:b/>
        </w:rPr>
      </w:pPr>
    </w:p>
    <w:p w14:paraId="6078E23C" w14:textId="5B2D9BF9" w:rsidR="0032520C" w:rsidRDefault="0032520C">
      <w:pPr>
        <w:spacing w:after="160" w:line="259" w:lineRule="auto"/>
        <w:rPr>
          <w:rFonts w:ascii="Calibri" w:hAnsi="Calibri"/>
          <w:b/>
        </w:rPr>
      </w:pPr>
      <w:r>
        <w:rPr>
          <w:rFonts w:ascii="Calibri" w:hAnsi="Calibri"/>
          <w:b/>
        </w:rPr>
        <w:br w:type="page"/>
      </w:r>
    </w:p>
    <w:p w14:paraId="7FC59564" w14:textId="77777777" w:rsidR="00015F92" w:rsidRDefault="00015F92" w:rsidP="0032520C">
      <w:pPr>
        <w:rPr>
          <w:rFonts w:ascii="Calibri" w:hAnsi="Calibri"/>
          <w:b/>
        </w:rPr>
      </w:pPr>
    </w:p>
    <w:p w14:paraId="5F9596EF" w14:textId="77777777" w:rsidR="00CC4D6E" w:rsidRPr="00015F92" w:rsidRDefault="00CC4D6E" w:rsidP="0032520C">
      <w:pPr>
        <w:pStyle w:val="Titre1"/>
        <w:numPr>
          <w:ilvl w:val="0"/>
          <w:numId w:val="0"/>
        </w:numPr>
        <w:pBdr>
          <w:bottom w:val="single" w:sz="12" w:space="1" w:color="auto"/>
        </w:pBdr>
        <w:shd w:val="clear" w:color="auto" w:fill="92D050"/>
        <w:spacing w:after="0"/>
        <w:rPr>
          <w:rFonts w:ascii="Calibri" w:hAnsi="Calibri"/>
          <w:sz w:val="36"/>
          <w:szCs w:val="36"/>
        </w:rPr>
      </w:pPr>
      <w:bookmarkStart w:id="12" w:name="_Toc500496774"/>
      <w:bookmarkStart w:id="13" w:name="_Toc500520915"/>
      <w:bookmarkStart w:id="14" w:name="_Toc520983516"/>
      <w:r w:rsidRPr="00015F92">
        <w:rPr>
          <w:rFonts w:ascii="Calibri" w:hAnsi="Calibri"/>
          <w:sz w:val="36"/>
          <w:szCs w:val="36"/>
        </w:rPr>
        <w:t>Introduction</w:t>
      </w:r>
      <w:bookmarkEnd w:id="12"/>
      <w:bookmarkEnd w:id="13"/>
      <w:bookmarkEnd w:id="14"/>
    </w:p>
    <w:p w14:paraId="08CC3FE5" w14:textId="77777777" w:rsidR="00CC4D6E" w:rsidRPr="005B52BA" w:rsidRDefault="00CC4D6E" w:rsidP="0032520C">
      <w:pPr>
        <w:jc w:val="both"/>
        <w:rPr>
          <w:rFonts w:ascii="Calibri" w:hAnsi="Calibri"/>
          <w:b/>
        </w:rPr>
      </w:pPr>
    </w:p>
    <w:p w14:paraId="0A4EB4FC" w14:textId="44CB3F35" w:rsidR="00D33518" w:rsidRPr="005B52BA" w:rsidRDefault="00D33518" w:rsidP="0032520C">
      <w:pPr>
        <w:jc w:val="both"/>
        <w:rPr>
          <w:rFonts w:ascii="Calibri" w:hAnsi="Calibri"/>
        </w:rPr>
      </w:pPr>
      <w:r w:rsidRPr="005B52BA">
        <w:rPr>
          <w:rFonts w:ascii="Calibri" w:hAnsi="Calibri"/>
        </w:rPr>
        <w:t>Malgré les progrès importants enregistrés au cours de la décennie passée, la pandémie de l’infection due au Virus de l’Immunodéficience Humain (VIH), reste une préoccupation sanitaire majeure au niveau mondial, surtout dans les pays d’Afrique sub-saharienne qui sont les plus concernés par ce fléau. En effet, dans cette partie du monde les indicateurs suivants montrent la lourde</w:t>
      </w:r>
      <w:r w:rsidR="00B42FE8">
        <w:rPr>
          <w:rFonts w:ascii="Calibri" w:hAnsi="Calibri"/>
        </w:rPr>
        <w:t>ur du fardeau de l’épidémie : 9</w:t>
      </w:r>
      <w:r w:rsidRPr="005B52BA">
        <w:rPr>
          <w:rFonts w:ascii="Calibri" w:hAnsi="Calibri"/>
        </w:rPr>
        <w:t>% de la mortalité maternelle imputable au VIH, 91 % des enfants infectés par le VIH du fait de la transmission mère-enfant (TME), 92 % des décès des enfants de moins de 15 ans infectés par le VIH [1].</w:t>
      </w:r>
    </w:p>
    <w:p w14:paraId="0881CC0A" w14:textId="77777777" w:rsidR="00D33518" w:rsidRPr="005B52BA" w:rsidRDefault="00D33518" w:rsidP="00D33518">
      <w:pPr>
        <w:jc w:val="both"/>
        <w:rPr>
          <w:rFonts w:ascii="Calibri" w:hAnsi="Calibri"/>
        </w:rPr>
      </w:pPr>
    </w:p>
    <w:p w14:paraId="2E268A3E" w14:textId="05B2060B" w:rsidR="00D33518" w:rsidRPr="005B52BA" w:rsidRDefault="00D33518" w:rsidP="001A70B1">
      <w:pPr>
        <w:jc w:val="both"/>
        <w:rPr>
          <w:rFonts w:ascii="Calibri" w:hAnsi="Calibri"/>
        </w:rPr>
      </w:pPr>
      <w:r w:rsidRPr="00D33518">
        <w:rPr>
          <w:rFonts w:ascii="Calibri" w:hAnsi="Calibri"/>
        </w:rPr>
        <w:t xml:space="preserve">En Guinée, l’épidémie du VIH est de type </w:t>
      </w:r>
      <w:r w:rsidR="001A70B1">
        <w:rPr>
          <w:rFonts w:ascii="Calibri" w:hAnsi="Calibri"/>
        </w:rPr>
        <w:t>généralisé. Elle est de 1,5</w:t>
      </w:r>
      <w:r w:rsidRPr="00D33518">
        <w:rPr>
          <w:rFonts w:ascii="Calibri" w:hAnsi="Calibri"/>
        </w:rPr>
        <w:t xml:space="preserve">% au sein de la population générale </w:t>
      </w:r>
      <w:r w:rsidR="00B42FE8">
        <w:rPr>
          <w:rFonts w:ascii="Calibri" w:hAnsi="Calibri"/>
        </w:rPr>
        <w:t>en fin 2016</w:t>
      </w:r>
      <w:r w:rsidR="001A70B1">
        <w:rPr>
          <w:rFonts w:ascii="Calibri" w:hAnsi="Calibri"/>
        </w:rPr>
        <w:t xml:space="preserve"> </w:t>
      </w:r>
      <w:r w:rsidRPr="00D33518">
        <w:rPr>
          <w:rFonts w:ascii="Calibri" w:hAnsi="Calibri"/>
        </w:rPr>
        <w:t xml:space="preserve">avec des variations par région, par sexe, par âge et par groupe cible. Elle est plus élevée chez les femmes (2.1%) que chez les hommes (1.2%). De même, elle est plus élevée en milieu urbain (2.7%) qu’en milieu rural (1.2%). Il s’agit d’une épidémie concentrée parmi les groupes </w:t>
      </w:r>
      <w:r w:rsidR="001A70B1">
        <w:rPr>
          <w:rFonts w:ascii="Calibri" w:hAnsi="Calibri"/>
        </w:rPr>
        <w:t>soit</w:t>
      </w:r>
      <w:r w:rsidRPr="005B52BA">
        <w:rPr>
          <w:rFonts w:ascii="Calibri" w:hAnsi="Calibri"/>
        </w:rPr>
        <w:t xml:space="preserve"> de </w:t>
      </w:r>
      <w:r w:rsidR="001A70B1">
        <w:rPr>
          <w:rFonts w:ascii="Calibri" w:hAnsi="Calibri"/>
          <w:noProof/>
        </w:rPr>
        <w:t>10,7</w:t>
      </w:r>
      <w:r w:rsidR="00B42FE8">
        <w:rPr>
          <w:rFonts w:ascii="Calibri" w:hAnsi="Calibri"/>
          <w:noProof/>
        </w:rPr>
        <w:t>%</w:t>
      </w:r>
      <w:r w:rsidR="001A70B1">
        <w:rPr>
          <w:rFonts w:ascii="Calibri" w:hAnsi="Calibri"/>
          <w:noProof/>
        </w:rPr>
        <w:t xml:space="preserve"> en 2017 chez les professionnels de sexe</w:t>
      </w:r>
      <w:r w:rsidR="001A70B1" w:rsidRPr="005B52BA">
        <w:rPr>
          <w:rFonts w:ascii="Calibri" w:hAnsi="Calibri"/>
          <w:noProof/>
        </w:rPr>
        <w:t>, les hommes ayant des relations sexuelles avec les hommes</w:t>
      </w:r>
      <w:r w:rsidR="001A70B1">
        <w:rPr>
          <w:rFonts w:ascii="Calibri" w:hAnsi="Calibri"/>
          <w:noProof/>
        </w:rPr>
        <w:t xml:space="preserve"> (11,4% en 2017). </w:t>
      </w:r>
      <w:r w:rsidRPr="005B52BA">
        <w:rPr>
          <w:rFonts w:ascii="Calibri" w:hAnsi="Calibri"/>
        </w:rPr>
        <w:t xml:space="preserve"> De toute évidence, les nouvelles infections ont baissé au niveau national ; cependant,</w:t>
      </w:r>
      <w:r w:rsidRPr="005B52BA">
        <w:rPr>
          <w:rFonts w:ascii="Calibri" w:hAnsi="Calibri" w:cs="Arial"/>
        </w:rPr>
        <w:t xml:space="preserve"> selon les estimations par EPP-SPECTRUM, les nouvelles infections chez les enfants sont en forte progression depuis 2014</w:t>
      </w:r>
      <w:r w:rsidRPr="005B52BA">
        <w:rPr>
          <w:rFonts w:ascii="Calibri" w:hAnsi="Calibri"/>
        </w:rPr>
        <w:t xml:space="preserve">. </w:t>
      </w:r>
      <w:r w:rsidRPr="005B52BA">
        <w:rPr>
          <w:rFonts w:ascii="Calibri" w:hAnsi="Calibri"/>
          <w:noProof/>
        </w:rPr>
        <w:t xml:space="preserve">La transmission verticale du VIH occupe une place importante dans ces nouvelles infections bien plus que les populations clés. Les couples heterosexuels dits « stables » contribuent pour près de 20% aux nouvelles infections.  </w:t>
      </w:r>
    </w:p>
    <w:p w14:paraId="179226AC" w14:textId="77777777" w:rsidR="00D33518" w:rsidRPr="005B52BA" w:rsidRDefault="00D33518" w:rsidP="00D33518">
      <w:pPr>
        <w:jc w:val="both"/>
        <w:rPr>
          <w:rFonts w:ascii="Calibri" w:hAnsi="Calibri"/>
        </w:rPr>
      </w:pPr>
    </w:p>
    <w:p w14:paraId="5CE24629" w14:textId="2D755123" w:rsidR="00D33518" w:rsidRPr="005B52BA" w:rsidRDefault="00D33518" w:rsidP="00D33518">
      <w:pPr>
        <w:jc w:val="both"/>
        <w:rPr>
          <w:rFonts w:ascii="Calibri" w:hAnsi="Calibri"/>
          <w:bCs/>
        </w:rPr>
      </w:pPr>
      <w:r w:rsidRPr="005B52BA">
        <w:rPr>
          <w:rFonts w:ascii="Calibri" w:hAnsi="Calibri"/>
        </w:rPr>
        <w:t xml:space="preserve">C’est pour faire face à cette situation que le Comité National de Lutte contre le </w:t>
      </w:r>
      <w:r>
        <w:rPr>
          <w:rFonts w:ascii="Calibri" w:hAnsi="Calibri"/>
        </w:rPr>
        <w:t>sida</w:t>
      </w:r>
      <w:r w:rsidRPr="005B52BA">
        <w:rPr>
          <w:rFonts w:ascii="Calibri" w:hAnsi="Calibri"/>
        </w:rPr>
        <w:t xml:space="preserve"> (CNLS) s’est engagé dans un processus de révision de son Plan Stratégique National de Lutte contre le VIH 2013-2017. Cette adaptation</w:t>
      </w:r>
      <w:r w:rsidR="001A70B1">
        <w:rPr>
          <w:rFonts w:ascii="Calibri" w:hAnsi="Calibri"/>
        </w:rPr>
        <w:t xml:space="preserve"> de la réponse au VIH pour </w:t>
      </w:r>
      <w:r w:rsidRPr="005B52BA">
        <w:rPr>
          <w:rFonts w:ascii="Calibri" w:hAnsi="Calibri"/>
        </w:rPr>
        <w:t>la période 2018-2022 s’inscrit dans la perspective de la fin de l’épidémie du VIH à l’horizon 2030</w:t>
      </w:r>
      <w:r w:rsidRPr="005B52BA">
        <w:rPr>
          <w:rFonts w:ascii="Calibri" w:hAnsi="Calibri"/>
          <w:bCs/>
        </w:rPr>
        <w:t>.</w:t>
      </w:r>
    </w:p>
    <w:p w14:paraId="6FAA7D24" w14:textId="77777777" w:rsidR="00D33518" w:rsidRPr="005B52BA" w:rsidRDefault="00D33518" w:rsidP="00D33518">
      <w:pPr>
        <w:jc w:val="both"/>
        <w:rPr>
          <w:rFonts w:ascii="Calibri" w:hAnsi="Calibri"/>
          <w:bCs/>
        </w:rPr>
      </w:pPr>
    </w:p>
    <w:p w14:paraId="1D35758B" w14:textId="7F98ABAD" w:rsidR="00D33518" w:rsidRDefault="00D33518" w:rsidP="00C570D4">
      <w:pPr>
        <w:jc w:val="both"/>
        <w:rPr>
          <w:rFonts w:ascii="Calibri" w:hAnsi="Calibri"/>
        </w:rPr>
      </w:pPr>
      <w:r w:rsidRPr="005B52BA">
        <w:rPr>
          <w:rFonts w:ascii="Calibri" w:hAnsi="Calibri"/>
        </w:rPr>
        <w:t>Fort de cette ambiti</w:t>
      </w:r>
      <w:r w:rsidR="00C570D4">
        <w:rPr>
          <w:rFonts w:ascii="Calibri" w:hAnsi="Calibri"/>
        </w:rPr>
        <w:t>on mondiale, la Guinée orientera</w:t>
      </w:r>
      <w:r w:rsidRPr="005B52BA">
        <w:rPr>
          <w:rFonts w:ascii="Calibri" w:hAnsi="Calibri"/>
        </w:rPr>
        <w:t xml:space="preserve"> </w:t>
      </w:r>
      <w:r w:rsidR="00C570D4">
        <w:rPr>
          <w:rFonts w:ascii="Calibri" w:hAnsi="Calibri"/>
        </w:rPr>
        <w:t>sa riposte au sida</w:t>
      </w:r>
      <w:r w:rsidRPr="005B52BA">
        <w:rPr>
          <w:rFonts w:ascii="Calibri" w:hAnsi="Calibri"/>
        </w:rPr>
        <w:t xml:space="preserve"> </w:t>
      </w:r>
      <w:r w:rsidR="00C570D4">
        <w:rPr>
          <w:rFonts w:ascii="Calibri" w:hAnsi="Calibri"/>
        </w:rPr>
        <w:t>vers le</w:t>
      </w:r>
      <w:r w:rsidRPr="005B52BA">
        <w:rPr>
          <w:rFonts w:ascii="Calibri" w:hAnsi="Calibri"/>
        </w:rPr>
        <w:t xml:space="preserve"> : </w:t>
      </w:r>
      <w:r w:rsidR="00C570D4">
        <w:rPr>
          <w:rFonts w:ascii="Calibri" w:hAnsi="Calibri"/>
        </w:rPr>
        <w:t>i) le r</w:t>
      </w:r>
      <w:r w:rsidRPr="005B52BA">
        <w:rPr>
          <w:rFonts w:ascii="Calibri" w:hAnsi="Calibri"/>
        </w:rPr>
        <w:t>enforcement de la prévention de l’infe</w:t>
      </w:r>
      <w:r w:rsidR="00C570D4">
        <w:rPr>
          <w:rFonts w:ascii="Calibri" w:hAnsi="Calibri"/>
        </w:rPr>
        <w:t>ction à VIH et des IST ; ii) l’i</w:t>
      </w:r>
      <w:r w:rsidRPr="005B52BA">
        <w:rPr>
          <w:rFonts w:ascii="Calibri" w:hAnsi="Calibri"/>
        </w:rPr>
        <w:t xml:space="preserve">ntensification de la prise </w:t>
      </w:r>
      <w:r w:rsidR="00C570D4">
        <w:rPr>
          <w:rFonts w:ascii="Calibri" w:hAnsi="Calibri"/>
        </w:rPr>
        <w:t>en charge globale ; iii) et le r</w:t>
      </w:r>
      <w:r w:rsidRPr="005B52BA">
        <w:rPr>
          <w:rFonts w:ascii="Calibri" w:hAnsi="Calibri"/>
        </w:rPr>
        <w:t xml:space="preserve">enforcement de </w:t>
      </w:r>
      <w:r w:rsidR="00C570D4">
        <w:rPr>
          <w:rFonts w:ascii="Calibri" w:hAnsi="Calibri"/>
        </w:rPr>
        <w:t>la gouvernance et du leadership. Le présent document décrit le processus d’élaboration du CSN 2018-2022, le contexte et les informations qui ont orienté son élaboration ainsi que le contenu principal, comprenant entre autres : les cibles prioritaires, les priorités d’intervention, les impacts et effets attendus, les principales interventions à développer, les modalités de mise en œuvre, de coordination, de suivi évaluation ainsi que le budget requis et le gap de financement.</w:t>
      </w:r>
    </w:p>
    <w:p w14:paraId="1EFF13B2" w14:textId="77777777" w:rsidR="00C570D4" w:rsidRDefault="00C570D4" w:rsidP="00C570D4">
      <w:pPr>
        <w:jc w:val="both"/>
        <w:rPr>
          <w:rFonts w:ascii="Calibri" w:hAnsi="Calibri"/>
        </w:rPr>
      </w:pPr>
    </w:p>
    <w:p w14:paraId="4157DBEE" w14:textId="26EB16B0" w:rsidR="00CC4D6E" w:rsidRPr="005B52BA" w:rsidRDefault="00D33518" w:rsidP="00D33518">
      <w:pPr>
        <w:autoSpaceDE w:val="0"/>
        <w:autoSpaceDN w:val="0"/>
        <w:adjustRightInd w:val="0"/>
        <w:jc w:val="both"/>
        <w:rPr>
          <w:rFonts w:ascii="Calibri" w:hAnsi="Calibri"/>
        </w:rPr>
      </w:pPr>
      <w:r w:rsidRPr="005B52BA">
        <w:rPr>
          <w:rFonts w:ascii="Calibri" w:hAnsi="Calibri"/>
        </w:rPr>
        <w:t>Le présent Cadre Stratégique National s’articule sur : (i) le Contexte national ; (ii) le résumé de la situation épidémiologique et de la réponse au VIH, (iii) Cadre stratégique national 2018 – 2022, (iv) Mise en œuvre du cadre stratégique national 2018</w:t>
      </w:r>
      <w:r>
        <w:rPr>
          <w:rFonts w:ascii="Calibri" w:hAnsi="Calibri"/>
        </w:rPr>
        <w:t>-</w:t>
      </w:r>
      <w:r w:rsidRPr="005B52BA">
        <w:rPr>
          <w:rFonts w:ascii="Calibri" w:hAnsi="Calibri"/>
        </w:rPr>
        <w:t>2022, (v) Suivi et évaluation du ca</w:t>
      </w:r>
      <w:r>
        <w:rPr>
          <w:rFonts w:ascii="Calibri" w:hAnsi="Calibri"/>
        </w:rPr>
        <w:t>dre stratégique national 2018-</w:t>
      </w:r>
      <w:r w:rsidRPr="005B52BA">
        <w:rPr>
          <w:rFonts w:ascii="Calibri" w:hAnsi="Calibri"/>
        </w:rPr>
        <w:t>2022</w:t>
      </w:r>
      <w:r w:rsidR="00CC4D6E" w:rsidRPr="005B52BA">
        <w:rPr>
          <w:rFonts w:ascii="Calibri" w:hAnsi="Calibri"/>
        </w:rPr>
        <w:t>.</w:t>
      </w:r>
    </w:p>
    <w:p w14:paraId="3E0D3C87" w14:textId="77777777" w:rsidR="00F71EF1" w:rsidRPr="005B52BA" w:rsidRDefault="00F71EF1" w:rsidP="00192E96">
      <w:pPr>
        <w:jc w:val="both"/>
        <w:rPr>
          <w:rFonts w:ascii="Calibri" w:hAnsi="Calibri"/>
          <w:b/>
          <w:bCs/>
          <w:noProof/>
          <w:color w:val="345A8A"/>
        </w:rPr>
      </w:pPr>
    </w:p>
    <w:p w14:paraId="5528179C" w14:textId="32ADAFEF" w:rsidR="004D7362" w:rsidRPr="00015F92" w:rsidRDefault="004D7362" w:rsidP="00C3423E">
      <w:pPr>
        <w:pStyle w:val="Titre1"/>
        <w:numPr>
          <w:ilvl w:val="0"/>
          <w:numId w:val="0"/>
        </w:numPr>
        <w:pBdr>
          <w:bottom w:val="single" w:sz="12" w:space="1" w:color="auto"/>
        </w:pBdr>
        <w:shd w:val="clear" w:color="auto" w:fill="92D050"/>
        <w:spacing w:after="0"/>
        <w:rPr>
          <w:rFonts w:ascii="Calibri" w:hAnsi="Calibri"/>
          <w:sz w:val="28"/>
          <w:szCs w:val="28"/>
        </w:rPr>
      </w:pPr>
      <w:bookmarkStart w:id="15" w:name="_Toc500496775"/>
      <w:bookmarkStart w:id="16" w:name="_Toc500520916"/>
      <w:bookmarkStart w:id="17" w:name="_Toc520983517"/>
      <w:bookmarkStart w:id="18" w:name="_Toc490167982"/>
      <w:r w:rsidRPr="00015F92">
        <w:rPr>
          <w:rFonts w:ascii="Calibri" w:hAnsi="Calibri"/>
          <w:sz w:val="28"/>
          <w:szCs w:val="28"/>
        </w:rPr>
        <w:t>PROCESSUS D’ELABORATION DU CADRE STRATEGIQUE NATIONAL</w:t>
      </w:r>
      <w:bookmarkEnd w:id="15"/>
      <w:bookmarkEnd w:id="16"/>
      <w:bookmarkEnd w:id="17"/>
    </w:p>
    <w:p w14:paraId="4C4336FF" w14:textId="77777777" w:rsidR="004D7362" w:rsidRPr="005B52BA" w:rsidRDefault="004D7362" w:rsidP="004D7362">
      <w:pPr>
        <w:rPr>
          <w:rFonts w:ascii="Calibri" w:hAnsi="Calibri"/>
        </w:rPr>
      </w:pPr>
    </w:p>
    <w:p w14:paraId="1492513B" w14:textId="754A9235" w:rsidR="009B4543" w:rsidRPr="005B52BA" w:rsidRDefault="009B4543" w:rsidP="009B4543">
      <w:pPr>
        <w:jc w:val="both"/>
        <w:rPr>
          <w:rFonts w:ascii="Calibri" w:hAnsi="Calibri"/>
        </w:rPr>
      </w:pPr>
      <w:bookmarkStart w:id="19" w:name="_Toc498321978"/>
      <w:bookmarkStart w:id="20" w:name="_Toc499283143"/>
      <w:r w:rsidRPr="005B52BA">
        <w:rPr>
          <w:rFonts w:ascii="Calibri" w:hAnsi="Calibri"/>
        </w:rPr>
        <w:t xml:space="preserve">L’élaboration du CSN s’est déroulée sur la base des recommandations de la réunion du Comité multisectoriel à travers une approche la plus participative possible, en mesure de garantir un plus haut degré d’appropriation par tous les acteurs. Le processus a impliqué </w:t>
      </w:r>
      <w:r w:rsidR="00435CF0" w:rsidRPr="005B52BA">
        <w:rPr>
          <w:rFonts w:ascii="Calibri" w:hAnsi="Calibri"/>
        </w:rPr>
        <w:t>les secteurs</w:t>
      </w:r>
      <w:r w:rsidRPr="005B52BA">
        <w:rPr>
          <w:rFonts w:ascii="Calibri" w:hAnsi="Calibri"/>
        </w:rPr>
        <w:t xml:space="preserve"> ministériels, la société civile, de même que les représentants d’organisations </w:t>
      </w:r>
      <w:r w:rsidR="00015F92" w:rsidRPr="005B52BA">
        <w:rPr>
          <w:rFonts w:ascii="Calibri" w:hAnsi="Calibri"/>
        </w:rPr>
        <w:t>de PVVIH</w:t>
      </w:r>
      <w:r w:rsidRPr="005B52BA">
        <w:rPr>
          <w:rFonts w:ascii="Calibri" w:hAnsi="Calibri"/>
        </w:rPr>
        <w:t xml:space="preserve">, de femmes et de jeunes, de la population clé et des Partenaires techniques et financiers. </w:t>
      </w:r>
    </w:p>
    <w:p w14:paraId="2332D3EF" w14:textId="77777777" w:rsidR="00D91004" w:rsidRDefault="00D91004" w:rsidP="009B4543">
      <w:pPr>
        <w:jc w:val="both"/>
        <w:rPr>
          <w:rFonts w:ascii="Calibri" w:hAnsi="Calibri"/>
        </w:rPr>
      </w:pPr>
    </w:p>
    <w:p w14:paraId="4C42FFDA" w14:textId="467A43D8" w:rsidR="009B4543" w:rsidRDefault="009B4543" w:rsidP="009B4543">
      <w:pPr>
        <w:jc w:val="both"/>
        <w:rPr>
          <w:rFonts w:ascii="Calibri" w:hAnsi="Calibri"/>
        </w:rPr>
      </w:pPr>
      <w:r w:rsidRPr="005B52BA">
        <w:rPr>
          <w:rFonts w:ascii="Calibri" w:hAnsi="Calibri"/>
        </w:rPr>
        <w:t>Le Secrétariat Exécutif du CNLS a coordonné l’ensemble du processus d’élaboration du Cadre Stratégique 2018 - 2022, de sa planification à sa validation, avec l’appui du Ministère de la Santé, le système des Nations Unies (ONU</w:t>
      </w:r>
      <w:r w:rsidR="0036679F">
        <w:rPr>
          <w:rFonts w:ascii="Calibri" w:hAnsi="Calibri"/>
        </w:rPr>
        <w:t>SIDA</w:t>
      </w:r>
      <w:r w:rsidRPr="005B52BA">
        <w:rPr>
          <w:rFonts w:ascii="Calibri" w:hAnsi="Calibri"/>
        </w:rPr>
        <w:t>, OMS, Unicef) et des Partenaires de développement (PSI, Solthis, MSF Belgique).  Ce processus s’est en six phases</w:t>
      </w:r>
      <w:r w:rsidR="001A70B1">
        <w:rPr>
          <w:rFonts w:ascii="Calibri" w:hAnsi="Calibri"/>
        </w:rPr>
        <w:t xml:space="preserve"> comme suit</w:t>
      </w:r>
      <w:r w:rsidRPr="005B52BA">
        <w:rPr>
          <w:rFonts w:ascii="Calibri" w:hAnsi="Calibri"/>
        </w:rPr>
        <w:t> :</w:t>
      </w:r>
    </w:p>
    <w:p w14:paraId="5B898D49" w14:textId="77777777" w:rsidR="00891515" w:rsidRDefault="00891515" w:rsidP="009B4543">
      <w:pPr>
        <w:jc w:val="both"/>
        <w:rPr>
          <w:rFonts w:ascii="Calibri" w:hAnsi="Calibri"/>
        </w:rPr>
      </w:pPr>
    </w:p>
    <w:p w14:paraId="45897C81" w14:textId="597B2570" w:rsidR="00891515" w:rsidRPr="001C1DD2" w:rsidRDefault="00891515" w:rsidP="00240456">
      <w:pPr>
        <w:pStyle w:val="tab"/>
      </w:pPr>
      <w:bookmarkStart w:id="21" w:name="_Toc521064257"/>
      <w:r w:rsidRPr="00240456">
        <w:rPr>
          <w:b/>
          <w:u w:val="single"/>
        </w:rPr>
        <w:t>Tableau 1</w:t>
      </w:r>
      <w:r w:rsidRPr="001C1DD2">
        <w:t xml:space="preserve"> : </w:t>
      </w:r>
      <w:r>
        <w:t>Synthèse du processus d’élaboration du CSN 2018-2022</w:t>
      </w:r>
      <w:bookmarkEnd w:id="21"/>
    </w:p>
    <w:p w14:paraId="4260356A" w14:textId="7FEE0D14" w:rsidR="001C3756" w:rsidRDefault="001C3756" w:rsidP="009B4543">
      <w:pPr>
        <w:jc w:val="both"/>
        <w:rPr>
          <w:rFonts w:ascii="Calibri" w:hAnsi="Calibri"/>
        </w:rPr>
      </w:pPr>
    </w:p>
    <w:tbl>
      <w:tblPr>
        <w:tblStyle w:val="Grilledutableau"/>
        <w:tblW w:w="9918" w:type="dxa"/>
        <w:tblLook w:val="04A0" w:firstRow="1" w:lastRow="0" w:firstColumn="1" w:lastColumn="0" w:noHBand="0" w:noVBand="1"/>
      </w:tblPr>
      <w:tblGrid>
        <w:gridCol w:w="1696"/>
        <w:gridCol w:w="8222"/>
      </w:tblGrid>
      <w:tr w:rsidR="001C3756" w:rsidRPr="001C3756" w14:paraId="79326D08" w14:textId="77777777" w:rsidTr="001A70B1">
        <w:tc>
          <w:tcPr>
            <w:tcW w:w="1696" w:type="dxa"/>
            <w:shd w:val="clear" w:color="auto" w:fill="FFC000"/>
          </w:tcPr>
          <w:p w14:paraId="0A2E9652" w14:textId="0C3B5CAA" w:rsidR="001C3756" w:rsidRPr="001C3756" w:rsidRDefault="001C3756" w:rsidP="009B4543">
            <w:pPr>
              <w:jc w:val="both"/>
              <w:rPr>
                <w:rFonts w:ascii="Calibri" w:hAnsi="Calibri"/>
                <w:b/>
                <w:sz w:val="20"/>
                <w:szCs w:val="20"/>
              </w:rPr>
            </w:pPr>
            <w:r w:rsidRPr="001C3756">
              <w:rPr>
                <w:rFonts w:ascii="Calibri" w:hAnsi="Calibri"/>
                <w:b/>
                <w:sz w:val="20"/>
                <w:szCs w:val="20"/>
              </w:rPr>
              <w:t xml:space="preserve">Phases </w:t>
            </w:r>
          </w:p>
        </w:tc>
        <w:tc>
          <w:tcPr>
            <w:tcW w:w="8222" w:type="dxa"/>
            <w:shd w:val="clear" w:color="auto" w:fill="FFC000"/>
          </w:tcPr>
          <w:p w14:paraId="298F0E5C" w14:textId="3F07AA2C" w:rsidR="001C3756" w:rsidRPr="001C3756" w:rsidRDefault="001C3756" w:rsidP="009B4543">
            <w:pPr>
              <w:jc w:val="both"/>
              <w:rPr>
                <w:rFonts w:ascii="Calibri" w:hAnsi="Calibri"/>
                <w:b/>
                <w:sz w:val="20"/>
                <w:szCs w:val="20"/>
              </w:rPr>
            </w:pPr>
            <w:r w:rsidRPr="001C3756">
              <w:rPr>
                <w:rFonts w:ascii="Calibri" w:hAnsi="Calibri"/>
                <w:b/>
                <w:sz w:val="20"/>
                <w:szCs w:val="20"/>
              </w:rPr>
              <w:t>Activités/ périodes</w:t>
            </w:r>
          </w:p>
        </w:tc>
      </w:tr>
      <w:tr w:rsidR="001C3756" w:rsidRPr="001C3756" w14:paraId="55FC73A4" w14:textId="77777777" w:rsidTr="001A70B1">
        <w:tc>
          <w:tcPr>
            <w:tcW w:w="1696" w:type="dxa"/>
            <w:shd w:val="clear" w:color="auto" w:fill="E7E6E6" w:themeFill="background2"/>
          </w:tcPr>
          <w:p w14:paraId="1E8DC48B" w14:textId="4DA0B0A2" w:rsidR="001C3756" w:rsidRPr="001C3756" w:rsidRDefault="001C3756" w:rsidP="009B4543">
            <w:pPr>
              <w:jc w:val="both"/>
              <w:rPr>
                <w:rFonts w:ascii="Calibri" w:hAnsi="Calibri"/>
                <w:sz w:val="20"/>
                <w:szCs w:val="20"/>
              </w:rPr>
            </w:pPr>
            <w:r w:rsidRPr="001C3756">
              <w:rPr>
                <w:rFonts w:ascii="Calibri" w:hAnsi="Calibri"/>
                <w:sz w:val="20"/>
                <w:szCs w:val="20"/>
              </w:rPr>
              <w:t>Phase préparatoire</w:t>
            </w:r>
          </w:p>
        </w:tc>
        <w:tc>
          <w:tcPr>
            <w:tcW w:w="8222" w:type="dxa"/>
          </w:tcPr>
          <w:p w14:paraId="08DB88D0" w14:textId="1DBD7F70" w:rsidR="001C3756" w:rsidRPr="001C3756" w:rsidRDefault="001C3756" w:rsidP="001C3756">
            <w:pPr>
              <w:jc w:val="both"/>
              <w:rPr>
                <w:rFonts w:ascii="Calibri" w:hAnsi="Calibri"/>
                <w:sz w:val="20"/>
                <w:szCs w:val="20"/>
              </w:rPr>
            </w:pPr>
            <w:r>
              <w:rPr>
                <w:rFonts w:ascii="Calibri" w:hAnsi="Calibri"/>
                <w:sz w:val="20"/>
                <w:szCs w:val="20"/>
              </w:rPr>
              <w:t>Activités organisationnelles</w:t>
            </w:r>
          </w:p>
          <w:p w14:paraId="10ECFE1D" w14:textId="396C3FE2" w:rsidR="001C3756" w:rsidRPr="001C3756" w:rsidRDefault="001C3756" w:rsidP="001C3756">
            <w:pPr>
              <w:pStyle w:val="Paragraphedeliste"/>
              <w:numPr>
                <w:ilvl w:val="0"/>
                <w:numId w:val="35"/>
              </w:numPr>
              <w:jc w:val="both"/>
              <w:rPr>
                <w:rFonts w:ascii="Calibri" w:hAnsi="Calibri"/>
                <w:sz w:val="20"/>
                <w:szCs w:val="20"/>
              </w:rPr>
            </w:pPr>
            <w:r w:rsidRPr="001C3756">
              <w:rPr>
                <w:rFonts w:ascii="Calibri" w:hAnsi="Calibri"/>
                <w:sz w:val="20"/>
                <w:szCs w:val="20"/>
              </w:rPr>
              <w:t>Élaboration/ validation des termes de référence</w:t>
            </w:r>
          </w:p>
          <w:p w14:paraId="7BF2E95E" w14:textId="6EF4800C" w:rsidR="001C3756" w:rsidRPr="001C3756" w:rsidRDefault="001C3756" w:rsidP="001C3756">
            <w:pPr>
              <w:pStyle w:val="Paragraphedeliste"/>
              <w:numPr>
                <w:ilvl w:val="0"/>
                <w:numId w:val="35"/>
              </w:numPr>
              <w:jc w:val="both"/>
              <w:rPr>
                <w:rFonts w:ascii="Calibri" w:hAnsi="Calibri"/>
                <w:sz w:val="20"/>
                <w:szCs w:val="20"/>
              </w:rPr>
            </w:pPr>
            <w:r w:rsidRPr="001C3756">
              <w:rPr>
                <w:rFonts w:ascii="Calibri" w:hAnsi="Calibri"/>
                <w:sz w:val="20"/>
                <w:szCs w:val="20"/>
              </w:rPr>
              <w:t>Élaboration de la feuille de route du processus</w:t>
            </w:r>
          </w:p>
          <w:p w14:paraId="6B7EA8E7" w14:textId="09CEAF34" w:rsidR="001C3756" w:rsidRPr="001C3756" w:rsidRDefault="001C3756" w:rsidP="001C3756">
            <w:pPr>
              <w:pStyle w:val="Paragraphedeliste"/>
              <w:numPr>
                <w:ilvl w:val="0"/>
                <w:numId w:val="35"/>
              </w:numPr>
              <w:jc w:val="both"/>
              <w:rPr>
                <w:rFonts w:ascii="Calibri" w:hAnsi="Calibri"/>
                <w:sz w:val="20"/>
                <w:szCs w:val="20"/>
              </w:rPr>
            </w:pPr>
            <w:r w:rsidRPr="001C3756">
              <w:rPr>
                <w:rFonts w:ascii="Calibri" w:hAnsi="Calibri"/>
                <w:sz w:val="20"/>
                <w:szCs w:val="20"/>
              </w:rPr>
              <w:t xml:space="preserve">Mise en place des </w:t>
            </w:r>
            <w:r w:rsidRPr="001C3756">
              <w:rPr>
                <w:rFonts w:ascii="Calibri" w:hAnsi="Calibri"/>
                <w:bCs/>
                <w:sz w:val="20"/>
                <w:szCs w:val="20"/>
              </w:rPr>
              <w:t>de l’équipe nationale de revue et de planification et de la mise en place d’un comité de pilotage.</w:t>
            </w:r>
          </w:p>
          <w:p w14:paraId="59240441" w14:textId="66D7450A" w:rsidR="001C3756" w:rsidRPr="001C3756" w:rsidRDefault="001C3756" w:rsidP="001C3756">
            <w:pPr>
              <w:jc w:val="both"/>
              <w:rPr>
                <w:rFonts w:ascii="Calibri" w:hAnsi="Calibri"/>
                <w:sz w:val="20"/>
                <w:szCs w:val="20"/>
              </w:rPr>
            </w:pPr>
            <w:r>
              <w:rPr>
                <w:rFonts w:ascii="Calibri" w:hAnsi="Calibri"/>
                <w:sz w:val="20"/>
                <w:szCs w:val="20"/>
              </w:rPr>
              <w:t>Revue interne</w:t>
            </w:r>
          </w:p>
          <w:p w14:paraId="755441E3" w14:textId="77777777" w:rsidR="001C3756" w:rsidRPr="001C3756" w:rsidRDefault="001C3756" w:rsidP="001C3756">
            <w:pPr>
              <w:pStyle w:val="Paragraphedeliste"/>
              <w:numPr>
                <w:ilvl w:val="0"/>
                <w:numId w:val="35"/>
              </w:numPr>
              <w:jc w:val="both"/>
              <w:rPr>
                <w:rFonts w:ascii="Calibri" w:hAnsi="Calibri"/>
                <w:sz w:val="20"/>
                <w:szCs w:val="20"/>
              </w:rPr>
            </w:pPr>
            <w:r>
              <w:rPr>
                <w:rFonts w:ascii="Calibri" w:hAnsi="Calibri"/>
                <w:bCs/>
                <w:sz w:val="20"/>
                <w:szCs w:val="20"/>
              </w:rPr>
              <w:t>Élaboration des TDR de la revue</w:t>
            </w:r>
          </w:p>
          <w:p w14:paraId="1044877C" w14:textId="77777777" w:rsidR="001C3756" w:rsidRPr="001C3756" w:rsidRDefault="001C3756" w:rsidP="001C3756">
            <w:pPr>
              <w:pStyle w:val="Paragraphedeliste"/>
              <w:numPr>
                <w:ilvl w:val="0"/>
                <w:numId w:val="35"/>
              </w:numPr>
              <w:jc w:val="both"/>
              <w:rPr>
                <w:rFonts w:ascii="Calibri" w:hAnsi="Calibri"/>
                <w:sz w:val="20"/>
                <w:szCs w:val="20"/>
              </w:rPr>
            </w:pPr>
            <w:r>
              <w:rPr>
                <w:rFonts w:ascii="Calibri" w:hAnsi="Calibri"/>
                <w:bCs/>
                <w:sz w:val="20"/>
                <w:szCs w:val="20"/>
              </w:rPr>
              <w:t>Constitution des groupes</w:t>
            </w:r>
          </w:p>
          <w:p w14:paraId="783AF48E" w14:textId="77777777" w:rsidR="001C3756" w:rsidRPr="001C3756" w:rsidRDefault="001C3756" w:rsidP="001C3756">
            <w:pPr>
              <w:pStyle w:val="Paragraphedeliste"/>
              <w:numPr>
                <w:ilvl w:val="0"/>
                <w:numId w:val="35"/>
              </w:numPr>
              <w:jc w:val="both"/>
              <w:rPr>
                <w:rFonts w:ascii="Calibri" w:hAnsi="Calibri"/>
                <w:sz w:val="20"/>
                <w:szCs w:val="20"/>
              </w:rPr>
            </w:pPr>
            <w:r>
              <w:rPr>
                <w:rFonts w:ascii="Calibri" w:hAnsi="Calibri"/>
                <w:bCs/>
                <w:sz w:val="20"/>
                <w:szCs w:val="20"/>
              </w:rPr>
              <w:t>Analyse documentaire et travaux thématiques</w:t>
            </w:r>
          </w:p>
          <w:p w14:paraId="13EC8713" w14:textId="6E2049AB" w:rsidR="001C3756" w:rsidRPr="001C3756" w:rsidRDefault="001C3756" w:rsidP="001C3756">
            <w:pPr>
              <w:pStyle w:val="Paragraphedeliste"/>
              <w:numPr>
                <w:ilvl w:val="0"/>
                <w:numId w:val="35"/>
              </w:numPr>
              <w:jc w:val="both"/>
              <w:rPr>
                <w:rFonts w:ascii="Calibri" w:hAnsi="Calibri"/>
                <w:sz w:val="20"/>
                <w:szCs w:val="20"/>
              </w:rPr>
            </w:pPr>
            <w:r>
              <w:rPr>
                <w:rFonts w:ascii="Calibri" w:hAnsi="Calibri"/>
                <w:bCs/>
                <w:sz w:val="20"/>
                <w:szCs w:val="20"/>
              </w:rPr>
              <w:t>Synthèse des résultats et consolidation du rapport de revue interne</w:t>
            </w:r>
          </w:p>
        </w:tc>
      </w:tr>
      <w:tr w:rsidR="001C3756" w:rsidRPr="001C3756" w14:paraId="1C77C41E" w14:textId="77777777" w:rsidTr="001A70B1">
        <w:tc>
          <w:tcPr>
            <w:tcW w:w="1696" w:type="dxa"/>
            <w:shd w:val="clear" w:color="auto" w:fill="E7E6E6" w:themeFill="background2"/>
          </w:tcPr>
          <w:p w14:paraId="50ED4773" w14:textId="6C1D34F3" w:rsidR="001C3756" w:rsidRPr="001C3756" w:rsidRDefault="00FF3A25" w:rsidP="009B4543">
            <w:pPr>
              <w:jc w:val="both"/>
              <w:rPr>
                <w:rFonts w:ascii="Calibri" w:hAnsi="Calibri"/>
                <w:sz w:val="20"/>
                <w:szCs w:val="20"/>
              </w:rPr>
            </w:pPr>
            <w:r>
              <w:rPr>
                <w:rFonts w:ascii="Calibri" w:hAnsi="Calibri"/>
                <w:sz w:val="20"/>
                <w:szCs w:val="20"/>
              </w:rPr>
              <w:t>Phase de visite des parties prenantes</w:t>
            </w:r>
          </w:p>
        </w:tc>
        <w:tc>
          <w:tcPr>
            <w:tcW w:w="8222" w:type="dxa"/>
          </w:tcPr>
          <w:p w14:paraId="3B493D27" w14:textId="2730585D" w:rsidR="001C3756" w:rsidRPr="001C3756" w:rsidRDefault="00FF3A25" w:rsidP="00FF3A25">
            <w:pPr>
              <w:pStyle w:val="Paragraphedeliste"/>
              <w:numPr>
                <w:ilvl w:val="0"/>
                <w:numId w:val="35"/>
              </w:numPr>
              <w:jc w:val="both"/>
              <w:rPr>
                <w:rFonts w:ascii="Calibri" w:hAnsi="Calibri"/>
                <w:sz w:val="20"/>
                <w:szCs w:val="20"/>
              </w:rPr>
            </w:pPr>
            <w:r>
              <w:rPr>
                <w:rFonts w:ascii="Calibri" w:hAnsi="Calibri"/>
                <w:sz w:val="20"/>
                <w:szCs w:val="20"/>
              </w:rPr>
              <w:t xml:space="preserve">Visites aux </w:t>
            </w:r>
            <w:r w:rsidRPr="00FF3A25">
              <w:rPr>
                <w:rFonts w:ascii="Calibri" w:hAnsi="Calibri"/>
                <w:sz w:val="20"/>
                <w:szCs w:val="20"/>
              </w:rPr>
              <w:t>partenaires techniques et financiers, les réseaux et associations des PVVIH, les populations clés</w:t>
            </w:r>
            <w:r>
              <w:rPr>
                <w:rFonts w:ascii="Calibri" w:hAnsi="Calibri"/>
                <w:sz w:val="20"/>
                <w:szCs w:val="20"/>
              </w:rPr>
              <w:t xml:space="preserve"> pour recueillir leur avis sur la mise en œuvre, les défis et leurs attentes pour la suite du processus et de la riposte au sida</w:t>
            </w:r>
          </w:p>
        </w:tc>
      </w:tr>
      <w:tr w:rsidR="00FF3A25" w:rsidRPr="001C3756" w14:paraId="3FACF29E" w14:textId="77777777" w:rsidTr="001A70B1">
        <w:tc>
          <w:tcPr>
            <w:tcW w:w="1696" w:type="dxa"/>
            <w:shd w:val="clear" w:color="auto" w:fill="E7E6E6" w:themeFill="background2"/>
          </w:tcPr>
          <w:p w14:paraId="1B4FFE12" w14:textId="443F6104" w:rsidR="00FF3A25" w:rsidRPr="001C3756" w:rsidRDefault="00FF3A25" w:rsidP="009B4543">
            <w:pPr>
              <w:jc w:val="both"/>
              <w:rPr>
                <w:rFonts w:ascii="Calibri" w:hAnsi="Calibri"/>
                <w:sz w:val="20"/>
                <w:szCs w:val="20"/>
              </w:rPr>
            </w:pPr>
            <w:r>
              <w:rPr>
                <w:rFonts w:ascii="Calibri" w:hAnsi="Calibri"/>
                <w:sz w:val="20"/>
                <w:szCs w:val="20"/>
              </w:rPr>
              <w:t>Revue documentaire</w:t>
            </w:r>
          </w:p>
        </w:tc>
        <w:tc>
          <w:tcPr>
            <w:tcW w:w="8222" w:type="dxa"/>
          </w:tcPr>
          <w:p w14:paraId="44983D2A" w14:textId="77777777" w:rsidR="00FF3A25" w:rsidRDefault="00FF3A25" w:rsidP="001C3756">
            <w:pPr>
              <w:pStyle w:val="Paragraphedeliste"/>
              <w:numPr>
                <w:ilvl w:val="0"/>
                <w:numId w:val="35"/>
              </w:numPr>
              <w:jc w:val="both"/>
              <w:rPr>
                <w:rFonts w:ascii="Calibri" w:hAnsi="Calibri"/>
                <w:sz w:val="20"/>
                <w:szCs w:val="20"/>
              </w:rPr>
            </w:pPr>
            <w:r>
              <w:rPr>
                <w:rFonts w:ascii="Calibri" w:hAnsi="Calibri"/>
                <w:sz w:val="20"/>
                <w:szCs w:val="20"/>
              </w:rPr>
              <w:t>Collecte et analyse des documents existants</w:t>
            </w:r>
          </w:p>
          <w:p w14:paraId="775D73AE" w14:textId="77777777" w:rsidR="00FF3A25" w:rsidRDefault="00FF3A25" w:rsidP="001C3756">
            <w:pPr>
              <w:pStyle w:val="Paragraphedeliste"/>
              <w:numPr>
                <w:ilvl w:val="0"/>
                <w:numId w:val="35"/>
              </w:numPr>
              <w:jc w:val="both"/>
              <w:rPr>
                <w:rFonts w:ascii="Calibri" w:hAnsi="Calibri"/>
                <w:sz w:val="20"/>
                <w:szCs w:val="20"/>
              </w:rPr>
            </w:pPr>
            <w:r>
              <w:rPr>
                <w:rFonts w:ascii="Calibri" w:hAnsi="Calibri"/>
                <w:sz w:val="20"/>
                <w:szCs w:val="20"/>
              </w:rPr>
              <w:t>Collecte et analyse des rapports des études et recherche</w:t>
            </w:r>
          </w:p>
          <w:p w14:paraId="4ADC5F4A" w14:textId="77777777" w:rsidR="00FF3A25" w:rsidRDefault="00FF3A25" w:rsidP="001C3756">
            <w:pPr>
              <w:pStyle w:val="Paragraphedeliste"/>
              <w:numPr>
                <w:ilvl w:val="0"/>
                <w:numId w:val="35"/>
              </w:numPr>
              <w:jc w:val="both"/>
              <w:rPr>
                <w:rFonts w:ascii="Calibri" w:hAnsi="Calibri"/>
                <w:sz w:val="20"/>
                <w:szCs w:val="20"/>
              </w:rPr>
            </w:pPr>
            <w:r>
              <w:rPr>
                <w:rFonts w:ascii="Calibri" w:hAnsi="Calibri"/>
                <w:sz w:val="20"/>
                <w:szCs w:val="20"/>
              </w:rPr>
              <w:t>Analyse du profil et de la cascade de l’épidémie</w:t>
            </w:r>
          </w:p>
          <w:p w14:paraId="2C8A98D6" w14:textId="77777777" w:rsidR="00FF3A25" w:rsidRDefault="00FF3A25" w:rsidP="001C3756">
            <w:pPr>
              <w:pStyle w:val="Paragraphedeliste"/>
              <w:numPr>
                <w:ilvl w:val="0"/>
                <w:numId w:val="35"/>
              </w:numPr>
              <w:jc w:val="both"/>
              <w:rPr>
                <w:rFonts w:ascii="Calibri" w:hAnsi="Calibri"/>
                <w:sz w:val="20"/>
                <w:szCs w:val="20"/>
              </w:rPr>
            </w:pPr>
            <w:r>
              <w:rPr>
                <w:rFonts w:ascii="Calibri" w:hAnsi="Calibri"/>
                <w:sz w:val="20"/>
                <w:szCs w:val="20"/>
              </w:rPr>
              <w:t>Analyse de la réponse au VIH</w:t>
            </w:r>
          </w:p>
          <w:p w14:paraId="66D2CA6F" w14:textId="79ED0CD8" w:rsidR="00FF3A25" w:rsidRPr="001C3756" w:rsidRDefault="00FF3A25" w:rsidP="001C3756">
            <w:pPr>
              <w:pStyle w:val="Paragraphedeliste"/>
              <w:numPr>
                <w:ilvl w:val="0"/>
                <w:numId w:val="35"/>
              </w:numPr>
              <w:jc w:val="both"/>
              <w:rPr>
                <w:rFonts w:ascii="Calibri" w:hAnsi="Calibri"/>
                <w:sz w:val="20"/>
                <w:szCs w:val="20"/>
              </w:rPr>
            </w:pPr>
            <w:r>
              <w:rPr>
                <w:rFonts w:ascii="Calibri" w:hAnsi="Calibri"/>
                <w:sz w:val="20"/>
                <w:szCs w:val="20"/>
              </w:rPr>
              <w:t>Rédaction du rapport provisoire de la revue de l’analyse de situation et de la réponse</w:t>
            </w:r>
          </w:p>
        </w:tc>
      </w:tr>
      <w:tr w:rsidR="00FF3A25" w:rsidRPr="001C3756" w14:paraId="3855954D" w14:textId="77777777" w:rsidTr="001A70B1">
        <w:tc>
          <w:tcPr>
            <w:tcW w:w="1696" w:type="dxa"/>
            <w:shd w:val="clear" w:color="auto" w:fill="E7E6E6" w:themeFill="background2"/>
          </w:tcPr>
          <w:p w14:paraId="08A801D7" w14:textId="4A63A68A" w:rsidR="00FF3A25" w:rsidRDefault="00FF3A25" w:rsidP="009B4543">
            <w:pPr>
              <w:jc w:val="both"/>
              <w:rPr>
                <w:rFonts w:ascii="Calibri" w:hAnsi="Calibri"/>
                <w:sz w:val="20"/>
                <w:szCs w:val="20"/>
              </w:rPr>
            </w:pPr>
            <w:r>
              <w:rPr>
                <w:rFonts w:ascii="Calibri" w:hAnsi="Calibri"/>
                <w:sz w:val="20"/>
                <w:szCs w:val="20"/>
              </w:rPr>
              <w:t>Validation de la revue de la mise en œuvre du CSN 2013-2017</w:t>
            </w:r>
          </w:p>
        </w:tc>
        <w:tc>
          <w:tcPr>
            <w:tcW w:w="8222" w:type="dxa"/>
          </w:tcPr>
          <w:p w14:paraId="74EECCDC" w14:textId="0120C8F7" w:rsidR="00FF3A25" w:rsidRDefault="00FF3A25" w:rsidP="00FF3A25">
            <w:pPr>
              <w:pStyle w:val="Paragraphedeliste"/>
              <w:numPr>
                <w:ilvl w:val="0"/>
                <w:numId w:val="35"/>
              </w:numPr>
              <w:jc w:val="both"/>
              <w:rPr>
                <w:rFonts w:ascii="Calibri" w:hAnsi="Calibri"/>
                <w:sz w:val="20"/>
                <w:szCs w:val="20"/>
              </w:rPr>
            </w:pPr>
            <w:r>
              <w:rPr>
                <w:rFonts w:ascii="Calibri" w:hAnsi="Calibri"/>
                <w:sz w:val="20"/>
                <w:szCs w:val="20"/>
              </w:rPr>
              <w:t xml:space="preserve">Tenu du 3 au 4 novembre 2017 avec </w:t>
            </w:r>
            <w:r w:rsidRPr="00FF3A25">
              <w:rPr>
                <w:rFonts w:ascii="Calibri" w:hAnsi="Calibri"/>
                <w:sz w:val="20"/>
                <w:szCs w:val="20"/>
              </w:rPr>
              <w:t>40 cadres représentants des acteurs clés de mise en œuvre du CSN</w:t>
            </w:r>
          </w:p>
          <w:p w14:paraId="305B443D" w14:textId="17E70B29" w:rsidR="00FF3A25" w:rsidRPr="001C3756" w:rsidRDefault="00FF3A25" w:rsidP="001C3756">
            <w:pPr>
              <w:pStyle w:val="Paragraphedeliste"/>
              <w:numPr>
                <w:ilvl w:val="0"/>
                <w:numId w:val="35"/>
              </w:numPr>
              <w:jc w:val="both"/>
              <w:rPr>
                <w:rFonts w:ascii="Calibri" w:hAnsi="Calibri"/>
                <w:sz w:val="20"/>
                <w:szCs w:val="20"/>
              </w:rPr>
            </w:pPr>
            <w:r>
              <w:rPr>
                <w:rFonts w:ascii="Calibri" w:hAnsi="Calibri"/>
                <w:sz w:val="20"/>
                <w:szCs w:val="20"/>
              </w:rPr>
              <w:t>Présentation des r résultats, plénières, synthèse et finalisation du rapport de la revue externe</w:t>
            </w:r>
          </w:p>
        </w:tc>
      </w:tr>
      <w:tr w:rsidR="001F15AA" w:rsidRPr="001C3756" w14:paraId="3B26F349" w14:textId="77777777" w:rsidTr="001A70B1">
        <w:tc>
          <w:tcPr>
            <w:tcW w:w="1696" w:type="dxa"/>
            <w:shd w:val="clear" w:color="auto" w:fill="E7E6E6" w:themeFill="background2"/>
          </w:tcPr>
          <w:p w14:paraId="3776307C" w14:textId="5496288F" w:rsidR="001F15AA" w:rsidRDefault="001F15AA" w:rsidP="009B4543">
            <w:pPr>
              <w:jc w:val="both"/>
              <w:rPr>
                <w:rFonts w:ascii="Calibri" w:hAnsi="Calibri"/>
                <w:sz w:val="20"/>
                <w:szCs w:val="20"/>
              </w:rPr>
            </w:pPr>
            <w:r>
              <w:rPr>
                <w:rFonts w:ascii="Calibri" w:hAnsi="Calibri"/>
                <w:sz w:val="20"/>
                <w:szCs w:val="20"/>
              </w:rPr>
              <w:t>Planification de l’élaboration du CSN 2018-2022</w:t>
            </w:r>
          </w:p>
        </w:tc>
        <w:tc>
          <w:tcPr>
            <w:tcW w:w="8222" w:type="dxa"/>
          </w:tcPr>
          <w:p w14:paraId="58EC7069" w14:textId="77777777" w:rsidR="001F15AA" w:rsidRDefault="001A3AD7" w:rsidP="001A3AD7">
            <w:pPr>
              <w:pStyle w:val="Paragraphedeliste"/>
              <w:numPr>
                <w:ilvl w:val="0"/>
                <w:numId w:val="35"/>
              </w:numPr>
              <w:jc w:val="both"/>
              <w:rPr>
                <w:rFonts w:ascii="Calibri" w:hAnsi="Calibri"/>
                <w:sz w:val="20"/>
                <w:szCs w:val="20"/>
              </w:rPr>
            </w:pPr>
            <w:r>
              <w:rPr>
                <w:rFonts w:ascii="Calibri" w:hAnsi="Calibri"/>
                <w:sz w:val="20"/>
                <w:szCs w:val="20"/>
              </w:rPr>
              <w:t xml:space="preserve">Atelier de </w:t>
            </w:r>
            <w:r w:rsidRPr="001A3AD7">
              <w:rPr>
                <w:rFonts w:ascii="Calibri" w:hAnsi="Calibri"/>
                <w:sz w:val="20"/>
                <w:szCs w:val="20"/>
              </w:rPr>
              <w:t>10 jours (du 13 au 22 novembre 2017</w:t>
            </w:r>
          </w:p>
          <w:p w14:paraId="62AA5F92" w14:textId="77777777" w:rsidR="001A3AD7" w:rsidRDefault="001A3AD7" w:rsidP="001A3AD7">
            <w:pPr>
              <w:pStyle w:val="Paragraphedeliste"/>
              <w:numPr>
                <w:ilvl w:val="0"/>
                <w:numId w:val="35"/>
              </w:numPr>
              <w:jc w:val="both"/>
              <w:rPr>
                <w:rFonts w:ascii="Calibri" w:hAnsi="Calibri"/>
                <w:sz w:val="20"/>
                <w:szCs w:val="20"/>
              </w:rPr>
            </w:pPr>
            <w:r>
              <w:rPr>
                <w:rFonts w:ascii="Calibri" w:hAnsi="Calibri"/>
                <w:sz w:val="20"/>
                <w:szCs w:val="20"/>
              </w:rPr>
              <w:t xml:space="preserve">Participation de </w:t>
            </w:r>
            <w:r w:rsidRPr="001A3AD7">
              <w:rPr>
                <w:rFonts w:ascii="Calibri" w:hAnsi="Calibri"/>
                <w:sz w:val="20"/>
                <w:szCs w:val="20"/>
              </w:rPr>
              <w:t>45 cadres représentants des acteurs gouvernementaux, composante privée, société civile, organisations des PVVIH, partenaires internationaux, multilatéraux et bilatéraux et des consultants</w:t>
            </w:r>
          </w:p>
          <w:p w14:paraId="4C2ED179" w14:textId="75615161" w:rsidR="001A3AD7" w:rsidRDefault="001A3AD7" w:rsidP="001A3AD7">
            <w:pPr>
              <w:pStyle w:val="Paragraphedeliste"/>
              <w:numPr>
                <w:ilvl w:val="0"/>
                <w:numId w:val="35"/>
              </w:numPr>
              <w:jc w:val="both"/>
              <w:rPr>
                <w:rFonts w:ascii="Calibri" w:hAnsi="Calibri"/>
                <w:sz w:val="20"/>
                <w:szCs w:val="20"/>
              </w:rPr>
            </w:pPr>
            <w:r>
              <w:rPr>
                <w:rFonts w:ascii="Calibri" w:hAnsi="Calibri"/>
                <w:sz w:val="20"/>
                <w:szCs w:val="20"/>
              </w:rPr>
              <w:t xml:space="preserve">Présentation des orientations au </w:t>
            </w:r>
            <w:r w:rsidRPr="001A3AD7">
              <w:rPr>
                <w:rFonts w:ascii="Calibri" w:hAnsi="Calibri"/>
                <w:sz w:val="20"/>
                <w:szCs w:val="20"/>
              </w:rPr>
              <w:t>comité multisectoriel de pilotage créé au sein du CNLS</w:t>
            </w:r>
            <w:r>
              <w:rPr>
                <w:rFonts w:ascii="Calibri" w:hAnsi="Calibri"/>
                <w:sz w:val="20"/>
                <w:szCs w:val="20"/>
              </w:rPr>
              <w:t xml:space="preserve"> et prise en compte de leurs suggestions progressivement</w:t>
            </w:r>
          </w:p>
        </w:tc>
      </w:tr>
      <w:tr w:rsidR="001A3AD7" w:rsidRPr="001C3756" w14:paraId="054D80BC" w14:textId="77777777" w:rsidTr="001A70B1">
        <w:tc>
          <w:tcPr>
            <w:tcW w:w="1696" w:type="dxa"/>
            <w:shd w:val="clear" w:color="auto" w:fill="E7E6E6" w:themeFill="background2"/>
          </w:tcPr>
          <w:p w14:paraId="5A28CE72" w14:textId="0D708111" w:rsidR="001A3AD7" w:rsidRDefault="001A3AD7" w:rsidP="009B4543">
            <w:pPr>
              <w:jc w:val="both"/>
              <w:rPr>
                <w:rFonts w:ascii="Calibri" w:hAnsi="Calibri"/>
                <w:sz w:val="20"/>
                <w:szCs w:val="20"/>
              </w:rPr>
            </w:pPr>
            <w:r>
              <w:rPr>
                <w:rFonts w:ascii="Calibri" w:hAnsi="Calibri"/>
                <w:sz w:val="20"/>
                <w:szCs w:val="20"/>
              </w:rPr>
              <w:t>Phase de validation</w:t>
            </w:r>
          </w:p>
        </w:tc>
        <w:tc>
          <w:tcPr>
            <w:tcW w:w="8222" w:type="dxa"/>
          </w:tcPr>
          <w:p w14:paraId="42FB7BC7" w14:textId="789548ED" w:rsidR="001A70B1" w:rsidRDefault="001A70B1" w:rsidP="001A70B1">
            <w:pPr>
              <w:pStyle w:val="Paragraphedeliste"/>
              <w:numPr>
                <w:ilvl w:val="0"/>
                <w:numId w:val="35"/>
              </w:numPr>
              <w:jc w:val="both"/>
              <w:rPr>
                <w:rFonts w:ascii="Calibri" w:hAnsi="Calibri"/>
                <w:sz w:val="20"/>
                <w:szCs w:val="20"/>
              </w:rPr>
            </w:pPr>
            <w:r>
              <w:rPr>
                <w:rFonts w:ascii="Calibri" w:hAnsi="Calibri"/>
                <w:sz w:val="20"/>
                <w:szCs w:val="20"/>
              </w:rPr>
              <w:t>Processus soutenu par UNFPA, OMS, ONUSIDA, Fonds mondial</w:t>
            </w:r>
          </w:p>
          <w:p w14:paraId="31B3C114" w14:textId="77777777" w:rsidR="001A3AD7" w:rsidRDefault="001A3AD7" w:rsidP="001A70B1">
            <w:pPr>
              <w:pStyle w:val="Paragraphedeliste"/>
              <w:numPr>
                <w:ilvl w:val="0"/>
                <w:numId w:val="35"/>
              </w:numPr>
              <w:jc w:val="both"/>
              <w:rPr>
                <w:rFonts w:ascii="Calibri" w:hAnsi="Calibri"/>
                <w:sz w:val="20"/>
                <w:szCs w:val="20"/>
              </w:rPr>
            </w:pPr>
            <w:r>
              <w:rPr>
                <w:rFonts w:ascii="Calibri" w:hAnsi="Calibri"/>
                <w:sz w:val="20"/>
                <w:szCs w:val="20"/>
              </w:rPr>
              <w:t xml:space="preserve">Organisation d’un second atelier </w:t>
            </w:r>
            <w:r w:rsidR="001A70B1">
              <w:rPr>
                <w:rFonts w:ascii="Calibri" w:hAnsi="Calibri"/>
                <w:sz w:val="20"/>
                <w:szCs w:val="20"/>
              </w:rPr>
              <w:t xml:space="preserve">de </w:t>
            </w:r>
            <w:r w:rsidR="001A70B1" w:rsidRPr="001A70B1">
              <w:rPr>
                <w:rFonts w:ascii="Calibri" w:hAnsi="Calibri"/>
                <w:sz w:val="20"/>
                <w:szCs w:val="20"/>
              </w:rPr>
              <w:t>plus de 60 personnes</w:t>
            </w:r>
            <w:r w:rsidR="001A70B1">
              <w:rPr>
                <w:rFonts w:ascii="Calibri" w:hAnsi="Calibri"/>
                <w:sz w:val="20"/>
                <w:szCs w:val="20"/>
              </w:rPr>
              <w:t xml:space="preserve"> avec la </w:t>
            </w:r>
            <w:r w:rsidR="001A70B1" w:rsidRPr="001A70B1">
              <w:rPr>
                <w:rFonts w:ascii="Calibri" w:hAnsi="Calibri"/>
                <w:sz w:val="20"/>
                <w:szCs w:val="20"/>
              </w:rPr>
              <w:t>participation active du secteur public, de la société civile, des partenaires techniques et financiers, des Personnes vivant avec le VIH et des populations clés a été notée</w:t>
            </w:r>
          </w:p>
          <w:p w14:paraId="6A84D789" w14:textId="739CCA39" w:rsidR="001A70B1" w:rsidRDefault="001A70B1" w:rsidP="001A70B1">
            <w:pPr>
              <w:pStyle w:val="Paragraphedeliste"/>
              <w:numPr>
                <w:ilvl w:val="0"/>
                <w:numId w:val="35"/>
              </w:numPr>
              <w:jc w:val="both"/>
              <w:rPr>
                <w:rFonts w:ascii="Calibri" w:hAnsi="Calibri"/>
                <w:sz w:val="20"/>
                <w:szCs w:val="20"/>
              </w:rPr>
            </w:pPr>
            <w:r>
              <w:rPr>
                <w:rFonts w:ascii="Calibri" w:hAnsi="Calibri"/>
                <w:sz w:val="20"/>
                <w:szCs w:val="20"/>
              </w:rPr>
              <w:t>Révision finale participative et inclusive pour prendre en compte la santé communautaire, le plan directeur de biologie médicale ainsi que les nouvelles orientations sur le dépistage et la prise en charge</w:t>
            </w:r>
          </w:p>
        </w:tc>
      </w:tr>
      <w:bookmarkEnd w:id="19"/>
      <w:bookmarkEnd w:id="20"/>
    </w:tbl>
    <w:p w14:paraId="2C1CE9AE" w14:textId="6048A926" w:rsidR="004836F7" w:rsidRDefault="004836F7" w:rsidP="00891515">
      <w:pPr>
        <w:rPr>
          <w:rFonts w:ascii="Calibri" w:hAnsi="Calibri" w:cs="Arial"/>
          <w:b/>
        </w:rPr>
      </w:pPr>
    </w:p>
    <w:p w14:paraId="73A791E5" w14:textId="77777777" w:rsidR="00FB0018" w:rsidRPr="00716BDB" w:rsidRDefault="00FB0018" w:rsidP="00891515">
      <w:pPr>
        <w:pStyle w:val="Titre1"/>
        <w:numPr>
          <w:ilvl w:val="0"/>
          <w:numId w:val="6"/>
        </w:numPr>
        <w:pBdr>
          <w:bottom w:val="single" w:sz="12" w:space="1" w:color="auto"/>
        </w:pBdr>
        <w:shd w:val="clear" w:color="auto" w:fill="92D050"/>
        <w:spacing w:after="0"/>
        <w:ind w:left="284" w:hanging="284"/>
        <w:rPr>
          <w:rFonts w:ascii="Calibri" w:hAnsi="Calibri"/>
          <w:sz w:val="28"/>
          <w:szCs w:val="28"/>
        </w:rPr>
      </w:pPr>
      <w:bookmarkStart w:id="22" w:name="_Toc500335853"/>
      <w:bookmarkStart w:id="23" w:name="_Toc500520917"/>
      <w:bookmarkStart w:id="24" w:name="_Toc520983518"/>
      <w:r w:rsidRPr="00716BDB">
        <w:rPr>
          <w:rFonts w:ascii="Calibri" w:hAnsi="Calibri"/>
          <w:sz w:val="28"/>
          <w:szCs w:val="28"/>
        </w:rPr>
        <w:t>CONTEXTE NATIONAL</w:t>
      </w:r>
      <w:bookmarkEnd w:id="22"/>
      <w:bookmarkEnd w:id="23"/>
      <w:bookmarkEnd w:id="24"/>
    </w:p>
    <w:p w14:paraId="7E94F1BA" w14:textId="77777777" w:rsidR="00FB0018" w:rsidRPr="005B52BA" w:rsidRDefault="00FB0018" w:rsidP="00891515">
      <w:pPr>
        <w:jc w:val="both"/>
        <w:rPr>
          <w:rFonts w:ascii="Calibri" w:hAnsi="Calibri"/>
        </w:rPr>
      </w:pPr>
    </w:p>
    <w:p w14:paraId="330A705F" w14:textId="4AF426FE" w:rsidR="00FB0018" w:rsidRPr="009D290F" w:rsidRDefault="003721CE" w:rsidP="00891515">
      <w:pPr>
        <w:pStyle w:val="Titre2"/>
        <w:numPr>
          <w:ilvl w:val="1"/>
          <w:numId w:val="6"/>
        </w:numPr>
        <w:spacing w:after="0"/>
        <w:ind w:left="426" w:hanging="426"/>
        <w:rPr>
          <w:rFonts w:ascii="Calibri" w:hAnsi="Calibri"/>
          <w:color w:val="2F5496" w:themeColor="accent5" w:themeShade="BF"/>
          <w:szCs w:val="24"/>
        </w:rPr>
      </w:pPr>
      <w:bookmarkStart w:id="25" w:name="_Toc520983519"/>
      <w:r>
        <w:rPr>
          <w:rFonts w:ascii="Calibri" w:hAnsi="Calibri"/>
          <w:color w:val="2F5496" w:themeColor="accent5" w:themeShade="BF"/>
          <w:szCs w:val="24"/>
        </w:rPr>
        <w:t>Présentation du pays et contexte administratif</w:t>
      </w:r>
      <w:bookmarkEnd w:id="25"/>
    </w:p>
    <w:p w14:paraId="3285B378" w14:textId="77777777" w:rsidR="00FB0018" w:rsidRDefault="00FB0018" w:rsidP="00891515">
      <w:pPr>
        <w:jc w:val="both"/>
        <w:rPr>
          <w:rFonts w:ascii="Calibri" w:eastAsia="Calibri" w:hAnsi="Calibri"/>
          <w:bCs/>
        </w:rPr>
      </w:pPr>
    </w:p>
    <w:p w14:paraId="4174065D" w14:textId="77777777" w:rsidR="003721CE" w:rsidRPr="003721CE" w:rsidRDefault="003721CE" w:rsidP="003721CE">
      <w:pPr>
        <w:jc w:val="both"/>
        <w:rPr>
          <w:rFonts w:ascii="Calibri" w:eastAsia="Calibri" w:hAnsi="Calibri"/>
          <w:bCs/>
        </w:rPr>
      </w:pPr>
      <w:r w:rsidRPr="003721CE">
        <w:rPr>
          <w:rFonts w:ascii="Calibri" w:eastAsia="Calibri" w:hAnsi="Calibri"/>
          <w:bCs/>
        </w:rPr>
        <w:t xml:space="preserve">La République de Guinée, située en Afrique de l’Ouest entre les 7°et 12° de latitude nord et 8° et15° de longitude ouest, bordée d’une façade maritime de 300 km sur l’Océan Atlantique, s’étend sur 800 km d’est en ouest et 500 km du nord au sud. Elle est délimitée au nord-ouest par la Guinée Bissau, au nord par le Sénégal et le Mali, à l’est par le Mali et la Cote d’Ivoire, au sud par le Libéria et la Sierra Léone, et à l’ouest par l’Océan Atlantique. </w:t>
      </w:r>
    </w:p>
    <w:p w14:paraId="1B24FED2" w14:textId="77777777" w:rsidR="003721CE" w:rsidRPr="003721CE" w:rsidRDefault="003721CE" w:rsidP="003721CE">
      <w:pPr>
        <w:jc w:val="both"/>
        <w:rPr>
          <w:rFonts w:ascii="Calibri" w:eastAsia="Calibri" w:hAnsi="Calibri"/>
          <w:bCs/>
        </w:rPr>
      </w:pPr>
    </w:p>
    <w:p w14:paraId="1DC6C59C" w14:textId="14D92545" w:rsidR="006D5C93" w:rsidRPr="005B52BA" w:rsidRDefault="003721CE" w:rsidP="003721CE">
      <w:pPr>
        <w:jc w:val="both"/>
        <w:rPr>
          <w:rFonts w:ascii="Calibri" w:eastAsia="Calibri" w:hAnsi="Calibri"/>
          <w:bCs/>
        </w:rPr>
      </w:pPr>
      <w:r w:rsidRPr="003721CE">
        <w:rPr>
          <w:rFonts w:ascii="Calibri" w:eastAsia="Calibri" w:hAnsi="Calibri"/>
          <w:bCs/>
        </w:rPr>
        <w:t>Dotée d’un climat de type tropical avec alternance de saison sèche (de novembre à avril) et de saison pluvieuse (de mai à octobre), variable selon l’altitude et la région, elle possède l’un des réseaux hydrographiques les plus denses de la sous-région. D’une superficie totale de 245.857km2, la Guinée est divisée en quatre régions naturelles : la Basse Guinée, la Moyenne Guinée, la Haute Guinée, et la Guinée Forestière.</w:t>
      </w:r>
      <w:r w:rsidR="006D5C93" w:rsidRPr="005B52BA">
        <w:rPr>
          <w:rFonts w:ascii="Calibri" w:eastAsia="Calibri" w:hAnsi="Calibri"/>
          <w:bCs/>
        </w:rPr>
        <w:t xml:space="preserve"> Sa superficie totale est de 245 857 km². </w:t>
      </w:r>
    </w:p>
    <w:p w14:paraId="76DE9CE7" w14:textId="51FDFD98" w:rsidR="00F616C8" w:rsidRPr="005B52BA" w:rsidRDefault="00F616C8" w:rsidP="00284484">
      <w:pPr>
        <w:pStyle w:val="fig"/>
      </w:pPr>
      <w:bookmarkStart w:id="26" w:name="_Toc521064657"/>
      <w:r w:rsidRPr="00284484">
        <w:rPr>
          <w:u w:val="single"/>
        </w:rPr>
        <w:t xml:space="preserve">Figure </w:t>
      </w:r>
      <w:r w:rsidR="00284484" w:rsidRPr="00284484">
        <w:rPr>
          <w:u w:val="single"/>
        </w:rPr>
        <w:t>1</w:t>
      </w:r>
      <w:r w:rsidR="00284484">
        <w:t> :</w:t>
      </w:r>
      <w:r w:rsidRPr="005B52BA">
        <w:t xml:space="preserve"> </w:t>
      </w:r>
      <w:r w:rsidRPr="00284484">
        <w:rPr>
          <w:b w:val="0"/>
        </w:rPr>
        <w:t>Carte administrative de la Guinée</w:t>
      </w:r>
      <w:bookmarkEnd w:id="26"/>
    </w:p>
    <w:p w14:paraId="0CC00468" w14:textId="622A63AE" w:rsidR="006D5C93" w:rsidRPr="005B52BA" w:rsidRDefault="00F616C8" w:rsidP="00F616C8">
      <w:pPr>
        <w:ind w:right="4478"/>
        <w:jc w:val="both"/>
        <w:rPr>
          <w:rFonts w:ascii="Calibri" w:eastAsia="Calibri" w:hAnsi="Calibri"/>
          <w:bCs/>
        </w:rPr>
      </w:pPr>
      <w:r>
        <w:rPr>
          <w:rFonts w:ascii="Calibri" w:eastAsia="Calibri" w:hAnsi="Calibri"/>
          <w:bCs/>
          <w:noProof/>
        </w:rPr>
        <mc:AlternateContent>
          <mc:Choice Requires="wps">
            <w:drawing>
              <wp:anchor distT="0" distB="0" distL="114300" distR="114300" simplePos="0" relativeHeight="251691008" behindDoc="0" locked="0" layoutInCell="1" allowOverlap="1" wp14:anchorId="0F3F0493" wp14:editId="25FE606B">
                <wp:simplePos x="0" y="0"/>
                <wp:positionH relativeFrom="column">
                  <wp:posOffset>3586654</wp:posOffset>
                </wp:positionH>
                <wp:positionV relativeFrom="paragraph">
                  <wp:posOffset>110832</wp:posOffset>
                </wp:positionV>
                <wp:extent cx="2793442" cy="2220686"/>
                <wp:effectExtent l="0" t="0" r="13335" b="14605"/>
                <wp:wrapNone/>
                <wp:docPr id="11272" name="Zone de texte 11272"/>
                <wp:cNvGraphicFramePr/>
                <a:graphic xmlns:a="http://schemas.openxmlformats.org/drawingml/2006/main">
                  <a:graphicData uri="http://schemas.microsoft.com/office/word/2010/wordprocessingShape">
                    <wps:wsp>
                      <wps:cNvSpPr txBox="1"/>
                      <wps:spPr>
                        <a:xfrm>
                          <a:off x="0" y="0"/>
                          <a:ext cx="2793442" cy="2220686"/>
                        </a:xfrm>
                        <a:prstGeom prst="rect">
                          <a:avLst/>
                        </a:prstGeom>
                        <a:solidFill>
                          <a:schemeClr val="lt1"/>
                        </a:solidFill>
                        <a:ln w="6350">
                          <a:solidFill>
                            <a:prstClr val="black"/>
                          </a:solidFill>
                        </a:ln>
                      </wps:spPr>
                      <wps:txbx>
                        <w:txbxContent>
                          <w:p w14:paraId="23783AF0" w14:textId="6FDCD35C" w:rsidR="00240456" w:rsidRDefault="00240456">
                            <w:r>
                              <w:rPr>
                                <w:noProof/>
                              </w:rPr>
                              <w:drawing>
                                <wp:inline distT="0" distB="0" distL="0" distR="0" wp14:anchorId="05A56A09" wp14:editId="3A663903">
                                  <wp:extent cx="2603532" cy="2100106"/>
                                  <wp:effectExtent l="12700" t="12700" r="12700" b="8255"/>
                                  <wp:docPr id="11269" name="Picture 14" descr="Administ"/>
                                  <wp:cNvGraphicFramePr/>
                                  <a:graphic xmlns:a="http://schemas.openxmlformats.org/drawingml/2006/main">
                                    <a:graphicData uri="http://schemas.openxmlformats.org/drawingml/2006/picture">
                                      <pic:pic xmlns:pic="http://schemas.openxmlformats.org/drawingml/2006/picture">
                                        <pic:nvPicPr>
                                          <pic:cNvPr id="123" name="Picture 14" descr="Administ"/>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069" cy="2104572"/>
                                          </a:xfrm>
                                          <a:prstGeom prst="rect">
                                            <a:avLst/>
                                          </a:prstGeom>
                                          <a:noFill/>
                                          <a:ln w="9525">
                                            <a:solidFill>
                                              <a:srgbClr val="000000"/>
                                            </a:solidFill>
                                            <a:miter lim="800000"/>
                                            <a:headEnd/>
                                            <a:tailEnd/>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F0493" id="Zone de texte 11272" o:spid="_x0000_s1034" type="#_x0000_t202" style="position:absolute;left:0;text-align:left;margin-left:282.4pt;margin-top:8.75pt;width:219.95pt;height:174.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" fillcolor="white [3201]" strokeweight=".5pt">
                <v:textbox>
                  <w:txbxContent>
                    <w:p w14:paraId="23783AF0" w14:textId="6FDCD35C" w:rsidR="00240456" w:rsidRDefault="00240456">
                      <w:r>
                        <w:rPr>
                          <w:noProof/>
                        </w:rPr>
                        <w:drawing>
                          <wp:inline distT="0" distB="0" distL="0" distR="0" wp14:anchorId="05A56A09" wp14:editId="3A663903">
                            <wp:extent cx="2603532" cy="2100106"/>
                            <wp:effectExtent l="12700" t="12700" r="12700" b="8255"/>
                            <wp:docPr id="11269" name="Picture 14" descr="Administ"/>
                            <wp:cNvGraphicFramePr/>
                            <a:graphic xmlns:a="http://schemas.openxmlformats.org/drawingml/2006/main">
                              <a:graphicData uri="http://schemas.openxmlformats.org/drawingml/2006/picture">
                                <pic:pic xmlns:pic="http://schemas.openxmlformats.org/drawingml/2006/picture">
                                  <pic:nvPicPr>
                                    <pic:cNvPr id="123" name="Picture 14" descr="Administ"/>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069" cy="2104572"/>
                                    </a:xfrm>
                                    <a:prstGeom prst="rect">
                                      <a:avLst/>
                                    </a:prstGeom>
                                    <a:noFill/>
                                    <a:ln w="9525">
                                      <a:solidFill>
                                        <a:srgbClr val="000000"/>
                                      </a:solidFill>
                                      <a:miter lim="800000"/>
                                      <a:headEnd/>
                                      <a:tailEnd/>
                                    </a:ln>
                                    <a:extLst/>
                                  </pic:spPr>
                                </pic:pic>
                              </a:graphicData>
                            </a:graphic>
                          </wp:inline>
                        </w:drawing>
                      </w:r>
                    </w:p>
                  </w:txbxContent>
                </v:textbox>
              </v:shape>
            </w:pict>
          </mc:Fallback>
        </mc:AlternateContent>
      </w:r>
      <w:r w:rsidR="006D5C93" w:rsidRPr="005B52BA">
        <w:rPr>
          <w:rFonts w:ascii="Calibri" w:eastAsia="Calibri" w:hAnsi="Calibri"/>
          <w:bCs/>
        </w:rPr>
        <w:t>Au plan politique, la Guinée s’est engagé</w:t>
      </w:r>
      <w:r w:rsidR="00933E5D">
        <w:rPr>
          <w:rFonts w:ascii="Calibri" w:eastAsia="Calibri" w:hAnsi="Calibri"/>
          <w:bCs/>
        </w:rPr>
        <w:t>e</w:t>
      </w:r>
      <w:r w:rsidR="006D5C93" w:rsidRPr="005B52BA">
        <w:rPr>
          <w:rFonts w:ascii="Calibri" w:eastAsia="Calibri" w:hAnsi="Calibri"/>
          <w:bCs/>
        </w:rPr>
        <w:t xml:space="preserve"> dans un processus démocratique qui garantit les libertés et les droits fondamentaux dont le droit à la santé. La Guinée compte 7 régions administratives auxquelles s’ajoute la ville de Conakry qui jouit d’un statut de collectivité décentralisée spécifique. Le pays compte 33 préfectures, 38 communes urbaines dont 5 à Conakry et 304 communes rurales. Ces collectivités se subdivisent en 308 quartiers urbains et 1 615 districts ruraux. La structure organisationnelle du système de santé est calquée sur le découpage administratif et comprend 8 régions et 38 districts sanitaires. </w:t>
      </w:r>
    </w:p>
    <w:p w14:paraId="3D75C1AE" w14:textId="77777777" w:rsidR="006D5C93" w:rsidRPr="005B52BA" w:rsidRDefault="006D5C93" w:rsidP="00FB0018">
      <w:pPr>
        <w:jc w:val="both"/>
        <w:rPr>
          <w:rFonts w:ascii="Calibri" w:eastAsia="Calibri" w:hAnsi="Calibri"/>
          <w:bCs/>
        </w:rPr>
      </w:pPr>
    </w:p>
    <w:p w14:paraId="7FA3C5A8" w14:textId="5569ADE9" w:rsidR="003721CE" w:rsidRPr="003721CE" w:rsidRDefault="003721CE" w:rsidP="003721CE">
      <w:pPr>
        <w:autoSpaceDE w:val="0"/>
        <w:autoSpaceDN w:val="0"/>
        <w:adjustRightInd w:val="0"/>
        <w:jc w:val="both"/>
        <w:rPr>
          <w:rFonts w:asciiTheme="minorHAnsi" w:hAnsiTheme="minorHAnsi" w:cstheme="minorHAnsi"/>
          <w:szCs w:val="22"/>
          <w:lang w:val="fr-CA"/>
        </w:rPr>
      </w:pPr>
      <w:r w:rsidRPr="003721CE">
        <w:rPr>
          <w:rFonts w:asciiTheme="minorHAnsi" w:hAnsiTheme="minorHAnsi" w:cstheme="minorHAnsi"/>
          <w:szCs w:val="22"/>
          <w:lang w:val="fr-CA"/>
        </w:rPr>
        <w:t>La population guinéenne est estimée à 10 599 853 habitants en 2014 dont 51,7% de femmes et 48,3% d’hommes, avec une densité de 43 habitants au km</w:t>
      </w:r>
      <w:r w:rsidRPr="003721CE">
        <w:rPr>
          <w:rFonts w:asciiTheme="minorHAnsi" w:hAnsiTheme="minorHAnsi" w:cstheme="minorHAnsi"/>
          <w:szCs w:val="22"/>
          <w:vertAlign w:val="superscript"/>
          <w:lang w:val="fr-CA"/>
        </w:rPr>
        <w:t>2</w:t>
      </w:r>
      <w:r w:rsidRPr="003721CE">
        <w:rPr>
          <w:rFonts w:asciiTheme="minorHAnsi" w:hAnsiTheme="minorHAnsi" w:cstheme="minorHAnsi"/>
          <w:szCs w:val="22"/>
          <w:lang w:val="fr-CA"/>
        </w:rPr>
        <w:t xml:space="preserve">. Ces chiffres cachent une inégale répartition de la population sur </w:t>
      </w:r>
      <w:r w:rsidRPr="003721CE">
        <w:rPr>
          <w:rFonts w:asciiTheme="minorHAnsi" w:eastAsiaTheme="minorEastAsia" w:hAnsiTheme="minorHAnsi" w:cstheme="minorHAnsi"/>
          <w:color w:val="000000"/>
          <w:szCs w:val="22"/>
          <w:lang w:val="fr-CA"/>
        </w:rPr>
        <w:t xml:space="preserve">le territoire, avec 2/3 vivant en zone rurale contre 1/3 en zone urbaine, et plus de la moitié de la population urbaine dans la seule ville de Conakry. Il existe de fortes disparités régionales avec 20,4 % </w:t>
      </w:r>
      <w:r w:rsidRPr="003721CE">
        <w:rPr>
          <w:rFonts w:asciiTheme="minorHAnsi" w:hAnsiTheme="minorHAnsi" w:cstheme="minorHAnsi"/>
          <w:szCs w:val="22"/>
          <w:lang w:val="fr-CA"/>
        </w:rPr>
        <w:t>de la population totale</w:t>
      </w:r>
      <w:r w:rsidRPr="003721CE">
        <w:rPr>
          <w:rFonts w:asciiTheme="minorHAnsi" w:eastAsiaTheme="minorEastAsia" w:hAnsiTheme="minorHAnsi" w:cstheme="minorHAnsi"/>
          <w:color w:val="000000"/>
          <w:szCs w:val="22"/>
          <w:lang w:val="fr-CA"/>
        </w:rPr>
        <w:t xml:space="preserve"> en </w:t>
      </w:r>
      <w:r w:rsidRPr="003721CE">
        <w:rPr>
          <w:rFonts w:asciiTheme="minorHAnsi" w:hAnsiTheme="minorHAnsi" w:cstheme="minorHAnsi"/>
          <w:szCs w:val="22"/>
          <w:lang w:val="fr-CA"/>
        </w:rPr>
        <w:t>Basse Guinée, 22,9% en Moyenne Guinée, 19,7% en Haute Guinée, 21,7% en Guinée Forestière et 15,3% dans la zone spéciale de Conakry.</w:t>
      </w:r>
    </w:p>
    <w:p w14:paraId="48E2BE15" w14:textId="77777777" w:rsidR="003721CE" w:rsidRPr="003721CE" w:rsidRDefault="003721CE" w:rsidP="003721CE">
      <w:pPr>
        <w:autoSpaceDE w:val="0"/>
        <w:autoSpaceDN w:val="0"/>
        <w:adjustRightInd w:val="0"/>
        <w:jc w:val="both"/>
        <w:rPr>
          <w:rFonts w:asciiTheme="minorHAnsi" w:hAnsiTheme="minorHAnsi" w:cstheme="minorHAnsi"/>
          <w:szCs w:val="22"/>
          <w:lang w:val="fr-CA"/>
        </w:rPr>
      </w:pPr>
    </w:p>
    <w:p w14:paraId="3DA315CE" w14:textId="6F4D40A9" w:rsidR="003721CE" w:rsidRPr="003721CE" w:rsidRDefault="003721CE" w:rsidP="003721CE">
      <w:pPr>
        <w:autoSpaceDE w:val="0"/>
        <w:autoSpaceDN w:val="0"/>
        <w:adjustRightInd w:val="0"/>
        <w:jc w:val="both"/>
        <w:rPr>
          <w:rFonts w:asciiTheme="minorHAnsi" w:hAnsiTheme="minorHAnsi" w:cstheme="minorHAnsi"/>
          <w:szCs w:val="22"/>
          <w:lang w:val="fr-CA"/>
        </w:rPr>
      </w:pPr>
      <w:r w:rsidRPr="003721CE">
        <w:rPr>
          <w:rFonts w:asciiTheme="minorHAnsi" w:hAnsiTheme="minorHAnsi" w:cstheme="minorHAnsi"/>
          <w:szCs w:val="22"/>
          <w:lang w:val="fr-CA"/>
        </w:rPr>
        <w:t>Cette population est majoritairement jeune avec 46% âgés de moins de 15 ans</w:t>
      </w:r>
      <w:r w:rsidRPr="003721CE">
        <w:rPr>
          <w:rStyle w:val="Appelnotedebasdep"/>
          <w:rFonts w:asciiTheme="minorHAnsi" w:eastAsiaTheme="majorEastAsia" w:hAnsiTheme="minorHAnsi" w:cstheme="minorHAnsi"/>
          <w:szCs w:val="22"/>
        </w:rPr>
        <w:footnoteReference w:id="1"/>
      </w:r>
      <w:r w:rsidRPr="003721CE">
        <w:rPr>
          <w:rFonts w:asciiTheme="minorHAnsi" w:hAnsiTheme="minorHAnsi" w:cstheme="minorHAnsi"/>
          <w:szCs w:val="22"/>
          <w:lang w:val="fr-CA"/>
        </w:rPr>
        <w:t>, le taux de fécondité des adolescentes de 15- 19 est de 133/1000. Les enfants de 0- 5 ans 16 %, les moins de 18 ans 52, 1 %. Avec un indice synthétique de fécondité de 4,8 enfants par femme, la Guinée est l’un des pays à croissance élevée de la région avec un taux d’accroissement naturel de 2,3 % par an. Un taux de fécondité élevé est observé chez les adolescents jeunes, adolescents 15- 19 ans ayant eu un enfant avant 15 ans, les adolescents de 15-19 ans enceintes 4, 1%, celles ayant commencé leur vie féconde 31%3F</w:t>
      </w:r>
      <w:r w:rsidRPr="003721CE">
        <w:rPr>
          <w:rStyle w:val="Appelnotedebasdep"/>
          <w:rFonts w:asciiTheme="minorHAnsi" w:hAnsiTheme="minorHAnsi" w:cstheme="minorHAnsi"/>
          <w:szCs w:val="22"/>
        </w:rPr>
        <w:footnoteReference w:id="2"/>
      </w:r>
      <w:r w:rsidRPr="003721CE">
        <w:rPr>
          <w:rFonts w:asciiTheme="minorHAnsi" w:hAnsiTheme="minorHAnsi" w:cstheme="minorHAnsi"/>
          <w:szCs w:val="22"/>
          <w:lang w:val="fr-CA"/>
        </w:rPr>
        <w:t>. (MICS 2016)</w:t>
      </w:r>
    </w:p>
    <w:p w14:paraId="34884213" w14:textId="77777777" w:rsidR="003721CE" w:rsidRPr="003721CE" w:rsidRDefault="003721CE" w:rsidP="003721CE">
      <w:pPr>
        <w:autoSpaceDE w:val="0"/>
        <w:autoSpaceDN w:val="0"/>
        <w:adjustRightInd w:val="0"/>
        <w:jc w:val="both"/>
        <w:rPr>
          <w:rFonts w:asciiTheme="minorHAnsi" w:eastAsiaTheme="minorEastAsia" w:hAnsiTheme="minorHAnsi" w:cstheme="minorHAnsi"/>
          <w:szCs w:val="22"/>
          <w:lang w:val="fr-CA"/>
        </w:rPr>
      </w:pPr>
    </w:p>
    <w:p w14:paraId="6A5B9C41" w14:textId="77777777" w:rsidR="003721CE" w:rsidRPr="003721CE" w:rsidRDefault="003721CE" w:rsidP="003721CE">
      <w:pPr>
        <w:autoSpaceDE w:val="0"/>
        <w:autoSpaceDN w:val="0"/>
        <w:adjustRightInd w:val="0"/>
        <w:jc w:val="both"/>
        <w:rPr>
          <w:rFonts w:asciiTheme="minorHAnsi" w:eastAsiaTheme="minorEastAsia" w:hAnsiTheme="minorHAnsi" w:cstheme="minorHAnsi"/>
          <w:szCs w:val="22"/>
          <w:lang w:val="fr-CA"/>
        </w:rPr>
      </w:pPr>
      <w:r w:rsidRPr="003721CE">
        <w:rPr>
          <w:rFonts w:asciiTheme="minorHAnsi" w:eastAsiaTheme="minorEastAsia" w:hAnsiTheme="minorHAnsi" w:cstheme="minorHAnsi"/>
          <w:szCs w:val="22"/>
          <w:lang w:val="fr-CA"/>
        </w:rPr>
        <w:t>Sur la base d’un taux de croissance de 2,6% l’an, la situation de la population se projetterait comme suit :</w:t>
      </w:r>
    </w:p>
    <w:p w14:paraId="57866325" w14:textId="77777777" w:rsidR="003721CE" w:rsidRDefault="003721CE" w:rsidP="003721CE">
      <w:pPr>
        <w:autoSpaceDE w:val="0"/>
        <w:autoSpaceDN w:val="0"/>
        <w:adjustRightInd w:val="0"/>
        <w:jc w:val="both"/>
        <w:rPr>
          <w:rFonts w:asciiTheme="minorHAnsi" w:eastAsiaTheme="minorEastAsia" w:hAnsiTheme="minorHAnsi" w:cstheme="minorHAnsi"/>
          <w:sz w:val="22"/>
          <w:szCs w:val="22"/>
          <w:lang w:val="fr-CA"/>
        </w:rPr>
      </w:pPr>
    </w:p>
    <w:p w14:paraId="5996741B" w14:textId="0128D665" w:rsidR="003721CE" w:rsidRPr="001C1DD2" w:rsidRDefault="00891515" w:rsidP="00240456">
      <w:pPr>
        <w:pStyle w:val="tab"/>
      </w:pPr>
      <w:bookmarkStart w:id="27" w:name="_Toc521064258"/>
      <w:r w:rsidRPr="00240456">
        <w:rPr>
          <w:b/>
          <w:u w:val="single"/>
        </w:rPr>
        <w:t>Tableau 2</w:t>
      </w:r>
      <w:r w:rsidR="003721CE" w:rsidRPr="001C1DD2">
        <w:t> : Projection de la population guinéenne par région administrative</w:t>
      </w:r>
      <w:bookmarkEnd w:id="27"/>
    </w:p>
    <w:p w14:paraId="7BF11EB3" w14:textId="77777777" w:rsidR="003721CE" w:rsidRDefault="003721CE" w:rsidP="003721CE">
      <w:pPr>
        <w:autoSpaceDE w:val="0"/>
        <w:autoSpaceDN w:val="0"/>
        <w:adjustRightInd w:val="0"/>
        <w:jc w:val="both"/>
        <w:rPr>
          <w:rFonts w:asciiTheme="minorHAnsi" w:eastAsiaTheme="minorEastAsia" w:hAnsiTheme="minorHAnsi" w:cstheme="minorHAnsi"/>
          <w:sz w:val="22"/>
          <w:szCs w:val="22"/>
          <w:lang w:val="fr-CA"/>
        </w:rPr>
      </w:pPr>
    </w:p>
    <w:tbl>
      <w:tblPr>
        <w:tblW w:w="5000" w:type="pct"/>
        <w:tblCellMar>
          <w:left w:w="70" w:type="dxa"/>
          <w:right w:w="70" w:type="dxa"/>
        </w:tblCellMar>
        <w:tblLook w:val="04A0" w:firstRow="1" w:lastRow="0" w:firstColumn="1" w:lastColumn="0" w:noHBand="0" w:noVBand="1"/>
      </w:tblPr>
      <w:tblGrid>
        <w:gridCol w:w="1140"/>
        <w:gridCol w:w="940"/>
        <w:gridCol w:w="940"/>
        <w:gridCol w:w="1042"/>
        <w:gridCol w:w="1124"/>
        <w:gridCol w:w="1170"/>
        <w:gridCol w:w="1096"/>
        <w:gridCol w:w="1171"/>
        <w:gridCol w:w="1232"/>
      </w:tblGrid>
      <w:tr w:rsidR="003721CE" w:rsidRPr="005B57D5" w14:paraId="3D87C67B" w14:textId="77777777" w:rsidTr="00A73D26">
        <w:trPr>
          <w:trHeight w:val="320"/>
        </w:trPr>
        <w:tc>
          <w:tcPr>
            <w:tcW w:w="586" w:type="pct"/>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C33B2A2" w14:textId="77777777" w:rsidR="003721CE" w:rsidRPr="005B57D5" w:rsidRDefault="003721CE" w:rsidP="00A73D26">
            <w:pPr>
              <w:jc w:val="center"/>
              <w:rPr>
                <w:rFonts w:asciiTheme="minorHAnsi" w:hAnsiTheme="minorHAnsi" w:cstheme="minorHAnsi"/>
                <w:color w:val="3F3F76"/>
                <w:sz w:val="20"/>
                <w:szCs w:val="20"/>
              </w:rPr>
            </w:pPr>
            <w:r w:rsidRPr="005B57D5">
              <w:rPr>
                <w:rFonts w:asciiTheme="minorHAnsi" w:hAnsiTheme="minorHAnsi" w:cstheme="minorHAnsi"/>
                <w:color w:val="3F3F76"/>
                <w:sz w:val="20"/>
                <w:szCs w:val="20"/>
              </w:rPr>
              <w:t>Localité</w:t>
            </w:r>
          </w:p>
        </w:tc>
        <w:tc>
          <w:tcPr>
            <w:tcW w:w="1438" w:type="pct"/>
            <w:gridSpan w:val="3"/>
            <w:tcBorders>
              <w:top w:val="single" w:sz="4" w:space="0" w:color="auto"/>
              <w:left w:val="nil"/>
              <w:bottom w:val="single" w:sz="4" w:space="0" w:color="auto"/>
              <w:right w:val="single" w:sz="4" w:space="0" w:color="auto"/>
            </w:tcBorders>
            <w:shd w:val="clear" w:color="000000" w:fill="FFCC99"/>
            <w:noWrap/>
            <w:vAlign w:val="bottom"/>
            <w:hideMark/>
          </w:tcPr>
          <w:p w14:paraId="1658E990" w14:textId="77777777" w:rsidR="003721CE" w:rsidRPr="005B57D5" w:rsidRDefault="003721CE" w:rsidP="00A73D26">
            <w:pPr>
              <w:jc w:val="center"/>
              <w:rPr>
                <w:rFonts w:asciiTheme="minorHAnsi" w:hAnsiTheme="minorHAnsi" w:cstheme="minorHAnsi"/>
                <w:color w:val="3F3F76"/>
                <w:sz w:val="20"/>
                <w:szCs w:val="20"/>
              </w:rPr>
            </w:pPr>
            <w:r w:rsidRPr="005B57D5">
              <w:rPr>
                <w:rFonts w:asciiTheme="minorHAnsi" w:hAnsiTheme="minorHAnsi" w:cstheme="minorHAnsi"/>
                <w:color w:val="3F3F76"/>
                <w:sz w:val="20"/>
                <w:szCs w:val="20"/>
              </w:rPr>
              <w:t>2014</w:t>
            </w:r>
          </w:p>
        </w:tc>
        <w:tc>
          <w:tcPr>
            <w:tcW w:w="578" w:type="pct"/>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6C0504C3" w14:textId="77777777" w:rsidR="003721CE" w:rsidRPr="005B57D5" w:rsidRDefault="003721CE" w:rsidP="00A73D26">
            <w:pPr>
              <w:jc w:val="center"/>
              <w:rPr>
                <w:rFonts w:asciiTheme="minorHAnsi" w:hAnsiTheme="minorHAnsi" w:cstheme="minorHAnsi"/>
                <w:color w:val="3F3F76"/>
                <w:sz w:val="20"/>
                <w:szCs w:val="20"/>
              </w:rPr>
            </w:pPr>
            <w:r w:rsidRPr="005B57D5">
              <w:rPr>
                <w:rFonts w:asciiTheme="minorHAnsi" w:hAnsiTheme="minorHAnsi" w:cstheme="minorHAnsi"/>
                <w:color w:val="3F3F76"/>
                <w:sz w:val="20"/>
                <w:szCs w:val="20"/>
              </w:rPr>
              <w:t>2018</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1794A9AC" w14:textId="77777777" w:rsidR="003721CE" w:rsidRPr="005B57D5" w:rsidRDefault="003721CE" w:rsidP="00A73D26">
            <w:pPr>
              <w:jc w:val="center"/>
              <w:rPr>
                <w:rFonts w:asciiTheme="minorHAnsi" w:hAnsiTheme="minorHAnsi" w:cstheme="minorHAnsi"/>
                <w:color w:val="3F3F76"/>
                <w:sz w:val="20"/>
                <w:szCs w:val="20"/>
              </w:rPr>
            </w:pPr>
            <w:r w:rsidRPr="005B57D5">
              <w:rPr>
                <w:rFonts w:asciiTheme="minorHAnsi" w:hAnsiTheme="minorHAnsi" w:cstheme="minorHAnsi"/>
                <w:color w:val="3F3F76"/>
                <w:sz w:val="20"/>
                <w:szCs w:val="20"/>
              </w:rPr>
              <w:t>2019</w:t>
            </w:r>
          </w:p>
        </w:tc>
        <w:tc>
          <w:tcPr>
            <w:tcW w:w="563" w:type="pct"/>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3D3DF6A3" w14:textId="77777777" w:rsidR="003721CE" w:rsidRPr="005B57D5" w:rsidRDefault="003721CE" w:rsidP="00A73D26">
            <w:pPr>
              <w:jc w:val="center"/>
              <w:rPr>
                <w:rFonts w:asciiTheme="minorHAnsi" w:hAnsiTheme="minorHAnsi" w:cstheme="minorHAnsi"/>
                <w:color w:val="3F3F76"/>
                <w:sz w:val="20"/>
                <w:szCs w:val="20"/>
              </w:rPr>
            </w:pPr>
            <w:r w:rsidRPr="005B57D5">
              <w:rPr>
                <w:rFonts w:asciiTheme="minorHAnsi" w:hAnsiTheme="minorHAnsi" w:cstheme="minorHAnsi"/>
                <w:color w:val="3F3F76"/>
                <w:sz w:val="20"/>
                <w:szCs w:val="20"/>
              </w:rPr>
              <w:t>2020</w:t>
            </w:r>
          </w:p>
        </w:tc>
        <w:tc>
          <w:tcPr>
            <w:tcW w:w="601" w:type="pct"/>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D2BAC2D" w14:textId="77777777" w:rsidR="003721CE" w:rsidRPr="005B57D5" w:rsidRDefault="003721CE" w:rsidP="00A73D26">
            <w:pPr>
              <w:jc w:val="center"/>
              <w:rPr>
                <w:rFonts w:asciiTheme="minorHAnsi" w:hAnsiTheme="minorHAnsi" w:cstheme="minorHAnsi"/>
                <w:color w:val="3F3F76"/>
                <w:sz w:val="20"/>
                <w:szCs w:val="20"/>
              </w:rPr>
            </w:pPr>
            <w:r w:rsidRPr="005B57D5">
              <w:rPr>
                <w:rFonts w:asciiTheme="minorHAnsi" w:hAnsiTheme="minorHAnsi" w:cstheme="minorHAnsi"/>
                <w:color w:val="3F3F76"/>
                <w:sz w:val="20"/>
                <w:szCs w:val="20"/>
              </w:rPr>
              <w:t>2021</w:t>
            </w:r>
          </w:p>
        </w:tc>
        <w:tc>
          <w:tcPr>
            <w:tcW w:w="632" w:type="pct"/>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5F78EF78" w14:textId="77777777" w:rsidR="003721CE" w:rsidRPr="005B57D5" w:rsidRDefault="003721CE" w:rsidP="00A73D26">
            <w:pPr>
              <w:jc w:val="center"/>
              <w:rPr>
                <w:rFonts w:asciiTheme="minorHAnsi" w:hAnsiTheme="minorHAnsi" w:cstheme="minorHAnsi"/>
                <w:color w:val="3F3F76"/>
                <w:sz w:val="20"/>
                <w:szCs w:val="20"/>
              </w:rPr>
            </w:pPr>
            <w:r w:rsidRPr="005B57D5">
              <w:rPr>
                <w:rFonts w:asciiTheme="minorHAnsi" w:hAnsiTheme="minorHAnsi" w:cstheme="minorHAnsi"/>
                <w:color w:val="3F3F76"/>
                <w:sz w:val="20"/>
                <w:szCs w:val="20"/>
              </w:rPr>
              <w:t>2022</w:t>
            </w:r>
          </w:p>
        </w:tc>
      </w:tr>
      <w:tr w:rsidR="003721CE" w:rsidRPr="005B57D5" w14:paraId="5A3A0A09" w14:textId="77777777" w:rsidTr="00A73D26">
        <w:trPr>
          <w:trHeight w:val="32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1CD62824" w14:textId="77777777" w:rsidR="003721CE" w:rsidRPr="005B57D5" w:rsidRDefault="003721CE" w:rsidP="00A73D26">
            <w:pPr>
              <w:rPr>
                <w:rFonts w:asciiTheme="minorHAnsi" w:hAnsiTheme="minorHAnsi" w:cstheme="minorHAnsi"/>
                <w:color w:val="3F3F76"/>
                <w:sz w:val="20"/>
                <w:szCs w:val="20"/>
              </w:rPr>
            </w:pPr>
          </w:p>
        </w:tc>
        <w:tc>
          <w:tcPr>
            <w:tcW w:w="461" w:type="pct"/>
            <w:tcBorders>
              <w:top w:val="nil"/>
              <w:left w:val="nil"/>
              <w:bottom w:val="single" w:sz="4" w:space="0" w:color="auto"/>
              <w:right w:val="single" w:sz="4" w:space="0" w:color="auto"/>
            </w:tcBorders>
            <w:shd w:val="clear" w:color="000000" w:fill="E7E6E6"/>
            <w:noWrap/>
            <w:vAlign w:val="bottom"/>
            <w:hideMark/>
          </w:tcPr>
          <w:p w14:paraId="5ECE9D2E" w14:textId="77777777" w:rsidR="003721CE" w:rsidRPr="005B57D5" w:rsidRDefault="003721CE" w:rsidP="00A73D26">
            <w:pPr>
              <w:jc w:val="right"/>
              <w:rPr>
                <w:rFonts w:asciiTheme="minorHAnsi" w:hAnsiTheme="minorHAnsi" w:cstheme="minorHAnsi"/>
                <w:color w:val="3F3F76"/>
                <w:sz w:val="20"/>
                <w:szCs w:val="20"/>
              </w:rPr>
            </w:pPr>
            <w:r w:rsidRPr="005B57D5">
              <w:rPr>
                <w:rFonts w:asciiTheme="minorHAnsi" w:hAnsiTheme="minorHAnsi" w:cstheme="minorHAnsi"/>
                <w:color w:val="3F3F76"/>
                <w:sz w:val="20"/>
                <w:szCs w:val="20"/>
              </w:rPr>
              <w:t>Masculin</w:t>
            </w:r>
          </w:p>
        </w:tc>
        <w:tc>
          <w:tcPr>
            <w:tcW w:w="460" w:type="pct"/>
            <w:tcBorders>
              <w:top w:val="nil"/>
              <w:left w:val="nil"/>
              <w:bottom w:val="single" w:sz="4" w:space="0" w:color="auto"/>
              <w:right w:val="single" w:sz="4" w:space="0" w:color="auto"/>
            </w:tcBorders>
            <w:shd w:val="clear" w:color="000000" w:fill="E7E6E6"/>
            <w:noWrap/>
            <w:vAlign w:val="bottom"/>
            <w:hideMark/>
          </w:tcPr>
          <w:p w14:paraId="3770DF14" w14:textId="77777777" w:rsidR="003721CE" w:rsidRPr="005B57D5" w:rsidRDefault="003721CE" w:rsidP="00A73D26">
            <w:pPr>
              <w:jc w:val="right"/>
              <w:rPr>
                <w:rFonts w:asciiTheme="minorHAnsi" w:hAnsiTheme="minorHAnsi" w:cstheme="minorHAnsi"/>
                <w:color w:val="3F3F76"/>
                <w:sz w:val="20"/>
                <w:szCs w:val="20"/>
              </w:rPr>
            </w:pPr>
            <w:r w:rsidRPr="005B57D5">
              <w:rPr>
                <w:rFonts w:asciiTheme="minorHAnsi" w:hAnsiTheme="minorHAnsi" w:cstheme="minorHAnsi"/>
                <w:color w:val="3F3F76"/>
                <w:sz w:val="20"/>
                <w:szCs w:val="20"/>
              </w:rPr>
              <w:t>Féminin</w:t>
            </w:r>
          </w:p>
        </w:tc>
        <w:tc>
          <w:tcPr>
            <w:tcW w:w="517" w:type="pct"/>
            <w:tcBorders>
              <w:top w:val="nil"/>
              <w:left w:val="nil"/>
              <w:bottom w:val="single" w:sz="4" w:space="0" w:color="auto"/>
              <w:right w:val="single" w:sz="4" w:space="0" w:color="auto"/>
            </w:tcBorders>
            <w:shd w:val="clear" w:color="000000" w:fill="E7E6E6"/>
            <w:noWrap/>
            <w:vAlign w:val="bottom"/>
            <w:hideMark/>
          </w:tcPr>
          <w:p w14:paraId="002AD54A" w14:textId="77777777" w:rsidR="003721CE" w:rsidRPr="005B57D5" w:rsidRDefault="003721CE" w:rsidP="00A73D26">
            <w:pPr>
              <w:jc w:val="right"/>
              <w:rPr>
                <w:rFonts w:asciiTheme="minorHAnsi" w:hAnsiTheme="minorHAnsi" w:cstheme="minorHAnsi"/>
                <w:color w:val="3F3F76"/>
                <w:sz w:val="20"/>
                <w:szCs w:val="20"/>
              </w:rPr>
            </w:pPr>
            <w:r w:rsidRPr="005B57D5">
              <w:rPr>
                <w:rFonts w:asciiTheme="minorHAnsi" w:hAnsiTheme="minorHAnsi" w:cstheme="minorHAnsi"/>
                <w:color w:val="3F3F76"/>
                <w:sz w:val="20"/>
                <w:szCs w:val="20"/>
              </w:rPr>
              <w:t>Total</w:t>
            </w:r>
          </w:p>
        </w:tc>
        <w:tc>
          <w:tcPr>
            <w:tcW w:w="578" w:type="pct"/>
            <w:vMerge/>
            <w:tcBorders>
              <w:top w:val="single" w:sz="4" w:space="0" w:color="auto"/>
              <w:left w:val="single" w:sz="4" w:space="0" w:color="auto"/>
              <w:bottom w:val="single" w:sz="4" w:space="0" w:color="auto"/>
              <w:right w:val="single" w:sz="4" w:space="0" w:color="auto"/>
            </w:tcBorders>
            <w:vAlign w:val="center"/>
            <w:hideMark/>
          </w:tcPr>
          <w:p w14:paraId="06453541" w14:textId="77777777" w:rsidR="003721CE" w:rsidRPr="005B57D5" w:rsidRDefault="003721CE" w:rsidP="00A73D26">
            <w:pPr>
              <w:rPr>
                <w:rFonts w:asciiTheme="minorHAnsi" w:hAnsiTheme="minorHAnsi" w:cstheme="minorHAnsi"/>
                <w:color w:val="3F3F76"/>
                <w:sz w:val="20"/>
                <w:szCs w:val="20"/>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2818A907" w14:textId="77777777" w:rsidR="003721CE" w:rsidRPr="005B57D5" w:rsidRDefault="003721CE" w:rsidP="00A73D26">
            <w:pPr>
              <w:rPr>
                <w:rFonts w:asciiTheme="minorHAnsi" w:hAnsiTheme="minorHAnsi" w:cstheme="minorHAnsi"/>
                <w:color w:val="3F3F76"/>
                <w:sz w:val="20"/>
                <w:szCs w:val="20"/>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55192C0C" w14:textId="77777777" w:rsidR="003721CE" w:rsidRPr="005B57D5" w:rsidRDefault="003721CE" w:rsidP="00A73D26">
            <w:pPr>
              <w:rPr>
                <w:rFonts w:asciiTheme="minorHAnsi" w:hAnsiTheme="minorHAnsi" w:cstheme="minorHAnsi"/>
                <w:color w:val="3F3F76"/>
                <w:sz w:val="20"/>
                <w:szCs w:val="20"/>
              </w:rPr>
            </w:pPr>
          </w:p>
        </w:tc>
        <w:tc>
          <w:tcPr>
            <w:tcW w:w="601" w:type="pct"/>
            <w:vMerge/>
            <w:tcBorders>
              <w:top w:val="single" w:sz="4" w:space="0" w:color="auto"/>
              <w:left w:val="single" w:sz="4" w:space="0" w:color="auto"/>
              <w:bottom w:val="single" w:sz="4" w:space="0" w:color="auto"/>
              <w:right w:val="single" w:sz="4" w:space="0" w:color="auto"/>
            </w:tcBorders>
            <w:vAlign w:val="center"/>
            <w:hideMark/>
          </w:tcPr>
          <w:p w14:paraId="41BBAC5A" w14:textId="77777777" w:rsidR="003721CE" w:rsidRPr="005B57D5" w:rsidRDefault="003721CE" w:rsidP="00A73D26">
            <w:pPr>
              <w:rPr>
                <w:rFonts w:asciiTheme="minorHAnsi" w:hAnsiTheme="minorHAnsi" w:cstheme="minorHAnsi"/>
                <w:color w:val="3F3F76"/>
                <w:sz w:val="20"/>
                <w:szCs w:val="20"/>
              </w:rPr>
            </w:pPr>
          </w:p>
        </w:tc>
        <w:tc>
          <w:tcPr>
            <w:tcW w:w="632" w:type="pct"/>
            <w:vMerge/>
            <w:tcBorders>
              <w:top w:val="single" w:sz="4" w:space="0" w:color="auto"/>
              <w:left w:val="single" w:sz="4" w:space="0" w:color="auto"/>
              <w:bottom w:val="single" w:sz="4" w:space="0" w:color="auto"/>
              <w:right w:val="single" w:sz="4" w:space="0" w:color="auto"/>
            </w:tcBorders>
            <w:vAlign w:val="center"/>
            <w:hideMark/>
          </w:tcPr>
          <w:p w14:paraId="57CFCEB6" w14:textId="77777777" w:rsidR="003721CE" w:rsidRPr="005B57D5" w:rsidRDefault="003721CE" w:rsidP="00A73D26">
            <w:pPr>
              <w:rPr>
                <w:rFonts w:asciiTheme="minorHAnsi" w:hAnsiTheme="minorHAnsi" w:cstheme="minorHAnsi"/>
                <w:color w:val="3F3F76"/>
                <w:sz w:val="20"/>
                <w:szCs w:val="20"/>
              </w:rPr>
            </w:pPr>
          </w:p>
        </w:tc>
      </w:tr>
      <w:tr w:rsidR="003721CE" w:rsidRPr="005B57D5" w14:paraId="5272DFA8" w14:textId="77777777" w:rsidTr="00A73D26">
        <w:trPr>
          <w:trHeight w:val="300"/>
        </w:trPr>
        <w:tc>
          <w:tcPr>
            <w:tcW w:w="586" w:type="pct"/>
            <w:tcBorders>
              <w:top w:val="nil"/>
              <w:left w:val="single" w:sz="4" w:space="0" w:color="auto"/>
              <w:bottom w:val="single" w:sz="4" w:space="0" w:color="auto"/>
              <w:right w:val="single" w:sz="4" w:space="0" w:color="auto"/>
            </w:tcBorders>
            <w:shd w:val="clear" w:color="000000" w:fill="E7E6E6"/>
            <w:noWrap/>
            <w:vAlign w:val="bottom"/>
            <w:hideMark/>
          </w:tcPr>
          <w:p w14:paraId="7F9FE703" w14:textId="77777777" w:rsidR="003721CE" w:rsidRPr="005B57D5" w:rsidRDefault="003721CE" w:rsidP="00A73D26">
            <w:pPr>
              <w:rPr>
                <w:rFonts w:asciiTheme="minorHAnsi" w:hAnsiTheme="minorHAnsi" w:cstheme="minorHAnsi"/>
                <w:color w:val="000000"/>
                <w:sz w:val="20"/>
                <w:szCs w:val="20"/>
              </w:rPr>
            </w:pPr>
            <w:r w:rsidRPr="005B57D5">
              <w:rPr>
                <w:rFonts w:asciiTheme="minorHAnsi" w:hAnsiTheme="minorHAnsi" w:cstheme="minorHAnsi"/>
                <w:color w:val="000000"/>
                <w:sz w:val="20"/>
                <w:szCs w:val="20"/>
              </w:rPr>
              <w:t>Boké</w:t>
            </w:r>
          </w:p>
        </w:tc>
        <w:tc>
          <w:tcPr>
            <w:tcW w:w="461" w:type="pct"/>
            <w:tcBorders>
              <w:top w:val="nil"/>
              <w:left w:val="nil"/>
              <w:bottom w:val="single" w:sz="4" w:space="0" w:color="auto"/>
              <w:right w:val="single" w:sz="4" w:space="0" w:color="auto"/>
            </w:tcBorders>
            <w:shd w:val="clear" w:color="auto" w:fill="auto"/>
            <w:noWrap/>
            <w:vAlign w:val="bottom"/>
            <w:hideMark/>
          </w:tcPr>
          <w:p w14:paraId="346E65F0"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531 073</w:t>
            </w:r>
          </w:p>
        </w:tc>
        <w:tc>
          <w:tcPr>
            <w:tcW w:w="460" w:type="pct"/>
            <w:tcBorders>
              <w:top w:val="nil"/>
              <w:left w:val="nil"/>
              <w:bottom w:val="single" w:sz="4" w:space="0" w:color="auto"/>
              <w:right w:val="single" w:sz="4" w:space="0" w:color="auto"/>
            </w:tcBorders>
            <w:shd w:val="clear" w:color="auto" w:fill="auto"/>
            <w:noWrap/>
            <w:vAlign w:val="bottom"/>
            <w:hideMark/>
          </w:tcPr>
          <w:p w14:paraId="0A4967CE"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561 220</w:t>
            </w:r>
          </w:p>
        </w:tc>
        <w:tc>
          <w:tcPr>
            <w:tcW w:w="517" w:type="pct"/>
            <w:tcBorders>
              <w:top w:val="nil"/>
              <w:left w:val="nil"/>
              <w:bottom w:val="single" w:sz="4" w:space="0" w:color="auto"/>
              <w:right w:val="single" w:sz="4" w:space="0" w:color="auto"/>
            </w:tcBorders>
            <w:shd w:val="clear" w:color="auto" w:fill="auto"/>
            <w:noWrap/>
            <w:vAlign w:val="bottom"/>
            <w:hideMark/>
          </w:tcPr>
          <w:p w14:paraId="3D20057B"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1 092 293</w:t>
            </w:r>
          </w:p>
        </w:tc>
        <w:tc>
          <w:tcPr>
            <w:tcW w:w="578" w:type="pct"/>
            <w:tcBorders>
              <w:top w:val="nil"/>
              <w:left w:val="nil"/>
              <w:bottom w:val="single" w:sz="4" w:space="0" w:color="auto"/>
              <w:right w:val="single" w:sz="4" w:space="0" w:color="auto"/>
            </w:tcBorders>
            <w:shd w:val="clear" w:color="auto" w:fill="auto"/>
            <w:noWrap/>
            <w:vAlign w:val="bottom"/>
            <w:hideMark/>
          </w:tcPr>
          <w:p w14:paraId="107F09A4"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1 210 399</w:t>
            </w:r>
          </w:p>
        </w:tc>
        <w:tc>
          <w:tcPr>
            <w:tcW w:w="601" w:type="pct"/>
            <w:tcBorders>
              <w:top w:val="nil"/>
              <w:left w:val="nil"/>
              <w:bottom w:val="single" w:sz="4" w:space="0" w:color="auto"/>
              <w:right w:val="single" w:sz="4" w:space="0" w:color="auto"/>
            </w:tcBorders>
            <w:shd w:val="clear" w:color="auto" w:fill="auto"/>
            <w:noWrap/>
            <w:vAlign w:val="bottom"/>
            <w:hideMark/>
          </w:tcPr>
          <w:p w14:paraId="74A196C4"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1 241 869</w:t>
            </w:r>
          </w:p>
        </w:tc>
        <w:tc>
          <w:tcPr>
            <w:tcW w:w="563" w:type="pct"/>
            <w:tcBorders>
              <w:top w:val="nil"/>
              <w:left w:val="nil"/>
              <w:bottom w:val="single" w:sz="4" w:space="0" w:color="auto"/>
              <w:right w:val="single" w:sz="4" w:space="0" w:color="auto"/>
            </w:tcBorders>
            <w:shd w:val="clear" w:color="auto" w:fill="auto"/>
            <w:noWrap/>
            <w:vAlign w:val="bottom"/>
            <w:hideMark/>
          </w:tcPr>
          <w:p w14:paraId="7621D443"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1 274 158</w:t>
            </w:r>
          </w:p>
        </w:tc>
        <w:tc>
          <w:tcPr>
            <w:tcW w:w="601" w:type="pct"/>
            <w:tcBorders>
              <w:top w:val="nil"/>
              <w:left w:val="nil"/>
              <w:bottom w:val="single" w:sz="4" w:space="0" w:color="auto"/>
              <w:right w:val="single" w:sz="4" w:space="0" w:color="auto"/>
            </w:tcBorders>
            <w:shd w:val="clear" w:color="auto" w:fill="auto"/>
            <w:noWrap/>
            <w:vAlign w:val="bottom"/>
            <w:hideMark/>
          </w:tcPr>
          <w:p w14:paraId="0AD9004F"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1 307 286</w:t>
            </w:r>
          </w:p>
        </w:tc>
        <w:tc>
          <w:tcPr>
            <w:tcW w:w="632" w:type="pct"/>
            <w:tcBorders>
              <w:top w:val="nil"/>
              <w:left w:val="nil"/>
              <w:bottom w:val="single" w:sz="4" w:space="0" w:color="auto"/>
              <w:right w:val="single" w:sz="4" w:space="0" w:color="auto"/>
            </w:tcBorders>
            <w:shd w:val="clear" w:color="auto" w:fill="auto"/>
            <w:noWrap/>
            <w:vAlign w:val="bottom"/>
            <w:hideMark/>
          </w:tcPr>
          <w:p w14:paraId="41ED94D1"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1 341 276</w:t>
            </w:r>
          </w:p>
        </w:tc>
      </w:tr>
      <w:tr w:rsidR="003721CE" w:rsidRPr="005B57D5" w14:paraId="41E557CC" w14:textId="77777777" w:rsidTr="00A73D26">
        <w:trPr>
          <w:trHeight w:val="300"/>
        </w:trPr>
        <w:tc>
          <w:tcPr>
            <w:tcW w:w="586" w:type="pct"/>
            <w:tcBorders>
              <w:top w:val="nil"/>
              <w:left w:val="single" w:sz="4" w:space="0" w:color="auto"/>
              <w:bottom w:val="single" w:sz="4" w:space="0" w:color="auto"/>
              <w:right w:val="single" w:sz="4" w:space="0" w:color="auto"/>
            </w:tcBorders>
            <w:shd w:val="clear" w:color="000000" w:fill="E7E6E6"/>
            <w:noWrap/>
            <w:vAlign w:val="bottom"/>
            <w:hideMark/>
          </w:tcPr>
          <w:p w14:paraId="1BFAFFAF" w14:textId="77777777" w:rsidR="003721CE" w:rsidRPr="005B57D5" w:rsidRDefault="003721CE" w:rsidP="00A73D26">
            <w:pPr>
              <w:rPr>
                <w:rFonts w:asciiTheme="minorHAnsi" w:hAnsiTheme="minorHAnsi" w:cstheme="minorHAnsi"/>
                <w:color w:val="000000"/>
                <w:sz w:val="20"/>
                <w:szCs w:val="20"/>
              </w:rPr>
            </w:pPr>
            <w:r w:rsidRPr="005B57D5">
              <w:rPr>
                <w:rFonts w:asciiTheme="minorHAnsi" w:hAnsiTheme="minorHAnsi" w:cstheme="minorHAnsi"/>
                <w:color w:val="000000"/>
                <w:sz w:val="20"/>
                <w:szCs w:val="20"/>
              </w:rPr>
              <w:t>Conakry</w:t>
            </w:r>
          </w:p>
        </w:tc>
        <w:tc>
          <w:tcPr>
            <w:tcW w:w="461" w:type="pct"/>
            <w:tcBorders>
              <w:top w:val="nil"/>
              <w:left w:val="nil"/>
              <w:bottom w:val="single" w:sz="4" w:space="0" w:color="auto"/>
              <w:right w:val="single" w:sz="4" w:space="0" w:color="auto"/>
            </w:tcBorders>
            <w:shd w:val="clear" w:color="auto" w:fill="auto"/>
            <w:noWrap/>
            <w:vAlign w:val="bottom"/>
            <w:hideMark/>
          </w:tcPr>
          <w:p w14:paraId="072F9347"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840 402</w:t>
            </w:r>
          </w:p>
        </w:tc>
        <w:tc>
          <w:tcPr>
            <w:tcW w:w="460" w:type="pct"/>
            <w:tcBorders>
              <w:top w:val="nil"/>
              <w:left w:val="nil"/>
              <w:bottom w:val="single" w:sz="4" w:space="0" w:color="auto"/>
              <w:right w:val="single" w:sz="4" w:space="0" w:color="auto"/>
            </w:tcBorders>
            <w:shd w:val="clear" w:color="auto" w:fill="auto"/>
            <w:noWrap/>
            <w:vAlign w:val="bottom"/>
            <w:hideMark/>
          </w:tcPr>
          <w:p w14:paraId="4731AED5"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834 666</w:t>
            </w:r>
          </w:p>
        </w:tc>
        <w:tc>
          <w:tcPr>
            <w:tcW w:w="517" w:type="pct"/>
            <w:tcBorders>
              <w:top w:val="nil"/>
              <w:left w:val="nil"/>
              <w:bottom w:val="single" w:sz="4" w:space="0" w:color="auto"/>
              <w:right w:val="single" w:sz="4" w:space="0" w:color="auto"/>
            </w:tcBorders>
            <w:shd w:val="clear" w:color="auto" w:fill="auto"/>
            <w:noWrap/>
            <w:vAlign w:val="bottom"/>
            <w:hideMark/>
          </w:tcPr>
          <w:p w14:paraId="580D0961"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1 675 068</w:t>
            </w:r>
          </w:p>
        </w:tc>
        <w:tc>
          <w:tcPr>
            <w:tcW w:w="578" w:type="pct"/>
            <w:tcBorders>
              <w:top w:val="nil"/>
              <w:left w:val="nil"/>
              <w:bottom w:val="single" w:sz="4" w:space="0" w:color="auto"/>
              <w:right w:val="single" w:sz="4" w:space="0" w:color="auto"/>
            </w:tcBorders>
            <w:shd w:val="clear" w:color="auto" w:fill="auto"/>
            <w:noWrap/>
            <w:vAlign w:val="bottom"/>
            <w:hideMark/>
          </w:tcPr>
          <w:p w14:paraId="072DAC94"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1 856 188</w:t>
            </w:r>
          </w:p>
        </w:tc>
        <w:tc>
          <w:tcPr>
            <w:tcW w:w="601" w:type="pct"/>
            <w:tcBorders>
              <w:top w:val="nil"/>
              <w:left w:val="nil"/>
              <w:bottom w:val="single" w:sz="4" w:space="0" w:color="auto"/>
              <w:right w:val="single" w:sz="4" w:space="0" w:color="auto"/>
            </w:tcBorders>
            <w:shd w:val="clear" w:color="auto" w:fill="auto"/>
            <w:noWrap/>
            <w:vAlign w:val="bottom"/>
            <w:hideMark/>
          </w:tcPr>
          <w:p w14:paraId="7E42512D"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1 904 449</w:t>
            </w:r>
          </w:p>
        </w:tc>
        <w:tc>
          <w:tcPr>
            <w:tcW w:w="563" w:type="pct"/>
            <w:tcBorders>
              <w:top w:val="nil"/>
              <w:left w:val="nil"/>
              <w:bottom w:val="single" w:sz="4" w:space="0" w:color="auto"/>
              <w:right w:val="single" w:sz="4" w:space="0" w:color="auto"/>
            </w:tcBorders>
            <w:shd w:val="clear" w:color="auto" w:fill="auto"/>
            <w:noWrap/>
            <w:vAlign w:val="bottom"/>
            <w:hideMark/>
          </w:tcPr>
          <w:p w14:paraId="51311A04"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1 953 964</w:t>
            </w:r>
          </w:p>
        </w:tc>
        <w:tc>
          <w:tcPr>
            <w:tcW w:w="601" w:type="pct"/>
            <w:tcBorders>
              <w:top w:val="nil"/>
              <w:left w:val="nil"/>
              <w:bottom w:val="single" w:sz="4" w:space="0" w:color="auto"/>
              <w:right w:val="single" w:sz="4" w:space="0" w:color="auto"/>
            </w:tcBorders>
            <w:shd w:val="clear" w:color="auto" w:fill="auto"/>
            <w:noWrap/>
            <w:vAlign w:val="bottom"/>
            <w:hideMark/>
          </w:tcPr>
          <w:p w14:paraId="63BFF03B"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2 004 767</w:t>
            </w:r>
          </w:p>
        </w:tc>
        <w:tc>
          <w:tcPr>
            <w:tcW w:w="632" w:type="pct"/>
            <w:tcBorders>
              <w:top w:val="nil"/>
              <w:left w:val="nil"/>
              <w:bottom w:val="single" w:sz="4" w:space="0" w:color="auto"/>
              <w:right w:val="single" w:sz="4" w:space="0" w:color="auto"/>
            </w:tcBorders>
            <w:shd w:val="clear" w:color="auto" w:fill="auto"/>
            <w:noWrap/>
            <w:vAlign w:val="bottom"/>
            <w:hideMark/>
          </w:tcPr>
          <w:p w14:paraId="556FED09"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2 056 891</w:t>
            </w:r>
          </w:p>
        </w:tc>
      </w:tr>
      <w:tr w:rsidR="003721CE" w:rsidRPr="005B57D5" w14:paraId="22D85348" w14:textId="77777777" w:rsidTr="00A73D26">
        <w:trPr>
          <w:trHeight w:val="300"/>
        </w:trPr>
        <w:tc>
          <w:tcPr>
            <w:tcW w:w="586" w:type="pct"/>
            <w:tcBorders>
              <w:top w:val="nil"/>
              <w:left w:val="single" w:sz="4" w:space="0" w:color="auto"/>
              <w:bottom w:val="single" w:sz="4" w:space="0" w:color="auto"/>
              <w:right w:val="single" w:sz="4" w:space="0" w:color="auto"/>
            </w:tcBorders>
            <w:shd w:val="clear" w:color="000000" w:fill="E7E6E6"/>
            <w:noWrap/>
            <w:vAlign w:val="bottom"/>
            <w:hideMark/>
          </w:tcPr>
          <w:p w14:paraId="16660BAC" w14:textId="77777777" w:rsidR="003721CE" w:rsidRPr="005B57D5" w:rsidRDefault="003721CE" w:rsidP="00A73D26">
            <w:pPr>
              <w:rPr>
                <w:rFonts w:asciiTheme="minorHAnsi" w:hAnsiTheme="minorHAnsi" w:cstheme="minorHAnsi"/>
                <w:color w:val="000000"/>
                <w:sz w:val="20"/>
                <w:szCs w:val="20"/>
              </w:rPr>
            </w:pPr>
            <w:r w:rsidRPr="005B57D5">
              <w:rPr>
                <w:rFonts w:asciiTheme="minorHAnsi" w:hAnsiTheme="minorHAnsi" w:cstheme="minorHAnsi"/>
                <w:color w:val="000000"/>
                <w:sz w:val="20"/>
                <w:szCs w:val="20"/>
              </w:rPr>
              <w:t>Faranah</w:t>
            </w:r>
          </w:p>
        </w:tc>
        <w:tc>
          <w:tcPr>
            <w:tcW w:w="461" w:type="pct"/>
            <w:tcBorders>
              <w:top w:val="nil"/>
              <w:left w:val="nil"/>
              <w:bottom w:val="single" w:sz="4" w:space="0" w:color="auto"/>
              <w:right w:val="single" w:sz="4" w:space="0" w:color="auto"/>
            </w:tcBorders>
            <w:shd w:val="clear" w:color="auto" w:fill="auto"/>
            <w:noWrap/>
            <w:vAlign w:val="bottom"/>
            <w:hideMark/>
          </w:tcPr>
          <w:p w14:paraId="63DA81CD"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454 385</w:t>
            </w:r>
          </w:p>
        </w:tc>
        <w:tc>
          <w:tcPr>
            <w:tcW w:w="460" w:type="pct"/>
            <w:tcBorders>
              <w:top w:val="nil"/>
              <w:left w:val="nil"/>
              <w:bottom w:val="single" w:sz="4" w:space="0" w:color="auto"/>
              <w:right w:val="single" w:sz="4" w:space="0" w:color="auto"/>
            </w:tcBorders>
            <w:shd w:val="clear" w:color="auto" w:fill="auto"/>
            <w:noWrap/>
            <w:vAlign w:val="bottom"/>
            <w:hideMark/>
          </w:tcPr>
          <w:p w14:paraId="50B277C7"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495 205</w:t>
            </w:r>
          </w:p>
        </w:tc>
        <w:tc>
          <w:tcPr>
            <w:tcW w:w="517" w:type="pct"/>
            <w:tcBorders>
              <w:top w:val="nil"/>
              <w:left w:val="nil"/>
              <w:bottom w:val="single" w:sz="4" w:space="0" w:color="auto"/>
              <w:right w:val="single" w:sz="4" w:space="0" w:color="auto"/>
            </w:tcBorders>
            <w:shd w:val="clear" w:color="auto" w:fill="auto"/>
            <w:noWrap/>
            <w:vAlign w:val="bottom"/>
            <w:hideMark/>
          </w:tcPr>
          <w:p w14:paraId="69A9F31E"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949 590</w:t>
            </w:r>
          </w:p>
        </w:tc>
        <w:tc>
          <w:tcPr>
            <w:tcW w:w="578" w:type="pct"/>
            <w:tcBorders>
              <w:top w:val="nil"/>
              <w:left w:val="nil"/>
              <w:bottom w:val="single" w:sz="4" w:space="0" w:color="auto"/>
              <w:right w:val="single" w:sz="4" w:space="0" w:color="auto"/>
            </w:tcBorders>
            <w:shd w:val="clear" w:color="auto" w:fill="auto"/>
            <w:noWrap/>
            <w:vAlign w:val="bottom"/>
            <w:hideMark/>
          </w:tcPr>
          <w:p w14:paraId="37E0C055"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1 052 266</w:t>
            </w:r>
          </w:p>
        </w:tc>
        <w:tc>
          <w:tcPr>
            <w:tcW w:w="601" w:type="pct"/>
            <w:tcBorders>
              <w:top w:val="nil"/>
              <w:left w:val="nil"/>
              <w:bottom w:val="single" w:sz="4" w:space="0" w:color="auto"/>
              <w:right w:val="single" w:sz="4" w:space="0" w:color="auto"/>
            </w:tcBorders>
            <w:shd w:val="clear" w:color="auto" w:fill="auto"/>
            <w:noWrap/>
            <w:vAlign w:val="bottom"/>
            <w:hideMark/>
          </w:tcPr>
          <w:p w14:paraId="443F4F13"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1 079 625</w:t>
            </w:r>
          </w:p>
        </w:tc>
        <w:tc>
          <w:tcPr>
            <w:tcW w:w="563" w:type="pct"/>
            <w:tcBorders>
              <w:top w:val="nil"/>
              <w:left w:val="nil"/>
              <w:bottom w:val="single" w:sz="4" w:space="0" w:color="auto"/>
              <w:right w:val="single" w:sz="4" w:space="0" w:color="auto"/>
            </w:tcBorders>
            <w:shd w:val="clear" w:color="auto" w:fill="auto"/>
            <w:noWrap/>
            <w:vAlign w:val="bottom"/>
            <w:hideMark/>
          </w:tcPr>
          <w:p w14:paraId="4BC96FB5"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1 107 695</w:t>
            </w:r>
          </w:p>
        </w:tc>
        <w:tc>
          <w:tcPr>
            <w:tcW w:w="601" w:type="pct"/>
            <w:tcBorders>
              <w:top w:val="nil"/>
              <w:left w:val="nil"/>
              <w:bottom w:val="single" w:sz="4" w:space="0" w:color="auto"/>
              <w:right w:val="single" w:sz="4" w:space="0" w:color="auto"/>
            </w:tcBorders>
            <w:shd w:val="clear" w:color="auto" w:fill="auto"/>
            <w:noWrap/>
            <w:vAlign w:val="bottom"/>
            <w:hideMark/>
          </w:tcPr>
          <w:p w14:paraId="09CF4A80"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1 136 495</w:t>
            </w:r>
          </w:p>
        </w:tc>
        <w:tc>
          <w:tcPr>
            <w:tcW w:w="632" w:type="pct"/>
            <w:tcBorders>
              <w:top w:val="nil"/>
              <w:left w:val="nil"/>
              <w:bottom w:val="single" w:sz="4" w:space="0" w:color="auto"/>
              <w:right w:val="single" w:sz="4" w:space="0" w:color="auto"/>
            </w:tcBorders>
            <w:shd w:val="clear" w:color="auto" w:fill="auto"/>
            <w:noWrap/>
            <w:vAlign w:val="bottom"/>
            <w:hideMark/>
          </w:tcPr>
          <w:p w14:paraId="7069B882"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1 166 044</w:t>
            </w:r>
          </w:p>
        </w:tc>
      </w:tr>
      <w:tr w:rsidR="003721CE" w:rsidRPr="005B57D5" w14:paraId="7A68C791" w14:textId="77777777" w:rsidTr="00A73D26">
        <w:trPr>
          <w:trHeight w:val="300"/>
        </w:trPr>
        <w:tc>
          <w:tcPr>
            <w:tcW w:w="586" w:type="pct"/>
            <w:tcBorders>
              <w:top w:val="nil"/>
              <w:left w:val="single" w:sz="4" w:space="0" w:color="auto"/>
              <w:bottom w:val="single" w:sz="4" w:space="0" w:color="auto"/>
              <w:right w:val="single" w:sz="4" w:space="0" w:color="auto"/>
            </w:tcBorders>
            <w:shd w:val="clear" w:color="000000" w:fill="E7E6E6"/>
            <w:noWrap/>
            <w:vAlign w:val="bottom"/>
            <w:hideMark/>
          </w:tcPr>
          <w:p w14:paraId="5FFFB4F7" w14:textId="77777777" w:rsidR="003721CE" w:rsidRPr="005B57D5" w:rsidRDefault="003721CE" w:rsidP="00A73D26">
            <w:pPr>
              <w:rPr>
                <w:rFonts w:asciiTheme="minorHAnsi" w:hAnsiTheme="minorHAnsi" w:cstheme="minorHAnsi"/>
                <w:color w:val="000000"/>
                <w:sz w:val="20"/>
                <w:szCs w:val="20"/>
              </w:rPr>
            </w:pPr>
            <w:r w:rsidRPr="005B57D5">
              <w:rPr>
                <w:rFonts w:asciiTheme="minorHAnsi" w:hAnsiTheme="minorHAnsi" w:cstheme="minorHAnsi"/>
                <w:color w:val="000000"/>
                <w:sz w:val="20"/>
                <w:szCs w:val="20"/>
              </w:rPr>
              <w:t>Kankan</w:t>
            </w:r>
          </w:p>
        </w:tc>
        <w:tc>
          <w:tcPr>
            <w:tcW w:w="461" w:type="pct"/>
            <w:tcBorders>
              <w:top w:val="nil"/>
              <w:left w:val="nil"/>
              <w:bottom w:val="single" w:sz="4" w:space="0" w:color="auto"/>
              <w:right w:val="single" w:sz="4" w:space="0" w:color="auto"/>
            </w:tcBorders>
            <w:shd w:val="clear" w:color="auto" w:fill="auto"/>
            <w:noWrap/>
            <w:vAlign w:val="bottom"/>
            <w:hideMark/>
          </w:tcPr>
          <w:p w14:paraId="6FCE5054"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981 417</w:t>
            </w:r>
          </w:p>
        </w:tc>
        <w:tc>
          <w:tcPr>
            <w:tcW w:w="460" w:type="pct"/>
            <w:tcBorders>
              <w:top w:val="nil"/>
              <w:left w:val="nil"/>
              <w:bottom w:val="single" w:sz="4" w:space="0" w:color="auto"/>
              <w:right w:val="single" w:sz="4" w:space="0" w:color="auto"/>
            </w:tcBorders>
            <w:shd w:val="clear" w:color="auto" w:fill="auto"/>
            <w:noWrap/>
            <w:vAlign w:val="bottom"/>
            <w:hideMark/>
          </w:tcPr>
          <w:p w14:paraId="58EC963C"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997 621</w:t>
            </w:r>
          </w:p>
        </w:tc>
        <w:tc>
          <w:tcPr>
            <w:tcW w:w="517" w:type="pct"/>
            <w:tcBorders>
              <w:top w:val="nil"/>
              <w:left w:val="nil"/>
              <w:bottom w:val="single" w:sz="4" w:space="0" w:color="auto"/>
              <w:right w:val="single" w:sz="4" w:space="0" w:color="auto"/>
            </w:tcBorders>
            <w:shd w:val="clear" w:color="auto" w:fill="auto"/>
            <w:noWrap/>
            <w:vAlign w:val="bottom"/>
            <w:hideMark/>
          </w:tcPr>
          <w:p w14:paraId="074C4F0C"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1 979 038</w:t>
            </w:r>
          </w:p>
        </w:tc>
        <w:tc>
          <w:tcPr>
            <w:tcW w:w="578" w:type="pct"/>
            <w:tcBorders>
              <w:top w:val="nil"/>
              <w:left w:val="nil"/>
              <w:bottom w:val="single" w:sz="4" w:space="0" w:color="auto"/>
              <w:right w:val="single" w:sz="4" w:space="0" w:color="auto"/>
            </w:tcBorders>
            <w:shd w:val="clear" w:color="auto" w:fill="auto"/>
            <w:noWrap/>
            <w:vAlign w:val="bottom"/>
            <w:hideMark/>
          </w:tcPr>
          <w:p w14:paraId="15812B45"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2 193 025</w:t>
            </w:r>
          </w:p>
        </w:tc>
        <w:tc>
          <w:tcPr>
            <w:tcW w:w="601" w:type="pct"/>
            <w:tcBorders>
              <w:top w:val="nil"/>
              <w:left w:val="nil"/>
              <w:bottom w:val="single" w:sz="4" w:space="0" w:color="auto"/>
              <w:right w:val="single" w:sz="4" w:space="0" w:color="auto"/>
            </w:tcBorders>
            <w:shd w:val="clear" w:color="auto" w:fill="auto"/>
            <w:noWrap/>
            <w:vAlign w:val="bottom"/>
            <w:hideMark/>
          </w:tcPr>
          <w:p w14:paraId="1765BA7B"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2 250 044</w:t>
            </w:r>
          </w:p>
        </w:tc>
        <w:tc>
          <w:tcPr>
            <w:tcW w:w="563" w:type="pct"/>
            <w:tcBorders>
              <w:top w:val="nil"/>
              <w:left w:val="nil"/>
              <w:bottom w:val="single" w:sz="4" w:space="0" w:color="auto"/>
              <w:right w:val="single" w:sz="4" w:space="0" w:color="auto"/>
            </w:tcBorders>
            <w:shd w:val="clear" w:color="auto" w:fill="auto"/>
            <w:noWrap/>
            <w:vAlign w:val="bottom"/>
            <w:hideMark/>
          </w:tcPr>
          <w:p w14:paraId="34AFADF1"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2 308 545</w:t>
            </w:r>
          </w:p>
        </w:tc>
        <w:tc>
          <w:tcPr>
            <w:tcW w:w="601" w:type="pct"/>
            <w:tcBorders>
              <w:top w:val="nil"/>
              <w:left w:val="nil"/>
              <w:bottom w:val="single" w:sz="4" w:space="0" w:color="auto"/>
              <w:right w:val="single" w:sz="4" w:space="0" w:color="auto"/>
            </w:tcBorders>
            <w:shd w:val="clear" w:color="auto" w:fill="auto"/>
            <w:noWrap/>
            <w:vAlign w:val="bottom"/>
            <w:hideMark/>
          </w:tcPr>
          <w:p w14:paraId="52B0C54D"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2 368 567</w:t>
            </w:r>
          </w:p>
        </w:tc>
        <w:tc>
          <w:tcPr>
            <w:tcW w:w="632" w:type="pct"/>
            <w:tcBorders>
              <w:top w:val="nil"/>
              <w:left w:val="nil"/>
              <w:bottom w:val="single" w:sz="4" w:space="0" w:color="auto"/>
              <w:right w:val="single" w:sz="4" w:space="0" w:color="auto"/>
            </w:tcBorders>
            <w:shd w:val="clear" w:color="auto" w:fill="auto"/>
            <w:noWrap/>
            <w:vAlign w:val="bottom"/>
            <w:hideMark/>
          </w:tcPr>
          <w:p w14:paraId="628DF123"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2 430 150</w:t>
            </w:r>
          </w:p>
        </w:tc>
      </w:tr>
      <w:tr w:rsidR="003721CE" w:rsidRPr="005B57D5" w14:paraId="027B17C7" w14:textId="77777777" w:rsidTr="00A73D26">
        <w:trPr>
          <w:trHeight w:val="300"/>
        </w:trPr>
        <w:tc>
          <w:tcPr>
            <w:tcW w:w="586" w:type="pct"/>
            <w:tcBorders>
              <w:top w:val="nil"/>
              <w:left w:val="single" w:sz="4" w:space="0" w:color="auto"/>
              <w:bottom w:val="single" w:sz="4" w:space="0" w:color="auto"/>
              <w:right w:val="single" w:sz="4" w:space="0" w:color="auto"/>
            </w:tcBorders>
            <w:shd w:val="clear" w:color="000000" w:fill="E7E6E6"/>
            <w:noWrap/>
            <w:vAlign w:val="bottom"/>
            <w:hideMark/>
          </w:tcPr>
          <w:p w14:paraId="20BD0F8C" w14:textId="77777777" w:rsidR="003721CE" w:rsidRPr="005B57D5" w:rsidRDefault="003721CE" w:rsidP="00A73D26">
            <w:pPr>
              <w:rPr>
                <w:rFonts w:asciiTheme="minorHAnsi" w:hAnsiTheme="minorHAnsi" w:cstheme="minorHAnsi"/>
                <w:color w:val="000000"/>
                <w:sz w:val="20"/>
                <w:szCs w:val="20"/>
              </w:rPr>
            </w:pPr>
            <w:r w:rsidRPr="005B57D5">
              <w:rPr>
                <w:rFonts w:asciiTheme="minorHAnsi" w:hAnsiTheme="minorHAnsi" w:cstheme="minorHAnsi"/>
                <w:color w:val="000000"/>
                <w:sz w:val="20"/>
                <w:szCs w:val="20"/>
              </w:rPr>
              <w:t>Kindia</w:t>
            </w:r>
          </w:p>
        </w:tc>
        <w:tc>
          <w:tcPr>
            <w:tcW w:w="461" w:type="pct"/>
            <w:tcBorders>
              <w:top w:val="nil"/>
              <w:left w:val="nil"/>
              <w:bottom w:val="single" w:sz="4" w:space="0" w:color="auto"/>
              <w:right w:val="single" w:sz="4" w:space="0" w:color="auto"/>
            </w:tcBorders>
            <w:shd w:val="clear" w:color="auto" w:fill="auto"/>
            <w:noWrap/>
            <w:vAlign w:val="bottom"/>
            <w:hideMark/>
          </w:tcPr>
          <w:p w14:paraId="100A29BB"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754 300</w:t>
            </w:r>
          </w:p>
        </w:tc>
        <w:tc>
          <w:tcPr>
            <w:tcW w:w="460" w:type="pct"/>
            <w:tcBorders>
              <w:top w:val="nil"/>
              <w:left w:val="nil"/>
              <w:bottom w:val="single" w:sz="4" w:space="0" w:color="auto"/>
              <w:right w:val="single" w:sz="4" w:space="0" w:color="auto"/>
            </w:tcBorders>
            <w:shd w:val="clear" w:color="auto" w:fill="auto"/>
            <w:noWrap/>
            <w:vAlign w:val="bottom"/>
            <w:hideMark/>
          </w:tcPr>
          <w:p w14:paraId="70EFA36D"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819 391</w:t>
            </w:r>
          </w:p>
        </w:tc>
        <w:tc>
          <w:tcPr>
            <w:tcW w:w="517" w:type="pct"/>
            <w:tcBorders>
              <w:top w:val="nil"/>
              <w:left w:val="nil"/>
              <w:bottom w:val="single" w:sz="4" w:space="0" w:color="auto"/>
              <w:right w:val="single" w:sz="4" w:space="0" w:color="auto"/>
            </w:tcBorders>
            <w:shd w:val="clear" w:color="auto" w:fill="auto"/>
            <w:noWrap/>
            <w:vAlign w:val="bottom"/>
            <w:hideMark/>
          </w:tcPr>
          <w:p w14:paraId="345D8B27"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1 573 691</w:t>
            </w:r>
          </w:p>
        </w:tc>
        <w:tc>
          <w:tcPr>
            <w:tcW w:w="578" w:type="pct"/>
            <w:tcBorders>
              <w:top w:val="nil"/>
              <w:left w:val="nil"/>
              <w:bottom w:val="single" w:sz="4" w:space="0" w:color="auto"/>
              <w:right w:val="single" w:sz="4" w:space="0" w:color="auto"/>
            </w:tcBorders>
            <w:shd w:val="clear" w:color="auto" w:fill="auto"/>
            <w:noWrap/>
            <w:vAlign w:val="bottom"/>
            <w:hideMark/>
          </w:tcPr>
          <w:p w14:paraId="03B02912"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1 743 849</w:t>
            </w:r>
          </w:p>
        </w:tc>
        <w:tc>
          <w:tcPr>
            <w:tcW w:w="601" w:type="pct"/>
            <w:tcBorders>
              <w:top w:val="nil"/>
              <w:left w:val="nil"/>
              <w:bottom w:val="single" w:sz="4" w:space="0" w:color="auto"/>
              <w:right w:val="single" w:sz="4" w:space="0" w:color="auto"/>
            </w:tcBorders>
            <w:shd w:val="clear" w:color="auto" w:fill="auto"/>
            <w:noWrap/>
            <w:vAlign w:val="bottom"/>
            <w:hideMark/>
          </w:tcPr>
          <w:p w14:paraId="1824391C"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1 789 189</w:t>
            </w:r>
          </w:p>
        </w:tc>
        <w:tc>
          <w:tcPr>
            <w:tcW w:w="563" w:type="pct"/>
            <w:tcBorders>
              <w:top w:val="nil"/>
              <w:left w:val="nil"/>
              <w:bottom w:val="single" w:sz="4" w:space="0" w:color="auto"/>
              <w:right w:val="single" w:sz="4" w:space="0" w:color="auto"/>
            </w:tcBorders>
            <w:shd w:val="clear" w:color="auto" w:fill="auto"/>
            <w:noWrap/>
            <w:vAlign w:val="bottom"/>
            <w:hideMark/>
          </w:tcPr>
          <w:p w14:paraId="40AFA909"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1 835 708</w:t>
            </w:r>
          </w:p>
        </w:tc>
        <w:tc>
          <w:tcPr>
            <w:tcW w:w="601" w:type="pct"/>
            <w:tcBorders>
              <w:top w:val="nil"/>
              <w:left w:val="nil"/>
              <w:bottom w:val="single" w:sz="4" w:space="0" w:color="auto"/>
              <w:right w:val="single" w:sz="4" w:space="0" w:color="auto"/>
            </w:tcBorders>
            <w:shd w:val="clear" w:color="auto" w:fill="auto"/>
            <w:noWrap/>
            <w:vAlign w:val="bottom"/>
            <w:hideMark/>
          </w:tcPr>
          <w:p w14:paraId="2DF48B26"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1 883 437</w:t>
            </w:r>
          </w:p>
        </w:tc>
        <w:tc>
          <w:tcPr>
            <w:tcW w:w="632" w:type="pct"/>
            <w:tcBorders>
              <w:top w:val="nil"/>
              <w:left w:val="nil"/>
              <w:bottom w:val="single" w:sz="4" w:space="0" w:color="auto"/>
              <w:right w:val="single" w:sz="4" w:space="0" w:color="auto"/>
            </w:tcBorders>
            <w:shd w:val="clear" w:color="auto" w:fill="auto"/>
            <w:noWrap/>
            <w:vAlign w:val="bottom"/>
            <w:hideMark/>
          </w:tcPr>
          <w:p w14:paraId="198AF238"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1 932 406</w:t>
            </w:r>
          </w:p>
        </w:tc>
      </w:tr>
      <w:tr w:rsidR="003721CE" w:rsidRPr="005B57D5" w14:paraId="38129E2A" w14:textId="77777777" w:rsidTr="00A73D26">
        <w:trPr>
          <w:trHeight w:val="300"/>
        </w:trPr>
        <w:tc>
          <w:tcPr>
            <w:tcW w:w="586" w:type="pct"/>
            <w:tcBorders>
              <w:top w:val="nil"/>
              <w:left w:val="single" w:sz="4" w:space="0" w:color="auto"/>
              <w:bottom w:val="single" w:sz="4" w:space="0" w:color="auto"/>
              <w:right w:val="single" w:sz="4" w:space="0" w:color="auto"/>
            </w:tcBorders>
            <w:shd w:val="clear" w:color="000000" w:fill="E7E6E6"/>
            <w:noWrap/>
            <w:vAlign w:val="bottom"/>
            <w:hideMark/>
          </w:tcPr>
          <w:p w14:paraId="474BE111" w14:textId="77777777" w:rsidR="003721CE" w:rsidRPr="005B57D5" w:rsidRDefault="003721CE" w:rsidP="00A73D26">
            <w:pPr>
              <w:rPr>
                <w:rFonts w:asciiTheme="minorHAnsi" w:hAnsiTheme="minorHAnsi" w:cstheme="minorHAnsi"/>
                <w:color w:val="000000"/>
                <w:sz w:val="20"/>
                <w:szCs w:val="20"/>
              </w:rPr>
            </w:pPr>
            <w:r w:rsidRPr="005B57D5">
              <w:rPr>
                <w:rFonts w:asciiTheme="minorHAnsi" w:hAnsiTheme="minorHAnsi" w:cstheme="minorHAnsi"/>
                <w:color w:val="000000"/>
                <w:sz w:val="20"/>
                <w:szCs w:val="20"/>
              </w:rPr>
              <w:t>Labé</w:t>
            </w:r>
          </w:p>
        </w:tc>
        <w:tc>
          <w:tcPr>
            <w:tcW w:w="461" w:type="pct"/>
            <w:tcBorders>
              <w:top w:val="nil"/>
              <w:left w:val="nil"/>
              <w:bottom w:val="single" w:sz="4" w:space="0" w:color="auto"/>
              <w:right w:val="single" w:sz="4" w:space="0" w:color="auto"/>
            </w:tcBorders>
            <w:shd w:val="clear" w:color="auto" w:fill="auto"/>
            <w:noWrap/>
            <w:vAlign w:val="bottom"/>
            <w:hideMark/>
          </w:tcPr>
          <w:p w14:paraId="450636B9"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450 867</w:t>
            </w:r>
          </w:p>
        </w:tc>
        <w:tc>
          <w:tcPr>
            <w:tcW w:w="460" w:type="pct"/>
            <w:tcBorders>
              <w:top w:val="nil"/>
              <w:left w:val="nil"/>
              <w:bottom w:val="single" w:sz="4" w:space="0" w:color="auto"/>
              <w:right w:val="single" w:sz="4" w:space="0" w:color="auto"/>
            </w:tcBorders>
            <w:shd w:val="clear" w:color="auto" w:fill="auto"/>
            <w:noWrap/>
            <w:vAlign w:val="bottom"/>
            <w:hideMark/>
          </w:tcPr>
          <w:p w14:paraId="1A6E371E"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550 526</w:t>
            </w:r>
          </w:p>
        </w:tc>
        <w:tc>
          <w:tcPr>
            <w:tcW w:w="517" w:type="pct"/>
            <w:tcBorders>
              <w:top w:val="nil"/>
              <w:left w:val="nil"/>
              <w:bottom w:val="single" w:sz="4" w:space="0" w:color="auto"/>
              <w:right w:val="single" w:sz="4" w:space="0" w:color="auto"/>
            </w:tcBorders>
            <w:shd w:val="clear" w:color="auto" w:fill="auto"/>
            <w:noWrap/>
            <w:vAlign w:val="bottom"/>
            <w:hideMark/>
          </w:tcPr>
          <w:p w14:paraId="1145408F"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1 001 393</w:t>
            </w:r>
          </w:p>
        </w:tc>
        <w:tc>
          <w:tcPr>
            <w:tcW w:w="578" w:type="pct"/>
            <w:tcBorders>
              <w:top w:val="nil"/>
              <w:left w:val="nil"/>
              <w:bottom w:val="single" w:sz="4" w:space="0" w:color="auto"/>
              <w:right w:val="single" w:sz="4" w:space="0" w:color="auto"/>
            </w:tcBorders>
            <w:shd w:val="clear" w:color="auto" w:fill="auto"/>
            <w:noWrap/>
            <w:vAlign w:val="bottom"/>
            <w:hideMark/>
          </w:tcPr>
          <w:p w14:paraId="28CA6C71"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1 109 670</w:t>
            </w:r>
          </w:p>
        </w:tc>
        <w:tc>
          <w:tcPr>
            <w:tcW w:w="601" w:type="pct"/>
            <w:tcBorders>
              <w:top w:val="nil"/>
              <w:left w:val="nil"/>
              <w:bottom w:val="single" w:sz="4" w:space="0" w:color="auto"/>
              <w:right w:val="single" w:sz="4" w:space="0" w:color="auto"/>
            </w:tcBorders>
            <w:shd w:val="clear" w:color="auto" w:fill="auto"/>
            <w:noWrap/>
            <w:vAlign w:val="bottom"/>
            <w:hideMark/>
          </w:tcPr>
          <w:p w14:paraId="78AEF141"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1 138 522</w:t>
            </w:r>
          </w:p>
        </w:tc>
        <w:tc>
          <w:tcPr>
            <w:tcW w:w="563" w:type="pct"/>
            <w:tcBorders>
              <w:top w:val="nil"/>
              <w:left w:val="nil"/>
              <w:bottom w:val="single" w:sz="4" w:space="0" w:color="auto"/>
              <w:right w:val="single" w:sz="4" w:space="0" w:color="auto"/>
            </w:tcBorders>
            <w:shd w:val="clear" w:color="auto" w:fill="auto"/>
            <w:noWrap/>
            <w:vAlign w:val="bottom"/>
            <w:hideMark/>
          </w:tcPr>
          <w:p w14:paraId="6A6A5262"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1 168 123</w:t>
            </w:r>
          </w:p>
        </w:tc>
        <w:tc>
          <w:tcPr>
            <w:tcW w:w="601" w:type="pct"/>
            <w:tcBorders>
              <w:top w:val="nil"/>
              <w:left w:val="nil"/>
              <w:bottom w:val="single" w:sz="4" w:space="0" w:color="auto"/>
              <w:right w:val="single" w:sz="4" w:space="0" w:color="auto"/>
            </w:tcBorders>
            <w:shd w:val="clear" w:color="auto" w:fill="auto"/>
            <w:noWrap/>
            <w:vAlign w:val="bottom"/>
            <w:hideMark/>
          </w:tcPr>
          <w:p w14:paraId="0BE7588A"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1 198 495</w:t>
            </w:r>
          </w:p>
        </w:tc>
        <w:tc>
          <w:tcPr>
            <w:tcW w:w="632" w:type="pct"/>
            <w:tcBorders>
              <w:top w:val="nil"/>
              <w:left w:val="nil"/>
              <w:bottom w:val="single" w:sz="4" w:space="0" w:color="auto"/>
              <w:right w:val="single" w:sz="4" w:space="0" w:color="auto"/>
            </w:tcBorders>
            <w:shd w:val="clear" w:color="auto" w:fill="auto"/>
            <w:noWrap/>
            <w:vAlign w:val="bottom"/>
            <w:hideMark/>
          </w:tcPr>
          <w:p w14:paraId="453C5EEE"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1 229 655</w:t>
            </w:r>
          </w:p>
        </w:tc>
      </w:tr>
      <w:tr w:rsidR="003721CE" w:rsidRPr="005B57D5" w14:paraId="67A1B8EF" w14:textId="77777777" w:rsidTr="00A73D26">
        <w:trPr>
          <w:trHeight w:val="300"/>
        </w:trPr>
        <w:tc>
          <w:tcPr>
            <w:tcW w:w="586" w:type="pct"/>
            <w:tcBorders>
              <w:top w:val="nil"/>
              <w:left w:val="single" w:sz="4" w:space="0" w:color="auto"/>
              <w:bottom w:val="single" w:sz="4" w:space="0" w:color="auto"/>
              <w:right w:val="single" w:sz="4" w:space="0" w:color="auto"/>
            </w:tcBorders>
            <w:shd w:val="clear" w:color="000000" w:fill="E7E6E6"/>
            <w:noWrap/>
            <w:vAlign w:val="bottom"/>
            <w:hideMark/>
          </w:tcPr>
          <w:p w14:paraId="3D4A7299" w14:textId="77777777" w:rsidR="003721CE" w:rsidRPr="005B57D5" w:rsidRDefault="003721CE" w:rsidP="00A73D26">
            <w:pPr>
              <w:rPr>
                <w:rFonts w:asciiTheme="minorHAnsi" w:hAnsiTheme="minorHAnsi" w:cstheme="minorHAnsi"/>
                <w:color w:val="000000"/>
                <w:sz w:val="20"/>
                <w:szCs w:val="20"/>
              </w:rPr>
            </w:pPr>
            <w:r w:rsidRPr="005B57D5">
              <w:rPr>
                <w:rFonts w:asciiTheme="minorHAnsi" w:hAnsiTheme="minorHAnsi" w:cstheme="minorHAnsi"/>
                <w:color w:val="000000"/>
                <w:sz w:val="20"/>
                <w:szCs w:val="20"/>
              </w:rPr>
              <w:t>Mamou</w:t>
            </w:r>
          </w:p>
        </w:tc>
        <w:tc>
          <w:tcPr>
            <w:tcW w:w="461" w:type="pct"/>
            <w:tcBorders>
              <w:top w:val="nil"/>
              <w:left w:val="nil"/>
              <w:bottom w:val="single" w:sz="4" w:space="0" w:color="auto"/>
              <w:right w:val="single" w:sz="4" w:space="0" w:color="auto"/>
            </w:tcBorders>
            <w:shd w:val="clear" w:color="auto" w:fill="auto"/>
            <w:noWrap/>
            <w:vAlign w:val="bottom"/>
            <w:hideMark/>
          </w:tcPr>
          <w:p w14:paraId="6C1B1A0B"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334 303</w:t>
            </w:r>
          </w:p>
        </w:tc>
        <w:tc>
          <w:tcPr>
            <w:tcW w:w="460" w:type="pct"/>
            <w:tcBorders>
              <w:top w:val="nil"/>
              <w:left w:val="nil"/>
              <w:bottom w:val="single" w:sz="4" w:space="0" w:color="auto"/>
              <w:right w:val="single" w:sz="4" w:space="0" w:color="auto"/>
            </w:tcBorders>
            <w:shd w:val="clear" w:color="auto" w:fill="auto"/>
            <w:noWrap/>
            <w:vAlign w:val="bottom"/>
            <w:hideMark/>
          </w:tcPr>
          <w:p w14:paraId="66C2F641"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402 761</w:t>
            </w:r>
          </w:p>
        </w:tc>
        <w:tc>
          <w:tcPr>
            <w:tcW w:w="517" w:type="pct"/>
            <w:tcBorders>
              <w:top w:val="nil"/>
              <w:left w:val="nil"/>
              <w:bottom w:val="single" w:sz="4" w:space="0" w:color="auto"/>
              <w:right w:val="single" w:sz="4" w:space="0" w:color="auto"/>
            </w:tcBorders>
            <w:shd w:val="clear" w:color="auto" w:fill="auto"/>
            <w:noWrap/>
            <w:vAlign w:val="bottom"/>
            <w:hideMark/>
          </w:tcPr>
          <w:p w14:paraId="606E08EF"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737 064</w:t>
            </w:r>
          </w:p>
        </w:tc>
        <w:tc>
          <w:tcPr>
            <w:tcW w:w="578" w:type="pct"/>
            <w:tcBorders>
              <w:top w:val="nil"/>
              <w:left w:val="nil"/>
              <w:bottom w:val="single" w:sz="4" w:space="0" w:color="auto"/>
              <w:right w:val="single" w:sz="4" w:space="0" w:color="auto"/>
            </w:tcBorders>
            <w:shd w:val="clear" w:color="auto" w:fill="auto"/>
            <w:noWrap/>
            <w:vAlign w:val="bottom"/>
            <w:hideMark/>
          </w:tcPr>
          <w:p w14:paraId="7859932F"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816 760</w:t>
            </w:r>
          </w:p>
        </w:tc>
        <w:tc>
          <w:tcPr>
            <w:tcW w:w="601" w:type="pct"/>
            <w:tcBorders>
              <w:top w:val="nil"/>
              <w:left w:val="nil"/>
              <w:bottom w:val="single" w:sz="4" w:space="0" w:color="auto"/>
              <w:right w:val="single" w:sz="4" w:space="0" w:color="auto"/>
            </w:tcBorders>
            <w:shd w:val="clear" w:color="auto" w:fill="auto"/>
            <w:noWrap/>
            <w:vAlign w:val="bottom"/>
            <w:hideMark/>
          </w:tcPr>
          <w:p w14:paraId="1F707487"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837 996</w:t>
            </w:r>
          </w:p>
        </w:tc>
        <w:tc>
          <w:tcPr>
            <w:tcW w:w="563" w:type="pct"/>
            <w:tcBorders>
              <w:top w:val="nil"/>
              <w:left w:val="nil"/>
              <w:bottom w:val="single" w:sz="4" w:space="0" w:color="auto"/>
              <w:right w:val="single" w:sz="4" w:space="0" w:color="auto"/>
            </w:tcBorders>
            <w:shd w:val="clear" w:color="auto" w:fill="auto"/>
            <w:noWrap/>
            <w:vAlign w:val="bottom"/>
            <w:hideMark/>
          </w:tcPr>
          <w:p w14:paraId="38331BA9"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859 784</w:t>
            </w:r>
          </w:p>
        </w:tc>
        <w:tc>
          <w:tcPr>
            <w:tcW w:w="601" w:type="pct"/>
            <w:tcBorders>
              <w:top w:val="nil"/>
              <w:left w:val="nil"/>
              <w:bottom w:val="single" w:sz="4" w:space="0" w:color="auto"/>
              <w:right w:val="single" w:sz="4" w:space="0" w:color="auto"/>
            </w:tcBorders>
            <w:shd w:val="clear" w:color="auto" w:fill="auto"/>
            <w:noWrap/>
            <w:vAlign w:val="bottom"/>
            <w:hideMark/>
          </w:tcPr>
          <w:p w14:paraId="1BB8FA37"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882 138</w:t>
            </w:r>
          </w:p>
        </w:tc>
        <w:tc>
          <w:tcPr>
            <w:tcW w:w="632" w:type="pct"/>
            <w:tcBorders>
              <w:top w:val="nil"/>
              <w:left w:val="nil"/>
              <w:bottom w:val="single" w:sz="4" w:space="0" w:color="auto"/>
              <w:right w:val="single" w:sz="4" w:space="0" w:color="auto"/>
            </w:tcBorders>
            <w:shd w:val="clear" w:color="auto" w:fill="auto"/>
            <w:noWrap/>
            <w:vAlign w:val="bottom"/>
            <w:hideMark/>
          </w:tcPr>
          <w:p w14:paraId="2263BEF6"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905 074</w:t>
            </w:r>
          </w:p>
        </w:tc>
      </w:tr>
      <w:tr w:rsidR="003721CE" w:rsidRPr="005B57D5" w14:paraId="7568F480" w14:textId="77777777" w:rsidTr="00A73D26">
        <w:trPr>
          <w:trHeight w:val="300"/>
        </w:trPr>
        <w:tc>
          <w:tcPr>
            <w:tcW w:w="586" w:type="pct"/>
            <w:tcBorders>
              <w:top w:val="nil"/>
              <w:left w:val="single" w:sz="4" w:space="0" w:color="auto"/>
              <w:bottom w:val="single" w:sz="4" w:space="0" w:color="auto"/>
              <w:right w:val="single" w:sz="4" w:space="0" w:color="auto"/>
            </w:tcBorders>
            <w:shd w:val="clear" w:color="000000" w:fill="E7E6E6"/>
            <w:noWrap/>
            <w:vAlign w:val="bottom"/>
            <w:hideMark/>
          </w:tcPr>
          <w:p w14:paraId="4240934C" w14:textId="77777777" w:rsidR="003721CE" w:rsidRPr="005B57D5" w:rsidRDefault="003721CE" w:rsidP="00A73D26">
            <w:pPr>
              <w:rPr>
                <w:rFonts w:asciiTheme="minorHAnsi" w:hAnsiTheme="minorHAnsi" w:cstheme="minorHAnsi"/>
                <w:color w:val="000000"/>
                <w:sz w:val="20"/>
                <w:szCs w:val="20"/>
              </w:rPr>
            </w:pPr>
            <w:r w:rsidRPr="005B57D5">
              <w:rPr>
                <w:rFonts w:asciiTheme="minorHAnsi" w:hAnsiTheme="minorHAnsi" w:cstheme="minorHAnsi"/>
                <w:color w:val="000000"/>
                <w:sz w:val="20"/>
                <w:szCs w:val="20"/>
              </w:rPr>
              <w:t>N'Zérékoré</w:t>
            </w:r>
          </w:p>
        </w:tc>
        <w:tc>
          <w:tcPr>
            <w:tcW w:w="461" w:type="pct"/>
            <w:tcBorders>
              <w:top w:val="nil"/>
              <w:left w:val="nil"/>
              <w:bottom w:val="single" w:sz="4" w:space="0" w:color="auto"/>
              <w:right w:val="single" w:sz="4" w:space="0" w:color="auto"/>
            </w:tcBorders>
            <w:shd w:val="clear" w:color="auto" w:fill="auto"/>
            <w:noWrap/>
            <w:vAlign w:val="bottom"/>
            <w:hideMark/>
          </w:tcPr>
          <w:p w14:paraId="425FA8B8"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768 621</w:t>
            </w:r>
          </w:p>
        </w:tc>
        <w:tc>
          <w:tcPr>
            <w:tcW w:w="460" w:type="pct"/>
            <w:tcBorders>
              <w:top w:val="nil"/>
              <w:left w:val="nil"/>
              <w:bottom w:val="single" w:sz="4" w:space="0" w:color="auto"/>
              <w:right w:val="single" w:sz="4" w:space="0" w:color="auto"/>
            </w:tcBorders>
            <w:shd w:val="clear" w:color="auto" w:fill="auto"/>
            <w:noWrap/>
            <w:vAlign w:val="bottom"/>
            <w:hideMark/>
          </w:tcPr>
          <w:p w14:paraId="6AD87A13"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823 095</w:t>
            </w:r>
          </w:p>
        </w:tc>
        <w:tc>
          <w:tcPr>
            <w:tcW w:w="517" w:type="pct"/>
            <w:tcBorders>
              <w:top w:val="nil"/>
              <w:left w:val="nil"/>
              <w:bottom w:val="single" w:sz="4" w:space="0" w:color="auto"/>
              <w:right w:val="single" w:sz="4" w:space="0" w:color="auto"/>
            </w:tcBorders>
            <w:shd w:val="clear" w:color="auto" w:fill="auto"/>
            <w:noWrap/>
            <w:vAlign w:val="bottom"/>
            <w:hideMark/>
          </w:tcPr>
          <w:p w14:paraId="0DD025F0"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1 591 716</w:t>
            </w:r>
          </w:p>
        </w:tc>
        <w:tc>
          <w:tcPr>
            <w:tcW w:w="578" w:type="pct"/>
            <w:tcBorders>
              <w:top w:val="nil"/>
              <w:left w:val="nil"/>
              <w:bottom w:val="single" w:sz="4" w:space="0" w:color="auto"/>
              <w:right w:val="single" w:sz="4" w:space="0" w:color="auto"/>
            </w:tcBorders>
            <w:shd w:val="clear" w:color="auto" w:fill="auto"/>
            <w:noWrap/>
            <w:vAlign w:val="bottom"/>
            <w:hideMark/>
          </w:tcPr>
          <w:p w14:paraId="054C258F"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1 763 823</w:t>
            </w:r>
          </w:p>
        </w:tc>
        <w:tc>
          <w:tcPr>
            <w:tcW w:w="601" w:type="pct"/>
            <w:tcBorders>
              <w:top w:val="nil"/>
              <w:left w:val="nil"/>
              <w:bottom w:val="single" w:sz="4" w:space="0" w:color="auto"/>
              <w:right w:val="single" w:sz="4" w:space="0" w:color="auto"/>
            </w:tcBorders>
            <w:shd w:val="clear" w:color="auto" w:fill="auto"/>
            <w:noWrap/>
            <w:vAlign w:val="bottom"/>
            <w:hideMark/>
          </w:tcPr>
          <w:p w14:paraId="5549895C"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1 809 682</w:t>
            </w:r>
          </w:p>
        </w:tc>
        <w:tc>
          <w:tcPr>
            <w:tcW w:w="563" w:type="pct"/>
            <w:tcBorders>
              <w:top w:val="nil"/>
              <w:left w:val="nil"/>
              <w:bottom w:val="single" w:sz="4" w:space="0" w:color="auto"/>
              <w:right w:val="single" w:sz="4" w:space="0" w:color="auto"/>
            </w:tcBorders>
            <w:shd w:val="clear" w:color="auto" w:fill="auto"/>
            <w:noWrap/>
            <w:vAlign w:val="bottom"/>
            <w:hideMark/>
          </w:tcPr>
          <w:p w14:paraId="012760EC"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1 856 734</w:t>
            </w:r>
          </w:p>
        </w:tc>
        <w:tc>
          <w:tcPr>
            <w:tcW w:w="601" w:type="pct"/>
            <w:tcBorders>
              <w:top w:val="nil"/>
              <w:left w:val="nil"/>
              <w:bottom w:val="single" w:sz="4" w:space="0" w:color="auto"/>
              <w:right w:val="single" w:sz="4" w:space="0" w:color="auto"/>
            </w:tcBorders>
            <w:shd w:val="clear" w:color="auto" w:fill="auto"/>
            <w:noWrap/>
            <w:vAlign w:val="bottom"/>
            <w:hideMark/>
          </w:tcPr>
          <w:p w14:paraId="5EBDF0AF"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1 905 009</w:t>
            </w:r>
          </w:p>
        </w:tc>
        <w:tc>
          <w:tcPr>
            <w:tcW w:w="632" w:type="pct"/>
            <w:tcBorders>
              <w:top w:val="nil"/>
              <w:left w:val="nil"/>
              <w:bottom w:val="single" w:sz="4" w:space="0" w:color="auto"/>
              <w:right w:val="single" w:sz="4" w:space="0" w:color="auto"/>
            </w:tcBorders>
            <w:shd w:val="clear" w:color="auto" w:fill="auto"/>
            <w:noWrap/>
            <w:vAlign w:val="bottom"/>
            <w:hideMark/>
          </w:tcPr>
          <w:p w14:paraId="37C75732"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1 954 540</w:t>
            </w:r>
          </w:p>
        </w:tc>
      </w:tr>
      <w:tr w:rsidR="003721CE" w:rsidRPr="005B57D5" w14:paraId="59DA0925" w14:textId="77777777" w:rsidTr="00A73D26">
        <w:trPr>
          <w:trHeight w:val="300"/>
        </w:trPr>
        <w:tc>
          <w:tcPr>
            <w:tcW w:w="586" w:type="pct"/>
            <w:tcBorders>
              <w:top w:val="nil"/>
              <w:left w:val="single" w:sz="4" w:space="0" w:color="auto"/>
              <w:bottom w:val="single" w:sz="4" w:space="0" w:color="auto"/>
              <w:right w:val="single" w:sz="4" w:space="0" w:color="auto"/>
            </w:tcBorders>
            <w:shd w:val="clear" w:color="000000" w:fill="E2EFDA"/>
            <w:noWrap/>
            <w:vAlign w:val="bottom"/>
            <w:hideMark/>
          </w:tcPr>
          <w:p w14:paraId="5678BC73" w14:textId="77777777" w:rsidR="003721CE" w:rsidRPr="005B57D5" w:rsidRDefault="003721CE" w:rsidP="00A73D26">
            <w:pPr>
              <w:rPr>
                <w:rFonts w:asciiTheme="minorHAnsi" w:hAnsiTheme="minorHAnsi" w:cstheme="minorHAnsi"/>
                <w:color w:val="000000"/>
                <w:sz w:val="20"/>
                <w:szCs w:val="20"/>
              </w:rPr>
            </w:pPr>
            <w:r w:rsidRPr="005B57D5">
              <w:rPr>
                <w:rFonts w:asciiTheme="minorHAnsi" w:hAnsiTheme="minorHAnsi" w:cstheme="minorHAnsi"/>
                <w:color w:val="000000"/>
                <w:sz w:val="20"/>
                <w:szCs w:val="20"/>
              </w:rPr>
              <w:t>Total global</w:t>
            </w:r>
          </w:p>
        </w:tc>
        <w:tc>
          <w:tcPr>
            <w:tcW w:w="461" w:type="pct"/>
            <w:tcBorders>
              <w:top w:val="nil"/>
              <w:left w:val="nil"/>
              <w:bottom w:val="single" w:sz="4" w:space="0" w:color="auto"/>
              <w:right w:val="single" w:sz="4" w:space="0" w:color="auto"/>
            </w:tcBorders>
            <w:shd w:val="clear" w:color="000000" w:fill="E2EFDA"/>
            <w:noWrap/>
            <w:vAlign w:val="bottom"/>
            <w:hideMark/>
          </w:tcPr>
          <w:p w14:paraId="70E25B9F"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5 115 368</w:t>
            </w:r>
          </w:p>
        </w:tc>
        <w:tc>
          <w:tcPr>
            <w:tcW w:w="460" w:type="pct"/>
            <w:tcBorders>
              <w:top w:val="nil"/>
              <w:left w:val="nil"/>
              <w:bottom w:val="single" w:sz="4" w:space="0" w:color="auto"/>
              <w:right w:val="single" w:sz="4" w:space="0" w:color="auto"/>
            </w:tcBorders>
            <w:shd w:val="clear" w:color="000000" w:fill="E2EFDA"/>
            <w:noWrap/>
            <w:vAlign w:val="bottom"/>
            <w:hideMark/>
          </w:tcPr>
          <w:p w14:paraId="36E1C66B"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5 484 485</w:t>
            </w:r>
          </w:p>
        </w:tc>
        <w:tc>
          <w:tcPr>
            <w:tcW w:w="517" w:type="pct"/>
            <w:tcBorders>
              <w:top w:val="nil"/>
              <w:left w:val="nil"/>
              <w:bottom w:val="single" w:sz="4" w:space="0" w:color="auto"/>
              <w:right w:val="single" w:sz="4" w:space="0" w:color="auto"/>
            </w:tcBorders>
            <w:shd w:val="clear" w:color="000000" w:fill="E2EFDA"/>
            <w:noWrap/>
            <w:vAlign w:val="bottom"/>
            <w:hideMark/>
          </w:tcPr>
          <w:p w14:paraId="0E85C0D4"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10 599 853</w:t>
            </w:r>
          </w:p>
        </w:tc>
        <w:tc>
          <w:tcPr>
            <w:tcW w:w="578" w:type="pct"/>
            <w:tcBorders>
              <w:top w:val="nil"/>
              <w:left w:val="nil"/>
              <w:bottom w:val="single" w:sz="4" w:space="0" w:color="auto"/>
              <w:right w:val="single" w:sz="4" w:space="0" w:color="auto"/>
            </w:tcBorders>
            <w:shd w:val="clear" w:color="000000" w:fill="E2EFDA"/>
            <w:noWrap/>
            <w:vAlign w:val="bottom"/>
            <w:hideMark/>
          </w:tcPr>
          <w:p w14:paraId="3C434335"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11 745 981</w:t>
            </w:r>
          </w:p>
        </w:tc>
        <w:tc>
          <w:tcPr>
            <w:tcW w:w="601" w:type="pct"/>
            <w:tcBorders>
              <w:top w:val="nil"/>
              <w:left w:val="nil"/>
              <w:bottom w:val="single" w:sz="4" w:space="0" w:color="auto"/>
              <w:right w:val="single" w:sz="4" w:space="0" w:color="auto"/>
            </w:tcBorders>
            <w:shd w:val="clear" w:color="000000" w:fill="E2EFDA"/>
            <w:noWrap/>
            <w:vAlign w:val="bottom"/>
            <w:hideMark/>
          </w:tcPr>
          <w:p w14:paraId="7B7618F3"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12 051 376</w:t>
            </w:r>
          </w:p>
        </w:tc>
        <w:tc>
          <w:tcPr>
            <w:tcW w:w="563" w:type="pct"/>
            <w:tcBorders>
              <w:top w:val="nil"/>
              <w:left w:val="nil"/>
              <w:bottom w:val="single" w:sz="4" w:space="0" w:color="auto"/>
              <w:right w:val="single" w:sz="4" w:space="0" w:color="auto"/>
            </w:tcBorders>
            <w:shd w:val="clear" w:color="000000" w:fill="E2EFDA"/>
            <w:noWrap/>
            <w:vAlign w:val="bottom"/>
            <w:hideMark/>
          </w:tcPr>
          <w:p w14:paraId="7CA8142A"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12 364 712</w:t>
            </w:r>
          </w:p>
        </w:tc>
        <w:tc>
          <w:tcPr>
            <w:tcW w:w="601" w:type="pct"/>
            <w:tcBorders>
              <w:top w:val="nil"/>
              <w:left w:val="nil"/>
              <w:bottom w:val="single" w:sz="4" w:space="0" w:color="auto"/>
              <w:right w:val="single" w:sz="4" w:space="0" w:color="auto"/>
            </w:tcBorders>
            <w:shd w:val="clear" w:color="000000" w:fill="E2EFDA"/>
            <w:noWrap/>
            <w:vAlign w:val="bottom"/>
            <w:hideMark/>
          </w:tcPr>
          <w:p w14:paraId="571A930E"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12 686 195</w:t>
            </w:r>
          </w:p>
        </w:tc>
        <w:tc>
          <w:tcPr>
            <w:tcW w:w="632" w:type="pct"/>
            <w:tcBorders>
              <w:top w:val="nil"/>
              <w:left w:val="nil"/>
              <w:bottom w:val="single" w:sz="4" w:space="0" w:color="auto"/>
              <w:right w:val="single" w:sz="4" w:space="0" w:color="auto"/>
            </w:tcBorders>
            <w:shd w:val="clear" w:color="000000" w:fill="E2EFDA"/>
            <w:noWrap/>
            <w:vAlign w:val="bottom"/>
            <w:hideMark/>
          </w:tcPr>
          <w:p w14:paraId="31886D68" w14:textId="77777777" w:rsidR="003721CE" w:rsidRPr="005B57D5" w:rsidRDefault="003721CE" w:rsidP="00A73D26">
            <w:pPr>
              <w:jc w:val="right"/>
              <w:rPr>
                <w:rFonts w:asciiTheme="minorHAnsi" w:hAnsiTheme="minorHAnsi" w:cstheme="minorHAnsi"/>
                <w:color w:val="000000"/>
                <w:sz w:val="20"/>
                <w:szCs w:val="20"/>
              </w:rPr>
            </w:pPr>
            <w:r w:rsidRPr="005B57D5">
              <w:rPr>
                <w:rFonts w:asciiTheme="minorHAnsi" w:hAnsiTheme="minorHAnsi" w:cstheme="minorHAnsi"/>
                <w:color w:val="000000"/>
                <w:sz w:val="20"/>
                <w:szCs w:val="20"/>
              </w:rPr>
              <w:t>13 016 036</w:t>
            </w:r>
          </w:p>
        </w:tc>
      </w:tr>
    </w:tbl>
    <w:p w14:paraId="4B93AB98" w14:textId="75765640" w:rsidR="003721CE" w:rsidRDefault="003721CE" w:rsidP="00DD275F">
      <w:pPr>
        <w:jc w:val="both"/>
        <w:rPr>
          <w:rFonts w:ascii="Calibri" w:hAnsi="Calibri"/>
        </w:rPr>
      </w:pPr>
    </w:p>
    <w:p w14:paraId="0D70D6B3" w14:textId="5ED74E49" w:rsidR="006D5C93" w:rsidRPr="00FB0018" w:rsidRDefault="006D5C93" w:rsidP="00C34A61">
      <w:pPr>
        <w:pStyle w:val="Titre2"/>
        <w:numPr>
          <w:ilvl w:val="1"/>
          <w:numId w:val="6"/>
        </w:numPr>
        <w:spacing w:after="0"/>
        <w:ind w:left="426" w:hanging="426"/>
        <w:rPr>
          <w:rFonts w:ascii="Calibri" w:hAnsi="Calibri"/>
          <w:color w:val="2F5496" w:themeColor="accent5" w:themeShade="BF"/>
          <w:szCs w:val="24"/>
        </w:rPr>
      </w:pPr>
      <w:bookmarkStart w:id="28" w:name="_Toc500496786"/>
      <w:bookmarkStart w:id="29" w:name="_Toc500520921"/>
      <w:bookmarkStart w:id="30" w:name="_Toc520983520"/>
      <w:r w:rsidRPr="00FB0018">
        <w:rPr>
          <w:rFonts w:ascii="Calibri" w:hAnsi="Calibri"/>
          <w:color w:val="2F5496" w:themeColor="accent5" w:themeShade="BF"/>
          <w:szCs w:val="24"/>
        </w:rPr>
        <w:t>Situation socio-économique</w:t>
      </w:r>
      <w:bookmarkEnd w:id="28"/>
      <w:bookmarkEnd w:id="29"/>
      <w:bookmarkEnd w:id="30"/>
      <w:r w:rsidRPr="00FB0018">
        <w:rPr>
          <w:rFonts w:ascii="Calibri" w:hAnsi="Calibri"/>
          <w:color w:val="2F5496" w:themeColor="accent5" w:themeShade="BF"/>
          <w:szCs w:val="24"/>
        </w:rPr>
        <w:t xml:space="preserve"> </w:t>
      </w:r>
    </w:p>
    <w:p w14:paraId="3CE93C7C" w14:textId="77777777" w:rsidR="006D5C93" w:rsidRPr="005B52BA" w:rsidRDefault="006D5C93" w:rsidP="00DD275F">
      <w:pPr>
        <w:jc w:val="both"/>
        <w:rPr>
          <w:rFonts w:ascii="Calibri" w:hAnsi="Calibri"/>
        </w:rPr>
      </w:pPr>
    </w:p>
    <w:p w14:paraId="4D95A5BB" w14:textId="3EFC1621" w:rsidR="00BF6FDF" w:rsidRPr="005B52BA" w:rsidRDefault="006D5C93" w:rsidP="00DD275F">
      <w:pPr>
        <w:jc w:val="both"/>
        <w:rPr>
          <w:rFonts w:ascii="Calibri" w:eastAsia="Calibri" w:hAnsi="Calibri"/>
          <w:bCs/>
        </w:rPr>
      </w:pPr>
      <w:r w:rsidRPr="005B52BA">
        <w:rPr>
          <w:rFonts w:ascii="Calibri" w:eastAsia="Calibri" w:hAnsi="Calibri"/>
          <w:bCs/>
        </w:rPr>
        <w:t>Le pays dispose d'importantes ressources naturelles. En dépit de ses énormes potentialités naturelles, la Guinée fait partie des pays les plus pauvres du monde</w:t>
      </w:r>
      <w:r w:rsidR="00BF6FDF">
        <w:rPr>
          <w:rFonts w:ascii="Calibri" w:eastAsia="Calibri" w:hAnsi="Calibri"/>
          <w:bCs/>
        </w:rPr>
        <w:t xml:space="preserve">. </w:t>
      </w:r>
      <w:r w:rsidRPr="005B52BA">
        <w:rPr>
          <w:rFonts w:ascii="Calibri" w:eastAsia="Calibri" w:hAnsi="Calibri"/>
          <w:bCs/>
        </w:rPr>
        <w:t xml:space="preserve">La croissance économique est estimée à 3,9%, soit le même niveau qu’en 2011, impulsée principalement par l’augmentation de la production agricole et de la bonne tenue du secteur secondaire. Les recettes fiscales exprimées en pourcentage du produit intérieur brut (PIB) ont augmenté de 16,8% à 19,8%, grâce à l’accroissement des recettes sur les produits pétroliers et des recettes sur le commerce international. </w:t>
      </w:r>
      <w:r w:rsidR="00BF6FDF">
        <w:rPr>
          <w:rFonts w:ascii="Calibri" w:eastAsia="Calibri" w:hAnsi="Calibri"/>
          <w:bCs/>
        </w:rPr>
        <w:t>En 2014, elle a occupé le rang de 179</w:t>
      </w:r>
      <w:r w:rsidR="00BF6FDF" w:rsidRPr="00BF6FDF">
        <w:rPr>
          <w:rFonts w:ascii="Calibri" w:eastAsia="Calibri" w:hAnsi="Calibri"/>
          <w:bCs/>
          <w:vertAlign w:val="superscript"/>
        </w:rPr>
        <w:t>ème</w:t>
      </w:r>
      <w:r w:rsidR="00BF6FDF">
        <w:rPr>
          <w:rFonts w:ascii="Calibri" w:eastAsia="Calibri" w:hAnsi="Calibri"/>
          <w:bCs/>
        </w:rPr>
        <w:t xml:space="preserve">/186 pays avec un indice de </w:t>
      </w:r>
      <w:r w:rsidR="00BF6FDF" w:rsidRPr="005B52BA">
        <w:rPr>
          <w:rFonts w:ascii="Calibri" w:eastAsia="Calibri" w:hAnsi="Calibri"/>
          <w:bCs/>
        </w:rPr>
        <w:t xml:space="preserve">développement humain durable </w:t>
      </w:r>
      <w:r w:rsidR="00BF6FDF">
        <w:rPr>
          <w:rFonts w:ascii="Calibri" w:eastAsia="Calibri" w:hAnsi="Calibri"/>
          <w:bCs/>
        </w:rPr>
        <w:t>(IDH) à 0,41 (valeur la plus élevée depuis 2005)</w:t>
      </w:r>
      <w:r w:rsidR="00BF6FDF">
        <w:rPr>
          <w:rStyle w:val="Appelnotedebasdep"/>
          <w:rFonts w:ascii="Calibri" w:eastAsia="Calibri" w:hAnsi="Calibri"/>
          <w:bCs/>
        </w:rPr>
        <w:footnoteReference w:id="3"/>
      </w:r>
    </w:p>
    <w:p w14:paraId="179C3852" w14:textId="57D7C02C" w:rsidR="006D5C93" w:rsidRPr="003721CE" w:rsidRDefault="006D5C93" w:rsidP="00DD275F">
      <w:pPr>
        <w:jc w:val="both"/>
        <w:rPr>
          <w:rFonts w:ascii="Calibri" w:hAnsi="Calibri"/>
        </w:rPr>
      </w:pPr>
    </w:p>
    <w:p w14:paraId="1FC8A1D0" w14:textId="77777777" w:rsidR="003721CE" w:rsidRPr="003721CE" w:rsidRDefault="003721CE" w:rsidP="00DD275F">
      <w:pPr>
        <w:jc w:val="both"/>
        <w:rPr>
          <w:rFonts w:asciiTheme="minorHAnsi" w:hAnsiTheme="minorHAnsi" w:cstheme="minorHAnsi"/>
          <w:szCs w:val="20"/>
          <w:lang w:val="fr-CA"/>
        </w:rPr>
      </w:pPr>
      <w:r w:rsidRPr="003721CE">
        <w:rPr>
          <w:rFonts w:asciiTheme="minorHAnsi" w:hAnsiTheme="minorHAnsi" w:cstheme="minorHAnsi"/>
          <w:szCs w:val="20"/>
          <w:lang w:val="fr-CA"/>
        </w:rPr>
        <w:t>Le financement des secteurs sociaux prioritaires par le budget national, est en baisse depuis plusieurs années. Les dépenses exécutées en faveur des secteurs de la santé et de l’éducation sont passées de 18,9% du budget total en 2010 à 13,5% en 2011 et 10,2% en 2012. La part de la santé a représenté 2,4% du budget total en moyenne sur la période 2010-2012, pour atteindre 8, 5 % en 2016</w:t>
      </w:r>
      <w:r w:rsidRPr="003721CE">
        <w:rPr>
          <w:rFonts w:asciiTheme="minorHAnsi" w:hAnsiTheme="minorHAnsi" w:cstheme="minorHAnsi"/>
          <w:szCs w:val="20"/>
          <w:vertAlign w:val="superscript"/>
          <w:lang w:val="en-US"/>
        </w:rPr>
        <w:footnoteReference w:id="4"/>
      </w:r>
      <w:r w:rsidRPr="003721CE">
        <w:rPr>
          <w:rFonts w:asciiTheme="minorHAnsi" w:hAnsiTheme="minorHAnsi" w:cstheme="minorHAnsi"/>
          <w:szCs w:val="20"/>
          <w:lang w:val="fr-CA"/>
        </w:rPr>
        <w:t>.Le Taux Brut de Scolarisation au primaire (TBS), en hausse, est passé de 78,3% en 2009/2010 à 81% en 2012 pour atteindre 90% en 2016, et celui des filles de 73,5% à 86 %</w:t>
      </w:r>
      <w:r w:rsidRPr="003721CE">
        <w:rPr>
          <w:rFonts w:asciiTheme="minorHAnsi" w:hAnsiTheme="minorHAnsi" w:cstheme="minorHAnsi"/>
          <w:szCs w:val="20"/>
          <w:vertAlign w:val="superscript"/>
          <w:lang w:val="en-US"/>
        </w:rPr>
        <w:footnoteReference w:id="5"/>
      </w:r>
      <w:r w:rsidRPr="003721CE">
        <w:rPr>
          <w:rFonts w:asciiTheme="minorHAnsi" w:hAnsiTheme="minorHAnsi" w:cstheme="minorHAnsi"/>
          <w:szCs w:val="20"/>
          <w:lang w:val="fr-CA"/>
        </w:rPr>
        <w:t>, le taux brut pour la fréquentation secondaire est de 42 % au niveau national et 34 % pour les filles. Selon l’Enquête Légère pour l’Évaluation de la Pauvreté (ELEP) de 2008, le taux d’alphabétisation est de 34,5% avec une disparité remarquable entre les hommes (49,9%) et les femmes (21,5%)</w:t>
      </w:r>
      <w:r w:rsidRPr="003721CE">
        <w:rPr>
          <w:rFonts w:asciiTheme="minorHAnsi" w:hAnsiTheme="minorHAnsi" w:cstheme="minorHAnsi"/>
          <w:szCs w:val="20"/>
          <w:vertAlign w:val="superscript"/>
          <w:lang w:val="en-US"/>
        </w:rPr>
        <w:footnoteReference w:id="6"/>
      </w:r>
      <w:r w:rsidRPr="003721CE">
        <w:rPr>
          <w:rFonts w:asciiTheme="minorHAnsi" w:hAnsiTheme="minorHAnsi" w:cstheme="minorHAnsi"/>
          <w:szCs w:val="20"/>
          <w:lang w:val="fr-CA"/>
        </w:rPr>
        <w:t>.</w:t>
      </w:r>
    </w:p>
    <w:p w14:paraId="0AF4399F" w14:textId="77777777" w:rsidR="003721CE" w:rsidRPr="003721CE" w:rsidRDefault="003721CE" w:rsidP="00DD275F">
      <w:pPr>
        <w:jc w:val="both"/>
        <w:rPr>
          <w:rFonts w:ascii="Calibri" w:hAnsi="Calibri"/>
          <w:lang w:val="fr-CA"/>
        </w:rPr>
      </w:pPr>
    </w:p>
    <w:p w14:paraId="5F295437" w14:textId="77777777" w:rsidR="006D5C93" w:rsidRPr="00FB0018" w:rsidRDefault="006D5C93" w:rsidP="00C34A61">
      <w:pPr>
        <w:pStyle w:val="Titre2"/>
        <w:numPr>
          <w:ilvl w:val="1"/>
          <w:numId w:val="6"/>
        </w:numPr>
        <w:spacing w:after="0"/>
        <w:ind w:left="426" w:hanging="426"/>
        <w:rPr>
          <w:rFonts w:ascii="Calibri" w:hAnsi="Calibri"/>
          <w:color w:val="2F5496" w:themeColor="accent5" w:themeShade="BF"/>
          <w:szCs w:val="24"/>
        </w:rPr>
      </w:pPr>
      <w:bookmarkStart w:id="31" w:name="_Toc500496787"/>
      <w:bookmarkStart w:id="32" w:name="_Toc500520922"/>
      <w:bookmarkStart w:id="33" w:name="_Toc520983521"/>
      <w:r w:rsidRPr="00FB0018">
        <w:rPr>
          <w:rFonts w:ascii="Calibri" w:hAnsi="Calibri"/>
          <w:color w:val="2F5496" w:themeColor="accent5" w:themeShade="BF"/>
          <w:szCs w:val="24"/>
        </w:rPr>
        <w:t>Situation sanitaire du pays</w:t>
      </w:r>
      <w:bookmarkEnd w:id="31"/>
      <w:bookmarkEnd w:id="32"/>
      <w:bookmarkEnd w:id="33"/>
      <w:r w:rsidRPr="00FB0018">
        <w:rPr>
          <w:rFonts w:ascii="Calibri" w:hAnsi="Calibri"/>
          <w:color w:val="2F5496" w:themeColor="accent5" w:themeShade="BF"/>
          <w:szCs w:val="24"/>
        </w:rPr>
        <w:t xml:space="preserve"> </w:t>
      </w:r>
    </w:p>
    <w:p w14:paraId="7F25D795" w14:textId="77777777" w:rsidR="0047073A" w:rsidRPr="0047073A" w:rsidRDefault="0047073A" w:rsidP="00DD275F">
      <w:pPr>
        <w:jc w:val="both"/>
        <w:rPr>
          <w:rFonts w:asciiTheme="minorHAnsi" w:hAnsiTheme="minorHAnsi" w:cstheme="minorHAnsi"/>
          <w:szCs w:val="20"/>
        </w:rPr>
      </w:pPr>
    </w:p>
    <w:p w14:paraId="3E12564D" w14:textId="01BA93C5" w:rsidR="0047073A" w:rsidRPr="0047073A" w:rsidRDefault="0047073A" w:rsidP="0047073A">
      <w:pPr>
        <w:jc w:val="both"/>
        <w:rPr>
          <w:rFonts w:asciiTheme="minorHAnsi" w:hAnsiTheme="minorHAnsi" w:cstheme="minorHAnsi"/>
          <w:szCs w:val="20"/>
          <w:lang w:val="fr-CA"/>
        </w:rPr>
      </w:pPr>
      <w:r>
        <w:rPr>
          <w:rFonts w:asciiTheme="minorHAnsi" w:hAnsiTheme="minorHAnsi" w:cstheme="minorHAnsi"/>
          <w:szCs w:val="20"/>
          <w:lang w:val="fr-CA"/>
        </w:rPr>
        <w:t>En terme</w:t>
      </w:r>
      <w:r w:rsidR="006500DE">
        <w:rPr>
          <w:rFonts w:asciiTheme="minorHAnsi" w:hAnsiTheme="minorHAnsi" w:cstheme="minorHAnsi"/>
          <w:szCs w:val="20"/>
          <w:lang w:val="fr-CA"/>
        </w:rPr>
        <w:t>s</w:t>
      </w:r>
      <w:r>
        <w:rPr>
          <w:rFonts w:asciiTheme="minorHAnsi" w:hAnsiTheme="minorHAnsi" w:cstheme="minorHAnsi"/>
          <w:szCs w:val="20"/>
          <w:lang w:val="fr-CA"/>
        </w:rPr>
        <w:t xml:space="preserve"> d’organisation, on note que le </w:t>
      </w:r>
      <w:r w:rsidRPr="0047073A">
        <w:rPr>
          <w:rFonts w:asciiTheme="minorHAnsi" w:hAnsiTheme="minorHAnsi" w:cstheme="minorHAnsi"/>
          <w:szCs w:val="20"/>
          <w:lang w:val="fr-CA"/>
        </w:rPr>
        <w:t>système de santé est de type pyramidal à trois niveaux avec des services centraux et des services déconcentrés.</w:t>
      </w:r>
    </w:p>
    <w:p w14:paraId="60858B2F" w14:textId="77777777" w:rsidR="0047073A" w:rsidRPr="0047073A" w:rsidRDefault="0047073A" w:rsidP="00C34A61">
      <w:pPr>
        <w:numPr>
          <w:ilvl w:val="0"/>
          <w:numId w:val="26"/>
        </w:numPr>
        <w:jc w:val="both"/>
        <w:rPr>
          <w:rFonts w:asciiTheme="minorHAnsi" w:hAnsiTheme="minorHAnsi" w:cstheme="minorHAnsi"/>
          <w:szCs w:val="20"/>
          <w:lang w:val="fr-CA"/>
        </w:rPr>
      </w:pPr>
      <w:r w:rsidRPr="0047073A">
        <w:rPr>
          <w:rFonts w:asciiTheme="minorHAnsi" w:hAnsiTheme="minorHAnsi" w:cstheme="minorHAnsi"/>
          <w:iCs/>
          <w:szCs w:val="20"/>
          <w:u w:val="single"/>
          <w:lang w:val="fr-CA"/>
        </w:rPr>
        <w:t>Le niveau central</w:t>
      </w:r>
      <w:r w:rsidRPr="0047073A">
        <w:rPr>
          <w:rFonts w:asciiTheme="minorHAnsi" w:hAnsiTheme="minorHAnsi" w:cstheme="minorHAnsi"/>
          <w:iCs/>
          <w:szCs w:val="20"/>
          <w:lang w:val="fr-CA"/>
        </w:rPr>
        <w:t xml:space="preserve">, est </w:t>
      </w:r>
      <w:r w:rsidRPr="0047073A">
        <w:rPr>
          <w:rFonts w:asciiTheme="minorHAnsi" w:hAnsiTheme="minorHAnsi" w:cstheme="minorHAnsi"/>
          <w:szCs w:val="20"/>
          <w:lang w:val="fr-CA"/>
        </w:rPr>
        <w:t xml:space="preserve">constitué par le cabinet du ministre de la Santé, le Secrétariat Général de la Santé, les directions centrales, et les structures sous tutelle. C’est le niveau stratégique et normatif dans la planification, le suivi, l’évaluation, la coordination, la mobilisation et l’allocation des ressources. </w:t>
      </w:r>
    </w:p>
    <w:p w14:paraId="7E39614A" w14:textId="77777777" w:rsidR="0047073A" w:rsidRPr="0047073A" w:rsidRDefault="0047073A" w:rsidP="00C34A61">
      <w:pPr>
        <w:numPr>
          <w:ilvl w:val="0"/>
          <w:numId w:val="26"/>
        </w:numPr>
        <w:jc w:val="both"/>
        <w:rPr>
          <w:rFonts w:asciiTheme="minorHAnsi" w:hAnsiTheme="minorHAnsi" w:cstheme="minorHAnsi"/>
          <w:szCs w:val="20"/>
          <w:lang w:val="fr-CA"/>
        </w:rPr>
      </w:pPr>
      <w:r w:rsidRPr="0047073A">
        <w:rPr>
          <w:rFonts w:asciiTheme="minorHAnsi" w:hAnsiTheme="minorHAnsi" w:cstheme="minorHAnsi"/>
          <w:iCs/>
          <w:szCs w:val="20"/>
          <w:u w:val="single"/>
          <w:lang w:val="fr-CA"/>
        </w:rPr>
        <w:t>Le niveau intermédiaire ou régional</w:t>
      </w:r>
      <w:r w:rsidRPr="0047073A">
        <w:rPr>
          <w:rFonts w:asciiTheme="minorHAnsi" w:hAnsiTheme="minorHAnsi" w:cstheme="minorHAnsi"/>
          <w:iCs/>
          <w:szCs w:val="20"/>
          <w:lang w:val="fr-CA"/>
        </w:rPr>
        <w:t xml:space="preserve">, représenté par les 8 régions sanitaires, </w:t>
      </w:r>
      <w:r w:rsidRPr="0047073A">
        <w:rPr>
          <w:rFonts w:asciiTheme="minorHAnsi" w:hAnsiTheme="minorHAnsi" w:cstheme="minorHAnsi"/>
          <w:szCs w:val="20"/>
          <w:lang w:val="fr-CA"/>
        </w:rPr>
        <w:t>relevant du Secrétariat Général à la Santé, administrées chacune par un directeur régional de la santé et son équipe cadre, joue un rôle d’appui technique aux districts sanitaires dans la transmission des informations, l’adaptation des normes nationales, aux conditions locales, et la supervision.</w:t>
      </w:r>
    </w:p>
    <w:p w14:paraId="7A563E34" w14:textId="77777777" w:rsidR="0047073A" w:rsidRPr="0047073A" w:rsidRDefault="0047073A" w:rsidP="00C34A61">
      <w:pPr>
        <w:numPr>
          <w:ilvl w:val="0"/>
          <w:numId w:val="26"/>
        </w:numPr>
        <w:jc w:val="both"/>
        <w:rPr>
          <w:rFonts w:asciiTheme="minorHAnsi" w:hAnsiTheme="minorHAnsi" w:cstheme="minorHAnsi"/>
          <w:szCs w:val="20"/>
          <w:lang w:val="fr-CA"/>
        </w:rPr>
      </w:pPr>
      <w:r w:rsidRPr="0047073A">
        <w:rPr>
          <w:rFonts w:asciiTheme="minorHAnsi" w:hAnsiTheme="minorHAnsi" w:cstheme="minorHAnsi"/>
          <w:iCs/>
          <w:szCs w:val="20"/>
          <w:u w:val="single"/>
          <w:lang w:val="fr-CA"/>
        </w:rPr>
        <w:t>Le niveau périphérique</w:t>
      </w:r>
      <w:r w:rsidRPr="0047073A">
        <w:rPr>
          <w:rFonts w:asciiTheme="minorHAnsi" w:hAnsiTheme="minorHAnsi" w:cstheme="minorHAnsi"/>
          <w:iCs/>
          <w:szCs w:val="20"/>
          <w:lang w:val="fr-CA"/>
        </w:rPr>
        <w:t xml:space="preserve">, </w:t>
      </w:r>
      <w:r w:rsidRPr="0047073A">
        <w:rPr>
          <w:rFonts w:asciiTheme="minorHAnsi" w:hAnsiTheme="minorHAnsi" w:cstheme="minorHAnsi"/>
          <w:szCs w:val="20"/>
          <w:lang w:val="fr-CA"/>
        </w:rPr>
        <w:t>représenté par les 38 districts sanitaires, unités opérationnelles de planification et de mise en œuvre des plans, administrés chacun par un directeur préfectoral/communal de la santé et son équipe cadre de district. Il coordonne et contrôle la mise en œuvre des activités des programmes de santé dans les formations sanitaires de la zone de responsabilité en application des directives régionales et nationales.</w:t>
      </w:r>
    </w:p>
    <w:p w14:paraId="599D4780" w14:textId="77777777" w:rsidR="0047073A" w:rsidRDefault="0047073A" w:rsidP="0047073A">
      <w:pPr>
        <w:jc w:val="both"/>
        <w:rPr>
          <w:rFonts w:asciiTheme="minorHAnsi" w:hAnsiTheme="minorHAnsi" w:cstheme="minorHAnsi"/>
          <w:sz w:val="22"/>
          <w:szCs w:val="20"/>
          <w:lang w:val="fr-CA"/>
        </w:rPr>
      </w:pPr>
    </w:p>
    <w:p w14:paraId="01CCE806" w14:textId="77777777" w:rsidR="0047073A" w:rsidRPr="0047073A" w:rsidRDefault="0047073A" w:rsidP="0047073A">
      <w:pPr>
        <w:jc w:val="both"/>
        <w:rPr>
          <w:rFonts w:asciiTheme="minorHAnsi" w:hAnsiTheme="minorHAnsi" w:cstheme="minorHAnsi"/>
          <w:bCs/>
          <w:szCs w:val="20"/>
          <w:lang w:val="fr-CA"/>
        </w:rPr>
      </w:pPr>
      <w:r w:rsidRPr="0047073A">
        <w:rPr>
          <w:rFonts w:asciiTheme="minorHAnsi" w:hAnsiTheme="minorHAnsi" w:cstheme="minorHAnsi"/>
          <w:szCs w:val="20"/>
          <w:lang w:val="fr-CA"/>
        </w:rPr>
        <w:t xml:space="preserve">L’organisation fonctionnelle du système de santé ou l’offre des soins, repose sur les structures opérationnelles que constituent les formations sanitaires, </w:t>
      </w:r>
      <w:r w:rsidRPr="0047073A">
        <w:rPr>
          <w:rFonts w:asciiTheme="minorHAnsi" w:hAnsiTheme="minorHAnsi" w:cstheme="minorHAnsi"/>
          <w:iCs/>
          <w:szCs w:val="20"/>
          <w:lang w:val="fr-CA"/>
        </w:rPr>
        <w:t>réparties selon leur statut juridique en 4 sous-secteurs (</w:t>
      </w:r>
      <w:r w:rsidRPr="0047073A">
        <w:rPr>
          <w:rFonts w:asciiTheme="minorHAnsi" w:hAnsiTheme="minorHAnsi" w:cstheme="minorHAnsi"/>
          <w:szCs w:val="20"/>
          <w:lang w:val="fr-CA"/>
        </w:rPr>
        <w:t xml:space="preserve">public, parapublic, privé et communautaire), ainsi que selon </w:t>
      </w:r>
      <w:r w:rsidRPr="0047073A">
        <w:rPr>
          <w:rFonts w:asciiTheme="minorHAnsi" w:hAnsiTheme="minorHAnsi" w:cstheme="minorHAnsi"/>
          <w:iCs/>
          <w:szCs w:val="20"/>
          <w:lang w:val="fr-CA"/>
        </w:rPr>
        <w:t xml:space="preserve">leur paquet d’activités </w:t>
      </w:r>
      <w:r w:rsidRPr="0047073A">
        <w:rPr>
          <w:rFonts w:asciiTheme="minorHAnsi" w:hAnsiTheme="minorHAnsi" w:cstheme="minorHAnsi"/>
          <w:bCs/>
          <w:szCs w:val="20"/>
          <w:lang w:val="fr-CA"/>
        </w:rPr>
        <w:t>par niveau et par type.</w:t>
      </w:r>
    </w:p>
    <w:p w14:paraId="2CEDDE96" w14:textId="77777777" w:rsidR="0047073A" w:rsidRPr="0047073A" w:rsidRDefault="0047073A" w:rsidP="00C34A61">
      <w:pPr>
        <w:numPr>
          <w:ilvl w:val="0"/>
          <w:numId w:val="27"/>
        </w:numPr>
        <w:jc w:val="both"/>
        <w:rPr>
          <w:rFonts w:asciiTheme="minorHAnsi" w:hAnsiTheme="minorHAnsi" w:cstheme="minorHAnsi"/>
          <w:szCs w:val="20"/>
          <w:lang w:val="fr-CA"/>
        </w:rPr>
      </w:pPr>
      <w:r w:rsidRPr="0047073A">
        <w:rPr>
          <w:rFonts w:asciiTheme="minorHAnsi" w:hAnsiTheme="minorHAnsi" w:cstheme="minorHAnsi"/>
          <w:szCs w:val="20"/>
          <w:lang w:val="fr-CA"/>
        </w:rPr>
        <w:t>Le sous-secteur public, dispose de :</w:t>
      </w:r>
    </w:p>
    <w:p w14:paraId="3C80E102" w14:textId="77777777" w:rsidR="0047073A" w:rsidRPr="0047073A" w:rsidRDefault="0047073A" w:rsidP="00C34A61">
      <w:pPr>
        <w:numPr>
          <w:ilvl w:val="1"/>
          <w:numId w:val="27"/>
        </w:numPr>
        <w:jc w:val="both"/>
        <w:rPr>
          <w:rFonts w:asciiTheme="minorHAnsi" w:hAnsiTheme="minorHAnsi" w:cstheme="minorHAnsi"/>
          <w:szCs w:val="20"/>
          <w:lang w:val="fr-CA"/>
        </w:rPr>
      </w:pPr>
      <w:r w:rsidRPr="0047073A">
        <w:rPr>
          <w:rFonts w:asciiTheme="minorHAnsi" w:hAnsiTheme="minorHAnsi" w:cstheme="minorHAnsi"/>
          <w:szCs w:val="20"/>
          <w:lang w:val="fr-CA"/>
        </w:rPr>
        <w:t xml:space="preserve">Au niveau central : 3 hôpitaux nationaux (Donka, Ignace Deen et </w:t>
      </w:r>
      <w:proofErr w:type="spellStart"/>
      <w:r w:rsidRPr="0047073A">
        <w:rPr>
          <w:rFonts w:asciiTheme="minorHAnsi" w:hAnsiTheme="minorHAnsi" w:cstheme="minorHAnsi"/>
          <w:szCs w:val="20"/>
          <w:lang w:val="fr-CA"/>
        </w:rPr>
        <w:t>Kipé</w:t>
      </w:r>
      <w:proofErr w:type="spellEnd"/>
      <w:r w:rsidRPr="0047073A">
        <w:rPr>
          <w:rFonts w:asciiTheme="minorHAnsi" w:hAnsiTheme="minorHAnsi" w:cstheme="minorHAnsi"/>
          <w:szCs w:val="20"/>
          <w:lang w:val="fr-CA"/>
        </w:rPr>
        <w:t>) dont les 2 premiers constituent le CHU de Conakry ;</w:t>
      </w:r>
    </w:p>
    <w:p w14:paraId="3744E344" w14:textId="77777777" w:rsidR="0047073A" w:rsidRPr="0047073A" w:rsidRDefault="0047073A" w:rsidP="00C34A61">
      <w:pPr>
        <w:numPr>
          <w:ilvl w:val="1"/>
          <w:numId w:val="27"/>
        </w:numPr>
        <w:jc w:val="both"/>
        <w:rPr>
          <w:rFonts w:asciiTheme="minorHAnsi" w:hAnsiTheme="minorHAnsi" w:cstheme="minorHAnsi"/>
          <w:szCs w:val="20"/>
          <w:lang w:val="fr-CA"/>
        </w:rPr>
      </w:pPr>
      <w:r w:rsidRPr="0047073A">
        <w:rPr>
          <w:rFonts w:asciiTheme="minorHAnsi" w:hAnsiTheme="minorHAnsi" w:cstheme="minorHAnsi"/>
          <w:szCs w:val="20"/>
          <w:lang w:val="fr-CA"/>
        </w:rPr>
        <w:t>Au niveau intermédiaire : 7 hôpitaux régionaux ;</w:t>
      </w:r>
    </w:p>
    <w:p w14:paraId="68CF83DD" w14:textId="77777777" w:rsidR="0047073A" w:rsidRPr="0047073A" w:rsidRDefault="0047073A" w:rsidP="00C34A61">
      <w:pPr>
        <w:numPr>
          <w:ilvl w:val="1"/>
          <w:numId w:val="27"/>
        </w:numPr>
        <w:jc w:val="both"/>
        <w:rPr>
          <w:rFonts w:asciiTheme="minorHAnsi" w:hAnsiTheme="minorHAnsi" w:cstheme="minorHAnsi"/>
          <w:szCs w:val="20"/>
          <w:lang w:val="fr-CA"/>
        </w:rPr>
      </w:pPr>
      <w:r w:rsidRPr="0047073A">
        <w:rPr>
          <w:rFonts w:asciiTheme="minorHAnsi" w:hAnsiTheme="minorHAnsi" w:cstheme="minorHAnsi"/>
          <w:szCs w:val="20"/>
          <w:lang w:val="fr-CA"/>
        </w:rPr>
        <w:t>Au niveau périphérique ou opérationnel : 26 hôpitaux préfectoraux, 7 centres médicaux de commune (CMC) dont 5 à Conakry, 410 centres de santé et 925 postes de santé.</w:t>
      </w:r>
    </w:p>
    <w:p w14:paraId="7C029F28" w14:textId="189DFCC7" w:rsidR="0047073A" w:rsidRPr="0047073A" w:rsidRDefault="0047073A" w:rsidP="00C34A61">
      <w:pPr>
        <w:numPr>
          <w:ilvl w:val="0"/>
          <w:numId w:val="27"/>
        </w:numPr>
        <w:jc w:val="both"/>
        <w:rPr>
          <w:rFonts w:asciiTheme="minorHAnsi" w:hAnsiTheme="minorHAnsi" w:cstheme="minorHAnsi"/>
          <w:szCs w:val="20"/>
          <w:lang w:val="fr-CA"/>
        </w:rPr>
      </w:pPr>
      <w:r w:rsidRPr="0047073A">
        <w:rPr>
          <w:rFonts w:asciiTheme="minorHAnsi" w:hAnsiTheme="minorHAnsi" w:cstheme="minorHAnsi"/>
          <w:szCs w:val="20"/>
          <w:lang w:val="fr-CA"/>
        </w:rPr>
        <w:t xml:space="preserve">Le sous-secteur parapublic dispose de </w:t>
      </w:r>
      <w:r>
        <w:rPr>
          <w:rFonts w:asciiTheme="minorHAnsi" w:hAnsiTheme="minorHAnsi" w:cstheme="minorHAnsi"/>
          <w:szCs w:val="20"/>
          <w:lang w:val="fr-CA"/>
        </w:rPr>
        <w:t>3</w:t>
      </w:r>
      <w:r w:rsidRPr="0047073A">
        <w:rPr>
          <w:rFonts w:asciiTheme="minorHAnsi" w:hAnsiTheme="minorHAnsi" w:cstheme="minorHAnsi"/>
          <w:szCs w:val="20"/>
          <w:lang w:val="fr-CA"/>
        </w:rPr>
        <w:t xml:space="preserve"> hôpitaux d’entreprises minières (CBG, </w:t>
      </w:r>
      <w:proofErr w:type="spellStart"/>
      <w:r w:rsidRPr="0047073A">
        <w:rPr>
          <w:rFonts w:asciiTheme="minorHAnsi" w:hAnsiTheme="minorHAnsi" w:cstheme="minorHAnsi"/>
          <w:szCs w:val="20"/>
          <w:lang w:val="fr-CA"/>
        </w:rPr>
        <w:t>Friguia</w:t>
      </w:r>
      <w:proofErr w:type="spellEnd"/>
      <w:r w:rsidRPr="0047073A">
        <w:rPr>
          <w:rFonts w:asciiTheme="minorHAnsi" w:hAnsiTheme="minorHAnsi" w:cstheme="minorHAnsi"/>
          <w:szCs w:val="20"/>
          <w:lang w:val="fr-CA"/>
        </w:rPr>
        <w:t>, SAG,</w:t>
      </w:r>
      <w:r>
        <w:rPr>
          <w:rFonts w:asciiTheme="minorHAnsi" w:hAnsiTheme="minorHAnsi" w:cstheme="minorHAnsi"/>
          <w:szCs w:val="20"/>
          <w:lang w:val="fr-CA"/>
        </w:rPr>
        <w:t xml:space="preserve"> 8</w:t>
      </w:r>
      <w:r w:rsidRPr="0047073A">
        <w:rPr>
          <w:rFonts w:asciiTheme="minorHAnsi" w:hAnsiTheme="minorHAnsi" w:cstheme="minorHAnsi"/>
          <w:szCs w:val="20"/>
          <w:lang w:val="fr-CA"/>
        </w:rPr>
        <w:t xml:space="preserve"> dispensaires (SMD, CBK, Rio Tinto, CBG Conakry, CBG </w:t>
      </w:r>
      <w:proofErr w:type="spellStart"/>
      <w:r w:rsidRPr="0047073A">
        <w:rPr>
          <w:rFonts w:asciiTheme="minorHAnsi" w:hAnsiTheme="minorHAnsi" w:cstheme="minorHAnsi"/>
          <w:szCs w:val="20"/>
          <w:lang w:val="fr-CA"/>
        </w:rPr>
        <w:t>Sangarédi</w:t>
      </w:r>
      <w:proofErr w:type="spellEnd"/>
      <w:r w:rsidRPr="0047073A">
        <w:rPr>
          <w:rFonts w:asciiTheme="minorHAnsi" w:hAnsiTheme="minorHAnsi" w:cstheme="minorHAnsi"/>
          <w:szCs w:val="20"/>
          <w:lang w:val="fr-CA"/>
        </w:rPr>
        <w:t xml:space="preserve">, </w:t>
      </w:r>
      <w:proofErr w:type="spellStart"/>
      <w:r w:rsidRPr="0047073A">
        <w:rPr>
          <w:rFonts w:asciiTheme="minorHAnsi" w:hAnsiTheme="minorHAnsi" w:cstheme="minorHAnsi"/>
          <w:szCs w:val="20"/>
          <w:lang w:val="fr-CA"/>
        </w:rPr>
        <w:t>Kiniéro</w:t>
      </w:r>
      <w:proofErr w:type="spellEnd"/>
      <w:r w:rsidRPr="0047073A">
        <w:rPr>
          <w:rFonts w:asciiTheme="minorHAnsi" w:hAnsiTheme="minorHAnsi" w:cstheme="minorHAnsi"/>
          <w:szCs w:val="20"/>
          <w:lang w:val="fr-CA"/>
        </w:rPr>
        <w:t xml:space="preserve">, GAC et </w:t>
      </w:r>
      <w:proofErr w:type="spellStart"/>
      <w:r w:rsidRPr="0047073A">
        <w:rPr>
          <w:rFonts w:asciiTheme="minorHAnsi" w:hAnsiTheme="minorHAnsi" w:cstheme="minorHAnsi"/>
          <w:szCs w:val="20"/>
          <w:lang w:val="fr-CA"/>
        </w:rPr>
        <w:t>Débélé</w:t>
      </w:r>
      <w:proofErr w:type="spellEnd"/>
      <w:r w:rsidRPr="0047073A">
        <w:rPr>
          <w:rFonts w:asciiTheme="minorHAnsi" w:hAnsiTheme="minorHAnsi" w:cstheme="minorHAnsi"/>
          <w:szCs w:val="20"/>
          <w:lang w:val="fr-CA"/>
        </w:rPr>
        <w:t>) et agricole (SOGUIPAH).</w:t>
      </w:r>
    </w:p>
    <w:p w14:paraId="0BA0B4A0" w14:textId="77777777" w:rsidR="0047073A" w:rsidRPr="0047073A" w:rsidRDefault="0047073A" w:rsidP="00C34A61">
      <w:pPr>
        <w:numPr>
          <w:ilvl w:val="0"/>
          <w:numId w:val="27"/>
        </w:numPr>
        <w:jc w:val="both"/>
        <w:rPr>
          <w:rFonts w:asciiTheme="minorHAnsi" w:hAnsiTheme="minorHAnsi" w:cstheme="minorHAnsi"/>
          <w:szCs w:val="20"/>
          <w:lang w:val="fr-CA"/>
        </w:rPr>
      </w:pPr>
      <w:r w:rsidRPr="0047073A">
        <w:rPr>
          <w:rFonts w:asciiTheme="minorHAnsi" w:hAnsiTheme="minorHAnsi" w:cstheme="minorHAnsi"/>
          <w:szCs w:val="20"/>
          <w:lang w:val="fr-CA"/>
        </w:rPr>
        <w:t>Le sous-secteur privé, est constitué du privé lucratif et du privé non lucratif (ONG et confessions religieuses). Le secteur privé médical compte 10 polycliniques, 25 cliniques, 3 hôpitaux d’entreprise, 254 cabinets de consultation, 18 cabinets dentaires, 15 cabinets de sage-femme, 148 cabinets de soins infirmiers et 5 centres de santé associatifs ou confessionnels</w:t>
      </w:r>
      <w:r w:rsidRPr="0047073A">
        <w:rPr>
          <w:rFonts w:asciiTheme="minorHAnsi" w:hAnsiTheme="minorHAnsi" w:cstheme="minorHAnsi"/>
          <w:szCs w:val="20"/>
          <w:vertAlign w:val="superscript"/>
          <w:lang w:val="en-US"/>
        </w:rPr>
        <w:footnoteReference w:id="7"/>
      </w:r>
      <w:r w:rsidRPr="0047073A">
        <w:rPr>
          <w:rFonts w:asciiTheme="minorHAnsi" w:hAnsiTheme="minorHAnsi" w:cstheme="minorHAnsi"/>
          <w:szCs w:val="20"/>
          <w:lang w:val="fr-CA"/>
        </w:rPr>
        <w:t>.</w:t>
      </w:r>
    </w:p>
    <w:p w14:paraId="2F3E119A" w14:textId="77777777" w:rsidR="0047073A" w:rsidRPr="0047073A" w:rsidRDefault="0047073A" w:rsidP="00C34A61">
      <w:pPr>
        <w:numPr>
          <w:ilvl w:val="0"/>
          <w:numId w:val="27"/>
        </w:numPr>
        <w:jc w:val="both"/>
        <w:rPr>
          <w:rFonts w:asciiTheme="minorHAnsi" w:hAnsiTheme="minorHAnsi" w:cstheme="minorHAnsi"/>
          <w:szCs w:val="20"/>
          <w:lang w:val="fr-CA"/>
        </w:rPr>
      </w:pPr>
      <w:r w:rsidRPr="0047073A">
        <w:rPr>
          <w:rFonts w:asciiTheme="minorHAnsi" w:hAnsiTheme="minorHAnsi" w:cstheme="minorHAnsi"/>
          <w:szCs w:val="20"/>
          <w:lang w:val="fr-CA"/>
        </w:rPr>
        <w:t>Le sous-secteur communautaire est constitué de services à base communautaire (SBC) avec des agents de santé communautaires (ASC) et les prestataires de la médecine traditionnelle.</w:t>
      </w:r>
    </w:p>
    <w:p w14:paraId="7B36129D" w14:textId="77777777" w:rsidR="0047073A" w:rsidRDefault="0047073A" w:rsidP="0047073A">
      <w:pPr>
        <w:jc w:val="both"/>
        <w:rPr>
          <w:rFonts w:asciiTheme="minorHAnsi" w:hAnsiTheme="minorHAnsi" w:cstheme="minorHAnsi"/>
          <w:sz w:val="22"/>
          <w:szCs w:val="20"/>
        </w:rPr>
      </w:pPr>
    </w:p>
    <w:p w14:paraId="7FF71AE8" w14:textId="77777777" w:rsidR="0047073A" w:rsidRPr="005B52BA" w:rsidRDefault="0047073A" w:rsidP="0047073A">
      <w:pPr>
        <w:pStyle w:val="Paragraphedeliste"/>
        <w:ind w:left="0"/>
        <w:jc w:val="both"/>
        <w:rPr>
          <w:rFonts w:ascii="Calibri" w:hAnsi="Calibri"/>
          <w:bCs/>
        </w:rPr>
      </w:pPr>
      <w:r w:rsidRPr="005B52BA">
        <w:rPr>
          <w:rFonts w:ascii="Calibri" w:hAnsi="Calibri"/>
          <w:bCs/>
        </w:rPr>
        <w:t xml:space="preserve">Sur le plan épidémiologique, les principales causes de la morbidité et de la mortalité sont liées aux maladies transmissibles dont les maladies à potentiel épidémique, les maladies évitables par la vaccination. Les maladies non transmissibles liées aux modes de vie prennent de plus en plus d’importance. </w:t>
      </w:r>
    </w:p>
    <w:p w14:paraId="45D03476" w14:textId="77777777" w:rsidR="0047073A" w:rsidRPr="005B52BA" w:rsidRDefault="0047073A" w:rsidP="0047073A">
      <w:pPr>
        <w:jc w:val="both"/>
        <w:rPr>
          <w:rFonts w:ascii="Calibri" w:hAnsi="Calibri"/>
          <w:bCs/>
        </w:rPr>
      </w:pPr>
    </w:p>
    <w:p w14:paraId="5F796835" w14:textId="77777777" w:rsidR="0047073A" w:rsidRPr="005B52BA" w:rsidRDefault="0047073A" w:rsidP="0047073A">
      <w:pPr>
        <w:jc w:val="both"/>
        <w:rPr>
          <w:rFonts w:ascii="Calibri" w:hAnsi="Calibri"/>
        </w:rPr>
      </w:pPr>
      <w:r w:rsidRPr="005B52BA">
        <w:rPr>
          <w:rFonts w:ascii="Calibri" w:hAnsi="Calibri"/>
          <w:bCs/>
        </w:rPr>
        <w:t>La prévalence du paludisme reste encore élevée avec une prévalence de la parasitémie chez 15% des enfants</w:t>
      </w:r>
      <w:r w:rsidRPr="005B52BA">
        <w:rPr>
          <w:rStyle w:val="Appelnotedebasdep"/>
          <w:rFonts w:ascii="Calibri" w:hAnsi="Calibri"/>
          <w:bCs/>
        </w:rPr>
        <w:footnoteReference w:id="8"/>
      </w:r>
      <w:r w:rsidRPr="005B52BA">
        <w:rPr>
          <w:rFonts w:ascii="Calibri" w:hAnsi="Calibri"/>
          <w:bCs/>
        </w:rPr>
        <w:t xml:space="preserve">. Cette pathologie représente </w:t>
      </w:r>
      <w:r w:rsidRPr="005B52BA">
        <w:rPr>
          <w:rFonts w:ascii="Calibri" w:hAnsi="Calibri"/>
        </w:rPr>
        <w:t xml:space="preserve">40,82% des consultations et 45,30% des hospitalisations dans les formations sanitaires publiques et </w:t>
      </w:r>
      <w:r w:rsidRPr="005B52BA">
        <w:rPr>
          <w:rFonts w:ascii="Calibri" w:hAnsi="Calibri"/>
          <w:bCs/>
        </w:rPr>
        <w:t xml:space="preserve">36% des causes de décès hospitaliers </w:t>
      </w:r>
      <w:r w:rsidRPr="005B52BA">
        <w:rPr>
          <w:rFonts w:ascii="Calibri" w:hAnsi="Calibri"/>
        </w:rPr>
        <w:t xml:space="preserve">sont dues au paludisme </w:t>
      </w:r>
      <w:r w:rsidRPr="005B52BA">
        <w:rPr>
          <w:rFonts w:ascii="Calibri" w:hAnsi="Calibri"/>
          <w:bCs/>
        </w:rPr>
        <w:t xml:space="preserve">grave. C’est la première cause de mortalité des enfants de moins de 5 ans. </w:t>
      </w:r>
    </w:p>
    <w:p w14:paraId="4F9FB52F" w14:textId="77777777" w:rsidR="0047073A" w:rsidRPr="005B52BA" w:rsidRDefault="0047073A" w:rsidP="0047073A">
      <w:pPr>
        <w:widowControl w:val="0"/>
        <w:contextualSpacing/>
        <w:jc w:val="both"/>
        <w:rPr>
          <w:rFonts w:ascii="Calibri" w:hAnsi="Calibri"/>
          <w:bCs/>
        </w:rPr>
      </w:pPr>
    </w:p>
    <w:p w14:paraId="3CF6B68C" w14:textId="77777777" w:rsidR="0047073A" w:rsidRPr="005B52BA" w:rsidRDefault="0047073A" w:rsidP="0047073A">
      <w:pPr>
        <w:widowControl w:val="0"/>
        <w:jc w:val="both"/>
        <w:rPr>
          <w:rFonts w:ascii="Calibri" w:hAnsi="Calibri"/>
          <w:bCs/>
        </w:rPr>
      </w:pPr>
      <w:r w:rsidRPr="005B52BA">
        <w:rPr>
          <w:rFonts w:ascii="Calibri" w:hAnsi="Calibri"/>
          <w:bCs/>
        </w:rPr>
        <w:t>La prévalence de la Tuberculose, de 178 TPM+ pour 100.000 habitants,</w:t>
      </w:r>
      <w:r w:rsidRPr="005B52BA">
        <w:rPr>
          <w:rFonts w:ascii="Calibri" w:hAnsi="Calibri"/>
          <w:b/>
          <w:bCs/>
        </w:rPr>
        <w:t xml:space="preserve"> </w:t>
      </w:r>
      <w:r w:rsidRPr="005B52BA">
        <w:rPr>
          <w:rFonts w:ascii="Calibri" w:hAnsi="Calibri"/>
          <w:bCs/>
        </w:rPr>
        <w:t>reste encore élevée avec sa double charge de coïnfection avec le VIH/</w:t>
      </w:r>
      <w:r>
        <w:rPr>
          <w:rFonts w:ascii="Calibri" w:hAnsi="Calibri"/>
          <w:bCs/>
        </w:rPr>
        <w:t>sida</w:t>
      </w:r>
      <w:r w:rsidRPr="005B52BA">
        <w:rPr>
          <w:rFonts w:ascii="Calibri" w:hAnsi="Calibri"/>
          <w:bCs/>
        </w:rPr>
        <w:t>.</w:t>
      </w:r>
    </w:p>
    <w:p w14:paraId="1B58834C" w14:textId="77777777" w:rsidR="0047073A" w:rsidRDefault="0047073A" w:rsidP="0047073A">
      <w:pPr>
        <w:jc w:val="both"/>
        <w:rPr>
          <w:rFonts w:asciiTheme="minorHAnsi" w:hAnsiTheme="minorHAnsi" w:cstheme="minorHAnsi"/>
          <w:sz w:val="22"/>
          <w:szCs w:val="20"/>
        </w:rPr>
      </w:pPr>
      <w:r>
        <w:rPr>
          <w:rFonts w:asciiTheme="minorHAnsi" w:hAnsiTheme="minorHAnsi" w:cstheme="minorHAnsi"/>
          <w:sz w:val="22"/>
          <w:szCs w:val="20"/>
        </w:rPr>
        <w:t>Les données sont tirées de l’</w:t>
      </w:r>
      <w:r w:rsidRPr="009457DA">
        <w:rPr>
          <w:rFonts w:asciiTheme="minorHAnsi" w:hAnsiTheme="minorHAnsi" w:cstheme="minorHAnsi"/>
          <w:sz w:val="22"/>
          <w:szCs w:val="20"/>
        </w:rPr>
        <w:t>Enquête par grappes à indicateurs multiples avec volet renforcé sur le paludisme (MICS-Palu, 2016)</w:t>
      </w:r>
    </w:p>
    <w:p w14:paraId="494E0687" w14:textId="1108B1C0" w:rsidR="001C1DD2" w:rsidRDefault="001C1DD2" w:rsidP="0047073A">
      <w:pPr>
        <w:jc w:val="both"/>
        <w:rPr>
          <w:rFonts w:asciiTheme="minorHAnsi" w:hAnsiTheme="minorHAnsi" w:cstheme="minorHAnsi"/>
          <w:sz w:val="22"/>
          <w:szCs w:val="20"/>
        </w:rPr>
      </w:pPr>
    </w:p>
    <w:p w14:paraId="06FBAB26" w14:textId="68F62631" w:rsidR="001C1DD2" w:rsidRPr="001C1DD2" w:rsidRDefault="00891515" w:rsidP="00240456">
      <w:pPr>
        <w:pStyle w:val="tab"/>
      </w:pPr>
      <w:bookmarkStart w:id="34" w:name="_Toc521064259"/>
      <w:r w:rsidRPr="00240456">
        <w:rPr>
          <w:b/>
          <w:u w:val="single"/>
        </w:rPr>
        <w:t>Tableau 3</w:t>
      </w:r>
      <w:r w:rsidR="001C1DD2" w:rsidRPr="001C1DD2">
        <w:t xml:space="preserve"> : </w:t>
      </w:r>
      <w:r w:rsidR="001C1DD2">
        <w:t>Situation des principaux indicateurs sanitaires</w:t>
      </w:r>
      <w:bookmarkEnd w:id="34"/>
    </w:p>
    <w:p w14:paraId="125CA391" w14:textId="77777777" w:rsidR="001C1DD2" w:rsidRDefault="001C1DD2" w:rsidP="0047073A">
      <w:pPr>
        <w:jc w:val="both"/>
        <w:rPr>
          <w:rFonts w:asciiTheme="minorHAnsi" w:hAnsiTheme="minorHAnsi" w:cstheme="minorHAnsi"/>
          <w:sz w:val="22"/>
          <w:szCs w:val="20"/>
        </w:rPr>
      </w:pPr>
    </w:p>
    <w:tbl>
      <w:tblPr>
        <w:tblStyle w:val="Grilledutableau"/>
        <w:tblW w:w="0" w:type="auto"/>
        <w:tblLook w:val="04A0" w:firstRow="1" w:lastRow="0" w:firstColumn="1" w:lastColumn="0" w:noHBand="0" w:noVBand="1"/>
      </w:tblPr>
      <w:tblGrid>
        <w:gridCol w:w="2430"/>
        <w:gridCol w:w="5787"/>
        <w:gridCol w:w="1559"/>
      </w:tblGrid>
      <w:tr w:rsidR="0047073A" w:rsidRPr="009A1EFB" w14:paraId="0FDE0930" w14:textId="77777777" w:rsidTr="00A73D26">
        <w:tc>
          <w:tcPr>
            <w:tcW w:w="8217" w:type="dxa"/>
            <w:gridSpan w:val="2"/>
            <w:shd w:val="clear" w:color="auto" w:fill="FFC000"/>
          </w:tcPr>
          <w:p w14:paraId="177E307D" w14:textId="77777777" w:rsidR="0047073A" w:rsidRPr="009A1EFB" w:rsidRDefault="0047073A" w:rsidP="00A73D26">
            <w:pPr>
              <w:jc w:val="both"/>
              <w:rPr>
                <w:rFonts w:asciiTheme="minorHAnsi" w:hAnsiTheme="minorHAnsi" w:cstheme="minorHAnsi"/>
                <w:b/>
                <w:sz w:val="20"/>
                <w:szCs w:val="20"/>
              </w:rPr>
            </w:pPr>
            <w:r w:rsidRPr="009A1EFB">
              <w:rPr>
                <w:rFonts w:asciiTheme="minorHAnsi" w:hAnsiTheme="minorHAnsi" w:cstheme="minorHAnsi"/>
                <w:b/>
                <w:sz w:val="20"/>
                <w:szCs w:val="20"/>
              </w:rPr>
              <w:t xml:space="preserve">Indicateurs </w:t>
            </w:r>
          </w:p>
        </w:tc>
        <w:tc>
          <w:tcPr>
            <w:tcW w:w="1559" w:type="dxa"/>
            <w:shd w:val="clear" w:color="auto" w:fill="FFC000"/>
          </w:tcPr>
          <w:p w14:paraId="5F16FC68" w14:textId="77777777" w:rsidR="0047073A" w:rsidRPr="009A1EFB" w:rsidRDefault="0047073A" w:rsidP="00A73D26">
            <w:pPr>
              <w:jc w:val="center"/>
              <w:rPr>
                <w:rFonts w:asciiTheme="minorHAnsi" w:hAnsiTheme="minorHAnsi" w:cstheme="minorHAnsi"/>
                <w:b/>
                <w:sz w:val="20"/>
                <w:szCs w:val="20"/>
              </w:rPr>
            </w:pPr>
            <w:r w:rsidRPr="009A1EFB">
              <w:rPr>
                <w:rFonts w:asciiTheme="minorHAnsi" w:hAnsiTheme="minorHAnsi" w:cstheme="minorHAnsi"/>
                <w:b/>
                <w:sz w:val="20"/>
                <w:szCs w:val="20"/>
              </w:rPr>
              <w:t>Valeur (en %)</w:t>
            </w:r>
          </w:p>
        </w:tc>
      </w:tr>
      <w:tr w:rsidR="0047073A" w:rsidRPr="009A1EFB" w14:paraId="3F191268" w14:textId="77777777" w:rsidTr="00A73D26">
        <w:tc>
          <w:tcPr>
            <w:tcW w:w="8217" w:type="dxa"/>
            <w:gridSpan w:val="2"/>
          </w:tcPr>
          <w:p w14:paraId="54131D06"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Indice synthétique de fécondité́</w:t>
            </w:r>
          </w:p>
        </w:tc>
        <w:tc>
          <w:tcPr>
            <w:tcW w:w="1559" w:type="dxa"/>
          </w:tcPr>
          <w:p w14:paraId="7C4D5DEC"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4,8</w:t>
            </w:r>
          </w:p>
        </w:tc>
      </w:tr>
      <w:tr w:rsidR="0047073A" w:rsidRPr="009A1EFB" w14:paraId="4BD12E02" w14:textId="77777777" w:rsidTr="00A73D26">
        <w:tc>
          <w:tcPr>
            <w:tcW w:w="8217" w:type="dxa"/>
            <w:gridSpan w:val="2"/>
          </w:tcPr>
          <w:p w14:paraId="03AD75BD"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bCs/>
                <w:sz w:val="20"/>
                <w:szCs w:val="20"/>
              </w:rPr>
              <w:t>Grossesse précoce</w:t>
            </w:r>
          </w:p>
        </w:tc>
        <w:tc>
          <w:tcPr>
            <w:tcW w:w="1559" w:type="dxa"/>
          </w:tcPr>
          <w:p w14:paraId="308A7C59"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36,9</w:t>
            </w:r>
          </w:p>
        </w:tc>
      </w:tr>
      <w:tr w:rsidR="0047073A" w:rsidRPr="009A1EFB" w14:paraId="01329224" w14:textId="77777777" w:rsidTr="00A73D26">
        <w:tc>
          <w:tcPr>
            <w:tcW w:w="8217" w:type="dxa"/>
            <w:gridSpan w:val="2"/>
          </w:tcPr>
          <w:p w14:paraId="32DEEE1A"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Accouchements attendus</w:t>
            </w:r>
          </w:p>
        </w:tc>
        <w:tc>
          <w:tcPr>
            <w:tcW w:w="1559" w:type="dxa"/>
          </w:tcPr>
          <w:p w14:paraId="2D611A16"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36,9</w:t>
            </w:r>
          </w:p>
        </w:tc>
      </w:tr>
      <w:tr w:rsidR="0047073A" w:rsidRPr="009A1EFB" w14:paraId="08AFD6DB" w14:textId="77777777" w:rsidTr="00A73D26">
        <w:tc>
          <w:tcPr>
            <w:tcW w:w="8217" w:type="dxa"/>
            <w:gridSpan w:val="2"/>
          </w:tcPr>
          <w:p w14:paraId="0C1D21E2"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 xml:space="preserve">Taux de mortalité́ </w:t>
            </w:r>
            <w:proofErr w:type="spellStart"/>
            <w:r w:rsidRPr="009A1EFB">
              <w:rPr>
                <w:rFonts w:asciiTheme="minorHAnsi" w:hAnsiTheme="minorHAnsi" w:cstheme="minorHAnsi"/>
                <w:sz w:val="20"/>
                <w:szCs w:val="20"/>
              </w:rPr>
              <w:t>infanto-juvénile</w:t>
            </w:r>
            <w:proofErr w:type="spellEnd"/>
          </w:p>
        </w:tc>
        <w:tc>
          <w:tcPr>
            <w:tcW w:w="1559" w:type="dxa"/>
          </w:tcPr>
          <w:p w14:paraId="54A9946C"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88</w:t>
            </w:r>
          </w:p>
        </w:tc>
      </w:tr>
      <w:tr w:rsidR="0047073A" w:rsidRPr="009A1EFB" w14:paraId="7BBFC27C" w14:textId="77777777" w:rsidTr="00A73D26">
        <w:tc>
          <w:tcPr>
            <w:tcW w:w="8217" w:type="dxa"/>
            <w:gridSpan w:val="2"/>
          </w:tcPr>
          <w:p w14:paraId="5CD242A9"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Taux brut de mortalité́ néonatale (ODD 3.2.2)</w:t>
            </w:r>
          </w:p>
        </w:tc>
        <w:tc>
          <w:tcPr>
            <w:tcW w:w="1559" w:type="dxa"/>
          </w:tcPr>
          <w:p w14:paraId="09542297"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20</w:t>
            </w:r>
          </w:p>
        </w:tc>
      </w:tr>
      <w:tr w:rsidR="0047073A" w:rsidRPr="009A1EFB" w14:paraId="246031AD" w14:textId="77777777" w:rsidTr="00A73D26">
        <w:tc>
          <w:tcPr>
            <w:tcW w:w="8217" w:type="dxa"/>
            <w:gridSpan w:val="2"/>
          </w:tcPr>
          <w:p w14:paraId="069501C4"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 xml:space="preserve">Taux de mortalité post néonatale </w:t>
            </w:r>
          </w:p>
        </w:tc>
        <w:tc>
          <w:tcPr>
            <w:tcW w:w="1559" w:type="dxa"/>
          </w:tcPr>
          <w:p w14:paraId="1D717347"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24</w:t>
            </w:r>
          </w:p>
        </w:tc>
      </w:tr>
      <w:tr w:rsidR="0047073A" w:rsidRPr="009A1EFB" w14:paraId="28C7DF77" w14:textId="77777777" w:rsidTr="00A73D26">
        <w:tc>
          <w:tcPr>
            <w:tcW w:w="8217" w:type="dxa"/>
            <w:gridSpan w:val="2"/>
            <w:tcBorders>
              <w:bottom w:val="single" w:sz="4" w:space="0" w:color="auto"/>
            </w:tcBorders>
          </w:tcPr>
          <w:p w14:paraId="195E8D3F"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Taux de mortalité́ infantile (ODD 3.2.1)</w:t>
            </w:r>
          </w:p>
        </w:tc>
        <w:tc>
          <w:tcPr>
            <w:tcW w:w="1559" w:type="dxa"/>
          </w:tcPr>
          <w:p w14:paraId="5B5D63BB"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44</w:t>
            </w:r>
          </w:p>
        </w:tc>
      </w:tr>
      <w:tr w:rsidR="0047073A" w:rsidRPr="009A1EFB" w14:paraId="0DA574FE" w14:textId="77777777" w:rsidTr="00A73D26">
        <w:tc>
          <w:tcPr>
            <w:tcW w:w="8217" w:type="dxa"/>
            <w:gridSpan w:val="2"/>
            <w:tcBorders>
              <w:bottom w:val="single" w:sz="4" w:space="0" w:color="auto"/>
            </w:tcBorders>
          </w:tcPr>
          <w:p w14:paraId="16D4AC9A"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bCs/>
                <w:sz w:val="20"/>
                <w:szCs w:val="20"/>
              </w:rPr>
              <w:t>Taux de mortalité des enfants moins de cinq ans</w:t>
            </w:r>
          </w:p>
        </w:tc>
        <w:tc>
          <w:tcPr>
            <w:tcW w:w="1559" w:type="dxa"/>
          </w:tcPr>
          <w:p w14:paraId="77EE57A6"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95</w:t>
            </w:r>
          </w:p>
        </w:tc>
      </w:tr>
      <w:tr w:rsidR="0047073A" w:rsidRPr="009A1EFB" w14:paraId="281CF380" w14:textId="77777777" w:rsidTr="00A73D26">
        <w:tc>
          <w:tcPr>
            <w:tcW w:w="8217" w:type="dxa"/>
            <w:gridSpan w:val="2"/>
            <w:tcBorders>
              <w:bottom w:val="single" w:sz="4" w:space="0" w:color="auto"/>
            </w:tcBorders>
          </w:tcPr>
          <w:p w14:paraId="1F85E727"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Taux de mortalité́ maternelle (ODD 3.1.1)</w:t>
            </w:r>
          </w:p>
        </w:tc>
        <w:tc>
          <w:tcPr>
            <w:tcW w:w="1559" w:type="dxa"/>
          </w:tcPr>
          <w:p w14:paraId="6F018374"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550</w:t>
            </w:r>
          </w:p>
        </w:tc>
      </w:tr>
      <w:tr w:rsidR="0047073A" w:rsidRPr="009A1EFB" w14:paraId="1D98F8F7" w14:textId="77777777" w:rsidTr="00A73D26">
        <w:tc>
          <w:tcPr>
            <w:tcW w:w="2430" w:type="dxa"/>
            <w:vMerge w:val="restart"/>
          </w:tcPr>
          <w:p w14:paraId="79B640CD"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Prévalence retard croissance (ODD 2.2.1)</w:t>
            </w:r>
          </w:p>
        </w:tc>
        <w:tc>
          <w:tcPr>
            <w:tcW w:w="5787" w:type="dxa"/>
          </w:tcPr>
          <w:p w14:paraId="5FE0E75D"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Modéré et grave</w:t>
            </w:r>
          </w:p>
        </w:tc>
        <w:tc>
          <w:tcPr>
            <w:tcW w:w="1559" w:type="dxa"/>
          </w:tcPr>
          <w:p w14:paraId="5218D465"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32,4</w:t>
            </w:r>
          </w:p>
        </w:tc>
      </w:tr>
      <w:tr w:rsidR="0047073A" w:rsidRPr="009A1EFB" w14:paraId="50FF7D76" w14:textId="77777777" w:rsidTr="00A73D26">
        <w:tc>
          <w:tcPr>
            <w:tcW w:w="2430" w:type="dxa"/>
            <w:vMerge/>
          </w:tcPr>
          <w:p w14:paraId="1093E025" w14:textId="77777777" w:rsidR="0047073A" w:rsidRPr="009A1EFB" w:rsidRDefault="0047073A" w:rsidP="00A73D26">
            <w:pPr>
              <w:jc w:val="both"/>
              <w:rPr>
                <w:rFonts w:asciiTheme="minorHAnsi" w:hAnsiTheme="minorHAnsi" w:cstheme="minorHAnsi"/>
                <w:sz w:val="20"/>
                <w:szCs w:val="20"/>
              </w:rPr>
            </w:pPr>
          </w:p>
        </w:tc>
        <w:tc>
          <w:tcPr>
            <w:tcW w:w="5787" w:type="dxa"/>
          </w:tcPr>
          <w:p w14:paraId="140A98B3" w14:textId="77777777" w:rsidR="0047073A" w:rsidRPr="009A1EFB" w:rsidRDefault="0047073A" w:rsidP="00A73D26">
            <w:pPr>
              <w:rPr>
                <w:rFonts w:asciiTheme="minorHAnsi" w:hAnsiTheme="minorHAnsi" w:cstheme="minorHAnsi"/>
                <w:sz w:val="20"/>
                <w:szCs w:val="20"/>
              </w:rPr>
            </w:pPr>
            <w:r w:rsidRPr="009A1EFB">
              <w:rPr>
                <w:rFonts w:asciiTheme="minorHAnsi" w:hAnsiTheme="minorHAnsi" w:cstheme="minorHAnsi"/>
                <w:sz w:val="20"/>
                <w:szCs w:val="20"/>
              </w:rPr>
              <w:t>Sévère</w:t>
            </w:r>
          </w:p>
        </w:tc>
        <w:tc>
          <w:tcPr>
            <w:tcW w:w="1559" w:type="dxa"/>
          </w:tcPr>
          <w:p w14:paraId="7590D9C6"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14,6</w:t>
            </w:r>
          </w:p>
        </w:tc>
      </w:tr>
      <w:tr w:rsidR="0047073A" w:rsidRPr="009A1EFB" w14:paraId="530F0D1B" w14:textId="77777777" w:rsidTr="00A73D26">
        <w:tc>
          <w:tcPr>
            <w:tcW w:w="8217" w:type="dxa"/>
            <w:gridSpan w:val="2"/>
          </w:tcPr>
          <w:p w14:paraId="34F69099"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Allaitement exclusive des moins de 6 mois</w:t>
            </w:r>
          </w:p>
        </w:tc>
        <w:tc>
          <w:tcPr>
            <w:tcW w:w="1559" w:type="dxa"/>
          </w:tcPr>
          <w:p w14:paraId="72160D74"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35,2</w:t>
            </w:r>
          </w:p>
        </w:tc>
      </w:tr>
      <w:tr w:rsidR="0047073A" w:rsidRPr="009A1EFB" w14:paraId="45BCF56D" w14:textId="77777777" w:rsidTr="00A73D26">
        <w:tc>
          <w:tcPr>
            <w:tcW w:w="8217" w:type="dxa"/>
            <w:gridSpan w:val="2"/>
          </w:tcPr>
          <w:p w14:paraId="60620C55" w14:textId="77777777" w:rsidR="0047073A" w:rsidRPr="009A1EFB" w:rsidRDefault="0047073A" w:rsidP="00A73D26">
            <w:pPr>
              <w:jc w:val="both"/>
              <w:rPr>
                <w:rFonts w:asciiTheme="minorHAnsi" w:hAnsiTheme="minorHAnsi" w:cstheme="minorHAnsi"/>
                <w:bCs/>
                <w:sz w:val="20"/>
                <w:szCs w:val="20"/>
              </w:rPr>
            </w:pPr>
            <w:r w:rsidRPr="009A1EFB">
              <w:rPr>
                <w:rFonts w:asciiTheme="minorHAnsi" w:hAnsiTheme="minorHAnsi" w:cstheme="minorHAnsi"/>
                <w:bCs/>
                <w:sz w:val="20"/>
                <w:szCs w:val="20"/>
              </w:rPr>
              <w:t>Couverture des soins prénatals</w:t>
            </w:r>
          </w:p>
        </w:tc>
        <w:tc>
          <w:tcPr>
            <w:tcW w:w="1559" w:type="dxa"/>
          </w:tcPr>
          <w:p w14:paraId="2C800141"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50,6</w:t>
            </w:r>
          </w:p>
        </w:tc>
      </w:tr>
      <w:tr w:rsidR="0047073A" w:rsidRPr="009A1EFB" w14:paraId="6854B4A6" w14:textId="77777777" w:rsidTr="00A73D26">
        <w:tc>
          <w:tcPr>
            <w:tcW w:w="8217" w:type="dxa"/>
            <w:gridSpan w:val="2"/>
          </w:tcPr>
          <w:p w14:paraId="7D203621" w14:textId="77777777" w:rsidR="0047073A" w:rsidRPr="009A1EFB" w:rsidRDefault="0047073A" w:rsidP="00A73D26">
            <w:pPr>
              <w:jc w:val="both"/>
              <w:rPr>
                <w:rFonts w:asciiTheme="minorHAnsi" w:hAnsiTheme="minorHAnsi" w:cstheme="minorHAnsi"/>
                <w:bCs/>
                <w:sz w:val="20"/>
                <w:szCs w:val="20"/>
              </w:rPr>
            </w:pPr>
            <w:r w:rsidRPr="009A1EFB">
              <w:rPr>
                <w:rFonts w:asciiTheme="minorHAnsi" w:hAnsiTheme="minorHAnsi" w:cstheme="minorHAnsi"/>
                <w:bCs/>
                <w:sz w:val="20"/>
                <w:szCs w:val="20"/>
              </w:rPr>
              <w:t>Accouchement en institution</w:t>
            </w:r>
          </w:p>
        </w:tc>
        <w:tc>
          <w:tcPr>
            <w:tcW w:w="1559" w:type="dxa"/>
          </w:tcPr>
          <w:p w14:paraId="57C98088"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57,2</w:t>
            </w:r>
          </w:p>
        </w:tc>
      </w:tr>
      <w:tr w:rsidR="0047073A" w:rsidRPr="001C1DD2" w14:paraId="0B315132" w14:textId="77777777" w:rsidTr="001C1DD2">
        <w:tc>
          <w:tcPr>
            <w:tcW w:w="8217" w:type="dxa"/>
            <w:gridSpan w:val="2"/>
            <w:shd w:val="clear" w:color="auto" w:fill="auto"/>
          </w:tcPr>
          <w:p w14:paraId="56D43167" w14:textId="6BCBE02C" w:rsidR="0047073A" w:rsidRPr="001C1DD2" w:rsidRDefault="0047073A" w:rsidP="00A73D26">
            <w:pPr>
              <w:jc w:val="both"/>
              <w:rPr>
                <w:rFonts w:asciiTheme="minorHAnsi" w:hAnsiTheme="minorHAnsi" w:cstheme="minorHAnsi"/>
                <w:sz w:val="20"/>
                <w:szCs w:val="20"/>
              </w:rPr>
            </w:pPr>
            <w:r w:rsidRPr="001C1DD2">
              <w:rPr>
                <w:rFonts w:asciiTheme="minorHAnsi" w:hAnsiTheme="minorHAnsi" w:cstheme="minorHAnsi"/>
                <w:sz w:val="20"/>
                <w:szCs w:val="20"/>
              </w:rPr>
              <w:t>Incidence de la tuberculose</w:t>
            </w:r>
            <w:r w:rsidR="001C1DD2" w:rsidRPr="001C1DD2">
              <w:rPr>
                <w:rFonts w:asciiTheme="minorHAnsi" w:hAnsiTheme="minorHAnsi" w:cstheme="minorHAnsi"/>
                <w:sz w:val="20"/>
                <w:szCs w:val="20"/>
              </w:rPr>
              <w:t xml:space="preserve"> (nombre de TPM+ pour 100 000 habitants</w:t>
            </w:r>
          </w:p>
        </w:tc>
        <w:tc>
          <w:tcPr>
            <w:tcW w:w="1559" w:type="dxa"/>
            <w:shd w:val="clear" w:color="auto" w:fill="auto"/>
          </w:tcPr>
          <w:p w14:paraId="257817AF" w14:textId="4DA310DE" w:rsidR="0047073A" w:rsidRPr="001C1DD2" w:rsidRDefault="001C1DD2" w:rsidP="00A73D26">
            <w:pPr>
              <w:jc w:val="center"/>
              <w:rPr>
                <w:rFonts w:asciiTheme="minorHAnsi" w:hAnsiTheme="minorHAnsi" w:cstheme="minorHAnsi"/>
                <w:sz w:val="20"/>
                <w:szCs w:val="20"/>
              </w:rPr>
            </w:pPr>
            <w:r w:rsidRPr="001C1DD2">
              <w:rPr>
                <w:rFonts w:asciiTheme="minorHAnsi" w:hAnsiTheme="minorHAnsi" w:cstheme="minorHAnsi"/>
                <w:sz w:val="20"/>
                <w:szCs w:val="20"/>
              </w:rPr>
              <w:t xml:space="preserve">178 </w:t>
            </w:r>
          </w:p>
        </w:tc>
      </w:tr>
      <w:tr w:rsidR="0047073A" w:rsidRPr="009A1EFB" w14:paraId="1F8304AB" w14:textId="77777777" w:rsidTr="001C1DD2">
        <w:tc>
          <w:tcPr>
            <w:tcW w:w="8217" w:type="dxa"/>
            <w:gridSpan w:val="2"/>
            <w:shd w:val="clear" w:color="auto" w:fill="auto"/>
          </w:tcPr>
          <w:p w14:paraId="7E049C9D" w14:textId="35577F16" w:rsidR="0047073A" w:rsidRPr="001C1DD2" w:rsidRDefault="0047073A" w:rsidP="00A73D26">
            <w:pPr>
              <w:jc w:val="both"/>
              <w:rPr>
                <w:rFonts w:asciiTheme="minorHAnsi" w:hAnsiTheme="minorHAnsi" w:cstheme="minorHAnsi"/>
                <w:sz w:val="20"/>
                <w:szCs w:val="20"/>
              </w:rPr>
            </w:pPr>
            <w:r w:rsidRPr="001C1DD2">
              <w:rPr>
                <w:rFonts w:asciiTheme="minorHAnsi" w:hAnsiTheme="minorHAnsi" w:cstheme="minorHAnsi"/>
                <w:sz w:val="20"/>
                <w:szCs w:val="20"/>
              </w:rPr>
              <w:t>Incidence du paludisme</w:t>
            </w:r>
            <w:r w:rsidR="001C1DD2" w:rsidRPr="001C1DD2">
              <w:rPr>
                <w:rFonts w:asciiTheme="minorHAnsi" w:hAnsiTheme="minorHAnsi" w:cstheme="minorHAnsi"/>
                <w:sz w:val="20"/>
                <w:szCs w:val="20"/>
              </w:rPr>
              <w:t xml:space="preserve"> (parasitémie chez les enfants)</w:t>
            </w:r>
          </w:p>
        </w:tc>
        <w:tc>
          <w:tcPr>
            <w:tcW w:w="1559" w:type="dxa"/>
            <w:shd w:val="clear" w:color="auto" w:fill="auto"/>
          </w:tcPr>
          <w:p w14:paraId="11F92EBF" w14:textId="5EFEFDBE" w:rsidR="0047073A" w:rsidRPr="001C1DD2" w:rsidRDefault="001C1DD2" w:rsidP="00A73D26">
            <w:pPr>
              <w:jc w:val="center"/>
              <w:rPr>
                <w:rFonts w:asciiTheme="minorHAnsi" w:hAnsiTheme="minorHAnsi" w:cstheme="minorHAnsi"/>
                <w:sz w:val="20"/>
                <w:szCs w:val="20"/>
              </w:rPr>
            </w:pPr>
            <w:r w:rsidRPr="001C1DD2">
              <w:rPr>
                <w:rFonts w:asciiTheme="minorHAnsi" w:hAnsiTheme="minorHAnsi" w:cstheme="minorHAnsi"/>
                <w:sz w:val="20"/>
                <w:szCs w:val="20"/>
              </w:rPr>
              <w:t>15%</w:t>
            </w:r>
          </w:p>
        </w:tc>
      </w:tr>
      <w:tr w:rsidR="0047073A" w:rsidRPr="009A1EFB" w14:paraId="441E8490" w14:textId="77777777" w:rsidTr="001C1DD2">
        <w:tc>
          <w:tcPr>
            <w:tcW w:w="8217" w:type="dxa"/>
            <w:gridSpan w:val="2"/>
            <w:shd w:val="clear" w:color="auto" w:fill="auto"/>
          </w:tcPr>
          <w:p w14:paraId="0056DF34"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Prévalence du paludisme chez les enfants de 6-59 mois</w:t>
            </w:r>
          </w:p>
        </w:tc>
        <w:tc>
          <w:tcPr>
            <w:tcW w:w="1559" w:type="dxa"/>
            <w:shd w:val="clear" w:color="auto" w:fill="auto"/>
          </w:tcPr>
          <w:p w14:paraId="1FBD8185"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30,1</w:t>
            </w:r>
          </w:p>
        </w:tc>
      </w:tr>
      <w:tr w:rsidR="0047073A" w:rsidRPr="009A1EFB" w14:paraId="0F395401" w14:textId="77777777" w:rsidTr="00A73D26">
        <w:tc>
          <w:tcPr>
            <w:tcW w:w="8217" w:type="dxa"/>
            <w:gridSpan w:val="2"/>
          </w:tcPr>
          <w:p w14:paraId="40BA6DC6" w14:textId="77777777" w:rsidR="0047073A" w:rsidRPr="009A1EFB" w:rsidRDefault="0047073A" w:rsidP="00A73D26">
            <w:pPr>
              <w:jc w:val="both"/>
              <w:rPr>
                <w:rFonts w:asciiTheme="minorHAnsi" w:hAnsiTheme="minorHAnsi" w:cstheme="minorHAnsi"/>
                <w:sz w:val="20"/>
                <w:szCs w:val="20"/>
              </w:rPr>
            </w:pPr>
            <w:r w:rsidRPr="009A1EFB">
              <w:rPr>
                <w:rFonts w:asciiTheme="minorHAnsi" w:hAnsiTheme="minorHAnsi" w:cstheme="minorHAnsi"/>
                <w:sz w:val="20"/>
                <w:szCs w:val="20"/>
              </w:rPr>
              <w:t>Besoins non satisfaits en PF</w:t>
            </w:r>
          </w:p>
        </w:tc>
        <w:tc>
          <w:tcPr>
            <w:tcW w:w="1559" w:type="dxa"/>
          </w:tcPr>
          <w:p w14:paraId="4B121195" w14:textId="77777777" w:rsidR="0047073A" w:rsidRPr="009A1EFB" w:rsidRDefault="0047073A" w:rsidP="00A73D26">
            <w:pPr>
              <w:jc w:val="center"/>
              <w:rPr>
                <w:rFonts w:asciiTheme="minorHAnsi" w:hAnsiTheme="minorHAnsi" w:cstheme="minorHAnsi"/>
                <w:sz w:val="20"/>
                <w:szCs w:val="20"/>
              </w:rPr>
            </w:pPr>
            <w:r w:rsidRPr="009A1EFB">
              <w:rPr>
                <w:rFonts w:asciiTheme="minorHAnsi" w:hAnsiTheme="minorHAnsi" w:cstheme="minorHAnsi"/>
                <w:sz w:val="20"/>
                <w:szCs w:val="20"/>
              </w:rPr>
              <w:t>27,6</w:t>
            </w:r>
          </w:p>
        </w:tc>
      </w:tr>
      <w:tr w:rsidR="0047073A" w:rsidRPr="009A1EFB" w14:paraId="3C7CE6B9" w14:textId="77777777" w:rsidTr="00A73D26">
        <w:tc>
          <w:tcPr>
            <w:tcW w:w="8217" w:type="dxa"/>
            <w:gridSpan w:val="2"/>
          </w:tcPr>
          <w:p w14:paraId="3DF0A5C8" w14:textId="77777777" w:rsidR="0047073A" w:rsidRPr="009A1EFB" w:rsidRDefault="0047073A" w:rsidP="00A73D26">
            <w:pPr>
              <w:rPr>
                <w:rFonts w:asciiTheme="minorHAnsi" w:hAnsiTheme="minorHAnsi" w:cstheme="minorHAnsi"/>
                <w:bCs/>
                <w:sz w:val="20"/>
                <w:szCs w:val="20"/>
              </w:rPr>
            </w:pPr>
            <w:r w:rsidRPr="009A1EFB">
              <w:rPr>
                <w:rFonts w:asciiTheme="minorHAnsi" w:hAnsiTheme="minorHAnsi" w:cstheme="minorHAnsi"/>
                <w:bCs/>
                <w:sz w:val="20"/>
                <w:szCs w:val="20"/>
              </w:rPr>
              <w:t>Prévalence de la mutilation génitale féminine/excision (MGF/E) chez les femmes</w:t>
            </w:r>
          </w:p>
        </w:tc>
        <w:tc>
          <w:tcPr>
            <w:tcW w:w="1559" w:type="dxa"/>
          </w:tcPr>
          <w:p w14:paraId="5414C957" w14:textId="77777777" w:rsidR="0047073A" w:rsidRPr="009A1EFB" w:rsidRDefault="0047073A" w:rsidP="00A73D26">
            <w:pPr>
              <w:jc w:val="center"/>
              <w:rPr>
                <w:rFonts w:asciiTheme="minorHAnsi" w:hAnsiTheme="minorHAnsi" w:cstheme="minorHAnsi"/>
                <w:bCs/>
                <w:sz w:val="20"/>
                <w:szCs w:val="20"/>
              </w:rPr>
            </w:pPr>
            <w:r w:rsidRPr="009A1EFB">
              <w:rPr>
                <w:rFonts w:asciiTheme="minorHAnsi" w:hAnsiTheme="minorHAnsi" w:cstheme="minorHAnsi"/>
                <w:bCs/>
                <w:sz w:val="20"/>
                <w:szCs w:val="20"/>
              </w:rPr>
              <w:t>96,8</w:t>
            </w:r>
          </w:p>
        </w:tc>
      </w:tr>
      <w:tr w:rsidR="0047073A" w:rsidRPr="009A1EFB" w14:paraId="3C51A12A" w14:textId="77777777" w:rsidTr="00A73D26">
        <w:tc>
          <w:tcPr>
            <w:tcW w:w="8217" w:type="dxa"/>
            <w:gridSpan w:val="2"/>
          </w:tcPr>
          <w:p w14:paraId="1EAC1210" w14:textId="77777777" w:rsidR="0047073A" w:rsidRPr="009A1EFB" w:rsidRDefault="0047073A" w:rsidP="00A73D26">
            <w:pPr>
              <w:rPr>
                <w:rFonts w:asciiTheme="minorHAnsi" w:hAnsiTheme="minorHAnsi" w:cstheme="minorHAnsi"/>
                <w:bCs/>
                <w:sz w:val="20"/>
                <w:szCs w:val="20"/>
              </w:rPr>
            </w:pPr>
            <w:r w:rsidRPr="009A1EFB">
              <w:rPr>
                <w:rFonts w:asciiTheme="minorHAnsi" w:hAnsiTheme="minorHAnsi" w:cstheme="minorHAnsi"/>
                <w:bCs/>
                <w:sz w:val="20"/>
                <w:szCs w:val="20"/>
              </w:rPr>
              <w:t>Prévalence de la mutilation génitale féminine/excision (MGF/E) chez les filles</w:t>
            </w:r>
          </w:p>
        </w:tc>
        <w:tc>
          <w:tcPr>
            <w:tcW w:w="1559" w:type="dxa"/>
          </w:tcPr>
          <w:p w14:paraId="4A3DB4E5" w14:textId="77777777" w:rsidR="0047073A" w:rsidRPr="009A1EFB" w:rsidRDefault="0047073A" w:rsidP="00A73D26">
            <w:pPr>
              <w:jc w:val="center"/>
              <w:rPr>
                <w:rFonts w:asciiTheme="minorHAnsi" w:hAnsiTheme="minorHAnsi" w:cstheme="minorHAnsi"/>
                <w:bCs/>
                <w:sz w:val="20"/>
                <w:szCs w:val="20"/>
              </w:rPr>
            </w:pPr>
            <w:r w:rsidRPr="009A1EFB">
              <w:rPr>
                <w:rFonts w:asciiTheme="minorHAnsi" w:hAnsiTheme="minorHAnsi" w:cstheme="minorHAnsi"/>
                <w:bCs/>
                <w:sz w:val="20"/>
                <w:szCs w:val="20"/>
              </w:rPr>
              <w:t>45,3</w:t>
            </w:r>
          </w:p>
        </w:tc>
      </w:tr>
    </w:tbl>
    <w:p w14:paraId="1D3F17D4" w14:textId="5937E448" w:rsidR="0047073A" w:rsidRPr="001C1DD2" w:rsidRDefault="0047073A" w:rsidP="0047073A">
      <w:pPr>
        <w:jc w:val="both"/>
        <w:rPr>
          <w:rFonts w:asciiTheme="minorHAnsi" w:hAnsiTheme="minorHAnsi" w:cstheme="minorHAnsi"/>
        </w:rPr>
      </w:pPr>
    </w:p>
    <w:p w14:paraId="1881E387" w14:textId="77777777" w:rsidR="0047073A" w:rsidRPr="001C1DD2" w:rsidRDefault="0047073A" w:rsidP="0047073A">
      <w:pPr>
        <w:jc w:val="both"/>
        <w:rPr>
          <w:rFonts w:asciiTheme="minorHAnsi" w:hAnsiTheme="minorHAnsi" w:cstheme="minorHAnsi"/>
        </w:rPr>
      </w:pPr>
      <w:r w:rsidRPr="001C1DD2">
        <w:rPr>
          <w:rFonts w:asciiTheme="minorHAnsi" w:hAnsiTheme="minorHAnsi" w:cstheme="minorHAnsi"/>
        </w:rPr>
        <w:t xml:space="preserve">Les réformes engagées dans le secteur de la santé et les initiatives du Gouvernement soutenues par les partenaires techniques et financiers ont produit des résultats probants sur le système de santé. L’environnement institutionnel est devenu robuste, mieux cohérent et décentralisé. En dépit de ces efforts, le système de santé rencontre quelques difficultés et présent des insuffisances structurelles, organisationnelles et fonctionnelles. </w:t>
      </w:r>
    </w:p>
    <w:p w14:paraId="4A027EC5" w14:textId="77777777" w:rsidR="0047073A" w:rsidRPr="001C1DD2" w:rsidRDefault="0047073A" w:rsidP="0047073A">
      <w:pPr>
        <w:jc w:val="both"/>
        <w:rPr>
          <w:rFonts w:asciiTheme="minorHAnsi" w:hAnsiTheme="minorHAnsi" w:cstheme="minorHAnsi"/>
        </w:rPr>
      </w:pPr>
    </w:p>
    <w:p w14:paraId="5CC62567" w14:textId="77777777" w:rsidR="0047073A" w:rsidRPr="001C1DD2" w:rsidRDefault="0047073A" w:rsidP="0047073A">
      <w:pPr>
        <w:jc w:val="both"/>
        <w:rPr>
          <w:rFonts w:asciiTheme="minorHAnsi" w:hAnsiTheme="minorHAnsi" w:cstheme="minorHAnsi"/>
        </w:rPr>
      </w:pPr>
      <w:r w:rsidRPr="001C1DD2">
        <w:rPr>
          <w:rFonts w:asciiTheme="minorHAnsi" w:hAnsiTheme="minorHAnsi" w:cstheme="minorHAnsi"/>
        </w:rPr>
        <w:t>Aussi, assiste-t-on à :</w:t>
      </w:r>
    </w:p>
    <w:p w14:paraId="3895D874" w14:textId="77777777" w:rsidR="0047073A" w:rsidRPr="001C1DD2" w:rsidRDefault="0047073A" w:rsidP="0047073A">
      <w:pPr>
        <w:jc w:val="both"/>
        <w:rPr>
          <w:rFonts w:asciiTheme="minorHAnsi" w:hAnsiTheme="minorHAnsi" w:cstheme="minorHAnsi"/>
        </w:rPr>
      </w:pPr>
    </w:p>
    <w:p w14:paraId="679DB387" w14:textId="77777777" w:rsidR="0047073A" w:rsidRPr="001C1DD2" w:rsidRDefault="0047073A" w:rsidP="00C34A61">
      <w:pPr>
        <w:pStyle w:val="Paragraphedeliste"/>
        <w:numPr>
          <w:ilvl w:val="0"/>
          <w:numId w:val="28"/>
        </w:numPr>
        <w:spacing w:after="160" w:line="259" w:lineRule="auto"/>
        <w:jc w:val="both"/>
        <w:rPr>
          <w:rFonts w:asciiTheme="minorHAnsi" w:hAnsiTheme="minorHAnsi" w:cstheme="minorHAnsi"/>
        </w:rPr>
      </w:pPr>
      <w:r w:rsidRPr="001C1DD2">
        <w:rPr>
          <w:rFonts w:asciiTheme="minorHAnsi" w:hAnsiTheme="minorHAnsi" w:cstheme="minorHAnsi"/>
          <w:i/>
        </w:rPr>
        <w:t>Une décentralisation avancée</w:t>
      </w:r>
      <w:r w:rsidRPr="001C1DD2">
        <w:rPr>
          <w:rFonts w:asciiTheme="minorHAnsi" w:hAnsiTheme="minorHAnsi" w:cstheme="minorHAnsi"/>
        </w:rPr>
        <w:t xml:space="preserve"> </w:t>
      </w:r>
      <w:r w:rsidRPr="001C1DD2">
        <w:rPr>
          <w:rFonts w:asciiTheme="minorHAnsi" w:hAnsiTheme="minorHAnsi" w:cstheme="minorHAnsi"/>
          <w:i/>
        </w:rPr>
        <w:t>mais insuffisante pour réduire la barrière géographique</w:t>
      </w:r>
      <w:r w:rsidRPr="001C1DD2">
        <w:rPr>
          <w:rFonts w:asciiTheme="minorHAnsi" w:hAnsiTheme="minorHAnsi" w:cstheme="minorHAnsi"/>
        </w:rPr>
        <w:t xml:space="preserve"> à l’accès aux services de santé : 71/% (27sur 38 des districts) ont une accessibilité géographique inférieure à 50%</w:t>
      </w:r>
    </w:p>
    <w:p w14:paraId="27FD36A2" w14:textId="77777777" w:rsidR="0047073A" w:rsidRPr="001C1DD2" w:rsidRDefault="0047073A" w:rsidP="00C34A61">
      <w:pPr>
        <w:pStyle w:val="Paragraphedeliste"/>
        <w:numPr>
          <w:ilvl w:val="0"/>
          <w:numId w:val="28"/>
        </w:numPr>
        <w:spacing w:after="160" w:line="259" w:lineRule="auto"/>
        <w:jc w:val="both"/>
        <w:rPr>
          <w:rFonts w:asciiTheme="minorHAnsi" w:hAnsiTheme="minorHAnsi" w:cstheme="minorHAnsi"/>
        </w:rPr>
      </w:pPr>
      <w:r w:rsidRPr="001C1DD2">
        <w:rPr>
          <w:rFonts w:asciiTheme="minorHAnsi" w:hAnsiTheme="minorHAnsi" w:cstheme="minorHAnsi"/>
          <w:i/>
        </w:rPr>
        <w:t>Une densification des plateformes de santé</w:t>
      </w:r>
      <w:r w:rsidRPr="001C1DD2">
        <w:rPr>
          <w:rFonts w:asciiTheme="minorHAnsi" w:hAnsiTheme="minorHAnsi" w:cstheme="minorHAnsi"/>
        </w:rPr>
        <w:t xml:space="preserve"> </w:t>
      </w:r>
      <w:r w:rsidRPr="001C1DD2">
        <w:rPr>
          <w:rFonts w:asciiTheme="minorHAnsi" w:hAnsiTheme="minorHAnsi" w:cstheme="minorHAnsi"/>
          <w:i/>
        </w:rPr>
        <w:t>mais insuffisance pour garantir une fonctionnalité totale des entités</w:t>
      </w:r>
      <w:r w:rsidRPr="001C1DD2">
        <w:rPr>
          <w:rFonts w:asciiTheme="minorHAnsi" w:hAnsiTheme="minorHAnsi" w:cstheme="minorHAnsi"/>
        </w:rPr>
        <w:t>. Ainsi, le niveau de fonctionnalité des districts sanitaires est de 51, 6% au niveau national. 26,3% (10 sur 38) des districts sanitaires ont un niveau de fonctionnalité inférieure à 50% (</w:t>
      </w:r>
      <w:proofErr w:type="spellStart"/>
      <w:r w:rsidRPr="001C1DD2">
        <w:rPr>
          <w:rFonts w:asciiTheme="minorHAnsi" w:hAnsiTheme="minorHAnsi" w:cstheme="minorHAnsi"/>
        </w:rPr>
        <w:t>Télimélé</w:t>
      </w:r>
      <w:proofErr w:type="spellEnd"/>
      <w:r w:rsidRPr="001C1DD2">
        <w:rPr>
          <w:rFonts w:asciiTheme="minorHAnsi" w:hAnsiTheme="minorHAnsi" w:cstheme="minorHAnsi"/>
        </w:rPr>
        <w:t xml:space="preserve">, </w:t>
      </w:r>
      <w:proofErr w:type="spellStart"/>
      <w:r w:rsidRPr="001C1DD2">
        <w:rPr>
          <w:rFonts w:asciiTheme="minorHAnsi" w:hAnsiTheme="minorHAnsi" w:cstheme="minorHAnsi"/>
        </w:rPr>
        <w:t>Dubréka</w:t>
      </w:r>
      <w:proofErr w:type="spellEnd"/>
      <w:r w:rsidRPr="001C1DD2">
        <w:rPr>
          <w:rFonts w:asciiTheme="minorHAnsi" w:hAnsiTheme="minorHAnsi" w:cstheme="minorHAnsi"/>
        </w:rPr>
        <w:t xml:space="preserve">, Kindia, Lola, Boffa, Koundara, Forécariah, Macenta, Dixinn, Pita). 26,3% (10 sur 38) des antennes chirurgicales ont un niveau de fonctionnalité inférieure à 50% (Kaloum, Dixinn, </w:t>
      </w:r>
      <w:proofErr w:type="spellStart"/>
      <w:r w:rsidRPr="001C1DD2">
        <w:rPr>
          <w:rFonts w:asciiTheme="minorHAnsi" w:hAnsiTheme="minorHAnsi" w:cstheme="minorHAnsi"/>
        </w:rPr>
        <w:t>Matoto</w:t>
      </w:r>
      <w:proofErr w:type="spellEnd"/>
      <w:r w:rsidRPr="001C1DD2">
        <w:rPr>
          <w:rFonts w:asciiTheme="minorHAnsi" w:hAnsiTheme="minorHAnsi" w:cstheme="minorHAnsi"/>
        </w:rPr>
        <w:t xml:space="preserve">, Ratoma, Matam, Boffa, </w:t>
      </w:r>
      <w:proofErr w:type="spellStart"/>
      <w:r w:rsidRPr="001C1DD2">
        <w:rPr>
          <w:rFonts w:asciiTheme="minorHAnsi" w:hAnsiTheme="minorHAnsi" w:cstheme="minorHAnsi"/>
        </w:rPr>
        <w:t>Coyah</w:t>
      </w:r>
      <w:proofErr w:type="spellEnd"/>
      <w:r w:rsidRPr="001C1DD2">
        <w:rPr>
          <w:rFonts w:asciiTheme="minorHAnsi" w:hAnsiTheme="minorHAnsi" w:cstheme="minorHAnsi"/>
        </w:rPr>
        <w:t xml:space="preserve">, Kouroussa, Kérouané, </w:t>
      </w:r>
      <w:proofErr w:type="spellStart"/>
      <w:r w:rsidRPr="001C1DD2">
        <w:rPr>
          <w:rFonts w:asciiTheme="minorHAnsi" w:hAnsiTheme="minorHAnsi" w:cstheme="minorHAnsi"/>
        </w:rPr>
        <w:t>Mandiana</w:t>
      </w:r>
      <w:proofErr w:type="spellEnd"/>
      <w:r w:rsidRPr="001C1DD2">
        <w:rPr>
          <w:rFonts w:asciiTheme="minorHAnsi" w:hAnsiTheme="minorHAnsi" w:cstheme="minorHAnsi"/>
        </w:rPr>
        <w:t>)</w:t>
      </w:r>
    </w:p>
    <w:p w14:paraId="3825B09B" w14:textId="0FB33306" w:rsidR="0047073A" w:rsidRDefault="0047073A" w:rsidP="00C34A61">
      <w:pPr>
        <w:pStyle w:val="Paragraphedeliste"/>
        <w:numPr>
          <w:ilvl w:val="0"/>
          <w:numId w:val="28"/>
        </w:numPr>
        <w:spacing w:after="160" w:line="259" w:lineRule="auto"/>
        <w:jc w:val="both"/>
        <w:rPr>
          <w:rFonts w:asciiTheme="minorHAnsi" w:hAnsiTheme="minorHAnsi" w:cstheme="minorHAnsi"/>
        </w:rPr>
      </w:pPr>
      <w:r w:rsidRPr="001C1DD2">
        <w:rPr>
          <w:rFonts w:asciiTheme="minorHAnsi" w:hAnsiTheme="minorHAnsi" w:cstheme="minorHAnsi"/>
          <w:i/>
        </w:rPr>
        <w:t>Un système d’information sanitaire en cours de modernisation</w:t>
      </w:r>
      <w:r w:rsidRPr="001C1DD2">
        <w:rPr>
          <w:rFonts w:asciiTheme="minorHAnsi" w:hAnsiTheme="minorHAnsi" w:cstheme="minorHAnsi"/>
        </w:rPr>
        <w:t xml:space="preserve"> en s’appuyant sur les TIC à travers le DHIS2, ce qui offre une opportunité de prendre en compte de nouveaux indicateurs notamment ceux liés à la santé communautaire</w:t>
      </w:r>
    </w:p>
    <w:p w14:paraId="68B939E7" w14:textId="320E5A8C" w:rsidR="007C4CAF" w:rsidRPr="001C1DD2" w:rsidRDefault="007C4CAF" w:rsidP="00C34A61">
      <w:pPr>
        <w:pStyle w:val="Paragraphedeliste"/>
        <w:numPr>
          <w:ilvl w:val="0"/>
          <w:numId w:val="28"/>
        </w:numPr>
        <w:spacing w:after="160" w:line="259" w:lineRule="auto"/>
        <w:jc w:val="both"/>
        <w:rPr>
          <w:rFonts w:asciiTheme="minorHAnsi" w:hAnsiTheme="minorHAnsi" w:cstheme="minorHAnsi"/>
        </w:rPr>
      </w:pPr>
      <w:r>
        <w:rPr>
          <w:rFonts w:asciiTheme="minorHAnsi" w:hAnsiTheme="minorHAnsi" w:cstheme="minorHAnsi"/>
          <w:i/>
        </w:rPr>
        <w:t xml:space="preserve">Un système d’approvisionnement et de distribution des produits </w:t>
      </w:r>
      <w:r>
        <w:rPr>
          <w:rFonts w:asciiTheme="minorHAnsi" w:hAnsiTheme="minorHAnsi" w:cstheme="minorHAnsi"/>
        </w:rPr>
        <w:t>présentant des insuffisances structurelles et fonctionnelles, avec cependant une mise en place progressive d’un système informatisé de gestion logistique (SIGL) et une plus grande attention de la part de l’</w:t>
      </w:r>
      <w:r w:rsidR="00391649">
        <w:rPr>
          <w:rFonts w:asciiTheme="minorHAnsi" w:hAnsiTheme="minorHAnsi" w:cstheme="minorHAnsi"/>
        </w:rPr>
        <w:t>État et des partenaires</w:t>
      </w:r>
    </w:p>
    <w:p w14:paraId="18F4F64A" w14:textId="5C80121B" w:rsidR="0047073A" w:rsidRPr="00F377FE" w:rsidRDefault="0047073A" w:rsidP="00C34A61">
      <w:pPr>
        <w:pStyle w:val="Paragraphedeliste"/>
        <w:numPr>
          <w:ilvl w:val="0"/>
          <w:numId w:val="28"/>
        </w:numPr>
        <w:spacing w:after="160" w:line="259" w:lineRule="auto"/>
        <w:jc w:val="both"/>
        <w:rPr>
          <w:rFonts w:cstheme="minorHAnsi"/>
          <w:szCs w:val="20"/>
        </w:rPr>
      </w:pPr>
      <w:r w:rsidRPr="001C1DD2">
        <w:rPr>
          <w:rFonts w:asciiTheme="minorHAnsi" w:hAnsiTheme="minorHAnsi" w:cstheme="minorHAnsi"/>
          <w:i/>
        </w:rPr>
        <w:t>Des ressources humaines qui se densifient mais restent globalement insuffisantes et inégalement réparties</w:t>
      </w:r>
      <w:r w:rsidRPr="001C1DD2">
        <w:rPr>
          <w:rFonts w:asciiTheme="minorHAnsi" w:hAnsiTheme="minorHAnsi" w:cstheme="minorHAnsi"/>
        </w:rPr>
        <w:t xml:space="preserve"> sur l’ensemble du territoire. En effet, l’effectif des agents de santé s’élève à 11.527 personnes, dont 51 % de femmes et 49% d’hommes. Ce personnel, inégalement réparti sur le territoire national avec 55,2 % à Conakry, souffre d’un vieillissement alarmant avec plus de la moitié (65%)</w:t>
      </w:r>
      <w:r w:rsidR="00194B6A" w:rsidRPr="001C1DD2">
        <w:rPr>
          <w:rFonts w:asciiTheme="minorHAnsi" w:hAnsiTheme="minorHAnsi" w:cstheme="minorHAnsi"/>
        </w:rPr>
        <w:t xml:space="preserve"> </w:t>
      </w:r>
      <w:r w:rsidRPr="001C1DD2">
        <w:rPr>
          <w:rFonts w:asciiTheme="minorHAnsi" w:hAnsiTheme="minorHAnsi" w:cstheme="minorHAnsi"/>
        </w:rPr>
        <w:t>âgé au moins de 45 ans, posant un problème de renouvellement. Notons que 3600 personnels de la santé ont été recrutés au cours de l’année 2016.</w:t>
      </w:r>
    </w:p>
    <w:p w14:paraId="08992F68" w14:textId="2F943B7B" w:rsidR="0047073A" w:rsidRPr="001C1DD2" w:rsidRDefault="001C1DD2" w:rsidP="00240456">
      <w:pPr>
        <w:pStyle w:val="tab"/>
      </w:pPr>
      <w:r w:rsidRPr="001C1DD2">
        <w:t xml:space="preserve">  </w:t>
      </w:r>
      <w:r>
        <w:tab/>
      </w:r>
      <w:bookmarkStart w:id="35" w:name="_Toc521064260"/>
      <w:r w:rsidR="00891515" w:rsidRPr="00240456">
        <w:rPr>
          <w:b/>
          <w:u w:val="single"/>
        </w:rPr>
        <w:t>Tableau 4</w:t>
      </w:r>
      <w:r w:rsidR="0047073A" w:rsidRPr="001C1DD2">
        <w:t xml:space="preserve"> : Situation des ressources humaines de la santé en 2014</w:t>
      </w:r>
      <w:bookmarkEnd w:id="35"/>
    </w:p>
    <w:p w14:paraId="77BC56EF" w14:textId="77777777" w:rsidR="0047073A" w:rsidRDefault="0047073A" w:rsidP="0047073A">
      <w:pPr>
        <w:ind w:left="1416"/>
      </w:pPr>
    </w:p>
    <w:tbl>
      <w:tblPr>
        <w:tblStyle w:val="Grilledutableau"/>
        <w:tblW w:w="0" w:type="auto"/>
        <w:jc w:val="right"/>
        <w:tblLook w:val="04A0" w:firstRow="1" w:lastRow="0" w:firstColumn="1" w:lastColumn="0" w:noHBand="0" w:noVBand="1"/>
      </w:tblPr>
      <w:tblGrid>
        <w:gridCol w:w="2405"/>
        <w:gridCol w:w="778"/>
        <w:gridCol w:w="1053"/>
        <w:gridCol w:w="4690"/>
      </w:tblGrid>
      <w:tr w:rsidR="0047073A" w:rsidRPr="00CC59D6" w14:paraId="704F57B1" w14:textId="77777777" w:rsidTr="00A73D26">
        <w:trPr>
          <w:jc w:val="right"/>
        </w:trPr>
        <w:tc>
          <w:tcPr>
            <w:tcW w:w="2405" w:type="dxa"/>
            <w:tcBorders>
              <w:top w:val="single" w:sz="4" w:space="0" w:color="auto"/>
            </w:tcBorders>
            <w:shd w:val="clear" w:color="auto" w:fill="FFC000"/>
          </w:tcPr>
          <w:p w14:paraId="0F600AD5"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Catégories de personnel</w:t>
            </w:r>
          </w:p>
        </w:tc>
        <w:tc>
          <w:tcPr>
            <w:tcW w:w="778" w:type="dxa"/>
            <w:shd w:val="clear" w:color="auto" w:fill="FFC000"/>
          </w:tcPr>
          <w:p w14:paraId="728C5887"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 xml:space="preserve">Année </w:t>
            </w:r>
          </w:p>
        </w:tc>
        <w:tc>
          <w:tcPr>
            <w:tcW w:w="1053" w:type="dxa"/>
            <w:shd w:val="clear" w:color="auto" w:fill="FFC000"/>
          </w:tcPr>
          <w:p w14:paraId="0D2D3A5E"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 xml:space="preserve">Valeur </w:t>
            </w:r>
          </w:p>
        </w:tc>
        <w:tc>
          <w:tcPr>
            <w:tcW w:w="4690" w:type="dxa"/>
            <w:shd w:val="clear" w:color="auto" w:fill="FFC000"/>
          </w:tcPr>
          <w:p w14:paraId="1B24DD6D"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 xml:space="preserve">Sources et commentaires </w:t>
            </w:r>
          </w:p>
        </w:tc>
      </w:tr>
      <w:tr w:rsidR="0047073A" w:rsidRPr="00CC59D6" w14:paraId="7E878C9F" w14:textId="77777777" w:rsidTr="00A73D26">
        <w:trPr>
          <w:jc w:val="right"/>
        </w:trPr>
        <w:tc>
          <w:tcPr>
            <w:tcW w:w="2405" w:type="dxa"/>
            <w:tcBorders>
              <w:top w:val="single" w:sz="4" w:space="0" w:color="auto"/>
            </w:tcBorders>
          </w:tcPr>
          <w:p w14:paraId="2EE40AE0"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 xml:space="preserve">ATS </w:t>
            </w:r>
          </w:p>
        </w:tc>
        <w:tc>
          <w:tcPr>
            <w:tcW w:w="778" w:type="dxa"/>
          </w:tcPr>
          <w:p w14:paraId="7D820AAA"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2014</w:t>
            </w:r>
          </w:p>
        </w:tc>
        <w:tc>
          <w:tcPr>
            <w:tcW w:w="1053" w:type="dxa"/>
          </w:tcPr>
          <w:p w14:paraId="00E00D0E"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4/10000</w:t>
            </w:r>
          </w:p>
        </w:tc>
        <w:tc>
          <w:tcPr>
            <w:tcW w:w="4690" w:type="dxa"/>
            <w:vMerge w:val="restart"/>
          </w:tcPr>
          <w:p w14:paraId="2E6177C7"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Rapport du recensement biométrique des RHS des secteurs public et privé de 2014</w:t>
            </w:r>
            <w:r>
              <w:rPr>
                <w:rFonts w:asciiTheme="minorHAnsi" w:hAnsiTheme="minorHAnsi" w:cstheme="minorHAnsi"/>
                <w:sz w:val="20"/>
                <w:szCs w:val="20"/>
              </w:rPr>
              <w:t xml:space="preserve"> a dénombré 11 527</w:t>
            </w:r>
          </w:p>
          <w:p w14:paraId="6C3CCEC7" w14:textId="77777777" w:rsidR="0047073A" w:rsidRPr="00CC59D6" w:rsidRDefault="0047073A" w:rsidP="00C34A61">
            <w:pPr>
              <w:pStyle w:val="Paragraphedeliste"/>
              <w:numPr>
                <w:ilvl w:val="0"/>
                <w:numId w:val="29"/>
              </w:numPr>
              <w:spacing w:after="160" w:line="259" w:lineRule="auto"/>
              <w:jc w:val="both"/>
              <w:rPr>
                <w:rFonts w:cstheme="minorHAnsi"/>
                <w:sz w:val="20"/>
                <w:szCs w:val="20"/>
              </w:rPr>
            </w:pPr>
            <w:r w:rsidRPr="00CC59D6">
              <w:rPr>
                <w:rFonts w:cstheme="minorHAnsi"/>
                <w:sz w:val="20"/>
                <w:szCs w:val="20"/>
              </w:rPr>
              <w:t>ATS = 4265</w:t>
            </w:r>
            <w:r>
              <w:rPr>
                <w:rFonts w:cstheme="minorHAnsi"/>
                <w:sz w:val="20"/>
                <w:szCs w:val="20"/>
              </w:rPr>
              <w:t xml:space="preserve"> (37%)</w:t>
            </w:r>
          </w:p>
          <w:p w14:paraId="73D5AA8E" w14:textId="77777777" w:rsidR="0047073A" w:rsidRPr="00CC59D6" w:rsidRDefault="0047073A" w:rsidP="00C34A61">
            <w:pPr>
              <w:pStyle w:val="Paragraphedeliste"/>
              <w:numPr>
                <w:ilvl w:val="0"/>
                <w:numId w:val="29"/>
              </w:numPr>
              <w:spacing w:after="160" w:line="259" w:lineRule="auto"/>
              <w:jc w:val="both"/>
              <w:rPr>
                <w:rFonts w:cstheme="minorHAnsi"/>
                <w:sz w:val="20"/>
                <w:szCs w:val="20"/>
              </w:rPr>
            </w:pPr>
            <w:r w:rsidRPr="00CC59D6">
              <w:rPr>
                <w:rFonts w:cstheme="minorHAnsi"/>
                <w:sz w:val="20"/>
                <w:szCs w:val="20"/>
              </w:rPr>
              <w:t>Infirmiers d’État= 1499</w:t>
            </w:r>
            <w:r>
              <w:rPr>
                <w:rFonts w:cstheme="minorHAnsi"/>
                <w:sz w:val="20"/>
                <w:szCs w:val="20"/>
              </w:rPr>
              <w:t xml:space="preserve"> (13%)</w:t>
            </w:r>
          </w:p>
          <w:p w14:paraId="66FCEE5D" w14:textId="77777777" w:rsidR="0047073A" w:rsidRPr="00CC59D6" w:rsidRDefault="0047073A" w:rsidP="00C34A61">
            <w:pPr>
              <w:pStyle w:val="Paragraphedeliste"/>
              <w:numPr>
                <w:ilvl w:val="0"/>
                <w:numId w:val="29"/>
              </w:numPr>
              <w:spacing w:after="160" w:line="259" w:lineRule="auto"/>
              <w:jc w:val="both"/>
              <w:rPr>
                <w:rFonts w:cstheme="minorHAnsi"/>
                <w:sz w:val="20"/>
                <w:szCs w:val="20"/>
              </w:rPr>
            </w:pPr>
            <w:r w:rsidRPr="00CC59D6">
              <w:rPr>
                <w:rFonts w:cstheme="minorHAnsi"/>
                <w:sz w:val="20"/>
                <w:szCs w:val="20"/>
              </w:rPr>
              <w:t>Sages-femmes = 461</w:t>
            </w:r>
            <w:r>
              <w:rPr>
                <w:rFonts w:cstheme="minorHAnsi"/>
                <w:sz w:val="20"/>
                <w:szCs w:val="20"/>
              </w:rPr>
              <w:t xml:space="preserve"> (4%)</w:t>
            </w:r>
          </w:p>
          <w:p w14:paraId="10514B77" w14:textId="77777777" w:rsidR="0047073A" w:rsidRPr="00CC59D6" w:rsidRDefault="0047073A" w:rsidP="00C34A61">
            <w:pPr>
              <w:pStyle w:val="Paragraphedeliste"/>
              <w:numPr>
                <w:ilvl w:val="0"/>
                <w:numId w:val="29"/>
              </w:numPr>
              <w:spacing w:after="160" w:line="259" w:lineRule="auto"/>
              <w:jc w:val="both"/>
              <w:rPr>
                <w:rFonts w:cstheme="minorHAnsi"/>
                <w:sz w:val="20"/>
                <w:szCs w:val="20"/>
              </w:rPr>
            </w:pPr>
            <w:r w:rsidRPr="00CC59D6">
              <w:rPr>
                <w:rFonts w:cstheme="minorHAnsi"/>
                <w:sz w:val="20"/>
                <w:szCs w:val="20"/>
              </w:rPr>
              <w:t>Techniciens de laboratoire=173</w:t>
            </w:r>
            <w:r>
              <w:rPr>
                <w:rFonts w:cstheme="minorHAnsi"/>
                <w:sz w:val="20"/>
                <w:szCs w:val="20"/>
              </w:rPr>
              <w:t xml:space="preserve"> (1,5%)</w:t>
            </w:r>
          </w:p>
          <w:p w14:paraId="19C8DA5E" w14:textId="77777777" w:rsidR="0047073A" w:rsidRPr="00CC59D6" w:rsidRDefault="0047073A" w:rsidP="00C34A61">
            <w:pPr>
              <w:pStyle w:val="Paragraphedeliste"/>
              <w:numPr>
                <w:ilvl w:val="0"/>
                <w:numId w:val="29"/>
              </w:numPr>
              <w:spacing w:after="160" w:line="259" w:lineRule="auto"/>
              <w:jc w:val="both"/>
              <w:rPr>
                <w:rFonts w:cstheme="minorHAnsi"/>
                <w:sz w:val="20"/>
                <w:szCs w:val="20"/>
              </w:rPr>
            </w:pPr>
            <w:r w:rsidRPr="00CC59D6">
              <w:rPr>
                <w:rFonts w:cstheme="minorHAnsi"/>
                <w:sz w:val="20"/>
                <w:szCs w:val="20"/>
              </w:rPr>
              <w:t>Médecins généralistes= 1384</w:t>
            </w:r>
            <w:r>
              <w:rPr>
                <w:rFonts w:cstheme="minorHAnsi"/>
                <w:sz w:val="20"/>
                <w:szCs w:val="20"/>
              </w:rPr>
              <w:t xml:space="preserve"> (12%)</w:t>
            </w:r>
          </w:p>
          <w:p w14:paraId="496DFC39" w14:textId="77777777" w:rsidR="0047073A" w:rsidRPr="00CC59D6" w:rsidRDefault="0047073A" w:rsidP="00C34A61">
            <w:pPr>
              <w:pStyle w:val="Paragraphedeliste"/>
              <w:numPr>
                <w:ilvl w:val="0"/>
                <w:numId w:val="29"/>
              </w:numPr>
              <w:spacing w:after="160" w:line="259" w:lineRule="auto"/>
              <w:jc w:val="both"/>
              <w:rPr>
                <w:rFonts w:cstheme="minorHAnsi"/>
                <w:sz w:val="20"/>
                <w:szCs w:val="20"/>
              </w:rPr>
            </w:pPr>
            <w:r w:rsidRPr="00CC59D6">
              <w:rPr>
                <w:rFonts w:cstheme="minorHAnsi"/>
                <w:sz w:val="20"/>
                <w:szCs w:val="20"/>
              </w:rPr>
              <w:t>Médecins spécialistes= 460</w:t>
            </w:r>
            <w:r>
              <w:rPr>
                <w:rFonts w:cstheme="minorHAnsi"/>
                <w:sz w:val="20"/>
                <w:szCs w:val="20"/>
              </w:rPr>
              <w:t xml:space="preserve"> (4%)</w:t>
            </w:r>
          </w:p>
          <w:p w14:paraId="1B71F9C4" w14:textId="77777777" w:rsidR="0047073A" w:rsidRPr="00CC59D6" w:rsidRDefault="0047073A" w:rsidP="00C34A61">
            <w:pPr>
              <w:pStyle w:val="Paragraphedeliste"/>
              <w:numPr>
                <w:ilvl w:val="0"/>
                <w:numId w:val="29"/>
              </w:numPr>
              <w:spacing w:after="160" w:line="259" w:lineRule="auto"/>
              <w:jc w:val="both"/>
              <w:rPr>
                <w:rFonts w:cstheme="minorHAnsi"/>
                <w:sz w:val="20"/>
                <w:szCs w:val="20"/>
              </w:rPr>
            </w:pPr>
            <w:r w:rsidRPr="00CC59D6">
              <w:rPr>
                <w:rFonts w:cstheme="minorHAnsi"/>
                <w:sz w:val="20"/>
                <w:szCs w:val="20"/>
              </w:rPr>
              <w:t>Autres personnels = 3286</w:t>
            </w:r>
            <w:r>
              <w:rPr>
                <w:rFonts w:cstheme="minorHAnsi"/>
                <w:sz w:val="20"/>
                <w:szCs w:val="20"/>
              </w:rPr>
              <w:t xml:space="preserve"> (28,5%)</w:t>
            </w:r>
          </w:p>
        </w:tc>
      </w:tr>
      <w:tr w:rsidR="0047073A" w:rsidRPr="00CC59D6" w14:paraId="191998EB" w14:textId="77777777" w:rsidTr="00A73D26">
        <w:trPr>
          <w:jc w:val="right"/>
        </w:trPr>
        <w:tc>
          <w:tcPr>
            <w:tcW w:w="2405" w:type="dxa"/>
          </w:tcPr>
          <w:p w14:paraId="312AA759"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 xml:space="preserve">Sages- femmes </w:t>
            </w:r>
          </w:p>
        </w:tc>
        <w:tc>
          <w:tcPr>
            <w:tcW w:w="778" w:type="dxa"/>
          </w:tcPr>
          <w:p w14:paraId="4C62D746" w14:textId="77777777" w:rsidR="0047073A" w:rsidRPr="00CC59D6" w:rsidRDefault="0047073A" w:rsidP="00A73D26">
            <w:pPr>
              <w:rPr>
                <w:sz w:val="20"/>
                <w:szCs w:val="20"/>
              </w:rPr>
            </w:pPr>
            <w:r w:rsidRPr="00CC59D6">
              <w:rPr>
                <w:rFonts w:asciiTheme="minorHAnsi" w:hAnsiTheme="minorHAnsi" w:cstheme="minorHAnsi"/>
                <w:sz w:val="20"/>
                <w:szCs w:val="20"/>
              </w:rPr>
              <w:t>2014</w:t>
            </w:r>
          </w:p>
        </w:tc>
        <w:tc>
          <w:tcPr>
            <w:tcW w:w="1053" w:type="dxa"/>
          </w:tcPr>
          <w:p w14:paraId="06E97F63"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1,4/10000</w:t>
            </w:r>
          </w:p>
        </w:tc>
        <w:tc>
          <w:tcPr>
            <w:tcW w:w="4690" w:type="dxa"/>
            <w:vMerge/>
          </w:tcPr>
          <w:p w14:paraId="46C89C1B" w14:textId="77777777" w:rsidR="0047073A" w:rsidRPr="00CC59D6" w:rsidRDefault="0047073A" w:rsidP="00A73D26">
            <w:pPr>
              <w:jc w:val="both"/>
              <w:rPr>
                <w:rFonts w:asciiTheme="minorHAnsi" w:hAnsiTheme="minorHAnsi" w:cstheme="minorHAnsi"/>
                <w:sz w:val="20"/>
                <w:szCs w:val="20"/>
              </w:rPr>
            </w:pPr>
          </w:p>
        </w:tc>
      </w:tr>
      <w:tr w:rsidR="0047073A" w:rsidRPr="00CC59D6" w14:paraId="74910D9B" w14:textId="77777777" w:rsidTr="00A73D26">
        <w:trPr>
          <w:jc w:val="right"/>
        </w:trPr>
        <w:tc>
          <w:tcPr>
            <w:tcW w:w="2405" w:type="dxa"/>
          </w:tcPr>
          <w:p w14:paraId="060C3270"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Infirmiers d’État</w:t>
            </w:r>
          </w:p>
        </w:tc>
        <w:tc>
          <w:tcPr>
            <w:tcW w:w="778" w:type="dxa"/>
          </w:tcPr>
          <w:p w14:paraId="1CF7959B" w14:textId="77777777" w:rsidR="0047073A" w:rsidRPr="00CC59D6" w:rsidRDefault="0047073A" w:rsidP="00A73D26">
            <w:pPr>
              <w:rPr>
                <w:rFonts w:asciiTheme="minorHAnsi" w:hAnsiTheme="minorHAnsi" w:cstheme="minorHAnsi"/>
                <w:sz w:val="20"/>
                <w:szCs w:val="20"/>
              </w:rPr>
            </w:pPr>
            <w:r w:rsidRPr="00CC59D6">
              <w:rPr>
                <w:rFonts w:asciiTheme="minorHAnsi" w:hAnsiTheme="minorHAnsi" w:cstheme="minorHAnsi"/>
                <w:sz w:val="20"/>
                <w:szCs w:val="20"/>
              </w:rPr>
              <w:t>2014</w:t>
            </w:r>
          </w:p>
        </w:tc>
        <w:tc>
          <w:tcPr>
            <w:tcW w:w="1053" w:type="dxa"/>
          </w:tcPr>
          <w:p w14:paraId="61332782"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1,4/10000</w:t>
            </w:r>
          </w:p>
        </w:tc>
        <w:tc>
          <w:tcPr>
            <w:tcW w:w="4690" w:type="dxa"/>
            <w:vMerge/>
          </w:tcPr>
          <w:p w14:paraId="027F9C05" w14:textId="77777777" w:rsidR="0047073A" w:rsidRPr="00CC59D6" w:rsidRDefault="0047073A" w:rsidP="00A73D26">
            <w:pPr>
              <w:jc w:val="both"/>
              <w:rPr>
                <w:rFonts w:asciiTheme="minorHAnsi" w:hAnsiTheme="minorHAnsi" w:cstheme="minorHAnsi"/>
                <w:sz w:val="20"/>
                <w:szCs w:val="20"/>
              </w:rPr>
            </w:pPr>
          </w:p>
        </w:tc>
      </w:tr>
      <w:tr w:rsidR="0047073A" w:rsidRPr="00CC59D6" w14:paraId="527C3BDC" w14:textId="77777777" w:rsidTr="00A73D26">
        <w:trPr>
          <w:jc w:val="right"/>
        </w:trPr>
        <w:tc>
          <w:tcPr>
            <w:tcW w:w="2405" w:type="dxa"/>
          </w:tcPr>
          <w:p w14:paraId="7BC3F070"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Techniciens de laboratoire</w:t>
            </w:r>
          </w:p>
        </w:tc>
        <w:tc>
          <w:tcPr>
            <w:tcW w:w="778" w:type="dxa"/>
          </w:tcPr>
          <w:p w14:paraId="26EBF6A5" w14:textId="77777777" w:rsidR="0047073A" w:rsidRPr="00CC59D6" w:rsidRDefault="0047073A" w:rsidP="00A73D26">
            <w:pPr>
              <w:rPr>
                <w:sz w:val="20"/>
                <w:szCs w:val="20"/>
              </w:rPr>
            </w:pPr>
            <w:r w:rsidRPr="00CC59D6">
              <w:rPr>
                <w:rFonts w:asciiTheme="minorHAnsi" w:hAnsiTheme="minorHAnsi" w:cstheme="minorHAnsi"/>
                <w:sz w:val="20"/>
                <w:szCs w:val="20"/>
              </w:rPr>
              <w:t>2014</w:t>
            </w:r>
          </w:p>
        </w:tc>
        <w:tc>
          <w:tcPr>
            <w:tcW w:w="1053" w:type="dxa"/>
          </w:tcPr>
          <w:p w14:paraId="4561D874"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0,5/10000</w:t>
            </w:r>
          </w:p>
        </w:tc>
        <w:tc>
          <w:tcPr>
            <w:tcW w:w="4690" w:type="dxa"/>
            <w:vMerge/>
          </w:tcPr>
          <w:p w14:paraId="55B9C30A" w14:textId="77777777" w:rsidR="0047073A" w:rsidRPr="00CC59D6" w:rsidRDefault="0047073A" w:rsidP="00A73D26">
            <w:pPr>
              <w:jc w:val="both"/>
              <w:rPr>
                <w:rFonts w:asciiTheme="minorHAnsi" w:hAnsiTheme="minorHAnsi" w:cstheme="minorHAnsi"/>
                <w:sz w:val="20"/>
                <w:szCs w:val="20"/>
              </w:rPr>
            </w:pPr>
          </w:p>
        </w:tc>
      </w:tr>
      <w:tr w:rsidR="0047073A" w:rsidRPr="00CC59D6" w14:paraId="1955E31A" w14:textId="77777777" w:rsidTr="00A73D26">
        <w:trPr>
          <w:jc w:val="right"/>
        </w:trPr>
        <w:tc>
          <w:tcPr>
            <w:tcW w:w="2405" w:type="dxa"/>
          </w:tcPr>
          <w:p w14:paraId="03114FFA"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Médecins généralistes</w:t>
            </w:r>
          </w:p>
        </w:tc>
        <w:tc>
          <w:tcPr>
            <w:tcW w:w="778" w:type="dxa"/>
          </w:tcPr>
          <w:p w14:paraId="4A35D042" w14:textId="77777777" w:rsidR="0047073A" w:rsidRPr="00CC59D6" w:rsidRDefault="0047073A" w:rsidP="00A73D26">
            <w:pPr>
              <w:rPr>
                <w:rFonts w:asciiTheme="minorHAnsi" w:hAnsiTheme="minorHAnsi" w:cstheme="minorHAnsi"/>
                <w:sz w:val="20"/>
                <w:szCs w:val="20"/>
              </w:rPr>
            </w:pPr>
            <w:r w:rsidRPr="00CC59D6">
              <w:rPr>
                <w:rFonts w:asciiTheme="minorHAnsi" w:hAnsiTheme="minorHAnsi" w:cstheme="minorHAnsi"/>
                <w:sz w:val="20"/>
                <w:szCs w:val="20"/>
              </w:rPr>
              <w:t>2014</w:t>
            </w:r>
          </w:p>
        </w:tc>
        <w:tc>
          <w:tcPr>
            <w:tcW w:w="1053" w:type="dxa"/>
          </w:tcPr>
          <w:p w14:paraId="0D8354CA"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1,3/10000</w:t>
            </w:r>
          </w:p>
        </w:tc>
        <w:tc>
          <w:tcPr>
            <w:tcW w:w="4690" w:type="dxa"/>
            <w:vMerge/>
          </w:tcPr>
          <w:p w14:paraId="02588794" w14:textId="77777777" w:rsidR="0047073A" w:rsidRPr="00CC59D6" w:rsidRDefault="0047073A" w:rsidP="00A73D26">
            <w:pPr>
              <w:jc w:val="both"/>
              <w:rPr>
                <w:rFonts w:asciiTheme="minorHAnsi" w:hAnsiTheme="minorHAnsi" w:cstheme="minorHAnsi"/>
                <w:sz w:val="20"/>
                <w:szCs w:val="20"/>
              </w:rPr>
            </w:pPr>
          </w:p>
        </w:tc>
      </w:tr>
      <w:tr w:rsidR="0047073A" w:rsidRPr="00CC59D6" w14:paraId="2F517E11" w14:textId="77777777" w:rsidTr="00A73D26">
        <w:trPr>
          <w:jc w:val="right"/>
        </w:trPr>
        <w:tc>
          <w:tcPr>
            <w:tcW w:w="2405" w:type="dxa"/>
          </w:tcPr>
          <w:p w14:paraId="0EF627FB"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Médecins (spécialistes et généralistes)</w:t>
            </w:r>
          </w:p>
        </w:tc>
        <w:tc>
          <w:tcPr>
            <w:tcW w:w="778" w:type="dxa"/>
          </w:tcPr>
          <w:p w14:paraId="14686FE6" w14:textId="77777777" w:rsidR="0047073A" w:rsidRPr="00CC59D6" w:rsidRDefault="0047073A" w:rsidP="00A73D26">
            <w:pPr>
              <w:rPr>
                <w:sz w:val="20"/>
                <w:szCs w:val="20"/>
              </w:rPr>
            </w:pPr>
            <w:r w:rsidRPr="00CC59D6">
              <w:rPr>
                <w:rFonts w:asciiTheme="minorHAnsi" w:hAnsiTheme="minorHAnsi" w:cstheme="minorHAnsi"/>
                <w:sz w:val="20"/>
                <w:szCs w:val="20"/>
              </w:rPr>
              <w:t>2014</w:t>
            </w:r>
          </w:p>
        </w:tc>
        <w:tc>
          <w:tcPr>
            <w:tcW w:w="1053" w:type="dxa"/>
          </w:tcPr>
          <w:p w14:paraId="05998860" w14:textId="77777777" w:rsidR="0047073A" w:rsidRPr="00CC59D6" w:rsidRDefault="0047073A" w:rsidP="00A73D26">
            <w:pPr>
              <w:jc w:val="both"/>
              <w:rPr>
                <w:rFonts w:asciiTheme="minorHAnsi" w:hAnsiTheme="minorHAnsi" w:cstheme="minorHAnsi"/>
                <w:sz w:val="20"/>
                <w:szCs w:val="20"/>
              </w:rPr>
            </w:pPr>
            <w:r w:rsidRPr="00CC59D6">
              <w:rPr>
                <w:rFonts w:asciiTheme="minorHAnsi" w:hAnsiTheme="minorHAnsi" w:cstheme="minorHAnsi"/>
                <w:sz w:val="20"/>
                <w:szCs w:val="20"/>
              </w:rPr>
              <w:t>1,8/10000</w:t>
            </w:r>
          </w:p>
        </w:tc>
        <w:tc>
          <w:tcPr>
            <w:tcW w:w="4690" w:type="dxa"/>
            <w:vMerge/>
          </w:tcPr>
          <w:p w14:paraId="6E1178BB" w14:textId="77777777" w:rsidR="0047073A" w:rsidRPr="00CC59D6" w:rsidRDefault="0047073A" w:rsidP="00A73D26">
            <w:pPr>
              <w:jc w:val="both"/>
              <w:rPr>
                <w:rFonts w:asciiTheme="minorHAnsi" w:hAnsiTheme="minorHAnsi" w:cstheme="minorHAnsi"/>
                <w:sz w:val="20"/>
                <w:szCs w:val="20"/>
              </w:rPr>
            </w:pPr>
          </w:p>
        </w:tc>
      </w:tr>
    </w:tbl>
    <w:p w14:paraId="645E2DD0" w14:textId="77777777" w:rsidR="0047073A" w:rsidRDefault="0047073A" w:rsidP="0047073A">
      <w:pPr>
        <w:jc w:val="both"/>
        <w:rPr>
          <w:rFonts w:asciiTheme="minorHAnsi" w:hAnsiTheme="minorHAnsi" w:cstheme="minorHAnsi"/>
          <w:sz w:val="22"/>
          <w:szCs w:val="20"/>
        </w:rPr>
      </w:pPr>
    </w:p>
    <w:p w14:paraId="0C106406" w14:textId="3F326AC0" w:rsidR="0047073A" w:rsidRPr="001C1DD2" w:rsidRDefault="0047073A" w:rsidP="00C34A61">
      <w:pPr>
        <w:pStyle w:val="Paragraphedeliste"/>
        <w:numPr>
          <w:ilvl w:val="0"/>
          <w:numId w:val="28"/>
        </w:numPr>
        <w:ind w:left="714" w:hanging="357"/>
        <w:jc w:val="both"/>
        <w:rPr>
          <w:rFonts w:asciiTheme="minorHAnsi" w:hAnsiTheme="minorHAnsi" w:cstheme="minorHAnsi"/>
          <w:i/>
          <w:szCs w:val="20"/>
        </w:rPr>
      </w:pPr>
      <w:r w:rsidRPr="001C1DD2">
        <w:rPr>
          <w:rFonts w:asciiTheme="minorHAnsi" w:hAnsiTheme="minorHAnsi" w:cstheme="minorHAnsi"/>
          <w:i/>
          <w:szCs w:val="20"/>
        </w:rPr>
        <w:t>Un financement de la santé en constante augmentation mais dépendante de l’aide extérieure</w:t>
      </w:r>
    </w:p>
    <w:p w14:paraId="23921EF6" w14:textId="20EA2305" w:rsidR="003F2030" w:rsidRDefault="0047073A" w:rsidP="00C34A61">
      <w:pPr>
        <w:pStyle w:val="Paragraphedeliste"/>
        <w:numPr>
          <w:ilvl w:val="0"/>
          <w:numId w:val="28"/>
        </w:numPr>
        <w:ind w:left="714" w:hanging="357"/>
        <w:jc w:val="both"/>
        <w:rPr>
          <w:rFonts w:asciiTheme="minorHAnsi" w:hAnsiTheme="minorHAnsi" w:cstheme="minorHAnsi"/>
          <w:i/>
          <w:szCs w:val="20"/>
        </w:rPr>
      </w:pPr>
      <w:r w:rsidRPr="001C1DD2">
        <w:rPr>
          <w:rFonts w:asciiTheme="minorHAnsi" w:hAnsiTheme="minorHAnsi" w:cstheme="minorHAnsi"/>
          <w:i/>
          <w:szCs w:val="20"/>
        </w:rPr>
        <w:t>Une participation communautaire souhaitée, mais insuffisante pour garantir une meilleure redevabilité et une responsabilité des communautés</w:t>
      </w:r>
      <w:r w:rsidR="00194B6A" w:rsidRPr="001C1DD2">
        <w:rPr>
          <w:rFonts w:asciiTheme="minorHAnsi" w:hAnsiTheme="minorHAnsi" w:cstheme="minorHAnsi"/>
          <w:i/>
          <w:szCs w:val="20"/>
        </w:rPr>
        <w:t>.</w:t>
      </w:r>
    </w:p>
    <w:p w14:paraId="514E4BDC" w14:textId="77777777" w:rsidR="001C1DD2" w:rsidRPr="004825BB" w:rsidRDefault="001C1DD2" w:rsidP="001C1DD2">
      <w:pPr>
        <w:ind w:left="357"/>
        <w:jc w:val="both"/>
        <w:rPr>
          <w:rFonts w:asciiTheme="minorHAnsi" w:hAnsiTheme="minorHAnsi" w:cstheme="minorHAnsi"/>
          <w:i/>
          <w:sz w:val="16"/>
          <w:szCs w:val="20"/>
        </w:rPr>
      </w:pPr>
    </w:p>
    <w:p w14:paraId="33E83984" w14:textId="08699A84" w:rsidR="00FB0018" w:rsidRPr="00FB0018" w:rsidRDefault="00FB0018" w:rsidP="00C34A61">
      <w:pPr>
        <w:pStyle w:val="Titre1"/>
        <w:numPr>
          <w:ilvl w:val="0"/>
          <w:numId w:val="6"/>
        </w:numPr>
        <w:pBdr>
          <w:bottom w:val="single" w:sz="12" w:space="1" w:color="auto"/>
        </w:pBdr>
        <w:shd w:val="clear" w:color="auto" w:fill="92D050"/>
        <w:spacing w:after="0"/>
        <w:ind w:left="284" w:hanging="284"/>
        <w:rPr>
          <w:rFonts w:ascii="Calibri" w:hAnsi="Calibri"/>
          <w:sz w:val="27"/>
          <w:szCs w:val="27"/>
        </w:rPr>
      </w:pPr>
      <w:bookmarkStart w:id="36" w:name="_Toc500335859"/>
      <w:bookmarkStart w:id="37" w:name="_Toc500520923"/>
      <w:bookmarkStart w:id="38" w:name="_Toc520983522"/>
      <w:r w:rsidRPr="00FB0018">
        <w:rPr>
          <w:rFonts w:ascii="Calibri" w:hAnsi="Calibri"/>
          <w:sz w:val="27"/>
          <w:szCs w:val="27"/>
        </w:rPr>
        <w:t>SYNTHESE DE L’ANALYSE DE SITUATION EPIDEMIOLOGIQUE ET DE LA REPONSE AU VIH</w:t>
      </w:r>
      <w:bookmarkEnd w:id="36"/>
      <w:bookmarkEnd w:id="37"/>
      <w:bookmarkEnd w:id="38"/>
    </w:p>
    <w:p w14:paraId="54BCB066" w14:textId="77777777" w:rsidR="00AB79BD" w:rsidRPr="004825BB" w:rsidRDefault="00AB79BD" w:rsidP="00AB79BD">
      <w:pPr>
        <w:jc w:val="both"/>
        <w:rPr>
          <w:rFonts w:ascii="Calibri" w:hAnsi="Calibri"/>
          <w:sz w:val="16"/>
        </w:rPr>
      </w:pPr>
    </w:p>
    <w:p w14:paraId="65C80EEC" w14:textId="0F01503D" w:rsidR="00AB79BD" w:rsidRPr="00FB0018" w:rsidRDefault="00AB79BD" w:rsidP="00C34A61">
      <w:pPr>
        <w:pStyle w:val="Titre2"/>
        <w:numPr>
          <w:ilvl w:val="1"/>
          <w:numId w:val="6"/>
        </w:numPr>
        <w:spacing w:after="0"/>
        <w:ind w:left="426" w:hanging="426"/>
        <w:rPr>
          <w:rFonts w:ascii="Calibri" w:hAnsi="Calibri"/>
          <w:color w:val="2F5496" w:themeColor="accent5" w:themeShade="BF"/>
          <w:szCs w:val="24"/>
        </w:rPr>
      </w:pPr>
      <w:bookmarkStart w:id="39" w:name="_Toc500496789"/>
      <w:bookmarkStart w:id="40" w:name="_Toc500520924"/>
      <w:bookmarkStart w:id="41" w:name="_Toc520983523"/>
      <w:r w:rsidRPr="00FB0018">
        <w:rPr>
          <w:rFonts w:ascii="Calibri" w:hAnsi="Calibri"/>
          <w:color w:val="2F5496" w:themeColor="accent5" w:themeShade="BF"/>
          <w:szCs w:val="24"/>
        </w:rPr>
        <w:t>Analyse de la situation épidémiologique du VIH/</w:t>
      </w:r>
      <w:r w:rsidR="0036679F">
        <w:rPr>
          <w:rFonts w:ascii="Calibri" w:hAnsi="Calibri"/>
          <w:color w:val="2F5496" w:themeColor="accent5" w:themeShade="BF"/>
          <w:szCs w:val="24"/>
        </w:rPr>
        <w:t>sida</w:t>
      </w:r>
      <w:bookmarkEnd w:id="39"/>
      <w:bookmarkEnd w:id="40"/>
      <w:bookmarkEnd w:id="41"/>
    </w:p>
    <w:p w14:paraId="46F153B8" w14:textId="77777777" w:rsidR="00AB79BD" w:rsidRPr="004825BB" w:rsidRDefault="00AB79BD" w:rsidP="00AB79BD">
      <w:pPr>
        <w:jc w:val="both"/>
        <w:rPr>
          <w:rFonts w:ascii="Calibri" w:hAnsi="Calibri"/>
          <w:b/>
          <w:sz w:val="16"/>
        </w:rPr>
      </w:pPr>
    </w:p>
    <w:p w14:paraId="33258778" w14:textId="77777777" w:rsidR="00AB79BD" w:rsidRPr="005B52BA" w:rsidRDefault="00AB79BD" w:rsidP="00C34A61">
      <w:pPr>
        <w:pStyle w:val="Paragraphedeliste"/>
        <w:numPr>
          <w:ilvl w:val="2"/>
          <w:numId w:val="6"/>
        </w:numPr>
        <w:ind w:left="567" w:hanging="567"/>
        <w:contextualSpacing w:val="0"/>
        <w:jc w:val="both"/>
        <w:rPr>
          <w:rFonts w:ascii="Calibri" w:hAnsi="Calibri"/>
          <w:b/>
        </w:rPr>
      </w:pPr>
      <w:r w:rsidRPr="005B52BA">
        <w:rPr>
          <w:rFonts w:ascii="Calibri" w:hAnsi="Calibri"/>
          <w:b/>
          <w:noProof/>
        </w:rPr>
        <w:t xml:space="preserve">Evolution de l’épidémie de VIH dans la population générale </w:t>
      </w:r>
    </w:p>
    <w:p w14:paraId="41CAE754" w14:textId="77777777" w:rsidR="00AB79BD" w:rsidRPr="004825BB" w:rsidRDefault="00AB79BD" w:rsidP="00AB79BD">
      <w:pPr>
        <w:jc w:val="both"/>
        <w:rPr>
          <w:rFonts w:ascii="Calibri" w:hAnsi="Calibri"/>
          <w:sz w:val="16"/>
        </w:rPr>
      </w:pPr>
    </w:p>
    <w:p w14:paraId="70274048" w14:textId="7AE13D34" w:rsidR="00C738B4" w:rsidRDefault="008429F6" w:rsidP="00C738B4">
      <w:pPr>
        <w:jc w:val="both"/>
        <w:rPr>
          <w:rFonts w:ascii="Calibri" w:hAnsi="Calibri" w:cs="Arial"/>
        </w:rPr>
      </w:pPr>
      <w:r w:rsidRPr="00C738B4">
        <w:rPr>
          <w:rFonts w:ascii="Calibri" w:hAnsi="Calibri" w:cs="Arial"/>
        </w:rPr>
        <w:t>L’épidémie est de type généralisé avec une prévalence du VIH au sein de la population de 15-49 ans qui est de 1,7% en 2012 (EDS-MICS 2012)</w:t>
      </w:r>
      <w:r>
        <w:rPr>
          <w:rFonts w:ascii="Calibri" w:hAnsi="Calibri" w:cs="Arial"/>
        </w:rPr>
        <w:t xml:space="preserve"> et à 1,5% en fin 2016 par l’ONUSIDA</w:t>
      </w:r>
      <w:r w:rsidRPr="00C738B4">
        <w:rPr>
          <w:rFonts w:ascii="Calibri" w:hAnsi="Calibri" w:cs="Arial"/>
        </w:rPr>
        <w:t>.</w:t>
      </w:r>
      <w:r>
        <w:rPr>
          <w:rFonts w:ascii="Calibri" w:hAnsi="Calibri" w:cs="Arial"/>
        </w:rPr>
        <w:t xml:space="preserve"> L’incidence du VIH (tout âge confondu pour 1000 habitants est de </w:t>
      </w:r>
      <w:r w:rsidRPr="008429F6">
        <w:rPr>
          <w:rFonts w:ascii="Calibri" w:hAnsi="Calibri" w:cs="Arial"/>
        </w:rPr>
        <w:t>0.67 [0.50 - 0.89]</w:t>
      </w:r>
      <w:r>
        <w:rPr>
          <w:rFonts w:ascii="Calibri" w:hAnsi="Calibri" w:cs="Arial"/>
        </w:rPr>
        <w:t xml:space="preserve">. </w:t>
      </w:r>
    </w:p>
    <w:p w14:paraId="3DB8251E" w14:textId="77777777" w:rsidR="008429F6" w:rsidRPr="004825BB" w:rsidRDefault="008429F6" w:rsidP="00C738B4">
      <w:pPr>
        <w:jc w:val="both"/>
        <w:rPr>
          <w:rFonts w:ascii="Calibri" w:hAnsi="Calibri" w:cs="Arial"/>
          <w:sz w:val="18"/>
        </w:rPr>
      </w:pPr>
    </w:p>
    <w:p w14:paraId="7E7921D9" w14:textId="18495FF4" w:rsidR="008429F6" w:rsidRPr="008429F6" w:rsidRDefault="008429F6" w:rsidP="00240456">
      <w:pPr>
        <w:pStyle w:val="tab"/>
      </w:pPr>
      <w:bookmarkStart w:id="42" w:name="_Toc521064261"/>
      <w:r w:rsidRPr="00240456">
        <w:rPr>
          <w:b/>
          <w:u w:val="single"/>
        </w:rPr>
        <w:t>Tablea</w:t>
      </w:r>
      <w:r w:rsidR="00891515" w:rsidRPr="00240456">
        <w:rPr>
          <w:b/>
          <w:u w:val="single"/>
        </w:rPr>
        <w:t>u 5</w:t>
      </w:r>
      <w:r w:rsidRPr="008429F6">
        <w:t xml:space="preserve"> : </w:t>
      </w:r>
      <w:r>
        <w:t>Situation des statistiques sur le. VIH en 2016</w:t>
      </w:r>
      <w:bookmarkEnd w:id="42"/>
    </w:p>
    <w:p w14:paraId="0E473FCC" w14:textId="77777777" w:rsidR="008429F6" w:rsidRPr="004825BB" w:rsidRDefault="008429F6" w:rsidP="00C738B4">
      <w:pPr>
        <w:jc w:val="both"/>
        <w:rPr>
          <w:rFonts w:ascii="Calibri" w:hAnsi="Calibri" w:cs="Arial"/>
          <w:sz w:val="13"/>
        </w:rPr>
      </w:pPr>
    </w:p>
    <w:tbl>
      <w:tblPr>
        <w:tblW w:w="9918" w:type="dxa"/>
        <w:tblCellMar>
          <w:left w:w="70" w:type="dxa"/>
          <w:right w:w="70" w:type="dxa"/>
        </w:tblCellMar>
        <w:tblLook w:val="04A0" w:firstRow="1" w:lastRow="0" w:firstColumn="1" w:lastColumn="0" w:noHBand="0" w:noVBand="1"/>
      </w:tblPr>
      <w:tblGrid>
        <w:gridCol w:w="2405"/>
        <w:gridCol w:w="2126"/>
        <w:gridCol w:w="1801"/>
        <w:gridCol w:w="1743"/>
        <w:gridCol w:w="1843"/>
      </w:tblGrid>
      <w:tr w:rsidR="00453E3D" w:rsidRPr="00453E3D" w14:paraId="26E393B0" w14:textId="77777777" w:rsidTr="00453E3D">
        <w:trPr>
          <w:trHeight w:val="786"/>
        </w:trPr>
        <w:tc>
          <w:tcPr>
            <w:tcW w:w="2405" w:type="dxa"/>
            <w:tcBorders>
              <w:top w:val="single" w:sz="4" w:space="0" w:color="7F7F7F"/>
              <w:left w:val="single" w:sz="4" w:space="0" w:color="7F7F7F"/>
              <w:bottom w:val="single" w:sz="4" w:space="0" w:color="7F7F7F"/>
              <w:right w:val="single" w:sz="4" w:space="0" w:color="7F7F7F"/>
            </w:tcBorders>
            <w:shd w:val="clear" w:color="000000" w:fill="FFCC99"/>
            <w:hideMark/>
          </w:tcPr>
          <w:p w14:paraId="62E9A982" w14:textId="77777777" w:rsidR="00453E3D" w:rsidRPr="00453E3D" w:rsidRDefault="00453E3D" w:rsidP="00453E3D">
            <w:pPr>
              <w:rPr>
                <w:rFonts w:ascii="Calibri (Corps)" w:hAnsi="Calibri (Corps)"/>
                <w:color w:val="3F3F76"/>
                <w:sz w:val="20"/>
                <w:szCs w:val="20"/>
              </w:rPr>
            </w:pPr>
            <w:r w:rsidRPr="00453E3D">
              <w:rPr>
                <w:rFonts w:ascii="Calibri (Corps)" w:hAnsi="Calibri (Corps)"/>
                <w:color w:val="3F3F76"/>
                <w:sz w:val="20"/>
                <w:szCs w:val="20"/>
              </w:rPr>
              <w:t> </w:t>
            </w:r>
          </w:p>
        </w:tc>
        <w:tc>
          <w:tcPr>
            <w:tcW w:w="2126" w:type="dxa"/>
            <w:tcBorders>
              <w:top w:val="single" w:sz="4" w:space="0" w:color="7F7F7F"/>
              <w:left w:val="nil"/>
              <w:bottom w:val="single" w:sz="4" w:space="0" w:color="7F7F7F"/>
              <w:right w:val="single" w:sz="4" w:space="0" w:color="7F7F7F"/>
            </w:tcBorders>
            <w:shd w:val="clear" w:color="000000" w:fill="FFCC99"/>
            <w:hideMark/>
          </w:tcPr>
          <w:p w14:paraId="3918BA4B" w14:textId="1203B58D" w:rsidR="00453E3D" w:rsidRPr="00453E3D" w:rsidRDefault="00453E3D" w:rsidP="00453E3D">
            <w:pPr>
              <w:rPr>
                <w:rFonts w:ascii="Calibri (Corps)" w:hAnsi="Calibri (Corps)"/>
                <w:color w:val="3F3F76"/>
                <w:sz w:val="20"/>
                <w:szCs w:val="20"/>
              </w:rPr>
            </w:pPr>
            <w:r>
              <w:rPr>
                <w:rFonts w:ascii="Calibri (Corps)" w:hAnsi="Calibri (Corps)"/>
                <w:color w:val="3F3F76"/>
                <w:sz w:val="20"/>
                <w:szCs w:val="20"/>
              </w:rPr>
              <w:t>Prévalence du VIH chez</w:t>
            </w:r>
            <w:r w:rsidRPr="00453E3D">
              <w:rPr>
                <w:rFonts w:ascii="Calibri (Corps)" w:hAnsi="Calibri (Corps)"/>
                <w:color w:val="3F3F76"/>
                <w:sz w:val="20"/>
                <w:szCs w:val="20"/>
              </w:rPr>
              <w:t xml:space="preserve"> les adultes âgés de 15-49 ans</w:t>
            </w:r>
          </w:p>
        </w:tc>
        <w:tc>
          <w:tcPr>
            <w:tcW w:w="1801" w:type="dxa"/>
            <w:tcBorders>
              <w:top w:val="single" w:sz="4" w:space="0" w:color="7F7F7F"/>
              <w:left w:val="nil"/>
              <w:bottom w:val="single" w:sz="4" w:space="0" w:color="7F7F7F"/>
              <w:right w:val="single" w:sz="4" w:space="0" w:color="7F7F7F"/>
            </w:tcBorders>
            <w:shd w:val="clear" w:color="000000" w:fill="FFCC99"/>
            <w:hideMark/>
          </w:tcPr>
          <w:p w14:paraId="04AF8F77" w14:textId="77777777" w:rsidR="00453E3D" w:rsidRPr="00453E3D" w:rsidRDefault="00453E3D" w:rsidP="00453E3D">
            <w:pPr>
              <w:rPr>
                <w:rFonts w:ascii="Calibri (Corps)" w:hAnsi="Calibri (Corps)"/>
                <w:color w:val="3F3F76"/>
                <w:sz w:val="20"/>
                <w:szCs w:val="20"/>
              </w:rPr>
            </w:pPr>
            <w:r w:rsidRPr="00453E3D">
              <w:rPr>
                <w:rFonts w:ascii="Calibri (Corps)" w:hAnsi="Calibri (Corps)"/>
                <w:color w:val="3F3F76"/>
                <w:sz w:val="20"/>
                <w:szCs w:val="20"/>
              </w:rPr>
              <w:t>Nombre d’adultes et enfants vivant avec le VIH</w:t>
            </w:r>
          </w:p>
        </w:tc>
        <w:tc>
          <w:tcPr>
            <w:tcW w:w="1743" w:type="dxa"/>
            <w:tcBorders>
              <w:top w:val="single" w:sz="4" w:space="0" w:color="7F7F7F"/>
              <w:left w:val="nil"/>
              <w:bottom w:val="single" w:sz="4" w:space="0" w:color="7F7F7F"/>
              <w:right w:val="single" w:sz="4" w:space="0" w:color="7F7F7F"/>
            </w:tcBorders>
            <w:shd w:val="clear" w:color="000000" w:fill="FFCC99"/>
            <w:hideMark/>
          </w:tcPr>
          <w:p w14:paraId="5E1F6EE4" w14:textId="77777777" w:rsidR="00453E3D" w:rsidRPr="00453E3D" w:rsidRDefault="00453E3D" w:rsidP="00453E3D">
            <w:pPr>
              <w:rPr>
                <w:rFonts w:ascii="Calibri (Corps)" w:hAnsi="Calibri (Corps)"/>
                <w:color w:val="3F3F76"/>
                <w:sz w:val="20"/>
                <w:szCs w:val="20"/>
              </w:rPr>
            </w:pPr>
            <w:r w:rsidRPr="00453E3D">
              <w:rPr>
                <w:rFonts w:ascii="Calibri (Corps)" w:hAnsi="Calibri (Corps)"/>
                <w:color w:val="3F3F76"/>
                <w:sz w:val="20"/>
                <w:szCs w:val="20"/>
              </w:rPr>
              <w:t>Adultes et enfants nouvellement infectés par le VIH</w:t>
            </w:r>
          </w:p>
        </w:tc>
        <w:tc>
          <w:tcPr>
            <w:tcW w:w="1843" w:type="dxa"/>
            <w:tcBorders>
              <w:top w:val="single" w:sz="4" w:space="0" w:color="7F7F7F"/>
              <w:left w:val="nil"/>
              <w:bottom w:val="single" w:sz="4" w:space="0" w:color="7F7F7F"/>
              <w:right w:val="single" w:sz="4" w:space="0" w:color="7F7F7F"/>
            </w:tcBorders>
            <w:shd w:val="clear" w:color="000000" w:fill="FFCC99"/>
            <w:hideMark/>
          </w:tcPr>
          <w:p w14:paraId="76EE168A" w14:textId="77777777" w:rsidR="00453E3D" w:rsidRPr="00453E3D" w:rsidRDefault="00453E3D" w:rsidP="00453E3D">
            <w:pPr>
              <w:rPr>
                <w:rFonts w:ascii="Calibri (Corps)" w:hAnsi="Calibri (Corps)"/>
                <w:color w:val="3F3F76"/>
                <w:sz w:val="20"/>
                <w:szCs w:val="20"/>
              </w:rPr>
            </w:pPr>
            <w:r w:rsidRPr="00453E3D">
              <w:rPr>
                <w:rFonts w:ascii="Calibri (Corps)" w:hAnsi="Calibri (Corps)"/>
                <w:color w:val="3F3F76"/>
                <w:sz w:val="20"/>
                <w:szCs w:val="20"/>
              </w:rPr>
              <w:t>Décès liés au sida chez les adultes et les enfants</w:t>
            </w:r>
          </w:p>
        </w:tc>
      </w:tr>
      <w:tr w:rsidR="00453E3D" w:rsidRPr="00453E3D" w14:paraId="562AB988" w14:textId="77777777" w:rsidTr="00453E3D">
        <w:trPr>
          <w:trHeight w:val="320"/>
        </w:trPr>
        <w:tc>
          <w:tcPr>
            <w:tcW w:w="24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A57B9E"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Global</w:t>
            </w:r>
          </w:p>
        </w:tc>
        <w:tc>
          <w:tcPr>
            <w:tcW w:w="2126" w:type="dxa"/>
            <w:tcBorders>
              <w:top w:val="single" w:sz="4" w:space="0" w:color="auto"/>
              <w:left w:val="nil"/>
              <w:bottom w:val="single" w:sz="4" w:space="0" w:color="auto"/>
              <w:right w:val="single" w:sz="4" w:space="0" w:color="auto"/>
            </w:tcBorders>
            <w:shd w:val="clear" w:color="000000" w:fill="E7E6E6"/>
            <w:vAlign w:val="bottom"/>
            <w:hideMark/>
          </w:tcPr>
          <w:p w14:paraId="7D1C8C27" w14:textId="77777777" w:rsidR="00453E3D" w:rsidRDefault="00453E3D" w:rsidP="00453E3D">
            <w:pPr>
              <w:rPr>
                <w:rFonts w:ascii="Calibri (Corps)" w:hAnsi="Calibri (Corps)"/>
                <w:b/>
                <w:bCs/>
                <w:color w:val="1A1919"/>
                <w:sz w:val="20"/>
                <w:szCs w:val="20"/>
              </w:rPr>
            </w:pPr>
            <w:r w:rsidRPr="00453E3D">
              <w:rPr>
                <w:rFonts w:ascii="Calibri (Corps)" w:hAnsi="Calibri (Corps)"/>
                <w:b/>
                <w:bCs/>
                <w:color w:val="1A1919"/>
                <w:sz w:val="20"/>
                <w:szCs w:val="20"/>
              </w:rPr>
              <w:t>1.5</w:t>
            </w:r>
          </w:p>
          <w:p w14:paraId="7E84041B" w14:textId="67C1490E" w:rsidR="00453E3D" w:rsidRPr="00453E3D" w:rsidRDefault="00453E3D" w:rsidP="00453E3D">
            <w:pPr>
              <w:rPr>
                <w:rFonts w:ascii="Calibri (Corps)" w:hAnsi="Calibri (Corps)"/>
                <w:b/>
                <w:bCs/>
                <w:color w:val="1A1919"/>
                <w:sz w:val="20"/>
                <w:szCs w:val="20"/>
              </w:rPr>
            </w:pPr>
            <w:r w:rsidRPr="00453E3D">
              <w:rPr>
                <w:rFonts w:ascii="Calibri (Corps)" w:hAnsi="Calibri (Corps)"/>
                <w:b/>
                <w:bCs/>
                <w:color w:val="1A1919"/>
                <w:sz w:val="20"/>
                <w:szCs w:val="20"/>
              </w:rPr>
              <w:t xml:space="preserve"> [1.2 - 1.8]</w:t>
            </w:r>
          </w:p>
        </w:tc>
        <w:tc>
          <w:tcPr>
            <w:tcW w:w="1801" w:type="dxa"/>
            <w:tcBorders>
              <w:top w:val="single" w:sz="4" w:space="0" w:color="auto"/>
              <w:left w:val="nil"/>
              <w:bottom w:val="single" w:sz="4" w:space="0" w:color="auto"/>
              <w:right w:val="single" w:sz="4" w:space="0" w:color="auto"/>
            </w:tcBorders>
            <w:shd w:val="clear" w:color="000000" w:fill="E7E6E6"/>
            <w:vAlign w:val="center"/>
            <w:hideMark/>
          </w:tcPr>
          <w:p w14:paraId="54566AEF" w14:textId="77777777" w:rsidR="00453E3D" w:rsidRDefault="00453E3D" w:rsidP="00453E3D">
            <w:pPr>
              <w:rPr>
                <w:rFonts w:ascii="Calibri (Corps)" w:hAnsi="Calibri (Corps)"/>
                <w:b/>
                <w:bCs/>
                <w:color w:val="1A1919"/>
                <w:sz w:val="20"/>
                <w:szCs w:val="20"/>
              </w:rPr>
            </w:pPr>
            <w:r w:rsidRPr="00453E3D">
              <w:rPr>
                <w:rFonts w:ascii="Calibri (Corps)" w:hAnsi="Calibri (Corps)"/>
                <w:b/>
                <w:bCs/>
                <w:color w:val="1A1919"/>
                <w:sz w:val="20"/>
                <w:szCs w:val="20"/>
              </w:rPr>
              <w:t>120</w:t>
            </w:r>
            <w:r>
              <w:rPr>
                <w:rFonts w:ascii="Calibri (Corps)" w:hAnsi="Calibri (Corps)"/>
                <w:b/>
                <w:bCs/>
                <w:color w:val="1A1919"/>
                <w:sz w:val="20"/>
                <w:szCs w:val="20"/>
              </w:rPr>
              <w:t> </w:t>
            </w:r>
            <w:r w:rsidRPr="00453E3D">
              <w:rPr>
                <w:rFonts w:ascii="Calibri (Corps)" w:hAnsi="Calibri (Corps)"/>
                <w:b/>
                <w:bCs/>
                <w:color w:val="1A1919"/>
                <w:sz w:val="20"/>
                <w:szCs w:val="20"/>
              </w:rPr>
              <w:t xml:space="preserve">000 </w:t>
            </w:r>
          </w:p>
          <w:p w14:paraId="299E8A5A" w14:textId="498A2912" w:rsidR="00453E3D" w:rsidRPr="00453E3D" w:rsidRDefault="00453E3D" w:rsidP="00453E3D">
            <w:pPr>
              <w:rPr>
                <w:rFonts w:ascii="Calibri (Corps)" w:hAnsi="Calibri (Corps)"/>
                <w:b/>
                <w:bCs/>
                <w:color w:val="1A1919"/>
                <w:sz w:val="20"/>
                <w:szCs w:val="20"/>
              </w:rPr>
            </w:pPr>
            <w:r w:rsidRPr="00453E3D">
              <w:rPr>
                <w:rFonts w:ascii="Calibri (Corps)" w:hAnsi="Calibri (Corps)"/>
                <w:b/>
                <w:bCs/>
                <w:color w:val="1A1919"/>
                <w:sz w:val="20"/>
                <w:szCs w:val="20"/>
              </w:rPr>
              <w:t>[100 000 - 150 000]</w:t>
            </w:r>
          </w:p>
        </w:tc>
        <w:tc>
          <w:tcPr>
            <w:tcW w:w="1743" w:type="dxa"/>
            <w:tcBorders>
              <w:top w:val="single" w:sz="4" w:space="0" w:color="auto"/>
              <w:left w:val="nil"/>
              <w:bottom w:val="single" w:sz="4" w:space="0" w:color="auto"/>
              <w:right w:val="single" w:sz="4" w:space="0" w:color="auto"/>
            </w:tcBorders>
            <w:shd w:val="clear" w:color="000000" w:fill="E7E6E6"/>
            <w:vAlign w:val="bottom"/>
            <w:hideMark/>
          </w:tcPr>
          <w:p w14:paraId="7C69325D" w14:textId="77777777" w:rsidR="00453E3D" w:rsidRDefault="00453E3D" w:rsidP="00453E3D">
            <w:pPr>
              <w:rPr>
                <w:rFonts w:ascii="Calibri (Corps)" w:hAnsi="Calibri (Corps)"/>
                <w:b/>
                <w:bCs/>
                <w:color w:val="1A1919"/>
                <w:sz w:val="20"/>
                <w:szCs w:val="20"/>
              </w:rPr>
            </w:pPr>
            <w:r w:rsidRPr="00453E3D">
              <w:rPr>
                <w:rFonts w:ascii="Calibri (Corps)" w:hAnsi="Calibri (Corps)"/>
                <w:b/>
                <w:bCs/>
                <w:color w:val="1A1919"/>
                <w:sz w:val="20"/>
                <w:szCs w:val="20"/>
              </w:rPr>
              <w:t xml:space="preserve">8300 </w:t>
            </w:r>
          </w:p>
          <w:p w14:paraId="422E72FD" w14:textId="38D271EC" w:rsidR="00453E3D" w:rsidRPr="00453E3D" w:rsidRDefault="00453E3D" w:rsidP="00453E3D">
            <w:pPr>
              <w:rPr>
                <w:rFonts w:ascii="Calibri (Corps)" w:hAnsi="Calibri (Corps)"/>
                <w:b/>
                <w:bCs/>
                <w:color w:val="1A1919"/>
                <w:sz w:val="20"/>
                <w:szCs w:val="20"/>
              </w:rPr>
            </w:pPr>
            <w:r w:rsidRPr="00453E3D">
              <w:rPr>
                <w:rFonts w:ascii="Calibri (Corps)" w:hAnsi="Calibri (Corps)"/>
                <w:b/>
                <w:bCs/>
                <w:color w:val="1A1919"/>
                <w:sz w:val="20"/>
                <w:szCs w:val="20"/>
              </w:rPr>
              <w:t>[6200 - 11 000]</w:t>
            </w:r>
          </w:p>
        </w:tc>
        <w:tc>
          <w:tcPr>
            <w:tcW w:w="1843" w:type="dxa"/>
            <w:tcBorders>
              <w:top w:val="single" w:sz="4" w:space="0" w:color="auto"/>
              <w:left w:val="nil"/>
              <w:bottom w:val="single" w:sz="4" w:space="0" w:color="auto"/>
              <w:right w:val="single" w:sz="4" w:space="0" w:color="auto"/>
            </w:tcBorders>
            <w:shd w:val="clear" w:color="000000" w:fill="E7E6E6"/>
            <w:vAlign w:val="bottom"/>
            <w:hideMark/>
          </w:tcPr>
          <w:p w14:paraId="501F9C70" w14:textId="77777777" w:rsidR="00453E3D" w:rsidRDefault="00453E3D" w:rsidP="00453E3D">
            <w:pPr>
              <w:rPr>
                <w:rFonts w:ascii="Calibri (Corps)" w:hAnsi="Calibri (Corps)"/>
                <w:b/>
                <w:bCs/>
                <w:color w:val="1A1919"/>
                <w:sz w:val="20"/>
                <w:szCs w:val="20"/>
              </w:rPr>
            </w:pPr>
            <w:r w:rsidRPr="00453E3D">
              <w:rPr>
                <w:rFonts w:ascii="Calibri (Corps)" w:hAnsi="Calibri (Corps)"/>
                <w:b/>
                <w:bCs/>
                <w:color w:val="1A1919"/>
                <w:sz w:val="20"/>
                <w:szCs w:val="20"/>
              </w:rPr>
              <w:t xml:space="preserve">5800 </w:t>
            </w:r>
          </w:p>
          <w:p w14:paraId="0AFE3B04" w14:textId="12513309" w:rsidR="00453E3D" w:rsidRPr="00453E3D" w:rsidRDefault="00453E3D" w:rsidP="00453E3D">
            <w:pPr>
              <w:rPr>
                <w:rFonts w:ascii="Calibri (Corps)" w:hAnsi="Calibri (Corps)"/>
                <w:b/>
                <w:bCs/>
                <w:color w:val="1A1919"/>
                <w:sz w:val="20"/>
                <w:szCs w:val="20"/>
              </w:rPr>
            </w:pPr>
            <w:r w:rsidRPr="00453E3D">
              <w:rPr>
                <w:rFonts w:ascii="Calibri (Corps)" w:hAnsi="Calibri (Corps)"/>
                <w:b/>
                <w:bCs/>
                <w:color w:val="1A1919"/>
                <w:sz w:val="20"/>
                <w:szCs w:val="20"/>
              </w:rPr>
              <w:t>[4600 - 7100]</w:t>
            </w:r>
          </w:p>
        </w:tc>
      </w:tr>
      <w:tr w:rsidR="00453E3D" w:rsidRPr="00453E3D" w14:paraId="36BEBD8C" w14:textId="77777777" w:rsidTr="00453E3D">
        <w:trPr>
          <w:trHeight w:val="32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401C6F46"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Adultes 15 ans et plus</w:t>
            </w:r>
          </w:p>
        </w:tc>
        <w:tc>
          <w:tcPr>
            <w:tcW w:w="2126" w:type="dxa"/>
            <w:tcBorders>
              <w:top w:val="nil"/>
              <w:left w:val="nil"/>
              <w:bottom w:val="single" w:sz="4" w:space="0" w:color="auto"/>
              <w:right w:val="single" w:sz="4" w:space="0" w:color="auto"/>
            </w:tcBorders>
            <w:shd w:val="clear" w:color="000000" w:fill="FFFFFF"/>
            <w:vAlign w:val="bottom"/>
            <w:hideMark/>
          </w:tcPr>
          <w:p w14:paraId="1DE5943E"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801" w:type="dxa"/>
            <w:tcBorders>
              <w:top w:val="nil"/>
              <w:left w:val="nil"/>
              <w:bottom w:val="single" w:sz="4" w:space="0" w:color="auto"/>
              <w:right w:val="single" w:sz="4" w:space="0" w:color="auto"/>
            </w:tcBorders>
            <w:shd w:val="clear" w:color="auto" w:fill="auto"/>
            <w:vAlign w:val="center"/>
            <w:hideMark/>
          </w:tcPr>
          <w:p w14:paraId="6295B7F7"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110</w:t>
            </w:r>
            <w:r>
              <w:rPr>
                <w:rFonts w:ascii="Calibri (Corps)" w:hAnsi="Calibri (Corps)"/>
                <w:color w:val="1A1919"/>
                <w:sz w:val="20"/>
                <w:szCs w:val="20"/>
              </w:rPr>
              <w:t> </w:t>
            </w:r>
            <w:r w:rsidRPr="00453E3D">
              <w:rPr>
                <w:rFonts w:ascii="Calibri (Corps)" w:hAnsi="Calibri (Corps)"/>
                <w:color w:val="1A1919"/>
                <w:sz w:val="20"/>
                <w:szCs w:val="20"/>
              </w:rPr>
              <w:t xml:space="preserve">000 </w:t>
            </w:r>
          </w:p>
          <w:p w14:paraId="0B74D0C3" w14:textId="744051F9"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[93 000 - 140 000]</w:t>
            </w:r>
          </w:p>
        </w:tc>
        <w:tc>
          <w:tcPr>
            <w:tcW w:w="1743" w:type="dxa"/>
            <w:tcBorders>
              <w:top w:val="nil"/>
              <w:left w:val="nil"/>
              <w:bottom w:val="single" w:sz="4" w:space="0" w:color="auto"/>
              <w:right w:val="single" w:sz="4" w:space="0" w:color="auto"/>
            </w:tcBorders>
            <w:shd w:val="clear" w:color="auto" w:fill="auto"/>
            <w:vAlign w:val="bottom"/>
            <w:hideMark/>
          </w:tcPr>
          <w:p w14:paraId="5B9EABBF"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 xml:space="preserve">7000 </w:t>
            </w:r>
          </w:p>
          <w:p w14:paraId="1B799232" w14:textId="24BF57F9"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[5100 - 9400]</w:t>
            </w:r>
          </w:p>
        </w:tc>
        <w:tc>
          <w:tcPr>
            <w:tcW w:w="1843" w:type="dxa"/>
            <w:tcBorders>
              <w:top w:val="nil"/>
              <w:left w:val="nil"/>
              <w:bottom w:val="single" w:sz="4" w:space="0" w:color="auto"/>
              <w:right w:val="single" w:sz="4" w:space="0" w:color="auto"/>
            </w:tcBorders>
            <w:shd w:val="clear" w:color="auto" w:fill="auto"/>
            <w:vAlign w:val="bottom"/>
            <w:hideMark/>
          </w:tcPr>
          <w:p w14:paraId="490F84D4"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 xml:space="preserve">5000 </w:t>
            </w:r>
          </w:p>
          <w:p w14:paraId="21EA5B56" w14:textId="712F9261"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[4000 - 6200]</w:t>
            </w:r>
          </w:p>
        </w:tc>
      </w:tr>
      <w:tr w:rsidR="00453E3D" w:rsidRPr="00453E3D" w14:paraId="07756856" w14:textId="77777777" w:rsidTr="00453E3D">
        <w:trPr>
          <w:trHeight w:val="32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4E7A6C64"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Femmes de 15 ans et plus</w:t>
            </w:r>
          </w:p>
        </w:tc>
        <w:tc>
          <w:tcPr>
            <w:tcW w:w="2126" w:type="dxa"/>
            <w:tcBorders>
              <w:top w:val="nil"/>
              <w:left w:val="nil"/>
              <w:bottom w:val="single" w:sz="4" w:space="0" w:color="auto"/>
              <w:right w:val="single" w:sz="4" w:space="0" w:color="auto"/>
            </w:tcBorders>
            <w:shd w:val="clear" w:color="000000" w:fill="FFFFFF"/>
            <w:vAlign w:val="bottom"/>
            <w:hideMark/>
          </w:tcPr>
          <w:p w14:paraId="499D0B93"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801" w:type="dxa"/>
            <w:tcBorders>
              <w:top w:val="nil"/>
              <w:left w:val="nil"/>
              <w:bottom w:val="single" w:sz="4" w:space="0" w:color="auto"/>
              <w:right w:val="single" w:sz="4" w:space="0" w:color="auto"/>
            </w:tcBorders>
            <w:shd w:val="clear" w:color="auto" w:fill="auto"/>
            <w:vAlign w:val="center"/>
            <w:hideMark/>
          </w:tcPr>
          <w:p w14:paraId="3C7FD7BD"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68</w:t>
            </w:r>
            <w:r>
              <w:rPr>
                <w:rFonts w:ascii="Calibri (Corps)" w:hAnsi="Calibri (Corps)"/>
                <w:color w:val="1A1919"/>
                <w:sz w:val="20"/>
                <w:szCs w:val="20"/>
              </w:rPr>
              <w:t> </w:t>
            </w:r>
            <w:r w:rsidRPr="00453E3D">
              <w:rPr>
                <w:rFonts w:ascii="Calibri (Corps)" w:hAnsi="Calibri (Corps)"/>
                <w:color w:val="1A1919"/>
                <w:sz w:val="20"/>
                <w:szCs w:val="20"/>
              </w:rPr>
              <w:t xml:space="preserve">000 </w:t>
            </w:r>
          </w:p>
          <w:p w14:paraId="28D1D8AD" w14:textId="3DAD4D6B"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[56 000 - 81 000]</w:t>
            </w:r>
          </w:p>
        </w:tc>
        <w:tc>
          <w:tcPr>
            <w:tcW w:w="1743" w:type="dxa"/>
            <w:tcBorders>
              <w:top w:val="nil"/>
              <w:left w:val="nil"/>
              <w:bottom w:val="single" w:sz="4" w:space="0" w:color="auto"/>
              <w:right w:val="single" w:sz="4" w:space="0" w:color="auto"/>
            </w:tcBorders>
            <w:shd w:val="clear" w:color="auto" w:fill="auto"/>
            <w:vAlign w:val="bottom"/>
            <w:hideMark/>
          </w:tcPr>
          <w:p w14:paraId="3DE73DEA"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 xml:space="preserve">3900 </w:t>
            </w:r>
          </w:p>
          <w:p w14:paraId="15722943" w14:textId="32172B5C"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[2900 - 5300]</w:t>
            </w:r>
          </w:p>
        </w:tc>
        <w:tc>
          <w:tcPr>
            <w:tcW w:w="1843" w:type="dxa"/>
            <w:tcBorders>
              <w:top w:val="nil"/>
              <w:left w:val="nil"/>
              <w:bottom w:val="single" w:sz="4" w:space="0" w:color="auto"/>
              <w:right w:val="single" w:sz="4" w:space="0" w:color="auto"/>
            </w:tcBorders>
            <w:shd w:val="clear" w:color="auto" w:fill="auto"/>
            <w:vAlign w:val="bottom"/>
            <w:hideMark/>
          </w:tcPr>
          <w:p w14:paraId="6F5C0CD1"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 xml:space="preserve">2500 </w:t>
            </w:r>
          </w:p>
          <w:p w14:paraId="57A59C98" w14:textId="6B3F1D83"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[2000 - 3000]</w:t>
            </w:r>
          </w:p>
        </w:tc>
      </w:tr>
      <w:tr w:rsidR="00453E3D" w:rsidRPr="00453E3D" w14:paraId="332FF6EF" w14:textId="77777777" w:rsidTr="00453E3D">
        <w:trPr>
          <w:trHeight w:val="32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3E305B0C"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Hommes de 15 ans et plus</w:t>
            </w:r>
          </w:p>
        </w:tc>
        <w:tc>
          <w:tcPr>
            <w:tcW w:w="2126" w:type="dxa"/>
            <w:tcBorders>
              <w:top w:val="nil"/>
              <w:left w:val="nil"/>
              <w:bottom w:val="single" w:sz="4" w:space="0" w:color="auto"/>
              <w:right w:val="single" w:sz="4" w:space="0" w:color="auto"/>
            </w:tcBorders>
            <w:shd w:val="clear" w:color="000000" w:fill="FFFFFF"/>
            <w:vAlign w:val="bottom"/>
            <w:hideMark/>
          </w:tcPr>
          <w:p w14:paraId="6021B0DA"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801" w:type="dxa"/>
            <w:tcBorders>
              <w:top w:val="nil"/>
              <w:left w:val="nil"/>
              <w:bottom w:val="single" w:sz="4" w:space="0" w:color="auto"/>
              <w:right w:val="single" w:sz="4" w:space="0" w:color="auto"/>
            </w:tcBorders>
            <w:shd w:val="clear" w:color="auto" w:fill="auto"/>
            <w:vAlign w:val="center"/>
            <w:hideMark/>
          </w:tcPr>
          <w:p w14:paraId="789051B9"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46</w:t>
            </w:r>
            <w:r>
              <w:rPr>
                <w:rFonts w:ascii="Calibri (Corps)" w:hAnsi="Calibri (Corps)"/>
                <w:color w:val="1A1919"/>
                <w:sz w:val="20"/>
                <w:szCs w:val="20"/>
              </w:rPr>
              <w:t> </w:t>
            </w:r>
            <w:r w:rsidRPr="00453E3D">
              <w:rPr>
                <w:rFonts w:ascii="Calibri (Corps)" w:hAnsi="Calibri (Corps)"/>
                <w:color w:val="1A1919"/>
                <w:sz w:val="20"/>
                <w:szCs w:val="20"/>
              </w:rPr>
              <w:t xml:space="preserve">000 </w:t>
            </w:r>
          </w:p>
          <w:p w14:paraId="078A7EB4" w14:textId="58881B68"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[37 000 - 54 000]</w:t>
            </w:r>
          </w:p>
        </w:tc>
        <w:tc>
          <w:tcPr>
            <w:tcW w:w="1743" w:type="dxa"/>
            <w:tcBorders>
              <w:top w:val="nil"/>
              <w:left w:val="nil"/>
              <w:bottom w:val="single" w:sz="4" w:space="0" w:color="auto"/>
              <w:right w:val="single" w:sz="4" w:space="0" w:color="auto"/>
            </w:tcBorders>
            <w:shd w:val="clear" w:color="auto" w:fill="auto"/>
            <w:vAlign w:val="bottom"/>
            <w:hideMark/>
          </w:tcPr>
          <w:p w14:paraId="3B7FD4E5"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 xml:space="preserve">3100 </w:t>
            </w:r>
          </w:p>
          <w:p w14:paraId="672B7B42" w14:textId="149BE3D3"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[2200 - 4100]</w:t>
            </w:r>
          </w:p>
        </w:tc>
        <w:tc>
          <w:tcPr>
            <w:tcW w:w="1843" w:type="dxa"/>
            <w:tcBorders>
              <w:top w:val="nil"/>
              <w:left w:val="nil"/>
              <w:bottom w:val="single" w:sz="4" w:space="0" w:color="auto"/>
              <w:right w:val="single" w:sz="4" w:space="0" w:color="auto"/>
            </w:tcBorders>
            <w:shd w:val="clear" w:color="auto" w:fill="auto"/>
            <w:vAlign w:val="bottom"/>
            <w:hideMark/>
          </w:tcPr>
          <w:p w14:paraId="673C70F0"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 xml:space="preserve">2500 </w:t>
            </w:r>
          </w:p>
          <w:p w14:paraId="0A2471D7" w14:textId="3964B339"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[2000 - 3100]</w:t>
            </w:r>
          </w:p>
        </w:tc>
      </w:tr>
      <w:tr w:rsidR="00453E3D" w:rsidRPr="00453E3D" w14:paraId="731BDB65" w14:textId="77777777" w:rsidTr="00453E3D">
        <w:trPr>
          <w:trHeight w:val="32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522100A5"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Enfants de 0-14 ans</w:t>
            </w:r>
          </w:p>
        </w:tc>
        <w:tc>
          <w:tcPr>
            <w:tcW w:w="2126" w:type="dxa"/>
            <w:tcBorders>
              <w:top w:val="nil"/>
              <w:left w:val="nil"/>
              <w:bottom w:val="single" w:sz="4" w:space="0" w:color="auto"/>
              <w:right w:val="single" w:sz="4" w:space="0" w:color="auto"/>
            </w:tcBorders>
            <w:shd w:val="clear" w:color="000000" w:fill="FFFFFF"/>
            <w:vAlign w:val="bottom"/>
            <w:hideMark/>
          </w:tcPr>
          <w:p w14:paraId="5722A144"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801" w:type="dxa"/>
            <w:tcBorders>
              <w:top w:val="nil"/>
              <w:left w:val="nil"/>
              <w:bottom w:val="single" w:sz="4" w:space="0" w:color="auto"/>
              <w:right w:val="single" w:sz="4" w:space="0" w:color="auto"/>
            </w:tcBorders>
            <w:shd w:val="clear" w:color="auto" w:fill="auto"/>
            <w:vAlign w:val="center"/>
            <w:hideMark/>
          </w:tcPr>
          <w:p w14:paraId="2B26587E"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10</w:t>
            </w:r>
            <w:r>
              <w:rPr>
                <w:rFonts w:ascii="Calibri (Corps)" w:hAnsi="Calibri (Corps)"/>
                <w:color w:val="1A1919"/>
                <w:sz w:val="20"/>
                <w:szCs w:val="20"/>
              </w:rPr>
              <w:t> </w:t>
            </w:r>
            <w:r w:rsidRPr="00453E3D">
              <w:rPr>
                <w:rFonts w:ascii="Calibri (Corps)" w:hAnsi="Calibri (Corps)"/>
                <w:color w:val="1A1919"/>
                <w:sz w:val="20"/>
                <w:szCs w:val="20"/>
              </w:rPr>
              <w:t xml:space="preserve">000 </w:t>
            </w:r>
          </w:p>
          <w:p w14:paraId="66919A0C" w14:textId="3BFE7048"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[7600 - 12 000]</w:t>
            </w:r>
          </w:p>
        </w:tc>
        <w:tc>
          <w:tcPr>
            <w:tcW w:w="1743" w:type="dxa"/>
            <w:tcBorders>
              <w:top w:val="nil"/>
              <w:left w:val="nil"/>
              <w:bottom w:val="single" w:sz="4" w:space="0" w:color="auto"/>
              <w:right w:val="single" w:sz="4" w:space="0" w:color="auto"/>
            </w:tcBorders>
            <w:shd w:val="clear" w:color="auto" w:fill="auto"/>
            <w:vAlign w:val="bottom"/>
            <w:hideMark/>
          </w:tcPr>
          <w:p w14:paraId="01B19488"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 xml:space="preserve">1300 </w:t>
            </w:r>
          </w:p>
          <w:p w14:paraId="7ACFB139" w14:textId="791DA78C"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[&lt;1000 - 1800]</w:t>
            </w:r>
          </w:p>
        </w:tc>
        <w:tc>
          <w:tcPr>
            <w:tcW w:w="1843" w:type="dxa"/>
            <w:tcBorders>
              <w:top w:val="nil"/>
              <w:left w:val="nil"/>
              <w:bottom w:val="single" w:sz="4" w:space="0" w:color="auto"/>
              <w:right w:val="single" w:sz="4" w:space="0" w:color="auto"/>
            </w:tcBorders>
            <w:shd w:val="clear" w:color="auto" w:fill="auto"/>
            <w:vAlign w:val="bottom"/>
            <w:hideMark/>
          </w:tcPr>
          <w:p w14:paraId="7CED21EC" w14:textId="77777777" w:rsidR="00453E3D" w:rsidRDefault="00453E3D" w:rsidP="00453E3D">
            <w:pPr>
              <w:rPr>
                <w:rFonts w:ascii="Calibri (Corps)" w:hAnsi="Calibri (Corps)"/>
                <w:color w:val="1A1919"/>
                <w:sz w:val="20"/>
                <w:szCs w:val="20"/>
              </w:rPr>
            </w:pPr>
            <w:r w:rsidRPr="00453E3D">
              <w:rPr>
                <w:rFonts w:ascii="Calibri (Corps)" w:hAnsi="Calibri (Corps)"/>
                <w:color w:val="1A1919"/>
                <w:sz w:val="20"/>
                <w:szCs w:val="20"/>
              </w:rPr>
              <w:t xml:space="preserve">&lt;1000 </w:t>
            </w:r>
          </w:p>
          <w:p w14:paraId="0CCEC302" w14:textId="14C5A239"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[&lt;1000 - 1100]</w:t>
            </w:r>
          </w:p>
        </w:tc>
      </w:tr>
      <w:tr w:rsidR="00453E3D" w:rsidRPr="00453E3D" w14:paraId="1CC1D7A5" w14:textId="77777777" w:rsidTr="00453E3D">
        <w:trPr>
          <w:trHeight w:val="32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0EBCB053"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Femmes de 15-49 ans</w:t>
            </w:r>
          </w:p>
        </w:tc>
        <w:tc>
          <w:tcPr>
            <w:tcW w:w="2126" w:type="dxa"/>
            <w:tcBorders>
              <w:top w:val="nil"/>
              <w:left w:val="nil"/>
              <w:bottom w:val="single" w:sz="4" w:space="0" w:color="auto"/>
              <w:right w:val="single" w:sz="4" w:space="0" w:color="auto"/>
            </w:tcBorders>
            <w:shd w:val="clear" w:color="auto" w:fill="auto"/>
            <w:vAlign w:val="bottom"/>
            <w:hideMark/>
          </w:tcPr>
          <w:p w14:paraId="77C512BA"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1.9 [1.5 - 2.3]</w:t>
            </w:r>
          </w:p>
        </w:tc>
        <w:tc>
          <w:tcPr>
            <w:tcW w:w="1801" w:type="dxa"/>
            <w:tcBorders>
              <w:top w:val="nil"/>
              <w:left w:val="nil"/>
              <w:bottom w:val="single" w:sz="4" w:space="0" w:color="auto"/>
              <w:right w:val="single" w:sz="4" w:space="0" w:color="auto"/>
            </w:tcBorders>
            <w:shd w:val="clear" w:color="000000" w:fill="FFFFFF"/>
            <w:vAlign w:val="bottom"/>
            <w:hideMark/>
          </w:tcPr>
          <w:p w14:paraId="5E6C5AB6"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743" w:type="dxa"/>
            <w:tcBorders>
              <w:top w:val="nil"/>
              <w:left w:val="nil"/>
              <w:bottom w:val="single" w:sz="4" w:space="0" w:color="auto"/>
              <w:right w:val="single" w:sz="4" w:space="0" w:color="auto"/>
            </w:tcBorders>
            <w:shd w:val="clear" w:color="000000" w:fill="FFFFFF"/>
            <w:vAlign w:val="bottom"/>
            <w:hideMark/>
          </w:tcPr>
          <w:p w14:paraId="7DE0DCBE"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843" w:type="dxa"/>
            <w:tcBorders>
              <w:top w:val="nil"/>
              <w:left w:val="nil"/>
              <w:bottom w:val="single" w:sz="4" w:space="0" w:color="auto"/>
              <w:right w:val="single" w:sz="4" w:space="0" w:color="auto"/>
            </w:tcBorders>
            <w:shd w:val="clear" w:color="000000" w:fill="FFFFFF"/>
            <w:vAlign w:val="bottom"/>
            <w:hideMark/>
          </w:tcPr>
          <w:p w14:paraId="3681630E"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r>
      <w:tr w:rsidR="00453E3D" w:rsidRPr="00453E3D" w14:paraId="1D2D4AB4" w14:textId="77777777" w:rsidTr="00453E3D">
        <w:trPr>
          <w:trHeight w:val="32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537A9A53"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Hommes de 15-49 ans</w:t>
            </w:r>
          </w:p>
        </w:tc>
        <w:tc>
          <w:tcPr>
            <w:tcW w:w="2126" w:type="dxa"/>
            <w:tcBorders>
              <w:top w:val="nil"/>
              <w:left w:val="nil"/>
              <w:bottom w:val="single" w:sz="4" w:space="0" w:color="auto"/>
              <w:right w:val="single" w:sz="4" w:space="0" w:color="auto"/>
            </w:tcBorders>
            <w:shd w:val="clear" w:color="auto" w:fill="auto"/>
            <w:vAlign w:val="bottom"/>
            <w:hideMark/>
          </w:tcPr>
          <w:p w14:paraId="217F43A3"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1.1 [0.9 - 1.3]</w:t>
            </w:r>
          </w:p>
        </w:tc>
        <w:tc>
          <w:tcPr>
            <w:tcW w:w="1801" w:type="dxa"/>
            <w:tcBorders>
              <w:top w:val="nil"/>
              <w:left w:val="nil"/>
              <w:bottom w:val="single" w:sz="4" w:space="0" w:color="auto"/>
              <w:right w:val="single" w:sz="4" w:space="0" w:color="auto"/>
            </w:tcBorders>
            <w:shd w:val="clear" w:color="000000" w:fill="FFFFFF"/>
            <w:vAlign w:val="bottom"/>
            <w:hideMark/>
          </w:tcPr>
          <w:p w14:paraId="2A5283C1"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743" w:type="dxa"/>
            <w:tcBorders>
              <w:top w:val="nil"/>
              <w:left w:val="nil"/>
              <w:bottom w:val="single" w:sz="4" w:space="0" w:color="auto"/>
              <w:right w:val="single" w:sz="4" w:space="0" w:color="auto"/>
            </w:tcBorders>
            <w:shd w:val="clear" w:color="000000" w:fill="FFFFFF"/>
            <w:vAlign w:val="bottom"/>
            <w:hideMark/>
          </w:tcPr>
          <w:p w14:paraId="3A955E27"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843" w:type="dxa"/>
            <w:tcBorders>
              <w:top w:val="nil"/>
              <w:left w:val="nil"/>
              <w:bottom w:val="single" w:sz="4" w:space="0" w:color="auto"/>
              <w:right w:val="single" w:sz="4" w:space="0" w:color="auto"/>
            </w:tcBorders>
            <w:shd w:val="clear" w:color="000000" w:fill="FFFFFF"/>
            <w:vAlign w:val="bottom"/>
            <w:hideMark/>
          </w:tcPr>
          <w:p w14:paraId="0F49CC3F"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r>
      <w:tr w:rsidR="00453E3D" w:rsidRPr="00453E3D" w14:paraId="20A0109C" w14:textId="77777777" w:rsidTr="00453E3D">
        <w:trPr>
          <w:trHeight w:val="32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6D97AF9C"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Jeunes filles</w:t>
            </w:r>
          </w:p>
        </w:tc>
        <w:tc>
          <w:tcPr>
            <w:tcW w:w="2126" w:type="dxa"/>
            <w:tcBorders>
              <w:top w:val="nil"/>
              <w:left w:val="nil"/>
              <w:bottom w:val="single" w:sz="4" w:space="0" w:color="auto"/>
              <w:right w:val="single" w:sz="4" w:space="0" w:color="auto"/>
            </w:tcBorders>
            <w:shd w:val="clear" w:color="auto" w:fill="auto"/>
            <w:vAlign w:val="bottom"/>
            <w:hideMark/>
          </w:tcPr>
          <w:p w14:paraId="6F38D3CD"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1.0 [0.4 - 1.6]</w:t>
            </w:r>
          </w:p>
        </w:tc>
        <w:tc>
          <w:tcPr>
            <w:tcW w:w="1801" w:type="dxa"/>
            <w:tcBorders>
              <w:top w:val="nil"/>
              <w:left w:val="nil"/>
              <w:bottom w:val="single" w:sz="4" w:space="0" w:color="auto"/>
              <w:right w:val="single" w:sz="4" w:space="0" w:color="auto"/>
            </w:tcBorders>
            <w:shd w:val="clear" w:color="000000" w:fill="FFFFFF"/>
            <w:vAlign w:val="bottom"/>
            <w:hideMark/>
          </w:tcPr>
          <w:p w14:paraId="72226178"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743" w:type="dxa"/>
            <w:tcBorders>
              <w:top w:val="nil"/>
              <w:left w:val="nil"/>
              <w:bottom w:val="single" w:sz="4" w:space="0" w:color="auto"/>
              <w:right w:val="single" w:sz="4" w:space="0" w:color="auto"/>
            </w:tcBorders>
            <w:shd w:val="clear" w:color="000000" w:fill="FFFFFF"/>
            <w:vAlign w:val="bottom"/>
            <w:hideMark/>
          </w:tcPr>
          <w:p w14:paraId="2C023E7E"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843" w:type="dxa"/>
            <w:tcBorders>
              <w:top w:val="nil"/>
              <w:left w:val="nil"/>
              <w:bottom w:val="single" w:sz="4" w:space="0" w:color="auto"/>
              <w:right w:val="single" w:sz="4" w:space="0" w:color="auto"/>
            </w:tcBorders>
            <w:shd w:val="clear" w:color="000000" w:fill="FFFFFF"/>
            <w:vAlign w:val="bottom"/>
            <w:hideMark/>
          </w:tcPr>
          <w:p w14:paraId="6D243206"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r>
      <w:tr w:rsidR="00453E3D" w:rsidRPr="00453E3D" w14:paraId="05B90819" w14:textId="77777777" w:rsidTr="00453E3D">
        <w:trPr>
          <w:trHeight w:val="32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37A9F109"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Jeunes garçons</w:t>
            </w:r>
          </w:p>
        </w:tc>
        <w:tc>
          <w:tcPr>
            <w:tcW w:w="2126" w:type="dxa"/>
            <w:tcBorders>
              <w:top w:val="nil"/>
              <w:left w:val="nil"/>
              <w:bottom w:val="single" w:sz="4" w:space="0" w:color="auto"/>
              <w:right w:val="single" w:sz="4" w:space="0" w:color="auto"/>
            </w:tcBorders>
            <w:shd w:val="clear" w:color="auto" w:fill="auto"/>
            <w:vAlign w:val="bottom"/>
            <w:hideMark/>
          </w:tcPr>
          <w:p w14:paraId="0D90C13C" w14:textId="77777777" w:rsidR="00453E3D" w:rsidRPr="00453E3D" w:rsidRDefault="00453E3D" w:rsidP="00453E3D">
            <w:pPr>
              <w:rPr>
                <w:rFonts w:ascii="Calibri (Corps)" w:hAnsi="Calibri (Corps)"/>
                <w:color w:val="1A1919"/>
                <w:sz w:val="20"/>
                <w:szCs w:val="20"/>
              </w:rPr>
            </w:pPr>
            <w:r w:rsidRPr="00453E3D">
              <w:rPr>
                <w:rFonts w:ascii="Calibri (Corps)" w:hAnsi="Calibri (Corps)"/>
                <w:color w:val="1A1919"/>
                <w:sz w:val="20"/>
                <w:szCs w:val="20"/>
              </w:rPr>
              <w:t>0.4 [0.2 - 0.7]</w:t>
            </w:r>
          </w:p>
        </w:tc>
        <w:tc>
          <w:tcPr>
            <w:tcW w:w="1801" w:type="dxa"/>
            <w:tcBorders>
              <w:top w:val="nil"/>
              <w:left w:val="nil"/>
              <w:bottom w:val="single" w:sz="4" w:space="0" w:color="auto"/>
              <w:right w:val="single" w:sz="4" w:space="0" w:color="auto"/>
            </w:tcBorders>
            <w:shd w:val="clear" w:color="000000" w:fill="FFFFFF"/>
            <w:vAlign w:val="bottom"/>
            <w:hideMark/>
          </w:tcPr>
          <w:p w14:paraId="0551E1E8"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743" w:type="dxa"/>
            <w:tcBorders>
              <w:top w:val="nil"/>
              <w:left w:val="nil"/>
              <w:bottom w:val="single" w:sz="4" w:space="0" w:color="auto"/>
              <w:right w:val="single" w:sz="4" w:space="0" w:color="auto"/>
            </w:tcBorders>
            <w:shd w:val="clear" w:color="000000" w:fill="FFFFFF"/>
            <w:vAlign w:val="bottom"/>
            <w:hideMark/>
          </w:tcPr>
          <w:p w14:paraId="31544338"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c>
          <w:tcPr>
            <w:tcW w:w="1843" w:type="dxa"/>
            <w:tcBorders>
              <w:top w:val="nil"/>
              <w:left w:val="nil"/>
              <w:bottom w:val="single" w:sz="4" w:space="0" w:color="auto"/>
              <w:right w:val="single" w:sz="4" w:space="0" w:color="auto"/>
            </w:tcBorders>
            <w:shd w:val="clear" w:color="000000" w:fill="FFFFFF"/>
            <w:vAlign w:val="bottom"/>
            <w:hideMark/>
          </w:tcPr>
          <w:p w14:paraId="08A38F31" w14:textId="77777777" w:rsidR="00453E3D" w:rsidRPr="00453E3D" w:rsidRDefault="00453E3D" w:rsidP="00453E3D">
            <w:pPr>
              <w:rPr>
                <w:rFonts w:ascii="Calibri (Corps)" w:hAnsi="Calibri (Corps)"/>
                <w:color w:val="000000"/>
                <w:sz w:val="20"/>
                <w:szCs w:val="20"/>
              </w:rPr>
            </w:pPr>
            <w:r w:rsidRPr="00453E3D">
              <w:rPr>
                <w:rFonts w:ascii="Calibri (Corps)" w:hAnsi="Calibri (Corps)"/>
                <w:color w:val="000000"/>
                <w:sz w:val="20"/>
                <w:szCs w:val="20"/>
              </w:rPr>
              <w:t> </w:t>
            </w:r>
          </w:p>
        </w:tc>
      </w:tr>
    </w:tbl>
    <w:p w14:paraId="1A90E483" w14:textId="77777777" w:rsidR="00C47CD6" w:rsidRDefault="00C47CD6" w:rsidP="00C738B4">
      <w:pPr>
        <w:jc w:val="both"/>
        <w:rPr>
          <w:rFonts w:ascii="Calibri" w:hAnsi="Calibri" w:cs="Arial"/>
        </w:rPr>
      </w:pPr>
    </w:p>
    <w:p w14:paraId="0DAAB71F" w14:textId="0C9BAF9F" w:rsidR="00C47CD6" w:rsidRPr="00C47CD6" w:rsidRDefault="00C47CD6" w:rsidP="00563646">
      <w:pPr>
        <w:pStyle w:val="graph"/>
      </w:pPr>
      <w:bookmarkStart w:id="43" w:name="_Toc521065107"/>
      <w:r w:rsidRPr="00563646">
        <w:rPr>
          <w:u w:val="single"/>
        </w:rPr>
        <w:t>Graphique 1</w:t>
      </w:r>
      <w:r w:rsidRPr="00C47CD6">
        <w:t xml:space="preserve"> : </w:t>
      </w:r>
      <w:r w:rsidRPr="00563646">
        <w:rPr>
          <w:b w:val="0"/>
        </w:rPr>
        <w:t>Distribution des tests VIH positif au 1er semestre 2017</w:t>
      </w:r>
      <w:bookmarkEnd w:id="43"/>
    </w:p>
    <w:p w14:paraId="0F0B2080" w14:textId="0E34764A" w:rsidR="00C738B4" w:rsidRPr="00C738B4" w:rsidRDefault="00C47CD6" w:rsidP="00C47CD6">
      <w:pPr>
        <w:ind w:right="5187"/>
        <w:jc w:val="both"/>
        <w:rPr>
          <w:rFonts w:ascii="Calibri" w:hAnsi="Calibri" w:cs="Arial"/>
        </w:rPr>
      </w:pPr>
      <w:r>
        <w:rPr>
          <w:rFonts w:ascii="Calibri" w:hAnsi="Calibri" w:cs="Arial"/>
          <w:noProof/>
        </w:rPr>
        <mc:AlternateContent>
          <mc:Choice Requires="wps">
            <w:drawing>
              <wp:anchor distT="0" distB="0" distL="114300" distR="114300" simplePos="0" relativeHeight="251692032" behindDoc="0" locked="0" layoutInCell="1" allowOverlap="1" wp14:anchorId="7E6E4FA6" wp14:editId="2AC5A723">
                <wp:simplePos x="0" y="0"/>
                <wp:positionH relativeFrom="column">
                  <wp:posOffset>3214865</wp:posOffset>
                </wp:positionH>
                <wp:positionV relativeFrom="paragraph">
                  <wp:posOffset>80017</wp:posOffset>
                </wp:positionV>
                <wp:extent cx="2994409" cy="1939332"/>
                <wp:effectExtent l="0" t="0" r="15875" b="16510"/>
                <wp:wrapNone/>
                <wp:docPr id="11273" name="Zone de texte 11273"/>
                <wp:cNvGraphicFramePr/>
                <a:graphic xmlns:a="http://schemas.openxmlformats.org/drawingml/2006/main">
                  <a:graphicData uri="http://schemas.microsoft.com/office/word/2010/wordprocessingShape">
                    <wps:wsp>
                      <wps:cNvSpPr txBox="1"/>
                      <wps:spPr>
                        <a:xfrm>
                          <a:off x="0" y="0"/>
                          <a:ext cx="2994409" cy="1939332"/>
                        </a:xfrm>
                        <a:prstGeom prst="rect">
                          <a:avLst/>
                        </a:prstGeom>
                        <a:solidFill>
                          <a:schemeClr val="lt1"/>
                        </a:solidFill>
                        <a:ln w="6350">
                          <a:solidFill>
                            <a:prstClr val="black"/>
                          </a:solidFill>
                        </a:ln>
                      </wps:spPr>
                      <wps:txbx>
                        <w:txbxContent>
                          <w:p w14:paraId="580B5233" w14:textId="26CBC8D8" w:rsidR="00240456" w:rsidRDefault="00240456">
                            <w:r>
                              <w:rPr>
                                <w:noProof/>
                              </w:rPr>
                              <w:drawing>
                                <wp:inline distT="0" distB="0" distL="0" distR="0" wp14:anchorId="72E4CB53" wp14:editId="3F9F2B21">
                                  <wp:extent cx="2803629" cy="1828800"/>
                                  <wp:effectExtent l="0" t="0" r="3175" b="0"/>
                                  <wp:docPr id="11276" name="Image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2565" cy="18346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E4FA6" id="Zone de texte 11273" o:spid="_x0000_s1035" type="#_x0000_t202" style="position:absolute;left:0;text-align:left;margin-left:253.15pt;margin-top:6.3pt;width:235.8pt;height:152.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" fillcolor="white [3201]" strokeweight=".5pt">
                <v:textbox>
                  <w:txbxContent>
                    <w:p w14:paraId="580B5233" w14:textId="26CBC8D8" w:rsidR="00240456" w:rsidRDefault="00240456">
                      <w:r>
                        <w:rPr>
                          <w:noProof/>
                        </w:rPr>
                        <w:drawing>
                          <wp:inline distT="0" distB="0" distL="0" distR="0" wp14:anchorId="72E4CB53" wp14:editId="3F9F2B21">
                            <wp:extent cx="2803629" cy="1828800"/>
                            <wp:effectExtent l="0" t="0" r="3175" b="0"/>
                            <wp:docPr id="11276" name="Image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2565" cy="1834629"/>
                                    </a:xfrm>
                                    <a:prstGeom prst="rect">
                                      <a:avLst/>
                                    </a:prstGeom>
                                  </pic:spPr>
                                </pic:pic>
                              </a:graphicData>
                            </a:graphic>
                          </wp:inline>
                        </w:drawing>
                      </w:r>
                    </w:p>
                  </w:txbxContent>
                </v:textbox>
              </v:shape>
            </w:pict>
          </mc:Fallback>
        </mc:AlternateContent>
      </w:r>
      <w:r w:rsidR="007324BB">
        <w:rPr>
          <w:rFonts w:ascii="Calibri" w:hAnsi="Calibri" w:cs="Arial"/>
        </w:rPr>
        <w:t xml:space="preserve">Il existe </w:t>
      </w:r>
      <w:r w:rsidR="004825BB">
        <w:rPr>
          <w:rFonts w:ascii="Calibri" w:hAnsi="Calibri" w:cs="Arial"/>
        </w:rPr>
        <w:t xml:space="preserve">de grandes disparités de la prévalence du VIH au niveau des régions. L’enquête la plus récente illustrant cette situation est </w:t>
      </w:r>
      <w:r w:rsidR="004825BB" w:rsidRPr="004825BB">
        <w:rPr>
          <w:rFonts w:ascii="Calibri" w:hAnsi="Calibri" w:cs="Arial"/>
        </w:rPr>
        <w:t>EDS-MICS 2012</w:t>
      </w:r>
      <w:r w:rsidR="004825BB">
        <w:rPr>
          <w:rFonts w:ascii="Calibri" w:hAnsi="Calibri" w:cs="Arial"/>
        </w:rPr>
        <w:t xml:space="preserve"> qui a donné les résultats suivants :</w:t>
      </w:r>
      <w:r w:rsidR="00C738B4" w:rsidRPr="00C738B4">
        <w:rPr>
          <w:rFonts w:ascii="Calibri" w:hAnsi="Calibri" w:cs="Arial"/>
        </w:rPr>
        <w:t xml:space="preserve"> Conakry : 2,7%, Boké 1,6%, Kindia 1,0%, Mamou 1,7%, Labé 1,6%, Faranah 1,4%, Kankan 1,6% et N’Zérékoré, 1,7%. </w:t>
      </w:r>
      <w:r w:rsidR="004825BB">
        <w:rPr>
          <w:rFonts w:ascii="Calibri" w:hAnsi="Calibri" w:cs="Arial"/>
        </w:rPr>
        <w:t xml:space="preserve">En milieu rural la prévalence était de 1,2% contre 2,7% en milieu urbain, tandis que chez les hommes et les femmes elle est respectivement de 1,2% et 2,1%. </w:t>
      </w:r>
    </w:p>
    <w:p w14:paraId="38015CF5" w14:textId="2A44E6A2" w:rsidR="00C738B4" w:rsidRPr="00C738B4" w:rsidRDefault="00C738B4" w:rsidP="00C47CD6">
      <w:pPr>
        <w:ind w:right="5187"/>
        <w:jc w:val="both"/>
        <w:rPr>
          <w:rFonts w:ascii="Calibri" w:hAnsi="Calibri" w:cs="Arial"/>
          <w:b/>
          <w:lang w:val="fr-BE"/>
        </w:rPr>
      </w:pPr>
    </w:p>
    <w:p w14:paraId="38458ED7" w14:textId="303C43C8" w:rsidR="00AB79BD" w:rsidRPr="00C47CD6" w:rsidRDefault="00C738B4" w:rsidP="00C47CD6">
      <w:pPr>
        <w:ind w:right="84"/>
        <w:jc w:val="both"/>
        <w:rPr>
          <w:rFonts w:ascii="Calibri" w:hAnsi="Calibri" w:cs="Arial"/>
          <w:b/>
          <w:lang w:val="fr-BE"/>
        </w:rPr>
      </w:pPr>
      <w:r w:rsidRPr="00C738B4">
        <w:rPr>
          <w:rFonts w:ascii="Calibri" w:hAnsi="Calibri" w:cs="Arial"/>
        </w:rPr>
        <w:t>L’analyse de la séropositivité en 2017 dans les bases de données programmatiques suggère une attention toute particulière dans les régions</w:t>
      </w:r>
      <w:r w:rsidR="00C47CD6">
        <w:rPr>
          <w:rFonts w:ascii="Calibri" w:hAnsi="Calibri" w:cs="Arial"/>
        </w:rPr>
        <w:t xml:space="preserve"> de Faranah, N’Zérékoré et Boké</w:t>
      </w:r>
      <w:r w:rsidRPr="00C738B4">
        <w:rPr>
          <w:rFonts w:ascii="Calibri" w:hAnsi="Calibri" w:cs="Arial"/>
        </w:rPr>
        <w:t>.</w:t>
      </w:r>
      <w:r w:rsidR="00C47CD6">
        <w:rPr>
          <w:rFonts w:ascii="Calibri" w:hAnsi="Calibri" w:cs="Arial"/>
          <w:b/>
          <w:lang w:val="fr-BE"/>
        </w:rPr>
        <w:t xml:space="preserve"> </w:t>
      </w:r>
      <w:r w:rsidRPr="00C738B4">
        <w:rPr>
          <w:rFonts w:ascii="Calibri" w:hAnsi="Calibri" w:cs="Arial"/>
        </w:rPr>
        <w:t>Au cours du premier semestre 2017, la séropositivité est de 14,5% (15094/103925</w:t>
      </w:r>
      <w:proofErr w:type="gramStart"/>
      <w:r w:rsidRPr="00C738B4">
        <w:rPr>
          <w:rFonts w:ascii="Calibri" w:hAnsi="Calibri" w:cs="Arial"/>
        </w:rPr>
        <w:t>);</w:t>
      </w:r>
      <w:proofErr w:type="gramEnd"/>
      <w:r w:rsidRPr="00C738B4">
        <w:rPr>
          <w:rFonts w:ascii="Calibri" w:hAnsi="Calibri" w:cs="Arial"/>
        </w:rPr>
        <w:t xml:space="preserve"> elle est en dépistage préventif de 6,7% (2578/38193) et à visée diagnostique de 19,04% (12516/65732)..</w:t>
      </w:r>
    </w:p>
    <w:p w14:paraId="3A00292C" w14:textId="54307EA7" w:rsidR="00AB79BD" w:rsidRPr="005B52BA" w:rsidRDefault="00AB79BD" w:rsidP="00AB79BD">
      <w:pPr>
        <w:jc w:val="both"/>
        <w:rPr>
          <w:rFonts w:ascii="Calibri" w:hAnsi="Calibri"/>
          <w:b/>
          <w:noProof/>
        </w:rPr>
      </w:pPr>
    </w:p>
    <w:p w14:paraId="333842BE" w14:textId="1EAB6F05" w:rsidR="00AB79BD" w:rsidRPr="005B52BA" w:rsidRDefault="000F1CD0" w:rsidP="00C34A61">
      <w:pPr>
        <w:pStyle w:val="Paragraphedeliste"/>
        <w:numPr>
          <w:ilvl w:val="0"/>
          <w:numId w:val="7"/>
        </w:numPr>
        <w:ind w:left="426" w:hanging="426"/>
        <w:contextualSpacing w:val="0"/>
        <w:jc w:val="both"/>
        <w:rPr>
          <w:rFonts w:ascii="Calibri" w:hAnsi="Calibri"/>
          <w:b/>
          <w:noProof/>
        </w:rPr>
      </w:pPr>
      <w:r>
        <w:rPr>
          <w:rFonts w:ascii="Calibri" w:hAnsi="Calibri"/>
          <w:b/>
          <w:noProof/>
        </w:rPr>
        <w:t>N</w:t>
      </w:r>
      <w:r w:rsidR="00AB79BD" w:rsidRPr="005B52BA">
        <w:rPr>
          <w:rFonts w:ascii="Calibri" w:hAnsi="Calibri"/>
          <w:b/>
          <w:noProof/>
        </w:rPr>
        <w:t>ouvelles infections</w:t>
      </w:r>
      <w:r>
        <w:rPr>
          <w:rFonts w:ascii="Calibri" w:hAnsi="Calibri"/>
          <w:b/>
          <w:noProof/>
        </w:rPr>
        <w:t xml:space="preserve"> et modes de transmission</w:t>
      </w:r>
    </w:p>
    <w:p w14:paraId="106550FD" w14:textId="77777777" w:rsidR="00AB79BD" w:rsidRPr="005B52BA" w:rsidRDefault="00AB79BD" w:rsidP="00AB79BD">
      <w:pPr>
        <w:ind w:left="360"/>
        <w:jc w:val="both"/>
        <w:rPr>
          <w:rFonts w:ascii="Calibri" w:hAnsi="Calibri"/>
          <w:noProof/>
        </w:rPr>
      </w:pPr>
    </w:p>
    <w:p w14:paraId="19E0A4D9" w14:textId="77777777" w:rsidR="00AB79BD" w:rsidRPr="005B52BA" w:rsidRDefault="00AB79BD" w:rsidP="00AB79BD">
      <w:pPr>
        <w:jc w:val="both"/>
        <w:rPr>
          <w:rFonts w:ascii="Calibri" w:hAnsi="Calibri"/>
        </w:rPr>
      </w:pPr>
      <w:r w:rsidRPr="005B52BA">
        <w:rPr>
          <w:rFonts w:ascii="Calibri" w:hAnsi="Calibri" w:cs="Arial"/>
        </w:rPr>
        <w:t xml:space="preserve">Selon les estimations par EPP-SPECTRUM, les </w:t>
      </w:r>
      <w:bookmarkStart w:id="44" w:name="_Hlk494525949"/>
      <w:r w:rsidRPr="005B52BA">
        <w:rPr>
          <w:rFonts w:ascii="Calibri" w:hAnsi="Calibri" w:cs="Arial"/>
        </w:rPr>
        <w:t xml:space="preserve">nouvelles infections chez les enfants </w:t>
      </w:r>
      <w:bookmarkEnd w:id="44"/>
      <w:r w:rsidRPr="005B52BA">
        <w:rPr>
          <w:rFonts w:ascii="Calibri" w:hAnsi="Calibri" w:cs="Arial"/>
        </w:rPr>
        <w:t xml:space="preserve">sont en forte progression depuis 2014, même si les projections évoquent une stabilisation dans les cinq prochaines années si les mesures envisagées sont effectivement mises en œuvre. </w:t>
      </w:r>
      <w:r w:rsidRPr="005B52BA">
        <w:rPr>
          <w:rFonts w:ascii="Calibri" w:hAnsi="Calibri"/>
        </w:rPr>
        <w:t>Les résultats de la modélisation montrent une légère baisse des nouvelles infections entre 2014 et 2021 chez les adultes.</w:t>
      </w:r>
    </w:p>
    <w:p w14:paraId="22766470" w14:textId="6AEB8CF1" w:rsidR="007046EA" w:rsidRDefault="007046EA" w:rsidP="007046EA">
      <w:pPr>
        <w:rPr>
          <w:rFonts w:ascii="Calibri" w:hAnsi="Calibri"/>
          <w:lang w:eastAsia="en-US"/>
        </w:rPr>
      </w:pPr>
    </w:p>
    <w:p w14:paraId="3AA8AFA9" w14:textId="5236071E" w:rsidR="00413FC4" w:rsidRPr="00563646" w:rsidRDefault="00413FC4" w:rsidP="00563646">
      <w:pPr>
        <w:pStyle w:val="graph"/>
        <w:jc w:val="left"/>
        <w:rPr>
          <w:b w:val="0"/>
        </w:rPr>
      </w:pPr>
      <w:bookmarkStart w:id="45" w:name="_Toc521065108"/>
      <w:r w:rsidRPr="00563646">
        <w:rPr>
          <w:u w:val="single"/>
        </w:rPr>
        <w:t>Graphique 2</w:t>
      </w:r>
      <w:r w:rsidRPr="00C47CD6">
        <w:t xml:space="preserve"> : </w:t>
      </w:r>
      <w:r w:rsidRPr="00563646">
        <w:rPr>
          <w:b w:val="0"/>
        </w:rPr>
        <w:t>Modélisation de l’évolution des nouvelles infections à VIH</w:t>
      </w:r>
      <w:bookmarkEnd w:id="45"/>
    </w:p>
    <w:p w14:paraId="698ADBA1" w14:textId="77777777" w:rsidR="00413FC4" w:rsidRPr="005B52BA" w:rsidRDefault="00413FC4" w:rsidP="007046EA">
      <w:pPr>
        <w:rPr>
          <w:rFonts w:ascii="Calibri" w:hAnsi="Calibri"/>
          <w:lang w:eastAsia="en-US"/>
        </w:rPr>
      </w:pPr>
    </w:p>
    <w:p w14:paraId="288B6371" w14:textId="119B9105" w:rsidR="00E66FAB" w:rsidRPr="005B52BA" w:rsidRDefault="00B177FE" w:rsidP="00AB79BD">
      <w:pPr>
        <w:jc w:val="both"/>
        <w:rPr>
          <w:rFonts w:ascii="Calibri" w:hAnsi="Calibri"/>
        </w:rPr>
      </w:pPr>
      <w:r>
        <w:rPr>
          <w:noProof/>
        </w:rPr>
        <w:drawing>
          <wp:inline distT="0" distB="0" distL="0" distR="0" wp14:anchorId="18173413" wp14:editId="7FA8A05E">
            <wp:extent cx="6263539" cy="1927412"/>
            <wp:effectExtent l="0" t="0" r="0" b="3175"/>
            <wp:docPr id="11275" name="Imag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78288" cy="1931950"/>
                    </a:xfrm>
                    <a:prstGeom prst="rect">
                      <a:avLst/>
                    </a:prstGeom>
                  </pic:spPr>
                </pic:pic>
              </a:graphicData>
            </a:graphic>
          </wp:inline>
        </w:drawing>
      </w:r>
    </w:p>
    <w:p w14:paraId="6D20C5A2" w14:textId="31CEC9E4" w:rsidR="00AB79BD" w:rsidRDefault="00AB79BD" w:rsidP="00AB79BD">
      <w:pPr>
        <w:jc w:val="both"/>
        <w:rPr>
          <w:rFonts w:ascii="Calibri" w:hAnsi="Calibri"/>
          <w:noProof/>
        </w:rPr>
      </w:pPr>
    </w:p>
    <w:p w14:paraId="2E75242E" w14:textId="7100CCC7" w:rsidR="000F1CD0" w:rsidRDefault="000F1CD0" w:rsidP="000F1CD0">
      <w:pPr>
        <w:jc w:val="both"/>
        <w:rPr>
          <w:rFonts w:ascii="Calibri" w:hAnsi="Calibri"/>
        </w:rPr>
      </w:pPr>
      <w:r>
        <w:rPr>
          <w:rFonts w:ascii="Calibri" w:hAnsi="Calibri"/>
          <w:noProof/>
        </w:rPr>
        <w:t xml:space="preserve">La contribution des groupes de populations aux nouvelles restent variable. Bien que datant de 2012, l’analyse des modes de transmission (MoT) selon la méthodologie proposée </w:t>
      </w:r>
      <w:r>
        <w:rPr>
          <w:rFonts w:ascii="Calibri" w:hAnsi="Calibri"/>
        </w:rPr>
        <w:t>par l’ONUSIDA indique la contribution aux nouvelles infections est dominée par :</w:t>
      </w:r>
    </w:p>
    <w:p w14:paraId="2781E4EC" w14:textId="72860253" w:rsidR="000F1CD0" w:rsidRDefault="000F1CD0" w:rsidP="00C34A61">
      <w:pPr>
        <w:pStyle w:val="Paragraphedeliste"/>
        <w:numPr>
          <w:ilvl w:val="0"/>
          <w:numId w:val="27"/>
        </w:numPr>
        <w:jc w:val="both"/>
        <w:rPr>
          <w:rFonts w:ascii="Calibri" w:hAnsi="Calibri"/>
          <w:noProof/>
        </w:rPr>
      </w:pPr>
      <w:r>
        <w:rPr>
          <w:rFonts w:ascii="Calibri" w:hAnsi="Calibri"/>
        </w:rPr>
        <w:t xml:space="preserve">Les couples </w:t>
      </w:r>
      <w:r w:rsidRPr="005B52BA">
        <w:rPr>
          <w:rFonts w:ascii="Calibri" w:hAnsi="Calibri"/>
          <w:noProof/>
        </w:rPr>
        <w:t>heterosexuels dits « stables »</w:t>
      </w:r>
      <w:r>
        <w:rPr>
          <w:rFonts w:ascii="Calibri" w:hAnsi="Calibri"/>
          <w:noProof/>
        </w:rPr>
        <w:t xml:space="preserve">= 20% </w:t>
      </w:r>
    </w:p>
    <w:p w14:paraId="1A14244A" w14:textId="5C3BD9C1" w:rsidR="000F1CD0" w:rsidRDefault="000F1CD0" w:rsidP="00C34A61">
      <w:pPr>
        <w:pStyle w:val="Paragraphedeliste"/>
        <w:numPr>
          <w:ilvl w:val="0"/>
          <w:numId w:val="27"/>
        </w:numPr>
        <w:jc w:val="both"/>
        <w:rPr>
          <w:rFonts w:ascii="Calibri" w:hAnsi="Calibri"/>
          <w:noProof/>
        </w:rPr>
      </w:pPr>
      <w:r>
        <w:rPr>
          <w:rFonts w:ascii="Calibri" w:hAnsi="Calibri"/>
          <w:noProof/>
        </w:rPr>
        <w:t xml:space="preserve">La transmission verticale du VIH de la mère à l’enfant= 19,9% </w:t>
      </w:r>
    </w:p>
    <w:p w14:paraId="7F1DA73D" w14:textId="1EB4D791" w:rsidR="000F1CD0" w:rsidRDefault="000F1CD0" w:rsidP="00C34A61">
      <w:pPr>
        <w:pStyle w:val="Paragraphedeliste"/>
        <w:numPr>
          <w:ilvl w:val="0"/>
          <w:numId w:val="27"/>
        </w:numPr>
        <w:jc w:val="both"/>
        <w:rPr>
          <w:rFonts w:ascii="Calibri" w:hAnsi="Calibri"/>
          <w:noProof/>
        </w:rPr>
      </w:pPr>
      <w:r>
        <w:rPr>
          <w:rFonts w:ascii="Calibri" w:hAnsi="Calibri"/>
          <w:noProof/>
        </w:rPr>
        <w:t>Les hommes ayant des rapports sexuels avec d’autres hommes= 10-20%</w:t>
      </w:r>
    </w:p>
    <w:p w14:paraId="1ABE8F4C" w14:textId="2F17B0ED" w:rsidR="000F1CD0" w:rsidRDefault="000F1CD0" w:rsidP="00C34A61">
      <w:pPr>
        <w:pStyle w:val="Paragraphedeliste"/>
        <w:numPr>
          <w:ilvl w:val="0"/>
          <w:numId w:val="27"/>
        </w:numPr>
        <w:jc w:val="both"/>
        <w:rPr>
          <w:rFonts w:ascii="Calibri" w:hAnsi="Calibri"/>
          <w:noProof/>
        </w:rPr>
      </w:pPr>
      <w:r>
        <w:rPr>
          <w:rFonts w:ascii="Calibri" w:hAnsi="Calibri"/>
          <w:noProof/>
        </w:rPr>
        <w:t>Les professionnels du sexe= 6-7%</w:t>
      </w:r>
    </w:p>
    <w:p w14:paraId="3AEB2DCB" w14:textId="76928AC3" w:rsidR="000F1CD0" w:rsidRDefault="000F1CD0" w:rsidP="00C34A61">
      <w:pPr>
        <w:pStyle w:val="Paragraphedeliste"/>
        <w:numPr>
          <w:ilvl w:val="0"/>
          <w:numId w:val="27"/>
        </w:numPr>
        <w:jc w:val="both"/>
        <w:rPr>
          <w:rFonts w:ascii="Calibri" w:hAnsi="Calibri"/>
          <w:noProof/>
        </w:rPr>
      </w:pPr>
      <w:r>
        <w:rPr>
          <w:rFonts w:ascii="Calibri" w:hAnsi="Calibri"/>
          <w:noProof/>
        </w:rPr>
        <w:t>Les utilisateurs de drogue injectable (UDI) &lt;5%</w:t>
      </w:r>
    </w:p>
    <w:p w14:paraId="6EE240AA" w14:textId="77777777" w:rsidR="000F1CD0" w:rsidRPr="000F1CD0" w:rsidRDefault="000F1CD0" w:rsidP="000F1CD0">
      <w:pPr>
        <w:jc w:val="both"/>
        <w:rPr>
          <w:rFonts w:ascii="Calibri" w:hAnsi="Calibri"/>
          <w:noProof/>
        </w:rPr>
      </w:pPr>
    </w:p>
    <w:p w14:paraId="3CC9A5DF" w14:textId="41255279" w:rsidR="00AB79BD" w:rsidRPr="005B52BA" w:rsidRDefault="00FA3362" w:rsidP="00C34A61">
      <w:pPr>
        <w:pStyle w:val="Paragraphedeliste"/>
        <w:numPr>
          <w:ilvl w:val="0"/>
          <w:numId w:val="7"/>
        </w:numPr>
        <w:ind w:left="426" w:hanging="426"/>
        <w:contextualSpacing w:val="0"/>
        <w:jc w:val="both"/>
        <w:rPr>
          <w:rFonts w:ascii="Calibri" w:hAnsi="Calibri"/>
          <w:b/>
          <w:noProof/>
        </w:rPr>
      </w:pPr>
      <w:r>
        <w:rPr>
          <w:rFonts w:ascii="Calibri" w:hAnsi="Calibri"/>
          <w:b/>
          <w:noProof/>
        </w:rPr>
        <w:t>P</w:t>
      </w:r>
      <w:r w:rsidR="00AB79BD" w:rsidRPr="005B52BA">
        <w:rPr>
          <w:rFonts w:ascii="Calibri" w:hAnsi="Calibri"/>
          <w:b/>
          <w:noProof/>
        </w:rPr>
        <w:t xml:space="preserve">révalence </w:t>
      </w:r>
      <w:r>
        <w:rPr>
          <w:rFonts w:ascii="Calibri" w:hAnsi="Calibri"/>
          <w:b/>
          <w:noProof/>
        </w:rPr>
        <w:t>du VIH chez les donneurs de sang</w:t>
      </w:r>
    </w:p>
    <w:p w14:paraId="1EED4271" w14:textId="77777777" w:rsidR="00AB79BD" w:rsidRPr="005B52BA" w:rsidRDefault="00AB79BD" w:rsidP="00AB79BD">
      <w:pPr>
        <w:jc w:val="both"/>
        <w:rPr>
          <w:rFonts w:ascii="Calibri" w:hAnsi="Calibri"/>
          <w:noProof/>
        </w:rPr>
      </w:pPr>
    </w:p>
    <w:p w14:paraId="0F1AA825" w14:textId="7B56A292" w:rsidR="00AB79BD" w:rsidRPr="005B52BA" w:rsidRDefault="00FA3362" w:rsidP="00FA3362">
      <w:pPr>
        <w:ind w:left="426"/>
        <w:jc w:val="both"/>
        <w:rPr>
          <w:rFonts w:ascii="Calibri" w:hAnsi="Calibri"/>
          <w:noProof/>
        </w:rPr>
      </w:pPr>
      <w:r w:rsidRPr="00FA3362">
        <w:rPr>
          <w:rFonts w:ascii="Calibri" w:hAnsi="Calibri"/>
          <w:noProof/>
        </w:rPr>
        <w:t>L’épidémie d’Ébola de 2015 avait engendré une méfiance légitime vis-à-vis des fluides biologiques aussi bien dans la population qu’auprès des professionnels de santé.</w:t>
      </w:r>
      <w:r>
        <w:rPr>
          <w:rFonts w:ascii="Calibri" w:hAnsi="Calibri"/>
          <w:noProof/>
        </w:rPr>
        <w:t xml:space="preserve"> Par exemple à N’Zérékoré, l</w:t>
      </w:r>
      <w:r w:rsidRPr="00FA3362">
        <w:rPr>
          <w:rFonts w:ascii="Calibri" w:hAnsi="Calibri"/>
          <w:noProof/>
        </w:rPr>
        <w:t xml:space="preserve">e don de sang était devenu difficile avec une inadéquation entre l’offre et la demande au niveau de l’hôpital régional. </w:t>
      </w:r>
      <w:r>
        <w:rPr>
          <w:rFonts w:ascii="Calibri" w:hAnsi="Calibri"/>
          <w:noProof/>
        </w:rPr>
        <w:t>En l’absence</w:t>
      </w:r>
      <w:r w:rsidRPr="00FA3362">
        <w:rPr>
          <w:rFonts w:ascii="Calibri" w:hAnsi="Calibri"/>
          <w:noProof/>
        </w:rPr>
        <w:t xml:space="preserve"> de stock de sang, tout se limitait au don direct dans les situations d’urgence rendant ainsi inefficace la réponse aux urgences transfusionnelles sur l’hôpital en général et en pédiatrie en particulier. En 2015, dans ce contexte, 2071 donneurs ont été testés avec une positivité au VIH de 4,1 %.</w:t>
      </w:r>
      <w:r>
        <w:rPr>
          <w:rFonts w:ascii="Calibri" w:hAnsi="Calibri"/>
          <w:noProof/>
        </w:rPr>
        <w:t xml:space="preserve"> </w:t>
      </w:r>
      <w:r w:rsidR="00FC6AE8" w:rsidRPr="00FC6AE8">
        <w:rPr>
          <w:rFonts w:ascii="Calibri" w:hAnsi="Calibri"/>
          <w:noProof/>
        </w:rPr>
        <w:t>En 2017</w:t>
      </w:r>
      <w:r w:rsidRPr="00FC6AE8">
        <w:rPr>
          <w:rFonts w:ascii="Calibri" w:hAnsi="Calibri"/>
          <w:noProof/>
        </w:rPr>
        <w:t>, la</w:t>
      </w:r>
      <w:r w:rsidR="00AB79BD" w:rsidRPr="00FC6AE8">
        <w:rPr>
          <w:rFonts w:ascii="Calibri" w:hAnsi="Calibri"/>
          <w:noProof/>
        </w:rPr>
        <w:t xml:space="preserve"> prévalence est deux (2) fois plus élévée</w:t>
      </w:r>
      <w:r w:rsidR="00827FDD" w:rsidRPr="00FC6AE8">
        <w:rPr>
          <w:rFonts w:ascii="Calibri" w:hAnsi="Calibri"/>
          <w:noProof/>
        </w:rPr>
        <w:t xml:space="preserve"> chez les donneurs de sang (3,15</w:t>
      </w:r>
      <w:r w:rsidR="00AB79BD" w:rsidRPr="00FC6AE8">
        <w:rPr>
          <w:rFonts w:ascii="Calibri" w:hAnsi="Calibri"/>
          <w:noProof/>
        </w:rPr>
        <w:t>%), que dans la population générale (1,7%).</w:t>
      </w:r>
      <w:r w:rsidR="00AB79BD" w:rsidRPr="005B52BA">
        <w:rPr>
          <w:rFonts w:ascii="Calibri" w:hAnsi="Calibri"/>
          <w:noProof/>
        </w:rPr>
        <w:t xml:space="preserve">   </w:t>
      </w:r>
    </w:p>
    <w:p w14:paraId="0CB144AC" w14:textId="77777777" w:rsidR="00AB79BD" w:rsidRPr="005B52BA" w:rsidRDefault="00AB79BD" w:rsidP="00AB79BD">
      <w:pPr>
        <w:jc w:val="both"/>
        <w:rPr>
          <w:rFonts w:ascii="Calibri" w:hAnsi="Calibri"/>
        </w:rPr>
      </w:pPr>
    </w:p>
    <w:p w14:paraId="07A43AED" w14:textId="359A0092" w:rsidR="00AB79BD" w:rsidRPr="005B52BA" w:rsidRDefault="00FC6AE8" w:rsidP="00C34A61">
      <w:pPr>
        <w:pStyle w:val="Paragraphedeliste"/>
        <w:numPr>
          <w:ilvl w:val="0"/>
          <w:numId w:val="7"/>
        </w:numPr>
        <w:ind w:left="426" w:hanging="426"/>
        <w:contextualSpacing w:val="0"/>
        <w:jc w:val="both"/>
        <w:rPr>
          <w:rFonts w:ascii="Calibri" w:hAnsi="Calibri"/>
          <w:b/>
        </w:rPr>
      </w:pPr>
      <w:r>
        <w:rPr>
          <w:rFonts w:ascii="Calibri" w:hAnsi="Calibri"/>
          <w:b/>
        </w:rPr>
        <w:t>Coï</w:t>
      </w:r>
      <w:r w:rsidRPr="005B52BA">
        <w:rPr>
          <w:rFonts w:ascii="Calibri" w:hAnsi="Calibri"/>
          <w:b/>
        </w:rPr>
        <w:t>nfection</w:t>
      </w:r>
      <w:r w:rsidR="00AB79BD" w:rsidRPr="005B52BA">
        <w:rPr>
          <w:rFonts w:ascii="Calibri" w:hAnsi="Calibri"/>
          <w:b/>
        </w:rPr>
        <w:t xml:space="preserve"> TB/VIH</w:t>
      </w:r>
      <w:r w:rsidR="00BA056B">
        <w:rPr>
          <w:rFonts w:ascii="Calibri" w:hAnsi="Calibri"/>
          <w:b/>
        </w:rPr>
        <w:t xml:space="preserve"> et </w:t>
      </w:r>
      <w:r w:rsidR="00BA056B" w:rsidRPr="005B52BA">
        <w:rPr>
          <w:rFonts w:ascii="Calibri" w:hAnsi="Calibri"/>
          <w:b/>
          <w:noProof/>
        </w:rPr>
        <w:t>coinfection hépatite/VIH</w:t>
      </w:r>
    </w:p>
    <w:p w14:paraId="427551AA" w14:textId="77777777" w:rsidR="00AB79BD" w:rsidRPr="005B52BA" w:rsidRDefault="00AB79BD" w:rsidP="00AB79BD">
      <w:pPr>
        <w:ind w:left="360"/>
        <w:jc w:val="both"/>
        <w:rPr>
          <w:rFonts w:ascii="Calibri" w:hAnsi="Calibri"/>
        </w:rPr>
      </w:pPr>
    </w:p>
    <w:p w14:paraId="304D595F" w14:textId="1AC43635" w:rsidR="00AB79BD" w:rsidRPr="005B52BA" w:rsidRDefault="00E75827" w:rsidP="00E75827">
      <w:pPr>
        <w:ind w:left="426"/>
        <w:jc w:val="both"/>
        <w:rPr>
          <w:rFonts w:ascii="Calibri" w:hAnsi="Calibri"/>
        </w:rPr>
      </w:pPr>
      <w:r>
        <w:rPr>
          <w:rFonts w:ascii="Calibri" w:hAnsi="Calibri"/>
        </w:rPr>
        <w:t xml:space="preserve">L’incidence </w:t>
      </w:r>
      <w:r w:rsidRPr="00E75827">
        <w:rPr>
          <w:rFonts w:ascii="Calibri" w:hAnsi="Calibri"/>
        </w:rPr>
        <w:t>de la tuberculose (nombre de TPM+ pour 100 000 habitants</w:t>
      </w:r>
      <w:r>
        <w:rPr>
          <w:rFonts w:ascii="Calibri" w:hAnsi="Calibri"/>
        </w:rPr>
        <w:t>) est estimé</w:t>
      </w:r>
      <w:r w:rsidR="009D56BF">
        <w:rPr>
          <w:rFonts w:ascii="Calibri" w:hAnsi="Calibri"/>
        </w:rPr>
        <w:t>e</w:t>
      </w:r>
      <w:r>
        <w:rPr>
          <w:rFonts w:ascii="Calibri" w:hAnsi="Calibri"/>
        </w:rPr>
        <w:t xml:space="preserve"> à 178 en </w:t>
      </w:r>
      <w:r w:rsidR="006F60B8" w:rsidRPr="006F60B8">
        <w:rPr>
          <w:rFonts w:ascii="Calibri" w:hAnsi="Calibri"/>
        </w:rPr>
        <w:t>2016</w:t>
      </w:r>
      <w:r>
        <w:rPr>
          <w:rFonts w:ascii="Calibri" w:hAnsi="Calibri"/>
        </w:rPr>
        <w:t>. Dans le rapport 2016 de l’OMS, la pré</w:t>
      </w:r>
      <w:r w:rsidRPr="00E75827">
        <w:rPr>
          <w:rFonts w:ascii="Calibri" w:hAnsi="Calibri"/>
        </w:rPr>
        <w:t>valence de la TB chez les patients VIH</w:t>
      </w:r>
      <w:r>
        <w:rPr>
          <w:rFonts w:ascii="Calibri" w:hAnsi="Calibri"/>
        </w:rPr>
        <w:t xml:space="preserve"> est estimée à 24%. </w:t>
      </w:r>
      <w:r w:rsidR="00AB79BD" w:rsidRPr="005B52BA">
        <w:rPr>
          <w:rFonts w:ascii="Calibri" w:hAnsi="Calibri"/>
        </w:rPr>
        <w:t xml:space="preserve">La prévalence de la coïnfection TB-VIH est plus élevée et renseigne sur la prévalence des échecs thérapeutiques, voire des résistances du VIH aux ARV. </w:t>
      </w:r>
    </w:p>
    <w:p w14:paraId="3F2EB848" w14:textId="314AACF8" w:rsidR="00AB79BD" w:rsidRPr="00CB2FCE" w:rsidRDefault="00AB79BD" w:rsidP="00E75827">
      <w:pPr>
        <w:ind w:left="426"/>
        <w:jc w:val="both"/>
        <w:rPr>
          <w:rFonts w:ascii="Calibri" w:hAnsi="Calibri"/>
          <w:noProof/>
          <w:sz w:val="16"/>
        </w:rPr>
      </w:pPr>
    </w:p>
    <w:p w14:paraId="785DCCDF" w14:textId="681D95C7" w:rsidR="00AB79BD" w:rsidRPr="005B52BA" w:rsidRDefault="00E75827" w:rsidP="00E75827">
      <w:pPr>
        <w:ind w:left="426"/>
        <w:jc w:val="both"/>
        <w:rPr>
          <w:rFonts w:ascii="Calibri" w:hAnsi="Calibri"/>
          <w:bCs/>
        </w:rPr>
      </w:pPr>
      <w:r>
        <w:rPr>
          <w:rFonts w:ascii="Calibri" w:hAnsi="Calibri"/>
          <w:bCs/>
        </w:rPr>
        <w:t>En ce qui concerne l</w:t>
      </w:r>
      <w:r w:rsidR="00AB79BD" w:rsidRPr="005B52BA">
        <w:rPr>
          <w:rFonts w:ascii="Calibri" w:hAnsi="Calibri"/>
          <w:bCs/>
        </w:rPr>
        <w:t>a coïnfection HVB/VIH</w:t>
      </w:r>
      <w:r>
        <w:rPr>
          <w:rFonts w:ascii="Calibri" w:hAnsi="Calibri"/>
          <w:bCs/>
        </w:rPr>
        <w:t>, elle demeure importante et estimé à</w:t>
      </w:r>
      <w:r w:rsidR="00AB79BD" w:rsidRPr="005B52BA">
        <w:rPr>
          <w:rFonts w:ascii="Calibri" w:hAnsi="Calibri"/>
          <w:bCs/>
        </w:rPr>
        <w:t xml:space="preserve"> 15% (séroprévalence à Donka Dermatologie de 2006-2007). </w:t>
      </w:r>
      <w:r>
        <w:rPr>
          <w:rFonts w:ascii="Calibri" w:hAnsi="Calibri"/>
          <w:bCs/>
        </w:rPr>
        <w:t xml:space="preserve"> </w:t>
      </w:r>
      <w:r w:rsidR="00AB79BD" w:rsidRPr="005B52BA">
        <w:rPr>
          <w:rFonts w:ascii="Calibri" w:hAnsi="Calibri"/>
          <w:bCs/>
        </w:rPr>
        <w:t xml:space="preserve">Devant les difficultés de diagnostiques et de prise en charge des patients, </w:t>
      </w:r>
      <w:r>
        <w:rPr>
          <w:rFonts w:ascii="Calibri" w:hAnsi="Calibri"/>
        </w:rPr>
        <w:t>l</w:t>
      </w:r>
      <w:r w:rsidRPr="005B52BA">
        <w:rPr>
          <w:rFonts w:ascii="Calibri" w:hAnsi="Calibri"/>
        </w:rPr>
        <w:t>a PEC de la coïnfection Hépatites/VIH a été intégré dans les a</w:t>
      </w:r>
      <w:r>
        <w:rPr>
          <w:rFonts w:ascii="Calibri" w:hAnsi="Calibri"/>
        </w:rPr>
        <w:t xml:space="preserve">ctivités prioritaires du </w:t>
      </w:r>
      <w:r w:rsidR="006B057F">
        <w:rPr>
          <w:rFonts w:ascii="Calibri" w:hAnsi="Calibri"/>
        </w:rPr>
        <w:t>PNLSH</w:t>
      </w:r>
      <w:r>
        <w:rPr>
          <w:rFonts w:ascii="Calibri" w:hAnsi="Calibri"/>
        </w:rPr>
        <w:t xml:space="preserve"> et </w:t>
      </w:r>
      <w:r w:rsidR="00AB79BD" w:rsidRPr="005B52BA">
        <w:rPr>
          <w:rFonts w:ascii="Calibri" w:hAnsi="Calibri"/>
          <w:bCs/>
        </w:rPr>
        <w:t>la mise en œuvre du plan d’action de la PEC Hépatite/VIH permettra entre autres de renforcer les capacités de personnels pour une meilleure PEC des coïnfections.</w:t>
      </w:r>
    </w:p>
    <w:p w14:paraId="41896DAA" w14:textId="77777777" w:rsidR="00AB79BD" w:rsidRPr="00CB2FCE" w:rsidRDefault="00AB79BD" w:rsidP="00AB79BD">
      <w:pPr>
        <w:jc w:val="both"/>
        <w:rPr>
          <w:rFonts w:ascii="Calibri" w:hAnsi="Calibri"/>
          <w:noProof/>
          <w:sz w:val="21"/>
        </w:rPr>
      </w:pPr>
    </w:p>
    <w:p w14:paraId="5040E6E7" w14:textId="5DFA30FA" w:rsidR="00AB79BD" w:rsidRPr="005B52BA" w:rsidRDefault="00EA621C" w:rsidP="00C34A61">
      <w:pPr>
        <w:pStyle w:val="Paragraphedeliste"/>
        <w:numPr>
          <w:ilvl w:val="0"/>
          <w:numId w:val="7"/>
        </w:numPr>
        <w:ind w:left="426" w:hanging="426"/>
        <w:contextualSpacing w:val="0"/>
        <w:jc w:val="both"/>
        <w:rPr>
          <w:rFonts w:ascii="Calibri" w:hAnsi="Calibri"/>
          <w:b/>
        </w:rPr>
      </w:pPr>
      <w:r>
        <w:rPr>
          <w:rFonts w:ascii="Calibri" w:hAnsi="Calibri"/>
          <w:b/>
          <w:noProof/>
        </w:rPr>
        <w:t>Les infections Sexuellement Transmissibles</w:t>
      </w:r>
      <w:r w:rsidR="00AB79BD" w:rsidRPr="005B52BA">
        <w:rPr>
          <w:rFonts w:ascii="Calibri" w:hAnsi="Calibri"/>
          <w:b/>
          <w:noProof/>
        </w:rPr>
        <w:t xml:space="preserve"> </w:t>
      </w:r>
      <w:r>
        <w:rPr>
          <w:rFonts w:ascii="Calibri" w:hAnsi="Calibri"/>
          <w:b/>
          <w:noProof/>
        </w:rPr>
        <w:t>(</w:t>
      </w:r>
      <w:r w:rsidR="00AB79BD" w:rsidRPr="005B52BA">
        <w:rPr>
          <w:rFonts w:ascii="Calibri" w:hAnsi="Calibri"/>
          <w:b/>
          <w:noProof/>
        </w:rPr>
        <w:t>IST)</w:t>
      </w:r>
    </w:p>
    <w:p w14:paraId="64E70515" w14:textId="77777777" w:rsidR="00AB79BD" w:rsidRPr="005B52BA" w:rsidRDefault="00AB79BD" w:rsidP="00AB79BD">
      <w:pPr>
        <w:ind w:left="360"/>
        <w:jc w:val="both"/>
        <w:rPr>
          <w:rFonts w:ascii="Calibri" w:hAnsi="Calibri"/>
        </w:rPr>
      </w:pPr>
    </w:p>
    <w:p w14:paraId="6D627368" w14:textId="7979FEB4" w:rsidR="00263BF8" w:rsidRDefault="00263BF8" w:rsidP="00CB2FCE">
      <w:pPr>
        <w:autoSpaceDE w:val="0"/>
        <w:autoSpaceDN w:val="0"/>
        <w:adjustRightInd w:val="0"/>
        <w:ind w:left="426"/>
        <w:jc w:val="both"/>
        <w:rPr>
          <w:rFonts w:ascii="Calibri" w:hAnsi="Calibri"/>
        </w:rPr>
      </w:pPr>
      <w:r w:rsidRPr="00263BF8">
        <w:rPr>
          <w:rFonts w:ascii="Calibri" w:hAnsi="Calibri"/>
        </w:rPr>
        <w:t>L’analyse d’ESCOMB 2017 montre que la prévalence des IST est plus élevée chez les professionnelles de sexe (21%, 221/1070), suivies par les jeunes de 15-24 ans (12,7%, 405/3194 avec 77 non classé p=0,000). La prévalence élevée des IST chez les professionnelles de sexe et les jeunes peut être liée à la fréquence des rapports sexuels (PS) et/ou non respects des précautions de prévention des IST (jeunes adolescents qui ont récemment débuté les activités sexuelles).</w:t>
      </w:r>
    </w:p>
    <w:p w14:paraId="53BC932D" w14:textId="77777777" w:rsidR="00AB79BD" w:rsidRPr="00CB2FCE" w:rsidRDefault="00AB79BD" w:rsidP="00CB2FCE">
      <w:pPr>
        <w:autoSpaceDE w:val="0"/>
        <w:autoSpaceDN w:val="0"/>
        <w:adjustRightInd w:val="0"/>
        <w:ind w:left="426"/>
        <w:jc w:val="both"/>
        <w:rPr>
          <w:rFonts w:ascii="Calibri" w:hAnsi="Calibri"/>
          <w:sz w:val="16"/>
        </w:rPr>
      </w:pPr>
    </w:p>
    <w:p w14:paraId="73427B6A" w14:textId="17E857CB" w:rsidR="00CB2FCE" w:rsidRDefault="00B97F0F" w:rsidP="00B97F0F">
      <w:pPr>
        <w:ind w:left="426"/>
        <w:jc w:val="both"/>
        <w:rPr>
          <w:rFonts w:ascii="Calibri" w:hAnsi="Calibri"/>
        </w:rPr>
      </w:pPr>
      <w:r w:rsidRPr="00B97F0F">
        <w:rPr>
          <w:rFonts w:ascii="Calibri" w:hAnsi="Calibri"/>
        </w:rPr>
        <w:t xml:space="preserve">La prévalence des IST chez les jeunes est plus élevée à </w:t>
      </w:r>
      <w:r>
        <w:rPr>
          <w:rFonts w:ascii="Calibri" w:hAnsi="Calibri"/>
        </w:rPr>
        <w:t>Nzérékoré</w:t>
      </w:r>
      <w:r w:rsidRPr="00B97F0F">
        <w:rPr>
          <w:rFonts w:ascii="Calibri" w:hAnsi="Calibri"/>
        </w:rPr>
        <w:t xml:space="preserve">, Labé, Boké et Mamou avec des proportions respectives de 21,7%, 15,7%, 14,1% et 11,3. Chez les professionnelles de sexe, cette prévalence varie de 13% (Boké) à 44% (Conakry). Cette prévalence est très élevée chez les hommes en uniforme âgés de 15 à 24 ans </w:t>
      </w:r>
      <w:r>
        <w:rPr>
          <w:rFonts w:ascii="Calibri" w:hAnsi="Calibri"/>
        </w:rPr>
        <w:t>(50%).</w:t>
      </w:r>
    </w:p>
    <w:p w14:paraId="089FE973" w14:textId="77777777" w:rsidR="00B97F0F" w:rsidRPr="005B52BA" w:rsidRDefault="00B97F0F" w:rsidP="00AB79BD">
      <w:pPr>
        <w:jc w:val="both"/>
        <w:rPr>
          <w:rFonts w:ascii="Calibri" w:hAnsi="Calibri"/>
        </w:rPr>
      </w:pPr>
    </w:p>
    <w:p w14:paraId="6DFC0E35" w14:textId="591CF9D0" w:rsidR="00BF7E10" w:rsidRDefault="009600A1" w:rsidP="00563646">
      <w:pPr>
        <w:pStyle w:val="graph"/>
        <w:ind w:firstLine="426"/>
        <w:jc w:val="left"/>
      </w:pPr>
      <w:bookmarkStart w:id="46" w:name="_Toc521065109"/>
      <w:r w:rsidRPr="00563646">
        <w:rPr>
          <w:u w:val="single"/>
        </w:rPr>
        <w:t>Graphique</w:t>
      </w:r>
      <w:r w:rsidR="00BF7E10" w:rsidRPr="00563646">
        <w:rPr>
          <w:u w:val="single"/>
        </w:rPr>
        <w:t xml:space="preserve"> 3</w:t>
      </w:r>
      <w:r w:rsidR="00BF7E10" w:rsidRPr="009600A1">
        <w:t xml:space="preserve"> </w:t>
      </w:r>
      <w:r w:rsidR="00BF7E10" w:rsidRPr="00563646">
        <w:rPr>
          <w:b w:val="0"/>
        </w:rPr>
        <w:t xml:space="preserve">: Prévalence des IST au cours des 12 derniers </w:t>
      </w:r>
      <w:r w:rsidRPr="00563646">
        <w:rPr>
          <w:b w:val="0"/>
        </w:rPr>
        <w:t>mois</w:t>
      </w:r>
      <w:r w:rsidR="00BF7E10" w:rsidRPr="00563646">
        <w:rPr>
          <w:b w:val="0"/>
        </w:rPr>
        <w:t xml:space="preserve"> ESCOMB</w:t>
      </w:r>
      <w:r w:rsidRPr="00563646">
        <w:rPr>
          <w:b w:val="0"/>
        </w:rPr>
        <w:t xml:space="preserve"> 2015</w:t>
      </w:r>
      <w:bookmarkEnd w:id="46"/>
    </w:p>
    <w:p w14:paraId="47A88677" w14:textId="77777777" w:rsidR="00CB2FCE" w:rsidRPr="00CB2FCE" w:rsidRDefault="00CB2FCE" w:rsidP="00CB2FCE">
      <w:pPr>
        <w:rPr>
          <w:lang w:eastAsia="en-US"/>
        </w:rPr>
      </w:pPr>
    </w:p>
    <w:p w14:paraId="1ACE4E57" w14:textId="32D42319" w:rsidR="009600A1" w:rsidRDefault="009600A1" w:rsidP="00CB2FCE">
      <w:pPr>
        <w:jc w:val="right"/>
        <w:rPr>
          <w:lang w:eastAsia="en-US"/>
        </w:rPr>
      </w:pPr>
      <w:r>
        <w:rPr>
          <w:noProof/>
        </w:rPr>
        <w:drawing>
          <wp:inline distT="0" distB="0" distL="0" distR="0" wp14:anchorId="0F533301" wp14:editId="3A6C9402">
            <wp:extent cx="5981604" cy="1868805"/>
            <wp:effectExtent l="0" t="0" r="635" b="0"/>
            <wp:docPr id="11277" name="Imag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8359" cy="1874040"/>
                    </a:xfrm>
                    <a:prstGeom prst="rect">
                      <a:avLst/>
                    </a:prstGeom>
                  </pic:spPr>
                </pic:pic>
              </a:graphicData>
            </a:graphic>
          </wp:inline>
        </w:drawing>
      </w:r>
    </w:p>
    <w:p w14:paraId="6A73862F" w14:textId="39023014" w:rsidR="007046EA" w:rsidRPr="005B52BA" w:rsidRDefault="007046EA" w:rsidP="00AB79BD">
      <w:pPr>
        <w:jc w:val="both"/>
        <w:rPr>
          <w:rFonts w:ascii="Calibri" w:hAnsi="Calibri"/>
        </w:rPr>
      </w:pPr>
    </w:p>
    <w:p w14:paraId="0FBA6774" w14:textId="77777777" w:rsidR="00AB79BD" w:rsidRPr="00BF7E10" w:rsidRDefault="00AB79BD" w:rsidP="00C34A61">
      <w:pPr>
        <w:pStyle w:val="Paragraphedeliste"/>
        <w:numPr>
          <w:ilvl w:val="2"/>
          <w:numId w:val="6"/>
        </w:numPr>
        <w:ind w:left="567" w:hanging="567"/>
        <w:contextualSpacing w:val="0"/>
        <w:jc w:val="both"/>
        <w:rPr>
          <w:rFonts w:ascii="Calibri" w:hAnsi="Calibri"/>
          <w:b/>
        </w:rPr>
      </w:pPr>
      <w:r w:rsidRPr="00BF7E10">
        <w:rPr>
          <w:rFonts w:ascii="Calibri" w:hAnsi="Calibri"/>
          <w:b/>
        </w:rPr>
        <w:t>Les populations clés les plus exposées</w:t>
      </w:r>
    </w:p>
    <w:p w14:paraId="7D1F76CD" w14:textId="77777777" w:rsidR="00AB79BD" w:rsidRPr="005B52BA" w:rsidRDefault="00AB79BD" w:rsidP="00AB79BD">
      <w:pPr>
        <w:jc w:val="both"/>
        <w:rPr>
          <w:rFonts w:ascii="Calibri" w:hAnsi="Calibri"/>
        </w:rPr>
      </w:pPr>
    </w:p>
    <w:p w14:paraId="3B1D8704" w14:textId="77777777" w:rsidR="00AB79BD" w:rsidRPr="005B52BA" w:rsidRDefault="00AB79BD" w:rsidP="00C34A61">
      <w:pPr>
        <w:pStyle w:val="Paragraphedeliste"/>
        <w:numPr>
          <w:ilvl w:val="0"/>
          <w:numId w:val="8"/>
        </w:numPr>
        <w:ind w:left="284" w:hanging="284"/>
        <w:contextualSpacing w:val="0"/>
        <w:jc w:val="both"/>
        <w:rPr>
          <w:rFonts w:ascii="Calibri" w:hAnsi="Calibri"/>
        </w:rPr>
      </w:pPr>
      <w:r w:rsidRPr="005B52BA">
        <w:rPr>
          <w:rFonts w:ascii="Calibri" w:hAnsi="Calibri"/>
          <w:b/>
        </w:rPr>
        <w:t xml:space="preserve">Professionnels de Sexe </w:t>
      </w:r>
    </w:p>
    <w:p w14:paraId="76D177B2" w14:textId="77777777" w:rsidR="00AB79BD" w:rsidRPr="005B52BA" w:rsidRDefault="00AB79BD" w:rsidP="00AB79BD">
      <w:pPr>
        <w:jc w:val="both"/>
        <w:rPr>
          <w:rFonts w:ascii="Calibri" w:hAnsi="Calibri" w:cs="Arial"/>
          <w:lang w:bidi="fr-FR"/>
        </w:rPr>
      </w:pPr>
    </w:p>
    <w:p w14:paraId="5CE9E04C" w14:textId="62FDD0A8" w:rsidR="00AB79BD" w:rsidRPr="005B52BA" w:rsidRDefault="00AB79BD" w:rsidP="00AD4FBA">
      <w:pPr>
        <w:ind w:left="284"/>
        <w:jc w:val="both"/>
        <w:rPr>
          <w:rFonts w:ascii="Calibri" w:hAnsi="Calibri" w:cs="Arial"/>
          <w:lang w:bidi="fr-FR"/>
        </w:rPr>
      </w:pPr>
      <w:r w:rsidRPr="005B52BA">
        <w:rPr>
          <w:rFonts w:ascii="Calibri" w:hAnsi="Calibri" w:cs="Arial"/>
          <w:lang w:bidi="fr-FR"/>
        </w:rPr>
        <w:t>Suivant la taille estimée de la population 14 728 PS (2017) et la prévalen</w:t>
      </w:r>
      <w:r w:rsidR="00263BF8">
        <w:rPr>
          <w:rFonts w:ascii="Calibri" w:hAnsi="Calibri" w:cs="Arial"/>
          <w:lang w:bidi="fr-FR"/>
        </w:rPr>
        <w:t>ce du Virus dans ce groupe (10,7</w:t>
      </w:r>
      <w:r w:rsidR="00137EFA">
        <w:rPr>
          <w:rFonts w:ascii="Calibri" w:hAnsi="Calibri" w:cs="Arial"/>
          <w:lang w:bidi="fr-FR"/>
        </w:rPr>
        <w:t>%</w:t>
      </w:r>
      <w:r w:rsidRPr="005B52BA">
        <w:rPr>
          <w:rFonts w:ascii="Calibri" w:hAnsi="Calibri" w:cs="Arial"/>
          <w:lang w:bidi="fr-FR"/>
        </w:rPr>
        <w:t>), environ 2091</w:t>
      </w:r>
      <w:r w:rsidRPr="005B52BA">
        <w:rPr>
          <w:rFonts w:ascii="Calibri" w:hAnsi="Calibri" w:cs="Arial"/>
          <w:color w:val="FF0000"/>
          <w:lang w:bidi="fr-FR"/>
        </w:rPr>
        <w:t xml:space="preserve"> </w:t>
      </w:r>
      <w:r w:rsidRPr="005B52BA">
        <w:rPr>
          <w:rFonts w:ascii="Calibri" w:hAnsi="Calibri" w:cs="Arial"/>
          <w:lang w:bidi="fr-FR"/>
        </w:rPr>
        <w:t xml:space="preserve">PS portent le VIH. Les PS étant issues de la population générale, on peut estimer à 805 celles qui connaissaient déjà leur statut </w:t>
      </w:r>
      <w:r w:rsidR="003F2030" w:rsidRPr="005B52BA">
        <w:rPr>
          <w:rFonts w:ascii="Calibri" w:hAnsi="Calibri" w:cs="Arial"/>
          <w:lang w:bidi="fr-FR"/>
        </w:rPr>
        <w:t>PVVIH</w:t>
      </w:r>
      <w:r w:rsidRPr="005B52BA">
        <w:rPr>
          <w:rFonts w:ascii="Calibri" w:hAnsi="Calibri" w:cs="Arial"/>
          <w:lang w:bidi="fr-FR"/>
        </w:rPr>
        <w:t xml:space="preserve"> et avec la réalisation rapportée par le programme de prévention en cours, on peut estimer à 952 le nombre de PS qui connaissent leur statut VIH+ soit un gap d’environ 1139</w:t>
      </w:r>
      <w:r w:rsidRPr="005B52BA">
        <w:rPr>
          <w:rFonts w:ascii="Calibri" w:hAnsi="Calibri" w:cs="Arial"/>
          <w:color w:val="FF0000"/>
          <w:lang w:bidi="fr-FR"/>
        </w:rPr>
        <w:t xml:space="preserve"> </w:t>
      </w:r>
      <w:r w:rsidRPr="005B52BA">
        <w:rPr>
          <w:rFonts w:ascii="Calibri" w:hAnsi="Calibri" w:cs="Arial"/>
          <w:lang w:bidi="fr-FR"/>
        </w:rPr>
        <w:t xml:space="preserve">personnes à dépister. Pour dépister toutes ces PS, il est nécessaire de réaliser dans cette population environ 8021 Tests de dépistage. </w:t>
      </w:r>
    </w:p>
    <w:p w14:paraId="134EAE89" w14:textId="77777777" w:rsidR="00AB79BD" w:rsidRPr="005B52BA" w:rsidRDefault="00AB79BD" w:rsidP="00AD4FBA">
      <w:pPr>
        <w:ind w:left="284"/>
        <w:jc w:val="both"/>
        <w:rPr>
          <w:rFonts w:ascii="Calibri" w:hAnsi="Calibri" w:cs="Arial"/>
          <w:lang w:bidi="fr-FR"/>
        </w:rPr>
      </w:pPr>
    </w:p>
    <w:p w14:paraId="4C8A78F6" w14:textId="77777777" w:rsidR="00AB79BD" w:rsidRPr="005B52BA" w:rsidRDefault="00AB79BD" w:rsidP="00AD4FBA">
      <w:pPr>
        <w:ind w:left="284"/>
        <w:jc w:val="both"/>
        <w:rPr>
          <w:rFonts w:ascii="Calibri" w:hAnsi="Calibri" w:cs="Arial"/>
          <w:lang w:bidi="fr-FR"/>
        </w:rPr>
      </w:pPr>
      <w:r w:rsidRPr="005B52BA">
        <w:rPr>
          <w:rFonts w:ascii="Calibri" w:hAnsi="Calibri" w:cs="Arial"/>
          <w:lang w:bidi="fr-FR"/>
        </w:rPr>
        <w:t>Plus de 5000 PS ont pourtant déjà été touchées au cours de l’année 2017, mais moins de 10% ont réalisé le Test du VIH.</w:t>
      </w:r>
    </w:p>
    <w:p w14:paraId="774F623C" w14:textId="77777777" w:rsidR="00AB79BD" w:rsidRPr="005B52BA" w:rsidRDefault="00AB79BD" w:rsidP="00AD4FBA">
      <w:pPr>
        <w:ind w:left="284"/>
        <w:jc w:val="both"/>
        <w:rPr>
          <w:rFonts w:ascii="Calibri" w:hAnsi="Calibri" w:cs="Arial"/>
          <w:lang w:bidi="fr-FR"/>
        </w:rPr>
      </w:pPr>
    </w:p>
    <w:p w14:paraId="5097AD03" w14:textId="77777777" w:rsidR="00263BF8" w:rsidRPr="00263BF8" w:rsidRDefault="00263BF8" w:rsidP="00263BF8">
      <w:pPr>
        <w:ind w:left="284"/>
        <w:jc w:val="both"/>
        <w:rPr>
          <w:rFonts w:ascii="Calibri" w:hAnsi="Calibri" w:cs="Arial"/>
          <w:lang w:bidi="fr-FR"/>
        </w:rPr>
      </w:pPr>
      <w:r w:rsidRPr="00263BF8">
        <w:rPr>
          <w:rFonts w:ascii="Calibri" w:hAnsi="Calibri" w:cs="Arial"/>
        </w:rPr>
        <w:t xml:space="preserve">Selon ESCOMB 2015 les PS enquêtées sont jeunes, en moyenne 25 ans. Le pourcentage de PS qui indiquent avoir utilisé le préservatif lors du dernier rapport sexuel avec un client a progressé considérablement depuis 2015, passant de 88% à 94% en 2017 et pourtant seulement 36,28% des PS en 2015 contre 53% en 2012 sont atteintes par les programmes de prévention [ESCOMB 2015 et 2017]. </w:t>
      </w:r>
    </w:p>
    <w:p w14:paraId="1BFBEEB8" w14:textId="77777777" w:rsidR="00AB79BD" w:rsidRPr="005B52BA" w:rsidRDefault="00AB79BD" w:rsidP="00AB79BD">
      <w:pPr>
        <w:jc w:val="both"/>
        <w:rPr>
          <w:rFonts w:ascii="Calibri" w:hAnsi="Calibri" w:cs="Arial"/>
          <w:lang w:bidi="fr-FR"/>
        </w:rPr>
      </w:pPr>
    </w:p>
    <w:p w14:paraId="752EC2A1" w14:textId="4949B375" w:rsidR="00F573E2" w:rsidRPr="00563646" w:rsidRDefault="00AD4FBA" w:rsidP="00563646">
      <w:pPr>
        <w:pStyle w:val="graph"/>
        <w:ind w:firstLine="709"/>
        <w:jc w:val="left"/>
        <w:rPr>
          <w:b w:val="0"/>
        </w:rPr>
      </w:pPr>
      <w:bookmarkStart w:id="47" w:name="_Toc521065110"/>
      <w:r w:rsidRPr="00563646">
        <w:rPr>
          <w:u w:val="single"/>
        </w:rPr>
        <w:t>Graphique 4</w:t>
      </w:r>
      <w:r w:rsidR="00F573E2" w:rsidRPr="00AD4FBA">
        <w:t xml:space="preserve"> : </w:t>
      </w:r>
      <w:r w:rsidR="00F573E2" w:rsidRPr="00563646">
        <w:rPr>
          <w:b w:val="0"/>
        </w:rPr>
        <w:t xml:space="preserve">Prévalence du VIH chez les professionnels de sexe par région </w:t>
      </w:r>
      <w:r w:rsidR="00137EFA" w:rsidRPr="00563646">
        <w:rPr>
          <w:b w:val="0"/>
        </w:rPr>
        <w:t>(</w:t>
      </w:r>
      <w:r w:rsidR="00F573E2" w:rsidRPr="00563646">
        <w:rPr>
          <w:b w:val="0"/>
        </w:rPr>
        <w:t>ESCOMB 2015</w:t>
      </w:r>
      <w:r w:rsidR="00137EFA" w:rsidRPr="00563646">
        <w:rPr>
          <w:b w:val="0"/>
        </w:rPr>
        <w:t>)</w:t>
      </w:r>
      <w:bookmarkEnd w:id="47"/>
    </w:p>
    <w:p w14:paraId="28BAC3FA" w14:textId="77777777" w:rsidR="00EA621C" w:rsidRPr="00EA621C" w:rsidRDefault="00EA621C" w:rsidP="00F573E2">
      <w:pPr>
        <w:jc w:val="both"/>
        <w:rPr>
          <w:rFonts w:ascii="Calibri" w:hAnsi="Calibri" w:cs="Arial"/>
          <w:lang w:bidi="fr-FR"/>
        </w:rPr>
      </w:pPr>
    </w:p>
    <w:p w14:paraId="1DED7E98" w14:textId="3D88D13C" w:rsidR="00F573E2" w:rsidRPr="005B52BA" w:rsidRDefault="00AD4FBA" w:rsidP="00AD4FBA">
      <w:pPr>
        <w:jc w:val="right"/>
        <w:rPr>
          <w:rFonts w:ascii="Calibri" w:hAnsi="Calibri" w:cs="Arial"/>
          <w:lang w:bidi="fr-FR"/>
        </w:rPr>
      </w:pPr>
      <w:r>
        <w:rPr>
          <w:noProof/>
        </w:rPr>
        <w:drawing>
          <wp:inline distT="0" distB="0" distL="0" distR="0" wp14:anchorId="44CFB5A6" wp14:editId="6A4EEE13">
            <wp:extent cx="5911850" cy="1506070"/>
            <wp:effectExtent l="0" t="0" r="0" b="5715"/>
            <wp:docPr id="11278" name="Image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623" cy="1513145"/>
                    </a:xfrm>
                    <a:prstGeom prst="rect">
                      <a:avLst/>
                    </a:prstGeom>
                  </pic:spPr>
                </pic:pic>
              </a:graphicData>
            </a:graphic>
          </wp:inline>
        </w:drawing>
      </w:r>
    </w:p>
    <w:p w14:paraId="6A41B0F6" w14:textId="77777777" w:rsidR="00F573E2" w:rsidRPr="005B52BA" w:rsidRDefault="00F573E2" w:rsidP="00AB79BD">
      <w:pPr>
        <w:jc w:val="both"/>
        <w:rPr>
          <w:rFonts w:ascii="Calibri" w:hAnsi="Calibri" w:cs="Arial"/>
          <w:lang w:bidi="fr-FR"/>
        </w:rPr>
      </w:pPr>
    </w:p>
    <w:p w14:paraId="2B01C324" w14:textId="77777777" w:rsidR="00AB79BD" w:rsidRPr="005B52BA" w:rsidRDefault="00AB79BD" w:rsidP="00C34A61">
      <w:pPr>
        <w:pStyle w:val="Paragraphedeliste"/>
        <w:numPr>
          <w:ilvl w:val="0"/>
          <w:numId w:val="8"/>
        </w:numPr>
        <w:ind w:left="284" w:hanging="284"/>
        <w:contextualSpacing w:val="0"/>
        <w:jc w:val="both"/>
        <w:rPr>
          <w:rFonts w:ascii="Calibri" w:hAnsi="Calibri"/>
          <w:b/>
        </w:rPr>
      </w:pPr>
      <w:r w:rsidRPr="005B52BA">
        <w:rPr>
          <w:rFonts w:ascii="Calibri" w:hAnsi="Calibri"/>
          <w:b/>
        </w:rPr>
        <w:t xml:space="preserve">Hommes ayant des rapports Sexuels avec les Hommes </w:t>
      </w:r>
    </w:p>
    <w:p w14:paraId="7DA7FBB0" w14:textId="77777777" w:rsidR="00AB79BD" w:rsidRPr="005B52BA" w:rsidRDefault="00AB79BD" w:rsidP="00AB79BD">
      <w:pPr>
        <w:jc w:val="both"/>
        <w:rPr>
          <w:rFonts w:ascii="Calibri" w:hAnsi="Calibri"/>
        </w:rPr>
      </w:pPr>
    </w:p>
    <w:p w14:paraId="306F974F" w14:textId="108C33C8" w:rsidR="00AB79BD" w:rsidRPr="005B52BA" w:rsidRDefault="00AB79BD" w:rsidP="00AB79BD">
      <w:pPr>
        <w:jc w:val="both"/>
        <w:rPr>
          <w:rFonts w:ascii="Calibri" w:hAnsi="Calibri" w:cs="Arial"/>
          <w:lang w:bidi="fr-FR"/>
        </w:rPr>
      </w:pPr>
      <w:r w:rsidRPr="005B52BA">
        <w:rPr>
          <w:rFonts w:ascii="Calibri" w:hAnsi="Calibri" w:cs="Arial"/>
          <w:lang w:bidi="fr-FR"/>
        </w:rPr>
        <w:t>Suivant la taille estimée de la population 1423 HSH (2017)</w:t>
      </w:r>
      <w:r w:rsidRPr="005B52BA">
        <w:rPr>
          <w:rFonts w:ascii="Calibri" w:hAnsi="Calibri" w:cs="Arial"/>
          <w:vertAlign w:val="superscript"/>
          <w:lang w:bidi="fr-FR"/>
        </w:rPr>
        <w:t>12</w:t>
      </w:r>
      <w:r w:rsidRPr="005B52BA">
        <w:rPr>
          <w:rFonts w:ascii="Calibri" w:hAnsi="Calibri" w:cs="Arial"/>
          <w:lang w:bidi="fr-FR"/>
        </w:rPr>
        <w:t xml:space="preserve"> et la prévalence du Virus dans ce groupe (11,4</w:t>
      </w:r>
      <w:r w:rsidR="00443D86">
        <w:rPr>
          <w:rFonts w:ascii="Calibri" w:hAnsi="Calibri" w:cs="Arial"/>
          <w:lang w:bidi="fr-FR"/>
        </w:rPr>
        <w:t>%</w:t>
      </w:r>
      <w:r w:rsidRPr="005B52BA">
        <w:rPr>
          <w:rFonts w:ascii="Calibri" w:hAnsi="Calibri" w:cs="Arial"/>
          <w:lang w:bidi="fr-FR"/>
        </w:rPr>
        <w:t>), environ 162</w:t>
      </w:r>
      <w:r w:rsidRPr="005B52BA">
        <w:rPr>
          <w:rFonts w:ascii="Calibri" w:hAnsi="Calibri" w:cs="Arial"/>
          <w:color w:val="FF0000"/>
          <w:lang w:bidi="fr-FR"/>
        </w:rPr>
        <w:t xml:space="preserve"> </w:t>
      </w:r>
      <w:r w:rsidRPr="005B52BA">
        <w:rPr>
          <w:rFonts w:ascii="Calibri" w:hAnsi="Calibri" w:cs="Arial"/>
          <w:lang w:bidi="fr-FR"/>
        </w:rPr>
        <w:t xml:space="preserve">HSH portent le VIH. Les HSH faisant eux aussi partie de la population générale, on peut estimer à 62 ceux qui connaissaient déjà leur statut </w:t>
      </w:r>
      <w:r w:rsidR="003F2030" w:rsidRPr="005B52BA">
        <w:rPr>
          <w:rFonts w:ascii="Calibri" w:hAnsi="Calibri" w:cs="Arial"/>
          <w:lang w:bidi="fr-FR"/>
        </w:rPr>
        <w:t>PVVIH</w:t>
      </w:r>
      <w:r w:rsidRPr="005B52BA">
        <w:rPr>
          <w:rFonts w:ascii="Calibri" w:hAnsi="Calibri" w:cs="Arial"/>
          <w:lang w:bidi="fr-FR"/>
        </w:rPr>
        <w:t xml:space="preserve">. </w:t>
      </w:r>
    </w:p>
    <w:p w14:paraId="440C7BA7" w14:textId="77777777" w:rsidR="00AB79BD" w:rsidRPr="005B52BA" w:rsidRDefault="00AB79BD" w:rsidP="00AB79BD">
      <w:pPr>
        <w:jc w:val="both"/>
        <w:rPr>
          <w:rFonts w:ascii="Calibri" w:hAnsi="Calibri"/>
        </w:rPr>
      </w:pPr>
    </w:p>
    <w:p w14:paraId="2DF09A39" w14:textId="77777777" w:rsidR="00AB79BD" w:rsidRPr="005B52BA" w:rsidRDefault="00AB79BD" w:rsidP="00AB79BD">
      <w:pPr>
        <w:jc w:val="both"/>
        <w:rPr>
          <w:rFonts w:ascii="Calibri" w:hAnsi="Calibri"/>
        </w:rPr>
      </w:pPr>
      <w:r w:rsidRPr="005B52BA">
        <w:rPr>
          <w:rFonts w:ascii="Calibri" w:hAnsi="Calibri"/>
        </w:rPr>
        <w:t xml:space="preserve">Seulement un HSH sur trois (33%) a une connaissance exacte des moyens de prévention de la transmission sexuelle du VIH et rejette les principales idées fausses sur la transmission du virus. Toute fois la connaissance globale est plus élevée chez les HSH âgés de 25 ans et plus (43,3% contre 29,1% chez ceux âgés de 15 à 24 ans). </w:t>
      </w:r>
    </w:p>
    <w:p w14:paraId="63C46623" w14:textId="77777777" w:rsidR="00AB79BD" w:rsidRDefault="00AB79BD" w:rsidP="00AB79BD">
      <w:pPr>
        <w:jc w:val="both"/>
        <w:rPr>
          <w:rFonts w:ascii="Calibri" w:hAnsi="Calibri"/>
        </w:rPr>
      </w:pPr>
    </w:p>
    <w:p w14:paraId="4261E6A1" w14:textId="3AE32FF8" w:rsidR="005E3C3D" w:rsidRDefault="00676931" w:rsidP="00AB79BD">
      <w:pPr>
        <w:jc w:val="both"/>
        <w:rPr>
          <w:rFonts w:ascii="Calibri" w:hAnsi="Calibri"/>
        </w:rPr>
      </w:pPr>
      <w:r>
        <w:rPr>
          <w:rFonts w:ascii="Calibri" w:hAnsi="Calibri" w:cs="Arial"/>
          <w:lang w:bidi="fr-FR"/>
        </w:rPr>
        <w:t xml:space="preserve">La proportion des HSH âgés de 18-24 ans qui utilisent systématiquement le </w:t>
      </w:r>
      <w:r w:rsidRPr="005B52BA">
        <w:rPr>
          <w:rFonts w:ascii="Calibri" w:hAnsi="Calibri" w:cs="Arial"/>
          <w:lang w:bidi="fr-FR"/>
        </w:rPr>
        <w:t>préservatif</w:t>
      </w:r>
      <w:r>
        <w:rPr>
          <w:rFonts w:ascii="Calibri" w:hAnsi="Calibri" w:cs="Arial"/>
          <w:lang w:bidi="fr-FR"/>
        </w:rPr>
        <w:t xml:space="preserve"> </w:t>
      </w:r>
      <w:r w:rsidRPr="005B52BA">
        <w:rPr>
          <w:rFonts w:ascii="Calibri" w:hAnsi="Calibri" w:cs="Arial"/>
          <w:lang w:bidi="fr-FR"/>
        </w:rPr>
        <w:t>est</w:t>
      </w:r>
      <w:r w:rsidRPr="00676931">
        <w:rPr>
          <w:rFonts w:ascii="Calibri" w:hAnsi="Calibri" w:cs="Arial"/>
          <w:lang w:bidi="fr-FR"/>
        </w:rPr>
        <w:t xml:space="preserve"> </w:t>
      </w:r>
      <w:r w:rsidRPr="005B52BA">
        <w:rPr>
          <w:rFonts w:ascii="Calibri" w:hAnsi="Calibri" w:cs="Arial"/>
          <w:lang w:bidi="fr-FR"/>
        </w:rPr>
        <w:t xml:space="preserve">supérieure à celle des HSH de 25 ans et plus (37,7% contre 24%). En 2017 l’accès au programme s’est considérablement amélioré, 77,51% des HSH ont été touché, contre seulement 39% qui ont eu accès aux </w:t>
      </w:r>
      <w:r w:rsidRPr="00676931">
        <w:rPr>
          <w:rFonts w:ascii="Calibri" w:hAnsi="Calibri"/>
        </w:rPr>
        <w:t>programmes</w:t>
      </w:r>
      <w:r w:rsidRPr="005B52BA">
        <w:rPr>
          <w:rFonts w:ascii="Calibri" w:hAnsi="Calibri" w:cs="Arial"/>
          <w:lang w:bidi="fr-FR"/>
        </w:rPr>
        <w:t xml:space="preserve"> de prévention du risque d’infection au VIH en 2012. Les facteurs explicatifs à l’accès limité des HSH aux services de prévention et de traitement restent la discrimination, l’insuffisance des services adaptés, l’existence d’une loi condamnant l’homosexualité et l’insuffisance d’acteurs communautaires.</w:t>
      </w:r>
    </w:p>
    <w:p w14:paraId="40D9937E" w14:textId="47F74DA9" w:rsidR="00676931" w:rsidRDefault="00676931" w:rsidP="00266896">
      <w:pPr>
        <w:rPr>
          <w:rFonts w:ascii="Calibri" w:hAnsi="Calibri"/>
        </w:rPr>
      </w:pPr>
    </w:p>
    <w:p w14:paraId="6302B691" w14:textId="77777777" w:rsidR="00BF7E10" w:rsidRDefault="00BF7E10" w:rsidP="00C34A61">
      <w:pPr>
        <w:pStyle w:val="Paragraphedeliste"/>
        <w:numPr>
          <w:ilvl w:val="2"/>
          <w:numId w:val="6"/>
        </w:numPr>
        <w:ind w:left="567" w:hanging="567"/>
        <w:contextualSpacing w:val="0"/>
        <w:jc w:val="both"/>
        <w:rPr>
          <w:rFonts w:ascii="Calibri" w:hAnsi="Calibri"/>
          <w:b/>
        </w:rPr>
      </w:pPr>
      <w:r>
        <w:rPr>
          <w:rFonts w:ascii="Calibri" w:hAnsi="Calibri"/>
          <w:b/>
        </w:rPr>
        <w:t>Les populations vulnérables</w:t>
      </w:r>
    </w:p>
    <w:p w14:paraId="7A22CBD6" w14:textId="1CFA763C" w:rsidR="00BF7E10" w:rsidRDefault="00BF7E10" w:rsidP="00266896">
      <w:pPr>
        <w:jc w:val="both"/>
        <w:rPr>
          <w:rFonts w:ascii="Calibri" w:hAnsi="Calibri"/>
          <w:b/>
        </w:rPr>
      </w:pPr>
    </w:p>
    <w:p w14:paraId="60872522" w14:textId="569D44C2" w:rsidR="00F36530" w:rsidRPr="008429F6" w:rsidRDefault="00F36530" w:rsidP="00240456">
      <w:pPr>
        <w:pStyle w:val="tab"/>
      </w:pPr>
      <w:bookmarkStart w:id="48" w:name="_Toc521064262"/>
      <w:r w:rsidRPr="00240456">
        <w:rPr>
          <w:b/>
          <w:u w:val="single"/>
        </w:rPr>
        <w:t>Ta</w:t>
      </w:r>
      <w:r w:rsidR="00891515" w:rsidRPr="00240456">
        <w:rPr>
          <w:b/>
          <w:u w:val="single"/>
        </w:rPr>
        <w:t>bleau 6</w:t>
      </w:r>
      <w:r w:rsidRPr="00240456">
        <w:rPr>
          <w:b/>
        </w:rPr>
        <w:t xml:space="preserve"> :</w:t>
      </w:r>
      <w:r w:rsidRPr="008429F6">
        <w:t xml:space="preserve"> </w:t>
      </w:r>
      <w:r>
        <w:t>Caractéristiques de l’épidémie du VIH chez les populations vulnérables</w:t>
      </w:r>
      <w:bookmarkEnd w:id="48"/>
    </w:p>
    <w:p w14:paraId="4F96A00E" w14:textId="77777777" w:rsidR="00F36530" w:rsidRDefault="00F36530" w:rsidP="00266896">
      <w:pPr>
        <w:jc w:val="both"/>
        <w:rPr>
          <w:rFonts w:ascii="Calibri" w:hAnsi="Calibri"/>
          <w:b/>
        </w:rPr>
      </w:pPr>
    </w:p>
    <w:tbl>
      <w:tblPr>
        <w:tblStyle w:val="Grilledutableau"/>
        <w:tblW w:w="0" w:type="auto"/>
        <w:tblLook w:val="04A0" w:firstRow="1" w:lastRow="0" w:firstColumn="1" w:lastColumn="0" w:noHBand="0" w:noVBand="1"/>
      </w:tblPr>
      <w:tblGrid>
        <w:gridCol w:w="2830"/>
        <w:gridCol w:w="7025"/>
      </w:tblGrid>
      <w:tr w:rsidR="00137EFA" w:rsidRPr="00137EFA" w14:paraId="158F263C" w14:textId="77777777" w:rsidTr="00137EFA">
        <w:tc>
          <w:tcPr>
            <w:tcW w:w="2830" w:type="dxa"/>
            <w:shd w:val="clear" w:color="auto" w:fill="FFC000"/>
          </w:tcPr>
          <w:p w14:paraId="4C969243" w14:textId="72A215A7" w:rsidR="00137EFA" w:rsidRPr="00137EFA" w:rsidRDefault="00137EFA" w:rsidP="00266896">
            <w:pPr>
              <w:jc w:val="both"/>
              <w:rPr>
                <w:rFonts w:ascii="Calibri" w:hAnsi="Calibri"/>
                <w:b/>
                <w:sz w:val="22"/>
              </w:rPr>
            </w:pPr>
            <w:r w:rsidRPr="00137EFA">
              <w:rPr>
                <w:rFonts w:ascii="Calibri" w:hAnsi="Calibri"/>
                <w:b/>
                <w:sz w:val="22"/>
              </w:rPr>
              <w:t>Groupes de populations</w:t>
            </w:r>
          </w:p>
        </w:tc>
        <w:tc>
          <w:tcPr>
            <w:tcW w:w="7025" w:type="dxa"/>
            <w:shd w:val="clear" w:color="auto" w:fill="FFC000"/>
          </w:tcPr>
          <w:p w14:paraId="47760448" w14:textId="1A32AFEA" w:rsidR="00137EFA" w:rsidRPr="00137EFA" w:rsidRDefault="00137EFA" w:rsidP="00266896">
            <w:pPr>
              <w:jc w:val="both"/>
              <w:rPr>
                <w:rFonts w:ascii="Calibri" w:hAnsi="Calibri"/>
                <w:b/>
                <w:sz w:val="22"/>
              </w:rPr>
            </w:pPr>
            <w:r w:rsidRPr="00137EFA">
              <w:rPr>
                <w:rFonts w:ascii="Calibri" w:hAnsi="Calibri"/>
                <w:b/>
                <w:sz w:val="22"/>
              </w:rPr>
              <w:t>Caractéristiques /données essentielles</w:t>
            </w:r>
          </w:p>
        </w:tc>
      </w:tr>
      <w:tr w:rsidR="00137EFA" w:rsidRPr="00137EFA" w14:paraId="3A88721B" w14:textId="77777777" w:rsidTr="001576AC">
        <w:tc>
          <w:tcPr>
            <w:tcW w:w="2830" w:type="dxa"/>
            <w:shd w:val="clear" w:color="auto" w:fill="E7E6E6" w:themeFill="background2"/>
          </w:tcPr>
          <w:p w14:paraId="2FBA8ABD" w14:textId="31813D46" w:rsidR="00137EFA" w:rsidRPr="00137EFA" w:rsidRDefault="00137EFA" w:rsidP="00266896">
            <w:pPr>
              <w:jc w:val="both"/>
              <w:rPr>
                <w:rFonts w:ascii="Calibri" w:hAnsi="Calibri"/>
                <w:sz w:val="22"/>
              </w:rPr>
            </w:pPr>
            <w:r>
              <w:rPr>
                <w:rFonts w:ascii="Calibri" w:hAnsi="Calibri"/>
                <w:sz w:val="22"/>
              </w:rPr>
              <w:t>Jeunes (15-24 ans</w:t>
            </w:r>
            <w:r w:rsidR="00853C92">
              <w:rPr>
                <w:rFonts w:ascii="Calibri" w:hAnsi="Calibri"/>
                <w:sz w:val="22"/>
              </w:rPr>
              <w:t>)</w:t>
            </w:r>
          </w:p>
        </w:tc>
        <w:tc>
          <w:tcPr>
            <w:tcW w:w="7025" w:type="dxa"/>
          </w:tcPr>
          <w:p w14:paraId="22693E51" w14:textId="45924AC1" w:rsidR="00137EFA" w:rsidRPr="00137EFA" w:rsidRDefault="00137EFA" w:rsidP="00266896">
            <w:pPr>
              <w:jc w:val="both"/>
              <w:rPr>
                <w:rFonts w:ascii="Calibri" w:hAnsi="Calibri"/>
                <w:sz w:val="22"/>
              </w:rPr>
            </w:pPr>
            <w:r>
              <w:rPr>
                <w:rFonts w:ascii="Calibri" w:hAnsi="Calibri"/>
                <w:sz w:val="22"/>
              </w:rPr>
              <w:t>Prévalence</w:t>
            </w:r>
            <w:r w:rsidR="00853C92">
              <w:rPr>
                <w:rFonts w:ascii="Calibri" w:hAnsi="Calibri"/>
                <w:sz w:val="22"/>
              </w:rPr>
              <w:t xml:space="preserve"> = 0,7% dont 1%</w:t>
            </w:r>
            <w:r w:rsidR="00A73D26">
              <w:rPr>
                <w:rFonts w:ascii="Calibri" w:hAnsi="Calibri"/>
                <w:sz w:val="22"/>
              </w:rPr>
              <w:t xml:space="preserve"> chez les filles et 0,4</w:t>
            </w:r>
            <w:r w:rsidR="00853C92">
              <w:rPr>
                <w:rFonts w:ascii="Calibri" w:hAnsi="Calibri"/>
                <w:sz w:val="22"/>
              </w:rPr>
              <w:t>% chez les garçons (ratio=2,5)</w:t>
            </w:r>
          </w:p>
        </w:tc>
      </w:tr>
      <w:tr w:rsidR="00137EFA" w:rsidRPr="00137EFA" w14:paraId="0F2D2D80" w14:textId="77777777" w:rsidTr="001576AC">
        <w:tc>
          <w:tcPr>
            <w:tcW w:w="2830" w:type="dxa"/>
            <w:shd w:val="clear" w:color="auto" w:fill="E7E6E6" w:themeFill="background2"/>
          </w:tcPr>
          <w:p w14:paraId="1F8E56FE" w14:textId="67E0D35F" w:rsidR="00137EFA" w:rsidRPr="00137EFA" w:rsidRDefault="00A73D26" w:rsidP="00137EFA">
            <w:pPr>
              <w:jc w:val="both"/>
              <w:rPr>
                <w:rFonts w:ascii="Calibri" w:hAnsi="Calibri"/>
                <w:sz w:val="22"/>
              </w:rPr>
            </w:pPr>
            <w:r>
              <w:rPr>
                <w:rFonts w:ascii="Calibri" w:hAnsi="Calibri"/>
                <w:sz w:val="22"/>
              </w:rPr>
              <w:t>Femmes enceintes</w:t>
            </w:r>
          </w:p>
        </w:tc>
        <w:tc>
          <w:tcPr>
            <w:tcW w:w="7025" w:type="dxa"/>
          </w:tcPr>
          <w:p w14:paraId="32AC184E" w14:textId="1F8E5770" w:rsidR="00137EFA" w:rsidRPr="00137EFA" w:rsidRDefault="00A73D26" w:rsidP="00137EFA">
            <w:pPr>
              <w:jc w:val="both"/>
              <w:rPr>
                <w:rFonts w:ascii="Calibri" w:hAnsi="Calibri"/>
                <w:sz w:val="22"/>
              </w:rPr>
            </w:pPr>
            <w:r>
              <w:rPr>
                <w:rFonts w:ascii="Calibri" w:hAnsi="Calibri"/>
                <w:sz w:val="22"/>
              </w:rPr>
              <w:t>Prévalence= 3,56% en 2015 (ENSS) contre 3,7% en 2013 et 3% en 2014</w:t>
            </w:r>
          </w:p>
        </w:tc>
      </w:tr>
      <w:tr w:rsidR="00B153FF" w:rsidRPr="00137EFA" w14:paraId="6305E648" w14:textId="77777777" w:rsidTr="001576AC">
        <w:tc>
          <w:tcPr>
            <w:tcW w:w="2830" w:type="dxa"/>
            <w:shd w:val="clear" w:color="auto" w:fill="E7E6E6" w:themeFill="background2"/>
          </w:tcPr>
          <w:p w14:paraId="493F9CFD" w14:textId="317D3744" w:rsidR="00B153FF" w:rsidRDefault="00B153FF" w:rsidP="00137EFA">
            <w:pPr>
              <w:jc w:val="both"/>
              <w:rPr>
                <w:rFonts w:ascii="Calibri" w:hAnsi="Calibri"/>
                <w:sz w:val="22"/>
              </w:rPr>
            </w:pPr>
            <w:r>
              <w:rPr>
                <w:rFonts w:ascii="Calibri" w:hAnsi="Calibri"/>
                <w:sz w:val="22"/>
              </w:rPr>
              <w:t xml:space="preserve">Miniers </w:t>
            </w:r>
          </w:p>
        </w:tc>
        <w:tc>
          <w:tcPr>
            <w:tcW w:w="7025" w:type="dxa"/>
          </w:tcPr>
          <w:p w14:paraId="28767226" w14:textId="20EF80EB" w:rsidR="00B153FF" w:rsidRDefault="00B153FF" w:rsidP="00137EFA">
            <w:pPr>
              <w:jc w:val="both"/>
              <w:rPr>
                <w:rFonts w:ascii="Calibri" w:hAnsi="Calibri"/>
                <w:sz w:val="22"/>
              </w:rPr>
            </w:pPr>
            <w:r>
              <w:rPr>
                <w:rFonts w:ascii="Calibri" w:hAnsi="Calibri"/>
                <w:sz w:val="22"/>
              </w:rPr>
              <w:t>Prévalence = 1,4% en 2017</w:t>
            </w:r>
          </w:p>
        </w:tc>
      </w:tr>
      <w:tr w:rsidR="00A73D26" w:rsidRPr="00137EFA" w14:paraId="3F4260C6" w14:textId="77777777" w:rsidTr="001576AC">
        <w:tc>
          <w:tcPr>
            <w:tcW w:w="2830" w:type="dxa"/>
            <w:shd w:val="clear" w:color="auto" w:fill="E7E6E6" w:themeFill="background2"/>
          </w:tcPr>
          <w:p w14:paraId="150EB56F" w14:textId="048F836D" w:rsidR="00A73D26" w:rsidRDefault="00A73D26" w:rsidP="00137EFA">
            <w:pPr>
              <w:jc w:val="both"/>
              <w:rPr>
                <w:rFonts w:ascii="Calibri" w:hAnsi="Calibri"/>
                <w:sz w:val="22"/>
              </w:rPr>
            </w:pPr>
            <w:r>
              <w:rPr>
                <w:rFonts w:ascii="Calibri" w:hAnsi="Calibri"/>
                <w:sz w:val="22"/>
              </w:rPr>
              <w:t xml:space="preserve">Pêcheurs </w:t>
            </w:r>
          </w:p>
        </w:tc>
        <w:tc>
          <w:tcPr>
            <w:tcW w:w="7025" w:type="dxa"/>
          </w:tcPr>
          <w:p w14:paraId="70531B11" w14:textId="5FABCAAF" w:rsidR="00A73D26" w:rsidRDefault="00A73D26" w:rsidP="00137EFA">
            <w:pPr>
              <w:jc w:val="both"/>
              <w:rPr>
                <w:rFonts w:ascii="Calibri" w:hAnsi="Calibri"/>
                <w:sz w:val="22"/>
              </w:rPr>
            </w:pPr>
            <w:r>
              <w:rPr>
                <w:rFonts w:ascii="Calibri" w:hAnsi="Calibri"/>
                <w:sz w:val="22"/>
              </w:rPr>
              <w:t xml:space="preserve">Prévalence = </w:t>
            </w:r>
            <w:r w:rsidR="00B153FF">
              <w:rPr>
                <w:rFonts w:ascii="Calibri" w:hAnsi="Calibri"/>
                <w:sz w:val="22"/>
              </w:rPr>
              <w:t xml:space="preserve">3,8% en 2017 contre </w:t>
            </w:r>
            <w:r>
              <w:rPr>
                <w:rFonts w:ascii="Calibri" w:hAnsi="Calibri"/>
                <w:sz w:val="22"/>
              </w:rPr>
              <w:t>4,6% en 2015</w:t>
            </w:r>
            <w:r w:rsidR="00B153FF">
              <w:rPr>
                <w:rFonts w:ascii="Calibri" w:hAnsi="Calibri"/>
                <w:sz w:val="22"/>
              </w:rPr>
              <w:t> ;</w:t>
            </w:r>
            <w:r>
              <w:rPr>
                <w:rFonts w:ascii="Calibri" w:hAnsi="Calibri"/>
                <w:sz w:val="22"/>
              </w:rPr>
              <w:t>5,3% en 2012 et 5,6% en 2007</w:t>
            </w:r>
          </w:p>
        </w:tc>
      </w:tr>
      <w:tr w:rsidR="00A73D26" w:rsidRPr="00137EFA" w14:paraId="6F8C37B7" w14:textId="77777777" w:rsidTr="001576AC">
        <w:tc>
          <w:tcPr>
            <w:tcW w:w="2830" w:type="dxa"/>
            <w:shd w:val="clear" w:color="auto" w:fill="E7E6E6" w:themeFill="background2"/>
          </w:tcPr>
          <w:p w14:paraId="33B1331D" w14:textId="07CE2CF1" w:rsidR="00A73D26" w:rsidRDefault="00A73D26" w:rsidP="00137EFA">
            <w:pPr>
              <w:jc w:val="both"/>
              <w:rPr>
                <w:rFonts w:ascii="Calibri" w:hAnsi="Calibri"/>
                <w:sz w:val="22"/>
              </w:rPr>
            </w:pPr>
            <w:r>
              <w:rPr>
                <w:rFonts w:ascii="Calibri" w:hAnsi="Calibri"/>
              </w:rPr>
              <w:t>M</w:t>
            </w:r>
            <w:r w:rsidRPr="005B52BA">
              <w:rPr>
                <w:rFonts w:ascii="Calibri" w:hAnsi="Calibri"/>
              </w:rPr>
              <w:t>ilitaires/les policiers </w:t>
            </w:r>
          </w:p>
        </w:tc>
        <w:tc>
          <w:tcPr>
            <w:tcW w:w="7025" w:type="dxa"/>
          </w:tcPr>
          <w:p w14:paraId="30029EA0" w14:textId="51FF456C" w:rsidR="00A73D26" w:rsidRDefault="00853C92" w:rsidP="00137EFA">
            <w:pPr>
              <w:jc w:val="both"/>
              <w:rPr>
                <w:rFonts w:ascii="Calibri" w:hAnsi="Calibri"/>
                <w:sz w:val="22"/>
              </w:rPr>
            </w:pPr>
            <w:r>
              <w:rPr>
                <w:rFonts w:ascii="Calibri" w:hAnsi="Calibri"/>
                <w:sz w:val="22"/>
              </w:rPr>
              <w:t xml:space="preserve">Prévalence = </w:t>
            </w:r>
            <w:r w:rsidR="00B153FF">
              <w:rPr>
                <w:rFonts w:ascii="Calibri" w:hAnsi="Calibri"/>
                <w:sz w:val="22"/>
              </w:rPr>
              <w:t xml:space="preserve">3,5% en 2017 contre </w:t>
            </w:r>
            <w:r>
              <w:rPr>
                <w:rFonts w:ascii="Calibri" w:hAnsi="Calibri"/>
                <w:sz w:val="22"/>
              </w:rPr>
              <w:t>4,5% en 201</w:t>
            </w:r>
            <w:r w:rsidR="00B153FF">
              <w:rPr>
                <w:rFonts w:ascii="Calibri" w:hAnsi="Calibri"/>
                <w:sz w:val="22"/>
              </w:rPr>
              <w:t>5 ;</w:t>
            </w:r>
            <w:r w:rsidR="00A73D26">
              <w:rPr>
                <w:rFonts w:ascii="Calibri" w:hAnsi="Calibri"/>
                <w:sz w:val="22"/>
              </w:rPr>
              <w:t xml:space="preserve"> 5,6% en 2012 et 5,2% en 2007</w:t>
            </w:r>
          </w:p>
        </w:tc>
      </w:tr>
      <w:tr w:rsidR="00A73D26" w:rsidRPr="00137EFA" w14:paraId="5D9BD2EE" w14:textId="77777777" w:rsidTr="001576AC">
        <w:tc>
          <w:tcPr>
            <w:tcW w:w="2830" w:type="dxa"/>
            <w:shd w:val="clear" w:color="auto" w:fill="E7E6E6" w:themeFill="background2"/>
          </w:tcPr>
          <w:p w14:paraId="6230A4CF" w14:textId="245C9F7D" w:rsidR="00A73D26" w:rsidRDefault="00A73D26" w:rsidP="00137EFA">
            <w:pPr>
              <w:jc w:val="both"/>
              <w:rPr>
                <w:rFonts w:ascii="Calibri" w:hAnsi="Calibri"/>
              </w:rPr>
            </w:pPr>
            <w:r>
              <w:rPr>
                <w:rFonts w:ascii="Calibri" w:hAnsi="Calibri"/>
              </w:rPr>
              <w:t xml:space="preserve">Camionneurs </w:t>
            </w:r>
          </w:p>
        </w:tc>
        <w:tc>
          <w:tcPr>
            <w:tcW w:w="7025" w:type="dxa"/>
          </w:tcPr>
          <w:p w14:paraId="7F2F88B0" w14:textId="4332C912" w:rsidR="00A73D26" w:rsidRDefault="00A73D26" w:rsidP="00137EFA">
            <w:pPr>
              <w:jc w:val="both"/>
              <w:rPr>
                <w:rFonts w:ascii="Calibri" w:hAnsi="Calibri"/>
                <w:sz w:val="22"/>
              </w:rPr>
            </w:pPr>
            <w:r>
              <w:rPr>
                <w:rFonts w:ascii="Calibri" w:hAnsi="Calibri"/>
                <w:sz w:val="22"/>
              </w:rPr>
              <w:t>Prévalence =</w:t>
            </w:r>
            <w:r w:rsidR="00B153FF">
              <w:rPr>
                <w:rFonts w:ascii="Calibri" w:hAnsi="Calibri"/>
                <w:sz w:val="22"/>
              </w:rPr>
              <w:t xml:space="preserve"> 2,3% en 2017 contre 4,2% en 2015 ; </w:t>
            </w:r>
            <w:r>
              <w:rPr>
                <w:rFonts w:ascii="Calibri" w:hAnsi="Calibri"/>
                <w:sz w:val="22"/>
              </w:rPr>
              <w:t>5,4% en 2012 et 5,5% en 2007</w:t>
            </w:r>
          </w:p>
        </w:tc>
      </w:tr>
      <w:tr w:rsidR="00A73D26" w:rsidRPr="00137EFA" w14:paraId="0BA760AC" w14:textId="77777777" w:rsidTr="001576AC">
        <w:tc>
          <w:tcPr>
            <w:tcW w:w="2830" w:type="dxa"/>
            <w:shd w:val="clear" w:color="auto" w:fill="E7E6E6" w:themeFill="background2"/>
          </w:tcPr>
          <w:p w14:paraId="6CE73F6D" w14:textId="367DF9C2" w:rsidR="00A73D26" w:rsidRDefault="00A73D26" w:rsidP="00137EFA">
            <w:pPr>
              <w:jc w:val="both"/>
              <w:rPr>
                <w:rFonts w:ascii="Calibri" w:hAnsi="Calibri"/>
              </w:rPr>
            </w:pPr>
            <w:r>
              <w:rPr>
                <w:rFonts w:ascii="Calibri" w:hAnsi="Calibri"/>
              </w:rPr>
              <w:t>Population carcérale</w:t>
            </w:r>
          </w:p>
        </w:tc>
        <w:tc>
          <w:tcPr>
            <w:tcW w:w="7025" w:type="dxa"/>
          </w:tcPr>
          <w:p w14:paraId="7E7939B2" w14:textId="33F75B27" w:rsidR="00A73D26" w:rsidRDefault="00853C92" w:rsidP="00137EFA">
            <w:pPr>
              <w:jc w:val="both"/>
              <w:rPr>
                <w:rFonts w:ascii="Calibri" w:hAnsi="Calibri"/>
                <w:sz w:val="22"/>
              </w:rPr>
            </w:pPr>
            <w:r>
              <w:rPr>
                <w:rFonts w:ascii="Calibri" w:hAnsi="Calibri"/>
                <w:sz w:val="22"/>
              </w:rPr>
              <w:t>Prévalence = 2</w:t>
            </w:r>
            <w:r w:rsidR="002A4823">
              <w:rPr>
                <w:rFonts w:ascii="Calibri" w:hAnsi="Calibri"/>
                <w:sz w:val="22"/>
              </w:rPr>
              <w:t>,5% en 2017</w:t>
            </w:r>
            <w:r w:rsidR="00B137F7">
              <w:rPr>
                <w:rFonts w:ascii="Calibri" w:hAnsi="Calibri"/>
                <w:sz w:val="22"/>
              </w:rPr>
              <w:t xml:space="preserve"> (ESCOMB)</w:t>
            </w:r>
            <w:r w:rsidR="00711114">
              <w:rPr>
                <w:rFonts w:ascii="Calibri" w:hAnsi="Calibri"/>
                <w:sz w:val="22"/>
              </w:rPr>
              <w:t xml:space="preserve"> contre 8,5% en 2015</w:t>
            </w:r>
            <w:r w:rsidR="00A73D26">
              <w:rPr>
                <w:rFonts w:ascii="Calibri" w:hAnsi="Calibri"/>
                <w:sz w:val="22"/>
              </w:rPr>
              <w:t xml:space="preserve"> </w:t>
            </w:r>
            <w:r w:rsidR="00711114">
              <w:rPr>
                <w:rFonts w:ascii="Calibri" w:hAnsi="Calibri"/>
                <w:sz w:val="22"/>
              </w:rPr>
              <w:t>et</w:t>
            </w:r>
            <w:r w:rsidR="00A73D26">
              <w:rPr>
                <w:rFonts w:ascii="Calibri" w:hAnsi="Calibri"/>
                <w:sz w:val="22"/>
              </w:rPr>
              <w:t xml:space="preserve"> 9,4% </w:t>
            </w:r>
            <w:r w:rsidR="00A73D26" w:rsidRPr="005B52BA">
              <w:rPr>
                <w:rFonts w:ascii="Calibri" w:hAnsi="Calibri"/>
              </w:rPr>
              <w:t>en 2012 (EDS) </w:t>
            </w:r>
          </w:p>
        </w:tc>
      </w:tr>
    </w:tbl>
    <w:p w14:paraId="5B647C94" w14:textId="59528461" w:rsidR="00137EFA" w:rsidRPr="00A57488" w:rsidRDefault="00137EFA" w:rsidP="00266896">
      <w:pPr>
        <w:jc w:val="both"/>
        <w:rPr>
          <w:rFonts w:ascii="Calibri" w:hAnsi="Calibri"/>
        </w:rPr>
      </w:pPr>
    </w:p>
    <w:p w14:paraId="41EE00B8" w14:textId="598E1D57" w:rsidR="00A57488" w:rsidRPr="00A57488" w:rsidRDefault="00A57488" w:rsidP="00A57488">
      <w:pPr>
        <w:jc w:val="both"/>
        <w:rPr>
          <w:rFonts w:ascii="Calibri" w:hAnsi="Calibri"/>
        </w:rPr>
      </w:pPr>
      <w:r w:rsidRPr="00A57488">
        <w:rPr>
          <w:rFonts w:ascii="Calibri" w:hAnsi="Calibri"/>
        </w:rPr>
        <w:t>L’enquête nationale sur les violences basées sur le genre (VBG) conduite en 2009 par le Ministère des Affaires Sociales avec l’appui de l’UNFPA, de l’UNICEF, du PNUD et de l’OMS indique que 50% des femmes interviewées ont indiqué́ avoir été́ victimes de violences sexuelles, 90 pour cent d’une forme de violence physique ou psychologique. Selon l’enquête, un pourcentage important d’hommes a aussi déclaré́ avoir été́ victime de violence sexuelle une fois dans leur vie (47 pour cent en Guinée Forestière). Une autre enquête réalisée en 2016 par une ONG de lutte contre les VBG (la COFFIG) a révélé que 63% des femmes sont victimes de mariages forcés, 85% de violences conjugales et 49% de violences sexuelles. Par ailleurs, l’Office de protection du genre, de l’enfance et des mœurs (</w:t>
      </w:r>
      <w:proofErr w:type="spellStart"/>
      <w:r w:rsidRPr="00A57488">
        <w:rPr>
          <w:rFonts w:ascii="Calibri" w:hAnsi="Calibri"/>
        </w:rPr>
        <w:t>Oprogem</w:t>
      </w:r>
      <w:proofErr w:type="spellEnd"/>
      <w:r w:rsidRPr="00A57488">
        <w:rPr>
          <w:rFonts w:ascii="Calibri" w:hAnsi="Calibri"/>
        </w:rPr>
        <w:t>), sous la tutelle du ministère de la Sécurité et de la protection civile indique, dans un document officiel, que l’année 2017 a battu le record en matière de violences basées sur le genre : 238 cas de viols dont 161 sur mineures ont été répertoriés, 173 cas de coups et blessures et 48 cas de maltraitance. Notons qu’en 2015, un guide d’assistance juridique et judiciaire des victimes de violences basées sur le genre a été élaboré par la coalition nationale de guinée pour les droits et citoyenneté des femmes (CONAG_DCF)</w:t>
      </w:r>
      <w:r>
        <w:rPr>
          <w:rFonts w:ascii="Calibri" w:hAnsi="Calibri"/>
        </w:rPr>
        <w:t>.</w:t>
      </w:r>
    </w:p>
    <w:p w14:paraId="4E30F2BC" w14:textId="77777777" w:rsidR="00B011B4" w:rsidRDefault="00B011B4" w:rsidP="00266896">
      <w:pPr>
        <w:jc w:val="both"/>
        <w:rPr>
          <w:rFonts w:ascii="Calibri" w:hAnsi="Calibri"/>
          <w:b/>
        </w:rPr>
      </w:pPr>
    </w:p>
    <w:p w14:paraId="3C9242CE" w14:textId="54E12BF1" w:rsidR="00AB79BD" w:rsidRPr="000F2EC3" w:rsidRDefault="00E367D1" w:rsidP="00C34A61">
      <w:pPr>
        <w:pStyle w:val="Titre2"/>
        <w:numPr>
          <w:ilvl w:val="1"/>
          <w:numId w:val="6"/>
        </w:numPr>
        <w:spacing w:after="0"/>
        <w:ind w:left="426" w:hanging="426"/>
        <w:rPr>
          <w:rFonts w:ascii="Calibri" w:hAnsi="Calibri"/>
          <w:color w:val="2F5496" w:themeColor="accent5" w:themeShade="BF"/>
          <w:szCs w:val="24"/>
        </w:rPr>
      </w:pPr>
      <w:bookmarkStart w:id="49" w:name="_Toc500496790"/>
      <w:bookmarkStart w:id="50" w:name="_Toc500520925"/>
      <w:bookmarkStart w:id="51" w:name="_Toc520983524"/>
      <w:r>
        <w:rPr>
          <w:rFonts w:ascii="Calibri" w:hAnsi="Calibri"/>
          <w:color w:val="2F5496" w:themeColor="accent5" w:themeShade="BF"/>
          <w:szCs w:val="24"/>
        </w:rPr>
        <w:t>Synthèse</w:t>
      </w:r>
      <w:r w:rsidR="00AB79BD" w:rsidRPr="000F2EC3">
        <w:rPr>
          <w:rFonts w:ascii="Calibri" w:hAnsi="Calibri"/>
          <w:color w:val="2F5496" w:themeColor="accent5" w:themeShade="BF"/>
          <w:szCs w:val="24"/>
        </w:rPr>
        <w:t xml:space="preserve"> de l’analyse de la réponse</w:t>
      </w:r>
      <w:bookmarkEnd w:id="49"/>
      <w:bookmarkEnd w:id="50"/>
      <w:bookmarkEnd w:id="51"/>
    </w:p>
    <w:p w14:paraId="6AFFA6F5" w14:textId="00502A39" w:rsidR="00AB79BD" w:rsidRPr="005B52BA" w:rsidRDefault="00AB79BD" w:rsidP="00B63C79">
      <w:pPr>
        <w:jc w:val="both"/>
        <w:rPr>
          <w:rFonts w:ascii="Calibri" w:hAnsi="Calibri"/>
          <w:b/>
        </w:rPr>
      </w:pPr>
    </w:p>
    <w:p w14:paraId="6CB4F133" w14:textId="1749D1A2" w:rsidR="00AB79BD" w:rsidRPr="005B52BA" w:rsidRDefault="00AB79BD" w:rsidP="00C34A61">
      <w:pPr>
        <w:pStyle w:val="Paragraphedeliste"/>
        <w:numPr>
          <w:ilvl w:val="2"/>
          <w:numId w:val="6"/>
        </w:numPr>
        <w:ind w:left="709"/>
        <w:contextualSpacing w:val="0"/>
        <w:jc w:val="both"/>
        <w:rPr>
          <w:rFonts w:ascii="Calibri" w:hAnsi="Calibri"/>
          <w:b/>
        </w:rPr>
      </w:pPr>
      <w:r w:rsidRPr="005B52BA">
        <w:rPr>
          <w:rFonts w:ascii="Calibri" w:hAnsi="Calibri"/>
          <w:b/>
        </w:rPr>
        <w:t>Réduction des nouvelles infections par le VIH</w:t>
      </w:r>
    </w:p>
    <w:p w14:paraId="74961674" w14:textId="77777777" w:rsidR="00AB79BD" w:rsidRPr="005B52BA" w:rsidRDefault="00AB79BD" w:rsidP="00B63C79">
      <w:pPr>
        <w:jc w:val="both"/>
        <w:rPr>
          <w:rFonts w:ascii="Calibri" w:hAnsi="Calibri"/>
          <w:noProof/>
        </w:rPr>
      </w:pPr>
    </w:p>
    <w:p w14:paraId="41FB0145" w14:textId="77777777" w:rsidR="00B63C79" w:rsidRPr="005B52BA" w:rsidRDefault="00B63C79" w:rsidP="00B63C79">
      <w:pPr>
        <w:jc w:val="both"/>
        <w:rPr>
          <w:rFonts w:ascii="Calibri" w:hAnsi="Calibri"/>
          <w:noProof/>
        </w:rPr>
      </w:pPr>
      <w:r w:rsidRPr="005B52BA">
        <w:rPr>
          <w:rFonts w:ascii="Calibri" w:hAnsi="Calibri"/>
          <w:noProof/>
        </w:rPr>
        <w:t>Les interventions développées au cours de 2013-2017 dans le cadre de la diminution  de l’incidence de l’infection par le VIH parmi les populations les plus exposées, ont permis d’obtenir les résultats ci-dessous</w:t>
      </w:r>
    </w:p>
    <w:p w14:paraId="556C86C9" w14:textId="77777777" w:rsidR="00B63C79" w:rsidRPr="005B52BA" w:rsidRDefault="00B63C79" w:rsidP="00B63C79">
      <w:pPr>
        <w:jc w:val="both"/>
        <w:rPr>
          <w:rFonts w:ascii="Calibri" w:hAnsi="Calibri"/>
          <w:noProof/>
        </w:rPr>
      </w:pPr>
    </w:p>
    <w:p w14:paraId="3F7BBB3D" w14:textId="77777777" w:rsidR="00B63C79" w:rsidRPr="00B63C79" w:rsidRDefault="00B63C79" w:rsidP="00C34A61">
      <w:pPr>
        <w:pStyle w:val="Paragraphedeliste"/>
        <w:numPr>
          <w:ilvl w:val="0"/>
          <w:numId w:val="10"/>
        </w:numPr>
        <w:ind w:left="426" w:hanging="426"/>
        <w:contextualSpacing w:val="0"/>
        <w:jc w:val="both"/>
        <w:rPr>
          <w:rFonts w:ascii="Calibri" w:hAnsi="Calibri"/>
          <w:b/>
          <w:i/>
        </w:rPr>
      </w:pPr>
      <w:r w:rsidRPr="00B63C79">
        <w:rPr>
          <w:rFonts w:ascii="Calibri" w:hAnsi="Calibri"/>
          <w:b/>
          <w:i/>
        </w:rPr>
        <w:t>Le dépistage.</w:t>
      </w:r>
    </w:p>
    <w:p w14:paraId="08CAF46C" w14:textId="77777777" w:rsidR="00B63C79" w:rsidRPr="005B52BA" w:rsidRDefault="00B63C79" w:rsidP="00B63C79">
      <w:pPr>
        <w:jc w:val="both"/>
        <w:rPr>
          <w:rFonts w:ascii="Calibri" w:hAnsi="Calibri"/>
          <w:color w:val="FF0000"/>
        </w:rPr>
      </w:pPr>
    </w:p>
    <w:p w14:paraId="28CEE0AD" w14:textId="6DE8719D" w:rsidR="00B63C79" w:rsidRDefault="00B63C79" w:rsidP="00D7270D">
      <w:pPr>
        <w:ind w:left="426"/>
        <w:jc w:val="both"/>
        <w:rPr>
          <w:rFonts w:ascii="Calibri" w:hAnsi="Calibri"/>
        </w:rPr>
      </w:pPr>
      <w:r w:rsidRPr="005B52BA">
        <w:rPr>
          <w:rFonts w:ascii="Calibri" w:hAnsi="Calibri"/>
        </w:rPr>
        <w:t xml:space="preserve">Durant la mise en œuvre du cadre stratégique national de lutte contre le </w:t>
      </w:r>
      <w:r w:rsidR="0036679F">
        <w:rPr>
          <w:rFonts w:ascii="Calibri" w:hAnsi="Calibri"/>
        </w:rPr>
        <w:t>sida</w:t>
      </w:r>
      <w:r w:rsidRPr="005B52BA">
        <w:rPr>
          <w:rFonts w:ascii="Calibri" w:hAnsi="Calibri"/>
        </w:rPr>
        <w:t xml:space="preserve"> 2013-2017 (CSN), l’offre de services de dépistage du VIH s’est accrue</w:t>
      </w:r>
      <w:r w:rsidRPr="008706E8">
        <w:rPr>
          <w:rFonts w:ascii="Calibri" w:hAnsi="Calibri"/>
        </w:rPr>
        <w:t xml:space="preserve"> </w:t>
      </w:r>
      <w:r w:rsidRPr="005B52BA">
        <w:rPr>
          <w:rFonts w:ascii="Calibri" w:hAnsi="Calibri"/>
        </w:rPr>
        <w:t>grâce à l’appui des acteurs aussi bien nationaux qu’internationaux.</w:t>
      </w:r>
      <w:r>
        <w:rPr>
          <w:rFonts w:ascii="Calibri" w:hAnsi="Calibri"/>
        </w:rPr>
        <w:t xml:space="preserve"> Le dépistage est passé</w:t>
      </w:r>
      <w:r w:rsidRPr="005B52BA">
        <w:rPr>
          <w:rFonts w:ascii="Calibri" w:hAnsi="Calibri"/>
        </w:rPr>
        <w:t xml:space="preserve"> de 101 sites en 2013 à 126 sites en 2016. Ce rythme d’accréditation de sites CDV semble ne pas être satisfaisant en comparaison avec le nombre de structures de soins que compte le pay</w:t>
      </w:r>
      <w:r w:rsidR="00E47C39">
        <w:rPr>
          <w:rFonts w:ascii="Calibri" w:hAnsi="Calibri"/>
        </w:rPr>
        <w:t>s</w:t>
      </w:r>
      <w:r w:rsidR="00FD1570">
        <w:rPr>
          <w:rStyle w:val="Appelnotedebasdep"/>
          <w:rFonts w:ascii="Calibri" w:hAnsi="Calibri"/>
        </w:rPr>
        <w:footnoteReference w:id="9"/>
      </w:r>
      <w:r w:rsidR="00E47C39">
        <w:rPr>
          <w:rFonts w:ascii="Calibri" w:hAnsi="Calibri"/>
        </w:rPr>
        <w:t>, soit une couverture de 7%</w:t>
      </w:r>
      <w:r w:rsidRPr="005B52BA">
        <w:rPr>
          <w:rFonts w:ascii="Calibri" w:hAnsi="Calibri"/>
        </w:rPr>
        <w:t xml:space="preserve">. </w:t>
      </w:r>
      <w:r w:rsidR="00F02893">
        <w:rPr>
          <w:rFonts w:ascii="Calibri" w:hAnsi="Calibri"/>
        </w:rPr>
        <w:t xml:space="preserve"> Les performances en matière de dépistage sont les suivantes :</w:t>
      </w:r>
      <w:r w:rsidR="00B011B4">
        <w:rPr>
          <w:rFonts w:ascii="Calibri" w:hAnsi="Calibri"/>
        </w:rPr>
        <w:t xml:space="preserve"> </w:t>
      </w:r>
    </w:p>
    <w:p w14:paraId="7BEA34DA" w14:textId="77777777" w:rsidR="00527554" w:rsidRPr="005B52BA" w:rsidRDefault="00527554" w:rsidP="00D7270D">
      <w:pPr>
        <w:ind w:left="426"/>
        <w:jc w:val="both"/>
        <w:rPr>
          <w:rFonts w:ascii="Calibri" w:hAnsi="Calibri"/>
          <w:color w:val="FF0000"/>
        </w:rPr>
      </w:pPr>
    </w:p>
    <w:p w14:paraId="17ABCAF8" w14:textId="72BC7AEE" w:rsidR="00527554" w:rsidRPr="00563646" w:rsidRDefault="00527554" w:rsidP="00563646">
      <w:pPr>
        <w:pStyle w:val="graph"/>
        <w:ind w:firstLine="426"/>
        <w:jc w:val="left"/>
        <w:rPr>
          <w:b w:val="0"/>
        </w:rPr>
      </w:pPr>
      <w:bookmarkStart w:id="52" w:name="_Toc521065111"/>
      <w:r w:rsidRPr="00563646">
        <w:rPr>
          <w:u w:val="single"/>
        </w:rPr>
        <w:t>Graphique 5</w:t>
      </w:r>
      <w:r w:rsidRPr="00527554">
        <w:t xml:space="preserve"> </w:t>
      </w:r>
      <w:r w:rsidRPr="00563646">
        <w:rPr>
          <w:b w:val="0"/>
        </w:rPr>
        <w:t>: Dépistage du VIH dans les CDV, Tendances sur la période 2013-2016</w:t>
      </w:r>
      <w:bookmarkEnd w:id="52"/>
    </w:p>
    <w:p w14:paraId="238E153B" w14:textId="77777777" w:rsidR="00B63C79" w:rsidRPr="005B52BA" w:rsidRDefault="00B63C79" w:rsidP="00B63C79">
      <w:pPr>
        <w:jc w:val="both"/>
        <w:rPr>
          <w:rFonts w:ascii="Calibri" w:hAnsi="Calibri"/>
          <w:color w:val="FF0000"/>
        </w:rPr>
      </w:pPr>
    </w:p>
    <w:p w14:paraId="1CD13DBF" w14:textId="2F1E54E5" w:rsidR="00B63C79" w:rsidRDefault="00FC6AE8" w:rsidP="00B63C79">
      <w:pPr>
        <w:jc w:val="both"/>
        <w:rPr>
          <w:rFonts w:ascii="Calibri" w:hAnsi="Calibri"/>
          <w:u w:val="single"/>
        </w:rPr>
      </w:pPr>
      <w:r>
        <w:rPr>
          <w:noProof/>
        </w:rPr>
        <w:drawing>
          <wp:inline distT="0" distB="0" distL="0" distR="0" wp14:anchorId="39ABAF1B" wp14:editId="3A2650A9">
            <wp:extent cx="6264275" cy="2032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9839" cy="2033805"/>
                    </a:xfrm>
                    <a:prstGeom prst="rect">
                      <a:avLst/>
                    </a:prstGeom>
                  </pic:spPr>
                </pic:pic>
              </a:graphicData>
            </a:graphic>
          </wp:inline>
        </w:drawing>
      </w:r>
    </w:p>
    <w:p w14:paraId="0FFDE1BA" w14:textId="77777777" w:rsidR="00857E71" w:rsidRDefault="00857E71" w:rsidP="00990484">
      <w:pPr>
        <w:ind w:left="426"/>
        <w:jc w:val="both"/>
        <w:rPr>
          <w:rFonts w:ascii="Calibri" w:hAnsi="Calibri"/>
        </w:rPr>
      </w:pPr>
      <w:r>
        <w:rPr>
          <w:rFonts w:ascii="Calibri" w:hAnsi="Calibri"/>
        </w:rPr>
        <w:t>D’une année à l’autre, on observe des performances mitigées parfois en baisse du dépistage du VIH. Outre la couverture insuffisante, le dépistage fait face à des obstacles comme :</w:t>
      </w:r>
    </w:p>
    <w:p w14:paraId="0B37B14F" w14:textId="77777777" w:rsidR="00857E71" w:rsidRDefault="00857E71" w:rsidP="00C34A61">
      <w:pPr>
        <w:pStyle w:val="Paragraphedeliste"/>
        <w:numPr>
          <w:ilvl w:val="0"/>
          <w:numId w:val="30"/>
        </w:numPr>
        <w:contextualSpacing w:val="0"/>
        <w:jc w:val="both"/>
        <w:rPr>
          <w:rFonts w:ascii="Calibri" w:hAnsi="Calibri"/>
        </w:rPr>
      </w:pPr>
      <w:r>
        <w:rPr>
          <w:rFonts w:ascii="Calibri" w:hAnsi="Calibri"/>
        </w:rPr>
        <w:t>La m</w:t>
      </w:r>
      <w:r w:rsidRPr="00857E71">
        <w:rPr>
          <w:rFonts w:ascii="Calibri" w:hAnsi="Calibri"/>
        </w:rPr>
        <w:t>édicalisation du dépistage, ce qui implique une non-participation d’acteurs notamment communautaire dans l’offre de dépistage</w:t>
      </w:r>
    </w:p>
    <w:p w14:paraId="0F7F5C05" w14:textId="77777777" w:rsidR="00857E71" w:rsidRDefault="00857E71" w:rsidP="00C34A61">
      <w:pPr>
        <w:pStyle w:val="Paragraphedeliste"/>
        <w:numPr>
          <w:ilvl w:val="0"/>
          <w:numId w:val="30"/>
        </w:numPr>
        <w:contextualSpacing w:val="0"/>
        <w:jc w:val="both"/>
        <w:rPr>
          <w:rFonts w:ascii="Calibri" w:hAnsi="Calibri"/>
        </w:rPr>
      </w:pPr>
      <w:r>
        <w:rPr>
          <w:rFonts w:ascii="Calibri" w:hAnsi="Calibri"/>
        </w:rPr>
        <w:t>L’absence de document normatif incluant l’implication des acteurs communautaires</w:t>
      </w:r>
    </w:p>
    <w:p w14:paraId="03349026" w14:textId="77777777" w:rsidR="00857E71" w:rsidRDefault="00857E71" w:rsidP="00C34A61">
      <w:pPr>
        <w:pStyle w:val="Paragraphedeliste"/>
        <w:numPr>
          <w:ilvl w:val="0"/>
          <w:numId w:val="30"/>
        </w:numPr>
        <w:contextualSpacing w:val="0"/>
        <w:jc w:val="both"/>
        <w:rPr>
          <w:rFonts w:ascii="Calibri" w:hAnsi="Calibri"/>
        </w:rPr>
      </w:pPr>
      <w:r>
        <w:rPr>
          <w:rFonts w:ascii="Calibri" w:hAnsi="Calibri"/>
        </w:rPr>
        <w:t xml:space="preserve">La rupture en intrants associée à la faible fonctionnalité des services adaptés </w:t>
      </w:r>
    </w:p>
    <w:p w14:paraId="6D67E7B1" w14:textId="77777777" w:rsidR="00857E71" w:rsidRPr="00857E71" w:rsidRDefault="00857E71" w:rsidP="00857E71">
      <w:pPr>
        <w:ind w:left="360"/>
        <w:jc w:val="both"/>
        <w:rPr>
          <w:rFonts w:ascii="Calibri" w:hAnsi="Calibri"/>
          <w:color w:val="000000" w:themeColor="text1"/>
        </w:rPr>
      </w:pPr>
    </w:p>
    <w:p w14:paraId="3F53E3D1" w14:textId="52A66289" w:rsidR="00E47C39" w:rsidRPr="00990484" w:rsidRDefault="00857E71" w:rsidP="00990484">
      <w:pPr>
        <w:ind w:left="426"/>
        <w:jc w:val="both"/>
        <w:rPr>
          <w:rFonts w:ascii="Calibri" w:hAnsi="Calibri"/>
        </w:rPr>
      </w:pPr>
      <w:r w:rsidRPr="00990484">
        <w:rPr>
          <w:rFonts w:ascii="Calibri" w:hAnsi="Calibri"/>
        </w:rPr>
        <w:t>Par ailleurs, l’analyse de la cascade indique une déperdition notable des personnes dépistées positives entre le dépistage et la mise sous traitement, ce qui questionne le dispositif de référence et de suivi/traçabilité des patients dépistés positifs.</w:t>
      </w:r>
    </w:p>
    <w:p w14:paraId="73BA3209" w14:textId="53BE1C3D" w:rsidR="00E47C39" w:rsidRDefault="00E47C39" w:rsidP="00E47C39">
      <w:pPr>
        <w:jc w:val="both"/>
        <w:rPr>
          <w:rFonts w:ascii="Calibri" w:hAnsi="Calibri"/>
          <w:u w:val="single"/>
        </w:rPr>
      </w:pPr>
    </w:p>
    <w:tbl>
      <w:tblPr>
        <w:tblStyle w:val="Grilledutableau"/>
        <w:tblW w:w="0" w:type="auto"/>
        <w:tblInd w:w="421" w:type="dxa"/>
        <w:tblLook w:val="04A0" w:firstRow="1" w:lastRow="0" w:firstColumn="1" w:lastColumn="0" w:noHBand="0" w:noVBand="1"/>
      </w:tblPr>
      <w:tblGrid>
        <w:gridCol w:w="1057"/>
        <w:gridCol w:w="8377"/>
      </w:tblGrid>
      <w:tr w:rsidR="00857E71" w:rsidRPr="00B63D74" w14:paraId="048471FC" w14:textId="77777777" w:rsidTr="00990484">
        <w:tc>
          <w:tcPr>
            <w:tcW w:w="992" w:type="dxa"/>
            <w:shd w:val="clear" w:color="auto" w:fill="FF0000"/>
            <w:vAlign w:val="center"/>
          </w:tcPr>
          <w:p w14:paraId="63B1E0B0" w14:textId="1D18C91A" w:rsidR="00857E71" w:rsidRPr="00B63D74" w:rsidRDefault="00433343" w:rsidP="00A81943">
            <w:pPr>
              <w:rPr>
                <w:rFonts w:ascii="Calibri" w:hAnsi="Calibri"/>
                <w:sz w:val="20"/>
                <w:szCs w:val="20"/>
              </w:rPr>
            </w:pPr>
            <w:r w:rsidRPr="00B63D74">
              <w:rPr>
                <w:rFonts w:ascii="Calibri" w:hAnsi="Calibri"/>
                <w:color w:val="FFFFFF" w:themeColor="background1"/>
                <w:sz w:val="20"/>
                <w:szCs w:val="20"/>
              </w:rPr>
              <w:t>DEFIS/ PRIORITES</w:t>
            </w:r>
          </w:p>
        </w:tc>
        <w:tc>
          <w:tcPr>
            <w:tcW w:w="8442" w:type="dxa"/>
            <w:shd w:val="clear" w:color="auto" w:fill="E7E6E6" w:themeFill="background2"/>
          </w:tcPr>
          <w:p w14:paraId="353B9F00" w14:textId="1E7E0B09" w:rsidR="00857E71" w:rsidRPr="00B63D74" w:rsidRDefault="00857E71" w:rsidP="00C34A61">
            <w:pPr>
              <w:pStyle w:val="Paragraphedeliste"/>
              <w:numPr>
                <w:ilvl w:val="0"/>
                <w:numId w:val="27"/>
              </w:numPr>
              <w:jc w:val="both"/>
              <w:rPr>
                <w:rFonts w:ascii="Calibri" w:hAnsi="Calibri"/>
                <w:sz w:val="20"/>
                <w:szCs w:val="20"/>
              </w:rPr>
            </w:pPr>
            <w:r w:rsidRPr="00B63D74">
              <w:rPr>
                <w:rFonts w:ascii="Calibri" w:hAnsi="Calibri"/>
                <w:sz w:val="20"/>
                <w:szCs w:val="20"/>
              </w:rPr>
              <w:t xml:space="preserve">Accroitre l’offre </w:t>
            </w:r>
            <w:r w:rsidR="00A81943" w:rsidRPr="00B63D74">
              <w:rPr>
                <w:rFonts w:ascii="Calibri" w:hAnsi="Calibri"/>
                <w:sz w:val="20"/>
                <w:szCs w:val="20"/>
              </w:rPr>
              <w:t xml:space="preserve">et la disponibilité des services </w:t>
            </w:r>
            <w:r w:rsidRPr="00B63D74">
              <w:rPr>
                <w:rFonts w:ascii="Calibri" w:hAnsi="Calibri"/>
                <w:sz w:val="20"/>
                <w:szCs w:val="20"/>
              </w:rPr>
              <w:t>de dépistage du VIH</w:t>
            </w:r>
            <w:r w:rsidR="00A81943" w:rsidRPr="00B63D74">
              <w:rPr>
                <w:rFonts w:ascii="Calibri" w:hAnsi="Calibri"/>
                <w:sz w:val="20"/>
                <w:szCs w:val="20"/>
              </w:rPr>
              <w:t xml:space="preserve"> à travers l’implication des acteurs communautaires</w:t>
            </w:r>
          </w:p>
          <w:p w14:paraId="0379AAB6" w14:textId="5BEAA706" w:rsidR="00A81943" w:rsidRPr="00B63D74" w:rsidRDefault="00A81943" w:rsidP="00C34A61">
            <w:pPr>
              <w:pStyle w:val="Paragraphedeliste"/>
              <w:numPr>
                <w:ilvl w:val="0"/>
                <w:numId w:val="27"/>
              </w:numPr>
              <w:jc w:val="both"/>
              <w:rPr>
                <w:rFonts w:ascii="Calibri" w:hAnsi="Calibri"/>
                <w:sz w:val="20"/>
                <w:szCs w:val="20"/>
              </w:rPr>
            </w:pPr>
            <w:r w:rsidRPr="00B63D74">
              <w:rPr>
                <w:rFonts w:ascii="Calibri" w:hAnsi="Calibri"/>
                <w:sz w:val="20"/>
                <w:szCs w:val="20"/>
              </w:rPr>
              <w:t>Assurer la performance du dépistage, notamment en termes de ciblage des populations clés et des enfants</w:t>
            </w:r>
          </w:p>
          <w:p w14:paraId="3A059DD3" w14:textId="4EA68A9E" w:rsidR="00A81943" w:rsidRPr="00B63D74" w:rsidRDefault="00A81943" w:rsidP="00C34A61">
            <w:pPr>
              <w:pStyle w:val="Paragraphedeliste"/>
              <w:numPr>
                <w:ilvl w:val="0"/>
                <w:numId w:val="27"/>
              </w:numPr>
              <w:jc w:val="both"/>
              <w:rPr>
                <w:rFonts w:ascii="Calibri" w:hAnsi="Calibri"/>
                <w:sz w:val="20"/>
                <w:szCs w:val="20"/>
              </w:rPr>
            </w:pPr>
            <w:r w:rsidRPr="00B63D74">
              <w:rPr>
                <w:rFonts w:ascii="Calibri" w:hAnsi="Calibri"/>
                <w:sz w:val="20"/>
                <w:szCs w:val="20"/>
              </w:rPr>
              <w:t>Réduire les déperditions des personnes dépistées positives</w:t>
            </w:r>
            <w:r w:rsidR="00585AB8">
              <w:rPr>
                <w:rFonts w:ascii="Calibri" w:hAnsi="Calibri"/>
                <w:sz w:val="20"/>
                <w:szCs w:val="20"/>
              </w:rPr>
              <w:t xml:space="preserve"> dans la cascade de traitement</w:t>
            </w:r>
          </w:p>
        </w:tc>
      </w:tr>
    </w:tbl>
    <w:p w14:paraId="1F15E3BD" w14:textId="77777777" w:rsidR="00F02893" w:rsidRPr="005B52BA" w:rsidRDefault="00F02893" w:rsidP="00B63C79">
      <w:pPr>
        <w:jc w:val="both"/>
        <w:rPr>
          <w:rFonts w:ascii="Calibri" w:hAnsi="Calibri"/>
          <w:color w:val="FF0000"/>
        </w:rPr>
      </w:pPr>
    </w:p>
    <w:p w14:paraId="7E8EAF68" w14:textId="44FABF4A" w:rsidR="00B63C79" w:rsidRDefault="00B63C79" w:rsidP="00C34A61">
      <w:pPr>
        <w:pStyle w:val="Paragraphedeliste"/>
        <w:numPr>
          <w:ilvl w:val="0"/>
          <w:numId w:val="10"/>
        </w:numPr>
        <w:ind w:left="426" w:hanging="426"/>
        <w:contextualSpacing w:val="0"/>
        <w:jc w:val="both"/>
        <w:rPr>
          <w:rFonts w:ascii="Calibri" w:hAnsi="Calibri"/>
          <w:b/>
          <w:i/>
        </w:rPr>
      </w:pPr>
      <w:r w:rsidRPr="00B63C79">
        <w:rPr>
          <w:rFonts w:ascii="Calibri" w:hAnsi="Calibri"/>
          <w:b/>
          <w:i/>
        </w:rPr>
        <w:t xml:space="preserve">Adoption des comportements à moindre risque par les populations clés face aux IST/VIH (PS, HSH) : </w:t>
      </w:r>
    </w:p>
    <w:p w14:paraId="49C5EAE6" w14:textId="63D2BA80" w:rsidR="00B63C79" w:rsidRDefault="00B63C79" w:rsidP="00B63C79">
      <w:pPr>
        <w:pStyle w:val="Paragraphedeliste"/>
        <w:ind w:left="426"/>
        <w:contextualSpacing w:val="0"/>
        <w:jc w:val="both"/>
        <w:rPr>
          <w:rFonts w:ascii="Calibri" w:hAnsi="Calibri"/>
        </w:rPr>
      </w:pPr>
    </w:p>
    <w:p w14:paraId="2649BAA3" w14:textId="1CB46828" w:rsidR="00C63C4A" w:rsidRPr="00C63C4A" w:rsidRDefault="00C63C4A" w:rsidP="00B63C79">
      <w:pPr>
        <w:pStyle w:val="Paragraphedeliste"/>
        <w:ind w:left="426"/>
        <w:contextualSpacing w:val="0"/>
        <w:jc w:val="both"/>
        <w:rPr>
          <w:rFonts w:ascii="Calibri" w:hAnsi="Calibri"/>
        </w:rPr>
      </w:pPr>
      <w:r>
        <w:rPr>
          <w:rFonts w:ascii="Calibri" w:hAnsi="Calibri"/>
        </w:rPr>
        <w:t>Au cours de la période 2013-2017, des interventions ont été menées en direction des populations clés</w:t>
      </w:r>
      <w:r w:rsidR="00D4660B">
        <w:rPr>
          <w:rFonts w:ascii="Calibri" w:hAnsi="Calibri"/>
        </w:rPr>
        <w:t xml:space="preserve">. Elles ont permis de mettre en place un </w:t>
      </w:r>
      <w:r w:rsidR="00D4660B">
        <w:rPr>
          <w:rFonts w:ascii="Calibri" w:hAnsi="Calibri" w:cs="Arial"/>
          <w:iCs/>
        </w:rPr>
        <w:t>centre communautaire pour les HSH, un observatoire communautaire pour accès aux services de santé et aux droits des PVVIH, une clinique mobile pour le</w:t>
      </w:r>
      <w:r w:rsidR="00D4660B" w:rsidRPr="00BC3688">
        <w:rPr>
          <w:rFonts w:ascii="Calibri" w:hAnsi="Calibri" w:cs="Arial"/>
          <w:iCs/>
        </w:rPr>
        <w:t> </w:t>
      </w:r>
      <w:r w:rsidR="00D4660B" w:rsidRPr="008B78A3">
        <w:rPr>
          <w:rFonts w:ascii="Calibri" w:hAnsi="Calibri" w:cs="Arial"/>
          <w:iCs/>
        </w:rPr>
        <w:t>dépistage</w:t>
      </w:r>
      <w:r w:rsidR="00D4660B">
        <w:rPr>
          <w:rFonts w:ascii="Calibri" w:hAnsi="Calibri" w:cs="Arial"/>
          <w:iCs/>
        </w:rPr>
        <w:t xml:space="preserve">. </w:t>
      </w:r>
      <w:r w:rsidR="00D4660B">
        <w:rPr>
          <w:rFonts w:ascii="Calibri" w:hAnsi="Calibri"/>
        </w:rPr>
        <w:t>Les principaux résultats obtenus sont les suivants :</w:t>
      </w:r>
    </w:p>
    <w:p w14:paraId="5BA6966F" w14:textId="77777777" w:rsidR="002A3A54" w:rsidRPr="005B52BA" w:rsidRDefault="002A3A54" w:rsidP="00C34A61">
      <w:pPr>
        <w:pStyle w:val="Paragraphedeliste"/>
        <w:numPr>
          <w:ilvl w:val="0"/>
          <w:numId w:val="30"/>
        </w:numPr>
        <w:contextualSpacing w:val="0"/>
        <w:jc w:val="both"/>
        <w:rPr>
          <w:rFonts w:ascii="Calibri" w:hAnsi="Calibri"/>
        </w:rPr>
      </w:pPr>
      <w:r w:rsidRPr="005B52BA">
        <w:rPr>
          <w:rFonts w:ascii="Calibri" w:hAnsi="Calibri"/>
        </w:rPr>
        <w:t>92,80% de professionnelles de sexe indiquaient avoir utilisé un préservatif avec leur dernier client (contre une cible de 85% en 2016)</w:t>
      </w:r>
    </w:p>
    <w:p w14:paraId="20E60AA6" w14:textId="77777777" w:rsidR="002A3A54" w:rsidRPr="005B52BA" w:rsidRDefault="002A3A54" w:rsidP="00C34A61">
      <w:pPr>
        <w:pStyle w:val="Paragraphedeliste"/>
        <w:numPr>
          <w:ilvl w:val="0"/>
          <w:numId w:val="30"/>
        </w:numPr>
        <w:contextualSpacing w:val="0"/>
        <w:jc w:val="both"/>
        <w:rPr>
          <w:rFonts w:ascii="Calibri" w:hAnsi="Calibri"/>
        </w:rPr>
      </w:pPr>
      <w:r w:rsidRPr="005B52BA">
        <w:rPr>
          <w:rFonts w:ascii="Calibri" w:hAnsi="Calibri"/>
        </w:rPr>
        <w:t>La proportion des PS qui connaissent leur statut sérologique au VIH est de 87%, l’objectif du CSN étant de 95% en 2016.</w:t>
      </w:r>
    </w:p>
    <w:p w14:paraId="3433527B" w14:textId="77777777" w:rsidR="002A3A54" w:rsidRPr="005B52BA" w:rsidRDefault="002A3A54" w:rsidP="00C34A61">
      <w:pPr>
        <w:pStyle w:val="Paragraphedeliste"/>
        <w:numPr>
          <w:ilvl w:val="0"/>
          <w:numId w:val="30"/>
        </w:numPr>
        <w:contextualSpacing w:val="0"/>
        <w:jc w:val="both"/>
        <w:rPr>
          <w:rFonts w:ascii="Calibri" w:hAnsi="Calibri" w:cs="Arial"/>
        </w:rPr>
      </w:pPr>
      <w:r w:rsidRPr="005B52BA">
        <w:rPr>
          <w:rFonts w:ascii="Calibri" w:hAnsi="Calibri" w:cs="Arial"/>
        </w:rPr>
        <w:t>Environ deux HSH sur cinq (38,6%) sont des homosexuels, contre 57,6% qui ont à la fois des partenaires sexuels masculins et féminins (bisexuels) constituant de ce fait une population passerelle entre les HSH et les hétérosexuels.</w:t>
      </w:r>
    </w:p>
    <w:p w14:paraId="2FEFF9CC" w14:textId="500C8432" w:rsidR="002A3A54" w:rsidRDefault="002A3A54" w:rsidP="00C34A61">
      <w:pPr>
        <w:pStyle w:val="Paragraphedeliste"/>
        <w:numPr>
          <w:ilvl w:val="0"/>
          <w:numId w:val="30"/>
        </w:numPr>
        <w:contextualSpacing w:val="0"/>
        <w:jc w:val="both"/>
        <w:rPr>
          <w:rFonts w:ascii="Calibri" w:hAnsi="Calibri" w:cs="Arial"/>
          <w:iCs/>
        </w:rPr>
      </w:pPr>
      <w:r w:rsidRPr="005B52BA">
        <w:rPr>
          <w:rFonts w:ascii="Calibri" w:hAnsi="Calibri" w:cs="Arial"/>
        </w:rPr>
        <w:t>Une proportion de 38,07</w:t>
      </w:r>
      <w:r w:rsidRPr="005B52BA">
        <w:rPr>
          <w:rFonts w:ascii="Calibri" w:hAnsi="Calibri" w:cs="Arial"/>
          <w:iCs/>
        </w:rPr>
        <w:t>% indiquaient avoir utilisé systématiquement un préservatif au cours des six (06) derniers mois lors d’un rapport anal. L’utilisation systématique du préservatif lors d’un rapport sexuel vaginal est de 33,7% au cours des six derniers mois précédent l’enquête.</w:t>
      </w:r>
    </w:p>
    <w:p w14:paraId="17A8570F" w14:textId="77777777" w:rsidR="00D4660B" w:rsidRDefault="00D4660B" w:rsidP="00D4660B">
      <w:pPr>
        <w:jc w:val="both"/>
        <w:rPr>
          <w:rFonts w:ascii="Calibri" w:hAnsi="Calibri" w:cs="Arial"/>
          <w:iCs/>
        </w:rPr>
      </w:pPr>
    </w:p>
    <w:p w14:paraId="7331B854" w14:textId="4BA2AF25" w:rsidR="002A3A54" w:rsidRPr="00763BB8" w:rsidRDefault="00D4660B" w:rsidP="00763BB8">
      <w:pPr>
        <w:pStyle w:val="Paragraphedeliste"/>
        <w:ind w:left="426"/>
        <w:contextualSpacing w:val="0"/>
        <w:jc w:val="both"/>
        <w:rPr>
          <w:rFonts w:ascii="Calibri" w:hAnsi="Calibri"/>
        </w:rPr>
      </w:pPr>
      <w:r w:rsidRPr="00763BB8">
        <w:rPr>
          <w:rFonts w:ascii="Calibri" w:hAnsi="Calibri"/>
        </w:rPr>
        <w:t>En termes d’acquis on peut citer la mise en place d’un réseau d’intervenants en faveur des populations clés dont les capacités ont été renforcées d’une part et d’autre part l’e</w:t>
      </w:r>
      <w:r w:rsidR="002A3A54" w:rsidRPr="00763BB8">
        <w:rPr>
          <w:rFonts w:ascii="Calibri" w:hAnsi="Calibri"/>
        </w:rPr>
        <w:t>xistence des textes juridiques sur la protection des droits humains relatifs au VIH/Sida (Ordonnance 056)</w:t>
      </w:r>
      <w:r w:rsidRPr="00763BB8">
        <w:rPr>
          <w:rFonts w:ascii="Calibri" w:hAnsi="Calibri"/>
        </w:rPr>
        <w:t xml:space="preserve"> qui contribue à améliorer le cadre juridique des interventions. L’une des innovations a été sans conteste la mise en place des services adaptés dans les « Maisons de jeunes » avec l’appui de l’UNFPA.</w:t>
      </w:r>
    </w:p>
    <w:p w14:paraId="55795252" w14:textId="77777777" w:rsidR="002A3A54" w:rsidRPr="00763BB8" w:rsidRDefault="002A3A54" w:rsidP="00763BB8">
      <w:pPr>
        <w:pStyle w:val="Paragraphedeliste"/>
        <w:ind w:left="426"/>
        <w:contextualSpacing w:val="0"/>
        <w:jc w:val="both"/>
        <w:rPr>
          <w:rFonts w:ascii="Calibri" w:hAnsi="Calibri"/>
        </w:rPr>
      </w:pPr>
    </w:p>
    <w:p w14:paraId="06A02909" w14:textId="2607CEC0" w:rsidR="00D4660B" w:rsidRPr="00763BB8" w:rsidRDefault="00D4660B" w:rsidP="00763BB8">
      <w:pPr>
        <w:pStyle w:val="Paragraphedeliste"/>
        <w:ind w:left="426"/>
        <w:contextualSpacing w:val="0"/>
        <w:jc w:val="both"/>
        <w:rPr>
          <w:rFonts w:ascii="Calibri" w:hAnsi="Calibri"/>
        </w:rPr>
      </w:pPr>
      <w:r w:rsidRPr="00763BB8">
        <w:rPr>
          <w:rFonts w:ascii="Calibri" w:hAnsi="Calibri"/>
        </w:rPr>
        <w:t>Cependant les insuffisances suivantes sont notées :</w:t>
      </w:r>
    </w:p>
    <w:p w14:paraId="2A57EB88" w14:textId="3A8795C5" w:rsidR="002A3A54" w:rsidRPr="00D4660B" w:rsidRDefault="002A3A54" w:rsidP="00C34A61">
      <w:pPr>
        <w:pStyle w:val="Paragraphedeliste"/>
        <w:numPr>
          <w:ilvl w:val="0"/>
          <w:numId w:val="30"/>
        </w:numPr>
        <w:jc w:val="both"/>
        <w:rPr>
          <w:rFonts w:ascii="Calibri" w:hAnsi="Calibri"/>
        </w:rPr>
      </w:pPr>
      <w:r w:rsidRPr="00D4660B">
        <w:rPr>
          <w:rFonts w:ascii="Calibri" w:hAnsi="Calibri" w:cs="Times"/>
          <w:color w:val="000000"/>
        </w:rPr>
        <w:t>Le</w:t>
      </w:r>
      <w:r w:rsidR="00D4660B">
        <w:rPr>
          <w:rFonts w:ascii="Calibri" w:hAnsi="Calibri" w:cs="Times"/>
          <w:color w:val="000000"/>
        </w:rPr>
        <w:t xml:space="preserve"> faible</w:t>
      </w:r>
      <w:r w:rsidRPr="00D4660B">
        <w:rPr>
          <w:rFonts w:ascii="Calibri" w:hAnsi="Calibri" w:cs="Times"/>
          <w:color w:val="000000"/>
        </w:rPr>
        <w:t xml:space="preserve"> rapportage </w:t>
      </w:r>
      <w:r w:rsidR="00D4660B">
        <w:rPr>
          <w:rFonts w:ascii="Calibri" w:hAnsi="Calibri" w:cs="Times"/>
          <w:color w:val="000000"/>
        </w:rPr>
        <w:t xml:space="preserve">et capitalisation </w:t>
      </w:r>
      <w:r w:rsidRPr="00D4660B">
        <w:rPr>
          <w:rFonts w:ascii="Calibri" w:hAnsi="Calibri" w:cs="Times"/>
          <w:color w:val="000000"/>
        </w:rPr>
        <w:t>des actions de prévention</w:t>
      </w:r>
      <w:r w:rsidR="00D4660B">
        <w:rPr>
          <w:rFonts w:ascii="Calibri" w:hAnsi="Calibri" w:cs="Times"/>
          <w:color w:val="000000"/>
        </w:rPr>
        <w:t>, notamment celles</w:t>
      </w:r>
      <w:r w:rsidRPr="00D4660B">
        <w:rPr>
          <w:rFonts w:ascii="Calibri" w:hAnsi="Calibri" w:cs="Times"/>
          <w:color w:val="000000"/>
        </w:rPr>
        <w:t xml:space="preserve"> en faveur des jeunes. </w:t>
      </w:r>
    </w:p>
    <w:p w14:paraId="7E89710B" w14:textId="1E60723D" w:rsidR="00D4660B" w:rsidRPr="00D4660B" w:rsidRDefault="00D4660B" w:rsidP="00C34A61">
      <w:pPr>
        <w:pStyle w:val="Paragraphedeliste"/>
        <w:numPr>
          <w:ilvl w:val="0"/>
          <w:numId w:val="30"/>
        </w:numPr>
        <w:jc w:val="both"/>
        <w:rPr>
          <w:rFonts w:ascii="Calibri" w:hAnsi="Calibri"/>
        </w:rPr>
      </w:pPr>
      <w:r>
        <w:rPr>
          <w:rFonts w:ascii="Calibri" w:hAnsi="Calibri" w:cs="Times"/>
          <w:color w:val="000000"/>
        </w:rPr>
        <w:t>La faible fonctionnalité de l’observatoire, ce qui n’a pas permis de mettre à profit son potentiel pour améliorer davantage l’</w:t>
      </w:r>
      <w:r w:rsidRPr="00BC3688">
        <w:rPr>
          <w:rFonts w:ascii="Calibri" w:hAnsi="Calibri" w:cs="Arial"/>
          <w:iCs/>
        </w:rPr>
        <w:t>accès aux services de santé et aux droits des PVVIH</w:t>
      </w:r>
    </w:p>
    <w:p w14:paraId="750B568A" w14:textId="36211607" w:rsidR="00D4660B" w:rsidRPr="00D4660B" w:rsidRDefault="00D4660B" w:rsidP="00C34A61">
      <w:pPr>
        <w:pStyle w:val="Paragraphedeliste"/>
        <w:numPr>
          <w:ilvl w:val="0"/>
          <w:numId w:val="30"/>
        </w:numPr>
        <w:jc w:val="both"/>
        <w:rPr>
          <w:rFonts w:ascii="Calibri" w:hAnsi="Calibri"/>
        </w:rPr>
      </w:pPr>
      <w:r>
        <w:rPr>
          <w:rFonts w:ascii="Calibri" w:hAnsi="Calibri" w:cs="Arial"/>
          <w:iCs/>
        </w:rPr>
        <w:t>L’insuffisance de couverture en cliniques mobiles et centres communautaires pour les populations clés</w:t>
      </w:r>
    </w:p>
    <w:p w14:paraId="2E56E415" w14:textId="44098627" w:rsidR="00D4660B" w:rsidRPr="00D4660B" w:rsidRDefault="00D4660B" w:rsidP="00C34A61">
      <w:pPr>
        <w:pStyle w:val="Paragraphedeliste"/>
        <w:numPr>
          <w:ilvl w:val="0"/>
          <w:numId w:val="30"/>
        </w:numPr>
        <w:jc w:val="both"/>
        <w:rPr>
          <w:rFonts w:ascii="Calibri" w:hAnsi="Calibri"/>
        </w:rPr>
      </w:pPr>
      <w:r>
        <w:rPr>
          <w:rFonts w:ascii="Calibri" w:hAnsi="Calibri" w:cs="Arial"/>
          <w:iCs/>
        </w:rPr>
        <w:t>Le vide juridique sur la protection des populations clés</w:t>
      </w:r>
    </w:p>
    <w:p w14:paraId="09F38EC9" w14:textId="58F730FD" w:rsidR="002A3A54" w:rsidRDefault="002A3A54" w:rsidP="002A3A54">
      <w:pPr>
        <w:jc w:val="both"/>
        <w:rPr>
          <w:rFonts w:ascii="Calibri" w:hAnsi="Calibri"/>
          <w:color w:val="FF0000"/>
        </w:rPr>
      </w:pPr>
    </w:p>
    <w:tbl>
      <w:tblPr>
        <w:tblStyle w:val="Grilledutableau"/>
        <w:tblW w:w="0" w:type="auto"/>
        <w:tblInd w:w="421" w:type="dxa"/>
        <w:tblLook w:val="04A0" w:firstRow="1" w:lastRow="0" w:firstColumn="1" w:lastColumn="0" w:noHBand="0" w:noVBand="1"/>
      </w:tblPr>
      <w:tblGrid>
        <w:gridCol w:w="1141"/>
        <w:gridCol w:w="8293"/>
      </w:tblGrid>
      <w:tr w:rsidR="00990484" w:rsidRPr="00496497" w14:paraId="08253B59" w14:textId="77777777" w:rsidTr="00BD65CA">
        <w:tc>
          <w:tcPr>
            <w:tcW w:w="992" w:type="dxa"/>
            <w:shd w:val="clear" w:color="auto" w:fill="FF0000"/>
            <w:vAlign w:val="center"/>
          </w:tcPr>
          <w:p w14:paraId="50644E89" w14:textId="429C7255" w:rsidR="00990484" w:rsidRPr="00496497" w:rsidRDefault="00433343" w:rsidP="00BD65CA">
            <w:pPr>
              <w:rPr>
                <w:rFonts w:ascii="Calibri" w:hAnsi="Calibri"/>
                <w:sz w:val="22"/>
                <w:szCs w:val="22"/>
              </w:rPr>
            </w:pPr>
            <w:r w:rsidRPr="00496497">
              <w:rPr>
                <w:rFonts w:ascii="Calibri" w:hAnsi="Calibri"/>
                <w:color w:val="FFFFFF" w:themeColor="background1"/>
                <w:sz w:val="22"/>
                <w:szCs w:val="22"/>
              </w:rPr>
              <w:t>DEFIS/ PRIORITES</w:t>
            </w:r>
          </w:p>
        </w:tc>
        <w:tc>
          <w:tcPr>
            <w:tcW w:w="8442" w:type="dxa"/>
            <w:shd w:val="clear" w:color="auto" w:fill="E7E6E6" w:themeFill="background2"/>
          </w:tcPr>
          <w:p w14:paraId="3325AF5E" w14:textId="27A14D7F" w:rsidR="00990484" w:rsidRPr="00496497" w:rsidRDefault="00990484" w:rsidP="00C34A61">
            <w:pPr>
              <w:pStyle w:val="Paragraphedeliste"/>
              <w:numPr>
                <w:ilvl w:val="0"/>
                <w:numId w:val="27"/>
              </w:numPr>
              <w:jc w:val="both"/>
              <w:rPr>
                <w:rFonts w:ascii="Calibri" w:hAnsi="Calibri"/>
                <w:sz w:val="22"/>
                <w:szCs w:val="22"/>
              </w:rPr>
            </w:pPr>
            <w:r w:rsidRPr="00496497">
              <w:rPr>
                <w:rFonts w:ascii="Calibri" w:hAnsi="Calibri"/>
                <w:sz w:val="22"/>
                <w:szCs w:val="22"/>
              </w:rPr>
              <w:t>Accroitre l’offre et la disponibilité des services adaptés en faveur des populations clés en stratégies fixe et mobile</w:t>
            </w:r>
          </w:p>
          <w:p w14:paraId="47C57B92" w14:textId="152777DE" w:rsidR="00990484" w:rsidRPr="00496497" w:rsidRDefault="00990484" w:rsidP="00C34A61">
            <w:pPr>
              <w:pStyle w:val="Paragraphedeliste"/>
              <w:numPr>
                <w:ilvl w:val="0"/>
                <w:numId w:val="27"/>
              </w:numPr>
              <w:jc w:val="both"/>
              <w:rPr>
                <w:rFonts w:ascii="Calibri" w:hAnsi="Calibri"/>
                <w:sz w:val="22"/>
                <w:szCs w:val="22"/>
              </w:rPr>
            </w:pPr>
            <w:r w:rsidRPr="00496497">
              <w:rPr>
                <w:rFonts w:ascii="Calibri" w:hAnsi="Calibri"/>
                <w:sz w:val="22"/>
                <w:szCs w:val="22"/>
              </w:rPr>
              <w:t>Améliorer l’efficacité des stratégies notamment l’accès et l’utilisation des préservatifs</w:t>
            </w:r>
          </w:p>
          <w:p w14:paraId="7E226262" w14:textId="4DBE7EE3" w:rsidR="00990484" w:rsidRPr="00496497" w:rsidRDefault="00990484" w:rsidP="00C34A61">
            <w:pPr>
              <w:pStyle w:val="Paragraphedeliste"/>
              <w:numPr>
                <w:ilvl w:val="0"/>
                <w:numId w:val="27"/>
              </w:numPr>
              <w:jc w:val="both"/>
              <w:rPr>
                <w:rFonts w:ascii="Calibri" w:hAnsi="Calibri"/>
                <w:sz w:val="22"/>
                <w:szCs w:val="22"/>
              </w:rPr>
            </w:pPr>
            <w:r w:rsidRPr="00496497">
              <w:rPr>
                <w:rFonts w:ascii="Calibri" w:hAnsi="Calibri"/>
                <w:sz w:val="22"/>
                <w:szCs w:val="22"/>
              </w:rPr>
              <w:t>Maintenir un environnement favorable</w:t>
            </w:r>
            <w:r w:rsidR="00496497">
              <w:rPr>
                <w:rFonts w:ascii="Calibri" w:hAnsi="Calibri"/>
                <w:sz w:val="22"/>
                <w:szCs w:val="22"/>
              </w:rPr>
              <w:t xml:space="preserve"> en réduisant la stigmatisation et discrimination</w:t>
            </w:r>
            <w:r w:rsidRPr="00496497">
              <w:rPr>
                <w:rFonts w:ascii="Calibri" w:hAnsi="Calibri"/>
                <w:sz w:val="22"/>
                <w:szCs w:val="22"/>
              </w:rPr>
              <w:t xml:space="preserve"> à la fois pour les populations clés et les intervenants en leur faveur</w:t>
            </w:r>
          </w:p>
        </w:tc>
      </w:tr>
    </w:tbl>
    <w:p w14:paraId="1E1F4788" w14:textId="3107FC48" w:rsidR="00990484" w:rsidRDefault="00990484" w:rsidP="002A3A54">
      <w:pPr>
        <w:jc w:val="both"/>
        <w:rPr>
          <w:rFonts w:ascii="Calibri" w:hAnsi="Calibri"/>
          <w:color w:val="FF0000"/>
        </w:rPr>
      </w:pPr>
    </w:p>
    <w:p w14:paraId="59E4BF68" w14:textId="77777777" w:rsidR="00A03368" w:rsidRPr="00A03368" w:rsidRDefault="00B63C79" w:rsidP="00C34A61">
      <w:pPr>
        <w:pStyle w:val="Paragraphedeliste"/>
        <w:numPr>
          <w:ilvl w:val="0"/>
          <w:numId w:val="10"/>
        </w:numPr>
        <w:ind w:left="426" w:hanging="426"/>
        <w:jc w:val="both"/>
        <w:rPr>
          <w:rFonts w:ascii="Calibri" w:hAnsi="Calibri" w:cs="Times"/>
          <w:bCs/>
          <w:i/>
          <w:color w:val="000000"/>
        </w:rPr>
      </w:pPr>
      <w:r w:rsidRPr="00B63C79">
        <w:rPr>
          <w:rFonts w:ascii="Calibri" w:hAnsi="Calibri"/>
          <w:b/>
          <w:i/>
        </w:rPr>
        <w:t>Adoption des comportements à moindre risque par les populations usagers de drogues injectables (UDI) face aux IST/VIH </w:t>
      </w:r>
    </w:p>
    <w:p w14:paraId="26C04AB5" w14:textId="77777777" w:rsidR="00A03368" w:rsidRDefault="00A03368" w:rsidP="00A03368">
      <w:pPr>
        <w:pStyle w:val="Paragraphedeliste"/>
        <w:ind w:left="426"/>
        <w:jc w:val="both"/>
        <w:rPr>
          <w:rFonts w:ascii="Calibri" w:hAnsi="Calibri"/>
        </w:rPr>
      </w:pPr>
    </w:p>
    <w:p w14:paraId="3DA58224" w14:textId="5FA8DD9A" w:rsidR="002A3A54" w:rsidRPr="00446619" w:rsidRDefault="00A03368" w:rsidP="002A3A54">
      <w:pPr>
        <w:pStyle w:val="Paragraphedeliste"/>
        <w:ind w:left="426"/>
        <w:jc w:val="both"/>
        <w:rPr>
          <w:rFonts w:ascii="Calibri" w:hAnsi="Calibri" w:cs="Times"/>
          <w:bCs/>
          <w:color w:val="000000" w:themeColor="text1"/>
        </w:rPr>
      </w:pPr>
      <w:r>
        <w:rPr>
          <w:rFonts w:ascii="Calibri" w:hAnsi="Calibri"/>
        </w:rPr>
        <w:t>L</w:t>
      </w:r>
      <w:r w:rsidR="002A3A54" w:rsidRPr="005B52BA">
        <w:rPr>
          <w:rFonts w:ascii="Calibri" w:hAnsi="Calibri"/>
        </w:rPr>
        <w:t xml:space="preserve">es données et </w:t>
      </w:r>
      <w:r>
        <w:rPr>
          <w:rFonts w:ascii="Calibri" w:hAnsi="Calibri"/>
        </w:rPr>
        <w:t xml:space="preserve">les </w:t>
      </w:r>
      <w:r w:rsidR="002A3A54" w:rsidRPr="005B52BA">
        <w:rPr>
          <w:rFonts w:ascii="Calibri" w:hAnsi="Calibri"/>
        </w:rPr>
        <w:t xml:space="preserve">activités programmatiques cette population, sont très parcellaires </w:t>
      </w:r>
      <w:r>
        <w:rPr>
          <w:rFonts w:ascii="Calibri" w:hAnsi="Calibri"/>
        </w:rPr>
        <w:t xml:space="preserve">dû </w:t>
      </w:r>
      <w:r w:rsidR="00446619">
        <w:rPr>
          <w:rFonts w:ascii="Calibri" w:hAnsi="Calibri"/>
        </w:rPr>
        <w:t>au fait que les interventions n’avaient pas été suffisamment structurées et coordonnées.</w:t>
      </w:r>
      <w:r w:rsidR="002A3A54" w:rsidRPr="005B52BA">
        <w:rPr>
          <w:rFonts w:ascii="Calibri" w:hAnsi="Calibri"/>
        </w:rPr>
        <w:t xml:space="preserve"> </w:t>
      </w:r>
      <w:r w:rsidR="00446619">
        <w:rPr>
          <w:rFonts w:ascii="Calibri" w:hAnsi="Calibri"/>
        </w:rPr>
        <w:t xml:space="preserve">Néanmoins, on note l’existence d’une </w:t>
      </w:r>
      <w:r w:rsidR="002A3A54" w:rsidRPr="00446619">
        <w:rPr>
          <w:rFonts w:ascii="Calibri" w:hAnsi="Calibri" w:cs="Times"/>
          <w:bCs/>
          <w:color w:val="000000" w:themeColor="text1"/>
        </w:rPr>
        <w:t>a</w:t>
      </w:r>
      <w:r w:rsidR="00446619" w:rsidRPr="00446619">
        <w:rPr>
          <w:rFonts w:ascii="Calibri" w:hAnsi="Calibri" w:cs="Times"/>
          <w:bCs/>
          <w:color w:val="000000" w:themeColor="text1"/>
        </w:rPr>
        <w:t>nalyse de la situation et une e</w:t>
      </w:r>
      <w:r w:rsidR="002A3A54" w:rsidRPr="00446619">
        <w:rPr>
          <w:rFonts w:ascii="Calibri" w:hAnsi="Calibri" w:cs="Times"/>
          <w:bCs/>
          <w:color w:val="000000" w:themeColor="text1"/>
        </w:rPr>
        <w:t>stimation de la taille des UDI</w:t>
      </w:r>
      <w:r w:rsidR="00446619" w:rsidRPr="00446619">
        <w:rPr>
          <w:rFonts w:ascii="Calibri" w:hAnsi="Calibri" w:cs="Times"/>
          <w:bCs/>
          <w:color w:val="000000" w:themeColor="text1"/>
        </w:rPr>
        <w:t>, uniquement la ville</w:t>
      </w:r>
      <w:r w:rsidR="002A3A54" w:rsidRPr="00446619">
        <w:rPr>
          <w:rFonts w:ascii="Calibri" w:hAnsi="Calibri" w:cs="Times"/>
          <w:bCs/>
          <w:color w:val="000000" w:themeColor="text1"/>
        </w:rPr>
        <w:t xml:space="preserve"> de Conakry</w:t>
      </w:r>
      <w:r w:rsidR="00446619">
        <w:rPr>
          <w:rFonts w:ascii="Calibri" w:hAnsi="Calibri" w:cs="Times"/>
          <w:bCs/>
          <w:color w:val="000000" w:themeColor="text1"/>
        </w:rPr>
        <w:t>. La cartographie ne concerne pas l’ensemble du pays et il n’existe pas de données épidémiologiques relatives aux UDI.</w:t>
      </w:r>
    </w:p>
    <w:p w14:paraId="5DE63112" w14:textId="0F14004A" w:rsidR="00B63C79" w:rsidRPr="00446619" w:rsidRDefault="00B63C79" w:rsidP="00446619">
      <w:pPr>
        <w:jc w:val="both"/>
        <w:rPr>
          <w:rFonts w:ascii="Calibri" w:hAnsi="Calibri" w:cs="Times"/>
          <w:bCs/>
          <w:i/>
          <w:color w:val="000000"/>
        </w:rPr>
      </w:pPr>
    </w:p>
    <w:p w14:paraId="62F57985" w14:textId="2F71214F" w:rsidR="00B63C79" w:rsidRPr="00B63C79" w:rsidRDefault="00B63C79" w:rsidP="00C34A61">
      <w:pPr>
        <w:pStyle w:val="Paragraphedeliste"/>
        <w:numPr>
          <w:ilvl w:val="0"/>
          <w:numId w:val="10"/>
        </w:numPr>
        <w:ind w:left="426" w:hanging="426"/>
        <w:jc w:val="both"/>
        <w:rPr>
          <w:rFonts w:ascii="Calibri" w:hAnsi="Calibri"/>
          <w:b/>
          <w:i/>
        </w:rPr>
      </w:pPr>
      <w:r w:rsidRPr="00B63C79">
        <w:rPr>
          <w:rFonts w:ascii="Calibri" w:hAnsi="Calibri"/>
          <w:b/>
          <w:i/>
        </w:rPr>
        <w:t>Adoption des comportements à moindre risque par les populations vulnérables</w:t>
      </w:r>
    </w:p>
    <w:p w14:paraId="772E5800" w14:textId="77777777" w:rsidR="00B63C79" w:rsidRPr="00B63C79" w:rsidRDefault="00B63C79" w:rsidP="00B63C79">
      <w:pPr>
        <w:jc w:val="both"/>
        <w:rPr>
          <w:rFonts w:ascii="Calibri" w:hAnsi="Calibri"/>
        </w:rPr>
      </w:pPr>
    </w:p>
    <w:p w14:paraId="7E43D86D" w14:textId="644046AA" w:rsidR="00B63C79" w:rsidRPr="008076C1" w:rsidRDefault="00527554" w:rsidP="00D0386A">
      <w:pPr>
        <w:pStyle w:val="Paragraphedeliste"/>
        <w:ind w:left="426"/>
        <w:contextualSpacing w:val="0"/>
        <w:jc w:val="both"/>
        <w:rPr>
          <w:rFonts w:ascii="Calibri" w:hAnsi="Calibri"/>
        </w:rPr>
      </w:pPr>
      <w:r>
        <w:rPr>
          <w:rFonts w:ascii="Calibri" w:hAnsi="Calibri"/>
        </w:rPr>
        <w:t xml:space="preserve">Pour la période 2013-2017, </w:t>
      </w:r>
      <w:r w:rsidR="00B63C79" w:rsidRPr="008076C1">
        <w:rPr>
          <w:rFonts w:ascii="Calibri" w:hAnsi="Calibri"/>
        </w:rPr>
        <w:t xml:space="preserve">les populations vulnérables </w:t>
      </w:r>
      <w:r>
        <w:rPr>
          <w:rFonts w:ascii="Calibri" w:hAnsi="Calibri"/>
        </w:rPr>
        <w:t>étaient constituées des routiers, des miniers, des hommes en uniforme, d</w:t>
      </w:r>
      <w:r w:rsidR="00B63C79" w:rsidRPr="008076C1">
        <w:rPr>
          <w:rFonts w:ascii="Calibri" w:hAnsi="Calibri"/>
        </w:rPr>
        <w:t>es populations carcér</w:t>
      </w:r>
      <w:r>
        <w:rPr>
          <w:rFonts w:ascii="Calibri" w:hAnsi="Calibri"/>
        </w:rPr>
        <w:t>ales et d</w:t>
      </w:r>
      <w:r w:rsidR="00B63C79" w:rsidRPr="008076C1">
        <w:rPr>
          <w:rFonts w:ascii="Calibri" w:hAnsi="Calibri"/>
        </w:rPr>
        <w:t xml:space="preserve">es pêcheurs qui </w:t>
      </w:r>
      <w:r>
        <w:rPr>
          <w:rFonts w:ascii="Calibri" w:hAnsi="Calibri"/>
        </w:rPr>
        <w:t xml:space="preserve">étaient alors considérées comme </w:t>
      </w:r>
      <w:r w:rsidR="00B63C79" w:rsidRPr="008076C1">
        <w:rPr>
          <w:rFonts w:ascii="Calibri" w:hAnsi="Calibri"/>
        </w:rPr>
        <w:t xml:space="preserve">des populations passerelles </w:t>
      </w:r>
      <w:r>
        <w:rPr>
          <w:rFonts w:ascii="Calibri" w:hAnsi="Calibri"/>
        </w:rPr>
        <w:t>pour la propagation</w:t>
      </w:r>
      <w:r w:rsidR="00B63C79" w:rsidRPr="008076C1">
        <w:rPr>
          <w:rFonts w:ascii="Calibri" w:hAnsi="Calibri"/>
        </w:rPr>
        <w:t xml:space="preserve"> transmission du VIH et des IST.</w:t>
      </w:r>
    </w:p>
    <w:p w14:paraId="0BD2CA22" w14:textId="77777777" w:rsidR="00B63C79" w:rsidRPr="008076C1" w:rsidRDefault="00B63C79" w:rsidP="00D0386A">
      <w:pPr>
        <w:pStyle w:val="Paragraphedeliste"/>
        <w:ind w:left="426"/>
        <w:contextualSpacing w:val="0"/>
        <w:jc w:val="both"/>
        <w:rPr>
          <w:rFonts w:ascii="Calibri" w:hAnsi="Calibri"/>
        </w:rPr>
      </w:pPr>
    </w:p>
    <w:p w14:paraId="30A129A2" w14:textId="264DCC03" w:rsidR="00B63C79" w:rsidRPr="007015A2" w:rsidRDefault="00B63C79" w:rsidP="00D0386A">
      <w:pPr>
        <w:pStyle w:val="Paragraphedeliste"/>
        <w:ind w:left="426"/>
        <w:contextualSpacing w:val="0"/>
        <w:jc w:val="both"/>
        <w:rPr>
          <w:rFonts w:ascii="Calibri" w:hAnsi="Calibri"/>
        </w:rPr>
      </w:pPr>
      <w:r w:rsidRPr="00EC2EAF">
        <w:rPr>
          <w:rFonts w:ascii="Calibri" w:hAnsi="Calibri"/>
        </w:rPr>
        <w:t>D’après les résultats de l’ESCOMB 2015, les données comportementales se présentent comme suit :</w:t>
      </w:r>
      <w:r>
        <w:rPr>
          <w:rFonts w:ascii="Calibri" w:hAnsi="Calibri"/>
        </w:rPr>
        <w:t xml:space="preserve"> </w:t>
      </w:r>
      <w:r w:rsidRPr="007015A2">
        <w:rPr>
          <w:rFonts w:ascii="Calibri" w:hAnsi="Calibri"/>
        </w:rPr>
        <w:t>le niveau de connaissances su</w:t>
      </w:r>
      <w:r>
        <w:rPr>
          <w:rFonts w:ascii="Calibri" w:hAnsi="Calibri"/>
        </w:rPr>
        <w:t>r les IST/VIH/</w:t>
      </w:r>
      <w:r w:rsidR="0036679F">
        <w:rPr>
          <w:rFonts w:ascii="Calibri" w:hAnsi="Calibri"/>
        </w:rPr>
        <w:t>sida</w:t>
      </w:r>
      <w:r>
        <w:rPr>
          <w:rFonts w:ascii="Calibri" w:hAnsi="Calibri"/>
        </w:rPr>
        <w:t xml:space="preserve"> est très bas. Le niveau de connaissance du statut sérologique est bas (26,6% des</w:t>
      </w:r>
      <w:r w:rsidRPr="007015A2">
        <w:rPr>
          <w:rFonts w:ascii="Calibri" w:hAnsi="Calibri"/>
        </w:rPr>
        <w:t xml:space="preserve"> hommes en uniformes</w:t>
      </w:r>
      <w:r>
        <w:rPr>
          <w:rFonts w:ascii="Calibri" w:hAnsi="Calibri"/>
        </w:rPr>
        <w:t>, 70% des</w:t>
      </w:r>
      <w:r w:rsidRPr="007015A2">
        <w:rPr>
          <w:rFonts w:ascii="Calibri" w:hAnsi="Calibri"/>
        </w:rPr>
        <w:t xml:space="preserve"> miniers connaissaient leur statut sérologique au VIH</w:t>
      </w:r>
      <w:r>
        <w:rPr>
          <w:rFonts w:ascii="Calibri" w:hAnsi="Calibri"/>
        </w:rPr>
        <w:t>)</w:t>
      </w:r>
      <w:r w:rsidRPr="007015A2">
        <w:rPr>
          <w:rFonts w:ascii="Calibri" w:hAnsi="Calibri"/>
        </w:rPr>
        <w:t>.</w:t>
      </w:r>
    </w:p>
    <w:p w14:paraId="31C6F6EE" w14:textId="77777777" w:rsidR="00B63C79" w:rsidRDefault="00B63C79" w:rsidP="00D0386A">
      <w:pPr>
        <w:pStyle w:val="Paragraphedeliste"/>
        <w:ind w:left="426"/>
        <w:contextualSpacing w:val="0"/>
        <w:jc w:val="both"/>
        <w:rPr>
          <w:rFonts w:ascii="Calibri" w:hAnsi="Calibri"/>
        </w:rPr>
      </w:pPr>
    </w:p>
    <w:p w14:paraId="38FBE273" w14:textId="6C767EC8" w:rsidR="00B63C79" w:rsidRDefault="00B63C79" w:rsidP="00D0386A">
      <w:pPr>
        <w:pStyle w:val="Paragraphedeliste"/>
        <w:ind w:left="426"/>
        <w:contextualSpacing w:val="0"/>
        <w:jc w:val="both"/>
        <w:rPr>
          <w:rFonts w:ascii="Calibri" w:hAnsi="Calibri"/>
        </w:rPr>
      </w:pPr>
      <w:r>
        <w:rPr>
          <w:rFonts w:ascii="Calibri" w:hAnsi="Calibri"/>
        </w:rPr>
        <w:t>En ce qui concerne</w:t>
      </w:r>
      <w:r w:rsidRPr="00EC2EAF">
        <w:rPr>
          <w:rFonts w:ascii="Calibri" w:hAnsi="Calibri"/>
        </w:rPr>
        <w:t xml:space="preserve"> l’utilisation </w:t>
      </w:r>
      <w:r w:rsidR="00527554">
        <w:rPr>
          <w:rFonts w:ascii="Calibri" w:hAnsi="Calibri"/>
        </w:rPr>
        <w:t xml:space="preserve">du préservatif, on note que 2/3 des </w:t>
      </w:r>
      <w:r w:rsidRPr="00EC2EAF">
        <w:rPr>
          <w:rFonts w:ascii="Calibri" w:hAnsi="Calibri"/>
        </w:rPr>
        <w:t>personnes</w:t>
      </w:r>
      <w:r w:rsidR="00527554">
        <w:rPr>
          <w:rFonts w:ascii="Calibri" w:hAnsi="Calibri"/>
        </w:rPr>
        <w:t xml:space="preserve"> ayant eu plus d’un partenaire ont systématiquement utilisé le préservatif </w:t>
      </w:r>
      <w:r>
        <w:rPr>
          <w:rFonts w:ascii="Calibri" w:hAnsi="Calibri"/>
        </w:rPr>
        <w:t>avec leur dernier partenaire.</w:t>
      </w:r>
      <w:r w:rsidRPr="00EC2EAF">
        <w:rPr>
          <w:rFonts w:ascii="Calibri" w:hAnsi="Calibri"/>
        </w:rPr>
        <w:t xml:space="preserve"> </w:t>
      </w:r>
      <w:r w:rsidR="00527554">
        <w:rPr>
          <w:rFonts w:ascii="Calibri" w:hAnsi="Calibri"/>
        </w:rPr>
        <w:t>Les autres résultats sont consignés dans le graphique ci-dessous :</w:t>
      </w:r>
    </w:p>
    <w:p w14:paraId="322B3563" w14:textId="51E64735" w:rsidR="00B63C79" w:rsidRDefault="00B63C79" w:rsidP="00B63C79">
      <w:pPr>
        <w:jc w:val="both"/>
        <w:rPr>
          <w:rFonts w:ascii="Calibri" w:hAnsi="Calibri"/>
        </w:rPr>
      </w:pPr>
    </w:p>
    <w:p w14:paraId="1783B8EF" w14:textId="0F7BB6C1" w:rsidR="00527554" w:rsidRPr="00527554" w:rsidRDefault="00527554" w:rsidP="00563646">
      <w:pPr>
        <w:pStyle w:val="graph"/>
        <w:ind w:firstLine="426"/>
        <w:jc w:val="left"/>
      </w:pPr>
      <w:bookmarkStart w:id="53" w:name="_Toc521065112"/>
      <w:r w:rsidRPr="00563646">
        <w:rPr>
          <w:u w:val="single"/>
        </w:rPr>
        <w:t>Graphique 6</w:t>
      </w:r>
      <w:r w:rsidRPr="00527554">
        <w:t xml:space="preserve"> </w:t>
      </w:r>
      <w:r w:rsidRPr="00563646">
        <w:rPr>
          <w:b w:val="0"/>
        </w:rPr>
        <w:t>: Données comportementales des populations vulnérables</w:t>
      </w:r>
      <w:bookmarkEnd w:id="53"/>
    </w:p>
    <w:p w14:paraId="0A469A25" w14:textId="77777777" w:rsidR="00527554" w:rsidRDefault="00527554" w:rsidP="00B63C79">
      <w:pPr>
        <w:jc w:val="both"/>
        <w:rPr>
          <w:rFonts w:ascii="Calibri" w:hAnsi="Calibri"/>
        </w:rPr>
      </w:pPr>
    </w:p>
    <w:p w14:paraId="63F46F82" w14:textId="4B60220E" w:rsidR="00B63C79" w:rsidRPr="00336A14" w:rsidRDefault="00EE63C6" w:rsidP="00EE63C6">
      <w:pPr>
        <w:jc w:val="right"/>
        <w:rPr>
          <w:rFonts w:ascii="Calibri" w:eastAsiaTheme="minorHAnsi" w:hAnsi="Calibri"/>
        </w:rPr>
      </w:pPr>
      <w:r>
        <w:rPr>
          <w:noProof/>
        </w:rPr>
        <w:drawing>
          <wp:inline distT="0" distB="0" distL="0" distR="0" wp14:anchorId="420753F8" wp14:editId="7B07E153">
            <wp:extent cx="5968574" cy="2366683"/>
            <wp:effectExtent l="0" t="0" r="635" b="0"/>
            <wp:docPr id="11300" name="Image 1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614" cy="2379388"/>
                    </a:xfrm>
                    <a:prstGeom prst="rect">
                      <a:avLst/>
                    </a:prstGeom>
                  </pic:spPr>
                </pic:pic>
              </a:graphicData>
            </a:graphic>
          </wp:inline>
        </w:drawing>
      </w:r>
    </w:p>
    <w:p w14:paraId="5995CF1B" w14:textId="4F538768" w:rsidR="00D0386A" w:rsidRDefault="00FC4C0C" w:rsidP="000E19A7">
      <w:pPr>
        <w:ind w:left="426" w:right="-1"/>
        <w:jc w:val="both"/>
        <w:rPr>
          <w:rFonts w:ascii="Calibri" w:hAnsi="Calibri"/>
          <w:noProof/>
        </w:rPr>
      </w:pPr>
      <w:r>
        <w:rPr>
          <w:rFonts w:ascii="Calibri" w:hAnsi="Calibri"/>
          <w:noProof/>
        </w:rPr>
        <w:t>En termes d’acquis, on peut noter l’existence d’outils de sensibilisation et de communication sur le VIH et les IST ; l’existence d’un tissu associatif constitué d’</w:t>
      </w:r>
      <w:r w:rsidR="00D0386A">
        <w:rPr>
          <w:rFonts w:ascii="Calibri" w:hAnsi="Calibri"/>
          <w:noProof/>
        </w:rPr>
        <w:t>associations des PVVIH et des ONG de lutte contre le VIH intervenant dans la paire éducation</w:t>
      </w:r>
      <w:r>
        <w:rPr>
          <w:rFonts w:ascii="Calibri" w:hAnsi="Calibri"/>
          <w:noProof/>
        </w:rPr>
        <w:t>, l’existence d’un réseau d’experts formés à la paire-éducation parmi</w:t>
      </w:r>
      <w:r w:rsidR="00D0386A">
        <w:rPr>
          <w:rFonts w:ascii="Calibri" w:hAnsi="Calibri"/>
          <w:noProof/>
        </w:rPr>
        <w:t xml:space="preserve"> les populations vulnérables (18 PE Routiers, 20 PE Hommes en Uniformes, 12 PE Pêcheurs et 32 PE Miniers</w:t>
      </w:r>
      <w:r>
        <w:rPr>
          <w:rFonts w:ascii="Calibri" w:hAnsi="Calibri"/>
          <w:noProof/>
        </w:rPr>
        <w:t>), l’existence d’un réseau de distribution et de vente de préservatifs bien que le</w:t>
      </w:r>
      <w:r w:rsidR="008470A9">
        <w:rPr>
          <w:rFonts w:ascii="Calibri" w:hAnsi="Calibri"/>
          <w:noProof/>
        </w:rPr>
        <w:t>s</w:t>
      </w:r>
      <w:r>
        <w:rPr>
          <w:rFonts w:ascii="Calibri" w:hAnsi="Calibri"/>
          <w:noProof/>
        </w:rPr>
        <w:t xml:space="preserve"> taux de couverture</w:t>
      </w:r>
      <w:r w:rsidR="008470A9">
        <w:rPr>
          <w:rFonts w:ascii="Calibri" w:hAnsi="Calibri"/>
          <w:noProof/>
        </w:rPr>
        <w:t>, de pénétration et de disponibilité du préservatif ne soient pas connus.</w:t>
      </w:r>
    </w:p>
    <w:p w14:paraId="527E8662" w14:textId="48926292" w:rsidR="008470A9" w:rsidRDefault="008470A9" w:rsidP="00FC4C0C">
      <w:pPr>
        <w:jc w:val="both"/>
        <w:rPr>
          <w:rFonts w:ascii="Calibri" w:hAnsi="Calibri"/>
        </w:rPr>
      </w:pPr>
    </w:p>
    <w:p w14:paraId="29197EC6" w14:textId="77777777" w:rsidR="000E19A7" w:rsidRDefault="00DD3692" w:rsidP="000E19A7">
      <w:pPr>
        <w:ind w:left="426" w:right="-1"/>
        <w:jc w:val="both"/>
        <w:rPr>
          <w:rFonts w:ascii="Calibri" w:hAnsi="Calibri"/>
          <w:noProof/>
        </w:rPr>
      </w:pPr>
      <w:r>
        <w:rPr>
          <w:rFonts w:ascii="Calibri" w:hAnsi="Calibri"/>
          <w:noProof/>
        </w:rPr>
        <w:t>En dépit des interventions, on note une faible connaissance du VIH, le faible nombre touché pour les interventions, une sous-utilisation systématique du préservatif ainsi qu’une faible du dépistage. Cela pourrait s’expliquer par le ralentissement des interventions du fait des ressources financières, ce qui pose le questionnement de la pérennisation des interventions</w:t>
      </w:r>
      <w:r w:rsidR="000E19A7">
        <w:rPr>
          <w:rFonts w:ascii="Calibri" w:hAnsi="Calibri"/>
          <w:noProof/>
        </w:rPr>
        <w:t>.</w:t>
      </w:r>
    </w:p>
    <w:p w14:paraId="32DC533B" w14:textId="00B7E003" w:rsidR="008470A9" w:rsidRDefault="00DD3692" w:rsidP="000E19A7">
      <w:pPr>
        <w:ind w:left="426" w:right="-1"/>
        <w:jc w:val="both"/>
        <w:rPr>
          <w:rFonts w:ascii="Calibri" w:hAnsi="Calibri"/>
          <w:noProof/>
        </w:rPr>
      </w:pPr>
      <w:r>
        <w:rPr>
          <w:rFonts w:ascii="Calibri" w:hAnsi="Calibri"/>
          <w:noProof/>
        </w:rPr>
        <w:t xml:space="preserve"> </w:t>
      </w:r>
    </w:p>
    <w:tbl>
      <w:tblPr>
        <w:tblStyle w:val="Grilledutableau"/>
        <w:tblW w:w="0" w:type="auto"/>
        <w:tblInd w:w="421" w:type="dxa"/>
        <w:tblLook w:val="04A0" w:firstRow="1" w:lastRow="0" w:firstColumn="1" w:lastColumn="0" w:noHBand="0" w:noVBand="1"/>
      </w:tblPr>
      <w:tblGrid>
        <w:gridCol w:w="1057"/>
        <w:gridCol w:w="8377"/>
      </w:tblGrid>
      <w:tr w:rsidR="00DD3692" w:rsidRPr="00B63D74" w14:paraId="0AB0A3EC" w14:textId="77777777" w:rsidTr="00BD65CA">
        <w:tc>
          <w:tcPr>
            <w:tcW w:w="992" w:type="dxa"/>
            <w:shd w:val="clear" w:color="auto" w:fill="FF0000"/>
            <w:vAlign w:val="center"/>
          </w:tcPr>
          <w:p w14:paraId="76EA9D4C" w14:textId="699D1CCD" w:rsidR="00DD3692" w:rsidRPr="00B63D74" w:rsidRDefault="00433343" w:rsidP="00BD65CA">
            <w:pPr>
              <w:rPr>
                <w:rFonts w:ascii="Calibri" w:hAnsi="Calibri"/>
                <w:sz w:val="20"/>
                <w:szCs w:val="20"/>
              </w:rPr>
            </w:pPr>
            <w:r w:rsidRPr="00B63D74">
              <w:rPr>
                <w:rFonts w:ascii="Calibri" w:hAnsi="Calibri"/>
                <w:color w:val="FFFFFF" w:themeColor="background1"/>
                <w:sz w:val="20"/>
                <w:szCs w:val="20"/>
              </w:rPr>
              <w:t>DEFIS/ PRIORITES</w:t>
            </w:r>
          </w:p>
        </w:tc>
        <w:tc>
          <w:tcPr>
            <w:tcW w:w="8442" w:type="dxa"/>
            <w:shd w:val="clear" w:color="auto" w:fill="E7E6E6" w:themeFill="background2"/>
          </w:tcPr>
          <w:p w14:paraId="21A15EA0" w14:textId="6C50B8CA" w:rsidR="00DD3692" w:rsidRPr="00B63D74" w:rsidRDefault="00DD3692" w:rsidP="00C34A61">
            <w:pPr>
              <w:pStyle w:val="Paragraphedeliste"/>
              <w:numPr>
                <w:ilvl w:val="0"/>
                <w:numId w:val="27"/>
              </w:numPr>
              <w:jc w:val="both"/>
              <w:rPr>
                <w:rFonts w:ascii="Calibri" w:hAnsi="Calibri"/>
                <w:sz w:val="20"/>
                <w:szCs w:val="20"/>
              </w:rPr>
            </w:pPr>
            <w:r w:rsidRPr="00B63D74">
              <w:rPr>
                <w:rFonts w:ascii="Calibri" w:hAnsi="Calibri"/>
                <w:sz w:val="20"/>
                <w:szCs w:val="20"/>
              </w:rPr>
              <w:t xml:space="preserve">Accroitre l’offre et la disponibilité des services </w:t>
            </w:r>
            <w:r w:rsidR="00BD6E6F">
              <w:rPr>
                <w:rFonts w:ascii="Calibri" w:hAnsi="Calibri"/>
                <w:sz w:val="20"/>
                <w:szCs w:val="20"/>
              </w:rPr>
              <w:t>convi</w:t>
            </w:r>
            <w:r w:rsidR="009C0B07">
              <w:rPr>
                <w:rFonts w:ascii="Calibri" w:hAnsi="Calibri"/>
                <w:sz w:val="20"/>
                <w:szCs w:val="20"/>
              </w:rPr>
              <w:t>vi</w:t>
            </w:r>
            <w:r w:rsidR="00BD6E6F">
              <w:rPr>
                <w:rFonts w:ascii="Calibri" w:hAnsi="Calibri"/>
                <w:sz w:val="20"/>
                <w:szCs w:val="20"/>
              </w:rPr>
              <w:t>aux</w:t>
            </w:r>
            <w:r w:rsidRPr="00B63D74">
              <w:rPr>
                <w:rFonts w:ascii="Calibri" w:hAnsi="Calibri"/>
                <w:sz w:val="20"/>
                <w:szCs w:val="20"/>
              </w:rPr>
              <w:t xml:space="preserve"> de prévention en faveur des populations vulnérables</w:t>
            </w:r>
            <w:r w:rsidR="009C0B07">
              <w:rPr>
                <w:rFonts w:ascii="Calibri" w:hAnsi="Calibri"/>
                <w:sz w:val="20"/>
                <w:szCs w:val="20"/>
              </w:rPr>
              <w:t xml:space="preserve">, notamment </w:t>
            </w:r>
            <w:r w:rsidR="00D87D48">
              <w:rPr>
                <w:rFonts w:ascii="Calibri" w:hAnsi="Calibri"/>
                <w:sz w:val="20"/>
                <w:szCs w:val="20"/>
              </w:rPr>
              <w:t>l</w:t>
            </w:r>
            <w:r w:rsidR="009C0B07">
              <w:rPr>
                <w:rFonts w:ascii="Calibri" w:hAnsi="Calibri"/>
                <w:sz w:val="20"/>
                <w:szCs w:val="20"/>
              </w:rPr>
              <w:t>es adolescents/jeunes</w:t>
            </w:r>
          </w:p>
          <w:p w14:paraId="5AC8F6C8" w14:textId="77777777" w:rsidR="00DD3692" w:rsidRDefault="00DD3692" w:rsidP="00C34A61">
            <w:pPr>
              <w:pStyle w:val="Paragraphedeliste"/>
              <w:numPr>
                <w:ilvl w:val="0"/>
                <w:numId w:val="27"/>
              </w:numPr>
              <w:jc w:val="both"/>
              <w:rPr>
                <w:rFonts w:ascii="Calibri" w:hAnsi="Calibri"/>
                <w:sz w:val="20"/>
                <w:szCs w:val="20"/>
              </w:rPr>
            </w:pPr>
            <w:r w:rsidRPr="00B63D74">
              <w:rPr>
                <w:rFonts w:ascii="Calibri" w:hAnsi="Calibri"/>
                <w:sz w:val="20"/>
                <w:szCs w:val="20"/>
              </w:rPr>
              <w:t>Améliorer l’efficacité des stratégies notamment la sensibilisation et le dépistage, tout en maintenant l’accès et l’utilisation des préservatifs</w:t>
            </w:r>
          </w:p>
          <w:p w14:paraId="16C47B08" w14:textId="16CDA320" w:rsidR="00157FEA" w:rsidRPr="00B63D74" w:rsidRDefault="00157FEA" w:rsidP="00C34A61">
            <w:pPr>
              <w:pStyle w:val="Paragraphedeliste"/>
              <w:numPr>
                <w:ilvl w:val="0"/>
                <w:numId w:val="27"/>
              </w:numPr>
              <w:jc w:val="both"/>
              <w:rPr>
                <w:rFonts w:ascii="Calibri" w:hAnsi="Calibri"/>
                <w:sz w:val="20"/>
                <w:szCs w:val="20"/>
              </w:rPr>
            </w:pPr>
            <w:r>
              <w:rPr>
                <w:rFonts w:ascii="Calibri" w:hAnsi="Calibri"/>
                <w:sz w:val="20"/>
                <w:szCs w:val="20"/>
              </w:rPr>
              <w:t>Intégrer effectivement les activités de sensibilisation de dépistage dans le paquet de santé communautaire</w:t>
            </w:r>
          </w:p>
        </w:tc>
      </w:tr>
    </w:tbl>
    <w:p w14:paraId="0246AEDA" w14:textId="61DA6332" w:rsidR="00B63C79" w:rsidRDefault="00B63C79" w:rsidP="00DD3692">
      <w:pPr>
        <w:rPr>
          <w:rFonts w:ascii="Calibri" w:hAnsi="Calibri" w:cs="Times"/>
          <w:bCs/>
          <w:color w:val="000000"/>
        </w:rPr>
      </w:pPr>
    </w:p>
    <w:p w14:paraId="06DF881B" w14:textId="2217B34F" w:rsidR="00B63C79" w:rsidRPr="00B63C79" w:rsidRDefault="00B63C79" w:rsidP="00C34A61">
      <w:pPr>
        <w:pStyle w:val="Paragraphedeliste"/>
        <w:numPr>
          <w:ilvl w:val="0"/>
          <w:numId w:val="10"/>
        </w:numPr>
        <w:ind w:left="426" w:hanging="426"/>
        <w:jc w:val="both"/>
        <w:rPr>
          <w:rFonts w:ascii="Calibri" w:hAnsi="Calibri" w:cs="Times"/>
          <w:b/>
          <w:bCs/>
          <w:i/>
          <w:color w:val="000000"/>
        </w:rPr>
      </w:pPr>
      <w:r w:rsidRPr="00B63C79">
        <w:rPr>
          <w:rFonts w:ascii="Calibri" w:hAnsi="Calibri" w:cs="Times"/>
          <w:b/>
          <w:bCs/>
          <w:i/>
          <w:color w:val="000000"/>
        </w:rPr>
        <w:t>La réduction de la transmission du VIH parmi les enfants nés de mère séropositive</w:t>
      </w:r>
    </w:p>
    <w:p w14:paraId="48753213" w14:textId="77777777" w:rsidR="00B63C79" w:rsidRPr="005B52BA" w:rsidRDefault="00B63C79" w:rsidP="00DD3692">
      <w:pPr>
        <w:jc w:val="both"/>
        <w:rPr>
          <w:rFonts w:ascii="Calibri" w:hAnsi="Calibri"/>
          <w:noProof/>
        </w:rPr>
      </w:pPr>
    </w:p>
    <w:p w14:paraId="7BE3DA71" w14:textId="0082B698" w:rsidR="00B63C79" w:rsidRDefault="00B63C79" w:rsidP="000E19A7">
      <w:pPr>
        <w:ind w:left="426" w:right="-1"/>
        <w:jc w:val="both"/>
        <w:rPr>
          <w:rFonts w:ascii="Calibri" w:hAnsi="Calibri"/>
          <w:noProof/>
        </w:rPr>
      </w:pPr>
      <w:r w:rsidRPr="005B52BA">
        <w:rPr>
          <w:rFonts w:ascii="Calibri" w:hAnsi="Calibri"/>
          <w:noProof/>
        </w:rPr>
        <w:t>Le nombre de sites PTME</w:t>
      </w:r>
      <w:r>
        <w:rPr>
          <w:rFonts w:ascii="Calibri" w:hAnsi="Calibri"/>
          <w:noProof/>
        </w:rPr>
        <w:t xml:space="preserve"> </w:t>
      </w:r>
      <w:r w:rsidRPr="005B52BA">
        <w:rPr>
          <w:rFonts w:ascii="Calibri" w:hAnsi="Calibri"/>
          <w:noProof/>
        </w:rPr>
        <w:t>est pas</w:t>
      </w:r>
      <w:r>
        <w:rPr>
          <w:rFonts w:ascii="Calibri" w:hAnsi="Calibri"/>
          <w:noProof/>
        </w:rPr>
        <w:t>sé de 131 en 2013 à 323 en 2016</w:t>
      </w:r>
      <w:r w:rsidRPr="005B52BA">
        <w:rPr>
          <w:rFonts w:ascii="Calibri" w:hAnsi="Calibri"/>
          <w:noProof/>
        </w:rPr>
        <w:t>, cependant, leur degré de fonctionnalité n’est pas optimal notamment dans les régions de Kankan, Mamou et N’Zérékoré.</w:t>
      </w:r>
      <w:r w:rsidR="000E19A7">
        <w:rPr>
          <w:rFonts w:ascii="Calibri" w:hAnsi="Calibri"/>
          <w:noProof/>
        </w:rPr>
        <w:t xml:space="preserve"> Cf. graphiques ci-dessous.</w:t>
      </w:r>
    </w:p>
    <w:p w14:paraId="31A39B2B" w14:textId="3782F5C7" w:rsidR="000E19A7" w:rsidRDefault="000E19A7" w:rsidP="00B63C79">
      <w:pPr>
        <w:ind w:right="-1"/>
        <w:jc w:val="both"/>
        <w:rPr>
          <w:rFonts w:ascii="Calibri" w:hAnsi="Calibri"/>
          <w:noProof/>
        </w:rPr>
      </w:pPr>
    </w:p>
    <w:p w14:paraId="361BA1F8" w14:textId="4461BCE0" w:rsidR="000E19A7" w:rsidRPr="00563646" w:rsidRDefault="000E19A7" w:rsidP="00563646">
      <w:pPr>
        <w:pStyle w:val="graph"/>
        <w:ind w:firstLine="426"/>
        <w:jc w:val="left"/>
        <w:rPr>
          <w:b w:val="0"/>
        </w:rPr>
      </w:pPr>
      <w:bookmarkStart w:id="54" w:name="_Toc521065113"/>
      <w:r w:rsidRPr="00563646">
        <w:rPr>
          <w:u w:val="single"/>
        </w:rPr>
        <w:t>Graphique </w:t>
      </w:r>
      <w:r w:rsidR="006E51C6" w:rsidRPr="00563646">
        <w:rPr>
          <w:u w:val="single"/>
        </w:rPr>
        <w:t>7</w:t>
      </w:r>
      <w:r w:rsidR="006E51C6">
        <w:t xml:space="preserve"> </w:t>
      </w:r>
      <w:r w:rsidRPr="000E19A7">
        <w:t xml:space="preserve">: </w:t>
      </w:r>
      <w:r w:rsidR="006E51C6" w:rsidRPr="00563646">
        <w:rPr>
          <w:b w:val="0"/>
        </w:rPr>
        <w:t>Évolution</w:t>
      </w:r>
      <w:r w:rsidRPr="00563646">
        <w:rPr>
          <w:b w:val="0"/>
        </w:rPr>
        <w:t xml:space="preserve"> des sites PTME et fonctionnalité des sites en </w:t>
      </w:r>
      <w:r w:rsidR="00422E6D" w:rsidRPr="00563646">
        <w:rPr>
          <w:b w:val="0"/>
        </w:rPr>
        <w:t>fin</w:t>
      </w:r>
      <w:r w:rsidRPr="00563646">
        <w:rPr>
          <w:b w:val="0"/>
        </w:rPr>
        <w:t xml:space="preserve"> 2017</w:t>
      </w:r>
      <w:bookmarkEnd w:id="54"/>
    </w:p>
    <w:p w14:paraId="70CE9230" w14:textId="77777777" w:rsidR="00B63C79" w:rsidRPr="005B52BA" w:rsidRDefault="00B63C79" w:rsidP="00B63C79">
      <w:pPr>
        <w:ind w:right="-1"/>
        <w:jc w:val="both"/>
        <w:rPr>
          <w:rFonts w:ascii="Calibri" w:hAnsi="Calibri"/>
          <w:noProof/>
        </w:rPr>
      </w:pPr>
    </w:p>
    <w:tbl>
      <w:tblPr>
        <w:tblStyle w:val="Grilledutableau"/>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216"/>
        <w:gridCol w:w="5157"/>
      </w:tblGrid>
      <w:tr w:rsidR="00B63C79" w:rsidRPr="005B52BA" w14:paraId="0FD2642B" w14:textId="77777777" w:rsidTr="006C2E62">
        <w:trPr>
          <w:trHeight w:val="4272"/>
        </w:trPr>
        <w:tc>
          <w:tcPr>
            <w:tcW w:w="5216" w:type="dxa"/>
          </w:tcPr>
          <w:p w14:paraId="3FCB247D" w14:textId="33223E3A" w:rsidR="00B63C79" w:rsidRPr="005B52BA" w:rsidRDefault="006C2E62" w:rsidP="00B63C79">
            <w:pPr>
              <w:ind w:right="-1"/>
              <w:jc w:val="both"/>
              <w:rPr>
                <w:rFonts w:ascii="Calibri" w:hAnsi="Calibri"/>
                <w:noProof/>
              </w:rPr>
            </w:pPr>
            <w:bookmarkStart w:id="55" w:name="OLE_LINK3"/>
            <w:r>
              <w:rPr>
                <w:noProof/>
              </w:rPr>
              <w:drawing>
                <wp:inline distT="0" distB="0" distL="0" distR="0" wp14:anchorId="43B9FD81" wp14:editId="513F0DD0">
                  <wp:extent cx="3175000" cy="2438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5000" cy="2438400"/>
                          </a:xfrm>
                          <a:prstGeom prst="rect">
                            <a:avLst/>
                          </a:prstGeom>
                        </pic:spPr>
                      </pic:pic>
                    </a:graphicData>
                  </a:graphic>
                </wp:inline>
              </w:drawing>
            </w:r>
          </w:p>
        </w:tc>
        <w:tc>
          <w:tcPr>
            <w:tcW w:w="5157" w:type="dxa"/>
          </w:tcPr>
          <w:p w14:paraId="6F439C5C" w14:textId="77777777" w:rsidR="00B63C79" w:rsidRPr="005B52BA" w:rsidRDefault="00B63C79" w:rsidP="00B63C79">
            <w:pPr>
              <w:ind w:right="-1"/>
              <w:jc w:val="both"/>
              <w:rPr>
                <w:rFonts w:ascii="Calibri" w:hAnsi="Calibri"/>
                <w:noProof/>
              </w:rPr>
            </w:pPr>
            <w:r w:rsidRPr="005B52BA">
              <w:rPr>
                <w:rFonts w:ascii="Calibri" w:hAnsi="Calibri"/>
                <w:noProof/>
              </w:rPr>
              <w:drawing>
                <wp:inline distT="0" distB="0" distL="0" distR="0" wp14:anchorId="76DED5EF" wp14:editId="76121CD3">
                  <wp:extent cx="3137535" cy="2491991"/>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bookmarkEnd w:id="55"/>
    <w:p w14:paraId="1F61A850" w14:textId="753E5E92" w:rsidR="000E19A7" w:rsidRDefault="000E19A7" w:rsidP="000E19A7">
      <w:pPr>
        <w:ind w:left="426" w:right="-1"/>
        <w:jc w:val="both"/>
        <w:rPr>
          <w:rFonts w:ascii="Calibri" w:hAnsi="Calibri"/>
          <w:noProof/>
        </w:rPr>
      </w:pPr>
      <w:r w:rsidRPr="00EC2EAF">
        <w:rPr>
          <w:rFonts w:ascii="Calibri" w:hAnsi="Calibri"/>
          <w:noProof/>
        </w:rPr>
        <w:t>En référence au données de 2015 et 2016, il apparaît que les femmes enceintes qui réalisent au moins une consultation prénatale représentent respectivement 42% et 54% pour les années 2015 et 2016. Ce qui signifie qu’une majeure partie des femmes enceintes n’ont pas l’opportunité des bénéficier d’un dépistage du VIH faute de ne pas avoir eu de contact avec une structure de santé durant la grossesse. En ce qui concerne l’offre du dépistage du VIH pour les fem</w:t>
      </w:r>
      <w:r w:rsidR="00A5304A">
        <w:rPr>
          <w:rFonts w:ascii="Calibri" w:hAnsi="Calibri"/>
          <w:noProof/>
        </w:rPr>
        <w:t>mes en CPN1, elle reste faible. L’évolution des principaux indicateurs PTME se présente comme suit :</w:t>
      </w:r>
    </w:p>
    <w:p w14:paraId="273966B8" w14:textId="218DF442" w:rsidR="00B63C79" w:rsidRDefault="00B63C79" w:rsidP="00B63C79">
      <w:pPr>
        <w:jc w:val="both"/>
        <w:rPr>
          <w:rFonts w:ascii="Calibri" w:hAnsi="Calibri"/>
        </w:rPr>
      </w:pPr>
    </w:p>
    <w:p w14:paraId="5DE03B13" w14:textId="77777777" w:rsidR="00982294" w:rsidRPr="005B52BA" w:rsidRDefault="00982294" w:rsidP="00B63C79">
      <w:pPr>
        <w:jc w:val="both"/>
        <w:rPr>
          <w:rFonts w:ascii="Calibri" w:hAnsi="Calibri"/>
        </w:rPr>
      </w:pPr>
    </w:p>
    <w:p w14:paraId="60265C43" w14:textId="3A1A4512" w:rsidR="00B63C79" w:rsidRPr="00F36530" w:rsidRDefault="00891515" w:rsidP="00240456">
      <w:pPr>
        <w:pStyle w:val="tab"/>
        <w:ind w:firstLine="426"/>
      </w:pPr>
      <w:bookmarkStart w:id="56" w:name="_Toc521064263"/>
      <w:r w:rsidRPr="00240456">
        <w:rPr>
          <w:b/>
          <w:u w:val="single"/>
        </w:rPr>
        <w:t>Tableau 7</w:t>
      </w:r>
      <w:r w:rsidR="00B63C79" w:rsidRPr="00F36530">
        <w:t xml:space="preserve"> : </w:t>
      </w:r>
      <w:r w:rsidR="00F36530" w:rsidRPr="00F36530">
        <w:t>Évolution</w:t>
      </w:r>
      <w:r w:rsidR="00B63C79" w:rsidRPr="00F36530">
        <w:t xml:space="preserve"> des </w:t>
      </w:r>
      <w:r w:rsidR="00F36530">
        <w:t xml:space="preserve">principaux </w:t>
      </w:r>
      <w:r w:rsidR="00B63C79" w:rsidRPr="00F36530">
        <w:t xml:space="preserve">indicateurs </w:t>
      </w:r>
      <w:r w:rsidR="00F36530">
        <w:t>de la PTME</w:t>
      </w:r>
      <w:bookmarkEnd w:id="56"/>
    </w:p>
    <w:p w14:paraId="650A8AF0" w14:textId="0B8FAA89" w:rsidR="00F36530" w:rsidRDefault="00F36530" w:rsidP="00B63C79">
      <w:pPr>
        <w:jc w:val="both"/>
        <w:rPr>
          <w:rFonts w:ascii="Calibri" w:hAnsi="Calibri"/>
          <w:bCs/>
        </w:rPr>
      </w:pPr>
    </w:p>
    <w:tbl>
      <w:tblPr>
        <w:tblW w:w="9497" w:type="dxa"/>
        <w:tblInd w:w="421" w:type="dxa"/>
        <w:tblLayout w:type="fixed"/>
        <w:tblCellMar>
          <w:left w:w="70" w:type="dxa"/>
          <w:right w:w="70" w:type="dxa"/>
        </w:tblCellMar>
        <w:tblLook w:val="04A0" w:firstRow="1" w:lastRow="0" w:firstColumn="1" w:lastColumn="0" w:noHBand="0" w:noVBand="1"/>
      </w:tblPr>
      <w:tblGrid>
        <w:gridCol w:w="4252"/>
        <w:gridCol w:w="1134"/>
        <w:gridCol w:w="54"/>
        <w:gridCol w:w="1080"/>
        <w:gridCol w:w="54"/>
        <w:gridCol w:w="1080"/>
        <w:gridCol w:w="54"/>
        <w:gridCol w:w="850"/>
        <w:gridCol w:w="88"/>
        <w:gridCol w:w="851"/>
      </w:tblGrid>
      <w:tr w:rsidR="00CE1F1E" w:rsidRPr="006A7978" w14:paraId="65E2AACC" w14:textId="77777777" w:rsidTr="00A5304A">
        <w:trPr>
          <w:trHeight w:val="320"/>
        </w:trPr>
        <w:tc>
          <w:tcPr>
            <w:tcW w:w="4252" w:type="dxa"/>
            <w:tcBorders>
              <w:top w:val="single" w:sz="4" w:space="0" w:color="7F7F7F"/>
              <w:left w:val="single" w:sz="4" w:space="0" w:color="7F7F7F"/>
              <w:bottom w:val="single" w:sz="4" w:space="0" w:color="7F7F7F"/>
              <w:right w:val="single" w:sz="4" w:space="0" w:color="7F7F7F"/>
            </w:tcBorders>
            <w:shd w:val="clear" w:color="000000" w:fill="FFCC99"/>
            <w:noWrap/>
            <w:vAlign w:val="center"/>
            <w:hideMark/>
          </w:tcPr>
          <w:p w14:paraId="3E149187" w14:textId="77777777" w:rsidR="00CE1F1E" w:rsidRPr="006A7978" w:rsidRDefault="00CE1F1E">
            <w:pPr>
              <w:jc w:val="both"/>
              <w:rPr>
                <w:rFonts w:asciiTheme="minorHAnsi" w:hAnsiTheme="minorHAnsi"/>
                <w:b/>
                <w:bCs/>
                <w:color w:val="3F3F76"/>
                <w:sz w:val="20"/>
                <w:szCs w:val="20"/>
              </w:rPr>
            </w:pPr>
            <w:r w:rsidRPr="006A7978">
              <w:rPr>
                <w:rFonts w:asciiTheme="minorHAnsi" w:hAnsiTheme="minorHAnsi"/>
                <w:b/>
                <w:bCs/>
                <w:color w:val="3F3F76"/>
                <w:sz w:val="20"/>
                <w:szCs w:val="20"/>
              </w:rPr>
              <w:t>INDICATEURS</w:t>
            </w:r>
          </w:p>
        </w:tc>
        <w:tc>
          <w:tcPr>
            <w:tcW w:w="1188" w:type="dxa"/>
            <w:gridSpan w:val="2"/>
            <w:tcBorders>
              <w:top w:val="single" w:sz="4" w:space="0" w:color="7F7F7F"/>
              <w:left w:val="nil"/>
              <w:bottom w:val="single" w:sz="4" w:space="0" w:color="7F7F7F"/>
              <w:right w:val="single" w:sz="4" w:space="0" w:color="7F7F7F"/>
            </w:tcBorders>
            <w:shd w:val="clear" w:color="000000" w:fill="FFCC99"/>
            <w:noWrap/>
            <w:vAlign w:val="center"/>
            <w:hideMark/>
          </w:tcPr>
          <w:p w14:paraId="361FCC99" w14:textId="77777777" w:rsidR="00CE1F1E" w:rsidRPr="006A7978" w:rsidRDefault="00CE1F1E">
            <w:pPr>
              <w:jc w:val="both"/>
              <w:rPr>
                <w:rFonts w:asciiTheme="minorHAnsi" w:hAnsiTheme="minorHAnsi"/>
                <w:b/>
                <w:bCs/>
                <w:color w:val="3F3F76"/>
                <w:sz w:val="20"/>
                <w:szCs w:val="20"/>
              </w:rPr>
            </w:pPr>
            <w:r w:rsidRPr="006A7978">
              <w:rPr>
                <w:rFonts w:asciiTheme="minorHAnsi" w:hAnsiTheme="minorHAnsi"/>
                <w:b/>
                <w:bCs/>
                <w:color w:val="3F3F76"/>
                <w:sz w:val="20"/>
                <w:szCs w:val="20"/>
              </w:rPr>
              <w:t>2013</w:t>
            </w:r>
          </w:p>
        </w:tc>
        <w:tc>
          <w:tcPr>
            <w:tcW w:w="1134" w:type="dxa"/>
            <w:gridSpan w:val="2"/>
            <w:tcBorders>
              <w:top w:val="single" w:sz="4" w:space="0" w:color="7F7F7F"/>
              <w:left w:val="nil"/>
              <w:bottom w:val="single" w:sz="4" w:space="0" w:color="7F7F7F"/>
              <w:right w:val="single" w:sz="4" w:space="0" w:color="7F7F7F"/>
            </w:tcBorders>
            <w:shd w:val="clear" w:color="000000" w:fill="FFCC99"/>
            <w:noWrap/>
            <w:vAlign w:val="center"/>
            <w:hideMark/>
          </w:tcPr>
          <w:p w14:paraId="7CF8DA47" w14:textId="77777777" w:rsidR="00CE1F1E" w:rsidRPr="006A7978" w:rsidRDefault="00CE1F1E">
            <w:pPr>
              <w:jc w:val="both"/>
              <w:rPr>
                <w:rFonts w:asciiTheme="minorHAnsi" w:hAnsiTheme="minorHAnsi"/>
                <w:b/>
                <w:bCs/>
                <w:color w:val="3F3F76"/>
                <w:sz w:val="20"/>
                <w:szCs w:val="20"/>
              </w:rPr>
            </w:pPr>
            <w:r w:rsidRPr="006A7978">
              <w:rPr>
                <w:rFonts w:asciiTheme="minorHAnsi" w:hAnsiTheme="minorHAnsi"/>
                <w:b/>
                <w:bCs/>
                <w:color w:val="3F3F76"/>
                <w:sz w:val="20"/>
                <w:szCs w:val="20"/>
              </w:rPr>
              <w:t>2014</w:t>
            </w:r>
          </w:p>
        </w:tc>
        <w:tc>
          <w:tcPr>
            <w:tcW w:w="1134" w:type="dxa"/>
            <w:gridSpan w:val="2"/>
            <w:tcBorders>
              <w:top w:val="single" w:sz="4" w:space="0" w:color="7F7F7F"/>
              <w:left w:val="nil"/>
              <w:bottom w:val="single" w:sz="4" w:space="0" w:color="7F7F7F"/>
              <w:right w:val="single" w:sz="4" w:space="0" w:color="7F7F7F"/>
            </w:tcBorders>
            <w:shd w:val="clear" w:color="000000" w:fill="FFCC99"/>
            <w:noWrap/>
            <w:vAlign w:val="center"/>
            <w:hideMark/>
          </w:tcPr>
          <w:p w14:paraId="71DAC7AE" w14:textId="77777777" w:rsidR="00CE1F1E" w:rsidRPr="006A7978" w:rsidRDefault="00CE1F1E">
            <w:pPr>
              <w:jc w:val="both"/>
              <w:rPr>
                <w:rFonts w:asciiTheme="minorHAnsi" w:hAnsiTheme="minorHAnsi"/>
                <w:b/>
                <w:bCs/>
                <w:color w:val="3F3F76"/>
                <w:sz w:val="20"/>
                <w:szCs w:val="20"/>
              </w:rPr>
            </w:pPr>
            <w:r w:rsidRPr="006A7978">
              <w:rPr>
                <w:rFonts w:asciiTheme="minorHAnsi" w:hAnsiTheme="minorHAnsi"/>
                <w:b/>
                <w:bCs/>
                <w:color w:val="3F3F76"/>
                <w:sz w:val="20"/>
                <w:szCs w:val="20"/>
              </w:rPr>
              <w:t>2015</w:t>
            </w:r>
          </w:p>
        </w:tc>
        <w:tc>
          <w:tcPr>
            <w:tcW w:w="850" w:type="dxa"/>
            <w:tcBorders>
              <w:top w:val="single" w:sz="4" w:space="0" w:color="7F7F7F"/>
              <w:left w:val="nil"/>
              <w:bottom w:val="single" w:sz="4" w:space="0" w:color="7F7F7F"/>
              <w:right w:val="single" w:sz="4" w:space="0" w:color="7F7F7F"/>
            </w:tcBorders>
            <w:shd w:val="clear" w:color="000000" w:fill="FFCC99"/>
            <w:noWrap/>
            <w:vAlign w:val="center"/>
            <w:hideMark/>
          </w:tcPr>
          <w:p w14:paraId="712B6202" w14:textId="77777777" w:rsidR="00CE1F1E" w:rsidRPr="006A7978" w:rsidRDefault="00CE1F1E">
            <w:pPr>
              <w:jc w:val="both"/>
              <w:rPr>
                <w:rFonts w:asciiTheme="minorHAnsi" w:hAnsiTheme="minorHAnsi"/>
                <w:b/>
                <w:bCs/>
                <w:color w:val="3F3F76"/>
                <w:sz w:val="20"/>
                <w:szCs w:val="20"/>
              </w:rPr>
            </w:pPr>
            <w:r w:rsidRPr="006A7978">
              <w:rPr>
                <w:rFonts w:asciiTheme="minorHAnsi" w:hAnsiTheme="minorHAnsi"/>
                <w:b/>
                <w:bCs/>
                <w:color w:val="3F3F76"/>
                <w:sz w:val="20"/>
                <w:szCs w:val="20"/>
              </w:rPr>
              <w:t>2016</w:t>
            </w:r>
          </w:p>
        </w:tc>
        <w:tc>
          <w:tcPr>
            <w:tcW w:w="939" w:type="dxa"/>
            <w:gridSpan w:val="2"/>
            <w:tcBorders>
              <w:top w:val="single" w:sz="4" w:space="0" w:color="7F7F7F"/>
              <w:left w:val="nil"/>
              <w:bottom w:val="single" w:sz="4" w:space="0" w:color="7F7F7F"/>
              <w:right w:val="single" w:sz="4" w:space="0" w:color="7F7F7F"/>
            </w:tcBorders>
            <w:shd w:val="clear" w:color="000000" w:fill="FFCC99"/>
            <w:vAlign w:val="center"/>
            <w:hideMark/>
          </w:tcPr>
          <w:p w14:paraId="285BD40C" w14:textId="77777777" w:rsidR="00CE1F1E" w:rsidRPr="006A7978" w:rsidRDefault="00CE1F1E">
            <w:pPr>
              <w:jc w:val="both"/>
              <w:rPr>
                <w:rFonts w:asciiTheme="minorHAnsi" w:hAnsiTheme="minorHAnsi"/>
                <w:b/>
                <w:bCs/>
                <w:color w:val="C00000"/>
                <w:sz w:val="20"/>
                <w:szCs w:val="20"/>
              </w:rPr>
            </w:pPr>
            <w:r w:rsidRPr="00982294">
              <w:rPr>
                <w:rFonts w:asciiTheme="minorHAnsi" w:hAnsiTheme="minorHAnsi"/>
                <w:b/>
                <w:bCs/>
                <w:color w:val="3F3F76"/>
                <w:sz w:val="20"/>
                <w:szCs w:val="20"/>
              </w:rPr>
              <w:t>2017</w:t>
            </w:r>
          </w:p>
        </w:tc>
      </w:tr>
      <w:tr w:rsidR="00BE0648" w:rsidRPr="006A7978" w14:paraId="450B47F9" w14:textId="77777777" w:rsidTr="00A5304A">
        <w:trPr>
          <w:trHeight w:val="320"/>
        </w:trPr>
        <w:tc>
          <w:tcPr>
            <w:tcW w:w="4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F372A" w14:textId="77777777" w:rsidR="00BE0648" w:rsidRPr="006A7978" w:rsidRDefault="00BE0648" w:rsidP="00BE0648">
            <w:pPr>
              <w:jc w:val="both"/>
              <w:rPr>
                <w:rFonts w:asciiTheme="minorHAnsi" w:hAnsiTheme="minorHAnsi"/>
                <w:color w:val="000000"/>
                <w:sz w:val="20"/>
                <w:szCs w:val="20"/>
              </w:rPr>
            </w:pPr>
            <w:r w:rsidRPr="006A7978">
              <w:rPr>
                <w:rFonts w:asciiTheme="minorHAnsi" w:hAnsiTheme="minorHAnsi"/>
                <w:color w:val="000000"/>
                <w:sz w:val="20"/>
                <w:szCs w:val="20"/>
              </w:rPr>
              <w:t>Grossesses attendues</w:t>
            </w:r>
          </w:p>
        </w:tc>
        <w:tc>
          <w:tcPr>
            <w:tcW w:w="118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B4250B" w14:textId="57483424"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536 094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FDE838" w14:textId="08053E92"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550 569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C28249" w14:textId="4C3E1352"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492 881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A0D117A" w14:textId="0478180B"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509 370      </w:t>
            </w:r>
          </w:p>
        </w:tc>
        <w:tc>
          <w:tcPr>
            <w:tcW w:w="939" w:type="dxa"/>
            <w:gridSpan w:val="2"/>
            <w:tcBorders>
              <w:top w:val="single" w:sz="4" w:space="0" w:color="auto"/>
              <w:left w:val="nil"/>
              <w:bottom w:val="single" w:sz="4" w:space="0" w:color="auto"/>
              <w:right w:val="single" w:sz="4" w:space="0" w:color="auto"/>
            </w:tcBorders>
            <w:shd w:val="clear" w:color="auto" w:fill="auto"/>
            <w:vAlign w:val="center"/>
            <w:hideMark/>
          </w:tcPr>
          <w:p w14:paraId="32641876" w14:textId="7338A4D3" w:rsidR="00BE0648" w:rsidRPr="006A7978" w:rsidRDefault="00BE0648" w:rsidP="00974A4C">
            <w:pPr>
              <w:jc w:val="center"/>
              <w:rPr>
                <w:rFonts w:asciiTheme="minorHAnsi" w:hAnsiTheme="minorHAnsi"/>
                <w:color w:val="000000"/>
                <w:sz w:val="20"/>
                <w:szCs w:val="20"/>
              </w:rPr>
            </w:pPr>
            <w:r w:rsidRPr="00974A4C">
              <w:rPr>
                <w:rFonts w:asciiTheme="minorHAnsi" w:hAnsiTheme="minorHAnsi"/>
                <w:color w:val="000000"/>
                <w:sz w:val="20"/>
                <w:szCs w:val="20"/>
              </w:rPr>
              <w:t xml:space="preserve">513 102      </w:t>
            </w:r>
          </w:p>
        </w:tc>
      </w:tr>
      <w:tr w:rsidR="00BE0648" w:rsidRPr="006A7978" w14:paraId="48912D12" w14:textId="77777777" w:rsidTr="006A7978">
        <w:trPr>
          <w:trHeight w:val="197"/>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5CD504E1" w14:textId="77777777" w:rsidR="00BE0648" w:rsidRPr="006A7978" w:rsidRDefault="00BE0648" w:rsidP="00BE0648">
            <w:pPr>
              <w:jc w:val="both"/>
              <w:rPr>
                <w:rFonts w:asciiTheme="minorHAnsi" w:hAnsiTheme="minorHAnsi"/>
                <w:color w:val="000000"/>
                <w:sz w:val="20"/>
                <w:szCs w:val="20"/>
              </w:rPr>
            </w:pPr>
            <w:r w:rsidRPr="006A7978">
              <w:rPr>
                <w:rFonts w:asciiTheme="minorHAnsi" w:hAnsiTheme="minorHAnsi"/>
                <w:color w:val="000000"/>
                <w:sz w:val="20"/>
                <w:szCs w:val="20"/>
              </w:rPr>
              <w:t>Effectif des femmes enceintes en CPN1</w:t>
            </w:r>
          </w:p>
        </w:tc>
        <w:tc>
          <w:tcPr>
            <w:tcW w:w="1188" w:type="dxa"/>
            <w:gridSpan w:val="2"/>
            <w:tcBorders>
              <w:top w:val="nil"/>
              <w:left w:val="nil"/>
              <w:bottom w:val="single" w:sz="4" w:space="0" w:color="auto"/>
              <w:right w:val="single" w:sz="4" w:space="0" w:color="auto"/>
            </w:tcBorders>
            <w:shd w:val="clear" w:color="auto" w:fill="auto"/>
            <w:noWrap/>
            <w:vAlign w:val="center"/>
            <w:hideMark/>
          </w:tcPr>
          <w:p w14:paraId="73291B61" w14:textId="71B25A30"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107 217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0C4ACF" w14:textId="51E24D0A"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137 073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9E9055" w14:textId="2648CCB7"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207 882      </w:t>
            </w:r>
          </w:p>
        </w:tc>
        <w:tc>
          <w:tcPr>
            <w:tcW w:w="850" w:type="dxa"/>
            <w:tcBorders>
              <w:top w:val="nil"/>
              <w:left w:val="nil"/>
              <w:bottom w:val="single" w:sz="4" w:space="0" w:color="auto"/>
              <w:right w:val="single" w:sz="4" w:space="0" w:color="auto"/>
            </w:tcBorders>
            <w:shd w:val="clear" w:color="auto" w:fill="auto"/>
            <w:noWrap/>
            <w:vAlign w:val="center"/>
            <w:hideMark/>
          </w:tcPr>
          <w:p w14:paraId="6B14025D" w14:textId="0E3F1D04"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277 374      </w:t>
            </w:r>
          </w:p>
        </w:tc>
        <w:tc>
          <w:tcPr>
            <w:tcW w:w="939" w:type="dxa"/>
            <w:gridSpan w:val="2"/>
            <w:tcBorders>
              <w:top w:val="nil"/>
              <w:left w:val="nil"/>
              <w:bottom w:val="single" w:sz="4" w:space="0" w:color="auto"/>
              <w:right w:val="single" w:sz="4" w:space="0" w:color="auto"/>
            </w:tcBorders>
            <w:shd w:val="clear" w:color="auto" w:fill="auto"/>
            <w:vAlign w:val="center"/>
            <w:hideMark/>
          </w:tcPr>
          <w:p w14:paraId="79ABA2CB" w14:textId="57BC709A" w:rsidR="00BE0648" w:rsidRPr="006A7978" w:rsidRDefault="00BE0648" w:rsidP="00974A4C">
            <w:pPr>
              <w:jc w:val="center"/>
              <w:rPr>
                <w:rFonts w:asciiTheme="minorHAnsi" w:hAnsiTheme="minorHAnsi"/>
                <w:color w:val="000000"/>
                <w:sz w:val="20"/>
                <w:szCs w:val="20"/>
              </w:rPr>
            </w:pPr>
            <w:r w:rsidRPr="00974A4C">
              <w:rPr>
                <w:rFonts w:asciiTheme="minorHAnsi" w:hAnsiTheme="minorHAnsi"/>
                <w:color w:val="000000"/>
                <w:sz w:val="20"/>
                <w:szCs w:val="20"/>
              </w:rPr>
              <w:t xml:space="preserve">353 073      </w:t>
            </w:r>
          </w:p>
        </w:tc>
      </w:tr>
      <w:tr w:rsidR="00BE0648" w:rsidRPr="006A7978" w14:paraId="1B441F1F" w14:textId="77777777" w:rsidTr="00A5304A">
        <w:trPr>
          <w:trHeight w:val="320"/>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047AF7F7" w14:textId="77777777" w:rsidR="00BE0648" w:rsidRPr="006A7978" w:rsidRDefault="00BE0648" w:rsidP="00BE0648">
            <w:pPr>
              <w:jc w:val="both"/>
              <w:rPr>
                <w:rFonts w:asciiTheme="minorHAnsi" w:hAnsiTheme="minorHAnsi"/>
                <w:color w:val="000000"/>
                <w:sz w:val="20"/>
                <w:szCs w:val="20"/>
              </w:rPr>
            </w:pPr>
            <w:r w:rsidRPr="006A7978">
              <w:rPr>
                <w:rFonts w:asciiTheme="minorHAnsi" w:hAnsiTheme="minorHAnsi"/>
                <w:color w:val="000000"/>
                <w:sz w:val="20"/>
                <w:szCs w:val="20"/>
              </w:rPr>
              <w:t xml:space="preserve"> Nombre de femmes enceintes testées </w:t>
            </w:r>
          </w:p>
        </w:tc>
        <w:tc>
          <w:tcPr>
            <w:tcW w:w="1188" w:type="dxa"/>
            <w:gridSpan w:val="2"/>
            <w:tcBorders>
              <w:top w:val="nil"/>
              <w:left w:val="nil"/>
              <w:bottom w:val="single" w:sz="4" w:space="0" w:color="auto"/>
              <w:right w:val="single" w:sz="4" w:space="0" w:color="auto"/>
            </w:tcBorders>
            <w:shd w:val="clear" w:color="auto" w:fill="auto"/>
            <w:noWrap/>
            <w:vAlign w:val="center"/>
            <w:hideMark/>
          </w:tcPr>
          <w:p w14:paraId="7C876BD5" w14:textId="623AD04E"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64 521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240D7EA" w14:textId="05563DB2"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75 584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CA830DB" w14:textId="588984B8"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150 947      </w:t>
            </w:r>
          </w:p>
        </w:tc>
        <w:tc>
          <w:tcPr>
            <w:tcW w:w="850" w:type="dxa"/>
            <w:tcBorders>
              <w:top w:val="nil"/>
              <w:left w:val="nil"/>
              <w:bottom w:val="single" w:sz="4" w:space="0" w:color="auto"/>
              <w:right w:val="single" w:sz="4" w:space="0" w:color="auto"/>
            </w:tcBorders>
            <w:shd w:val="clear" w:color="auto" w:fill="auto"/>
            <w:noWrap/>
            <w:vAlign w:val="center"/>
            <w:hideMark/>
          </w:tcPr>
          <w:p w14:paraId="1B671D59" w14:textId="2EB56362"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182 869      </w:t>
            </w:r>
          </w:p>
        </w:tc>
        <w:tc>
          <w:tcPr>
            <w:tcW w:w="939" w:type="dxa"/>
            <w:gridSpan w:val="2"/>
            <w:tcBorders>
              <w:top w:val="nil"/>
              <w:left w:val="nil"/>
              <w:bottom w:val="single" w:sz="4" w:space="0" w:color="auto"/>
              <w:right w:val="single" w:sz="4" w:space="0" w:color="auto"/>
            </w:tcBorders>
            <w:shd w:val="clear" w:color="auto" w:fill="auto"/>
            <w:vAlign w:val="center"/>
            <w:hideMark/>
          </w:tcPr>
          <w:p w14:paraId="5DDDA65D" w14:textId="45D6AD20" w:rsidR="00BE0648" w:rsidRPr="006A7978" w:rsidRDefault="00BE0648" w:rsidP="00974A4C">
            <w:pPr>
              <w:jc w:val="center"/>
              <w:rPr>
                <w:rFonts w:asciiTheme="minorHAnsi" w:hAnsiTheme="minorHAnsi"/>
                <w:color w:val="000000"/>
                <w:sz w:val="20"/>
                <w:szCs w:val="20"/>
              </w:rPr>
            </w:pPr>
            <w:r w:rsidRPr="00974A4C">
              <w:rPr>
                <w:rFonts w:asciiTheme="minorHAnsi" w:hAnsiTheme="minorHAnsi"/>
                <w:color w:val="000000"/>
                <w:sz w:val="20"/>
                <w:szCs w:val="20"/>
              </w:rPr>
              <w:t xml:space="preserve">224 812      </w:t>
            </w:r>
          </w:p>
        </w:tc>
      </w:tr>
      <w:tr w:rsidR="00BE0648" w:rsidRPr="006A7978" w14:paraId="5BF009D7" w14:textId="77777777" w:rsidTr="00A5304A">
        <w:trPr>
          <w:trHeight w:val="320"/>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1F6A99DE" w14:textId="77777777" w:rsidR="00BE0648" w:rsidRPr="006A7978" w:rsidRDefault="00BE0648" w:rsidP="00BE0648">
            <w:pPr>
              <w:jc w:val="both"/>
              <w:rPr>
                <w:rFonts w:asciiTheme="minorHAnsi" w:hAnsiTheme="minorHAnsi"/>
                <w:color w:val="000000"/>
                <w:sz w:val="20"/>
                <w:szCs w:val="20"/>
              </w:rPr>
            </w:pPr>
            <w:r w:rsidRPr="006A7978">
              <w:rPr>
                <w:rFonts w:asciiTheme="minorHAnsi" w:hAnsiTheme="minorHAnsi"/>
                <w:color w:val="000000"/>
                <w:sz w:val="20"/>
                <w:szCs w:val="20"/>
              </w:rPr>
              <w:t xml:space="preserve"> Femmes testées ayant récupéré les résultats </w:t>
            </w:r>
          </w:p>
        </w:tc>
        <w:tc>
          <w:tcPr>
            <w:tcW w:w="1188" w:type="dxa"/>
            <w:gridSpan w:val="2"/>
            <w:tcBorders>
              <w:top w:val="nil"/>
              <w:left w:val="nil"/>
              <w:bottom w:val="single" w:sz="4" w:space="0" w:color="auto"/>
              <w:right w:val="single" w:sz="4" w:space="0" w:color="auto"/>
            </w:tcBorders>
            <w:shd w:val="clear" w:color="auto" w:fill="auto"/>
            <w:noWrap/>
            <w:vAlign w:val="center"/>
            <w:hideMark/>
          </w:tcPr>
          <w:p w14:paraId="579D9690" w14:textId="004FCFCD"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63 329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3A60600" w14:textId="4E391E64"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64 139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3411939" w14:textId="7FB26696"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124 261      </w:t>
            </w:r>
          </w:p>
        </w:tc>
        <w:tc>
          <w:tcPr>
            <w:tcW w:w="850" w:type="dxa"/>
            <w:tcBorders>
              <w:top w:val="nil"/>
              <w:left w:val="nil"/>
              <w:bottom w:val="single" w:sz="4" w:space="0" w:color="auto"/>
              <w:right w:val="single" w:sz="4" w:space="0" w:color="auto"/>
            </w:tcBorders>
            <w:shd w:val="clear" w:color="auto" w:fill="auto"/>
            <w:noWrap/>
            <w:vAlign w:val="center"/>
            <w:hideMark/>
          </w:tcPr>
          <w:p w14:paraId="137176C7" w14:textId="7A168D56"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177 774      </w:t>
            </w:r>
          </w:p>
        </w:tc>
        <w:tc>
          <w:tcPr>
            <w:tcW w:w="939" w:type="dxa"/>
            <w:gridSpan w:val="2"/>
            <w:tcBorders>
              <w:top w:val="nil"/>
              <w:left w:val="nil"/>
              <w:bottom w:val="single" w:sz="4" w:space="0" w:color="auto"/>
              <w:right w:val="single" w:sz="4" w:space="0" w:color="auto"/>
            </w:tcBorders>
            <w:shd w:val="clear" w:color="auto" w:fill="auto"/>
            <w:vAlign w:val="center"/>
            <w:hideMark/>
          </w:tcPr>
          <w:p w14:paraId="02E66652" w14:textId="1C42B2EB" w:rsidR="00BE0648" w:rsidRPr="006A7978" w:rsidRDefault="00BE0648" w:rsidP="00974A4C">
            <w:pPr>
              <w:jc w:val="center"/>
              <w:rPr>
                <w:rFonts w:asciiTheme="minorHAnsi" w:hAnsiTheme="minorHAnsi"/>
                <w:color w:val="000000"/>
                <w:sz w:val="20"/>
                <w:szCs w:val="20"/>
              </w:rPr>
            </w:pPr>
            <w:r w:rsidRPr="00974A4C">
              <w:rPr>
                <w:rFonts w:asciiTheme="minorHAnsi" w:hAnsiTheme="minorHAnsi"/>
                <w:color w:val="000000"/>
                <w:sz w:val="20"/>
                <w:szCs w:val="20"/>
              </w:rPr>
              <w:t xml:space="preserve">223 594      </w:t>
            </w:r>
          </w:p>
        </w:tc>
      </w:tr>
      <w:tr w:rsidR="00BE0648" w:rsidRPr="006A7978" w14:paraId="3E993C77" w14:textId="77777777" w:rsidTr="006A7978">
        <w:trPr>
          <w:trHeight w:val="408"/>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22B663D6" w14:textId="77777777" w:rsidR="00BE0648" w:rsidRPr="006A7978" w:rsidRDefault="00BE0648" w:rsidP="00BE0648">
            <w:pPr>
              <w:jc w:val="both"/>
              <w:rPr>
                <w:rFonts w:asciiTheme="minorHAnsi" w:hAnsiTheme="minorHAnsi"/>
                <w:color w:val="000000"/>
                <w:sz w:val="20"/>
                <w:szCs w:val="20"/>
              </w:rPr>
            </w:pPr>
            <w:r w:rsidRPr="006A7978">
              <w:rPr>
                <w:rFonts w:asciiTheme="minorHAnsi" w:hAnsiTheme="minorHAnsi"/>
                <w:color w:val="000000"/>
                <w:sz w:val="20"/>
                <w:szCs w:val="20"/>
              </w:rPr>
              <w:t xml:space="preserve"> Cibles du CSN (femmes enceintes testées et qui connaissent leurs résultats) </w:t>
            </w:r>
          </w:p>
        </w:tc>
        <w:tc>
          <w:tcPr>
            <w:tcW w:w="1188" w:type="dxa"/>
            <w:gridSpan w:val="2"/>
            <w:tcBorders>
              <w:top w:val="nil"/>
              <w:left w:val="nil"/>
              <w:bottom w:val="single" w:sz="4" w:space="0" w:color="auto"/>
              <w:right w:val="single" w:sz="4" w:space="0" w:color="auto"/>
            </w:tcBorders>
            <w:shd w:val="clear" w:color="auto" w:fill="auto"/>
            <w:noWrap/>
            <w:vAlign w:val="center"/>
            <w:hideMark/>
          </w:tcPr>
          <w:p w14:paraId="4A20D458" w14:textId="10E3AD6A"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277 700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87F185F" w14:textId="098068FF"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341 316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ED6DDA2" w14:textId="1E48A3EF"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408 162      </w:t>
            </w:r>
          </w:p>
        </w:tc>
        <w:tc>
          <w:tcPr>
            <w:tcW w:w="850" w:type="dxa"/>
            <w:tcBorders>
              <w:top w:val="nil"/>
              <w:left w:val="nil"/>
              <w:bottom w:val="single" w:sz="4" w:space="0" w:color="auto"/>
              <w:right w:val="single" w:sz="4" w:space="0" w:color="auto"/>
            </w:tcBorders>
            <w:shd w:val="clear" w:color="auto" w:fill="auto"/>
            <w:noWrap/>
            <w:vAlign w:val="center"/>
            <w:hideMark/>
          </w:tcPr>
          <w:p w14:paraId="440189FC" w14:textId="63C5D4AE"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478 200      </w:t>
            </w:r>
          </w:p>
        </w:tc>
        <w:tc>
          <w:tcPr>
            <w:tcW w:w="939" w:type="dxa"/>
            <w:gridSpan w:val="2"/>
            <w:tcBorders>
              <w:top w:val="nil"/>
              <w:left w:val="nil"/>
              <w:bottom w:val="single" w:sz="4" w:space="0" w:color="auto"/>
              <w:right w:val="single" w:sz="4" w:space="0" w:color="auto"/>
            </w:tcBorders>
            <w:shd w:val="clear" w:color="auto" w:fill="auto"/>
            <w:vAlign w:val="center"/>
            <w:hideMark/>
          </w:tcPr>
          <w:p w14:paraId="0A176563" w14:textId="6C3A8665" w:rsidR="00BE0648" w:rsidRPr="006A7978" w:rsidRDefault="00BE0648" w:rsidP="00974A4C">
            <w:pPr>
              <w:jc w:val="center"/>
              <w:rPr>
                <w:rFonts w:asciiTheme="minorHAnsi" w:hAnsiTheme="minorHAnsi"/>
                <w:color w:val="000000"/>
                <w:sz w:val="20"/>
                <w:szCs w:val="20"/>
              </w:rPr>
            </w:pPr>
            <w:r w:rsidRPr="00974A4C">
              <w:rPr>
                <w:rFonts w:asciiTheme="minorHAnsi" w:hAnsiTheme="minorHAnsi"/>
                <w:color w:val="000000"/>
                <w:sz w:val="20"/>
                <w:szCs w:val="20"/>
              </w:rPr>
              <w:t xml:space="preserve">551 618      </w:t>
            </w:r>
          </w:p>
        </w:tc>
      </w:tr>
      <w:tr w:rsidR="00BE0648" w:rsidRPr="006A7978" w14:paraId="01B2149A" w14:textId="77777777" w:rsidTr="006A7978">
        <w:trPr>
          <w:trHeight w:val="416"/>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17B16F3C" w14:textId="77777777" w:rsidR="00BE0648" w:rsidRPr="006A7978" w:rsidRDefault="00BE0648" w:rsidP="00BE0648">
            <w:pPr>
              <w:jc w:val="both"/>
              <w:rPr>
                <w:rFonts w:asciiTheme="minorHAnsi" w:hAnsiTheme="minorHAnsi"/>
                <w:color w:val="000000"/>
                <w:sz w:val="20"/>
                <w:szCs w:val="20"/>
              </w:rPr>
            </w:pPr>
            <w:r w:rsidRPr="006A7978">
              <w:rPr>
                <w:rFonts w:asciiTheme="minorHAnsi" w:hAnsiTheme="minorHAnsi"/>
                <w:color w:val="000000"/>
                <w:sz w:val="20"/>
                <w:szCs w:val="20"/>
              </w:rPr>
              <w:t>Estimation des femmes enceintes séropositives au VIH (Spectrum)</w:t>
            </w:r>
          </w:p>
        </w:tc>
        <w:tc>
          <w:tcPr>
            <w:tcW w:w="1188" w:type="dxa"/>
            <w:gridSpan w:val="2"/>
            <w:tcBorders>
              <w:top w:val="nil"/>
              <w:left w:val="nil"/>
              <w:bottom w:val="single" w:sz="4" w:space="0" w:color="auto"/>
              <w:right w:val="single" w:sz="4" w:space="0" w:color="auto"/>
            </w:tcBorders>
            <w:shd w:val="clear" w:color="auto" w:fill="auto"/>
            <w:noWrap/>
            <w:vAlign w:val="center"/>
            <w:hideMark/>
          </w:tcPr>
          <w:p w14:paraId="0D0507A6" w14:textId="116643DD"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6 306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5031D49" w14:textId="18A1C744"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5 995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38732EA" w14:textId="527CCBC3"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7 061      </w:t>
            </w:r>
          </w:p>
        </w:tc>
        <w:tc>
          <w:tcPr>
            <w:tcW w:w="850" w:type="dxa"/>
            <w:tcBorders>
              <w:top w:val="nil"/>
              <w:left w:val="nil"/>
              <w:bottom w:val="single" w:sz="4" w:space="0" w:color="auto"/>
              <w:right w:val="single" w:sz="4" w:space="0" w:color="auto"/>
            </w:tcBorders>
            <w:shd w:val="clear" w:color="auto" w:fill="auto"/>
            <w:noWrap/>
            <w:vAlign w:val="center"/>
            <w:hideMark/>
          </w:tcPr>
          <w:p w14:paraId="64B91A17" w14:textId="377D06DB"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7 273      </w:t>
            </w:r>
          </w:p>
        </w:tc>
        <w:tc>
          <w:tcPr>
            <w:tcW w:w="939" w:type="dxa"/>
            <w:gridSpan w:val="2"/>
            <w:tcBorders>
              <w:top w:val="nil"/>
              <w:left w:val="nil"/>
              <w:bottom w:val="single" w:sz="4" w:space="0" w:color="auto"/>
              <w:right w:val="single" w:sz="4" w:space="0" w:color="auto"/>
            </w:tcBorders>
            <w:shd w:val="clear" w:color="auto" w:fill="auto"/>
            <w:vAlign w:val="center"/>
            <w:hideMark/>
          </w:tcPr>
          <w:p w14:paraId="2C2AD174" w14:textId="0163C99F" w:rsidR="00BE0648" w:rsidRPr="006A7978" w:rsidRDefault="00BE0648" w:rsidP="00974A4C">
            <w:pPr>
              <w:jc w:val="center"/>
              <w:rPr>
                <w:rFonts w:asciiTheme="minorHAnsi" w:hAnsiTheme="minorHAnsi"/>
                <w:color w:val="000000"/>
                <w:sz w:val="20"/>
                <w:szCs w:val="20"/>
              </w:rPr>
            </w:pPr>
            <w:r w:rsidRPr="00974A4C">
              <w:rPr>
                <w:rFonts w:asciiTheme="minorHAnsi" w:hAnsiTheme="minorHAnsi"/>
                <w:color w:val="000000"/>
                <w:sz w:val="20"/>
                <w:szCs w:val="20"/>
              </w:rPr>
              <w:t xml:space="preserve">5 737      </w:t>
            </w:r>
          </w:p>
        </w:tc>
      </w:tr>
      <w:tr w:rsidR="00BE0648" w:rsidRPr="006A7978" w14:paraId="195E86A1" w14:textId="77777777" w:rsidTr="006A7978">
        <w:trPr>
          <w:trHeight w:val="558"/>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27CD1A09" w14:textId="77777777" w:rsidR="00BE0648" w:rsidRPr="006A7978" w:rsidRDefault="00BE0648" w:rsidP="00BE0648">
            <w:pPr>
              <w:jc w:val="both"/>
              <w:rPr>
                <w:rFonts w:asciiTheme="minorHAnsi" w:hAnsiTheme="minorHAnsi"/>
                <w:color w:val="000000"/>
                <w:sz w:val="20"/>
                <w:szCs w:val="20"/>
              </w:rPr>
            </w:pPr>
            <w:r w:rsidRPr="006A7978">
              <w:rPr>
                <w:rFonts w:asciiTheme="minorHAnsi" w:hAnsiTheme="minorHAnsi"/>
                <w:color w:val="000000"/>
                <w:sz w:val="20"/>
                <w:szCs w:val="20"/>
              </w:rPr>
              <w:t>Estimation du nombre d'enfants nés de mères séropositives attendus (97%)</w:t>
            </w:r>
          </w:p>
        </w:tc>
        <w:tc>
          <w:tcPr>
            <w:tcW w:w="1188" w:type="dxa"/>
            <w:gridSpan w:val="2"/>
            <w:tcBorders>
              <w:top w:val="nil"/>
              <w:left w:val="nil"/>
              <w:bottom w:val="single" w:sz="4" w:space="0" w:color="auto"/>
              <w:right w:val="single" w:sz="4" w:space="0" w:color="auto"/>
            </w:tcBorders>
            <w:shd w:val="clear" w:color="auto" w:fill="auto"/>
            <w:noWrap/>
            <w:vAlign w:val="center"/>
            <w:hideMark/>
          </w:tcPr>
          <w:p w14:paraId="026C86B2" w14:textId="1B4625B1"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6 117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878005B" w14:textId="6D20B7D0"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5 815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B2648C" w14:textId="1B388F77"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6 849      </w:t>
            </w:r>
          </w:p>
        </w:tc>
        <w:tc>
          <w:tcPr>
            <w:tcW w:w="850" w:type="dxa"/>
            <w:tcBorders>
              <w:top w:val="nil"/>
              <w:left w:val="nil"/>
              <w:bottom w:val="single" w:sz="4" w:space="0" w:color="auto"/>
              <w:right w:val="single" w:sz="4" w:space="0" w:color="auto"/>
            </w:tcBorders>
            <w:shd w:val="clear" w:color="auto" w:fill="auto"/>
            <w:noWrap/>
            <w:vAlign w:val="center"/>
            <w:hideMark/>
          </w:tcPr>
          <w:p w14:paraId="2CC83643" w14:textId="63E48718"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7 055      </w:t>
            </w:r>
          </w:p>
        </w:tc>
        <w:tc>
          <w:tcPr>
            <w:tcW w:w="939" w:type="dxa"/>
            <w:gridSpan w:val="2"/>
            <w:tcBorders>
              <w:top w:val="nil"/>
              <w:left w:val="nil"/>
              <w:bottom w:val="single" w:sz="4" w:space="0" w:color="auto"/>
              <w:right w:val="single" w:sz="4" w:space="0" w:color="auto"/>
            </w:tcBorders>
            <w:shd w:val="clear" w:color="auto" w:fill="auto"/>
            <w:noWrap/>
            <w:vAlign w:val="center"/>
            <w:hideMark/>
          </w:tcPr>
          <w:p w14:paraId="17D6754B" w14:textId="2F521373" w:rsidR="00BE0648" w:rsidRPr="006A7978" w:rsidRDefault="00BE0648" w:rsidP="00974A4C">
            <w:pPr>
              <w:jc w:val="center"/>
              <w:rPr>
                <w:rFonts w:asciiTheme="minorHAnsi" w:hAnsiTheme="minorHAnsi"/>
                <w:color w:val="000000"/>
                <w:sz w:val="20"/>
                <w:szCs w:val="20"/>
              </w:rPr>
            </w:pPr>
            <w:r w:rsidRPr="00974A4C">
              <w:rPr>
                <w:rFonts w:asciiTheme="minorHAnsi" w:hAnsiTheme="minorHAnsi"/>
                <w:color w:val="000000"/>
                <w:sz w:val="20"/>
                <w:szCs w:val="20"/>
              </w:rPr>
              <w:t xml:space="preserve">5 565      </w:t>
            </w:r>
          </w:p>
        </w:tc>
      </w:tr>
      <w:tr w:rsidR="00BE0648" w:rsidRPr="006A7978" w14:paraId="5F5FEDFF" w14:textId="77777777" w:rsidTr="00A5304A">
        <w:trPr>
          <w:trHeight w:val="320"/>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5A5F93CC" w14:textId="77777777" w:rsidR="00BE0648" w:rsidRPr="006A7978" w:rsidRDefault="00BE0648" w:rsidP="00BE0648">
            <w:pPr>
              <w:jc w:val="both"/>
              <w:rPr>
                <w:rFonts w:asciiTheme="minorHAnsi" w:hAnsiTheme="minorHAnsi"/>
                <w:color w:val="000000"/>
                <w:sz w:val="20"/>
                <w:szCs w:val="20"/>
              </w:rPr>
            </w:pPr>
            <w:r w:rsidRPr="006A7978">
              <w:rPr>
                <w:rFonts w:asciiTheme="minorHAnsi" w:hAnsiTheme="minorHAnsi"/>
                <w:color w:val="000000"/>
                <w:sz w:val="20"/>
                <w:szCs w:val="20"/>
              </w:rPr>
              <w:t xml:space="preserve"> Effectif des femmes enceintes testées séropositives </w:t>
            </w:r>
          </w:p>
        </w:tc>
        <w:tc>
          <w:tcPr>
            <w:tcW w:w="1188" w:type="dxa"/>
            <w:gridSpan w:val="2"/>
            <w:tcBorders>
              <w:top w:val="nil"/>
              <w:left w:val="nil"/>
              <w:bottom w:val="single" w:sz="4" w:space="0" w:color="auto"/>
              <w:right w:val="single" w:sz="4" w:space="0" w:color="auto"/>
            </w:tcBorders>
            <w:shd w:val="clear" w:color="auto" w:fill="auto"/>
            <w:noWrap/>
            <w:vAlign w:val="center"/>
            <w:hideMark/>
          </w:tcPr>
          <w:p w14:paraId="1FB5D3A0" w14:textId="42682E5E"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2 391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D8464CA" w14:textId="31C7ACF5"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2 010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B1B4DAE" w14:textId="5443008E"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1 997      </w:t>
            </w:r>
          </w:p>
        </w:tc>
        <w:tc>
          <w:tcPr>
            <w:tcW w:w="850" w:type="dxa"/>
            <w:tcBorders>
              <w:top w:val="nil"/>
              <w:left w:val="nil"/>
              <w:bottom w:val="single" w:sz="4" w:space="0" w:color="auto"/>
              <w:right w:val="single" w:sz="4" w:space="0" w:color="auto"/>
            </w:tcBorders>
            <w:shd w:val="clear" w:color="auto" w:fill="auto"/>
            <w:noWrap/>
            <w:vAlign w:val="center"/>
            <w:hideMark/>
          </w:tcPr>
          <w:p w14:paraId="6180042B" w14:textId="2979215A"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2 887      </w:t>
            </w:r>
          </w:p>
        </w:tc>
        <w:tc>
          <w:tcPr>
            <w:tcW w:w="939" w:type="dxa"/>
            <w:gridSpan w:val="2"/>
            <w:tcBorders>
              <w:top w:val="nil"/>
              <w:left w:val="nil"/>
              <w:bottom w:val="single" w:sz="4" w:space="0" w:color="auto"/>
              <w:right w:val="single" w:sz="4" w:space="0" w:color="auto"/>
            </w:tcBorders>
            <w:shd w:val="clear" w:color="auto" w:fill="auto"/>
            <w:vAlign w:val="center"/>
            <w:hideMark/>
          </w:tcPr>
          <w:p w14:paraId="072CDE7C" w14:textId="7AC0EA7B" w:rsidR="00BE0648" w:rsidRPr="006A7978" w:rsidRDefault="00BE0648" w:rsidP="00974A4C">
            <w:pPr>
              <w:jc w:val="center"/>
              <w:rPr>
                <w:rFonts w:asciiTheme="minorHAnsi" w:hAnsiTheme="minorHAnsi"/>
                <w:color w:val="000000"/>
                <w:sz w:val="20"/>
                <w:szCs w:val="20"/>
              </w:rPr>
            </w:pPr>
            <w:r w:rsidRPr="00974A4C">
              <w:rPr>
                <w:rFonts w:asciiTheme="minorHAnsi" w:hAnsiTheme="minorHAnsi"/>
                <w:color w:val="000000"/>
                <w:sz w:val="20"/>
                <w:szCs w:val="20"/>
              </w:rPr>
              <w:t xml:space="preserve">3 110      </w:t>
            </w:r>
          </w:p>
        </w:tc>
      </w:tr>
      <w:tr w:rsidR="00BE0648" w:rsidRPr="006A7978" w14:paraId="5CCAE074" w14:textId="77777777" w:rsidTr="00A5304A">
        <w:trPr>
          <w:trHeight w:val="320"/>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7E3A3D41" w14:textId="77777777" w:rsidR="00BE0648" w:rsidRPr="006A7978" w:rsidRDefault="00BE0648" w:rsidP="00BE0648">
            <w:pPr>
              <w:jc w:val="both"/>
              <w:rPr>
                <w:rFonts w:asciiTheme="minorHAnsi" w:hAnsiTheme="minorHAnsi"/>
                <w:color w:val="000000"/>
                <w:sz w:val="20"/>
                <w:szCs w:val="20"/>
              </w:rPr>
            </w:pPr>
            <w:r w:rsidRPr="006A7978">
              <w:rPr>
                <w:rFonts w:asciiTheme="minorHAnsi" w:hAnsiTheme="minorHAnsi"/>
                <w:color w:val="000000"/>
                <w:sz w:val="20"/>
                <w:szCs w:val="20"/>
              </w:rPr>
              <w:t xml:space="preserve"> Effectif des femmes enceintes sous ARV </w:t>
            </w:r>
          </w:p>
        </w:tc>
        <w:tc>
          <w:tcPr>
            <w:tcW w:w="1188" w:type="dxa"/>
            <w:gridSpan w:val="2"/>
            <w:tcBorders>
              <w:top w:val="nil"/>
              <w:left w:val="nil"/>
              <w:bottom w:val="single" w:sz="4" w:space="0" w:color="auto"/>
              <w:right w:val="single" w:sz="4" w:space="0" w:color="auto"/>
            </w:tcBorders>
            <w:shd w:val="clear" w:color="auto" w:fill="auto"/>
            <w:noWrap/>
            <w:vAlign w:val="center"/>
            <w:hideMark/>
          </w:tcPr>
          <w:p w14:paraId="1B4CDCDA" w14:textId="4E2A9C64"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3 921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EC162F2" w14:textId="6D32BA86"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3 961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FDD042" w14:textId="76A9DA90"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1 774      </w:t>
            </w:r>
          </w:p>
        </w:tc>
        <w:tc>
          <w:tcPr>
            <w:tcW w:w="850" w:type="dxa"/>
            <w:tcBorders>
              <w:top w:val="nil"/>
              <w:left w:val="nil"/>
              <w:bottom w:val="single" w:sz="4" w:space="0" w:color="auto"/>
              <w:right w:val="single" w:sz="4" w:space="0" w:color="auto"/>
            </w:tcBorders>
            <w:shd w:val="clear" w:color="auto" w:fill="auto"/>
            <w:noWrap/>
            <w:vAlign w:val="center"/>
            <w:hideMark/>
          </w:tcPr>
          <w:p w14:paraId="232B2EA6" w14:textId="27014467"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2 887      </w:t>
            </w:r>
          </w:p>
        </w:tc>
        <w:tc>
          <w:tcPr>
            <w:tcW w:w="939" w:type="dxa"/>
            <w:gridSpan w:val="2"/>
            <w:tcBorders>
              <w:top w:val="nil"/>
              <w:left w:val="nil"/>
              <w:bottom w:val="single" w:sz="4" w:space="0" w:color="auto"/>
              <w:right w:val="single" w:sz="4" w:space="0" w:color="auto"/>
            </w:tcBorders>
            <w:shd w:val="clear" w:color="auto" w:fill="auto"/>
            <w:vAlign w:val="center"/>
            <w:hideMark/>
          </w:tcPr>
          <w:p w14:paraId="4AA95266" w14:textId="55F06A5E" w:rsidR="00BE0648" w:rsidRPr="006A7978" w:rsidRDefault="00BE0648" w:rsidP="00974A4C">
            <w:pPr>
              <w:jc w:val="center"/>
              <w:rPr>
                <w:rFonts w:asciiTheme="minorHAnsi" w:hAnsiTheme="minorHAnsi"/>
                <w:color w:val="000000"/>
                <w:sz w:val="20"/>
                <w:szCs w:val="20"/>
              </w:rPr>
            </w:pPr>
            <w:r w:rsidRPr="00974A4C">
              <w:rPr>
                <w:rFonts w:asciiTheme="minorHAnsi" w:hAnsiTheme="minorHAnsi"/>
                <w:color w:val="000000"/>
                <w:sz w:val="20"/>
                <w:szCs w:val="20"/>
              </w:rPr>
              <w:t xml:space="preserve">2 424      </w:t>
            </w:r>
          </w:p>
        </w:tc>
      </w:tr>
      <w:tr w:rsidR="00BE0648" w:rsidRPr="006A7978" w14:paraId="0FA6FD54" w14:textId="77777777" w:rsidTr="006A7978">
        <w:trPr>
          <w:trHeight w:val="590"/>
        </w:trPr>
        <w:tc>
          <w:tcPr>
            <w:tcW w:w="4252" w:type="dxa"/>
            <w:tcBorders>
              <w:top w:val="nil"/>
              <w:left w:val="single" w:sz="4" w:space="0" w:color="auto"/>
              <w:bottom w:val="single" w:sz="4" w:space="0" w:color="auto"/>
              <w:right w:val="single" w:sz="4" w:space="0" w:color="auto"/>
            </w:tcBorders>
            <w:shd w:val="clear" w:color="auto" w:fill="auto"/>
            <w:noWrap/>
            <w:vAlign w:val="center"/>
            <w:hideMark/>
          </w:tcPr>
          <w:p w14:paraId="6E11B454" w14:textId="77777777" w:rsidR="00BE0648" w:rsidRPr="006A7978" w:rsidRDefault="00BE0648" w:rsidP="00BE0648">
            <w:pPr>
              <w:jc w:val="both"/>
              <w:rPr>
                <w:rFonts w:asciiTheme="minorHAnsi" w:hAnsiTheme="minorHAnsi"/>
                <w:color w:val="000000"/>
                <w:sz w:val="20"/>
                <w:szCs w:val="20"/>
              </w:rPr>
            </w:pPr>
            <w:r w:rsidRPr="006A7978">
              <w:rPr>
                <w:rFonts w:asciiTheme="minorHAnsi" w:hAnsiTheme="minorHAnsi"/>
                <w:color w:val="000000"/>
                <w:sz w:val="20"/>
                <w:szCs w:val="20"/>
              </w:rPr>
              <w:t xml:space="preserve"> Effectif des enfants nés de mères séropositives et sous ARV </w:t>
            </w:r>
          </w:p>
        </w:tc>
        <w:tc>
          <w:tcPr>
            <w:tcW w:w="1188" w:type="dxa"/>
            <w:gridSpan w:val="2"/>
            <w:tcBorders>
              <w:top w:val="nil"/>
              <w:left w:val="nil"/>
              <w:bottom w:val="single" w:sz="4" w:space="0" w:color="auto"/>
              <w:right w:val="single" w:sz="4" w:space="0" w:color="auto"/>
            </w:tcBorders>
            <w:shd w:val="clear" w:color="auto" w:fill="auto"/>
            <w:noWrap/>
            <w:vAlign w:val="center"/>
            <w:hideMark/>
          </w:tcPr>
          <w:p w14:paraId="383FF3D3" w14:textId="53BE8FF4"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1 093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879C27E" w14:textId="50A5657F"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1 214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2271146" w14:textId="74339B84"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2 037      </w:t>
            </w:r>
          </w:p>
        </w:tc>
        <w:tc>
          <w:tcPr>
            <w:tcW w:w="850" w:type="dxa"/>
            <w:tcBorders>
              <w:top w:val="nil"/>
              <w:left w:val="nil"/>
              <w:bottom w:val="single" w:sz="4" w:space="0" w:color="auto"/>
              <w:right w:val="single" w:sz="4" w:space="0" w:color="auto"/>
            </w:tcBorders>
            <w:shd w:val="clear" w:color="auto" w:fill="auto"/>
            <w:noWrap/>
            <w:vAlign w:val="center"/>
            <w:hideMark/>
          </w:tcPr>
          <w:p w14:paraId="6FCE786D" w14:textId="7AE203BF" w:rsidR="00BE0648" w:rsidRPr="006A7978" w:rsidRDefault="00BE0648" w:rsidP="00BE0648">
            <w:pPr>
              <w:jc w:val="center"/>
              <w:rPr>
                <w:rFonts w:asciiTheme="minorHAnsi" w:hAnsiTheme="minorHAnsi"/>
                <w:color w:val="000000"/>
                <w:sz w:val="20"/>
                <w:szCs w:val="20"/>
              </w:rPr>
            </w:pPr>
            <w:r w:rsidRPr="006A7978">
              <w:rPr>
                <w:rFonts w:asciiTheme="minorHAnsi" w:hAnsiTheme="minorHAnsi"/>
                <w:color w:val="000000"/>
                <w:sz w:val="20"/>
                <w:szCs w:val="20"/>
              </w:rPr>
              <w:t xml:space="preserve">2 584      </w:t>
            </w:r>
          </w:p>
        </w:tc>
        <w:tc>
          <w:tcPr>
            <w:tcW w:w="939" w:type="dxa"/>
            <w:gridSpan w:val="2"/>
            <w:tcBorders>
              <w:top w:val="nil"/>
              <w:left w:val="nil"/>
              <w:bottom w:val="single" w:sz="4" w:space="0" w:color="auto"/>
              <w:right w:val="single" w:sz="4" w:space="0" w:color="auto"/>
            </w:tcBorders>
            <w:shd w:val="clear" w:color="auto" w:fill="auto"/>
            <w:vAlign w:val="center"/>
            <w:hideMark/>
          </w:tcPr>
          <w:p w14:paraId="5EEEF12C" w14:textId="032D7164" w:rsidR="00BE0648" w:rsidRPr="006A7978" w:rsidRDefault="00BE0648" w:rsidP="00974A4C">
            <w:pPr>
              <w:jc w:val="center"/>
              <w:rPr>
                <w:rFonts w:asciiTheme="minorHAnsi" w:hAnsiTheme="minorHAnsi"/>
                <w:color w:val="000000"/>
                <w:sz w:val="20"/>
                <w:szCs w:val="20"/>
              </w:rPr>
            </w:pPr>
            <w:r w:rsidRPr="00F34C26">
              <w:rPr>
                <w:rFonts w:asciiTheme="minorHAnsi" w:hAnsiTheme="minorHAnsi"/>
                <w:color w:val="C00000"/>
                <w:sz w:val="20"/>
                <w:szCs w:val="20"/>
              </w:rPr>
              <w:t xml:space="preserve">394 </w:t>
            </w:r>
            <w:r w:rsidRPr="00974A4C">
              <w:rPr>
                <w:rFonts w:asciiTheme="minorHAnsi" w:hAnsiTheme="minorHAnsi"/>
                <w:color w:val="000000"/>
                <w:sz w:val="20"/>
                <w:szCs w:val="20"/>
              </w:rPr>
              <w:t xml:space="preserve">     </w:t>
            </w:r>
          </w:p>
        </w:tc>
      </w:tr>
      <w:tr w:rsidR="00CE1F1E" w:rsidRPr="006A7978" w14:paraId="0B0121BB" w14:textId="77777777" w:rsidTr="00A5304A">
        <w:trPr>
          <w:trHeight w:val="320"/>
        </w:trPr>
        <w:tc>
          <w:tcPr>
            <w:tcW w:w="9497" w:type="dxa"/>
            <w:gridSpan w:val="10"/>
            <w:tcBorders>
              <w:top w:val="single" w:sz="4" w:space="0" w:color="B2B2B2"/>
              <w:left w:val="single" w:sz="4" w:space="0" w:color="B2B2B2"/>
              <w:bottom w:val="single" w:sz="4" w:space="0" w:color="B2B2B2"/>
              <w:right w:val="single" w:sz="4" w:space="0" w:color="B2B2B2"/>
            </w:tcBorders>
            <w:shd w:val="clear" w:color="000000" w:fill="FFFFCC"/>
            <w:noWrap/>
            <w:vAlign w:val="center"/>
            <w:hideMark/>
          </w:tcPr>
          <w:p w14:paraId="145138EA" w14:textId="4BB6ACB3" w:rsidR="00CE1F1E" w:rsidRPr="006A7978" w:rsidRDefault="00CE1F1E">
            <w:pPr>
              <w:jc w:val="center"/>
              <w:rPr>
                <w:rFonts w:asciiTheme="minorHAnsi" w:hAnsiTheme="minorHAnsi"/>
                <w:color w:val="000000"/>
                <w:sz w:val="20"/>
                <w:szCs w:val="20"/>
              </w:rPr>
            </w:pPr>
            <w:r w:rsidRPr="006A7978">
              <w:rPr>
                <w:rFonts w:asciiTheme="minorHAnsi" w:hAnsiTheme="minorHAnsi"/>
                <w:color w:val="000000"/>
                <w:sz w:val="20"/>
                <w:szCs w:val="20"/>
              </w:rPr>
              <w:t xml:space="preserve"> Principaux indicateurs PTME </w:t>
            </w:r>
          </w:p>
        </w:tc>
      </w:tr>
      <w:tr w:rsidR="00974A4C" w:rsidRPr="006A7978" w14:paraId="391B1033" w14:textId="77777777" w:rsidTr="00A5304A">
        <w:trPr>
          <w:trHeight w:val="320"/>
        </w:trPr>
        <w:tc>
          <w:tcPr>
            <w:tcW w:w="4252"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577C9AA" w14:textId="77777777" w:rsidR="00974A4C" w:rsidRPr="006A7978" w:rsidRDefault="00974A4C" w:rsidP="00974A4C">
            <w:pPr>
              <w:rPr>
                <w:rFonts w:asciiTheme="minorHAnsi" w:hAnsiTheme="minorHAnsi"/>
                <w:b/>
                <w:bCs/>
                <w:i/>
                <w:iCs/>
                <w:color w:val="000000"/>
                <w:sz w:val="20"/>
                <w:szCs w:val="20"/>
              </w:rPr>
            </w:pPr>
            <w:r w:rsidRPr="006A7978">
              <w:rPr>
                <w:rFonts w:asciiTheme="minorHAnsi" w:hAnsiTheme="minorHAnsi"/>
                <w:b/>
                <w:bCs/>
                <w:i/>
                <w:iCs/>
                <w:color w:val="000000"/>
                <w:sz w:val="20"/>
                <w:szCs w:val="20"/>
              </w:rPr>
              <w:t>Taux de fréquentation de la CPN1 </w:t>
            </w:r>
          </w:p>
        </w:tc>
        <w:tc>
          <w:tcPr>
            <w:tcW w:w="1134" w:type="dxa"/>
            <w:tcBorders>
              <w:top w:val="single" w:sz="4" w:space="0" w:color="auto"/>
              <w:left w:val="nil"/>
              <w:bottom w:val="single" w:sz="4" w:space="0" w:color="auto"/>
              <w:right w:val="single" w:sz="4" w:space="0" w:color="auto"/>
            </w:tcBorders>
            <w:shd w:val="clear" w:color="000000" w:fill="E7E6E6"/>
            <w:noWrap/>
            <w:vAlign w:val="bottom"/>
            <w:hideMark/>
          </w:tcPr>
          <w:p w14:paraId="1F806A95" w14:textId="77777777" w:rsidR="00974A4C" w:rsidRPr="006A7978" w:rsidRDefault="00974A4C" w:rsidP="00974A4C">
            <w:pPr>
              <w:jc w:val="center"/>
              <w:rPr>
                <w:rFonts w:asciiTheme="minorHAnsi" w:hAnsiTheme="minorHAnsi"/>
                <w:color w:val="000000"/>
                <w:sz w:val="20"/>
                <w:szCs w:val="20"/>
              </w:rPr>
            </w:pPr>
            <w:r w:rsidRPr="006A7978">
              <w:rPr>
                <w:rFonts w:asciiTheme="minorHAnsi" w:hAnsiTheme="minorHAnsi"/>
                <w:color w:val="000000"/>
                <w:sz w:val="20"/>
                <w:szCs w:val="20"/>
              </w:rPr>
              <w:t>20%</w:t>
            </w:r>
          </w:p>
        </w:tc>
        <w:tc>
          <w:tcPr>
            <w:tcW w:w="1134"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1C859838" w14:textId="77777777" w:rsidR="00974A4C" w:rsidRPr="006A7978" w:rsidRDefault="00974A4C" w:rsidP="00974A4C">
            <w:pPr>
              <w:jc w:val="center"/>
              <w:rPr>
                <w:rFonts w:asciiTheme="minorHAnsi" w:hAnsiTheme="minorHAnsi"/>
                <w:color w:val="000000"/>
                <w:sz w:val="20"/>
                <w:szCs w:val="20"/>
              </w:rPr>
            </w:pPr>
            <w:r w:rsidRPr="006A7978">
              <w:rPr>
                <w:rFonts w:asciiTheme="minorHAnsi" w:hAnsiTheme="minorHAnsi"/>
                <w:color w:val="000000"/>
                <w:sz w:val="20"/>
                <w:szCs w:val="20"/>
              </w:rPr>
              <w:t>25%</w:t>
            </w:r>
          </w:p>
        </w:tc>
        <w:tc>
          <w:tcPr>
            <w:tcW w:w="1134" w:type="dxa"/>
            <w:gridSpan w:val="2"/>
            <w:tcBorders>
              <w:top w:val="single" w:sz="4" w:space="0" w:color="auto"/>
              <w:left w:val="nil"/>
              <w:bottom w:val="single" w:sz="4" w:space="0" w:color="auto"/>
              <w:right w:val="single" w:sz="4" w:space="0" w:color="auto"/>
            </w:tcBorders>
            <w:shd w:val="clear" w:color="000000" w:fill="E7E6E6"/>
            <w:noWrap/>
            <w:vAlign w:val="bottom"/>
            <w:hideMark/>
          </w:tcPr>
          <w:p w14:paraId="4C2D57C3" w14:textId="77777777" w:rsidR="00974A4C" w:rsidRPr="006A7978" w:rsidRDefault="00974A4C" w:rsidP="00974A4C">
            <w:pPr>
              <w:jc w:val="center"/>
              <w:rPr>
                <w:rFonts w:asciiTheme="minorHAnsi" w:hAnsiTheme="minorHAnsi"/>
                <w:color w:val="000000"/>
                <w:sz w:val="20"/>
                <w:szCs w:val="20"/>
              </w:rPr>
            </w:pPr>
            <w:r w:rsidRPr="006A7978">
              <w:rPr>
                <w:rFonts w:asciiTheme="minorHAnsi" w:hAnsiTheme="minorHAnsi"/>
                <w:color w:val="000000"/>
                <w:sz w:val="20"/>
                <w:szCs w:val="20"/>
              </w:rPr>
              <w:t>42%</w:t>
            </w:r>
          </w:p>
        </w:tc>
        <w:tc>
          <w:tcPr>
            <w:tcW w:w="992" w:type="dxa"/>
            <w:gridSpan w:val="3"/>
            <w:tcBorders>
              <w:top w:val="single" w:sz="4" w:space="0" w:color="auto"/>
              <w:left w:val="nil"/>
              <w:bottom w:val="single" w:sz="4" w:space="0" w:color="auto"/>
              <w:right w:val="single" w:sz="4" w:space="0" w:color="auto"/>
            </w:tcBorders>
            <w:shd w:val="clear" w:color="000000" w:fill="E7E6E6"/>
            <w:noWrap/>
            <w:vAlign w:val="bottom"/>
            <w:hideMark/>
          </w:tcPr>
          <w:p w14:paraId="028CAF42" w14:textId="77777777" w:rsidR="00974A4C" w:rsidRPr="006A7978" w:rsidRDefault="00974A4C" w:rsidP="00974A4C">
            <w:pPr>
              <w:jc w:val="center"/>
              <w:rPr>
                <w:rFonts w:asciiTheme="minorHAnsi" w:hAnsiTheme="minorHAnsi"/>
                <w:color w:val="000000"/>
                <w:sz w:val="20"/>
                <w:szCs w:val="20"/>
              </w:rPr>
            </w:pPr>
            <w:r w:rsidRPr="006A7978">
              <w:rPr>
                <w:rFonts w:asciiTheme="minorHAnsi" w:hAnsiTheme="minorHAnsi"/>
                <w:color w:val="000000"/>
                <w:sz w:val="20"/>
                <w:szCs w:val="20"/>
              </w:rPr>
              <w:t>54%</w:t>
            </w:r>
          </w:p>
        </w:tc>
        <w:tc>
          <w:tcPr>
            <w:tcW w:w="851" w:type="dxa"/>
            <w:tcBorders>
              <w:top w:val="single" w:sz="4" w:space="0" w:color="auto"/>
              <w:left w:val="nil"/>
              <w:bottom w:val="single" w:sz="4" w:space="0" w:color="auto"/>
              <w:right w:val="single" w:sz="4" w:space="0" w:color="auto"/>
            </w:tcBorders>
            <w:shd w:val="clear" w:color="000000" w:fill="E7E6E6"/>
            <w:noWrap/>
            <w:vAlign w:val="bottom"/>
          </w:tcPr>
          <w:p w14:paraId="6A2C1B2A" w14:textId="3291D478" w:rsidR="00974A4C" w:rsidRPr="006A7978" w:rsidRDefault="00974A4C" w:rsidP="00974A4C">
            <w:pPr>
              <w:jc w:val="center"/>
              <w:rPr>
                <w:rFonts w:asciiTheme="minorHAnsi" w:hAnsiTheme="minorHAnsi"/>
                <w:color w:val="000000"/>
                <w:sz w:val="20"/>
                <w:szCs w:val="20"/>
              </w:rPr>
            </w:pPr>
            <w:r w:rsidRPr="00974A4C">
              <w:rPr>
                <w:rFonts w:asciiTheme="minorHAnsi" w:hAnsiTheme="minorHAnsi"/>
                <w:color w:val="000000"/>
                <w:sz w:val="20"/>
                <w:szCs w:val="20"/>
              </w:rPr>
              <w:t>69%</w:t>
            </w:r>
          </w:p>
        </w:tc>
      </w:tr>
      <w:tr w:rsidR="00974A4C" w:rsidRPr="006A7978" w14:paraId="641911ED" w14:textId="77777777" w:rsidTr="00A5304A">
        <w:trPr>
          <w:trHeight w:val="320"/>
        </w:trPr>
        <w:tc>
          <w:tcPr>
            <w:tcW w:w="4252" w:type="dxa"/>
            <w:tcBorders>
              <w:top w:val="nil"/>
              <w:left w:val="single" w:sz="4" w:space="0" w:color="auto"/>
              <w:bottom w:val="single" w:sz="4" w:space="0" w:color="auto"/>
              <w:right w:val="single" w:sz="4" w:space="0" w:color="auto"/>
            </w:tcBorders>
            <w:shd w:val="clear" w:color="000000" w:fill="E7E6E6"/>
            <w:noWrap/>
            <w:vAlign w:val="center"/>
            <w:hideMark/>
          </w:tcPr>
          <w:p w14:paraId="5E493B42" w14:textId="77777777" w:rsidR="00974A4C" w:rsidRPr="006A7978" w:rsidRDefault="00974A4C" w:rsidP="00974A4C">
            <w:pPr>
              <w:rPr>
                <w:rFonts w:asciiTheme="minorHAnsi" w:hAnsiTheme="minorHAnsi"/>
                <w:b/>
                <w:bCs/>
                <w:i/>
                <w:iCs/>
                <w:color w:val="000000"/>
                <w:sz w:val="20"/>
                <w:szCs w:val="20"/>
              </w:rPr>
            </w:pPr>
            <w:r w:rsidRPr="006A7978">
              <w:rPr>
                <w:rFonts w:asciiTheme="minorHAnsi" w:hAnsiTheme="minorHAnsi"/>
                <w:b/>
                <w:bCs/>
                <w:i/>
                <w:iCs/>
                <w:color w:val="000000"/>
                <w:sz w:val="20"/>
                <w:szCs w:val="20"/>
              </w:rPr>
              <w:t>Pourcentage des femmes testées en CPN1 (attendu)</w:t>
            </w:r>
          </w:p>
        </w:tc>
        <w:tc>
          <w:tcPr>
            <w:tcW w:w="1134" w:type="dxa"/>
            <w:tcBorders>
              <w:top w:val="nil"/>
              <w:left w:val="nil"/>
              <w:bottom w:val="single" w:sz="4" w:space="0" w:color="auto"/>
              <w:right w:val="single" w:sz="4" w:space="0" w:color="auto"/>
            </w:tcBorders>
            <w:shd w:val="clear" w:color="000000" w:fill="E7E6E6"/>
            <w:noWrap/>
            <w:vAlign w:val="center"/>
            <w:hideMark/>
          </w:tcPr>
          <w:p w14:paraId="3A733ECD"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12%</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723D008F"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14%</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294B4FBB"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31%</w:t>
            </w:r>
          </w:p>
        </w:tc>
        <w:tc>
          <w:tcPr>
            <w:tcW w:w="992" w:type="dxa"/>
            <w:gridSpan w:val="3"/>
            <w:tcBorders>
              <w:top w:val="nil"/>
              <w:left w:val="nil"/>
              <w:bottom w:val="single" w:sz="4" w:space="0" w:color="auto"/>
              <w:right w:val="single" w:sz="4" w:space="0" w:color="auto"/>
            </w:tcBorders>
            <w:shd w:val="clear" w:color="000000" w:fill="E7E6E6"/>
            <w:noWrap/>
            <w:vAlign w:val="center"/>
            <w:hideMark/>
          </w:tcPr>
          <w:p w14:paraId="493E946C"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36%</w:t>
            </w:r>
          </w:p>
        </w:tc>
        <w:tc>
          <w:tcPr>
            <w:tcW w:w="851" w:type="dxa"/>
            <w:tcBorders>
              <w:top w:val="nil"/>
              <w:left w:val="nil"/>
              <w:bottom w:val="single" w:sz="4" w:space="0" w:color="auto"/>
              <w:right w:val="single" w:sz="4" w:space="0" w:color="auto"/>
            </w:tcBorders>
            <w:shd w:val="clear" w:color="000000" w:fill="E7E6E6"/>
            <w:noWrap/>
            <w:vAlign w:val="center"/>
          </w:tcPr>
          <w:p w14:paraId="00D0C4C3" w14:textId="44AACABD" w:rsidR="00974A4C" w:rsidRPr="00974A4C" w:rsidRDefault="00974A4C" w:rsidP="00974A4C">
            <w:pPr>
              <w:jc w:val="center"/>
              <w:rPr>
                <w:rFonts w:asciiTheme="minorHAnsi" w:hAnsiTheme="minorHAnsi"/>
                <w:color w:val="000000"/>
                <w:sz w:val="20"/>
                <w:szCs w:val="20"/>
              </w:rPr>
            </w:pPr>
            <w:r w:rsidRPr="00974A4C">
              <w:rPr>
                <w:rFonts w:asciiTheme="minorHAnsi" w:hAnsiTheme="minorHAnsi"/>
                <w:color w:val="000000"/>
                <w:sz w:val="20"/>
                <w:szCs w:val="20"/>
              </w:rPr>
              <w:t>44%</w:t>
            </w:r>
          </w:p>
        </w:tc>
      </w:tr>
      <w:tr w:rsidR="00974A4C" w:rsidRPr="006A7978" w14:paraId="6F216EB3" w14:textId="77777777" w:rsidTr="00A5304A">
        <w:trPr>
          <w:trHeight w:val="320"/>
        </w:trPr>
        <w:tc>
          <w:tcPr>
            <w:tcW w:w="4252" w:type="dxa"/>
            <w:tcBorders>
              <w:top w:val="nil"/>
              <w:left w:val="single" w:sz="4" w:space="0" w:color="auto"/>
              <w:bottom w:val="single" w:sz="4" w:space="0" w:color="auto"/>
              <w:right w:val="single" w:sz="4" w:space="0" w:color="auto"/>
            </w:tcBorders>
            <w:shd w:val="clear" w:color="000000" w:fill="E7E6E6"/>
            <w:noWrap/>
            <w:vAlign w:val="center"/>
            <w:hideMark/>
          </w:tcPr>
          <w:p w14:paraId="30D1ADEE" w14:textId="77777777" w:rsidR="00974A4C" w:rsidRPr="006A7978" w:rsidRDefault="00974A4C" w:rsidP="00974A4C">
            <w:pPr>
              <w:rPr>
                <w:rFonts w:asciiTheme="minorHAnsi" w:hAnsiTheme="minorHAnsi"/>
                <w:b/>
                <w:bCs/>
                <w:i/>
                <w:iCs/>
                <w:color w:val="000000"/>
                <w:sz w:val="20"/>
                <w:szCs w:val="20"/>
              </w:rPr>
            </w:pPr>
            <w:r w:rsidRPr="006A7978">
              <w:rPr>
                <w:rFonts w:asciiTheme="minorHAnsi" w:hAnsiTheme="minorHAnsi"/>
                <w:b/>
                <w:bCs/>
                <w:i/>
                <w:iCs/>
                <w:color w:val="000000"/>
                <w:sz w:val="20"/>
                <w:szCs w:val="20"/>
              </w:rPr>
              <w:t>Taux d'acceptation du dépistage</w:t>
            </w:r>
          </w:p>
        </w:tc>
        <w:tc>
          <w:tcPr>
            <w:tcW w:w="1134" w:type="dxa"/>
            <w:tcBorders>
              <w:top w:val="nil"/>
              <w:left w:val="nil"/>
              <w:bottom w:val="single" w:sz="4" w:space="0" w:color="auto"/>
              <w:right w:val="single" w:sz="4" w:space="0" w:color="auto"/>
            </w:tcBorders>
            <w:shd w:val="clear" w:color="000000" w:fill="E7E6E6"/>
            <w:noWrap/>
            <w:vAlign w:val="center"/>
            <w:hideMark/>
          </w:tcPr>
          <w:p w14:paraId="770A59ED"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59%</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6328CA76"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47%</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2EEC0A54"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60%</w:t>
            </w:r>
          </w:p>
        </w:tc>
        <w:tc>
          <w:tcPr>
            <w:tcW w:w="992" w:type="dxa"/>
            <w:gridSpan w:val="3"/>
            <w:tcBorders>
              <w:top w:val="nil"/>
              <w:left w:val="nil"/>
              <w:bottom w:val="single" w:sz="4" w:space="0" w:color="auto"/>
              <w:right w:val="single" w:sz="4" w:space="0" w:color="auto"/>
            </w:tcBorders>
            <w:shd w:val="clear" w:color="000000" w:fill="E7E6E6"/>
            <w:noWrap/>
            <w:vAlign w:val="center"/>
            <w:hideMark/>
          </w:tcPr>
          <w:p w14:paraId="3054FCDA"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64%</w:t>
            </w:r>
          </w:p>
        </w:tc>
        <w:tc>
          <w:tcPr>
            <w:tcW w:w="851" w:type="dxa"/>
            <w:tcBorders>
              <w:top w:val="nil"/>
              <w:left w:val="nil"/>
              <w:bottom w:val="single" w:sz="4" w:space="0" w:color="auto"/>
              <w:right w:val="single" w:sz="4" w:space="0" w:color="auto"/>
            </w:tcBorders>
            <w:shd w:val="clear" w:color="000000" w:fill="E7E6E6"/>
            <w:noWrap/>
            <w:vAlign w:val="center"/>
          </w:tcPr>
          <w:p w14:paraId="477503D9" w14:textId="673084C2" w:rsidR="00974A4C" w:rsidRPr="00974A4C" w:rsidRDefault="00974A4C" w:rsidP="00974A4C">
            <w:pPr>
              <w:jc w:val="center"/>
              <w:rPr>
                <w:rFonts w:asciiTheme="minorHAnsi" w:hAnsiTheme="minorHAnsi"/>
                <w:color w:val="000000"/>
                <w:sz w:val="20"/>
                <w:szCs w:val="20"/>
              </w:rPr>
            </w:pPr>
            <w:r w:rsidRPr="00974A4C">
              <w:rPr>
                <w:rFonts w:asciiTheme="minorHAnsi" w:hAnsiTheme="minorHAnsi"/>
                <w:color w:val="000000"/>
                <w:sz w:val="20"/>
                <w:szCs w:val="20"/>
              </w:rPr>
              <w:t>63%</w:t>
            </w:r>
          </w:p>
        </w:tc>
      </w:tr>
      <w:tr w:rsidR="00974A4C" w:rsidRPr="006A7978" w14:paraId="375447F2" w14:textId="77777777" w:rsidTr="00A5304A">
        <w:trPr>
          <w:trHeight w:val="320"/>
        </w:trPr>
        <w:tc>
          <w:tcPr>
            <w:tcW w:w="4252" w:type="dxa"/>
            <w:tcBorders>
              <w:top w:val="nil"/>
              <w:left w:val="single" w:sz="4" w:space="0" w:color="auto"/>
              <w:bottom w:val="single" w:sz="4" w:space="0" w:color="auto"/>
              <w:right w:val="single" w:sz="4" w:space="0" w:color="auto"/>
            </w:tcBorders>
            <w:shd w:val="clear" w:color="000000" w:fill="E7E6E6"/>
            <w:noWrap/>
            <w:vAlign w:val="center"/>
            <w:hideMark/>
          </w:tcPr>
          <w:p w14:paraId="70A0C52E" w14:textId="77777777" w:rsidR="00974A4C" w:rsidRPr="006A7978" w:rsidRDefault="00974A4C" w:rsidP="00974A4C">
            <w:pPr>
              <w:rPr>
                <w:rFonts w:asciiTheme="minorHAnsi" w:hAnsiTheme="minorHAnsi"/>
                <w:b/>
                <w:bCs/>
                <w:i/>
                <w:iCs/>
                <w:color w:val="000000"/>
                <w:sz w:val="20"/>
                <w:szCs w:val="20"/>
              </w:rPr>
            </w:pPr>
            <w:r w:rsidRPr="006A7978">
              <w:rPr>
                <w:rFonts w:asciiTheme="minorHAnsi" w:hAnsiTheme="minorHAnsi"/>
                <w:b/>
                <w:bCs/>
                <w:i/>
                <w:iCs/>
                <w:color w:val="000000"/>
                <w:sz w:val="20"/>
                <w:szCs w:val="20"/>
              </w:rPr>
              <w:t>Taux de réalisation de la cible du CSN</w:t>
            </w:r>
          </w:p>
        </w:tc>
        <w:tc>
          <w:tcPr>
            <w:tcW w:w="1134" w:type="dxa"/>
            <w:tcBorders>
              <w:top w:val="nil"/>
              <w:left w:val="nil"/>
              <w:bottom w:val="single" w:sz="4" w:space="0" w:color="auto"/>
              <w:right w:val="single" w:sz="4" w:space="0" w:color="auto"/>
            </w:tcBorders>
            <w:shd w:val="clear" w:color="000000" w:fill="E7E6E6"/>
            <w:noWrap/>
            <w:vAlign w:val="center"/>
            <w:hideMark/>
          </w:tcPr>
          <w:p w14:paraId="62B9752A"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23%</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7FD0A50B"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19%</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0258A092"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30%</w:t>
            </w:r>
          </w:p>
        </w:tc>
        <w:tc>
          <w:tcPr>
            <w:tcW w:w="992" w:type="dxa"/>
            <w:gridSpan w:val="3"/>
            <w:tcBorders>
              <w:top w:val="nil"/>
              <w:left w:val="nil"/>
              <w:bottom w:val="single" w:sz="4" w:space="0" w:color="auto"/>
              <w:right w:val="single" w:sz="4" w:space="0" w:color="auto"/>
            </w:tcBorders>
            <w:shd w:val="clear" w:color="000000" w:fill="E7E6E6"/>
            <w:noWrap/>
            <w:vAlign w:val="center"/>
            <w:hideMark/>
          </w:tcPr>
          <w:p w14:paraId="1D14A109"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37%</w:t>
            </w:r>
          </w:p>
        </w:tc>
        <w:tc>
          <w:tcPr>
            <w:tcW w:w="851" w:type="dxa"/>
            <w:tcBorders>
              <w:top w:val="nil"/>
              <w:left w:val="nil"/>
              <w:bottom w:val="single" w:sz="4" w:space="0" w:color="auto"/>
              <w:right w:val="single" w:sz="4" w:space="0" w:color="auto"/>
            </w:tcBorders>
            <w:shd w:val="clear" w:color="000000" w:fill="E7E6E6"/>
            <w:noWrap/>
            <w:vAlign w:val="center"/>
          </w:tcPr>
          <w:p w14:paraId="3B729F41" w14:textId="4B61E6FC" w:rsidR="00974A4C" w:rsidRPr="00974A4C" w:rsidRDefault="00974A4C" w:rsidP="00974A4C">
            <w:pPr>
              <w:jc w:val="center"/>
              <w:rPr>
                <w:rFonts w:asciiTheme="minorHAnsi" w:hAnsiTheme="minorHAnsi"/>
                <w:color w:val="000000"/>
                <w:sz w:val="20"/>
                <w:szCs w:val="20"/>
              </w:rPr>
            </w:pPr>
            <w:r w:rsidRPr="00974A4C">
              <w:rPr>
                <w:rFonts w:asciiTheme="minorHAnsi" w:hAnsiTheme="minorHAnsi"/>
                <w:color w:val="000000"/>
                <w:sz w:val="20"/>
                <w:szCs w:val="20"/>
              </w:rPr>
              <w:t>41%</w:t>
            </w:r>
          </w:p>
        </w:tc>
      </w:tr>
      <w:tr w:rsidR="00974A4C" w:rsidRPr="006A7978" w14:paraId="4DA58CEA" w14:textId="77777777" w:rsidTr="006A7978">
        <w:trPr>
          <w:trHeight w:val="156"/>
        </w:trPr>
        <w:tc>
          <w:tcPr>
            <w:tcW w:w="4252" w:type="dxa"/>
            <w:tcBorders>
              <w:top w:val="nil"/>
              <w:left w:val="single" w:sz="4" w:space="0" w:color="auto"/>
              <w:bottom w:val="single" w:sz="4" w:space="0" w:color="auto"/>
              <w:right w:val="single" w:sz="4" w:space="0" w:color="auto"/>
            </w:tcBorders>
            <w:shd w:val="clear" w:color="000000" w:fill="E7E6E6"/>
            <w:noWrap/>
            <w:vAlign w:val="center"/>
            <w:hideMark/>
          </w:tcPr>
          <w:p w14:paraId="3758E5C2" w14:textId="77777777" w:rsidR="00974A4C" w:rsidRPr="006A7978" w:rsidRDefault="00974A4C" w:rsidP="00974A4C">
            <w:pPr>
              <w:rPr>
                <w:rFonts w:asciiTheme="minorHAnsi" w:hAnsiTheme="minorHAnsi"/>
                <w:b/>
                <w:bCs/>
                <w:i/>
                <w:iCs/>
                <w:color w:val="000000"/>
                <w:sz w:val="20"/>
                <w:szCs w:val="20"/>
              </w:rPr>
            </w:pPr>
            <w:r w:rsidRPr="006A7978">
              <w:rPr>
                <w:rFonts w:asciiTheme="minorHAnsi" w:hAnsiTheme="minorHAnsi"/>
                <w:b/>
                <w:bCs/>
                <w:i/>
                <w:iCs/>
                <w:color w:val="000000"/>
                <w:sz w:val="20"/>
                <w:szCs w:val="20"/>
              </w:rPr>
              <w:t>Taux de séropositivité au VIH</w:t>
            </w:r>
          </w:p>
        </w:tc>
        <w:tc>
          <w:tcPr>
            <w:tcW w:w="1134" w:type="dxa"/>
            <w:tcBorders>
              <w:top w:val="nil"/>
              <w:left w:val="nil"/>
              <w:bottom w:val="single" w:sz="4" w:space="0" w:color="auto"/>
              <w:right w:val="single" w:sz="4" w:space="0" w:color="auto"/>
            </w:tcBorders>
            <w:shd w:val="clear" w:color="000000" w:fill="E7E6E6"/>
            <w:noWrap/>
            <w:vAlign w:val="center"/>
            <w:hideMark/>
          </w:tcPr>
          <w:p w14:paraId="68730AF5"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3,71%</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20783DC9"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2,66%</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3FE70742"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1,32%</w:t>
            </w:r>
          </w:p>
        </w:tc>
        <w:tc>
          <w:tcPr>
            <w:tcW w:w="992" w:type="dxa"/>
            <w:gridSpan w:val="3"/>
            <w:tcBorders>
              <w:top w:val="nil"/>
              <w:left w:val="nil"/>
              <w:bottom w:val="single" w:sz="4" w:space="0" w:color="auto"/>
              <w:right w:val="single" w:sz="4" w:space="0" w:color="auto"/>
            </w:tcBorders>
            <w:shd w:val="clear" w:color="000000" w:fill="E7E6E6"/>
            <w:noWrap/>
            <w:vAlign w:val="center"/>
            <w:hideMark/>
          </w:tcPr>
          <w:p w14:paraId="1D0E5482"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1,58%</w:t>
            </w:r>
          </w:p>
        </w:tc>
        <w:tc>
          <w:tcPr>
            <w:tcW w:w="851" w:type="dxa"/>
            <w:tcBorders>
              <w:top w:val="nil"/>
              <w:left w:val="nil"/>
              <w:bottom w:val="single" w:sz="4" w:space="0" w:color="auto"/>
              <w:right w:val="single" w:sz="4" w:space="0" w:color="auto"/>
            </w:tcBorders>
            <w:shd w:val="clear" w:color="000000" w:fill="E7E6E6"/>
            <w:noWrap/>
            <w:vAlign w:val="center"/>
          </w:tcPr>
          <w:p w14:paraId="49CCB76C" w14:textId="05E72997" w:rsidR="00974A4C" w:rsidRPr="00974A4C" w:rsidRDefault="00974A4C" w:rsidP="00974A4C">
            <w:pPr>
              <w:jc w:val="center"/>
              <w:rPr>
                <w:rFonts w:asciiTheme="minorHAnsi" w:hAnsiTheme="minorHAnsi"/>
                <w:color w:val="000000"/>
                <w:sz w:val="20"/>
                <w:szCs w:val="20"/>
              </w:rPr>
            </w:pPr>
            <w:r w:rsidRPr="00974A4C">
              <w:rPr>
                <w:rFonts w:asciiTheme="minorHAnsi" w:hAnsiTheme="minorHAnsi"/>
                <w:color w:val="000000"/>
                <w:sz w:val="20"/>
                <w:szCs w:val="20"/>
              </w:rPr>
              <w:t>1,38%</w:t>
            </w:r>
          </w:p>
        </w:tc>
      </w:tr>
      <w:tr w:rsidR="00974A4C" w:rsidRPr="006A7978" w14:paraId="6848DEA6" w14:textId="77777777" w:rsidTr="006A7978">
        <w:trPr>
          <w:trHeight w:val="388"/>
        </w:trPr>
        <w:tc>
          <w:tcPr>
            <w:tcW w:w="4252" w:type="dxa"/>
            <w:tcBorders>
              <w:top w:val="nil"/>
              <w:left w:val="single" w:sz="4" w:space="0" w:color="auto"/>
              <w:bottom w:val="single" w:sz="4" w:space="0" w:color="auto"/>
              <w:right w:val="single" w:sz="4" w:space="0" w:color="auto"/>
            </w:tcBorders>
            <w:shd w:val="clear" w:color="000000" w:fill="E7E6E6"/>
            <w:vAlign w:val="center"/>
            <w:hideMark/>
          </w:tcPr>
          <w:p w14:paraId="631BCF50" w14:textId="77777777" w:rsidR="00974A4C" w:rsidRPr="006A7978" w:rsidRDefault="00974A4C" w:rsidP="00974A4C">
            <w:pPr>
              <w:rPr>
                <w:rFonts w:asciiTheme="minorHAnsi" w:hAnsiTheme="minorHAnsi"/>
                <w:b/>
                <w:bCs/>
                <w:i/>
                <w:iCs/>
                <w:color w:val="000000"/>
                <w:sz w:val="20"/>
                <w:szCs w:val="20"/>
              </w:rPr>
            </w:pPr>
            <w:r w:rsidRPr="006A7978">
              <w:rPr>
                <w:rFonts w:asciiTheme="minorHAnsi" w:hAnsiTheme="minorHAnsi"/>
                <w:b/>
                <w:bCs/>
                <w:i/>
                <w:iCs/>
                <w:color w:val="000000"/>
                <w:sz w:val="20"/>
                <w:szCs w:val="20"/>
              </w:rPr>
              <w:t>Taux de couverture ARV chez les femmes enceintes séropositives</w:t>
            </w:r>
          </w:p>
        </w:tc>
        <w:tc>
          <w:tcPr>
            <w:tcW w:w="1134" w:type="dxa"/>
            <w:tcBorders>
              <w:top w:val="nil"/>
              <w:left w:val="nil"/>
              <w:bottom w:val="single" w:sz="4" w:space="0" w:color="auto"/>
              <w:right w:val="single" w:sz="4" w:space="0" w:color="auto"/>
            </w:tcBorders>
            <w:shd w:val="clear" w:color="000000" w:fill="E7E6E6"/>
            <w:noWrap/>
            <w:vAlign w:val="center"/>
            <w:hideMark/>
          </w:tcPr>
          <w:p w14:paraId="3CED15E4"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62,18%</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6E6D9FE5"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66,07%</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7E9C0CBF"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25,12%</w:t>
            </w:r>
          </w:p>
        </w:tc>
        <w:tc>
          <w:tcPr>
            <w:tcW w:w="992" w:type="dxa"/>
            <w:gridSpan w:val="3"/>
            <w:tcBorders>
              <w:top w:val="nil"/>
              <w:left w:val="nil"/>
              <w:bottom w:val="single" w:sz="4" w:space="0" w:color="auto"/>
              <w:right w:val="single" w:sz="4" w:space="0" w:color="auto"/>
            </w:tcBorders>
            <w:shd w:val="clear" w:color="000000" w:fill="E7E6E6"/>
            <w:noWrap/>
            <w:vAlign w:val="center"/>
            <w:hideMark/>
          </w:tcPr>
          <w:p w14:paraId="43A205A1"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39,69%</w:t>
            </w:r>
          </w:p>
        </w:tc>
        <w:tc>
          <w:tcPr>
            <w:tcW w:w="851" w:type="dxa"/>
            <w:tcBorders>
              <w:top w:val="nil"/>
              <w:left w:val="nil"/>
              <w:bottom w:val="single" w:sz="4" w:space="0" w:color="auto"/>
              <w:right w:val="single" w:sz="4" w:space="0" w:color="auto"/>
            </w:tcBorders>
            <w:shd w:val="clear" w:color="000000" w:fill="E7E6E6"/>
            <w:noWrap/>
            <w:vAlign w:val="center"/>
          </w:tcPr>
          <w:p w14:paraId="39BED046" w14:textId="103349BE" w:rsidR="00974A4C" w:rsidRPr="00974A4C" w:rsidRDefault="00974A4C" w:rsidP="00974A4C">
            <w:pPr>
              <w:jc w:val="center"/>
              <w:rPr>
                <w:rFonts w:asciiTheme="minorHAnsi" w:hAnsiTheme="minorHAnsi"/>
                <w:color w:val="000000"/>
                <w:sz w:val="20"/>
                <w:szCs w:val="20"/>
              </w:rPr>
            </w:pPr>
            <w:r w:rsidRPr="00974A4C">
              <w:rPr>
                <w:rFonts w:asciiTheme="minorHAnsi" w:hAnsiTheme="minorHAnsi"/>
                <w:color w:val="000000"/>
                <w:sz w:val="20"/>
                <w:szCs w:val="20"/>
              </w:rPr>
              <w:t>42,25%</w:t>
            </w:r>
          </w:p>
        </w:tc>
      </w:tr>
      <w:tr w:rsidR="00974A4C" w:rsidRPr="006A7978" w14:paraId="5EBEC2E8" w14:textId="77777777" w:rsidTr="00A5304A">
        <w:trPr>
          <w:trHeight w:val="640"/>
        </w:trPr>
        <w:tc>
          <w:tcPr>
            <w:tcW w:w="4252" w:type="dxa"/>
            <w:tcBorders>
              <w:top w:val="nil"/>
              <w:left w:val="single" w:sz="4" w:space="0" w:color="auto"/>
              <w:bottom w:val="single" w:sz="4" w:space="0" w:color="auto"/>
              <w:right w:val="single" w:sz="4" w:space="0" w:color="auto"/>
            </w:tcBorders>
            <w:shd w:val="clear" w:color="000000" w:fill="E7E6E6"/>
            <w:vAlign w:val="center"/>
            <w:hideMark/>
          </w:tcPr>
          <w:p w14:paraId="4E92829C" w14:textId="77777777" w:rsidR="00974A4C" w:rsidRPr="006A7978" w:rsidRDefault="00974A4C" w:rsidP="00974A4C">
            <w:pPr>
              <w:rPr>
                <w:rFonts w:asciiTheme="minorHAnsi" w:hAnsiTheme="minorHAnsi"/>
                <w:b/>
                <w:bCs/>
                <w:i/>
                <w:iCs/>
                <w:color w:val="000000"/>
                <w:sz w:val="20"/>
                <w:szCs w:val="20"/>
              </w:rPr>
            </w:pPr>
            <w:r w:rsidRPr="006A7978">
              <w:rPr>
                <w:rFonts w:asciiTheme="minorHAnsi" w:hAnsiTheme="minorHAnsi"/>
                <w:b/>
                <w:bCs/>
                <w:i/>
                <w:iCs/>
                <w:color w:val="000000"/>
                <w:sz w:val="20"/>
                <w:szCs w:val="20"/>
              </w:rPr>
              <w:t>Taux de couverture ARV chez les enfants nés de mères séropositives</w:t>
            </w:r>
          </w:p>
        </w:tc>
        <w:tc>
          <w:tcPr>
            <w:tcW w:w="1134" w:type="dxa"/>
            <w:tcBorders>
              <w:top w:val="nil"/>
              <w:left w:val="nil"/>
              <w:bottom w:val="single" w:sz="4" w:space="0" w:color="auto"/>
              <w:right w:val="single" w:sz="4" w:space="0" w:color="auto"/>
            </w:tcBorders>
            <w:shd w:val="clear" w:color="000000" w:fill="E7E6E6"/>
            <w:noWrap/>
            <w:vAlign w:val="center"/>
            <w:hideMark/>
          </w:tcPr>
          <w:p w14:paraId="65A9819F"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17,87%</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32DEA0A1"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20,88%</w:t>
            </w:r>
          </w:p>
        </w:tc>
        <w:tc>
          <w:tcPr>
            <w:tcW w:w="1134" w:type="dxa"/>
            <w:gridSpan w:val="2"/>
            <w:tcBorders>
              <w:top w:val="nil"/>
              <w:left w:val="nil"/>
              <w:bottom w:val="single" w:sz="4" w:space="0" w:color="auto"/>
              <w:right w:val="single" w:sz="4" w:space="0" w:color="auto"/>
            </w:tcBorders>
            <w:shd w:val="clear" w:color="000000" w:fill="E7E6E6"/>
            <w:noWrap/>
            <w:vAlign w:val="center"/>
            <w:hideMark/>
          </w:tcPr>
          <w:p w14:paraId="21C52199"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29,74%</w:t>
            </w:r>
          </w:p>
        </w:tc>
        <w:tc>
          <w:tcPr>
            <w:tcW w:w="992" w:type="dxa"/>
            <w:gridSpan w:val="3"/>
            <w:tcBorders>
              <w:top w:val="nil"/>
              <w:left w:val="nil"/>
              <w:bottom w:val="single" w:sz="4" w:space="0" w:color="auto"/>
              <w:right w:val="single" w:sz="4" w:space="0" w:color="auto"/>
            </w:tcBorders>
            <w:shd w:val="clear" w:color="000000" w:fill="E7E6E6"/>
            <w:noWrap/>
            <w:vAlign w:val="center"/>
            <w:hideMark/>
          </w:tcPr>
          <w:p w14:paraId="22A6ADA5" w14:textId="77777777" w:rsidR="00974A4C" w:rsidRPr="006A7978" w:rsidRDefault="00974A4C" w:rsidP="00974A4C">
            <w:pPr>
              <w:jc w:val="center"/>
              <w:rPr>
                <w:rFonts w:asciiTheme="minorHAnsi" w:hAnsiTheme="minorHAnsi"/>
                <w:i/>
                <w:iCs/>
                <w:color w:val="000000"/>
                <w:sz w:val="20"/>
                <w:szCs w:val="20"/>
              </w:rPr>
            </w:pPr>
            <w:r w:rsidRPr="006A7978">
              <w:rPr>
                <w:rFonts w:asciiTheme="minorHAnsi" w:hAnsiTheme="minorHAnsi"/>
                <w:i/>
                <w:iCs/>
                <w:color w:val="000000"/>
                <w:sz w:val="20"/>
                <w:szCs w:val="20"/>
              </w:rPr>
              <w:t>36,63%</w:t>
            </w:r>
          </w:p>
        </w:tc>
        <w:tc>
          <w:tcPr>
            <w:tcW w:w="851" w:type="dxa"/>
            <w:tcBorders>
              <w:top w:val="nil"/>
              <w:left w:val="nil"/>
              <w:bottom w:val="single" w:sz="4" w:space="0" w:color="auto"/>
              <w:right w:val="single" w:sz="4" w:space="0" w:color="auto"/>
            </w:tcBorders>
            <w:shd w:val="clear" w:color="000000" w:fill="E7E6E6"/>
            <w:noWrap/>
            <w:vAlign w:val="center"/>
          </w:tcPr>
          <w:p w14:paraId="6F605C38" w14:textId="1AA0C73B" w:rsidR="00974A4C" w:rsidRPr="00974A4C" w:rsidRDefault="00974A4C" w:rsidP="00974A4C">
            <w:pPr>
              <w:jc w:val="center"/>
              <w:rPr>
                <w:rFonts w:asciiTheme="minorHAnsi" w:hAnsiTheme="minorHAnsi"/>
                <w:color w:val="000000"/>
                <w:sz w:val="20"/>
                <w:szCs w:val="20"/>
              </w:rPr>
            </w:pPr>
            <w:r w:rsidRPr="00F34C26">
              <w:rPr>
                <w:rFonts w:asciiTheme="minorHAnsi" w:hAnsiTheme="minorHAnsi"/>
                <w:color w:val="C00000"/>
                <w:sz w:val="20"/>
                <w:szCs w:val="20"/>
              </w:rPr>
              <w:t>7,08%</w:t>
            </w:r>
          </w:p>
        </w:tc>
      </w:tr>
    </w:tbl>
    <w:p w14:paraId="39E1D80A" w14:textId="2829B839" w:rsidR="00CE1F1E" w:rsidRDefault="00CE1F1E" w:rsidP="00B63C79">
      <w:pPr>
        <w:jc w:val="both"/>
        <w:rPr>
          <w:rFonts w:ascii="Calibri" w:hAnsi="Calibri"/>
          <w:bCs/>
        </w:rPr>
      </w:pPr>
    </w:p>
    <w:p w14:paraId="71E9B431" w14:textId="531208D1" w:rsidR="005A03EE" w:rsidRDefault="00DE0B2E" w:rsidP="00DE0B2E">
      <w:pPr>
        <w:ind w:left="426" w:right="-1"/>
        <w:jc w:val="both"/>
        <w:rPr>
          <w:rFonts w:ascii="Calibri" w:hAnsi="Calibri"/>
          <w:noProof/>
        </w:rPr>
      </w:pPr>
      <w:r>
        <w:rPr>
          <w:rFonts w:ascii="Calibri" w:hAnsi="Calibri"/>
          <w:noProof/>
        </w:rPr>
        <w:t>En matière d’acquis on peut noter l’existence de sites ayant intégré la PTME, l’existence d’un</w:t>
      </w:r>
      <w:r w:rsidR="005A03EE">
        <w:rPr>
          <w:rFonts w:ascii="Calibri" w:hAnsi="Calibri"/>
          <w:noProof/>
        </w:rPr>
        <w:t xml:space="preserve"> </w:t>
      </w:r>
      <w:r>
        <w:rPr>
          <w:rFonts w:ascii="Calibri" w:hAnsi="Calibri"/>
          <w:noProof/>
        </w:rPr>
        <w:t>ensemble de documents normatifs (</w:t>
      </w:r>
      <w:r w:rsidR="005A03EE">
        <w:rPr>
          <w:rFonts w:ascii="Calibri" w:hAnsi="Calibri"/>
          <w:noProof/>
        </w:rPr>
        <w:t>normes et procédures PTME</w:t>
      </w:r>
      <w:r>
        <w:rPr>
          <w:rFonts w:ascii="Calibri" w:hAnsi="Calibri"/>
          <w:noProof/>
        </w:rPr>
        <w:t>, guide/normes de dépistage précoce des enfants) et l’adoption de l’option B+.</w:t>
      </w:r>
    </w:p>
    <w:p w14:paraId="75E90F31" w14:textId="08F8BFC4" w:rsidR="00DE0B2E" w:rsidRDefault="00DE0B2E" w:rsidP="00DE0B2E">
      <w:pPr>
        <w:ind w:left="426" w:right="-1"/>
        <w:jc w:val="both"/>
        <w:rPr>
          <w:rFonts w:ascii="Calibri" w:hAnsi="Calibri"/>
          <w:noProof/>
        </w:rPr>
      </w:pPr>
    </w:p>
    <w:p w14:paraId="49E18A82" w14:textId="3E30E9A6" w:rsidR="00DE0B2E" w:rsidRDefault="00DE0B2E" w:rsidP="00DE0B2E">
      <w:pPr>
        <w:ind w:left="426" w:right="-1"/>
        <w:jc w:val="both"/>
        <w:rPr>
          <w:rFonts w:ascii="Calibri" w:hAnsi="Calibri"/>
          <w:noProof/>
        </w:rPr>
      </w:pPr>
      <w:r>
        <w:rPr>
          <w:rFonts w:ascii="Calibri" w:hAnsi="Calibri"/>
          <w:noProof/>
        </w:rPr>
        <w:t xml:space="preserve">En dépit des progrès enregistrés en terme de décentralisation, </w:t>
      </w:r>
      <w:r w:rsidR="00A55556">
        <w:rPr>
          <w:rFonts w:ascii="Calibri" w:hAnsi="Calibri"/>
          <w:noProof/>
        </w:rPr>
        <w:t xml:space="preserve">de la délégation des tâches et du mentorat/coaching, </w:t>
      </w:r>
      <w:r>
        <w:rPr>
          <w:rFonts w:ascii="Calibri" w:hAnsi="Calibri"/>
          <w:noProof/>
        </w:rPr>
        <w:t>les performances restent en deçà des attentes et on note une déperdition des femmes et des enfants exposés dans la cascade PTME. Cette situation s’expliquerait entre autres par :</w:t>
      </w:r>
    </w:p>
    <w:p w14:paraId="45956DA3" w14:textId="61DEB35D" w:rsidR="00ED23E4" w:rsidRDefault="00ED23E4" w:rsidP="00C34A61">
      <w:pPr>
        <w:pStyle w:val="Paragraphedeliste"/>
        <w:numPr>
          <w:ilvl w:val="0"/>
          <w:numId w:val="30"/>
        </w:numPr>
        <w:jc w:val="both"/>
        <w:rPr>
          <w:rFonts w:ascii="Calibri" w:hAnsi="Calibri" w:cs="Times"/>
          <w:color w:val="000000"/>
        </w:rPr>
      </w:pPr>
      <w:r>
        <w:rPr>
          <w:rFonts w:ascii="Calibri" w:hAnsi="Calibri" w:cs="Times"/>
          <w:color w:val="000000"/>
        </w:rPr>
        <w:t>L’insuffisance de synergie et lien avec la SR</w:t>
      </w:r>
    </w:p>
    <w:p w14:paraId="3793D9C4" w14:textId="11FA4BA7" w:rsidR="00ED23E4" w:rsidRDefault="00ED23E4" w:rsidP="00C34A61">
      <w:pPr>
        <w:pStyle w:val="Paragraphedeliste"/>
        <w:numPr>
          <w:ilvl w:val="0"/>
          <w:numId w:val="30"/>
        </w:numPr>
        <w:jc w:val="both"/>
        <w:rPr>
          <w:rFonts w:ascii="Calibri" w:hAnsi="Calibri" w:cs="Times"/>
          <w:color w:val="000000"/>
        </w:rPr>
      </w:pPr>
      <w:r>
        <w:rPr>
          <w:rFonts w:ascii="Calibri" w:hAnsi="Calibri" w:cs="Times"/>
          <w:color w:val="000000"/>
        </w:rPr>
        <w:t>L’ins</w:t>
      </w:r>
      <w:r w:rsidR="00A55556">
        <w:rPr>
          <w:rFonts w:ascii="Calibri" w:hAnsi="Calibri" w:cs="Times"/>
          <w:color w:val="000000"/>
        </w:rPr>
        <w:t>uffisance de personnel qualifié et compétent pour les différents services notamment pour la PCR</w:t>
      </w:r>
    </w:p>
    <w:p w14:paraId="4A350B93" w14:textId="1EC21D03" w:rsidR="00A55556" w:rsidRDefault="00A55556" w:rsidP="00C34A61">
      <w:pPr>
        <w:pStyle w:val="Paragraphedeliste"/>
        <w:numPr>
          <w:ilvl w:val="0"/>
          <w:numId w:val="30"/>
        </w:numPr>
        <w:jc w:val="both"/>
        <w:rPr>
          <w:rFonts w:ascii="Calibri" w:hAnsi="Calibri" w:cs="Times"/>
          <w:color w:val="000000"/>
        </w:rPr>
      </w:pPr>
      <w:r>
        <w:rPr>
          <w:rFonts w:ascii="Calibri" w:hAnsi="Calibri" w:cs="Times"/>
          <w:color w:val="000000"/>
        </w:rPr>
        <w:t>La faible performance du dispositif de dépistage précoce</w:t>
      </w:r>
    </w:p>
    <w:p w14:paraId="1D9FEADC" w14:textId="17DFAEF8" w:rsidR="00A55556" w:rsidRDefault="00A55556" w:rsidP="00C34A61">
      <w:pPr>
        <w:pStyle w:val="Paragraphedeliste"/>
        <w:numPr>
          <w:ilvl w:val="0"/>
          <w:numId w:val="30"/>
        </w:numPr>
        <w:jc w:val="both"/>
        <w:rPr>
          <w:rFonts w:ascii="Calibri" w:hAnsi="Calibri" w:cs="Times"/>
          <w:color w:val="000000"/>
        </w:rPr>
      </w:pPr>
      <w:r>
        <w:rPr>
          <w:rFonts w:ascii="Calibri" w:hAnsi="Calibri" w:cs="Times"/>
          <w:color w:val="000000"/>
        </w:rPr>
        <w:t>Les difficultés d’approvisionnement des sites qui connaissent des ruptures en intrants</w:t>
      </w:r>
    </w:p>
    <w:p w14:paraId="7B482061" w14:textId="10A23F59" w:rsidR="00A55556" w:rsidRPr="00ED23E4" w:rsidRDefault="00A55556" w:rsidP="00C34A61">
      <w:pPr>
        <w:pStyle w:val="Paragraphedeliste"/>
        <w:numPr>
          <w:ilvl w:val="0"/>
          <w:numId w:val="30"/>
        </w:numPr>
        <w:jc w:val="both"/>
        <w:rPr>
          <w:rFonts w:ascii="Calibri" w:hAnsi="Calibri" w:cs="Times"/>
          <w:color w:val="000000"/>
        </w:rPr>
      </w:pPr>
      <w:r>
        <w:rPr>
          <w:rFonts w:ascii="Calibri" w:hAnsi="Calibri" w:cs="Times"/>
          <w:color w:val="000000"/>
        </w:rPr>
        <w:t>La faiblesse du dispositif de rétention dans les sites PTME et de celle de référence qui qui n’offre une visibilité sur la continuité du traitement ARV et entraine des déperditions et le non rattrapage des perdus de vue.</w:t>
      </w:r>
    </w:p>
    <w:p w14:paraId="7393A840" w14:textId="77777777" w:rsidR="005A03EE" w:rsidRDefault="005A03EE" w:rsidP="005A03EE">
      <w:pPr>
        <w:jc w:val="both"/>
        <w:rPr>
          <w:rFonts w:ascii="Calibri" w:hAnsi="Calibri"/>
        </w:rPr>
      </w:pPr>
    </w:p>
    <w:tbl>
      <w:tblPr>
        <w:tblStyle w:val="Grilledutableau"/>
        <w:tblW w:w="0" w:type="auto"/>
        <w:tblInd w:w="421" w:type="dxa"/>
        <w:tblLook w:val="04A0" w:firstRow="1" w:lastRow="0" w:firstColumn="1" w:lastColumn="0" w:noHBand="0" w:noVBand="1"/>
      </w:tblPr>
      <w:tblGrid>
        <w:gridCol w:w="1057"/>
        <w:gridCol w:w="8377"/>
      </w:tblGrid>
      <w:tr w:rsidR="00A55556" w:rsidRPr="00B63D74" w14:paraId="268F7E2C" w14:textId="77777777" w:rsidTr="00BD65CA">
        <w:tc>
          <w:tcPr>
            <w:tcW w:w="992" w:type="dxa"/>
            <w:shd w:val="clear" w:color="auto" w:fill="FF0000"/>
            <w:vAlign w:val="center"/>
          </w:tcPr>
          <w:p w14:paraId="1D76CA12" w14:textId="3696912C" w:rsidR="00A55556" w:rsidRPr="00B63D74" w:rsidRDefault="00A55556" w:rsidP="00BD65CA">
            <w:pPr>
              <w:rPr>
                <w:rFonts w:ascii="Calibri" w:hAnsi="Calibri"/>
                <w:sz w:val="20"/>
                <w:szCs w:val="20"/>
              </w:rPr>
            </w:pPr>
            <w:r w:rsidRPr="00B63D74">
              <w:rPr>
                <w:rFonts w:ascii="Calibri" w:hAnsi="Calibri"/>
                <w:color w:val="FFFFFF" w:themeColor="background1"/>
                <w:sz w:val="20"/>
                <w:szCs w:val="20"/>
              </w:rPr>
              <w:t>DEFIS</w:t>
            </w:r>
            <w:r w:rsidR="006B7E12" w:rsidRPr="00B63D74">
              <w:rPr>
                <w:rFonts w:ascii="Calibri" w:hAnsi="Calibri"/>
                <w:color w:val="FFFFFF" w:themeColor="background1"/>
                <w:sz w:val="20"/>
                <w:szCs w:val="20"/>
              </w:rPr>
              <w:t>/ PRIORITES</w:t>
            </w:r>
          </w:p>
        </w:tc>
        <w:tc>
          <w:tcPr>
            <w:tcW w:w="8442" w:type="dxa"/>
            <w:shd w:val="clear" w:color="auto" w:fill="E7E6E6" w:themeFill="background2"/>
          </w:tcPr>
          <w:p w14:paraId="7132D19A" w14:textId="6C82A8DC" w:rsidR="00A55556" w:rsidRDefault="00A55556" w:rsidP="00C34A61">
            <w:pPr>
              <w:pStyle w:val="Paragraphedeliste"/>
              <w:numPr>
                <w:ilvl w:val="0"/>
                <w:numId w:val="27"/>
              </w:numPr>
              <w:jc w:val="both"/>
              <w:rPr>
                <w:rFonts w:ascii="Calibri" w:hAnsi="Calibri"/>
                <w:sz w:val="20"/>
                <w:szCs w:val="20"/>
              </w:rPr>
            </w:pPr>
            <w:r w:rsidRPr="00B63D74">
              <w:rPr>
                <w:rFonts w:ascii="Calibri" w:hAnsi="Calibri"/>
                <w:sz w:val="20"/>
                <w:szCs w:val="20"/>
              </w:rPr>
              <w:t>Accroitre la couverture</w:t>
            </w:r>
            <w:r w:rsidR="008C2CAB" w:rsidRPr="00B63D74">
              <w:rPr>
                <w:rFonts w:ascii="Calibri" w:hAnsi="Calibri"/>
                <w:sz w:val="20"/>
                <w:szCs w:val="20"/>
              </w:rPr>
              <w:t xml:space="preserve">, </w:t>
            </w:r>
            <w:r w:rsidRPr="00B63D74">
              <w:rPr>
                <w:rFonts w:ascii="Calibri" w:hAnsi="Calibri"/>
                <w:sz w:val="20"/>
                <w:szCs w:val="20"/>
              </w:rPr>
              <w:t xml:space="preserve">la disponibilité </w:t>
            </w:r>
            <w:r w:rsidR="008C2CAB" w:rsidRPr="00B63D74">
              <w:rPr>
                <w:rFonts w:ascii="Calibri" w:hAnsi="Calibri"/>
                <w:sz w:val="20"/>
                <w:szCs w:val="20"/>
              </w:rPr>
              <w:t xml:space="preserve">et la qualité </w:t>
            </w:r>
            <w:r w:rsidRPr="00B63D74">
              <w:rPr>
                <w:rFonts w:ascii="Calibri" w:hAnsi="Calibri"/>
                <w:sz w:val="20"/>
                <w:szCs w:val="20"/>
              </w:rPr>
              <w:t>des services de PTME</w:t>
            </w:r>
          </w:p>
          <w:p w14:paraId="6B94E898" w14:textId="6E085BAC" w:rsidR="00D87D48" w:rsidRPr="00B63D74" w:rsidRDefault="00D87D48" w:rsidP="00C34A61">
            <w:pPr>
              <w:pStyle w:val="Paragraphedeliste"/>
              <w:numPr>
                <w:ilvl w:val="0"/>
                <w:numId w:val="27"/>
              </w:numPr>
              <w:jc w:val="both"/>
              <w:rPr>
                <w:rFonts w:ascii="Calibri" w:hAnsi="Calibri"/>
                <w:sz w:val="20"/>
                <w:szCs w:val="20"/>
              </w:rPr>
            </w:pPr>
            <w:r>
              <w:rPr>
                <w:rFonts w:ascii="Calibri" w:hAnsi="Calibri"/>
                <w:sz w:val="20"/>
                <w:szCs w:val="20"/>
              </w:rPr>
              <w:t>Accroître l’accès et l’utilisation des services PF par les PVVIH</w:t>
            </w:r>
          </w:p>
          <w:p w14:paraId="574DB3E9" w14:textId="77777777" w:rsidR="00A55556" w:rsidRPr="00B63D74" w:rsidRDefault="00A55556" w:rsidP="00C34A61">
            <w:pPr>
              <w:pStyle w:val="Paragraphedeliste"/>
              <w:numPr>
                <w:ilvl w:val="0"/>
                <w:numId w:val="27"/>
              </w:numPr>
              <w:jc w:val="both"/>
              <w:rPr>
                <w:rFonts w:ascii="Calibri" w:hAnsi="Calibri"/>
                <w:sz w:val="20"/>
                <w:szCs w:val="20"/>
              </w:rPr>
            </w:pPr>
            <w:r w:rsidRPr="00B63D74">
              <w:rPr>
                <w:rFonts w:ascii="Calibri" w:hAnsi="Calibri"/>
                <w:sz w:val="20"/>
                <w:szCs w:val="20"/>
              </w:rPr>
              <w:t>Améliorer l’efficacité des stratégies de mobilisation sociale pour l’utilisation des services PTME</w:t>
            </w:r>
          </w:p>
          <w:p w14:paraId="52F01D82" w14:textId="77777777" w:rsidR="00A55556" w:rsidRPr="00B63D74" w:rsidRDefault="00A55556" w:rsidP="00C34A61">
            <w:pPr>
              <w:pStyle w:val="Paragraphedeliste"/>
              <w:numPr>
                <w:ilvl w:val="0"/>
                <w:numId w:val="27"/>
              </w:numPr>
              <w:jc w:val="both"/>
              <w:rPr>
                <w:rFonts w:ascii="Calibri" w:hAnsi="Calibri"/>
                <w:sz w:val="20"/>
                <w:szCs w:val="20"/>
              </w:rPr>
            </w:pPr>
            <w:r w:rsidRPr="00B63D74">
              <w:rPr>
                <w:rFonts w:ascii="Calibri" w:hAnsi="Calibri"/>
                <w:sz w:val="20"/>
                <w:szCs w:val="20"/>
              </w:rPr>
              <w:t>Renforcer l’efficacité du dépistage précoce des enfants exposés</w:t>
            </w:r>
          </w:p>
          <w:p w14:paraId="45A00292" w14:textId="44F4CE11" w:rsidR="00A55556" w:rsidRPr="00B63D74" w:rsidRDefault="00A55556" w:rsidP="00C34A61">
            <w:pPr>
              <w:pStyle w:val="Paragraphedeliste"/>
              <w:numPr>
                <w:ilvl w:val="0"/>
                <w:numId w:val="27"/>
              </w:numPr>
              <w:jc w:val="both"/>
              <w:rPr>
                <w:rFonts w:ascii="Calibri" w:hAnsi="Calibri"/>
                <w:sz w:val="20"/>
                <w:szCs w:val="20"/>
              </w:rPr>
            </w:pPr>
            <w:r w:rsidRPr="00B63D74">
              <w:rPr>
                <w:rFonts w:ascii="Calibri" w:hAnsi="Calibri"/>
                <w:sz w:val="20"/>
                <w:szCs w:val="20"/>
              </w:rPr>
              <w:t>Maintenir les femmes et les en</w:t>
            </w:r>
            <w:r w:rsidR="008C2CAB" w:rsidRPr="00B63D74">
              <w:rPr>
                <w:rFonts w:ascii="Calibri" w:hAnsi="Calibri"/>
                <w:sz w:val="20"/>
                <w:szCs w:val="20"/>
              </w:rPr>
              <w:t>fants dans la cascade PTME et dans la</w:t>
            </w:r>
            <w:r w:rsidRPr="00B63D74">
              <w:rPr>
                <w:rFonts w:ascii="Calibri" w:hAnsi="Calibri"/>
                <w:sz w:val="20"/>
                <w:szCs w:val="20"/>
              </w:rPr>
              <w:t xml:space="preserve"> continuité du traitement ARV</w:t>
            </w:r>
          </w:p>
        </w:tc>
      </w:tr>
    </w:tbl>
    <w:p w14:paraId="02AA8C93" w14:textId="77777777" w:rsidR="005A03EE" w:rsidRDefault="005A03EE" w:rsidP="005A03EE">
      <w:pPr>
        <w:jc w:val="both"/>
        <w:rPr>
          <w:rFonts w:ascii="Calibri" w:hAnsi="Calibri"/>
        </w:rPr>
      </w:pPr>
    </w:p>
    <w:p w14:paraId="3572D845" w14:textId="77777777" w:rsidR="00B63C79" w:rsidRPr="00B63C79" w:rsidRDefault="00B63C79" w:rsidP="00C34A61">
      <w:pPr>
        <w:pStyle w:val="Paragraphedeliste"/>
        <w:numPr>
          <w:ilvl w:val="0"/>
          <w:numId w:val="10"/>
        </w:numPr>
        <w:ind w:left="426" w:hanging="426"/>
        <w:jc w:val="both"/>
        <w:rPr>
          <w:rFonts w:ascii="Calibri" w:hAnsi="Calibri" w:cs="Times"/>
          <w:b/>
          <w:bCs/>
          <w:i/>
          <w:color w:val="000000"/>
        </w:rPr>
      </w:pPr>
      <w:r w:rsidRPr="00B63C79">
        <w:rPr>
          <w:rFonts w:ascii="Calibri" w:hAnsi="Calibri" w:cs="Times"/>
          <w:b/>
          <w:bCs/>
          <w:i/>
          <w:color w:val="000000"/>
        </w:rPr>
        <w:t>La mise en œuvre des mesures de précautions universelles par les structures sanitaires pour la sécurité transfusionnelle et les accidents d'exposition au sang/VIH</w:t>
      </w:r>
    </w:p>
    <w:p w14:paraId="48880952" w14:textId="77777777" w:rsidR="00B63C79" w:rsidRDefault="00B63C79" w:rsidP="00B63C79">
      <w:pPr>
        <w:jc w:val="both"/>
        <w:rPr>
          <w:rFonts w:ascii="Calibri" w:hAnsi="Calibri" w:cs="Arial"/>
        </w:rPr>
      </w:pPr>
    </w:p>
    <w:p w14:paraId="11DFA9CF" w14:textId="57DABC7B" w:rsidR="00B63C79" w:rsidRDefault="00B63C79" w:rsidP="00F876B4">
      <w:pPr>
        <w:ind w:left="426" w:right="-1"/>
        <w:jc w:val="both"/>
        <w:rPr>
          <w:rFonts w:ascii="Calibri" w:hAnsi="Calibri"/>
          <w:noProof/>
        </w:rPr>
      </w:pPr>
      <w:r w:rsidRPr="00F876B4">
        <w:rPr>
          <w:rFonts w:ascii="Calibri" w:hAnsi="Calibri"/>
          <w:noProof/>
        </w:rPr>
        <w:t xml:space="preserve">En Guinée, les normes nationales recommandent quatre marqueurs de pistage afin d’assurer la sécurité transfusionnelle à savoir : VIH, HBsAg+, Anti-HCV et RPR. Le résultat du dépistage des marqueurs d’infections transmissibles par la transfusion (ITT) sur les dons de sang montre que les taux de positivité de 2015 sont constamment plus élevés que ceux de 2013, ce qui n’est pas un bon signal au niveau de la sélection des donneurs de sang. </w:t>
      </w:r>
    </w:p>
    <w:p w14:paraId="7D7D980A" w14:textId="563EC446" w:rsidR="006E51C6" w:rsidRDefault="006E51C6" w:rsidP="00F876B4">
      <w:pPr>
        <w:ind w:left="426" w:right="-1"/>
        <w:jc w:val="both"/>
        <w:rPr>
          <w:rFonts w:ascii="Calibri" w:hAnsi="Calibri"/>
          <w:noProof/>
        </w:rPr>
      </w:pPr>
    </w:p>
    <w:p w14:paraId="4B33BE40" w14:textId="4662505B" w:rsidR="006E51C6" w:rsidRPr="006E51C6" w:rsidRDefault="006E51C6" w:rsidP="00563646">
      <w:pPr>
        <w:pStyle w:val="graph"/>
      </w:pPr>
      <w:bookmarkStart w:id="57" w:name="_Toc521065114"/>
      <w:r w:rsidRPr="00563646">
        <w:rPr>
          <w:u w:val="single"/>
        </w:rPr>
        <w:t>Graphique 8</w:t>
      </w:r>
      <w:r>
        <w:t xml:space="preserve"> : </w:t>
      </w:r>
      <w:r w:rsidRPr="00563646">
        <w:rPr>
          <w:b w:val="0"/>
        </w:rPr>
        <w:t>Prévalence du VIH parmi les dons de sang</w:t>
      </w:r>
      <w:bookmarkEnd w:id="57"/>
    </w:p>
    <w:p w14:paraId="44B19B95" w14:textId="61C22741" w:rsidR="006E51C6" w:rsidRPr="00C02FB9" w:rsidRDefault="006E51C6" w:rsidP="006E51C6">
      <w:pPr>
        <w:ind w:left="426" w:right="5329"/>
        <w:jc w:val="both"/>
        <w:rPr>
          <w:rFonts w:ascii="Calibri" w:hAnsi="Calibri"/>
          <w:noProof/>
          <w:sz w:val="6"/>
        </w:rPr>
      </w:pPr>
    </w:p>
    <w:p w14:paraId="347E517A" w14:textId="2C55EE07" w:rsidR="003F02F4" w:rsidRDefault="00C02FB9" w:rsidP="006E51C6">
      <w:pPr>
        <w:ind w:left="426" w:right="5329"/>
        <w:jc w:val="both"/>
        <w:rPr>
          <w:rFonts w:ascii="Calibri" w:hAnsi="Calibri"/>
          <w:noProof/>
        </w:rPr>
      </w:pPr>
      <w:r>
        <w:rPr>
          <w:rFonts w:ascii="Calibri" w:hAnsi="Calibri"/>
          <w:noProof/>
        </w:rPr>
        <mc:AlternateContent>
          <mc:Choice Requires="wps">
            <w:drawing>
              <wp:anchor distT="0" distB="0" distL="114300" distR="114300" simplePos="0" relativeHeight="251695104" behindDoc="0" locked="0" layoutInCell="1" allowOverlap="1" wp14:anchorId="5E819643" wp14:editId="2ED5B631">
                <wp:simplePos x="0" y="0"/>
                <wp:positionH relativeFrom="column">
                  <wp:posOffset>3144254</wp:posOffset>
                </wp:positionH>
                <wp:positionV relativeFrom="paragraph">
                  <wp:posOffset>75160</wp:posOffset>
                </wp:positionV>
                <wp:extent cx="3064747" cy="1798655"/>
                <wp:effectExtent l="0" t="0" r="8890" b="17780"/>
                <wp:wrapNone/>
                <wp:docPr id="11295" name="Zone de texte 11295"/>
                <wp:cNvGraphicFramePr/>
                <a:graphic xmlns:a="http://schemas.openxmlformats.org/drawingml/2006/main">
                  <a:graphicData uri="http://schemas.microsoft.com/office/word/2010/wordprocessingShape">
                    <wps:wsp>
                      <wps:cNvSpPr txBox="1"/>
                      <wps:spPr>
                        <a:xfrm>
                          <a:off x="0" y="0"/>
                          <a:ext cx="3064747" cy="1798655"/>
                        </a:xfrm>
                        <a:prstGeom prst="rect">
                          <a:avLst/>
                        </a:prstGeom>
                        <a:solidFill>
                          <a:schemeClr val="lt1"/>
                        </a:solidFill>
                        <a:ln w="6350">
                          <a:solidFill>
                            <a:prstClr val="black"/>
                          </a:solidFill>
                        </a:ln>
                      </wps:spPr>
                      <wps:txbx>
                        <w:txbxContent>
                          <w:p w14:paraId="22884713" w14:textId="2D497936" w:rsidR="00240456" w:rsidRDefault="00240456">
                            <w:r>
                              <w:rPr>
                                <w:noProof/>
                              </w:rPr>
                              <w:drawing>
                                <wp:inline distT="0" distB="0" distL="0" distR="0" wp14:anchorId="76BBC616" wp14:editId="26F60A13">
                                  <wp:extent cx="2874529" cy="1668026"/>
                                  <wp:effectExtent l="0" t="0" r="0" b="0"/>
                                  <wp:docPr id="11279" name="Image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1605" cy="16721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19643" id="Zone de texte 11295" o:spid="_x0000_s1036" type="#_x0000_t202" style="position:absolute;left:0;text-align:left;margin-left:247.6pt;margin-top:5.9pt;width:241.3pt;height:14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" fillcolor="white [3201]" strokeweight=".5pt">
                <v:textbox>
                  <w:txbxContent>
                    <w:p w14:paraId="22884713" w14:textId="2D497936" w:rsidR="00240456" w:rsidRDefault="00240456">
                      <w:r>
                        <w:rPr>
                          <w:noProof/>
                        </w:rPr>
                        <w:drawing>
                          <wp:inline distT="0" distB="0" distL="0" distR="0" wp14:anchorId="76BBC616" wp14:editId="26F60A13">
                            <wp:extent cx="2874529" cy="1668026"/>
                            <wp:effectExtent l="0" t="0" r="0" b="0"/>
                            <wp:docPr id="11279" name="Image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1605" cy="1672132"/>
                                    </a:xfrm>
                                    <a:prstGeom prst="rect">
                                      <a:avLst/>
                                    </a:prstGeom>
                                  </pic:spPr>
                                </pic:pic>
                              </a:graphicData>
                            </a:graphic>
                          </wp:inline>
                        </w:drawing>
                      </w:r>
                    </w:p>
                  </w:txbxContent>
                </v:textbox>
              </v:shape>
            </w:pict>
          </mc:Fallback>
        </mc:AlternateContent>
      </w:r>
      <w:r w:rsidR="003F02F4">
        <w:rPr>
          <w:rFonts w:ascii="Calibri" w:hAnsi="Calibri"/>
          <w:noProof/>
        </w:rPr>
        <w:t>En juillet 2017, le Centre national de</w:t>
      </w:r>
      <w:r w:rsidR="00114F18">
        <w:rPr>
          <w:rFonts w:ascii="Calibri" w:hAnsi="Calibri"/>
          <w:noProof/>
        </w:rPr>
        <w:t xml:space="preserve"> </w:t>
      </w:r>
      <w:r w:rsidR="003F02F4">
        <w:rPr>
          <w:rFonts w:ascii="Calibri" w:hAnsi="Calibri"/>
          <w:noProof/>
        </w:rPr>
        <w:t xml:space="preserve"> transfusion sanguine (CNTS) établissait le annuel à </w:t>
      </w:r>
      <w:r w:rsidR="003F02F4" w:rsidRPr="003F02F4">
        <w:rPr>
          <w:rFonts w:ascii="Calibri" w:hAnsi="Calibri"/>
          <w:noProof/>
        </w:rPr>
        <w:t xml:space="preserve">105 mille unités, soit </w:t>
      </w:r>
      <w:r w:rsidR="003F02F4">
        <w:rPr>
          <w:rFonts w:ascii="Calibri" w:hAnsi="Calibri"/>
          <w:noProof/>
        </w:rPr>
        <w:t>10</w:t>
      </w:r>
      <w:r w:rsidR="003F02F4" w:rsidRPr="003F02F4">
        <w:rPr>
          <w:rFonts w:ascii="Calibri" w:hAnsi="Calibri"/>
          <w:noProof/>
        </w:rPr>
        <w:t xml:space="preserve"> dons par mille habitants. En 2016, </w:t>
      </w:r>
      <w:r w:rsidR="003F02F4">
        <w:rPr>
          <w:rFonts w:ascii="Calibri" w:hAnsi="Calibri"/>
          <w:noProof/>
        </w:rPr>
        <w:t>il a été collecté</w:t>
      </w:r>
      <w:r w:rsidR="003F02F4" w:rsidRPr="003F02F4">
        <w:rPr>
          <w:rFonts w:ascii="Calibri" w:hAnsi="Calibri"/>
          <w:noProof/>
        </w:rPr>
        <w:t xml:space="preserve"> </w:t>
      </w:r>
      <w:r w:rsidR="003F02F4">
        <w:rPr>
          <w:rFonts w:ascii="Calibri" w:hAnsi="Calibri"/>
          <w:noProof/>
        </w:rPr>
        <w:t>57.000 poches de sang soit 54,</w:t>
      </w:r>
      <w:r w:rsidR="003F02F4" w:rsidRPr="003F02F4">
        <w:rPr>
          <w:rFonts w:ascii="Calibri" w:hAnsi="Calibri"/>
          <w:noProof/>
        </w:rPr>
        <w:t>29</w:t>
      </w:r>
      <w:r w:rsidR="003F02F4">
        <w:rPr>
          <w:rFonts w:ascii="Calibri" w:hAnsi="Calibri"/>
          <w:noProof/>
        </w:rPr>
        <w:t>% de couverture, soit 5 dons/1000 habitants.</w:t>
      </w:r>
    </w:p>
    <w:p w14:paraId="16FC48C9" w14:textId="6780F6BF" w:rsidR="00793EE1" w:rsidRPr="00A82BAF" w:rsidRDefault="00793EE1" w:rsidP="006E51C6">
      <w:pPr>
        <w:ind w:left="426" w:right="5329"/>
        <w:jc w:val="both"/>
        <w:rPr>
          <w:rFonts w:ascii="Calibri" w:hAnsi="Calibri"/>
          <w:noProof/>
          <w:sz w:val="13"/>
        </w:rPr>
      </w:pPr>
    </w:p>
    <w:p w14:paraId="23902E1E" w14:textId="77777777" w:rsidR="004A0C3C" w:rsidRDefault="00793EE1" w:rsidP="006E51C6">
      <w:pPr>
        <w:ind w:left="426" w:right="5329"/>
        <w:jc w:val="both"/>
        <w:rPr>
          <w:rFonts w:ascii="Calibri" w:hAnsi="Calibri"/>
          <w:noProof/>
        </w:rPr>
      </w:pPr>
      <w:r>
        <w:rPr>
          <w:rFonts w:ascii="Calibri" w:hAnsi="Calibri"/>
          <w:noProof/>
        </w:rPr>
        <w:t xml:space="preserve">En ce qui concerne la prise en charge des cas d’exposition au sang avec risque de contamination, les données ne sont </w:t>
      </w:r>
      <w:r w:rsidR="004A0C3C">
        <w:rPr>
          <w:rFonts w:ascii="Calibri" w:hAnsi="Calibri"/>
          <w:noProof/>
        </w:rPr>
        <w:t xml:space="preserve">pas toutes </w:t>
      </w:r>
      <w:r>
        <w:rPr>
          <w:rFonts w:ascii="Calibri" w:hAnsi="Calibri"/>
          <w:noProof/>
        </w:rPr>
        <w:t>disponibles</w:t>
      </w:r>
      <w:r w:rsidR="004A0C3C">
        <w:rPr>
          <w:rFonts w:ascii="Calibri" w:hAnsi="Calibri"/>
          <w:noProof/>
        </w:rPr>
        <w:t>.</w:t>
      </w:r>
    </w:p>
    <w:p w14:paraId="644E9204" w14:textId="3248811D" w:rsidR="003F02F4" w:rsidRPr="00E91527" w:rsidRDefault="004A0C3C" w:rsidP="00E91527">
      <w:pPr>
        <w:ind w:left="426" w:right="-1"/>
        <w:jc w:val="both"/>
        <w:rPr>
          <w:rFonts w:ascii="Calibri" w:hAnsi="Calibri"/>
          <w:noProof/>
        </w:rPr>
      </w:pPr>
      <w:r>
        <w:rPr>
          <w:rFonts w:ascii="Calibri" w:hAnsi="Calibri"/>
          <w:noProof/>
        </w:rPr>
        <w:t>Cependant, ils restent significatifs parmi le personnel de santé et serait lié au m</w:t>
      </w:r>
      <w:r w:rsidRPr="00E91527">
        <w:rPr>
          <w:rFonts w:ascii="Calibri" w:hAnsi="Calibri"/>
          <w:noProof/>
        </w:rPr>
        <w:t xml:space="preserve">anque ou insuffisance de gestion des déchets, </w:t>
      </w:r>
      <w:r w:rsidR="00E91527" w:rsidRPr="00E91527">
        <w:rPr>
          <w:rFonts w:ascii="Calibri" w:hAnsi="Calibri"/>
          <w:noProof/>
        </w:rPr>
        <w:t xml:space="preserve">la formation insuffisance ou le non recyclage du personnel de </w:t>
      </w:r>
      <w:r w:rsidRPr="00E91527">
        <w:rPr>
          <w:rFonts w:ascii="Calibri" w:hAnsi="Calibri"/>
          <w:noProof/>
        </w:rPr>
        <w:t>d’incinérateurs dans certains sites</w:t>
      </w:r>
      <w:r w:rsidR="00E91527" w:rsidRPr="00E91527">
        <w:rPr>
          <w:rFonts w:ascii="Calibri" w:hAnsi="Calibri"/>
          <w:noProof/>
        </w:rPr>
        <w:t xml:space="preserve"> de prise en charge.</w:t>
      </w:r>
    </w:p>
    <w:p w14:paraId="228E0EA1" w14:textId="77777777" w:rsidR="00E91527" w:rsidRDefault="00E91527" w:rsidP="00E91527">
      <w:pPr>
        <w:ind w:left="426" w:right="-1"/>
        <w:jc w:val="both"/>
        <w:rPr>
          <w:rFonts w:ascii="Calibri" w:hAnsi="Calibri"/>
          <w:noProof/>
        </w:rPr>
      </w:pPr>
    </w:p>
    <w:p w14:paraId="40FC8905" w14:textId="36E619F3" w:rsidR="006E51C6" w:rsidRPr="00793EE1" w:rsidRDefault="006E51C6" w:rsidP="00793EE1">
      <w:pPr>
        <w:ind w:left="426" w:right="-1"/>
        <w:jc w:val="both"/>
        <w:rPr>
          <w:rFonts w:ascii="Calibri" w:hAnsi="Calibri"/>
          <w:noProof/>
        </w:rPr>
      </w:pPr>
      <w:r>
        <w:rPr>
          <w:rFonts w:ascii="Calibri" w:hAnsi="Calibri"/>
          <w:noProof/>
        </w:rPr>
        <w:t xml:space="preserve">En matière d’acquis on peut citer l’existence </w:t>
      </w:r>
      <w:r w:rsidRPr="00793EE1">
        <w:rPr>
          <w:rFonts w:ascii="Calibri" w:hAnsi="Calibri"/>
          <w:noProof/>
        </w:rPr>
        <w:t>normes nationales pour la sécurité transfusionnelle et de 4 centres régionaux et 31 unités hospitalière de transfusion sanguine. </w:t>
      </w:r>
    </w:p>
    <w:p w14:paraId="57E0A4AA" w14:textId="0437FE52" w:rsidR="006E51C6" w:rsidRPr="00A82BAF" w:rsidRDefault="006E51C6" w:rsidP="003F02F4">
      <w:pPr>
        <w:ind w:left="426" w:right="-1"/>
        <w:jc w:val="both"/>
        <w:rPr>
          <w:rFonts w:ascii="Calibri" w:hAnsi="Calibri"/>
          <w:noProof/>
          <w:sz w:val="15"/>
        </w:rPr>
      </w:pPr>
    </w:p>
    <w:p w14:paraId="7324394C" w14:textId="5B66B626" w:rsidR="006E51C6" w:rsidRDefault="003F02F4" w:rsidP="003F02F4">
      <w:pPr>
        <w:ind w:left="426" w:right="-1"/>
        <w:jc w:val="both"/>
        <w:rPr>
          <w:rFonts w:ascii="Calibri" w:hAnsi="Calibri"/>
          <w:noProof/>
        </w:rPr>
      </w:pPr>
      <w:r w:rsidRPr="003F02F4">
        <w:rPr>
          <w:rFonts w:ascii="Calibri" w:hAnsi="Calibri"/>
          <w:noProof/>
        </w:rPr>
        <w:t>Les principales raisons qui expliqueraient dette co</w:t>
      </w:r>
      <w:r>
        <w:rPr>
          <w:rFonts w:ascii="Calibri" w:hAnsi="Calibri"/>
          <w:noProof/>
        </w:rPr>
        <w:t xml:space="preserve">ntreperformance sont entre autres : </w:t>
      </w:r>
      <w:r w:rsidRPr="006E51C6">
        <w:rPr>
          <w:rFonts w:ascii="Calibri" w:hAnsi="Calibri" w:cs="Times"/>
          <w:bCs/>
          <w:color w:val="000000"/>
        </w:rPr>
        <w:t>le manque de professionnalisme, la surfacturation du prix du sang, la vétusté des infrastructures et du matériel et le manque de moyens du Centre national</w:t>
      </w:r>
      <w:r>
        <w:rPr>
          <w:rFonts w:ascii="Calibri" w:hAnsi="Calibri" w:cs="Times"/>
          <w:bCs/>
          <w:color w:val="000000"/>
        </w:rPr>
        <w:t xml:space="preserve">, </w:t>
      </w:r>
      <w:r w:rsidRPr="006E51C6">
        <w:rPr>
          <w:rFonts w:ascii="Calibri" w:hAnsi="Calibri" w:cs="Times"/>
          <w:bCs/>
          <w:color w:val="000000"/>
        </w:rPr>
        <w:t>la phobie du test de dépistage au VIH, le manque d’information et de</w:t>
      </w:r>
      <w:r>
        <w:rPr>
          <w:rFonts w:ascii="Calibri" w:hAnsi="Calibri" w:cs="Times"/>
          <w:bCs/>
          <w:color w:val="000000"/>
        </w:rPr>
        <w:t xml:space="preserve"> sensibilisation au don du sang et</w:t>
      </w:r>
      <w:r w:rsidRPr="006E51C6">
        <w:rPr>
          <w:rFonts w:ascii="Calibri" w:hAnsi="Calibri" w:cs="Times"/>
          <w:bCs/>
          <w:color w:val="000000"/>
        </w:rPr>
        <w:t xml:space="preserve"> les critères de choix assez selectes basés sur la bonne santé du donneur</w:t>
      </w:r>
      <w:r w:rsidR="00793EE1">
        <w:rPr>
          <w:rFonts w:ascii="Calibri" w:hAnsi="Calibri" w:cs="Times"/>
          <w:bCs/>
          <w:color w:val="000000"/>
        </w:rPr>
        <w:t>.</w:t>
      </w:r>
    </w:p>
    <w:p w14:paraId="242A6E55" w14:textId="09B93BB5" w:rsidR="006E51C6" w:rsidRPr="00A82BAF" w:rsidRDefault="006E51C6" w:rsidP="00F876B4">
      <w:pPr>
        <w:ind w:left="426" w:right="-1"/>
        <w:jc w:val="both"/>
        <w:rPr>
          <w:rFonts w:ascii="Calibri" w:hAnsi="Calibri"/>
          <w:noProof/>
          <w:sz w:val="15"/>
        </w:rPr>
      </w:pPr>
    </w:p>
    <w:tbl>
      <w:tblPr>
        <w:tblStyle w:val="Grilledutableau"/>
        <w:tblW w:w="0" w:type="auto"/>
        <w:tblInd w:w="421" w:type="dxa"/>
        <w:tblLook w:val="04A0" w:firstRow="1" w:lastRow="0" w:firstColumn="1" w:lastColumn="0" w:noHBand="0" w:noVBand="1"/>
      </w:tblPr>
      <w:tblGrid>
        <w:gridCol w:w="1057"/>
        <w:gridCol w:w="8377"/>
      </w:tblGrid>
      <w:tr w:rsidR="00793EE1" w:rsidRPr="00B63D74" w14:paraId="3E445925" w14:textId="77777777" w:rsidTr="00D56D3E">
        <w:tc>
          <w:tcPr>
            <w:tcW w:w="992" w:type="dxa"/>
            <w:shd w:val="clear" w:color="auto" w:fill="FF0000"/>
            <w:vAlign w:val="center"/>
          </w:tcPr>
          <w:p w14:paraId="4A8A1B58" w14:textId="77777777" w:rsidR="00793EE1" w:rsidRPr="00B63D74" w:rsidRDefault="00793EE1" w:rsidP="00D56D3E">
            <w:pPr>
              <w:rPr>
                <w:rFonts w:ascii="Calibri" w:hAnsi="Calibri"/>
                <w:sz w:val="20"/>
                <w:szCs w:val="20"/>
              </w:rPr>
            </w:pPr>
            <w:r w:rsidRPr="00B63D74">
              <w:rPr>
                <w:rFonts w:ascii="Calibri" w:hAnsi="Calibri"/>
                <w:color w:val="FFFFFF" w:themeColor="background1"/>
                <w:sz w:val="20"/>
                <w:szCs w:val="20"/>
              </w:rPr>
              <w:t>DEFIS/ PRIORITES</w:t>
            </w:r>
          </w:p>
        </w:tc>
        <w:tc>
          <w:tcPr>
            <w:tcW w:w="8442" w:type="dxa"/>
            <w:shd w:val="clear" w:color="auto" w:fill="E7E6E6" w:themeFill="background2"/>
          </w:tcPr>
          <w:p w14:paraId="3608C8A6" w14:textId="1A4711EE" w:rsidR="00793EE1" w:rsidRDefault="00793EE1" w:rsidP="00C34A61">
            <w:pPr>
              <w:pStyle w:val="Paragraphedeliste"/>
              <w:numPr>
                <w:ilvl w:val="0"/>
                <w:numId w:val="27"/>
              </w:numPr>
              <w:jc w:val="both"/>
              <w:rPr>
                <w:rFonts w:ascii="Calibri" w:hAnsi="Calibri"/>
                <w:sz w:val="20"/>
                <w:szCs w:val="20"/>
              </w:rPr>
            </w:pPr>
            <w:r>
              <w:rPr>
                <w:rFonts w:ascii="Calibri" w:hAnsi="Calibri"/>
                <w:sz w:val="20"/>
                <w:szCs w:val="20"/>
              </w:rPr>
              <w:t xml:space="preserve">Vaincre les résistances au don de sang </w:t>
            </w:r>
          </w:p>
          <w:p w14:paraId="2F47EDA4" w14:textId="70E0CF7C" w:rsidR="00793EE1" w:rsidRPr="00B63D74" w:rsidRDefault="00793EE1" w:rsidP="00C34A61">
            <w:pPr>
              <w:pStyle w:val="Paragraphedeliste"/>
              <w:numPr>
                <w:ilvl w:val="0"/>
                <w:numId w:val="27"/>
              </w:numPr>
              <w:jc w:val="both"/>
              <w:rPr>
                <w:rFonts w:ascii="Calibri" w:hAnsi="Calibri"/>
                <w:sz w:val="20"/>
                <w:szCs w:val="20"/>
              </w:rPr>
            </w:pPr>
            <w:r>
              <w:rPr>
                <w:rFonts w:ascii="Calibri" w:hAnsi="Calibri"/>
                <w:sz w:val="20"/>
                <w:szCs w:val="20"/>
              </w:rPr>
              <w:t xml:space="preserve">Assurer le suivi et la fidélisation des donneurs de sang bénévole </w:t>
            </w:r>
          </w:p>
          <w:p w14:paraId="11EB38E4" w14:textId="174AE2EE" w:rsidR="00793EE1" w:rsidRDefault="00793EE1" w:rsidP="00C34A61">
            <w:pPr>
              <w:pStyle w:val="Paragraphedeliste"/>
              <w:numPr>
                <w:ilvl w:val="0"/>
                <w:numId w:val="27"/>
              </w:numPr>
              <w:jc w:val="both"/>
              <w:rPr>
                <w:rFonts w:ascii="Calibri" w:hAnsi="Calibri"/>
                <w:sz w:val="20"/>
                <w:szCs w:val="20"/>
              </w:rPr>
            </w:pPr>
            <w:r>
              <w:rPr>
                <w:rFonts w:ascii="Calibri" w:hAnsi="Calibri"/>
                <w:sz w:val="20"/>
                <w:szCs w:val="20"/>
              </w:rPr>
              <w:t>Renforcer les mesures de sécurisation du sang</w:t>
            </w:r>
          </w:p>
          <w:p w14:paraId="38492CC7" w14:textId="78A4B205" w:rsidR="00916F28" w:rsidRDefault="00793EE1" w:rsidP="00C34A61">
            <w:pPr>
              <w:pStyle w:val="Paragraphedeliste"/>
              <w:numPr>
                <w:ilvl w:val="0"/>
                <w:numId w:val="27"/>
              </w:numPr>
              <w:jc w:val="both"/>
              <w:rPr>
                <w:rFonts w:ascii="Calibri" w:hAnsi="Calibri"/>
                <w:sz w:val="20"/>
                <w:szCs w:val="20"/>
              </w:rPr>
            </w:pPr>
            <w:r>
              <w:rPr>
                <w:rFonts w:ascii="Calibri" w:hAnsi="Calibri"/>
                <w:sz w:val="20"/>
                <w:szCs w:val="20"/>
              </w:rPr>
              <w:t>Renforcer les mesures de prév</w:t>
            </w:r>
            <w:r w:rsidR="00916F28">
              <w:rPr>
                <w:rFonts w:ascii="Calibri" w:hAnsi="Calibri"/>
                <w:sz w:val="20"/>
                <w:szCs w:val="20"/>
              </w:rPr>
              <w:t>ention contre les infections pour réduire les cas d’AES</w:t>
            </w:r>
          </w:p>
          <w:p w14:paraId="5F724816" w14:textId="41746B38" w:rsidR="00793EE1" w:rsidRPr="00B63D74" w:rsidRDefault="00916F28" w:rsidP="00C34A61">
            <w:pPr>
              <w:pStyle w:val="Paragraphedeliste"/>
              <w:numPr>
                <w:ilvl w:val="0"/>
                <w:numId w:val="27"/>
              </w:numPr>
              <w:jc w:val="both"/>
              <w:rPr>
                <w:rFonts w:ascii="Calibri" w:hAnsi="Calibri"/>
                <w:sz w:val="20"/>
                <w:szCs w:val="20"/>
              </w:rPr>
            </w:pPr>
            <w:r>
              <w:rPr>
                <w:rFonts w:ascii="Calibri" w:hAnsi="Calibri"/>
                <w:sz w:val="20"/>
                <w:szCs w:val="20"/>
              </w:rPr>
              <w:t>A</w:t>
            </w:r>
            <w:r w:rsidR="00793EE1">
              <w:rPr>
                <w:rFonts w:ascii="Calibri" w:hAnsi="Calibri"/>
                <w:sz w:val="20"/>
                <w:szCs w:val="20"/>
              </w:rPr>
              <w:t>ssurer la prise en charge et le suivi des cas d’accident d’exposition au sang et les documenter</w:t>
            </w:r>
          </w:p>
        </w:tc>
      </w:tr>
    </w:tbl>
    <w:p w14:paraId="223446BA" w14:textId="77777777" w:rsidR="00793EE1" w:rsidRPr="00A82BAF" w:rsidRDefault="00793EE1" w:rsidP="00F876B4">
      <w:pPr>
        <w:ind w:left="426" w:right="-1"/>
        <w:jc w:val="both"/>
        <w:rPr>
          <w:rFonts w:ascii="Calibri" w:hAnsi="Calibri"/>
          <w:noProof/>
          <w:sz w:val="15"/>
        </w:rPr>
      </w:pPr>
    </w:p>
    <w:p w14:paraId="14DE6090" w14:textId="7EE98EE8" w:rsidR="00AB79BD" w:rsidRPr="005B52BA" w:rsidRDefault="00AB79BD" w:rsidP="00C34A61">
      <w:pPr>
        <w:pStyle w:val="Paragraphedeliste"/>
        <w:numPr>
          <w:ilvl w:val="2"/>
          <w:numId w:val="6"/>
        </w:numPr>
        <w:ind w:left="567" w:hanging="567"/>
        <w:contextualSpacing w:val="0"/>
        <w:jc w:val="both"/>
        <w:rPr>
          <w:rFonts w:ascii="Calibri" w:hAnsi="Calibri"/>
          <w:b/>
        </w:rPr>
      </w:pPr>
      <w:r w:rsidRPr="005B52BA">
        <w:rPr>
          <w:rFonts w:ascii="Calibri" w:hAnsi="Calibri"/>
          <w:b/>
        </w:rPr>
        <w:t>Réduction de la morbidité et de la mortalité des PVVIH</w:t>
      </w:r>
    </w:p>
    <w:p w14:paraId="322B2BD6" w14:textId="77777777" w:rsidR="00AB79BD" w:rsidRPr="00A82BAF" w:rsidRDefault="00AB79BD" w:rsidP="00BD096E">
      <w:pPr>
        <w:jc w:val="both"/>
        <w:rPr>
          <w:rFonts w:ascii="Calibri" w:hAnsi="Calibri" w:cs="Times"/>
          <w:bCs/>
          <w:color w:val="000000"/>
          <w:sz w:val="16"/>
        </w:rPr>
      </w:pPr>
    </w:p>
    <w:p w14:paraId="19734AF2" w14:textId="73D64965" w:rsidR="00676931" w:rsidRPr="00676931" w:rsidRDefault="00676931" w:rsidP="00C34A61">
      <w:pPr>
        <w:pStyle w:val="Paragraphedeliste"/>
        <w:numPr>
          <w:ilvl w:val="0"/>
          <w:numId w:val="12"/>
        </w:numPr>
        <w:ind w:left="426"/>
        <w:jc w:val="both"/>
        <w:rPr>
          <w:rFonts w:ascii="Calibri" w:hAnsi="Calibri" w:cs="Times"/>
          <w:b/>
          <w:bCs/>
          <w:i/>
          <w:color w:val="000000"/>
        </w:rPr>
      </w:pPr>
      <w:r>
        <w:rPr>
          <w:rFonts w:ascii="Calibri" w:hAnsi="Calibri" w:cs="Times"/>
          <w:b/>
          <w:bCs/>
          <w:i/>
          <w:color w:val="000000"/>
        </w:rPr>
        <w:t>Le traitement antirétroviral</w:t>
      </w:r>
    </w:p>
    <w:p w14:paraId="058FA20C" w14:textId="77777777" w:rsidR="00BD096E" w:rsidRPr="00A82BAF" w:rsidRDefault="00BD096E" w:rsidP="00BD096E">
      <w:pPr>
        <w:jc w:val="both"/>
        <w:rPr>
          <w:rFonts w:ascii="Calibri" w:hAnsi="Calibri" w:cs="Times"/>
          <w:bCs/>
          <w:color w:val="000000"/>
          <w:sz w:val="16"/>
        </w:rPr>
      </w:pPr>
    </w:p>
    <w:p w14:paraId="59126171" w14:textId="05AB3B98" w:rsidR="00E91527" w:rsidRDefault="00351907" w:rsidP="00A82BAF">
      <w:pPr>
        <w:ind w:left="426"/>
        <w:jc w:val="both"/>
        <w:rPr>
          <w:rFonts w:ascii="Calibri" w:hAnsi="Calibri" w:cs="Times"/>
          <w:bCs/>
          <w:color w:val="000000"/>
        </w:rPr>
      </w:pPr>
      <w:r w:rsidRPr="00676931">
        <w:rPr>
          <w:rFonts w:ascii="Calibri" w:hAnsi="Calibri" w:cs="Times"/>
          <w:bCs/>
          <w:color w:val="000000"/>
        </w:rPr>
        <w:t xml:space="preserve">En termes </w:t>
      </w:r>
      <w:r w:rsidRPr="000C61AB">
        <w:rPr>
          <w:rFonts w:ascii="Calibri" w:hAnsi="Calibri" w:cs="Times"/>
          <w:bCs/>
          <w:color w:val="000000"/>
        </w:rPr>
        <w:t>d’offre de service</w:t>
      </w:r>
      <w:r w:rsidR="000C61AB">
        <w:rPr>
          <w:rFonts w:ascii="Calibri" w:hAnsi="Calibri" w:cs="Times"/>
          <w:bCs/>
          <w:color w:val="000000"/>
        </w:rPr>
        <w:t xml:space="preserve"> (sites de prise en c</w:t>
      </w:r>
      <w:r w:rsidRPr="00676931">
        <w:rPr>
          <w:rFonts w:ascii="Calibri" w:hAnsi="Calibri" w:cs="Times"/>
          <w:bCs/>
          <w:color w:val="000000"/>
        </w:rPr>
        <w:t>harge),</w:t>
      </w:r>
      <w:r w:rsidR="000C61AB">
        <w:rPr>
          <w:rFonts w:ascii="Calibri" w:hAnsi="Calibri" w:cs="Times"/>
          <w:bCs/>
          <w:color w:val="000000"/>
        </w:rPr>
        <w:t xml:space="preserve"> il était </w:t>
      </w:r>
      <w:r>
        <w:rPr>
          <w:rFonts w:ascii="Calibri" w:hAnsi="Calibri" w:cs="Times"/>
          <w:bCs/>
          <w:color w:val="000000"/>
        </w:rPr>
        <w:t xml:space="preserve">attendu </w:t>
      </w:r>
      <w:r w:rsidR="000C61AB">
        <w:rPr>
          <w:rFonts w:ascii="Calibri" w:hAnsi="Calibri" w:cs="Times"/>
          <w:bCs/>
          <w:color w:val="000000"/>
        </w:rPr>
        <w:t xml:space="preserve">168 sites </w:t>
      </w:r>
      <w:r>
        <w:rPr>
          <w:rFonts w:ascii="Calibri" w:hAnsi="Calibri" w:cs="Times"/>
          <w:bCs/>
          <w:color w:val="000000"/>
        </w:rPr>
        <w:t>en fin 2017</w:t>
      </w:r>
      <w:r w:rsidR="000C61AB">
        <w:rPr>
          <w:rFonts w:ascii="Calibri" w:hAnsi="Calibri" w:cs="Times"/>
          <w:bCs/>
          <w:color w:val="000000"/>
        </w:rPr>
        <w:t>. En 2017</w:t>
      </w:r>
      <w:r w:rsidR="00114F18">
        <w:rPr>
          <w:rFonts w:ascii="Calibri" w:hAnsi="Calibri" w:cs="Times"/>
          <w:bCs/>
          <w:color w:val="000000"/>
        </w:rPr>
        <w:t>, seulement</w:t>
      </w:r>
      <w:r>
        <w:rPr>
          <w:rFonts w:ascii="Calibri" w:hAnsi="Calibri" w:cs="Times"/>
          <w:bCs/>
          <w:color w:val="000000"/>
        </w:rPr>
        <w:t xml:space="preserve"> 142</w:t>
      </w:r>
      <w:r w:rsidR="00114F18">
        <w:rPr>
          <w:rFonts w:ascii="Calibri" w:hAnsi="Calibri" w:cs="Times"/>
          <w:bCs/>
          <w:color w:val="000000"/>
        </w:rPr>
        <w:t xml:space="preserve"> sites ont intégré la prise en charge et</w:t>
      </w:r>
      <w:r>
        <w:rPr>
          <w:rFonts w:ascii="Calibri" w:hAnsi="Calibri" w:cs="Times"/>
          <w:bCs/>
          <w:color w:val="000000"/>
        </w:rPr>
        <w:t xml:space="preserve"> seulement 86 sites sont fonctionnels.</w:t>
      </w:r>
      <w:r w:rsidR="004A0C3C">
        <w:rPr>
          <w:rFonts w:ascii="Calibri" w:hAnsi="Calibri" w:cs="Times"/>
          <w:bCs/>
          <w:color w:val="000000"/>
        </w:rPr>
        <w:t xml:space="preserve"> </w:t>
      </w:r>
      <w:r w:rsidRPr="00676931">
        <w:rPr>
          <w:rFonts w:ascii="Calibri" w:hAnsi="Calibri" w:cs="Times"/>
          <w:bCs/>
          <w:color w:val="000000"/>
        </w:rPr>
        <w:t xml:space="preserve">La file active des PVVIH sous ARV n’a </w:t>
      </w:r>
      <w:r w:rsidR="004A0C3C">
        <w:rPr>
          <w:rFonts w:ascii="Calibri" w:hAnsi="Calibri" w:cs="Times"/>
          <w:bCs/>
          <w:color w:val="000000"/>
        </w:rPr>
        <w:t>cessé de croitre, passant de 27</w:t>
      </w:r>
      <w:r w:rsidRPr="00676931">
        <w:rPr>
          <w:rFonts w:ascii="Calibri" w:hAnsi="Calibri" w:cs="Times"/>
          <w:bCs/>
          <w:color w:val="000000"/>
        </w:rPr>
        <w:t xml:space="preserve">792 en 2013 à </w:t>
      </w:r>
      <w:r w:rsidR="004A0C3C">
        <w:rPr>
          <w:rFonts w:ascii="Calibri" w:hAnsi="Calibri" w:cs="Times"/>
          <w:bCs/>
          <w:color w:val="000000"/>
        </w:rPr>
        <w:t>51406</w:t>
      </w:r>
      <w:r w:rsidRPr="00676931">
        <w:rPr>
          <w:rFonts w:ascii="Calibri" w:hAnsi="Calibri" w:cs="Times"/>
          <w:bCs/>
          <w:color w:val="000000"/>
        </w:rPr>
        <w:t xml:space="preserve"> en </w:t>
      </w:r>
      <w:r w:rsidR="004A0C3C">
        <w:rPr>
          <w:rFonts w:ascii="Calibri" w:hAnsi="Calibri" w:cs="Times"/>
          <w:bCs/>
          <w:color w:val="000000"/>
        </w:rPr>
        <w:t xml:space="preserve">fin 2017, soit une couverture de 42% loin des 90% attendus en fin 2020 pour les objectifs mondiaux. </w:t>
      </w:r>
    </w:p>
    <w:p w14:paraId="43EC28C6" w14:textId="77777777" w:rsidR="00E91527" w:rsidRPr="00A82BAF" w:rsidRDefault="00E91527" w:rsidP="00351907">
      <w:pPr>
        <w:spacing w:line="276" w:lineRule="auto"/>
        <w:jc w:val="both"/>
        <w:rPr>
          <w:rFonts w:ascii="Calibri" w:hAnsi="Calibri" w:cs="Times"/>
          <w:bCs/>
          <w:color w:val="000000"/>
          <w:sz w:val="15"/>
        </w:rPr>
      </w:pPr>
    </w:p>
    <w:p w14:paraId="783DB7B2" w14:textId="6903CB27" w:rsidR="004A0C3C" w:rsidRPr="00563646" w:rsidRDefault="004A0C3C" w:rsidP="00563646">
      <w:pPr>
        <w:pStyle w:val="graph"/>
        <w:ind w:firstLine="709"/>
        <w:jc w:val="left"/>
        <w:rPr>
          <w:b w:val="0"/>
        </w:rPr>
      </w:pPr>
      <w:bookmarkStart w:id="58" w:name="_Toc521065115"/>
      <w:r w:rsidRPr="00563646">
        <w:rPr>
          <w:u w:val="single"/>
        </w:rPr>
        <w:t>Graphique 9</w:t>
      </w:r>
      <w:r>
        <w:t xml:space="preserve"> </w:t>
      </w:r>
      <w:r w:rsidRPr="004A0C3C">
        <w:t xml:space="preserve">: </w:t>
      </w:r>
      <w:r w:rsidRPr="00563646">
        <w:rPr>
          <w:b w:val="0"/>
        </w:rPr>
        <w:t>Évolution du nombre et de la couverture des PVVIH sous ARV</w:t>
      </w:r>
      <w:bookmarkEnd w:id="58"/>
      <w:r w:rsidRPr="00563646">
        <w:rPr>
          <w:b w:val="0"/>
        </w:rPr>
        <w:t xml:space="preserve"> </w:t>
      </w:r>
    </w:p>
    <w:p w14:paraId="6E595D2C" w14:textId="7558416A" w:rsidR="004A0C3C" w:rsidRDefault="004A0C3C" w:rsidP="00351907">
      <w:pPr>
        <w:spacing w:line="276" w:lineRule="auto"/>
        <w:jc w:val="both"/>
        <w:rPr>
          <w:rFonts w:ascii="Calibri" w:hAnsi="Calibri" w:cs="Times"/>
          <w:bCs/>
          <w:color w:val="000000"/>
        </w:rPr>
      </w:pPr>
      <w:r>
        <w:rPr>
          <w:noProof/>
        </w:rPr>
        <w:drawing>
          <wp:inline distT="0" distB="0" distL="0" distR="0" wp14:anchorId="55D27704" wp14:editId="3F9D4939">
            <wp:extent cx="6263459" cy="1748117"/>
            <wp:effectExtent l="0" t="0" r="0" b="5080"/>
            <wp:docPr id="11298" name="Image 1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5763" cy="1754342"/>
                    </a:xfrm>
                    <a:prstGeom prst="rect">
                      <a:avLst/>
                    </a:prstGeom>
                  </pic:spPr>
                </pic:pic>
              </a:graphicData>
            </a:graphic>
          </wp:inline>
        </w:drawing>
      </w:r>
    </w:p>
    <w:p w14:paraId="189C7708" w14:textId="7A28C709" w:rsidR="00E91527" w:rsidRDefault="00E91527" w:rsidP="00E91527">
      <w:pPr>
        <w:ind w:left="426"/>
        <w:jc w:val="both"/>
        <w:rPr>
          <w:rFonts w:ascii="Calibri" w:hAnsi="Calibri" w:cs="Times"/>
          <w:bCs/>
          <w:color w:val="000000"/>
        </w:rPr>
      </w:pPr>
      <w:r>
        <w:rPr>
          <w:rFonts w:ascii="Calibri" w:hAnsi="Calibri" w:cs="Times"/>
          <w:bCs/>
          <w:color w:val="000000"/>
        </w:rPr>
        <w:t>Concernant la prise en charge, on note que le nombre d’enfants de moins de 15 ans sous ARV, après correction de l’audit, était de 1583 sur un besoin de 9763 soit une couverture de 16,2%. En fin 2017, le nombre d’enfants sous ARV est passé à 2239 sur un besoin de 1</w:t>
      </w:r>
      <w:r w:rsidR="008159C0">
        <w:rPr>
          <w:rFonts w:ascii="Calibri" w:hAnsi="Calibri" w:cs="Times"/>
          <w:bCs/>
          <w:color w:val="000000"/>
        </w:rPr>
        <w:t>8525 soit une couverture de 12%, au lieu des 36% attendu pour l’objectif d’accélération de la prise en charge.</w:t>
      </w:r>
    </w:p>
    <w:p w14:paraId="55C24117" w14:textId="1847FDCD" w:rsidR="00E91527" w:rsidRDefault="00E91527" w:rsidP="00E91527">
      <w:pPr>
        <w:ind w:left="426"/>
        <w:jc w:val="both"/>
        <w:rPr>
          <w:rFonts w:ascii="Calibri" w:hAnsi="Calibri" w:cs="Times"/>
          <w:bCs/>
          <w:color w:val="000000"/>
        </w:rPr>
      </w:pPr>
    </w:p>
    <w:p w14:paraId="0AB0F50D" w14:textId="31B5BCDD" w:rsidR="00E91527" w:rsidRPr="00E91527" w:rsidRDefault="00E91527" w:rsidP="00E91527">
      <w:pPr>
        <w:ind w:left="426"/>
        <w:jc w:val="both"/>
        <w:rPr>
          <w:rFonts w:ascii="Calibri" w:hAnsi="Calibri" w:cs="Times"/>
          <w:bCs/>
          <w:color w:val="000000"/>
        </w:rPr>
      </w:pPr>
      <w:r w:rsidRPr="00E91527">
        <w:rPr>
          <w:rFonts w:ascii="Calibri" w:hAnsi="Calibri" w:cs="Times"/>
          <w:bCs/>
          <w:color w:val="000000"/>
        </w:rPr>
        <w:t>L’analyse de la cascade de la prise en charge montre que 63% des PVVIH ignore leur statut sérologique au VIH. Aussi, parmi les 35.482 PVVIH sous ARV, on note que 22.622 n’ont pas bénéficié de la charge virale (63%), Le profil programmatique actuel est ainsi illustré par la figure suivante :</w:t>
      </w:r>
    </w:p>
    <w:p w14:paraId="41B59A89" w14:textId="77777777" w:rsidR="00E91527" w:rsidRPr="00E91527" w:rsidRDefault="00E91527" w:rsidP="00E91527">
      <w:pPr>
        <w:ind w:left="426"/>
        <w:jc w:val="both"/>
        <w:rPr>
          <w:rFonts w:ascii="Calibri" w:hAnsi="Calibri" w:cs="Times"/>
          <w:bCs/>
          <w:color w:val="000000"/>
        </w:rPr>
      </w:pPr>
    </w:p>
    <w:p w14:paraId="6EF6570D" w14:textId="014702F7" w:rsidR="00E91527" w:rsidRPr="00563646" w:rsidRDefault="008159C0" w:rsidP="00563646">
      <w:pPr>
        <w:pStyle w:val="graph"/>
        <w:ind w:left="426" w:firstLine="709"/>
        <w:jc w:val="left"/>
        <w:rPr>
          <w:b w:val="0"/>
        </w:rPr>
      </w:pPr>
      <w:bookmarkStart w:id="59" w:name="_Toc521065116"/>
      <w:r w:rsidRPr="00563646">
        <w:rPr>
          <w:u w:val="single"/>
        </w:rPr>
        <w:t>Graphique 10</w:t>
      </w:r>
      <w:r w:rsidRPr="008159C0">
        <w:t> </w:t>
      </w:r>
      <w:r w:rsidRPr="00563646">
        <w:rPr>
          <w:b w:val="0"/>
        </w:rPr>
        <w:t>: Cascade la prise en charge des PVVIH</w:t>
      </w:r>
      <w:bookmarkEnd w:id="59"/>
    </w:p>
    <w:p w14:paraId="7B769364" w14:textId="3FBC7533" w:rsidR="00E91527" w:rsidRPr="00E91527" w:rsidRDefault="008159C0" w:rsidP="00E91527">
      <w:pPr>
        <w:ind w:left="426"/>
        <w:jc w:val="both"/>
        <w:rPr>
          <w:rFonts w:ascii="Calibri" w:hAnsi="Calibri" w:cs="Times"/>
          <w:bCs/>
          <w:color w:val="000000"/>
        </w:rPr>
      </w:pPr>
      <w:r>
        <w:rPr>
          <w:noProof/>
        </w:rPr>
        <w:drawing>
          <wp:inline distT="0" distB="0" distL="0" distR="0" wp14:anchorId="3BE908CF" wp14:editId="49EFFC61">
            <wp:extent cx="6260254" cy="1766047"/>
            <wp:effectExtent l="0" t="0" r="1270" b="0"/>
            <wp:docPr id="11299" name="Image 1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78456" cy="1771182"/>
                    </a:xfrm>
                    <a:prstGeom prst="rect">
                      <a:avLst/>
                    </a:prstGeom>
                  </pic:spPr>
                </pic:pic>
              </a:graphicData>
            </a:graphic>
          </wp:inline>
        </w:drawing>
      </w:r>
    </w:p>
    <w:p w14:paraId="0F016555" w14:textId="77777777" w:rsidR="00E91527" w:rsidRPr="00E91527" w:rsidRDefault="00E91527" w:rsidP="00E91527">
      <w:pPr>
        <w:ind w:left="426"/>
        <w:jc w:val="both"/>
        <w:rPr>
          <w:rFonts w:ascii="Calibri" w:hAnsi="Calibri" w:cs="Times"/>
          <w:bCs/>
          <w:color w:val="000000"/>
        </w:rPr>
      </w:pPr>
    </w:p>
    <w:p w14:paraId="657BE7E6" w14:textId="77777777" w:rsidR="00E91527" w:rsidRPr="00E91527" w:rsidRDefault="00E91527" w:rsidP="00E91527">
      <w:pPr>
        <w:ind w:left="426"/>
        <w:jc w:val="both"/>
        <w:rPr>
          <w:rFonts w:ascii="Calibri" w:hAnsi="Calibri" w:cs="Times"/>
          <w:bCs/>
          <w:color w:val="000000"/>
        </w:rPr>
      </w:pPr>
      <w:r w:rsidRPr="00E91527">
        <w:rPr>
          <w:rFonts w:ascii="Calibri" w:hAnsi="Calibri" w:cs="Times"/>
          <w:bCs/>
          <w:color w:val="000000"/>
        </w:rPr>
        <w:t>Concernant la survie des PVVIH sous ARV, il y a une amélioration du taux de survie à 12 mois : 70% (2012), 77,5% (2014), 78,7% (2015). Le taux de survie à 24 mois des patients (adultes et enfants) après le début du traitement est de 64,9% (2015) (données de 2016 à mettre !!!) pour une cible attendue de 77% en 2017.</w:t>
      </w:r>
    </w:p>
    <w:p w14:paraId="5D7C5C03" w14:textId="77777777" w:rsidR="00E91527" w:rsidRPr="00E91527" w:rsidRDefault="00E91527" w:rsidP="00E91527">
      <w:pPr>
        <w:ind w:left="426"/>
        <w:jc w:val="both"/>
        <w:rPr>
          <w:rFonts w:ascii="Calibri" w:hAnsi="Calibri" w:cs="Times"/>
          <w:bCs/>
          <w:color w:val="000000"/>
        </w:rPr>
      </w:pPr>
    </w:p>
    <w:p w14:paraId="1CE07146" w14:textId="280DB5F6" w:rsidR="00E91527" w:rsidRDefault="00E91527" w:rsidP="00E91527">
      <w:pPr>
        <w:ind w:left="426"/>
        <w:jc w:val="both"/>
        <w:rPr>
          <w:rFonts w:ascii="Calibri" w:hAnsi="Calibri" w:cs="Times"/>
          <w:bCs/>
          <w:color w:val="000000"/>
        </w:rPr>
      </w:pPr>
      <w:r w:rsidRPr="00E91527">
        <w:rPr>
          <w:rFonts w:ascii="Calibri" w:hAnsi="Calibri" w:cs="Times"/>
          <w:bCs/>
          <w:color w:val="000000"/>
        </w:rPr>
        <w:t xml:space="preserve">En termes de renforcement des capacités pour le suivi biologique on notera l’acquisition d’équipement de laboratoires (Compteur CD4, Appareil de charge virale, Automates pour la biologie/biochimie, les nombres à mettre) et de diagnostic d’imagerie médicale. </w:t>
      </w:r>
      <w:r w:rsidRPr="00E91527">
        <w:rPr>
          <w:rFonts w:ascii="MS Gothic" w:eastAsia="MS Gothic" w:hAnsi="MS Gothic" w:cs="MS Gothic" w:hint="eastAsia"/>
          <w:bCs/>
          <w:color w:val="000000"/>
        </w:rPr>
        <w:t> </w:t>
      </w:r>
      <w:r w:rsidRPr="00E91527">
        <w:rPr>
          <w:rFonts w:ascii="Calibri" w:hAnsi="Calibri" w:cs="Times"/>
          <w:bCs/>
          <w:color w:val="000000"/>
        </w:rPr>
        <w:t xml:space="preserve">Aussi, il a </w:t>
      </w:r>
      <w:r w:rsidR="008159C0" w:rsidRPr="00E91527">
        <w:rPr>
          <w:rFonts w:ascii="Calibri" w:hAnsi="Calibri" w:cs="Times"/>
          <w:bCs/>
          <w:color w:val="000000"/>
        </w:rPr>
        <w:t>été procédé</w:t>
      </w:r>
      <w:r w:rsidRPr="00E91527">
        <w:rPr>
          <w:rFonts w:ascii="Calibri" w:hAnsi="Calibri" w:cs="Times"/>
          <w:bCs/>
          <w:color w:val="000000"/>
        </w:rPr>
        <w:t xml:space="preserve"> au recalibrage de 15 appareils GenXpert acquis dans le cadre de la MVE pour leur utilisation dans la réponse nationale au VIH.</w:t>
      </w:r>
      <w:r w:rsidR="00A20BA0">
        <w:rPr>
          <w:rFonts w:ascii="Calibri" w:hAnsi="Calibri" w:cs="Times"/>
          <w:bCs/>
          <w:color w:val="000000"/>
        </w:rPr>
        <w:t xml:space="preserve"> </w:t>
      </w:r>
      <w:r w:rsidRPr="00E91527">
        <w:rPr>
          <w:rFonts w:ascii="Calibri" w:hAnsi="Calibri" w:cs="Times"/>
          <w:bCs/>
          <w:color w:val="000000"/>
        </w:rPr>
        <w:t xml:space="preserve">Malgré ce parc de compteur CD4, d’appareil de charge virale, les automates de biochimie, d’hématologie et d’imagerie médicale, les patients </w:t>
      </w:r>
      <w:r w:rsidR="008159C0" w:rsidRPr="00E91527">
        <w:rPr>
          <w:rFonts w:ascii="Calibri" w:hAnsi="Calibri" w:cs="Times"/>
          <w:bCs/>
          <w:color w:val="000000"/>
        </w:rPr>
        <w:t>continuent à</w:t>
      </w:r>
      <w:r w:rsidRPr="00E91527">
        <w:rPr>
          <w:rFonts w:ascii="Calibri" w:hAnsi="Calibri" w:cs="Times"/>
          <w:bCs/>
          <w:color w:val="000000"/>
        </w:rPr>
        <w:t xml:space="preserve"> avoir des difficultés d’accès au suivi biologique.</w:t>
      </w:r>
      <w:r w:rsidR="008159C0">
        <w:rPr>
          <w:rFonts w:ascii="Calibri" w:hAnsi="Calibri" w:cs="Times"/>
          <w:bCs/>
          <w:color w:val="000000"/>
        </w:rPr>
        <w:t xml:space="preserve"> </w:t>
      </w:r>
    </w:p>
    <w:p w14:paraId="35C41539" w14:textId="77777777" w:rsidR="00E91527" w:rsidRDefault="00E91527" w:rsidP="00E91527">
      <w:pPr>
        <w:ind w:left="426"/>
        <w:jc w:val="both"/>
        <w:rPr>
          <w:rFonts w:ascii="Calibri" w:hAnsi="Calibri" w:cs="Times"/>
          <w:bCs/>
          <w:color w:val="000000"/>
        </w:rPr>
      </w:pPr>
    </w:p>
    <w:p w14:paraId="1BECDB62" w14:textId="17EE8DD6" w:rsidR="004A0C3C" w:rsidRDefault="004A0C3C" w:rsidP="00E91527">
      <w:pPr>
        <w:ind w:left="426"/>
        <w:jc w:val="both"/>
        <w:rPr>
          <w:rFonts w:ascii="Calibri" w:hAnsi="Calibri" w:cs="Times"/>
          <w:bCs/>
          <w:color w:val="000000"/>
        </w:rPr>
      </w:pPr>
      <w:r>
        <w:rPr>
          <w:rFonts w:ascii="Calibri" w:hAnsi="Calibri" w:cs="Times"/>
          <w:bCs/>
          <w:color w:val="000000"/>
        </w:rPr>
        <w:t>Les faibles performances en matière de prise en charge s’expliqueraient par la combinaison de plusieurs facteurs dont entre autres :</w:t>
      </w:r>
    </w:p>
    <w:p w14:paraId="1FEDA9BD" w14:textId="366BBF8E" w:rsidR="004A0C3C" w:rsidRPr="00A45996" w:rsidRDefault="00E91527" w:rsidP="00C34A61">
      <w:pPr>
        <w:pStyle w:val="Paragraphedeliste"/>
        <w:numPr>
          <w:ilvl w:val="0"/>
          <w:numId w:val="30"/>
        </w:numPr>
        <w:jc w:val="both"/>
        <w:rPr>
          <w:rFonts w:ascii="Calibri" w:hAnsi="Calibri" w:cs="Times"/>
          <w:color w:val="000000"/>
        </w:rPr>
      </w:pPr>
      <w:r w:rsidRPr="00A45996">
        <w:rPr>
          <w:rFonts w:ascii="Calibri" w:hAnsi="Calibri" w:cs="Times"/>
          <w:color w:val="000000"/>
        </w:rPr>
        <w:t xml:space="preserve">La déperdition des patients dépistés positifs </w:t>
      </w:r>
      <w:r w:rsidR="00157FEA">
        <w:rPr>
          <w:rFonts w:ascii="Calibri" w:hAnsi="Calibri" w:cs="Times"/>
          <w:color w:val="000000"/>
        </w:rPr>
        <w:t xml:space="preserve">(adultes et enfants) </w:t>
      </w:r>
      <w:r w:rsidRPr="00A45996">
        <w:rPr>
          <w:rFonts w:ascii="Calibri" w:hAnsi="Calibri" w:cs="Times"/>
          <w:color w:val="000000"/>
        </w:rPr>
        <w:t>entre les sites de traitement et de prise en charge</w:t>
      </w:r>
      <w:r w:rsidRPr="00E91527">
        <w:rPr>
          <w:vertAlign w:val="superscript"/>
        </w:rPr>
        <w:footnoteReference w:id="10"/>
      </w:r>
      <w:r w:rsidR="00A45996" w:rsidRPr="00A45996">
        <w:rPr>
          <w:rFonts w:ascii="Calibri" w:hAnsi="Calibri" w:cs="Times"/>
          <w:color w:val="000000"/>
        </w:rPr>
        <w:t xml:space="preserve"> associé à l</w:t>
      </w:r>
      <w:r w:rsidR="004A0C3C" w:rsidRPr="00A45996">
        <w:rPr>
          <w:rFonts w:ascii="Calibri" w:hAnsi="Calibri" w:cs="Times"/>
          <w:color w:val="000000"/>
        </w:rPr>
        <w:t>a faible rétention dans les sites de traitement et des perdus de vue</w:t>
      </w:r>
      <w:r w:rsidR="004A0C3C" w:rsidRPr="00E91527">
        <w:rPr>
          <w:vertAlign w:val="superscript"/>
        </w:rPr>
        <w:footnoteReference w:id="11"/>
      </w:r>
    </w:p>
    <w:p w14:paraId="738EA295" w14:textId="33376A15" w:rsidR="004A0C3C" w:rsidRPr="00A45996" w:rsidRDefault="00A45996" w:rsidP="00C34A61">
      <w:pPr>
        <w:pStyle w:val="Paragraphedeliste"/>
        <w:numPr>
          <w:ilvl w:val="0"/>
          <w:numId w:val="30"/>
        </w:numPr>
        <w:jc w:val="both"/>
        <w:rPr>
          <w:rFonts w:ascii="Calibri" w:hAnsi="Calibri" w:cs="Times"/>
          <w:color w:val="000000"/>
        </w:rPr>
      </w:pPr>
      <w:r>
        <w:rPr>
          <w:rFonts w:ascii="Calibri" w:hAnsi="Calibri" w:cs="Times"/>
          <w:color w:val="000000"/>
        </w:rPr>
        <w:t xml:space="preserve">La </w:t>
      </w:r>
      <w:r>
        <w:rPr>
          <w:rFonts w:ascii="Calibri" w:hAnsi="Calibri" w:cs="Times"/>
          <w:bCs/>
          <w:color w:val="000000"/>
        </w:rPr>
        <w:t>faible préparation des patients à l’initiation du TAR</w:t>
      </w:r>
    </w:p>
    <w:p w14:paraId="6FED67EA" w14:textId="0DCDECA7" w:rsidR="00A45996" w:rsidRPr="00A45996" w:rsidRDefault="00A45996" w:rsidP="00C34A61">
      <w:pPr>
        <w:pStyle w:val="Paragraphedeliste"/>
        <w:numPr>
          <w:ilvl w:val="0"/>
          <w:numId w:val="30"/>
        </w:numPr>
        <w:jc w:val="both"/>
        <w:rPr>
          <w:rFonts w:ascii="Calibri" w:hAnsi="Calibri" w:cs="Times"/>
          <w:color w:val="000000"/>
        </w:rPr>
      </w:pPr>
      <w:r>
        <w:rPr>
          <w:rFonts w:ascii="Calibri" w:hAnsi="Calibri" w:cs="Times"/>
          <w:bCs/>
          <w:color w:val="000000"/>
        </w:rPr>
        <w:t>Les ruptures fréquentes en intrants (ARV</w:t>
      </w:r>
      <w:r w:rsidR="00157FEA">
        <w:rPr>
          <w:rFonts w:ascii="Calibri" w:hAnsi="Calibri" w:cs="Times"/>
          <w:bCs/>
          <w:color w:val="000000"/>
        </w:rPr>
        <w:t xml:space="preserve">, médicaments contre les IO </w:t>
      </w:r>
      <w:r>
        <w:rPr>
          <w:rFonts w:ascii="Calibri" w:hAnsi="Calibri" w:cs="Times"/>
          <w:bCs/>
          <w:color w:val="000000"/>
        </w:rPr>
        <w:t>et réactifs)</w:t>
      </w:r>
    </w:p>
    <w:p w14:paraId="313B50E0" w14:textId="07959AF0" w:rsidR="00A45996" w:rsidRPr="00A45996" w:rsidRDefault="00A45996" w:rsidP="00C34A61">
      <w:pPr>
        <w:pStyle w:val="Paragraphedeliste"/>
        <w:numPr>
          <w:ilvl w:val="0"/>
          <w:numId w:val="30"/>
        </w:numPr>
        <w:jc w:val="both"/>
        <w:rPr>
          <w:rFonts w:ascii="Calibri" w:hAnsi="Calibri" w:cs="Times"/>
          <w:color w:val="000000"/>
        </w:rPr>
      </w:pPr>
      <w:r>
        <w:rPr>
          <w:rFonts w:ascii="Calibri" w:hAnsi="Calibri" w:cs="Times"/>
          <w:bCs/>
          <w:color w:val="000000"/>
        </w:rPr>
        <w:t>L’inaccessibilité géographique des sites de prise et faible revenu des patients et/ou des ménages affectés par le VIH</w:t>
      </w:r>
    </w:p>
    <w:p w14:paraId="1165A150" w14:textId="25CE7410" w:rsidR="00A45996" w:rsidRPr="00A45996" w:rsidRDefault="00A45996" w:rsidP="00C34A61">
      <w:pPr>
        <w:pStyle w:val="Paragraphedeliste"/>
        <w:numPr>
          <w:ilvl w:val="0"/>
          <w:numId w:val="30"/>
        </w:numPr>
        <w:jc w:val="both"/>
        <w:rPr>
          <w:rFonts w:ascii="Calibri" w:hAnsi="Calibri" w:cs="Times"/>
          <w:color w:val="000000"/>
        </w:rPr>
      </w:pPr>
      <w:r>
        <w:rPr>
          <w:rFonts w:ascii="Calibri" w:hAnsi="Calibri" w:cs="Times"/>
          <w:bCs/>
          <w:color w:val="000000"/>
        </w:rPr>
        <w:t>Le faible accompagnement psychosocial et nutritionnel</w:t>
      </w:r>
    </w:p>
    <w:p w14:paraId="7C475DE1" w14:textId="30710EA1" w:rsidR="00A45996" w:rsidRPr="00A45996" w:rsidRDefault="00A45996" w:rsidP="00C34A61">
      <w:pPr>
        <w:pStyle w:val="Paragraphedeliste"/>
        <w:numPr>
          <w:ilvl w:val="0"/>
          <w:numId w:val="30"/>
        </w:numPr>
        <w:jc w:val="both"/>
        <w:rPr>
          <w:rFonts w:ascii="Calibri" w:hAnsi="Calibri" w:cs="Times"/>
          <w:color w:val="000000"/>
        </w:rPr>
      </w:pPr>
      <w:r>
        <w:rPr>
          <w:rFonts w:ascii="Calibri" w:hAnsi="Calibri" w:cs="Times"/>
          <w:bCs/>
          <w:color w:val="000000"/>
        </w:rPr>
        <w:t>L’insuffisance de système de communication efficace pour le suivi des patients VIH+ (rappel de rendez-vous des patients, tenue des groupes de paroles par les APS, la recherche des perdus de vue par les RECO et ACS)</w:t>
      </w:r>
    </w:p>
    <w:p w14:paraId="6DA32FB5" w14:textId="32E9B0F7" w:rsidR="00A45996" w:rsidRPr="00A45996" w:rsidRDefault="00A45996" w:rsidP="00C34A61">
      <w:pPr>
        <w:pStyle w:val="Paragraphedeliste"/>
        <w:numPr>
          <w:ilvl w:val="0"/>
          <w:numId w:val="30"/>
        </w:numPr>
        <w:spacing w:line="276" w:lineRule="auto"/>
        <w:jc w:val="both"/>
        <w:rPr>
          <w:rFonts w:ascii="Calibri" w:hAnsi="Calibri" w:cs="Times"/>
          <w:bCs/>
          <w:color w:val="000000"/>
        </w:rPr>
      </w:pPr>
      <w:r>
        <w:rPr>
          <w:rFonts w:ascii="Calibri" w:hAnsi="Calibri" w:cs="Times"/>
          <w:bCs/>
          <w:color w:val="000000"/>
        </w:rPr>
        <w:t>L</w:t>
      </w:r>
      <w:r w:rsidRPr="00A45996">
        <w:rPr>
          <w:rFonts w:ascii="Calibri" w:hAnsi="Calibri" w:cs="Times"/>
          <w:bCs/>
          <w:color w:val="000000"/>
        </w:rPr>
        <w:t>’insuffisance de cadre de référence des patients nouvellement dépistés VIH+</w:t>
      </w:r>
    </w:p>
    <w:p w14:paraId="4DB32BC6" w14:textId="6CD3155B" w:rsidR="00A45996" w:rsidRDefault="00A45996" w:rsidP="00C34A61">
      <w:pPr>
        <w:pStyle w:val="Paragraphedeliste"/>
        <w:numPr>
          <w:ilvl w:val="0"/>
          <w:numId w:val="30"/>
        </w:numPr>
        <w:jc w:val="both"/>
        <w:rPr>
          <w:rFonts w:ascii="Calibri" w:hAnsi="Calibri" w:cs="Times"/>
          <w:color w:val="000000"/>
        </w:rPr>
      </w:pPr>
      <w:r>
        <w:rPr>
          <w:rFonts w:ascii="Calibri" w:hAnsi="Calibri" w:cs="Times"/>
          <w:color w:val="000000"/>
        </w:rPr>
        <w:t>La faiblesse de mise en œuvre des stratégies différenciées pour la prise en charge des adultes et des enfants</w:t>
      </w:r>
    </w:p>
    <w:p w14:paraId="78E742C2" w14:textId="307BD8C2" w:rsidR="00157FEA" w:rsidRDefault="00157FEA" w:rsidP="00C34A61">
      <w:pPr>
        <w:pStyle w:val="Paragraphedeliste"/>
        <w:numPr>
          <w:ilvl w:val="0"/>
          <w:numId w:val="30"/>
        </w:numPr>
        <w:jc w:val="both"/>
        <w:rPr>
          <w:rFonts w:ascii="Calibri" w:hAnsi="Calibri" w:cs="Times"/>
          <w:color w:val="000000"/>
        </w:rPr>
      </w:pPr>
      <w:r>
        <w:rPr>
          <w:rFonts w:ascii="Calibri" w:hAnsi="Calibri" w:cs="Times"/>
          <w:bCs/>
          <w:color w:val="000000"/>
        </w:rPr>
        <w:t>La faiblesse du d</w:t>
      </w:r>
      <w:r w:rsidRPr="00BC3688">
        <w:rPr>
          <w:rFonts w:ascii="Calibri" w:hAnsi="Calibri" w:cs="Times"/>
          <w:bCs/>
          <w:color w:val="000000"/>
        </w:rPr>
        <w:t>épistage des enfants nés de mères séropositives suivis au niveau des sites PTME</w:t>
      </w:r>
      <w:r>
        <w:rPr>
          <w:rFonts w:ascii="Calibri" w:hAnsi="Calibri" w:cs="Times"/>
          <w:bCs/>
          <w:color w:val="000000"/>
        </w:rPr>
        <w:t xml:space="preserve"> (Prélèvement, transports DBS, rendu du résultat) et des enfants au niveau</w:t>
      </w:r>
      <w:r w:rsidR="00EB1C8B">
        <w:rPr>
          <w:rFonts w:ascii="Calibri" w:hAnsi="Calibri" w:cs="Times"/>
          <w:bCs/>
          <w:color w:val="000000"/>
        </w:rPr>
        <w:t xml:space="preserve"> des services de PEV, Nutrition, CPC, etc</w:t>
      </w:r>
      <w:r>
        <w:rPr>
          <w:rFonts w:ascii="Calibri" w:hAnsi="Calibri" w:cs="Times"/>
          <w:bCs/>
          <w:color w:val="000000"/>
        </w:rPr>
        <w:t>.).</w:t>
      </w:r>
    </w:p>
    <w:p w14:paraId="210F84C7" w14:textId="7BEC2255" w:rsidR="009D620B" w:rsidRPr="00E91527" w:rsidRDefault="009D620B" w:rsidP="00C34A61">
      <w:pPr>
        <w:pStyle w:val="Paragraphedeliste"/>
        <w:numPr>
          <w:ilvl w:val="0"/>
          <w:numId w:val="30"/>
        </w:numPr>
        <w:jc w:val="both"/>
        <w:rPr>
          <w:rFonts w:ascii="Calibri" w:hAnsi="Calibri" w:cs="Times"/>
          <w:color w:val="000000"/>
        </w:rPr>
      </w:pPr>
      <w:r>
        <w:rPr>
          <w:rFonts w:ascii="Calibri" w:hAnsi="Calibri" w:cs="Times"/>
          <w:color w:val="000000"/>
        </w:rPr>
        <w:t>Le faible accessibilité géograph</w:t>
      </w:r>
      <w:r w:rsidR="00157FEA">
        <w:rPr>
          <w:rFonts w:ascii="Calibri" w:hAnsi="Calibri" w:cs="Times"/>
          <w:color w:val="000000"/>
        </w:rPr>
        <w:t xml:space="preserve">ique et financière des patients </w:t>
      </w:r>
      <w:r>
        <w:rPr>
          <w:rFonts w:ascii="Calibri" w:hAnsi="Calibri" w:cs="Times"/>
          <w:color w:val="000000"/>
        </w:rPr>
        <w:t>aux structures et au suivi biologique</w:t>
      </w:r>
    </w:p>
    <w:p w14:paraId="4BCAACA9" w14:textId="74A5955A" w:rsidR="004A0C3C" w:rsidRDefault="004A0C3C" w:rsidP="00351907">
      <w:pPr>
        <w:spacing w:line="276" w:lineRule="auto"/>
        <w:jc w:val="both"/>
        <w:rPr>
          <w:rFonts w:ascii="Calibri" w:hAnsi="Calibri" w:cs="Times"/>
          <w:bCs/>
          <w:color w:val="000000"/>
        </w:rPr>
      </w:pPr>
    </w:p>
    <w:tbl>
      <w:tblPr>
        <w:tblStyle w:val="Grilledutableau"/>
        <w:tblW w:w="0" w:type="auto"/>
        <w:tblInd w:w="421" w:type="dxa"/>
        <w:tblLook w:val="04A0" w:firstRow="1" w:lastRow="0" w:firstColumn="1" w:lastColumn="0" w:noHBand="0" w:noVBand="1"/>
      </w:tblPr>
      <w:tblGrid>
        <w:gridCol w:w="1057"/>
        <w:gridCol w:w="8377"/>
      </w:tblGrid>
      <w:tr w:rsidR="00157FEA" w:rsidRPr="00B63D74" w14:paraId="7E377228" w14:textId="77777777" w:rsidTr="00D56D3E">
        <w:tc>
          <w:tcPr>
            <w:tcW w:w="992" w:type="dxa"/>
            <w:shd w:val="clear" w:color="auto" w:fill="FF0000"/>
            <w:vAlign w:val="center"/>
          </w:tcPr>
          <w:p w14:paraId="5F92F0D2" w14:textId="77777777" w:rsidR="00157FEA" w:rsidRPr="00B63D74" w:rsidRDefault="00157FEA" w:rsidP="00D56D3E">
            <w:pPr>
              <w:rPr>
                <w:rFonts w:ascii="Calibri" w:hAnsi="Calibri"/>
                <w:sz w:val="20"/>
                <w:szCs w:val="20"/>
              </w:rPr>
            </w:pPr>
            <w:r w:rsidRPr="00B63D74">
              <w:rPr>
                <w:rFonts w:ascii="Calibri" w:hAnsi="Calibri"/>
                <w:color w:val="FFFFFF" w:themeColor="background1"/>
                <w:sz w:val="20"/>
                <w:szCs w:val="20"/>
              </w:rPr>
              <w:t>DEFIS/ PRIORITES</w:t>
            </w:r>
          </w:p>
        </w:tc>
        <w:tc>
          <w:tcPr>
            <w:tcW w:w="8442" w:type="dxa"/>
            <w:shd w:val="clear" w:color="auto" w:fill="E7E6E6" w:themeFill="background2"/>
          </w:tcPr>
          <w:p w14:paraId="2A098D65" w14:textId="77777777" w:rsidR="00751A2B" w:rsidRDefault="00751A2B" w:rsidP="00C34A61">
            <w:pPr>
              <w:pStyle w:val="Paragraphedeliste"/>
              <w:numPr>
                <w:ilvl w:val="0"/>
                <w:numId w:val="27"/>
              </w:numPr>
              <w:jc w:val="both"/>
              <w:rPr>
                <w:rFonts w:ascii="Calibri" w:hAnsi="Calibri"/>
                <w:sz w:val="20"/>
                <w:szCs w:val="20"/>
              </w:rPr>
            </w:pPr>
            <w:r w:rsidRPr="00751A2B">
              <w:rPr>
                <w:rFonts w:ascii="Calibri" w:hAnsi="Calibri"/>
                <w:sz w:val="20"/>
                <w:szCs w:val="20"/>
              </w:rPr>
              <w:t>Améliorer les performances des portes d’entrée pour la détection des enfants vivant avec le VIH et les enrôler dans la prise en charge</w:t>
            </w:r>
          </w:p>
          <w:p w14:paraId="47274050" w14:textId="735D512D" w:rsidR="00157FEA" w:rsidRPr="00751A2B" w:rsidRDefault="00751A2B" w:rsidP="00C34A61">
            <w:pPr>
              <w:pStyle w:val="Paragraphedeliste"/>
              <w:numPr>
                <w:ilvl w:val="0"/>
                <w:numId w:val="27"/>
              </w:numPr>
              <w:jc w:val="both"/>
              <w:rPr>
                <w:rFonts w:ascii="Calibri" w:hAnsi="Calibri"/>
                <w:sz w:val="20"/>
                <w:szCs w:val="20"/>
              </w:rPr>
            </w:pPr>
            <w:r w:rsidRPr="00751A2B">
              <w:rPr>
                <w:rFonts w:ascii="Calibri" w:hAnsi="Calibri"/>
                <w:sz w:val="20"/>
                <w:szCs w:val="20"/>
              </w:rPr>
              <w:t xml:space="preserve">Renforcer la rétention des patients </w:t>
            </w:r>
            <w:r>
              <w:rPr>
                <w:rFonts w:ascii="Calibri" w:hAnsi="Calibri"/>
                <w:sz w:val="20"/>
                <w:szCs w:val="20"/>
              </w:rPr>
              <w:t xml:space="preserve">(adultes et enfants) </w:t>
            </w:r>
            <w:r w:rsidRPr="00751A2B">
              <w:rPr>
                <w:rFonts w:ascii="Calibri" w:hAnsi="Calibri"/>
                <w:sz w:val="20"/>
                <w:szCs w:val="20"/>
              </w:rPr>
              <w:t>dans la cascade de prise en charge depuis le dépistage au traitement</w:t>
            </w:r>
          </w:p>
          <w:p w14:paraId="0CCA20AF" w14:textId="77777777" w:rsidR="00751A2B" w:rsidRDefault="00751A2B" w:rsidP="00C34A61">
            <w:pPr>
              <w:pStyle w:val="Paragraphedeliste"/>
              <w:numPr>
                <w:ilvl w:val="0"/>
                <w:numId w:val="27"/>
              </w:numPr>
              <w:jc w:val="both"/>
              <w:rPr>
                <w:rFonts w:ascii="Calibri" w:hAnsi="Calibri"/>
                <w:sz w:val="20"/>
                <w:szCs w:val="20"/>
              </w:rPr>
            </w:pPr>
            <w:r>
              <w:rPr>
                <w:rFonts w:ascii="Calibri" w:hAnsi="Calibri"/>
                <w:sz w:val="20"/>
                <w:szCs w:val="20"/>
              </w:rPr>
              <w:t>Assurer une disponibilité optimale des intrants au niveau des services de laboratoire et des sites de prise en charge</w:t>
            </w:r>
          </w:p>
          <w:p w14:paraId="16788CDF" w14:textId="678CB4B0" w:rsidR="00751A2B" w:rsidRDefault="00751A2B" w:rsidP="00C34A61">
            <w:pPr>
              <w:pStyle w:val="Paragraphedeliste"/>
              <w:numPr>
                <w:ilvl w:val="0"/>
                <w:numId w:val="27"/>
              </w:numPr>
              <w:jc w:val="both"/>
              <w:rPr>
                <w:rFonts w:ascii="Calibri" w:hAnsi="Calibri"/>
                <w:sz w:val="20"/>
                <w:szCs w:val="20"/>
              </w:rPr>
            </w:pPr>
            <w:r>
              <w:rPr>
                <w:rFonts w:ascii="Calibri" w:hAnsi="Calibri"/>
                <w:sz w:val="20"/>
                <w:szCs w:val="20"/>
              </w:rPr>
              <w:t xml:space="preserve">Mettre en place des stratégies différenciés </w:t>
            </w:r>
            <w:r w:rsidR="00924692">
              <w:rPr>
                <w:rFonts w:ascii="Calibri" w:hAnsi="Calibri"/>
                <w:sz w:val="20"/>
                <w:szCs w:val="20"/>
              </w:rPr>
              <w:t xml:space="preserve">de prise en charge </w:t>
            </w:r>
            <w:r>
              <w:rPr>
                <w:rFonts w:ascii="Calibri" w:hAnsi="Calibri"/>
                <w:sz w:val="20"/>
                <w:szCs w:val="20"/>
              </w:rPr>
              <w:t>et de soutien à la performance des sites de prise en charge</w:t>
            </w:r>
          </w:p>
          <w:p w14:paraId="7EB066E9" w14:textId="77777777" w:rsidR="00751A2B" w:rsidRDefault="00751A2B" w:rsidP="00C34A61">
            <w:pPr>
              <w:pStyle w:val="Paragraphedeliste"/>
              <w:numPr>
                <w:ilvl w:val="0"/>
                <w:numId w:val="27"/>
              </w:numPr>
              <w:jc w:val="both"/>
              <w:rPr>
                <w:rFonts w:ascii="Calibri" w:hAnsi="Calibri"/>
                <w:sz w:val="20"/>
                <w:szCs w:val="20"/>
              </w:rPr>
            </w:pPr>
            <w:r>
              <w:rPr>
                <w:rFonts w:ascii="Calibri" w:hAnsi="Calibri"/>
                <w:sz w:val="20"/>
                <w:szCs w:val="20"/>
              </w:rPr>
              <w:t>Renforcer le soutien psychosocial et l’éducation thérapeutique pour une meilleure observation et survie des patients sous ARV</w:t>
            </w:r>
          </w:p>
          <w:p w14:paraId="51853462" w14:textId="3BF0621A" w:rsidR="00085798" w:rsidRPr="00B63D74" w:rsidRDefault="00085798" w:rsidP="00C34A61">
            <w:pPr>
              <w:pStyle w:val="Paragraphedeliste"/>
              <w:numPr>
                <w:ilvl w:val="0"/>
                <w:numId w:val="27"/>
              </w:numPr>
              <w:jc w:val="both"/>
              <w:rPr>
                <w:rFonts w:ascii="Calibri" w:hAnsi="Calibri"/>
                <w:sz w:val="20"/>
                <w:szCs w:val="20"/>
              </w:rPr>
            </w:pPr>
            <w:r>
              <w:rPr>
                <w:rFonts w:ascii="Calibri" w:hAnsi="Calibri"/>
                <w:sz w:val="20"/>
                <w:szCs w:val="20"/>
              </w:rPr>
              <w:t>Renforcer le dispositif, la maintenance et la performance des plateformes de suivi biologique des PVVIH</w:t>
            </w:r>
          </w:p>
        </w:tc>
      </w:tr>
    </w:tbl>
    <w:p w14:paraId="7F2AD6B5" w14:textId="3EE57881" w:rsidR="008739BA" w:rsidRPr="005B52BA" w:rsidRDefault="008739BA" w:rsidP="00085798">
      <w:pPr>
        <w:jc w:val="both"/>
        <w:rPr>
          <w:rFonts w:ascii="Calibri" w:hAnsi="Calibri"/>
        </w:rPr>
      </w:pPr>
    </w:p>
    <w:p w14:paraId="06C3245C" w14:textId="77777777" w:rsidR="00BD096E" w:rsidRPr="00BD096E" w:rsidRDefault="00BD096E" w:rsidP="00C34A61">
      <w:pPr>
        <w:pStyle w:val="Paragraphedeliste"/>
        <w:numPr>
          <w:ilvl w:val="0"/>
          <w:numId w:val="12"/>
        </w:numPr>
        <w:ind w:left="426"/>
        <w:jc w:val="both"/>
        <w:rPr>
          <w:rFonts w:ascii="Calibri" w:hAnsi="Calibri" w:cs="Times"/>
          <w:b/>
          <w:bCs/>
          <w:i/>
          <w:color w:val="000000"/>
        </w:rPr>
      </w:pPr>
      <w:bookmarkStart w:id="60" w:name="_Toc498321987"/>
      <w:r w:rsidRPr="00BD096E">
        <w:rPr>
          <w:rFonts w:ascii="Calibri" w:hAnsi="Calibri" w:cs="Times"/>
          <w:b/>
          <w:bCs/>
          <w:i/>
          <w:color w:val="000000"/>
        </w:rPr>
        <w:t>La prise en charge des coïnfections TB/VIH et Hépatites/VIH,</w:t>
      </w:r>
      <w:bookmarkEnd w:id="60"/>
    </w:p>
    <w:p w14:paraId="706FE43C" w14:textId="77777777" w:rsidR="00AB79BD" w:rsidRPr="005B52BA" w:rsidRDefault="00AB79BD" w:rsidP="00874ED8">
      <w:pPr>
        <w:ind w:left="66"/>
        <w:jc w:val="both"/>
        <w:rPr>
          <w:rFonts w:ascii="Calibri" w:hAnsi="Calibri"/>
          <w:b/>
        </w:rPr>
      </w:pPr>
    </w:p>
    <w:p w14:paraId="24C3F2BC" w14:textId="77777777" w:rsidR="00450DD9" w:rsidRDefault="00BD096E" w:rsidP="007F3D1B">
      <w:pPr>
        <w:ind w:left="426"/>
        <w:jc w:val="both"/>
        <w:rPr>
          <w:rFonts w:ascii="Calibri" w:hAnsi="Calibri" w:cs="Times"/>
          <w:bCs/>
          <w:color w:val="000000"/>
        </w:rPr>
      </w:pPr>
      <w:r w:rsidRPr="007F3D1B">
        <w:rPr>
          <w:rFonts w:ascii="Calibri" w:hAnsi="Calibri" w:cs="Times"/>
          <w:bCs/>
          <w:color w:val="000000"/>
        </w:rPr>
        <w:t xml:space="preserve">Durant l’année 2016, le nombre de patients TB+ enregistrés ayant un statut sérologique au VIH connu était de 80% (10 345/12 872). Au total, 1 800 patients </w:t>
      </w:r>
      <w:r w:rsidR="007F3D1B" w:rsidRPr="007F3D1B">
        <w:rPr>
          <w:rFonts w:ascii="Calibri" w:hAnsi="Calibri" w:cs="Times"/>
          <w:bCs/>
          <w:color w:val="000000"/>
        </w:rPr>
        <w:t>coïnfectés</w:t>
      </w:r>
      <w:r w:rsidRPr="007F3D1B">
        <w:rPr>
          <w:rFonts w:ascii="Calibri" w:hAnsi="Calibri" w:cs="Times"/>
          <w:bCs/>
          <w:color w:val="000000"/>
        </w:rPr>
        <w:t xml:space="preserve"> sur 2 539 soit 71% ont bénéficié une prise en charge thérapeutique par les ARV. Par ailleurs, un total de 426 PVVIH a </w:t>
      </w:r>
      <w:r w:rsidR="007F3D1B">
        <w:rPr>
          <w:rFonts w:ascii="Calibri" w:hAnsi="Calibri" w:cs="Times"/>
          <w:bCs/>
          <w:color w:val="000000"/>
        </w:rPr>
        <w:t>bénéficié du dépistage de la TB</w:t>
      </w:r>
      <w:r w:rsidR="00AB79BD" w:rsidRPr="007F3D1B">
        <w:rPr>
          <w:rFonts w:ascii="Calibri" w:hAnsi="Calibri" w:cs="Times"/>
          <w:bCs/>
          <w:color w:val="000000"/>
        </w:rPr>
        <w:t>.</w:t>
      </w:r>
      <w:r w:rsidRPr="007F3D1B">
        <w:rPr>
          <w:rFonts w:ascii="Calibri" w:hAnsi="Calibri" w:cs="Times"/>
          <w:bCs/>
          <w:color w:val="000000"/>
        </w:rPr>
        <w:t xml:space="preserve"> </w:t>
      </w:r>
      <w:r w:rsidR="007F3D1B">
        <w:rPr>
          <w:rFonts w:ascii="Calibri" w:hAnsi="Calibri" w:cs="Times"/>
          <w:bCs/>
          <w:color w:val="000000"/>
        </w:rPr>
        <w:t xml:space="preserve">Par ailleurs, la prévention de la survenue de la tuberculose chez les PVVIH à l’aide de l’INH n’a pas encore débuté mais constitue une préoccupation au regard de la prévalence de al coïnfection TB/VIH. </w:t>
      </w:r>
      <w:r w:rsidR="00AB79BD" w:rsidRPr="007F3D1B">
        <w:rPr>
          <w:rFonts w:ascii="Calibri" w:hAnsi="Calibri" w:cs="Times"/>
          <w:bCs/>
          <w:color w:val="000000"/>
        </w:rPr>
        <w:t>Concernant la coïnfection Hépatites/VIH, les quelques données disponibles concernent la séroprévalence du portage de l’</w:t>
      </w:r>
      <w:proofErr w:type="spellStart"/>
      <w:r w:rsidR="00AB79BD" w:rsidRPr="007F3D1B">
        <w:rPr>
          <w:rFonts w:ascii="Calibri" w:hAnsi="Calibri" w:cs="Times"/>
          <w:bCs/>
          <w:color w:val="000000"/>
        </w:rPr>
        <w:t>AgHBs</w:t>
      </w:r>
      <w:proofErr w:type="spellEnd"/>
      <w:r w:rsidR="00AB79BD" w:rsidRPr="007F3D1B">
        <w:rPr>
          <w:rFonts w:ascii="Calibri" w:hAnsi="Calibri" w:cs="Times"/>
          <w:bCs/>
          <w:color w:val="000000"/>
        </w:rPr>
        <w:t xml:space="preserve"> chez les donneurs de sang qui était de 9,75% et la présence des anticorps du virus C dans 2,11% des sérums. </w:t>
      </w:r>
    </w:p>
    <w:p w14:paraId="21978BF9" w14:textId="77777777" w:rsidR="00450DD9" w:rsidRDefault="00450DD9" w:rsidP="007F3D1B">
      <w:pPr>
        <w:ind w:left="426"/>
        <w:jc w:val="both"/>
        <w:rPr>
          <w:rFonts w:ascii="Calibri" w:hAnsi="Calibri" w:cs="Times"/>
          <w:bCs/>
          <w:color w:val="000000"/>
        </w:rPr>
      </w:pPr>
    </w:p>
    <w:p w14:paraId="2E853C3B" w14:textId="6136A784" w:rsidR="00AB79BD" w:rsidRPr="007F3D1B" w:rsidRDefault="00450DD9" w:rsidP="007F3D1B">
      <w:pPr>
        <w:ind w:left="426"/>
        <w:jc w:val="both"/>
        <w:rPr>
          <w:rFonts w:ascii="Calibri" w:hAnsi="Calibri" w:cs="Times"/>
          <w:bCs/>
          <w:color w:val="000000"/>
        </w:rPr>
      </w:pPr>
      <w:r w:rsidRPr="00450DD9">
        <w:rPr>
          <w:rFonts w:ascii="Calibri" w:hAnsi="Calibri" w:cs="Times"/>
          <w:bCs/>
          <w:color w:val="000000"/>
        </w:rPr>
        <w:t>Ce faible taux de la prise en charge des patients coïnfectés s’explique principalement</w:t>
      </w:r>
      <w:r w:rsidR="007343AC">
        <w:rPr>
          <w:rFonts w:ascii="Calibri" w:hAnsi="Calibri" w:cs="Times"/>
          <w:bCs/>
          <w:color w:val="000000"/>
        </w:rPr>
        <w:t xml:space="preserve"> par (i) la faible intégration </w:t>
      </w:r>
      <w:r w:rsidRPr="00450DD9">
        <w:rPr>
          <w:rFonts w:ascii="Calibri" w:hAnsi="Calibri" w:cs="Times"/>
          <w:bCs/>
          <w:color w:val="000000"/>
        </w:rPr>
        <w:t>des services TB/VIH, (ii) l’insuffisance d’approvisionnement des CDT en</w:t>
      </w:r>
      <w:r w:rsidR="007343AC">
        <w:rPr>
          <w:rFonts w:ascii="Calibri" w:hAnsi="Calibri" w:cs="Times"/>
          <w:bCs/>
          <w:color w:val="000000"/>
        </w:rPr>
        <w:t xml:space="preserve"> intrants VIH (ARV et réactifs), (iii) l’insuffisance du </w:t>
      </w:r>
      <w:r w:rsidRPr="00450DD9">
        <w:rPr>
          <w:rFonts w:ascii="Calibri" w:hAnsi="Calibri" w:cs="Times"/>
          <w:bCs/>
          <w:color w:val="000000"/>
        </w:rPr>
        <w:t>système de référence et contre référence des p</w:t>
      </w:r>
      <w:r w:rsidR="007343AC">
        <w:rPr>
          <w:rFonts w:ascii="Calibri" w:hAnsi="Calibri" w:cs="Times"/>
          <w:bCs/>
          <w:color w:val="000000"/>
        </w:rPr>
        <w:t>atients coïnfectés TB/VIH</w:t>
      </w:r>
      <w:r w:rsidRPr="00450DD9">
        <w:rPr>
          <w:rFonts w:ascii="Calibri" w:hAnsi="Calibri" w:cs="Times"/>
          <w:bCs/>
          <w:color w:val="000000"/>
        </w:rPr>
        <w:t>, (iv) l’insuffisance de rapportage des données de la coïnfection TB/VIH</w:t>
      </w:r>
      <w:r>
        <w:rPr>
          <w:rFonts w:ascii="Calibri" w:hAnsi="Calibri" w:cs="Times"/>
          <w:bCs/>
          <w:color w:val="000000"/>
        </w:rPr>
        <w:t>.</w:t>
      </w:r>
    </w:p>
    <w:p w14:paraId="48646B24" w14:textId="02F1CC61" w:rsidR="00AB79BD" w:rsidRDefault="00AB79BD" w:rsidP="00874ED8">
      <w:pPr>
        <w:jc w:val="both"/>
        <w:rPr>
          <w:rFonts w:ascii="Calibri" w:hAnsi="Calibri"/>
          <w:b/>
        </w:rPr>
      </w:pPr>
    </w:p>
    <w:tbl>
      <w:tblPr>
        <w:tblStyle w:val="Grilledutableau"/>
        <w:tblW w:w="0" w:type="auto"/>
        <w:tblInd w:w="421" w:type="dxa"/>
        <w:tblLook w:val="04A0" w:firstRow="1" w:lastRow="0" w:firstColumn="1" w:lastColumn="0" w:noHBand="0" w:noVBand="1"/>
      </w:tblPr>
      <w:tblGrid>
        <w:gridCol w:w="1057"/>
        <w:gridCol w:w="8377"/>
      </w:tblGrid>
      <w:tr w:rsidR="007F3D1B" w:rsidRPr="00B63D74" w14:paraId="7D953016" w14:textId="77777777" w:rsidTr="00D56D3E">
        <w:tc>
          <w:tcPr>
            <w:tcW w:w="992" w:type="dxa"/>
            <w:shd w:val="clear" w:color="auto" w:fill="FF0000"/>
            <w:vAlign w:val="center"/>
          </w:tcPr>
          <w:p w14:paraId="0492CB5E" w14:textId="77777777" w:rsidR="007F3D1B" w:rsidRPr="00B63D74" w:rsidRDefault="007F3D1B" w:rsidP="00D56D3E">
            <w:pPr>
              <w:rPr>
                <w:rFonts w:ascii="Calibri" w:hAnsi="Calibri"/>
                <w:sz w:val="20"/>
                <w:szCs w:val="20"/>
              </w:rPr>
            </w:pPr>
            <w:r w:rsidRPr="00B63D74">
              <w:rPr>
                <w:rFonts w:ascii="Calibri" w:hAnsi="Calibri"/>
                <w:color w:val="FFFFFF" w:themeColor="background1"/>
                <w:sz w:val="20"/>
                <w:szCs w:val="20"/>
              </w:rPr>
              <w:t>DEFIS/ PRIORITES</w:t>
            </w:r>
          </w:p>
        </w:tc>
        <w:tc>
          <w:tcPr>
            <w:tcW w:w="8442" w:type="dxa"/>
            <w:shd w:val="clear" w:color="auto" w:fill="E7E6E6" w:themeFill="background2"/>
          </w:tcPr>
          <w:p w14:paraId="08562BC8" w14:textId="1361EDBE" w:rsidR="007F3D1B" w:rsidRDefault="007F3D1B" w:rsidP="00C34A61">
            <w:pPr>
              <w:pStyle w:val="Paragraphedeliste"/>
              <w:numPr>
                <w:ilvl w:val="0"/>
                <w:numId w:val="27"/>
              </w:numPr>
              <w:jc w:val="both"/>
              <w:rPr>
                <w:rFonts w:ascii="Calibri" w:hAnsi="Calibri"/>
                <w:sz w:val="20"/>
                <w:szCs w:val="20"/>
              </w:rPr>
            </w:pPr>
            <w:r>
              <w:rPr>
                <w:rFonts w:ascii="Calibri" w:hAnsi="Calibri"/>
                <w:sz w:val="20"/>
                <w:szCs w:val="20"/>
              </w:rPr>
              <w:t>Renforcer les liens et la synergie entre les programmes tuberculose et prise en charge des PVVIH, pour la coïnfection TB/VIH et hépatites</w:t>
            </w:r>
          </w:p>
          <w:p w14:paraId="6C5C5276" w14:textId="58AC0177" w:rsidR="007F3D1B" w:rsidRDefault="00CA24E0" w:rsidP="00C34A61">
            <w:pPr>
              <w:pStyle w:val="Paragraphedeliste"/>
              <w:numPr>
                <w:ilvl w:val="0"/>
                <w:numId w:val="27"/>
              </w:numPr>
              <w:jc w:val="both"/>
              <w:rPr>
                <w:rFonts w:ascii="Calibri" w:hAnsi="Calibri"/>
                <w:sz w:val="20"/>
                <w:szCs w:val="20"/>
              </w:rPr>
            </w:pPr>
            <w:r>
              <w:rPr>
                <w:rFonts w:ascii="Calibri" w:hAnsi="Calibri"/>
                <w:sz w:val="20"/>
                <w:szCs w:val="20"/>
              </w:rPr>
              <w:t>Assurer</w:t>
            </w:r>
            <w:r w:rsidR="007F3D1B">
              <w:rPr>
                <w:rFonts w:ascii="Calibri" w:hAnsi="Calibri"/>
                <w:sz w:val="20"/>
                <w:szCs w:val="20"/>
              </w:rPr>
              <w:t xml:space="preserve"> la recherche systématique de la TB chez les P</w:t>
            </w:r>
            <w:r w:rsidR="00A73ACC">
              <w:rPr>
                <w:rFonts w:ascii="Calibri" w:hAnsi="Calibri"/>
                <w:sz w:val="20"/>
                <w:szCs w:val="20"/>
              </w:rPr>
              <w:t>V</w:t>
            </w:r>
            <w:r w:rsidR="007F3D1B">
              <w:rPr>
                <w:rFonts w:ascii="Calibri" w:hAnsi="Calibri"/>
                <w:sz w:val="20"/>
                <w:szCs w:val="20"/>
              </w:rPr>
              <w:t>VIH et l’initiation de la prévention de la TB par l’INH</w:t>
            </w:r>
          </w:p>
          <w:p w14:paraId="57EA9E3C" w14:textId="77777777" w:rsidR="007F3D1B" w:rsidRDefault="007F3D1B" w:rsidP="00C34A61">
            <w:pPr>
              <w:pStyle w:val="Paragraphedeliste"/>
              <w:numPr>
                <w:ilvl w:val="0"/>
                <w:numId w:val="27"/>
              </w:numPr>
              <w:jc w:val="both"/>
              <w:rPr>
                <w:rFonts w:ascii="Calibri" w:hAnsi="Calibri"/>
                <w:sz w:val="20"/>
                <w:szCs w:val="20"/>
              </w:rPr>
            </w:pPr>
            <w:r>
              <w:rPr>
                <w:rFonts w:ascii="Calibri" w:hAnsi="Calibri"/>
                <w:sz w:val="20"/>
                <w:szCs w:val="20"/>
              </w:rPr>
              <w:t>Assurer la synergie de mise en œuvre des plans stratégiques de riposte au sida et de lutte contre les hépatites, notamment en ce qui concerne le diagnostic, la prise en charge et la mobilisation des ressources financières</w:t>
            </w:r>
          </w:p>
          <w:p w14:paraId="2C31624F" w14:textId="70A71B39" w:rsidR="00450DD9" w:rsidRPr="00B63D74" w:rsidRDefault="00450DD9" w:rsidP="00C34A61">
            <w:pPr>
              <w:pStyle w:val="Paragraphedeliste"/>
              <w:numPr>
                <w:ilvl w:val="0"/>
                <w:numId w:val="27"/>
              </w:numPr>
              <w:jc w:val="both"/>
              <w:rPr>
                <w:rFonts w:ascii="Calibri" w:hAnsi="Calibri"/>
                <w:sz w:val="20"/>
                <w:szCs w:val="20"/>
              </w:rPr>
            </w:pPr>
            <w:r>
              <w:rPr>
                <w:rFonts w:ascii="Calibri" w:hAnsi="Calibri"/>
                <w:sz w:val="20"/>
                <w:szCs w:val="20"/>
              </w:rPr>
              <w:t>Renforcer le système de rapportage des données concernant la coïnfection TB/VIH/ Hépatites</w:t>
            </w:r>
          </w:p>
        </w:tc>
      </w:tr>
    </w:tbl>
    <w:p w14:paraId="113A4C6E" w14:textId="77777777" w:rsidR="007F3D1B" w:rsidRPr="005B52BA" w:rsidRDefault="007F3D1B" w:rsidP="00C1167C">
      <w:pPr>
        <w:jc w:val="both"/>
        <w:rPr>
          <w:rFonts w:ascii="Calibri" w:hAnsi="Calibri"/>
          <w:b/>
        </w:rPr>
      </w:pPr>
    </w:p>
    <w:p w14:paraId="4F6F1766" w14:textId="72486825" w:rsidR="00AB79BD" w:rsidRPr="005B52BA" w:rsidRDefault="00AB79BD" w:rsidP="00C34A61">
      <w:pPr>
        <w:pStyle w:val="Paragraphedeliste"/>
        <w:numPr>
          <w:ilvl w:val="2"/>
          <w:numId w:val="6"/>
        </w:numPr>
        <w:ind w:left="567" w:hanging="567"/>
        <w:contextualSpacing w:val="0"/>
        <w:jc w:val="both"/>
        <w:rPr>
          <w:rFonts w:ascii="Calibri" w:hAnsi="Calibri"/>
          <w:b/>
        </w:rPr>
      </w:pPr>
      <w:r w:rsidRPr="005B52BA">
        <w:rPr>
          <w:rFonts w:ascii="Calibri" w:hAnsi="Calibri"/>
          <w:b/>
        </w:rPr>
        <w:t>Protection des droits humains des PVVIH et des populations clés</w:t>
      </w:r>
    </w:p>
    <w:p w14:paraId="73E17D4B" w14:textId="77777777" w:rsidR="00AB79BD" w:rsidRPr="005B52BA" w:rsidRDefault="00AB79BD" w:rsidP="00C1167C">
      <w:pPr>
        <w:jc w:val="both"/>
        <w:rPr>
          <w:rFonts w:ascii="Calibri" w:hAnsi="Calibri"/>
          <w:b/>
        </w:rPr>
      </w:pPr>
    </w:p>
    <w:p w14:paraId="379E372A" w14:textId="1A74F862" w:rsidR="00AB79BD" w:rsidRPr="005B52BA" w:rsidRDefault="00AB79BD" w:rsidP="00C1167C">
      <w:pPr>
        <w:pStyle w:val="Paragraphedeliste"/>
        <w:widowControl w:val="0"/>
        <w:autoSpaceDE w:val="0"/>
        <w:autoSpaceDN w:val="0"/>
        <w:adjustRightInd w:val="0"/>
        <w:ind w:left="0"/>
        <w:contextualSpacing w:val="0"/>
        <w:jc w:val="both"/>
        <w:rPr>
          <w:rFonts w:ascii="Calibri" w:hAnsi="Calibri" w:cs="Times"/>
          <w:bCs/>
          <w:color w:val="000000"/>
        </w:rPr>
      </w:pPr>
      <w:r w:rsidRPr="005B52BA">
        <w:rPr>
          <w:rFonts w:ascii="Calibri" w:hAnsi="Calibri" w:cs="Calibri"/>
        </w:rPr>
        <w:t>Les principaux progrès sont :</w:t>
      </w:r>
      <w:r w:rsidR="008F3D88">
        <w:rPr>
          <w:rFonts w:ascii="Calibri" w:hAnsi="Calibri" w:cs="Calibri"/>
        </w:rPr>
        <w:t xml:space="preserve"> (i) l’e</w:t>
      </w:r>
      <w:r w:rsidRPr="005B52BA">
        <w:rPr>
          <w:rFonts w:ascii="Calibri" w:hAnsi="Calibri" w:cs="Times"/>
          <w:bCs/>
          <w:color w:val="000000"/>
        </w:rPr>
        <w:t>xistence de la Stratégie nationale de plaidoyer/Droits humains pour l’amélioration des résultats en matière de santé liés au VIH ; l’existence d’une politique natio</w:t>
      </w:r>
      <w:r w:rsidR="008F3D88">
        <w:rPr>
          <w:rFonts w:ascii="Calibri" w:hAnsi="Calibri" w:cs="Times"/>
          <w:bCs/>
          <w:color w:val="000000"/>
        </w:rPr>
        <w:t>nale sur la santé communautaire ; (ii) l’e</w:t>
      </w:r>
      <w:r w:rsidRPr="005B52BA">
        <w:rPr>
          <w:rFonts w:ascii="Calibri" w:hAnsi="Calibri" w:cs="Times"/>
          <w:bCs/>
          <w:color w:val="000000"/>
        </w:rPr>
        <w:t>xistence d’un observatoire communautaire des droits des PVVIH ;</w:t>
      </w:r>
      <w:r w:rsidR="008F3D88">
        <w:rPr>
          <w:rFonts w:ascii="Calibri" w:hAnsi="Calibri" w:cs="Times"/>
          <w:bCs/>
          <w:color w:val="000000"/>
        </w:rPr>
        <w:t xml:space="preserve"> (iii) </w:t>
      </w:r>
      <w:r w:rsidRPr="005B52BA">
        <w:rPr>
          <w:rFonts w:ascii="Calibri" w:hAnsi="Calibri" w:cs="Times"/>
          <w:bCs/>
          <w:color w:val="000000"/>
        </w:rPr>
        <w:t xml:space="preserve"> l’Ordonnance n° 056/2009/PRG/SGG du 29/10/2009 portant amendement de la Loi L/2005/025/AN du 22 novembre 2005 relative à la prévention, la prise en charge et le contrôle du VIH/</w:t>
      </w:r>
      <w:r w:rsidR="0036679F">
        <w:rPr>
          <w:rFonts w:ascii="Calibri" w:hAnsi="Calibri" w:cs="Times"/>
          <w:bCs/>
          <w:color w:val="000000"/>
        </w:rPr>
        <w:t>sida</w:t>
      </w:r>
      <w:r w:rsidRPr="005B52BA">
        <w:rPr>
          <w:rFonts w:ascii="Calibri" w:hAnsi="Calibri" w:cs="Times"/>
          <w:bCs/>
          <w:color w:val="000000"/>
        </w:rPr>
        <w:t xml:space="preserve"> en République de Guinée. </w:t>
      </w:r>
    </w:p>
    <w:p w14:paraId="4BB7111C" w14:textId="77777777" w:rsidR="00AB79BD" w:rsidRPr="005B52BA" w:rsidRDefault="00AB79BD" w:rsidP="00C1167C">
      <w:pPr>
        <w:pStyle w:val="Paragraphedeliste"/>
        <w:widowControl w:val="0"/>
        <w:autoSpaceDE w:val="0"/>
        <w:autoSpaceDN w:val="0"/>
        <w:adjustRightInd w:val="0"/>
        <w:ind w:left="0"/>
        <w:jc w:val="both"/>
        <w:rPr>
          <w:rFonts w:ascii="Calibri" w:hAnsi="Calibri" w:cs="Times"/>
        </w:rPr>
      </w:pPr>
    </w:p>
    <w:p w14:paraId="49184A9E" w14:textId="273AA2DF" w:rsidR="00874ED8" w:rsidRDefault="00AB79BD" w:rsidP="00C1167C">
      <w:pPr>
        <w:pStyle w:val="Paragraphedeliste"/>
        <w:widowControl w:val="0"/>
        <w:autoSpaceDE w:val="0"/>
        <w:autoSpaceDN w:val="0"/>
        <w:adjustRightInd w:val="0"/>
        <w:ind w:left="0"/>
        <w:jc w:val="both"/>
        <w:rPr>
          <w:rFonts w:ascii="Calibri" w:hAnsi="Calibri"/>
          <w:noProof/>
        </w:rPr>
      </w:pPr>
      <w:r w:rsidRPr="005B52BA">
        <w:rPr>
          <w:rFonts w:ascii="Calibri" w:hAnsi="Calibri"/>
          <w:noProof/>
        </w:rPr>
        <w:t>Cependant, la stigmatisation et la discrimination à l’encontre des PVVIH des PS et HSH reste toujours un problème préoccupant.</w:t>
      </w:r>
    </w:p>
    <w:p w14:paraId="0F870C32" w14:textId="77777777" w:rsidR="00450DD9" w:rsidRDefault="00450DD9" w:rsidP="00C1167C">
      <w:pPr>
        <w:pStyle w:val="Paragraphedeliste"/>
        <w:widowControl w:val="0"/>
        <w:autoSpaceDE w:val="0"/>
        <w:autoSpaceDN w:val="0"/>
        <w:adjustRightInd w:val="0"/>
        <w:ind w:left="0"/>
        <w:jc w:val="both"/>
        <w:rPr>
          <w:rFonts w:ascii="Calibri" w:hAnsi="Calibri"/>
          <w:noProof/>
        </w:rPr>
      </w:pPr>
    </w:p>
    <w:tbl>
      <w:tblPr>
        <w:tblStyle w:val="Grilledutableau"/>
        <w:tblW w:w="0" w:type="auto"/>
        <w:tblInd w:w="-5" w:type="dxa"/>
        <w:tblLook w:val="04A0" w:firstRow="1" w:lastRow="0" w:firstColumn="1" w:lastColumn="0" w:noHBand="0" w:noVBand="1"/>
      </w:tblPr>
      <w:tblGrid>
        <w:gridCol w:w="1483"/>
        <w:gridCol w:w="8377"/>
      </w:tblGrid>
      <w:tr w:rsidR="00450DD9" w:rsidRPr="00B63D74" w14:paraId="3B414C43" w14:textId="77777777" w:rsidTr="00450DD9">
        <w:tc>
          <w:tcPr>
            <w:tcW w:w="1483" w:type="dxa"/>
            <w:shd w:val="clear" w:color="auto" w:fill="FF0000"/>
            <w:vAlign w:val="center"/>
          </w:tcPr>
          <w:p w14:paraId="4EC79576" w14:textId="77777777" w:rsidR="00450DD9" w:rsidRPr="00B63D74" w:rsidRDefault="00450DD9" w:rsidP="00C1167C">
            <w:pPr>
              <w:rPr>
                <w:rFonts w:ascii="Calibri" w:hAnsi="Calibri"/>
                <w:sz w:val="20"/>
                <w:szCs w:val="20"/>
              </w:rPr>
            </w:pPr>
            <w:r w:rsidRPr="00B63D74">
              <w:rPr>
                <w:rFonts w:ascii="Calibri" w:hAnsi="Calibri"/>
                <w:color w:val="FFFFFF" w:themeColor="background1"/>
                <w:sz w:val="20"/>
                <w:szCs w:val="20"/>
              </w:rPr>
              <w:t>DEFIS/ PRIORITES</w:t>
            </w:r>
          </w:p>
        </w:tc>
        <w:tc>
          <w:tcPr>
            <w:tcW w:w="8377" w:type="dxa"/>
            <w:shd w:val="clear" w:color="auto" w:fill="E7E6E6" w:themeFill="background2"/>
          </w:tcPr>
          <w:p w14:paraId="279020AF" w14:textId="77777777" w:rsidR="00450DD9" w:rsidRDefault="00450DD9" w:rsidP="00C34A61">
            <w:pPr>
              <w:pStyle w:val="Paragraphedeliste"/>
              <w:numPr>
                <w:ilvl w:val="0"/>
                <w:numId w:val="27"/>
              </w:numPr>
              <w:jc w:val="both"/>
              <w:rPr>
                <w:rFonts w:ascii="Calibri" w:hAnsi="Calibri"/>
                <w:sz w:val="20"/>
                <w:szCs w:val="20"/>
              </w:rPr>
            </w:pPr>
            <w:r>
              <w:rPr>
                <w:rFonts w:ascii="Calibri" w:hAnsi="Calibri"/>
                <w:sz w:val="20"/>
                <w:szCs w:val="20"/>
              </w:rPr>
              <w:t>Améliorer le cadre juridique de protection des PVVIH et des populations clés</w:t>
            </w:r>
          </w:p>
          <w:p w14:paraId="61C770DA" w14:textId="69BCBA2D" w:rsidR="00450DD9" w:rsidRPr="00B63D74" w:rsidRDefault="00450DD9" w:rsidP="00C34A61">
            <w:pPr>
              <w:pStyle w:val="Paragraphedeliste"/>
              <w:numPr>
                <w:ilvl w:val="0"/>
                <w:numId w:val="27"/>
              </w:numPr>
              <w:jc w:val="both"/>
              <w:rPr>
                <w:rFonts w:ascii="Calibri" w:hAnsi="Calibri"/>
                <w:sz w:val="20"/>
                <w:szCs w:val="20"/>
              </w:rPr>
            </w:pPr>
            <w:r>
              <w:rPr>
                <w:rFonts w:ascii="Calibri" w:hAnsi="Calibri"/>
                <w:sz w:val="20"/>
                <w:szCs w:val="20"/>
              </w:rPr>
              <w:t xml:space="preserve">Renforcer les stratégies d’amélioration de l’environnement favorable en </w:t>
            </w:r>
            <w:r w:rsidR="00F57D90">
              <w:rPr>
                <w:rFonts w:ascii="Calibri" w:hAnsi="Calibri"/>
                <w:sz w:val="20"/>
                <w:szCs w:val="20"/>
              </w:rPr>
              <w:t xml:space="preserve">faveur </w:t>
            </w:r>
            <w:r>
              <w:rPr>
                <w:rFonts w:ascii="Calibri" w:hAnsi="Calibri"/>
                <w:sz w:val="20"/>
                <w:szCs w:val="20"/>
              </w:rPr>
              <w:t>des PVVIH et des populations clés</w:t>
            </w:r>
          </w:p>
        </w:tc>
      </w:tr>
    </w:tbl>
    <w:p w14:paraId="0112A99F" w14:textId="33B3CFCB" w:rsidR="008F3D88" w:rsidRDefault="008F3D88" w:rsidP="00C1167C">
      <w:pPr>
        <w:rPr>
          <w:rFonts w:ascii="Calibri" w:hAnsi="Calibri"/>
          <w:b/>
        </w:rPr>
      </w:pPr>
    </w:p>
    <w:p w14:paraId="6ED0BB88" w14:textId="2FDCA655" w:rsidR="00AB79BD" w:rsidRPr="005B52BA" w:rsidRDefault="00AB79BD" w:rsidP="00C34A61">
      <w:pPr>
        <w:pStyle w:val="Paragraphedeliste"/>
        <w:numPr>
          <w:ilvl w:val="2"/>
          <w:numId w:val="6"/>
        </w:numPr>
        <w:ind w:left="567" w:hanging="567"/>
        <w:contextualSpacing w:val="0"/>
        <w:jc w:val="both"/>
        <w:rPr>
          <w:rFonts w:ascii="Calibri" w:hAnsi="Calibri"/>
          <w:b/>
        </w:rPr>
      </w:pPr>
      <w:r w:rsidRPr="005B52BA">
        <w:rPr>
          <w:rFonts w:ascii="Calibri" w:hAnsi="Calibri"/>
          <w:b/>
        </w:rPr>
        <w:t xml:space="preserve">Gouvernance et coordination de la riposte nationale au </w:t>
      </w:r>
      <w:r w:rsidR="0036679F">
        <w:rPr>
          <w:rFonts w:ascii="Calibri" w:hAnsi="Calibri"/>
          <w:b/>
        </w:rPr>
        <w:t>sida</w:t>
      </w:r>
    </w:p>
    <w:p w14:paraId="58B7504F" w14:textId="77777777" w:rsidR="00AB79BD" w:rsidRDefault="00AB79BD" w:rsidP="00C1167C">
      <w:pPr>
        <w:widowControl w:val="0"/>
        <w:autoSpaceDE w:val="0"/>
        <w:autoSpaceDN w:val="0"/>
        <w:adjustRightInd w:val="0"/>
        <w:jc w:val="both"/>
        <w:rPr>
          <w:rFonts w:ascii="Calibri" w:hAnsi="Calibri" w:cs="Calibri"/>
        </w:rPr>
      </w:pPr>
    </w:p>
    <w:p w14:paraId="106DB3ED" w14:textId="22FE4BAF" w:rsidR="00822599" w:rsidRDefault="00822599" w:rsidP="00822599">
      <w:pPr>
        <w:widowControl w:val="0"/>
        <w:autoSpaceDE w:val="0"/>
        <w:autoSpaceDN w:val="0"/>
        <w:adjustRightInd w:val="0"/>
        <w:jc w:val="both"/>
        <w:rPr>
          <w:rFonts w:ascii="Calibri" w:hAnsi="Calibri" w:cs="Calibri"/>
        </w:rPr>
      </w:pPr>
      <w:r w:rsidRPr="00D3120C">
        <w:rPr>
          <w:rFonts w:ascii="Calibri" w:hAnsi="Calibri" w:cs="Calibri"/>
        </w:rPr>
        <w:t xml:space="preserve">Au niveau de la coordination, </w:t>
      </w:r>
      <w:r>
        <w:rPr>
          <w:rFonts w:ascii="Calibri" w:hAnsi="Calibri" w:cs="Calibri"/>
        </w:rPr>
        <w:t xml:space="preserve">on note </w:t>
      </w:r>
      <w:r w:rsidR="003F2BC2">
        <w:rPr>
          <w:rFonts w:ascii="Calibri" w:hAnsi="Calibri" w:cs="Calibri"/>
        </w:rPr>
        <w:t>l’existence du</w:t>
      </w:r>
      <w:r>
        <w:rPr>
          <w:rFonts w:ascii="Calibri" w:hAnsi="Calibri" w:cs="Calibri"/>
        </w:rPr>
        <w:t xml:space="preserve"> Comité National </w:t>
      </w:r>
      <w:r w:rsidR="003F2BC2">
        <w:rPr>
          <w:rFonts w:ascii="Calibri" w:hAnsi="Calibri" w:cs="Calibri"/>
        </w:rPr>
        <w:t>de Lutte contre le Sida (CNLS) qui est l’</w:t>
      </w:r>
      <w:r>
        <w:rPr>
          <w:rFonts w:ascii="Calibri" w:hAnsi="Calibri" w:cs="Calibri"/>
        </w:rPr>
        <w:t>organe national de coordination et son Secrétariat Exécutif. Les</w:t>
      </w:r>
      <w:r w:rsidR="0062512C">
        <w:rPr>
          <w:rFonts w:ascii="Calibri" w:hAnsi="Calibri" w:cs="Calibri"/>
        </w:rPr>
        <w:t xml:space="preserve"> autres acquis sont les</w:t>
      </w:r>
      <w:r>
        <w:rPr>
          <w:rFonts w:ascii="Calibri" w:hAnsi="Calibri" w:cs="Calibri"/>
        </w:rPr>
        <w:t xml:space="preserve"> Bureaux de coordination régional du SE/CNLS (BCR), les comités ministériels de lutte contre le sida (CMLS), les comités de lutte contre le sida au niveau des Institutions républicaines (CILS), les comités d’entreprises de lutte contre le sida, les comité régionaux (CRLS), préfectoraux (CPLS) et les points focaux au niveau sous préfectoral qui traduisent</w:t>
      </w:r>
      <w:r w:rsidRPr="00D3120C">
        <w:rPr>
          <w:rFonts w:ascii="Calibri" w:hAnsi="Calibri" w:cs="Calibri"/>
        </w:rPr>
        <w:t xml:space="preserve"> la décentralisation </w:t>
      </w:r>
      <w:r>
        <w:rPr>
          <w:rFonts w:ascii="Calibri" w:hAnsi="Calibri" w:cs="Calibri"/>
        </w:rPr>
        <w:t xml:space="preserve">de la coordination </w:t>
      </w:r>
      <w:r w:rsidRPr="00D3120C">
        <w:rPr>
          <w:rFonts w:ascii="Calibri" w:hAnsi="Calibri" w:cs="Calibri"/>
        </w:rPr>
        <w:t>et la multisectorialité</w:t>
      </w:r>
      <w:r>
        <w:rPr>
          <w:rFonts w:ascii="Calibri" w:hAnsi="Calibri" w:cs="Calibri"/>
        </w:rPr>
        <w:t xml:space="preserve"> de la réponse. </w:t>
      </w:r>
    </w:p>
    <w:p w14:paraId="5B9C33C8" w14:textId="77777777" w:rsidR="00822599" w:rsidRDefault="00822599" w:rsidP="00822599">
      <w:pPr>
        <w:widowControl w:val="0"/>
        <w:autoSpaceDE w:val="0"/>
        <w:autoSpaceDN w:val="0"/>
        <w:adjustRightInd w:val="0"/>
        <w:jc w:val="both"/>
        <w:rPr>
          <w:rFonts w:ascii="Calibri" w:hAnsi="Calibri" w:cs="Calibri"/>
        </w:rPr>
      </w:pPr>
    </w:p>
    <w:p w14:paraId="127B71B3" w14:textId="6D0C6D83" w:rsidR="00822599" w:rsidRDefault="00822599" w:rsidP="00822599">
      <w:pPr>
        <w:widowControl w:val="0"/>
        <w:autoSpaceDE w:val="0"/>
        <w:autoSpaceDN w:val="0"/>
        <w:adjustRightInd w:val="0"/>
        <w:jc w:val="both"/>
        <w:rPr>
          <w:rFonts w:ascii="Calibri" w:hAnsi="Calibri" w:cs="Calibri"/>
        </w:rPr>
      </w:pPr>
      <w:r>
        <w:rPr>
          <w:rFonts w:ascii="Calibri" w:hAnsi="Calibri" w:cs="Calibri"/>
        </w:rPr>
        <w:t xml:space="preserve">Toutefois, il est à noter que les BCR/SECNLS sont fonctionnels contrairement aux CMLS, CRLS, CILS, CPLS qui ne le sont pas par manque de financement. </w:t>
      </w:r>
    </w:p>
    <w:p w14:paraId="24C5A50A" w14:textId="77777777" w:rsidR="00822599" w:rsidRDefault="00822599" w:rsidP="00822599">
      <w:pPr>
        <w:widowControl w:val="0"/>
        <w:autoSpaceDE w:val="0"/>
        <w:autoSpaceDN w:val="0"/>
        <w:adjustRightInd w:val="0"/>
        <w:jc w:val="both"/>
        <w:rPr>
          <w:rFonts w:ascii="Calibri" w:hAnsi="Calibri" w:cs="Calibri"/>
        </w:rPr>
      </w:pPr>
      <w:r>
        <w:rPr>
          <w:rFonts w:ascii="Calibri" w:hAnsi="Calibri" w:cs="Calibri"/>
        </w:rPr>
        <w:t>Au niveau des partenaires techniques et financiers, il existe plusieurs groupes thématiques :</w:t>
      </w:r>
    </w:p>
    <w:p w14:paraId="4D592F46" w14:textId="77777777" w:rsidR="00822599" w:rsidRDefault="00822599" w:rsidP="00C34A61">
      <w:pPr>
        <w:pStyle w:val="Paragraphedeliste"/>
        <w:widowControl w:val="0"/>
        <w:numPr>
          <w:ilvl w:val="0"/>
          <w:numId w:val="31"/>
        </w:numPr>
        <w:autoSpaceDE w:val="0"/>
        <w:autoSpaceDN w:val="0"/>
        <w:adjustRightInd w:val="0"/>
        <w:jc w:val="both"/>
        <w:rPr>
          <w:rFonts w:ascii="Calibri" w:hAnsi="Calibri" w:cs="Calibri"/>
        </w:rPr>
      </w:pPr>
      <w:r w:rsidRPr="00BC3688">
        <w:rPr>
          <w:rFonts w:ascii="Calibri" w:hAnsi="Calibri" w:cs="Calibri"/>
        </w:rPr>
        <w:t xml:space="preserve">Group thématique </w:t>
      </w:r>
      <w:r>
        <w:rPr>
          <w:rFonts w:ascii="Calibri" w:hAnsi="Calibri" w:cs="Calibri"/>
        </w:rPr>
        <w:t>prévention dont la présidence est assurée par le ministère de la jeunesse et la coprésidence par l’UNFPA</w:t>
      </w:r>
    </w:p>
    <w:p w14:paraId="71776492" w14:textId="77777777" w:rsidR="00822599" w:rsidRDefault="00822599" w:rsidP="00C34A61">
      <w:pPr>
        <w:pStyle w:val="Paragraphedeliste"/>
        <w:widowControl w:val="0"/>
        <w:numPr>
          <w:ilvl w:val="0"/>
          <w:numId w:val="31"/>
        </w:numPr>
        <w:autoSpaceDE w:val="0"/>
        <w:autoSpaceDN w:val="0"/>
        <w:adjustRightInd w:val="0"/>
        <w:jc w:val="both"/>
        <w:rPr>
          <w:rFonts w:ascii="Calibri" w:hAnsi="Calibri" w:cs="Calibri"/>
        </w:rPr>
      </w:pPr>
      <w:r>
        <w:rPr>
          <w:rFonts w:ascii="Calibri" w:hAnsi="Calibri" w:cs="Calibri"/>
        </w:rPr>
        <w:t xml:space="preserve">Groupe thématique prise en charge/PTME/PECP dont la présidence est </w:t>
      </w:r>
      <w:r>
        <w:rPr>
          <w:rFonts w:ascii="Calibri" w:hAnsi="Calibri" w:cs="Calibri"/>
        </w:rPr>
        <w:tab/>
        <w:t>assurée par le Comité technique médicale et la coprésidence par l’OMS</w:t>
      </w:r>
    </w:p>
    <w:p w14:paraId="0C5A3492" w14:textId="77777777" w:rsidR="00822599" w:rsidRDefault="00822599" w:rsidP="00C34A61">
      <w:pPr>
        <w:pStyle w:val="Paragraphedeliste"/>
        <w:widowControl w:val="0"/>
        <w:numPr>
          <w:ilvl w:val="0"/>
          <w:numId w:val="31"/>
        </w:numPr>
        <w:autoSpaceDE w:val="0"/>
        <w:autoSpaceDN w:val="0"/>
        <w:adjustRightInd w:val="0"/>
        <w:jc w:val="both"/>
        <w:rPr>
          <w:rFonts w:ascii="Calibri" w:hAnsi="Calibri" w:cs="Calibri"/>
        </w:rPr>
      </w:pPr>
      <w:r>
        <w:rPr>
          <w:rFonts w:ascii="Calibri" w:hAnsi="Calibri" w:cs="Calibri"/>
        </w:rPr>
        <w:t>Groupe thématique Suivi et évaluation dont la présidence est assurée par le PNLSH et la coprésidence par l’ONUSIDA</w:t>
      </w:r>
    </w:p>
    <w:p w14:paraId="7B9F7E81" w14:textId="77777777" w:rsidR="00822599" w:rsidRPr="00BC3688" w:rsidRDefault="00822599" w:rsidP="00C34A61">
      <w:pPr>
        <w:pStyle w:val="Paragraphedeliste"/>
        <w:widowControl w:val="0"/>
        <w:numPr>
          <w:ilvl w:val="0"/>
          <w:numId w:val="31"/>
        </w:numPr>
        <w:autoSpaceDE w:val="0"/>
        <w:autoSpaceDN w:val="0"/>
        <w:adjustRightInd w:val="0"/>
        <w:jc w:val="both"/>
        <w:rPr>
          <w:rFonts w:ascii="Calibri" w:hAnsi="Calibri" w:cs="Calibri"/>
        </w:rPr>
      </w:pPr>
      <w:r>
        <w:rPr>
          <w:rFonts w:ascii="Calibri" w:hAnsi="Calibri" w:cs="Calibri"/>
        </w:rPr>
        <w:t>L’instance de Coordination nationale du Fonds mondial de lutte contre le paludisme, la tuberculose, le VIH/Sida et le Renforcement du Système de santé, présidée par le ministère de la santé et coprésidée par le ministère délégué au budget</w:t>
      </w:r>
    </w:p>
    <w:p w14:paraId="62FEB190" w14:textId="77777777" w:rsidR="0062512C" w:rsidRDefault="00822599" w:rsidP="00822599">
      <w:pPr>
        <w:widowControl w:val="0"/>
        <w:autoSpaceDE w:val="0"/>
        <w:autoSpaceDN w:val="0"/>
        <w:adjustRightInd w:val="0"/>
        <w:jc w:val="both"/>
        <w:rPr>
          <w:rFonts w:ascii="Calibri" w:hAnsi="Calibri" w:cs="Calibri"/>
        </w:rPr>
      </w:pPr>
      <w:r>
        <w:rPr>
          <w:rFonts w:ascii="Calibri" w:hAnsi="Calibri" w:cs="Calibri"/>
        </w:rPr>
        <w:t>Il faut aussi noter la création d’</w:t>
      </w:r>
      <w:r w:rsidRPr="005B52BA">
        <w:rPr>
          <w:rFonts w:ascii="Calibri" w:hAnsi="Calibri" w:cs="Calibri"/>
        </w:rPr>
        <w:t xml:space="preserve">une ligne budgétaire </w:t>
      </w:r>
      <w:r>
        <w:rPr>
          <w:rFonts w:ascii="Calibri" w:hAnsi="Calibri" w:cs="Calibri"/>
        </w:rPr>
        <w:t xml:space="preserve">dans le Budget National de Développement (BND) par le </w:t>
      </w:r>
      <w:r w:rsidRPr="005B52BA">
        <w:rPr>
          <w:rFonts w:ascii="Calibri" w:hAnsi="Calibri" w:cs="Calibri"/>
        </w:rPr>
        <w:t xml:space="preserve">Gouvernement pour le fonctionnement du SE/CNLS et l’achat des ARV. </w:t>
      </w:r>
    </w:p>
    <w:p w14:paraId="65A84C2A" w14:textId="77777777" w:rsidR="0062512C" w:rsidRDefault="0062512C" w:rsidP="00822599">
      <w:pPr>
        <w:widowControl w:val="0"/>
        <w:autoSpaceDE w:val="0"/>
        <w:autoSpaceDN w:val="0"/>
        <w:adjustRightInd w:val="0"/>
        <w:jc w:val="both"/>
        <w:rPr>
          <w:rFonts w:ascii="Calibri" w:hAnsi="Calibri" w:cs="Calibri"/>
        </w:rPr>
      </w:pPr>
    </w:p>
    <w:p w14:paraId="26E31EB0" w14:textId="72167848" w:rsidR="00822599" w:rsidRDefault="0062512C" w:rsidP="00C130C2">
      <w:pPr>
        <w:widowControl w:val="0"/>
        <w:shd w:val="clear" w:color="auto" w:fill="FFFFFF" w:themeFill="background1"/>
        <w:autoSpaceDE w:val="0"/>
        <w:autoSpaceDN w:val="0"/>
        <w:adjustRightInd w:val="0"/>
        <w:jc w:val="both"/>
        <w:rPr>
          <w:rFonts w:ascii="Calibri" w:hAnsi="Calibri" w:cs="Calibri"/>
        </w:rPr>
      </w:pPr>
      <w:r>
        <w:rPr>
          <w:rFonts w:ascii="Calibri" w:hAnsi="Calibri" w:cs="Calibri"/>
        </w:rPr>
        <w:t xml:space="preserve">Le budget total du PSN 2013-2017 était </w:t>
      </w:r>
      <w:r w:rsidRPr="00C130C2">
        <w:rPr>
          <w:rFonts w:ascii="Calibri" w:hAnsi="Calibri" w:cs="Calibri"/>
        </w:rPr>
        <w:t>estimé à 459 953 135 $ et la contribution de l’</w:t>
      </w:r>
      <w:r w:rsidR="00C130C2" w:rsidRPr="00C130C2">
        <w:rPr>
          <w:rFonts w:ascii="Calibri" w:hAnsi="Calibri" w:cs="Calibri"/>
        </w:rPr>
        <w:t>État</w:t>
      </w:r>
      <w:r w:rsidRPr="00C130C2">
        <w:rPr>
          <w:rFonts w:ascii="Calibri" w:hAnsi="Calibri" w:cs="Calibri"/>
        </w:rPr>
        <w:t xml:space="preserve"> devrait être porté de 20% à 50% en fin 2017. </w:t>
      </w:r>
      <w:r w:rsidR="00822599" w:rsidRPr="00C130C2">
        <w:rPr>
          <w:rFonts w:ascii="Calibri" w:hAnsi="Calibri" w:cs="Calibri"/>
        </w:rPr>
        <w:t>Cependant, le financement de la réponse reste tributaire des financements extérieurs et la part du Gouvernement dans la lutte contre le sida a baissé en 2015 (8%) et l’objectif d’atteindre une contribution de 50% d’ici 2017 ne sera pas réalisé.</w:t>
      </w:r>
      <w:r w:rsidR="00822599">
        <w:rPr>
          <w:rFonts w:ascii="Calibri" w:hAnsi="Calibri" w:cs="Calibri"/>
        </w:rPr>
        <w:t xml:space="preserve"> </w:t>
      </w:r>
    </w:p>
    <w:p w14:paraId="459D5E79" w14:textId="77777777" w:rsidR="00822599" w:rsidRPr="0062512C" w:rsidRDefault="00822599" w:rsidP="0062512C">
      <w:pPr>
        <w:widowControl w:val="0"/>
        <w:autoSpaceDE w:val="0"/>
        <w:autoSpaceDN w:val="0"/>
        <w:adjustRightInd w:val="0"/>
        <w:jc w:val="both"/>
        <w:rPr>
          <w:rFonts w:ascii="Calibri" w:hAnsi="Calibri" w:cs="Calibri"/>
        </w:rPr>
      </w:pPr>
    </w:p>
    <w:p w14:paraId="413E13C9" w14:textId="2E30B1CC" w:rsidR="00822599" w:rsidRDefault="0062512C" w:rsidP="0062512C">
      <w:pPr>
        <w:widowControl w:val="0"/>
        <w:autoSpaceDE w:val="0"/>
        <w:autoSpaceDN w:val="0"/>
        <w:adjustRightInd w:val="0"/>
        <w:jc w:val="both"/>
        <w:rPr>
          <w:rFonts w:ascii="Calibri" w:hAnsi="Calibri" w:cs="Calibri"/>
        </w:rPr>
      </w:pPr>
      <w:r w:rsidRPr="0062512C">
        <w:rPr>
          <w:rFonts w:ascii="Calibri" w:hAnsi="Calibri" w:cs="Calibri"/>
        </w:rPr>
        <w:t xml:space="preserve">Les </w:t>
      </w:r>
      <w:r>
        <w:rPr>
          <w:rFonts w:ascii="Calibri" w:hAnsi="Calibri" w:cs="Calibri"/>
        </w:rPr>
        <w:t>principaux goulots d’étranglement rencontrés au cours de la période 2013-2017 ont été les suivants :</w:t>
      </w:r>
    </w:p>
    <w:p w14:paraId="493D5AB7" w14:textId="77777777" w:rsidR="0062512C" w:rsidRPr="0062512C" w:rsidRDefault="0062512C" w:rsidP="00C34A61">
      <w:pPr>
        <w:pStyle w:val="Paragraphedeliste"/>
        <w:widowControl w:val="0"/>
        <w:numPr>
          <w:ilvl w:val="0"/>
          <w:numId w:val="31"/>
        </w:numPr>
        <w:autoSpaceDE w:val="0"/>
        <w:autoSpaceDN w:val="0"/>
        <w:adjustRightInd w:val="0"/>
        <w:jc w:val="both"/>
        <w:rPr>
          <w:rFonts w:ascii="Calibri" w:hAnsi="Calibri" w:cs="Calibri"/>
        </w:rPr>
      </w:pPr>
      <w:r w:rsidRPr="0062512C">
        <w:rPr>
          <w:rFonts w:ascii="Calibri" w:hAnsi="Calibri" w:cs="Calibri"/>
        </w:rPr>
        <w:t>La Faible fonctionnalité des CMLS et ceux au sein des institutions républicaines ;</w:t>
      </w:r>
    </w:p>
    <w:p w14:paraId="51CE06EE" w14:textId="1AB3E258" w:rsidR="0062512C" w:rsidRPr="0062512C" w:rsidRDefault="0062512C" w:rsidP="00C34A61">
      <w:pPr>
        <w:pStyle w:val="Paragraphedeliste"/>
        <w:widowControl w:val="0"/>
        <w:numPr>
          <w:ilvl w:val="0"/>
          <w:numId w:val="31"/>
        </w:numPr>
        <w:autoSpaceDE w:val="0"/>
        <w:autoSpaceDN w:val="0"/>
        <w:adjustRightInd w:val="0"/>
        <w:jc w:val="both"/>
        <w:rPr>
          <w:rFonts w:ascii="Calibri" w:hAnsi="Calibri" w:cs="Calibri"/>
        </w:rPr>
      </w:pPr>
      <w:r w:rsidRPr="0062512C">
        <w:rPr>
          <w:rFonts w:ascii="Calibri" w:hAnsi="Calibri" w:cs="Calibri"/>
        </w:rPr>
        <w:t>La non-fonctionnalité du Forum National des Partena</w:t>
      </w:r>
      <w:r>
        <w:rPr>
          <w:rFonts w:ascii="Calibri" w:hAnsi="Calibri" w:cs="Calibri"/>
        </w:rPr>
        <w:t>ires et ses différents organes </w:t>
      </w:r>
    </w:p>
    <w:p w14:paraId="67ECBA3E" w14:textId="29591DB8" w:rsidR="0062512C" w:rsidRPr="0062512C" w:rsidRDefault="0062512C" w:rsidP="00C34A61">
      <w:pPr>
        <w:pStyle w:val="Paragraphedeliste"/>
        <w:widowControl w:val="0"/>
        <w:numPr>
          <w:ilvl w:val="0"/>
          <w:numId w:val="31"/>
        </w:numPr>
        <w:autoSpaceDE w:val="0"/>
        <w:autoSpaceDN w:val="0"/>
        <w:adjustRightInd w:val="0"/>
        <w:jc w:val="both"/>
        <w:rPr>
          <w:rFonts w:ascii="Calibri" w:hAnsi="Calibri" w:cs="Calibri"/>
        </w:rPr>
      </w:pPr>
      <w:r>
        <w:rPr>
          <w:rFonts w:ascii="Calibri" w:hAnsi="Calibri" w:cs="Calibri"/>
        </w:rPr>
        <w:t>Les d</w:t>
      </w:r>
      <w:r w:rsidRPr="0062512C">
        <w:rPr>
          <w:rFonts w:ascii="Calibri" w:hAnsi="Calibri" w:cs="Calibri"/>
        </w:rPr>
        <w:t>ifficultés d</w:t>
      </w:r>
      <w:r>
        <w:rPr>
          <w:rFonts w:ascii="Calibri" w:hAnsi="Calibri" w:cs="Calibri"/>
        </w:rPr>
        <w:t>e décaissement de fonds du BND </w:t>
      </w:r>
    </w:p>
    <w:p w14:paraId="7FB1B7EF" w14:textId="5AB82DEB" w:rsidR="0062512C" w:rsidRPr="0062512C" w:rsidRDefault="0062512C" w:rsidP="00C34A61">
      <w:pPr>
        <w:pStyle w:val="Paragraphedeliste"/>
        <w:widowControl w:val="0"/>
        <w:numPr>
          <w:ilvl w:val="0"/>
          <w:numId w:val="31"/>
        </w:numPr>
        <w:autoSpaceDE w:val="0"/>
        <w:autoSpaceDN w:val="0"/>
        <w:adjustRightInd w:val="0"/>
        <w:jc w:val="both"/>
        <w:rPr>
          <w:rFonts w:ascii="Calibri" w:hAnsi="Calibri" w:cs="Calibri"/>
        </w:rPr>
      </w:pPr>
      <w:r>
        <w:rPr>
          <w:rFonts w:ascii="Calibri" w:hAnsi="Calibri" w:cs="Calibri"/>
        </w:rPr>
        <w:t xml:space="preserve">Le </w:t>
      </w:r>
      <w:r w:rsidRPr="0062512C">
        <w:rPr>
          <w:rFonts w:ascii="Calibri" w:hAnsi="Calibri" w:cs="Calibri"/>
        </w:rPr>
        <w:t>Faible suivi de la mise en application des déclarations et des engagements politiques ;</w:t>
      </w:r>
    </w:p>
    <w:p w14:paraId="1D21AF96" w14:textId="7FCC1373" w:rsidR="0062512C" w:rsidRPr="0062512C" w:rsidRDefault="0062512C" w:rsidP="00C34A61">
      <w:pPr>
        <w:pStyle w:val="Paragraphedeliste"/>
        <w:widowControl w:val="0"/>
        <w:numPr>
          <w:ilvl w:val="0"/>
          <w:numId w:val="31"/>
        </w:numPr>
        <w:autoSpaceDE w:val="0"/>
        <w:autoSpaceDN w:val="0"/>
        <w:adjustRightInd w:val="0"/>
        <w:jc w:val="both"/>
        <w:rPr>
          <w:rFonts w:ascii="Calibri" w:hAnsi="Calibri" w:cs="Calibri"/>
        </w:rPr>
      </w:pPr>
      <w:r>
        <w:rPr>
          <w:rFonts w:ascii="Calibri" w:hAnsi="Calibri" w:cs="Calibri"/>
        </w:rPr>
        <w:t xml:space="preserve">La </w:t>
      </w:r>
      <w:r w:rsidRPr="0062512C">
        <w:rPr>
          <w:rFonts w:ascii="Calibri" w:hAnsi="Calibri" w:cs="Calibri"/>
        </w:rPr>
        <w:t>Faible capacité de m</w:t>
      </w:r>
      <w:r>
        <w:rPr>
          <w:rFonts w:ascii="Calibri" w:hAnsi="Calibri" w:cs="Calibri"/>
        </w:rPr>
        <w:t>obilisation de ressources, en particulier au niveau du secteur privé</w:t>
      </w:r>
      <w:r w:rsidR="00402F83">
        <w:rPr>
          <w:rFonts w:ascii="Calibri" w:hAnsi="Calibri" w:cs="Calibri"/>
        </w:rPr>
        <w:t>.</w:t>
      </w:r>
    </w:p>
    <w:p w14:paraId="343655ED" w14:textId="5E329442" w:rsidR="0062512C" w:rsidRDefault="0062512C" w:rsidP="007F4863">
      <w:pPr>
        <w:rPr>
          <w:rFonts w:ascii="Calibri" w:hAnsi="Calibri" w:cs="Arial"/>
          <w:b/>
        </w:rPr>
      </w:pPr>
    </w:p>
    <w:tbl>
      <w:tblPr>
        <w:tblStyle w:val="Grilledutableau"/>
        <w:tblW w:w="0" w:type="auto"/>
        <w:tblInd w:w="-5" w:type="dxa"/>
        <w:tblLook w:val="04A0" w:firstRow="1" w:lastRow="0" w:firstColumn="1" w:lastColumn="0" w:noHBand="0" w:noVBand="1"/>
      </w:tblPr>
      <w:tblGrid>
        <w:gridCol w:w="1483"/>
        <w:gridCol w:w="8377"/>
      </w:tblGrid>
      <w:tr w:rsidR="0062512C" w:rsidRPr="00B63D74" w14:paraId="2A9DE86C" w14:textId="77777777" w:rsidTr="00D56D3E">
        <w:tc>
          <w:tcPr>
            <w:tcW w:w="1483" w:type="dxa"/>
            <w:shd w:val="clear" w:color="auto" w:fill="FF0000"/>
            <w:vAlign w:val="center"/>
          </w:tcPr>
          <w:p w14:paraId="0E53FF9F" w14:textId="77777777" w:rsidR="0062512C" w:rsidRPr="00B63D74" w:rsidRDefault="0062512C" w:rsidP="00D56D3E">
            <w:pPr>
              <w:rPr>
                <w:rFonts w:ascii="Calibri" w:hAnsi="Calibri"/>
                <w:sz w:val="20"/>
                <w:szCs w:val="20"/>
              </w:rPr>
            </w:pPr>
            <w:r w:rsidRPr="00B63D74">
              <w:rPr>
                <w:rFonts w:ascii="Calibri" w:hAnsi="Calibri"/>
                <w:color w:val="FFFFFF" w:themeColor="background1"/>
                <w:sz w:val="20"/>
                <w:szCs w:val="20"/>
              </w:rPr>
              <w:t>DEFIS/ PRIORITES</w:t>
            </w:r>
          </w:p>
        </w:tc>
        <w:tc>
          <w:tcPr>
            <w:tcW w:w="8377" w:type="dxa"/>
            <w:shd w:val="clear" w:color="auto" w:fill="E7E6E6" w:themeFill="background2"/>
          </w:tcPr>
          <w:p w14:paraId="002B2DF0" w14:textId="77777777" w:rsidR="0062512C" w:rsidRDefault="0062512C" w:rsidP="00C34A61">
            <w:pPr>
              <w:pStyle w:val="Paragraphedeliste"/>
              <w:numPr>
                <w:ilvl w:val="0"/>
                <w:numId w:val="27"/>
              </w:numPr>
              <w:jc w:val="both"/>
              <w:rPr>
                <w:rFonts w:ascii="Calibri" w:hAnsi="Calibri"/>
                <w:sz w:val="20"/>
                <w:szCs w:val="20"/>
              </w:rPr>
            </w:pPr>
            <w:r>
              <w:rPr>
                <w:rFonts w:ascii="Calibri" w:hAnsi="Calibri"/>
                <w:sz w:val="20"/>
                <w:szCs w:val="20"/>
              </w:rPr>
              <w:t>Maintenir la fonctionnalité et la performance du dispositif de coordination au niveau central et décentralisé</w:t>
            </w:r>
          </w:p>
          <w:p w14:paraId="66156CC9" w14:textId="77777777" w:rsidR="0062512C" w:rsidRDefault="0062512C" w:rsidP="00C34A61">
            <w:pPr>
              <w:pStyle w:val="Paragraphedeliste"/>
              <w:numPr>
                <w:ilvl w:val="0"/>
                <w:numId w:val="27"/>
              </w:numPr>
              <w:jc w:val="both"/>
              <w:rPr>
                <w:rFonts w:ascii="Calibri" w:hAnsi="Calibri"/>
                <w:sz w:val="20"/>
                <w:szCs w:val="20"/>
              </w:rPr>
            </w:pPr>
            <w:r>
              <w:rPr>
                <w:rFonts w:ascii="Calibri" w:hAnsi="Calibri"/>
                <w:sz w:val="20"/>
                <w:szCs w:val="20"/>
              </w:rPr>
              <w:t>Accroitre la fonctionnalité et la performance des cadres de coordination avec les partenaires</w:t>
            </w:r>
          </w:p>
          <w:p w14:paraId="6A529B5A" w14:textId="11559A26" w:rsidR="0062512C" w:rsidRDefault="0062512C" w:rsidP="00C34A61">
            <w:pPr>
              <w:pStyle w:val="Paragraphedeliste"/>
              <w:numPr>
                <w:ilvl w:val="0"/>
                <w:numId w:val="27"/>
              </w:numPr>
              <w:jc w:val="both"/>
              <w:rPr>
                <w:rFonts w:ascii="Calibri" w:hAnsi="Calibri"/>
                <w:sz w:val="20"/>
                <w:szCs w:val="20"/>
              </w:rPr>
            </w:pPr>
            <w:r>
              <w:rPr>
                <w:rFonts w:ascii="Calibri" w:hAnsi="Calibri"/>
                <w:sz w:val="20"/>
                <w:szCs w:val="20"/>
              </w:rPr>
              <w:t xml:space="preserve">Maintenir </w:t>
            </w:r>
            <w:r w:rsidR="00402864">
              <w:rPr>
                <w:rFonts w:ascii="Calibri" w:hAnsi="Calibri"/>
                <w:sz w:val="20"/>
                <w:szCs w:val="20"/>
              </w:rPr>
              <w:t xml:space="preserve">à </w:t>
            </w:r>
            <w:r>
              <w:rPr>
                <w:rFonts w:ascii="Calibri" w:hAnsi="Calibri"/>
                <w:sz w:val="20"/>
                <w:szCs w:val="20"/>
              </w:rPr>
              <w:t xml:space="preserve">un niveau acceptable </w:t>
            </w:r>
            <w:r w:rsidR="00402864">
              <w:rPr>
                <w:rFonts w:ascii="Calibri" w:hAnsi="Calibri"/>
                <w:sz w:val="20"/>
                <w:szCs w:val="20"/>
              </w:rPr>
              <w:t>la</w:t>
            </w:r>
            <w:r>
              <w:rPr>
                <w:rFonts w:ascii="Calibri" w:hAnsi="Calibri"/>
                <w:sz w:val="20"/>
                <w:szCs w:val="20"/>
              </w:rPr>
              <w:t xml:space="preserve"> mobilisation des ressources pour faire face aux défis à travers les mécanismes innovants et un meilleur suivi de la mobilisation des ressources</w:t>
            </w:r>
          </w:p>
          <w:p w14:paraId="6B07F063" w14:textId="4179C9E2" w:rsidR="0062512C" w:rsidRPr="00B63D74" w:rsidRDefault="0062512C" w:rsidP="00C34A61">
            <w:pPr>
              <w:pStyle w:val="Paragraphedeliste"/>
              <w:numPr>
                <w:ilvl w:val="0"/>
                <w:numId w:val="27"/>
              </w:numPr>
              <w:jc w:val="both"/>
              <w:rPr>
                <w:rFonts w:ascii="Calibri" w:hAnsi="Calibri"/>
                <w:sz w:val="20"/>
                <w:szCs w:val="20"/>
              </w:rPr>
            </w:pPr>
            <w:r>
              <w:rPr>
                <w:rFonts w:ascii="Calibri" w:hAnsi="Calibri"/>
                <w:sz w:val="20"/>
                <w:szCs w:val="20"/>
              </w:rPr>
              <w:t xml:space="preserve">Renforcer la bonne gestion des ressources financières et </w:t>
            </w:r>
            <w:proofErr w:type="gramStart"/>
            <w:r>
              <w:rPr>
                <w:rFonts w:ascii="Calibri" w:hAnsi="Calibri"/>
                <w:sz w:val="20"/>
                <w:szCs w:val="20"/>
              </w:rPr>
              <w:t>la</w:t>
            </w:r>
            <w:proofErr w:type="gramEnd"/>
            <w:r>
              <w:rPr>
                <w:rFonts w:ascii="Calibri" w:hAnsi="Calibri"/>
                <w:sz w:val="20"/>
                <w:szCs w:val="20"/>
              </w:rPr>
              <w:t xml:space="preserve"> redevabilité/transparence</w:t>
            </w:r>
          </w:p>
        </w:tc>
      </w:tr>
    </w:tbl>
    <w:p w14:paraId="0718690C" w14:textId="77777777" w:rsidR="007F4863" w:rsidRPr="005B52BA" w:rsidRDefault="007F4863" w:rsidP="00BD096E">
      <w:pPr>
        <w:widowControl w:val="0"/>
        <w:autoSpaceDE w:val="0"/>
        <w:autoSpaceDN w:val="0"/>
        <w:adjustRightInd w:val="0"/>
        <w:jc w:val="both"/>
        <w:rPr>
          <w:rFonts w:ascii="Calibri" w:hAnsi="Calibri" w:cs="Calibri"/>
        </w:rPr>
      </w:pPr>
    </w:p>
    <w:p w14:paraId="6A64D7B9" w14:textId="77777777" w:rsidR="00AB79BD" w:rsidRPr="005B52BA" w:rsidRDefault="00AB79BD" w:rsidP="00C34A61">
      <w:pPr>
        <w:pStyle w:val="Paragraphedeliste"/>
        <w:numPr>
          <w:ilvl w:val="2"/>
          <w:numId w:val="6"/>
        </w:numPr>
        <w:ind w:left="567" w:hanging="567"/>
        <w:contextualSpacing w:val="0"/>
        <w:jc w:val="both"/>
        <w:rPr>
          <w:rFonts w:ascii="Calibri" w:hAnsi="Calibri"/>
          <w:b/>
        </w:rPr>
      </w:pPr>
      <w:r w:rsidRPr="005B52BA">
        <w:rPr>
          <w:rFonts w:ascii="Calibri" w:hAnsi="Calibri"/>
          <w:b/>
        </w:rPr>
        <w:t>Participation à la gouvernance de la réponse nationale des organisations de la société civile</w:t>
      </w:r>
    </w:p>
    <w:p w14:paraId="39B4D4C9" w14:textId="77777777" w:rsidR="00AB79BD" w:rsidRDefault="00AB79BD" w:rsidP="00BD096E">
      <w:pPr>
        <w:jc w:val="both"/>
        <w:rPr>
          <w:rFonts w:ascii="Calibri" w:hAnsi="Calibri"/>
        </w:rPr>
      </w:pPr>
    </w:p>
    <w:p w14:paraId="50DE5D98" w14:textId="77777777" w:rsidR="007F4863" w:rsidRDefault="00822599" w:rsidP="00822599">
      <w:pPr>
        <w:widowControl w:val="0"/>
        <w:autoSpaceDE w:val="0"/>
        <w:autoSpaceDN w:val="0"/>
        <w:adjustRightInd w:val="0"/>
        <w:jc w:val="both"/>
        <w:rPr>
          <w:rFonts w:ascii="Calibri" w:hAnsi="Calibri" w:cs="Arial"/>
        </w:rPr>
      </w:pPr>
      <w:r w:rsidRPr="00244554">
        <w:rPr>
          <w:rFonts w:ascii="Calibri" w:hAnsi="Calibri" w:cs="Arial"/>
        </w:rPr>
        <w:t xml:space="preserve">Les </w:t>
      </w:r>
      <w:r>
        <w:rPr>
          <w:rFonts w:ascii="Calibri" w:hAnsi="Calibri" w:cs="Arial"/>
        </w:rPr>
        <w:t xml:space="preserve">réseaux et </w:t>
      </w:r>
      <w:r w:rsidRPr="00244554">
        <w:rPr>
          <w:rFonts w:ascii="Calibri" w:hAnsi="Calibri" w:cs="Arial"/>
        </w:rPr>
        <w:t xml:space="preserve">ONG locales </w:t>
      </w:r>
      <w:r w:rsidR="007F4863">
        <w:rPr>
          <w:rFonts w:ascii="Calibri" w:hAnsi="Calibri" w:cs="Arial"/>
        </w:rPr>
        <w:t xml:space="preserve">de lutte contre le sida </w:t>
      </w:r>
      <w:r w:rsidRPr="00244554">
        <w:rPr>
          <w:rFonts w:ascii="Calibri" w:hAnsi="Calibri" w:cs="Arial"/>
        </w:rPr>
        <w:t>(</w:t>
      </w:r>
      <w:r w:rsidRPr="00244554">
        <w:rPr>
          <w:rFonts w:ascii="Calibri" w:hAnsi="Calibri" w:cs="Calibri"/>
        </w:rPr>
        <w:t xml:space="preserve">REGAP+, REFIG, </w:t>
      </w:r>
      <w:r w:rsidR="007F4863">
        <w:rPr>
          <w:rFonts w:ascii="Calibri" w:hAnsi="Calibri" w:cs="Arial"/>
        </w:rPr>
        <w:t xml:space="preserve">AJFDG, </w:t>
      </w:r>
      <w:r w:rsidRPr="00244554">
        <w:rPr>
          <w:rFonts w:ascii="Calibri" w:hAnsi="Calibri" w:cs="Arial"/>
        </w:rPr>
        <w:t>ARC-EN-CIEL</w:t>
      </w:r>
      <w:r w:rsidR="007F4863">
        <w:rPr>
          <w:rFonts w:ascii="Calibri" w:hAnsi="Calibri" w:cs="Arial"/>
        </w:rPr>
        <w:t xml:space="preserve">, </w:t>
      </w:r>
      <w:r w:rsidRPr="00244554">
        <w:rPr>
          <w:rFonts w:ascii="Calibri" w:hAnsi="Calibri" w:cs="Arial"/>
        </w:rPr>
        <w:t>FMG, AGBEF,</w:t>
      </w:r>
      <w:r w:rsidR="007F4863">
        <w:rPr>
          <w:rFonts w:ascii="Calibri" w:hAnsi="Calibri" w:cs="Arial"/>
        </w:rPr>
        <w:t xml:space="preserve"> </w:t>
      </w:r>
      <w:r w:rsidRPr="00244554">
        <w:rPr>
          <w:rFonts w:ascii="Calibri" w:hAnsi="Calibri" w:cs="Arial"/>
        </w:rPr>
        <w:t>ASFEGMASSI</w:t>
      </w:r>
      <w:r>
        <w:rPr>
          <w:rFonts w:ascii="Calibri" w:hAnsi="Calibri" w:cs="Arial"/>
        </w:rPr>
        <w:t>…</w:t>
      </w:r>
      <w:r w:rsidRPr="00244554">
        <w:rPr>
          <w:rFonts w:ascii="Calibri" w:hAnsi="Calibri" w:cs="Arial"/>
        </w:rPr>
        <w:t>) participent activement à la riposte au VIH/</w:t>
      </w:r>
      <w:r>
        <w:rPr>
          <w:rFonts w:ascii="Calibri" w:hAnsi="Calibri" w:cs="Arial"/>
        </w:rPr>
        <w:t>sida</w:t>
      </w:r>
      <w:r w:rsidRPr="00244554">
        <w:rPr>
          <w:rFonts w:ascii="Calibri" w:hAnsi="Calibri" w:cs="Arial"/>
        </w:rPr>
        <w:t xml:space="preserve"> pour les programmes de prévention combinée (</w:t>
      </w:r>
      <w:r>
        <w:rPr>
          <w:rFonts w:ascii="Calibri" w:hAnsi="Calibri" w:cs="Arial"/>
        </w:rPr>
        <w:t xml:space="preserve">prévention primaire, </w:t>
      </w:r>
      <w:r w:rsidRPr="00244554">
        <w:rPr>
          <w:rFonts w:ascii="Calibri" w:hAnsi="Calibri" w:cs="Arial"/>
        </w:rPr>
        <w:t xml:space="preserve">CCC, dépistage, droits humains, prise en </w:t>
      </w:r>
      <w:r>
        <w:rPr>
          <w:rFonts w:ascii="Calibri" w:hAnsi="Calibri" w:cs="Arial"/>
        </w:rPr>
        <w:t>charge des IST et du VIH/sida…). De plus, p</w:t>
      </w:r>
      <w:r w:rsidRPr="005B52BA">
        <w:rPr>
          <w:rFonts w:ascii="Calibri" w:hAnsi="Calibri" w:cs="Arial"/>
        </w:rPr>
        <w:t>lusie</w:t>
      </w:r>
      <w:r>
        <w:rPr>
          <w:rFonts w:ascii="Calibri" w:hAnsi="Calibri" w:cs="Arial"/>
        </w:rPr>
        <w:t>urs ONG internationales (SOLTHIS</w:t>
      </w:r>
      <w:r w:rsidRPr="005B52BA">
        <w:rPr>
          <w:rFonts w:ascii="Calibri" w:hAnsi="Calibri" w:cs="Arial"/>
        </w:rPr>
        <w:t>, DREAM, HEALTH FOCUS</w:t>
      </w:r>
      <w:r w:rsidR="007F4863">
        <w:rPr>
          <w:rFonts w:ascii="Calibri" w:hAnsi="Calibri" w:cs="Arial"/>
        </w:rPr>
        <w:t>,</w:t>
      </w:r>
      <w:r w:rsidRPr="005B52BA">
        <w:rPr>
          <w:rFonts w:ascii="Calibri" w:hAnsi="Calibri" w:cs="Arial"/>
        </w:rPr>
        <w:t xml:space="preserve"> MSF-B, OPALS, Mission </w:t>
      </w:r>
      <w:proofErr w:type="spellStart"/>
      <w:r w:rsidRPr="005B52BA">
        <w:rPr>
          <w:rFonts w:ascii="Calibri" w:hAnsi="Calibri" w:cs="Arial"/>
        </w:rPr>
        <w:t>Philafricaine</w:t>
      </w:r>
      <w:proofErr w:type="spellEnd"/>
      <w:r w:rsidRPr="005B52BA">
        <w:rPr>
          <w:rFonts w:ascii="Calibri" w:hAnsi="Calibri" w:cs="Arial"/>
        </w:rPr>
        <w:t>, PLAN</w:t>
      </w:r>
      <w:r>
        <w:rPr>
          <w:rFonts w:ascii="Calibri" w:hAnsi="Calibri" w:cs="Arial"/>
        </w:rPr>
        <w:t xml:space="preserve"> international</w:t>
      </w:r>
      <w:r w:rsidRPr="005B52BA">
        <w:rPr>
          <w:rFonts w:ascii="Calibri" w:hAnsi="Calibri" w:cs="Arial"/>
        </w:rPr>
        <w:t xml:space="preserve"> </w:t>
      </w:r>
      <w:r w:rsidR="007F4863">
        <w:rPr>
          <w:rFonts w:ascii="Calibri" w:hAnsi="Calibri" w:cs="Arial"/>
        </w:rPr>
        <w:t xml:space="preserve">Guinée…) apportent leurs appuis </w:t>
      </w:r>
      <w:r w:rsidRPr="005B52BA">
        <w:rPr>
          <w:rFonts w:ascii="Calibri" w:hAnsi="Calibri" w:cs="Arial"/>
        </w:rPr>
        <w:t>techniques et financ</w:t>
      </w:r>
      <w:r>
        <w:rPr>
          <w:rFonts w:ascii="Calibri" w:hAnsi="Calibri" w:cs="Arial"/>
        </w:rPr>
        <w:t xml:space="preserve">ières à la riposte au VIH/sida. </w:t>
      </w:r>
    </w:p>
    <w:p w14:paraId="500F11A0" w14:textId="77777777" w:rsidR="007F4863" w:rsidRDefault="007F4863" w:rsidP="00822599">
      <w:pPr>
        <w:widowControl w:val="0"/>
        <w:autoSpaceDE w:val="0"/>
        <w:autoSpaceDN w:val="0"/>
        <w:adjustRightInd w:val="0"/>
        <w:jc w:val="both"/>
        <w:rPr>
          <w:rFonts w:ascii="Calibri" w:hAnsi="Calibri" w:cs="Arial"/>
        </w:rPr>
      </w:pPr>
    </w:p>
    <w:p w14:paraId="2AD7F3DD" w14:textId="7DB97D76" w:rsidR="007F4863" w:rsidRDefault="00822599" w:rsidP="00822599">
      <w:pPr>
        <w:widowControl w:val="0"/>
        <w:autoSpaceDE w:val="0"/>
        <w:autoSpaceDN w:val="0"/>
        <w:adjustRightInd w:val="0"/>
        <w:jc w:val="both"/>
        <w:rPr>
          <w:rFonts w:ascii="Calibri" w:hAnsi="Calibri" w:cs="Arial"/>
        </w:rPr>
      </w:pPr>
      <w:r>
        <w:rPr>
          <w:rFonts w:ascii="Calibri" w:hAnsi="Calibri" w:cs="Arial"/>
        </w:rPr>
        <w:t xml:space="preserve">Cependant, il existe une absence de coordination et de synergie entre les différentes ONG et réseaux dans la mise en œuvre des activités chose qui a une répercussion sur la visibilité et la lisibilité des actions en faveur de la riposte. </w:t>
      </w:r>
    </w:p>
    <w:p w14:paraId="2A281BB7" w14:textId="77777777" w:rsidR="007F4863" w:rsidRDefault="007F4863" w:rsidP="00822599">
      <w:pPr>
        <w:widowControl w:val="0"/>
        <w:autoSpaceDE w:val="0"/>
        <w:autoSpaceDN w:val="0"/>
        <w:adjustRightInd w:val="0"/>
        <w:jc w:val="both"/>
        <w:rPr>
          <w:rFonts w:ascii="Calibri" w:hAnsi="Calibri" w:cs="Arial"/>
        </w:rPr>
      </w:pPr>
    </w:p>
    <w:p w14:paraId="7BBF0927" w14:textId="39B32F3D" w:rsidR="00822599" w:rsidRPr="005B52BA" w:rsidRDefault="00822599" w:rsidP="00822599">
      <w:pPr>
        <w:widowControl w:val="0"/>
        <w:autoSpaceDE w:val="0"/>
        <w:autoSpaceDN w:val="0"/>
        <w:adjustRightInd w:val="0"/>
        <w:jc w:val="both"/>
        <w:rPr>
          <w:rFonts w:ascii="Calibri" w:hAnsi="Calibri" w:cs="Arial"/>
        </w:rPr>
      </w:pPr>
      <w:r>
        <w:rPr>
          <w:rFonts w:ascii="Calibri" w:hAnsi="Calibri" w:cs="Arial"/>
        </w:rPr>
        <w:t>L’implication des communautés à la base reste encore faible par manque de communication et de plaidoyer auprès de leaders communautaires.</w:t>
      </w:r>
      <w:r w:rsidR="007F4863">
        <w:rPr>
          <w:rFonts w:ascii="Calibri" w:hAnsi="Calibri" w:cs="Arial"/>
        </w:rPr>
        <w:t xml:space="preserve"> La mise en œuvre progressive de la santé communautaire et la nécessité de mettre en œuvre des stratégies différenciées et innovantes pour le dépistage et la prise en charge des PVVIH requièrent une plus organisation et professionnalisation des organisations communautaires.</w:t>
      </w:r>
    </w:p>
    <w:p w14:paraId="4BAFFAAA" w14:textId="448D82A5" w:rsidR="00AB79BD" w:rsidRDefault="00AB79BD" w:rsidP="007F4863">
      <w:pPr>
        <w:widowControl w:val="0"/>
        <w:autoSpaceDE w:val="0"/>
        <w:autoSpaceDN w:val="0"/>
        <w:adjustRightInd w:val="0"/>
        <w:jc w:val="both"/>
        <w:rPr>
          <w:rFonts w:ascii="Calibri" w:hAnsi="Calibri" w:cs="Arial"/>
        </w:rPr>
      </w:pPr>
    </w:p>
    <w:tbl>
      <w:tblPr>
        <w:tblStyle w:val="Grilledutableau"/>
        <w:tblW w:w="0" w:type="auto"/>
        <w:tblInd w:w="-5" w:type="dxa"/>
        <w:tblLook w:val="04A0" w:firstRow="1" w:lastRow="0" w:firstColumn="1" w:lastColumn="0" w:noHBand="0" w:noVBand="1"/>
      </w:tblPr>
      <w:tblGrid>
        <w:gridCol w:w="1483"/>
        <w:gridCol w:w="8377"/>
      </w:tblGrid>
      <w:tr w:rsidR="007F4863" w:rsidRPr="00B63D74" w14:paraId="7152202D" w14:textId="77777777" w:rsidTr="00D56D3E">
        <w:tc>
          <w:tcPr>
            <w:tcW w:w="1483" w:type="dxa"/>
            <w:shd w:val="clear" w:color="auto" w:fill="FF0000"/>
            <w:vAlign w:val="center"/>
          </w:tcPr>
          <w:p w14:paraId="4BE903CA" w14:textId="77777777" w:rsidR="007F4863" w:rsidRPr="00B63D74" w:rsidRDefault="007F4863" w:rsidP="00D56D3E">
            <w:pPr>
              <w:rPr>
                <w:rFonts w:ascii="Calibri" w:hAnsi="Calibri"/>
                <w:sz w:val="20"/>
                <w:szCs w:val="20"/>
              </w:rPr>
            </w:pPr>
            <w:r w:rsidRPr="00B63D74">
              <w:rPr>
                <w:rFonts w:ascii="Calibri" w:hAnsi="Calibri"/>
                <w:color w:val="FFFFFF" w:themeColor="background1"/>
                <w:sz w:val="20"/>
                <w:szCs w:val="20"/>
              </w:rPr>
              <w:t>DEFIS/ PRIORITES</w:t>
            </w:r>
          </w:p>
        </w:tc>
        <w:tc>
          <w:tcPr>
            <w:tcW w:w="8377" w:type="dxa"/>
            <w:shd w:val="clear" w:color="auto" w:fill="E7E6E6" w:themeFill="background2"/>
          </w:tcPr>
          <w:p w14:paraId="376AD7E7" w14:textId="77777777" w:rsidR="007F4863" w:rsidRDefault="007F4863" w:rsidP="00C34A61">
            <w:pPr>
              <w:pStyle w:val="Paragraphedeliste"/>
              <w:numPr>
                <w:ilvl w:val="0"/>
                <w:numId w:val="27"/>
              </w:numPr>
              <w:jc w:val="both"/>
              <w:rPr>
                <w:rFonts w:ascii="Calibri" w:hAnsi="Calibri"/>
                <w:sz w:val="20"/>
                <w:szCs w:val="20"/>
              </w:rPr>
            </w:pPr>
            <w:r>
              <w:rPr>
                <w:rFonts w:ascii="Calibri" w:hAnsi="Calibri"/>
                <w:sz w:val="20"/>
                <w:szCs w:val="20"/>
              </w:rPr>
              <w:t xml:space="preserve">Maintenir </w:t>
            </w:r>
            <w:r w:rsidR="00FD6173">
              <w:rPr>
                <w:rFonts w:ascii="Calibri" w:hAnsi="Calibri"/>
                <w:sz w:val="20"/>
                <w:szCs w:val="20"/>
              </w:rPr>
              <w:t>un tissu associatif et communautaire suffisamment dense pour soutenir durablement les activités de prévention, de dépistage et d’appui à la prise en charge des PVVIH</w:t>
            </w:r>
          </w:p>
          <w:p w14:paraId="0D6FF59E" w14:textId="77777777" w:rsidR="00FD6173" w:rsidRDefault="00FD6173" w:rsidP="00C34A61">
            <w:pPr>
              <w:pStyle w:val="Paragraphedeliste"/>
              <w:numPr>
                <w:ilvl w:val="0"/>
                <w:numId w:val="27"/>
              </w:numPr>
              <w:jc w:val="both"/>
              <w:rPr>
                <w:rFonts w:ascii="Calibri" w:hAnsi="Calibri"/>
                <w:sz w:val="20"/>
                <w:szCs w:val="20"/>
              </w:rPr>
            </w:pPr>
            <w:r>
              <w:rPr>
                <w:rFonts w:ascii="Calibri" w:hAnsi="Calibri"/>
                <w:sz w:val="20"/>
                <w:szCs w:val="20"/>
              </w:rPr>
              <w:t>Mettre en place un cadre cohérent de professionnalisation/spécialisation des organisations communautaires</w:t>
            </w:r>
          </w:p>
          <w:p w14:paraId="51F64F6E" w14:textId="48C894AC" w:rsidR="00FD6173" w:rsidRPr="00B63D74" w:rsidRDefault="00FD6173" w:rsidP="00C34A61">
            <w:pPr>
              <w:pStyle w:val="Paragraphedeliste"/>
              <w:numPr>
                <w:ilvl w:val="0"/>
                <w:numId w:val="27"/>
              </w:numPr>
              <w:jc w:val="both"/>
              <w:rPr>
                <w:rFonts w:ascii="Calibri" w:hAnsi="Calibri"/>
                <w:sz w:val="20"/>
                <w:szCs w:val="20"/>
              </w:rPr>
            </w:pPr>
            <w:r>
              <w:rPr>
                <w:rFonts w:ascii="Calibri" w:hAnsi="Calibri"/>
                <w:sz w:val="20"/>
                <w:szCs w:val="20"/>
              </w:rPr>
              <w:t>Renforcer le rôle de veille et de plaidoyer de la société civile en faveur des droits humains et mobilisation des ressources financières</w:t>
            </w:r>
          </w:p>
        </w:tc>
      </w:tr>
    </w:tbl>
    <w:p w14:paraId="0CD7BFE2" w14:textId="51FC605A" w:rsidR="007F4863" w:rsidRPr="005B52BA" w:rsidRDefault="007F4863" w:rsidP="007F4863">
      <w:pPr>
        <w:widowControl w:val="0"/>
        <w:autoSpaceDE w:val="0"/>
        <w:autoSpaceDN w:val="0"/>
        <w:adjustRightInd w:val="0"/>
        <w:jc w:val="both"/>
        <w:rPr>
          <w:rFonts w:ascii="Calibri" w:hAnsi="Calibri" w:cs="Arial"/>
        </w:rPr>
      </w:pPr>
    </w:p>
    <w:p w14:paraId="39302C44" w14:textId="3E507EEB" w:rsidR="00AB79BD" w:rsidRPr="005B52BA" w:rsidRDefault="00AB79BD" w:rsidP="00C34A61">
      <w:pPr>
        <w:pStyle w:val="Paragraphedeliste"/>
        <w:numPr>
          <w:ilvl w:val="2"/>
          <w:numId w:val="6"/>
        </w:numPr>
        <w:ind w:left="567" w:hanging="567"/>
        <w:jc w:val="both"/>
        <w:rPr>
          <w:rFonts w:ascii="Calibri" w:hAnsi="Calibri"/>
          <w:b/>
        </w:rPr>
      </w:pPr>
      <w:r w:rsidRPr="005B52BA">
        <w:rPr>
          <w:rFonts w:ascii="Calibri" w:hAnsi="Calibri"/>
          <w:b/>
        </w:rPr>
        <w:t>Utilisation de l’information stratégique pour la riposte nationale au VIH/</w:t>
      </w:r>
      <w:r w:rsidR="0036679F">
        <w:rPr>
          <w:rFonts w:ascii="Calibri" w:hAnsi="Calibri"/>
          <w:b/>
        </w:rPr>
        <w:t>sida</w:t>
      </w:r>
    </w:p>
    <w:p w14:paraId="081F04BF" w14:textId="77777777" w:rsidR="00AB79BD" w:rsidRPr="005B52BA" w:rsidRDefault="00AB79BD" w:rsidP="00BD096E">
      <w:pPr>
        <w:jc w:val="both"/>
        <w:rPr>
          <w:rFonts w:ascii="Calibri" w:hAnsi="Calibri"/>
        </w:rPr>
      </w:pPr>
    </w:p>
    <w:p w14:paraId="01DA67FC" w14:textId="2354555B" w:rsidR="00FE1F5F" w:rsidRDefault="0062715F" w:rsidP="00FE1F5F">
      <w:pPr>
        <w:widowControl w:val="0"/>
        <w:autoSpaceDE w:val="0"/>
        <w:autoSpaceDN w:val="0"/>
        <w:adjustRightInd w:val="0"/>
        <w:jc w:val="both"/>
        <w:rPr>
          <w:rFonts w:ascii="Calibri" w:hAnsi="Calibri" w:cs="Times"/>
          <w:color w:val="000000"/>
        </w:rPr>
      </w:pPr>
      <w:r>
        <w:rPr>
          <w:rFonts w:ascii="Calibri" w:hAnsi="Calibri" w:cs="Calibri"/>
        </w:rPr>
        <w:t>Dans ce domaine,</w:t>
      </w:r>
      <w:r w:rsidR="00822599">
        <w:rPr>
          <w:rFonts w:ascii="Calibri" w:hAnsi="Calibri" w:cs="Calibri"/>
        </w:rPr>
        <w:t xml:space="preserve"> </w:t>
      </w:r>
      <w:r w:rsidR="00822599" w:rsidRPr="005B52BA">
        <w:rPr>
          <w:rFonts w:ascii="Calibri" w:hAnsi="Calibri" w:cs="Calibri"/>
        </w:rPr>
        <w:t>entre 2013 et 2017</w:t>
      </w:r>
      <w:r w:rsidR="00822599">
        <w:rPr>
          <w:rFonts w:ascii="Calibri" w:hAnsi="Calibri" w:cs="Calibri"/>
        </w:rPr>
        <w:t xml:space="preserve">, plusieurs interventions ont permis de générer l’information stratégique pour une meilleure prise de décision. Ces interventions </w:t>
      </w:r>
      <w:r w:rsidR="00822599" w:rsidRPr="005B52BA">
        <w:rPr>
          <w:rFonts w:ascii="Calibri" w:hAnsi="Calibri" w:cs="Calibri"/>
        </w:rPr>
        <w:t>sont </w:t>
      </w:r>
      <w:r w:rsidR="00822599">
        <w:rPr>
          <w:rFonts w:ascii="Calibri" w:hAnsi="Calibri" w:cs="Calibri"/>
        </w:rPr>
        <w:t>entre autres</w:t>
      </w:r>
      <w:r w:rsidR="00FE1F5F">
        <w:rPr>
          <w:rFonts w:ascii="Calibri" w:hAnsi="Calibri" w:cs="Calibri"/>
        </w:rPr>
        <w:t xml:space="preserve"> </w:t>
      </w:r>
      <w:r w:rsidR="00822599" w:rsidRPr="005B52BA">
        <w:rPr>
          <w:rFonts w:ascii="Calibri" w:hAnsi="Calibri" w:cs="Calibri"/>
        </w:rPr>
        <w:t>:</w:t>
      </w:r>
      <w:r w:rsidR="00FE1F5F">
        <w:rPr>
          <w:rFonts w:ascii="Calibri" w:hAnsi="Calibri" w:cs="Calibri"/>
        </w:rPr>
        <w:t xml:space="preserve"> i) le re</w:t>
      </w:r>
      <w:r w:rsidR="00822599" w:rsidRPr="005B52BA">
        <w:rPr>
          <w:rFonts w:ascii="Calibri" w:hAnsi="Calibri" w:cs="Arial"/>
        </w:rPr>
        <w:t>nforcement des capacités techniques des acteurs en charge du suivi et de l’évalu</w:t>
      </w:r>
      <w:r w:rsidR="00FE1F5F">
        <w:rPr>
          <w:rFonts w:ascii="Calibri" w:hAnsi="Calibri" w:cs="Arial"/>
        </w:rPr>
        <w:t>ation au moyen des formations, ii) la p</w:t>
      </w:r>
      <w:r w:rsidR="00822599" w:rsidRPr="005B52BA">
        <w:rPr>
          <w:rFonts w:ascii="Calibri" w:hAnsi="Calibri" w:cs="Arial"/>
        </w:rPr>
        <w:t>roduction des rapports des enquêtes nationales de surveillance sentinelle</w:t>
      </w:r>
      <w:r w:rsidR="00822599">
        <w:rPr>
          <w:rFonts w:ascii="Calibri" w:hAnsi="Calibri" w:cs="Arial"/>
        </w:rPr>
        <w:t xml:space="preserve"> (ENSS)</w:t>
      </w:r>
      <w:r w:rsidR="00FE1F5F">
        <w:rPr>
          <w:rFonts w:ascii="Calibri" w:hAnsi="Calibri" w:cs="Arial"/>
        </w:rPr>
        <w:t>, iii) la r</w:t>
      </w:r>
      <w:r w:rsidR="00822599" w:rsidRPr="005B52BA">
        <w:rPr>
          <w:rFonts w:ascii="Calibri" w:hAnsi="Calibri" w:cs="Arial"/>
        </w:rPr>
        <w:t>éalisation de deux enquêtes de surveillance comportementale et biologique au niveau des populations vulnérables et des populations clés</w:t>
      </w:r>
      <w:r w:rsidR="00822599">
        <w:rPr>
          <w:rFonts w:ascii="Calibri" w:hAnsi="Calibri" w:cs="Arial"/>
        </w:rPr>
        <w:t xml:space="preserve"> (ESCOMB)</w:t>
      </w:r>
      <w:r w:rsidR="00FE1F5F">
        <w:rPr>
          <w:rFonts w:ascii="Calibri" w:hAnsi="Calibri" w:cs="Arial"/>
        </w:rPr>
        <w:t>, iv) la p</w:t>
      </w:r>
      <w:r w:rsidR="00822599" w:rsidRPr="005B52BA">
        <w:rPr>
          <w:rFonts w:ascii="Calibri" w:hAnsi="Calibri" w:cs="Arial"/>
        </w:rPr>
        <w:t>roduction régulière du rapport annuel sur la riposte au VIH </w:t>
      </w:r>
      <w:r w:rsidR="00822599">
        <w:rPr>
          <w:rFonts w:ascii="Calibri" w:hAnsi="Calibri" w:cs="Arial"/>
        </w:rPr>
        <w:t>(GAM</w:t>
      </w:r>
      <w:r w:rsidR="00FE1F5F">
        <w:rPr>
          <w:rFonts w:ascii="Calibri" w:hAnsi="Calibri" w:cs="Arial"/>
        </w:rPr>
        <w:t>), v) l’é</w:t>
      </w:r>
      <w:r w:rsidR="006D7655" w:rsidRPr="005B52BA">
        <w:rPr>
          <w:rFonts w:ascii="Calibri" w:hAnsi="Calibri"/>
        </w:rPr>
        <w:t>valuation</w:t>
      </w:r>
      <w:r w:rsidR="00822599" w:rsidRPr="005B52BA">
        <w:rPr>
          <w:rFonts w:ascii="Calibri" w:hAnsi="Calibri"/>
        </w:rPr>
        <w:t xml:space="preserve"> de l’impact de l’épidémie de la fièvre hémorragique à virus </w:t>
      </w:r>
      <w:r w:rsidR="00A20BA0" w:rsidRPr="005B52BA">
        <w:rPr>
          <w:rFonts w:ascii="Calibri" w:hAnsi="Calibri"/>
        </w:rPr>
        <w:t>Éb</w:t>
      </w:r>
      <w:r w:rsidR="00A20BA0">
        <w:rPr>
          <w:rFonts w:ascii="Calibri" w:hAnsi="Calibri"/>
        </w:rPr>
        <w:t>ola</w:t>
      </w:r>
      <w:r w:rsidR="00FE1F5F">
        <w:rPr>
          <w:rFonts w:ascii="Calibri" w:hAnsi="Calibri"/>
        </w:rPr>
        <w:t xml:space="preserve"> sur les sites PEC/CDV/PTME et vi) l’a</w:t>
      </w:r>
      <w:r w:rsidR="00822599">
        <w:rPr>
          <w:rFonts w:ascii="Calibri" w:hAnsi="Calibri" w:cs="Times"/>
          <w:color w:val="000000"/>
        </w:rPr>
        <w:t>doption et paramétrage du</w:t>
      </w:r>
      <w:r w:rsidR="00822599" w:rsidRPr="005B52BA">
        <w:rPr>
          <w:rFonts w:ascii="Calibri" w:hAnsi="Calibri" w:cs="Times"/>
          <w:color w:val="000000"/>
        </w:rPr>
        <w:t xml:space="preserve"> DHIS2</w:t>
      </w:r>
      <w:r w:rsidR="00822599">
        <w:rPr>
          <w:rFonts w:ascii="Calibri" w:hAnsi="Calibri" w:cs="Times"/>
          <w:color w:val="000000"/>
        </w:rPr>
        <w:t>, au niveau du s</w:t>
      </w:r>
      <w:r w:rsidR="00822599" w:rsidRPr="005B52BA">
        <w:rPr>
          <w:rFonts w:ascii="Calibri" w:hAnsi="Calibri" w:cs="Times"/>
          <w:color w:val="000000"/>
        </w:rPr>
        <w:t>ystème d’information sanitaire</w:t>
      </w:r>
      <w:r w:rsidR="00822599">
        <w:rPr>
          <w:rFonts w:ascii="Calibri" w:hAnsi="Calibri" w:cs="Times"/>
          <w:color w:val="000000"/>
        </w:rPr>
        <w:t xml:space="preserve"> pour le suivi des indicateurs VIH et VIH/TB</w:t>
      </w:r>
      <w:r w:rsidR="00FE1F5F">
        <w:rPr>
          <w:rFonts w:ascii="Calibri" w:hAnsi="Calibri" w:cs="Times"/>
          <w:color w:val="000000"/>
        </w:rPr>
        <w:t>, vii) la démarrage de la mise en place du SIGL qui contribuera à rendre disponible les informations sur les produits de santé.</w:t>
      </w:r>
    </w:p>
    <w:p w14:paraId="1446F15D" w14:textId="00A6477E" w:rsidR="00FE1F5F" w:rsidRDefault="00FE1F5F" w:rsidP="00FE1F5F">
      <w:pPr>
        <w:widowControl w:val="0"/>
        <w:autoSpaceDE w:val="0"/>
        <w:autoSpaceDN w:val="0"/>
        <w:adjustRightInd w:val="0"/>
        <w:jc w:val="both"/>
        <w:rPr>
          <w:rFonts w:ascii="Calibri" w:hAnsi="Calibri" w:cs="Times"/>
          <w:color w:val="000000"/>
        </w:rPr>
      </w:pPr>
    </w:p>
    <w:p w14:paraId="061163ED" w14:textId="2A439721" w:rsidR="00FE1F5F" w:rsidRDefault="00FE1F5F" w:rsidP="00FE1F5F">
      <w:pPr>
        <w:widowControl w:val="0"/>
        <w:autoSpaceDE w:val="0"/>
        <w:autoSpaceDN w:val="0"/>
        <w:adjustRightInd w:val="0"/>
        <w:jc w:val="both"/>
        <w:rPr>
          <w:rFonts w:ascii="Calibri" w:hAnsi="Calibri" w:cs="Times"/>
          <w:color w:val="000000"/>
        </w:rPr>
      </w:pPr>
      <w:r>
        <w:rPr>
          <w:rFonts w:ascii="Calibri" w:hAnsi="Calibri" w:cs="Times"/>
          <w:color w:val="000000"/>
        </w:rPr>
        <w:t>Le système de suivi évaluation en place possède des acquis comme les dispositifs (équipe robuste au niveau du CNLS, DHIS2, SIGL, structures décentralisées du CNLS, PN</w:t>
      </w:r>
      <w:r w:rsidR="006B057F">
        <w:rPr>
          <w:rFonts w:ascii="Calibri" w:hAnsi="Calibri" w:cs="Times"/>
          <w:color w:val="000000"/>
        </w:rPr>
        <w:t>LSH</w:t>
      </w:r>
      <w:r>
        <w:rPr>
          <w:rFonts w:ascii="Calibri" w:hAnsi="Calibri" w:cs="Times"/>
          <w:color w:val="000000"/>
        </w:rPr>
        <w:t>, etc..) et des outils de collecte des données qui permettent de disposer de la plupart des données. Cependant, il persiste des insuffisances comme :</w:t>
      </w:r>
    </w:p>
    <w:p w14:paraId="3E9CE6DF" w14:textId="01C6B3C0" w:rsidR="00FE1F5F" w:rsidRPr="00FE1F5F" w:rsidRDefault="00FE1F5F" w:rsidP="00FE1F5F">
      <w:pPr>
        <w:pStyle w:val="Paragraphedeliste"/>
        <w:widowControl w:val="0"/>
        <w:numPr>
          <w:ilvl w:val="0"/>
          <w:numId w:val="33"/>
        </w:numPr>
        <w:autoSpaceDE w:val="0"/>
        <w:autoSpaceDN w:val="0"/>
        <w:adjustRightInd w:val="0"/>
        <w:jc w:val="both"/>
        <w:rPr>
          <w:rFonts w:ascii="Calibri" w:hAnsi="Calibri" w:cs="Times"/>
          <w:color w:val="000000"/>
        </w:rPr>
      </w:pPr>
      <w:r>
        <w:rPr>
          <w:rFonts w:ascii="Calibri" w:hAnsi="Calibri" w:cs="Times"/>
          <w:color w:val="000000"/>
        </w:rPr>
        <w:t>Le retard dans la production des</w:t>
      </w:r>
      <w:r w:rsidRPr="00FE1F5F">
        <w:rPr>
          <w:rFonts w:ascii="Calibri" w:hAnsi="Calibri" w:cs="Times"/>
          <w:color w:val="000000"/>
        </w:rPr>
        <w:t xml:space="preserve"> rapports </w:t>
      </w:r>
      <w:r>
        <w:rPr>
          <w:rFonts w:ascii="Calibri" w:hAnsi="Calibri" w:cs="Times"/>
          <w:color w:val="000000"/>
        </w:rPr>
        <w:t xml:space="preserve">du fait des difficultés de </w:t>
      </w:r>
      <w:r w:rsidRPr="00FE1F5F">
        <w:rPr>
          <w:rFonts w:ascii="Calibri" w:hAnsi="Calibri" w:cs="Times"/>
          <w:color w:val="000000"/>
        </w:rPr>
        <w:t>remontée des données</w:t>
      </w:r>
    </w:p>
    <w:p w14:paraId="732C7A31" w14:textId="443AAEC6" w:rsidR="00FE1F5F" w:rsidRPr="00FE1F5F" w:rsidRDefault="00FE1F5F" w:rsidP="00FE1F5F">
      <w:pPr>
        <w:pStyle w:val="Paragraphedeliste"/>
        <w:widowControl w:val="0"/>
        <w:numPr>
          <w:ilvl w:val="0"/>
          <w:numId w:val="33"/>
        </w:numPr>
        <w:autoSpaceDE w:val="0"/>
        <w:autoSpaceDN w:val="0"/>
        <w:adjustRightInd w:val="0"/>
        <w:jc w:val="both"/>
        <w:rPr>
          <w:rFonts w:ascii="Calibri" w:hAnsi="Calibri" w:cs="Times"/>
          <w:color w:val="000000"/>
        </w:rPr>
      </w:pPr>
      <w:r w:rsidRPr="00FE1F5F">
        <w:rPr>
          <w:rFonts w:ascii="Calibri" w:hAnsi="Calibri" w:cs="Times"/>
          <w:color w:val="000000"/>
        </w:rPr>
        <w:t>L'insuffisance de personnel qual</w:t>
      </w:r>
      <w:r>
        <w:rPr>
          <w:rFonts w:ascii="Calibri" w:hAnsi="Calibri" w:cs="Times"/>
          <w:color w:val="000000"/>
        </w:rPr>
        <w:t xml:space="preserve">ifié en S&amp;E au niveau régional </w:t>
      </w:r>
      <w:r w:rsidRPr="00FE1F5F">
        <w:rPr>
          <w:rFonts w:ascii="Calibri" w:hAnsi="Calibri" w:cs="Times"/>
          <w:color w:val="000000"/>
        </w:rPr>
        <w:t>et l'absence de système de gestion de base de données</w:t>
      </w:r>
    </w:p>
    <w:p w14:paraId="0C589554" w14:textId="77777777" w:rsidR="00FE1F5F" w:rsidRPr="00FE1F5F" w:rsidRDefault="00FE1F5F" w:rsidP="00FE1F5F">
      <w:pPr>
        <w:pStyle w:val="Paragraphedeliste"/>
        <w:widowControl w:val="0"/>
        <w:numPr>
          <w:ilvl w:val="0"/>
          <w:numId w:val="33"/>
        </w:numPr>
        <w:autoSpaceDE w:val="0"/>
        <w:autoSpaceDN w:val="0"/>
        <w:adjustRightInd w:val="0"/>
        <w:jc w:val="both"/>
        <w:rPr>
          <w:rFonts w:ascii="Calibri" w:hAnsi="Calibri" w:cs="Times"/>
          <w:color w:val="000000"/>
        </w:rPr>
      </w:pPr>
      <w:r w:rsidRPr="00FE1F5F">
        <w:rPr>
          <w:rFonts w:ascii="Calibri" w:hAnsi="Calibri" w:cs="Times"/>
          <w:color w:val="000000"/>
        </w:rPr>
        <w:t>Tous les membres de la cellule de gestion ne sont pas formés aux outils et aux processus de gestion des données</w:t>
      </w:r>
    </w:p>
    <w:p w14:paraId="3D655DCE" w14:textId="77777777" w:rsidR="00FE1F5F" w:rsidRPr="00FE1F5F" w:rsidRDefault="00FE1F5F" w:rsidP="00FE1F5F">
      <w:pPr>
        <w:pStyle w:val="Paragraphedeliste"/>
        <w:widowControl w:val="0"/>
        <w:numPr>
          <w:ilvl w:val="0"/>
          <w:numId w:val="33"/>
        </w:numPr>
        <w:autoSpaceDE w:val="0"/>
        <w:autoSpaceDN w:val="0"/>
        <w:adjustRightInd w:val="0"/>
        <w:jc w:val="both"/>
        <w:rPr>
          <w:rFonts w:ascii="Calibri" w:hAnsi="Calibri" w:cs="Times"/>
          <w:color w:val="000000"/>
        </w:rPr>
      </w:pPr>
      <w:r w:rsidRPr="00FE1F5F">
        <w:rPr>
          <w:rFonts w:ascii="Calibri" w:hAnsi="Calibri" w:cs="Times"/>
          <w:color w:val="000000"/>
        </w:rPr>
        <w:t>Le manque de partage de données ne montre pas de lien étroit entre la cellule de coordination et le SNIS</w:t>
      </w:r>
    </w:p>
    <w:p w14:paraId="638C478C" w14:textId="67B1D4EC" w:rsidR="00FE1F5F" w:rsidRPr="00FE1F5F" w:rsidRDefault="00FE1F5F" w:rsidP="00FE1F5F">
      <w:pPr>
        <w:pStyle w:val="Paragraphedeliste"/>
        <w:widowControl w:val="0"/>
        <w:numPr>
          <w:ilvl w:val="0"/>
          <w:numId w:val="33"/>
        </w:numPr>
        <w:autoSpaceDE w:val="0"/>
        <w:autoSpaceDN w:val="0"/>
        <w:adjustRightInd w:val="0"/>
        <w:jc w:val="both"/>
        <w:rPr>
          <w:rFonts w:ascii="Calibri" w:hAnsi="Calibri" w:cs="Times"/>
          <w:color w:val="000000"/>
        </w:rPr>
      </w:pPr>
      <w:r>
        <w:rPr>
          <w:rFonts w:ascii="Calibri" w:hAnsi="Calibri" w:cs="Times"/>
          <w:color w:val="000000"/>
        </w:rPr>
        <w:t>Absence de procédures standard d’assurance qualité, de correction des données, de traitement des données manquantes et de gestion des données</w:t>
      </w:r>
    </w:p>
    <w:p w14:paraId="05AE99BC" w14:textId="4FCCE0D7" w:rsidR="00244554" w:rsidRDefault="00822599" w:rsidP="00FE1F5F">
      <w:pPr>
        <w:widowControl w:val="0"/>
        <w:autoSpaceDE w:val="0"/>
        <w:autoSpaceDN w:val="0"/>
        <w:adjustRightInd w:val="0"/>
        <w:jc w:val="both"/>
        <w:rPr>
          <w:rFonts w:ascii="Calibri" w:hAnsi="Calibri"/>
          <w:noProof/>
        </w:rPr>
      </w:pPr>
      <w:r w:rsidRPr="005B52BA">
        <w:rPr>
          <w:rFonts w:ascii="Calibri" w:hAnsi="Calibri" w:cs="Times"/>
          <w:color w:val="000000"/>
        </w:rPr>
        <w:t xml:space="preserve">  </w:t>
      </w:r>
    </w:p>
    <w:tbl>
      <w:tblPr>
        <w:tblStyle w:val="Grilledutableau"/>
        <w:tblW w:w="0" w:type="auto"/>
        <w:tblInd w:w="-5" w:type="dxa"/>
        <w:tblLook w:val="04A0" w:firstRow="1" w:lastRow="0" w:firstColumn="1" w:lastColumn="0" w:noHBand="0" w:noVBand="1"/>
      </w:tblPr>
      <w:tblGrid>
        <w:gridCol w:w="1483"/>
        <w:gridCol w:w="8377"/>
      </w:tblGrid>
      <w:tr w:rsidR="00FE1F5F" w:rsidRPr="00B63D74" w14:paraId="37185C26" w14:textId="77777777" w:rsidTr="003167B8">
        <w:tc>
          <w:tcPr>
            <w:tcW w:w="1483" w:type="dxa"/>
            <w:shd w:val="clear" w:color="auto" w:fill="FF0000"/>
            <w:vAlign w:val="center"/>
          </w:tcPr>
          <w:p w14:paraId="081F1300" w14:textId="77777777" w:rsidR="00FE1F5F" w:rsidRPr="00B63D74" w:rsidRDefault="00FE1F5F" w:rsidP="003167B8">
            <w:pPr>
              <w:rPr>
                <w:rFonts w:ascii="Calibri" w:hAnsi="Calibri"/>
                <w:sz w:val="20"/>
                <w:szCs w:val="20"/>
              </w:rPr>
            </w:pPr>
            <w:bookmarkStart w:id="61" w:name="_Toc492294055"/>
            <w:bookmarkStart w:id="62" w:name="_Toc500496791"/>
            <w:r w:rsidRPr="00B63D74">
              <w:rPr>
                <w:rFonts w:ascii="Calibri" w:hAnsi="Calibri"/>
                <w:color w:val="FFFFFF" w:themeColor="background1"/>
                <w:sz w:val="20"/>
                <w:szCs w:val="20"/>
              </w:rPr>
              <w:t>DEFIS/ PRIORITES</w:t>
            </w:r>
          </w:p>
        </w:tc>
        <w:tc>
          <w:tcPr>
            <w:tcW w:w="8377" w:type="dxa"/>
            <w:shd w:val="clear" w:color="auto" w:fill="E7E6E6" w:themeFill="background2"/>
          </w:tcPr>
          <w:p w14:paraId="01058A63" w14:textId="08484541" w:rsidR="00FE1F5F" w:rsidRDefault="0061294C" w:rsidP="003167B8">
            <w:pPr>
              <w:pStyle w:val="Paragraphedeliste"/>
              <w:numPr>
                <w:ilvl w:val="0"/>
                <w:numId w:val="27"/>
              </w:numPr>
              <w:jc w:val="both"/>
              <w:rPr>
                <w:rFonts w:ascii="Calibri" w:hAnsi="Calibri"/>
                <w:sz w:val="20"/>
                <w:szCs w:val="20"/>
              </w:rPr>
            </w:pPr>
            <w:r>
              <w:rPr>
                <w:rFonts w:ascii="Calibri" w:hAnsi="Calibri"/>
                <w:sz w:val="20"/>
                <w:szCs w:val="20"/>
              </w:rPr>
              <w:t xml:space="preserve">Maintenir une fonctionnalité optimale du dispositif </w:t>
            </w:r>
            <w:r w:rsidR="006C0F26">
              <w:rPr>
                <w:rFonts w:ascii="Calibri" w:hAnsi="Calibri"/>
                <w:sz w:val="20"/>
                <w:szCs w:val="20"/>
              </w:rPr>
              <w:t xml:space="preserve">et des mécanismes </w:t>
            </w:r>
            <w:r>
              <w:rPr>
                <w:rFonts w:ascii="Calibri" w:hAnsi="Calibri"/>
                <w:sz w:val="20"/>
                <w:szCs w:val="20"/>
              </w:rPr>
              <w:t xml:space="preserve">de suivi évaluation, en tenant </w:t>
            </w:r>
            <w:r w:rsidR="00402F83">
              <w:rPr>
                <w:rFonts w:ascii="Calibri" w:hAnsi="Calibri"/>
                <w:sz w:val="20"/>
                <w:szCs w:val="20"/>
              </w:rPr>
              <w:t xml:space="preserve">compte </w:t>
            </w:r>
            <w:r>
              <w:rPr>
                <w:rFonts w:ascii="Calibri" w:hAnsi="Calibri"/>
                <w:sz w:val="20"/>
                <w:szCs w:val="20"/>
              </w:rPr>
              <w:t>des évolutions et innovations comme le DHIS2 et le SIGL</w:t>
            </w:r>
          </w:p>
          <w:p w14:paraId="627B24A1" w14:textId="5F92BD04" w:rsidR="0061294C" w:rsidRDefault="0061294C" w:rsidP="003167B8">
            <w:pPr>
              <w:pStyle w:val="Paragraphedeliste"/>
              <w:numPr>
                <w:ilvl w:val="0"/>
                <w:numId w:val="27"/>
              </w:numPr>
              <w:jc w:val="both"/>
              <w:rPr>
                <w:rFonts w:ascii="Calibri" w:hAnsi="Calibri"/>
                <w:sz w:val="20"/>
                <w:szCs w:val="20"/>
              </w:rPr>
            </w:pPr>
            <w:r>
              <w:rPr>
                <w:rFonts w:ascii="Calibri" w:hAnsi="Calibri"/>
                <w:sz w:val="20"/>
                <w:szCs w:val="20"/>
              </w:rPr>
              <w:t xml:space="preserve">Renforcer la disponibilité et la qualité des données, en tenant </w:t>
            </w:r>
            <w:r w:rsidR="00402F83">
              <w:rPr>
                <w:rFonts w:ascii="Calibri" w:hAnsi="Calibri"/>
                <w:sz w:val="20"/>
                <w:szCs w:val="20"/>
              </w:rPr>
              <w:t xml:space="preserve">compte </w:t>
            </w:r>
            <w:r w:rsidR="009D4E96">
              <w:rPr>
                <w:rFonts w:ascii="Calibri" w:hAnsi="Calibri"/>
                <w:sz w:val="20"/>
                <w:szCs w:val="20"/>
              </w:rPr>
              <w:t>de la promptitude et de la complétude</w:t>
            </w:r>
          </w:p>
          <w:p w14:paraId="2E48BA1B" w14:textId="16A4A7D9" w:rsidR="0061294C" w:rsidRPr="00B63D74" w:rsidRDefault="0061294C" w:rsidP="003167B8">
            <w:pPr>
              <w:pStyle w:val="Paragraphedeliste"/>
              <w:numPr>
                <w:ilvl w:val="0"/>
                <w:numId w:val="27"/>
              </w:numPr>
              <w:jc w:val="both"/>
              <w:rPr>
                <w:rFonts w:ascii="Calibri" w:hAnsi="Calibri"/>
                <w:sz w:val="20"/>
                <w:szCs w:val="20"/>
              </w:rPr>
            </w:pPr>
            <w:r>
              <w:rPr>
                <w:rFonts w:ascii="Calibri" w:hAnsi="Calibri"/>
                <w:sz w:val="20"/>
                <w:szCs w:val="20"/>
              </w:rPr>
              <w:t xml:space="preserve">Parvenir à l’utilisation accrue de l’information stratégique aussi </w:t>
            </w:r>
            <w:r w:rsidR="00402F83">
              <w:rPr>
                <w:rFonts w:ascii="Calibri" w:hAnsi="Calibri"/>
                <w:sz w:val="20"/>
                <w:szCs w:val="20"/>
              </w:rPr>
              <w:t xml:space="preserve">bien </w:t>
            </w:r>
            <w:r>
              <w:rPr>
                <w:rFonts w:ascii="Calibri" w:hAnsi="Calibri"/>
                <w:sz w:val="20"/>
                <w:szCs w:val="20"/>
              </w:rPr>
              <w:t xml:space="preserve">au niveau central que </w:t>
            </w:r>
            <w:r w:rsidR="00402F83">
              <w:rPr>
                <w:rFonts w:ascii="Calibri" w:hAnsi="Calibri"/>
                <w:sz w:val="20"/>
                <w:szCs w:val="20"/>
              </w:rPr>
              <w:t>décentralisé</w:t>
            </w:r>
          </w:p>
        </w:tc>
      </w:tr>
    </w:tbl>
    <w:p w14:paraId="21D7688F" w14:textId="407FE354" w:rsidR="006D7655" w:rsidRDefault="006D7655" w:rsidP="00C34C39">
      <w:pPr>
        <w:rPr>
          <w:rFonts w:ascii="Calibri" w:hAnsi="Calibri" w:cs="Arial"/>
          <w:b/>
        </w:rPr>
      </w:pPr>
    </w:p>
    <w:p w14:paraId="79397F86" w14:textId="3E412B3C" w:rsidR="00105176" w:rsidRPr="00A96CAD" w:rsidRDefault="00105176" w:rsidP="00C34A61">
      <w:pPr>
        <w:pStyle w:val="Titre1"/>
        <w:numPr>
          <w:ilvl w:val="0"/>
          <w:numId w:val="6"/>
        </w:numPr>
        <w:pBdr>
          <w:bottom w:val="single" w:sz="12" w:space="1" w:color="auto"/>
        </w:pBdr>
        <w:shd w:val="clear" w:color="auto" w:fill="92D050"/>
        <w:spacing w:after="0"/>
        <w:ind w:left="284" w:hanging="284"/>
        <w:rPr>
          <w:rFonts w:ascii="Calibri" w:hAnsi="Calibri"/>
          <w:sz w:val="28"/>
          <w:szCs w:val="28"/>
        </w:rPr>
      </w:pPr>
      <w:bookmarkStart w:id="63" w:name="_Toc500335862"/>
      <w:bookmarkStart w:id="64" w:name="_Toc500520926"/>
      <w:bookmarkStart w:id="65" w:name="_Toc520983525"/>
      <w:bookmarkEnd w:id="61"/>
      <w:bookmarkEnd w:id="62"/>
      <w:r w:rsidRPr="00A96CAD">
        <w:rPr>
          <w:rFonts w:ascii="Calibri" w:hAnsi="Calibri"/>
          <w:sz w:val="28"/>
          <w:szCs w:val="28"/>
        </w:rPr>
        <w:t xml:space="preserve">CADRE STRATEGIQUE NATIONAL 2018 </w:t>
      </w:r>
      <w:r>
        <w:rPr>
          <w:rFonts w:ascii="Calibri" w:hAnsi="Calibri"/>
          <w:sz w:val="28"/>
          <w:szCs w:val="28"/>
        </w:rPr>
        <w:t>-</w:t>
      </w:r>
      <w:r w:rsidRPr="00A96CAD">
        <w:rPr>
          <w:rFonts w:ascii="Calibri" w:hAnsi="Calibri"/>
          <w:sz w:val="28"/>
          <w:szCs w:val="28"/>
        </w:rPr>
        <w:t xml:space="preserve"> 2022</w:t>
      </w:r>
      <w:bookmarkEnd w:id="63"/>
      <w:bookmarkEnd w:id="64"/>
      <w:bookmarkEnd w:id="65"/>
    </w:p>
    <w:p w14:paraId="0DE4EFE9" w14:textId="77777777" w:rsidR="00192E96" w:rsidRPr="005B52BA" w:rsidRDefault="00192E96" w:rsidP="00C34C39">
      <w:pPr>
        <w:jc w:val="both"/>
        <w:rPr>
          <w:rFonts w:ascii="Calibri" w:hAnsi="Calibri" w:cs="Arial"/>
          <w:color w:val="333333"/>
          <w:shd w:val="clear" w:color="auto" w:fill="FFFFFF"/>
        </w:rPr>
      </w:pPr>
    </w:p>
    <w:p w14:paraId="7E8252B2" w14:textId="1BD92C6B" w:rsidR="00105176" w:rsidRPr="00383208" w:rsidRDefault="00105176" w:rsidP="00C34A61">
      <w:pPr>
        <w:pStyle w:val="Titre2"/>
        <w:numPr>
          <w:ilvl w:val="1"/>
          <w:numId w:val="6"/>
        </w:numPr>
        <w:spacing w:after="0"/>
        <w:ind w:left="426" w:hanging="426"/>
        <w:rPr>
          <w:rFonts w:ascii="Calibri" w:hAnsi="Calibri"/>
          <w:color w:val="2F5496" w:themeColor="accent5" w:themeShade="BF"/>
          <w:szCs w:val="24"/>
        </w:rPr>
      </w:pPr>
      <w:bookmarkStart w:id="66" w:name="_Toc376258639"/>
      <w:bookmarkStart w:id="67" w:name="_Toc492294056"/>
      <w:bookmarkStart w:id="68" w:name="_Toc500335863"/>
      <w:bookmarkStart w:id="69" w:name="_Toc500520927"/>
      <w:bookmarkStart w:id="70" w:name="_Toc520983526"/>
      <w:r w:rsidRPr="00383208">
        <w:rPr>
          <w:rFonts w:ascii="Calibri" w:hAnsi="Calibri"/>
          <w:color w:val="2F5496" w:themeColor="accent5" w:themeShade="BF"/>
          <w:szCs w:val="24"/>
        </w:rPr>
        <w:t xml:space="preserve">Vision </w:t>
      </w:r>
      <w:bookmarkEnd w:id="66"/>
      <w:bookmarkEnd w:id="67"/>
      <w:r w:rsidRPr="00383208">
        <w:rPr>
          <w:rFonts w:ascii="Calibri" w:hAnsi="Calibri"/>
          <w:color w:val="2F5496" w:themeColor="accent5" w:themeShade="BF"/>
          <w:szCs w:val="24"/>
        </w:rPr>
        <w:t xml:space="preserve">du Cadre Stratégique National de lutte contre le </w:t>
      </w:r>
      <w:r w:rsidR="0036679F">
        <w:rPr>
          <w:rFonts w:ascii="Calibri" w:hAnsi="Calibri"/>
          <w:color w:val="2F5496" w:themeColor="accent5" w:themeShade="BF"/>
          <w:szCs w:val="24"/>
        </w:rPr>
        <w:t>sida</w:t>
      </w:r>
      <w:r w:rsidRPr="00383208">
        <w:rPr>
          <w:rFonts w:ascii="Calibri" w:hAnsi="Calibri"/>
          <w:color w:val="2F5496" w:themeColor="accent5" w:themeShade="BF"/>
          <w:szCs w:val="24"/>
        </w:rPr>
        <w:t xml:space="preserve"> 2018-2022</w:t>
      </w:r>
      <w:bookmarkEnd w:id="68"/>
      <w:bookmarkEnd w:id="69"/>
      <w:bookmarkEnd w:id="70"/>
    </w:p>
    <w:p w14:paraId="4A37BD4C" w14:textId="77777777" w:rsidR="00A60011" w:rsidRPr="00105176" w:rsidRDefault="00A60011" w:rsidP="00192E96">
      <w:pPr>
        <w:jc w:val="both"/>
        <w:rPr>
          <w:rFonts w:ascii="Calibri" w:hAnsi="Calibri" w:cs="Arial"/>
          <w:color w:val="333333"/>
          <w:shd w:val="clear" w:color="auto" w:fill="FFFFFF"/>
          <w:lang w:val="fr-CH"/>
        </w:rPr>
      </w:pPr>
    </w:p>
    <w:p w14:paraId="128F915D" w14:textId="5F323751" w:rsidR="00BF7ED1" w:rsidRDefault="009341BB" w:rsidP="00BF7ED1">
      <w:pPr>
        <w:jc w:val="both"/>
        <w:rPr>
          <w:rFonts w:ascii="Calibri" w:hAnsi="Calibri"/>
          <w:color w:val="333333"/>
        </w:rPr>
      </w:pPr>
      <w:r w:rsidRPr="005B52BA">
        <w:rPr>
          <w:rFonts w:ascii="Calibri" w:hAnsi="Calibri" w:cs="Arial"/>
          <w:color w:val="333333"/>
          <w:shd w:val="clear" w:color="auto" w:fill="FFFFFF"/>
        </w:rPr>
        <w:t xml:space="preserve">La vision de la Guinée est de </w:t>
      </w:r>
      <w:r w:rsidR="00BF7ED1">
        <w:rPr>
          <w:rFonts w:ascii="Calibri" w:hAnsi="Calibri" w:cs="Arial"/>
          <w:color w:val="333333"/>
          <w:shd w:val="clear" w:color="auto" w:fill="FFFFFF"/>
        </w:rPr>
        <w:t>« </w:t>
      </w:r>
      <w:r w:rsidRPr="00BF7ED1">
        <w:rPr>
          <w:rFonts w:ascii="Calibri" w:hAnsi="Calibri" w:cs="Arial"/>
          <w:b/>
          <w:color w:val="00B0F0"/>
          <w:shd w:val="clear" w:color="auto" w:fill="FFFFFF"/>
        </w:rPr>
        <w:t>parvenir à m</w:t>
      </w:r>
      <w:r w:rsidR="006D3AB7" w:rsidRPr="00BF7ED1">
        <w:rPr>
          <w:rFonts w:ascii="Calibri" w:hAnsi="Calibri" w:cs="Arial"/>
          <w:b/>
          <w:color w:val="00B0F0"/>
          <w:shd w:val="clear" w:color="auto" w:fill="FFFFFF"/>
        </w:rPr>
        <w:t>ettre fin à l’épidémie du</w:t>
      </w:r>
      <w:r w:rsidR="00C406DD" w:rsidRPr="00BF7ED1">
        <w:rPr>
          <w:rFonts w:ascii="Calibri" w:hAnsi="Calibri" w:cs="Arial"/>
          <w:b/>
          <w:color w:val="00B0F0"/>
          <w:shd w:val="clear" w:color="auto" w:fill="FFFFFF"/>
        </w:rPr>
        <w:t xml:space="preserve"> </w:t>
      </w:r>
      <w:r w:rsidR="006D3AB7" w:rsidRPr="00BF7ED1">
        <w:rPr>
          <w:rFonts w:ascii="Calibri" w:hAnsi="Calibri" w:cs="Arial"/>
          <w:b/>
          <w:color w:val="00B0F0"/>
          <w:shd w:val="clear" w:color="auto" w:fill="FFFFFF"/>
        </w:rPr>
        <w:t>VIH</w:t>
      </w:r>
      <w:r w:rsidR="00C406DD" w:rsidRPr="00BF7ED1">
        <w:rPr>
          <w:rFonts w:ascii="Calibri" w:hAnsi="Calibri" w:cs="Arial"/>
          <w:b/>
          <w:color w:val="00B0F0"/>
          <w:shd w:val="clear" w:color="auto" w:fill="FFFFFF"/>
        </w:rPr>
        <w:t xml:space="preserve"> en tant que menace de santé publique d’ici à </w:t>
      </w:r>
      <w:r w:rsidR="00EF6A13" w:rsidRPr="00BF7ED1">
        <w:rPr>
          <w:rFonts w:ascii="Calibri" w:hAnsi="Calibri" w:cs="Arial"/>
          <w:b/>
          <w:color w:val="00B0F0"/>
          <w:shd w:val="clear" w:color="auto" w:fill="FFFFFF"/>
        </w:rPr>
        <w:t xml:space="preserve">fin </w:t>
      </w:r>
      <w:r w:rsidR="00C406DD" w:rsidRPr="00BF7ED1">
        <w:rPr>
          <w:rFonts w:ascii="Calibri" w:hAnsi="Calibri" w:cs="Arial"/>
          <w:b/>
          <w:color w:val="00B0F0"/>
          <w:shd w:val="clear" w:color="auto" w:fill="FFFFFF"/>
        </w:rPr>
        <w:t>2030</w:t>
      </w:r>
      <w:r w:rsidRPr="00BF7ED1">
        <w:rPr>
          <w:rFonts w:ascii="Calibri" w:hAnsi="Calibri" w:cs="Arial"/>
          <w:b/>
          <w:color w:val="00B0F0"/>
          <w:shd w:val="clear" w:color="auto" w:fill="FFFFFF"/>
        </w:rPr>
        <w:t>, à travers l’adhésion aux engagements internationaux convenus lors de l’Assemblée</w:t>
      </w:r>
      <w:r w:rsidRPr="00BF7ED1">
        <w:rPr>
          <w:rFonts w:ascii="Calibri" w:hAnsi="Calibri"/>
          <w:b/>
          <w:color w:val="00B0F0"/>
        </w:rPr>
        <w:t xml:space="preserve"> Générale des Nations Unies </w:t>
      </w:r>
      <w:r w:rsidR="00D45072" w:rsidRPr="00BF7ED1">
        <w:rPr>
          <w:rFonts w:ascii="Calibri" w:hAnsi="Calibri"/>
          <w:b/>
          <w:color w:val="00B0F0"/>
        </w:rPr>
        <w:t>de 2016</w:t>
      </w:r>
      <w:r w:rsidR="00BF7ED1" w:rsidRPr="00BF7ED1">
        <w:rPr>
          <w:rFonts w:ascii="Calibri" w:hAnsi="Calibri" w:cs="Arial"/>
          <w:color w:val="00B0F0"/>
          <w:shd w:val="clear" w:color="auto" w:fill="FFFFFF"/>
        </w:rPr>
        <w:t> </w:t>
      </w:r>
      <w:r w:rsidR="00BF7ED1">
        <w:rPr>
          <w:rFonts w:ascii="Calibri" w:hAnsi="Calibri" w:cs="Arial"/>
          <w:color w:val="333333"/>
          <w:shd w:val="clear" w:color="auto" w:fill="FFFFFF"/>
        </w:rPr>
        <w:t xml:space="preserve">». Aussi, le cap pour 2022 est de </w:t>
      </w:r>
      <w:r w:rsidR="00BF7ED1" w:rsidRPr="005B52BA">
        <w:rPr>
          <w:rFonts w:ascii="Calibri" w:hAnsi="Calibri" w:cs="Arial"/>
          <w:color w:val="333333"/>
          <w:shd w:val="clear" w:color="auto" w:fill="FFFFFF"/>
        </w:rPr>
        <w:t xml:space="preserve">ramener les nouvelles infections à moins de 5.000, le nombre de décès liés au </w:t>
      </w:r>
      <w:r w:rsidR="00BF7ED1">
        <w:rPr>
          <w:rFonts w:ascii="Calibri" w:hAnsi="Calibri" w:cs="Arial"/>
          <w:color w:val="333333"/>
          <w:shd w:val="clear" w:color="auto" w:fill="FFFFFF"/>
        </w:rPr>
        <w:t>sida</w:t>
      </w:r>
      <w:r w:rsidR="00BF7ED1" w:rsidRPr="005B52BA">
        <w:rPr>
          <w:rFonts w:ascii="Calibri" w:hAnsi="Calibri" w:cs="Arial"/>
          <w:color w:val="333333"/>
          <w:shd w:val="clear" w:color="auto" w:fill="FFFFFF"/>
        </w:rPr>
        <w:t xml:space="preserve"> à moins de </w:t>
      </w:r>
      <w:r w:rsidR="00BF7ED1">
        <w:rPr>
          <w:rFonts w:ascii="Calibri" w:hAnsi="Calibri" w:cs="Arial"/>
          <w:color w:val="333333"/>
          <w:shd w:val="clear" w:color="auto" w:fill="FFFFFF"/>
        </w:rPr>
        <w:t xml:space="preserve">2000 à fin 2022 </w:t>
      </w:r>
      <w:r w:rsidR="00BF7ED1" w:rsidRPr="005B52BA">
        <w:rPr>
          <w:rFonts w:ascii="Calibri" w:hAnsi="Calibri" w:cs="Arial"/>
          <w:color w:val="333333"/>
          <w:shd w:val="clear" w:color="auto" w:fill="FFFFFF"/>
        </w:rPr>
        <w:t xml:space="preserve">et éliminer </w:t>
      </w:r>
      <w:r w:rsidR="00BF7ED1" w:rsidRPr="005B52BA">
        <w:rPr>
          <w:rFonts w:ascii="Calibri" w:hAnsi="Calibri"/>
          <w:color w:val="333333"/>
        </w:rPr>
        <w:t>la stigmatisation et la discrimination liées au VIH</w:t>
      </w:r>
      <w:r w:rsidR="00BF7ED1">
        <w:rPr>
          <w:rFonts w:ascii="Calibri" w:hAnsi="Calibri"/>
          <w:color w:val="333333"/>
        </w:rPr>
        <w:t>.</w:t>
      </w:r>
    </w:p>
    <w:p w14:paraId="658FCC3F" w14:textId="038A5153" w:rsidR="00324A42" w:rsidRDefault="00324A42" w:rsidP="00192E96">
      <w:pPr>
        <w:jc w:val="both"/>
        <w:rPr>
          <w:rFonts w:ascii="Calibri" w:hAnsi="Calibri" w:cs="Arial"/>
          <w:color w:val="333333"/>
          <w:shd w:val="clear" w:color="auto" w:fill="FFFFFF"/>
        </w:rPr>
      </w:pPr>
    </w:p>
    <w:p w14:paraId="6C5EA29C" w14:textId="002D7C22" w:rsidR="00BF7ED1" w:rsidRDefault="008E5C1C" w:rsidP="00192E96">
      <w:pPr>
        <w:jc w:val="both"/>
        <w:rPr>
          <w:rFonts w:ascii="Calibri" w:hAnsi="Calibri" w:cs="Arial"/>
          <w:color w:val="333333"/>
          <w:shd w:val="clear" w:color="auto" w:fill="FFFFFF"/>
        </w:rPr>
      </w:pPr>
      <w:r>
        <w:rPr>
          <w:rFonts w:ascii="Calibri" w:hAnsi="Calibri" w:cs="Arial"/>
          <w:color w:val="333333"/>
          <w:shd w:val="clear" w:color="auto" w:fill="FFFFFF"/>
        </w:rPr>
        <w:t>Le CSN 2018-2022</w:t>
      </w:r>
      <w:r w:rsidR="006B6348">
        <w:rPr>
          <w:rFonts w:ascii="Calibri" w:hAnsi="Calibri" w:cs="Arial"/>
          <w:color w:val="333333"/>
          <w:shd w:val="clear" w:color="auto" w:fill="FFFFFF"/>
        </w:rPr>
        <w:t xml:space="preserve"> contribuera à réaliser la vision </w:t>
      </w:r>
      <w:r w:rsidR="00BF7ED1">
        <w:rPr>
          <w:rFonts w:ascii="Calibri" w:hAnsi="Calibri" w:cs="Arial"/>
          <w:color w:val="333333"/>
          <w:shd w:val="clear" w:color="auto" w:fill="FFFFFF"/>
        </w:rPr>
        <w:t xml:space="preserve">de la politique nationale de santé </w:t>
      </w:r>
      <w:r w:rsidR="00B6217A">
        <w:rPr>
          <w:rFonts w:ascii="Calibri" w:hAnsi="Calibri" w:cs="Arial"/>
          <w:color w:val="333333"/>
          <w:shd w:val="clear" w:color="auto" w:fill="FFFFFF"/>
        </w:rPr>
        <w:t xml:space="preserve">qui est de </w:t>
      </w:r>
      <w:r w:rsidR="009516D3">
        <w:rPr>
          <w:rFonts w:ascii="Calibri" w:hAnsi="Calibri" w:cs="Arial"/>
          <w:color w:val="333333"/>
          <w:shd w:val="clear" w:color="auto" w:fill="FFFFFF"/>
        </w:rPr>
        <w:t>« </w:t>
      </w:r>
      <w:r w:rsidR="00B6217A" w:rsidRPr="009516D3">
        <w:rPr>
          <w:rFonts w:ascii="Calibri" w:hAnsi="Calibri" w:cs="Arial"/>
          <w:b/>
          <w:color w:val="00B0F0"/>
          <w:shd w:val="clear" w:color="auto" w:fill="FFFFFF"/>
        </w:rPr>
        <w:t>parvenir à une Guinée où toutes les populations sont en bonne santé, économiquement et socialement productives, bénéficiant d’un accès universel à des services et soins de santé de qualité avec leur pleine participation</w:t>
      </w:r>
      <w:r w:rsidR="009516D3" w:rsidRPr="009516D3">
        <w:rPr>
          <w:rFonts w:ascii="Calibri" w:hAnsi="Calibri" w:cs="Arial"/>
          <w:color w:val="00B0F0"/>
          <w:shd w:val="clear" w:color="auto" w:fill="FFFFFF"/>
        </w:rPr>
        <w:t> </w:t>
      </w:r>
      <w:r w:rsidR="009516D3">
        <w:rPr>
          <w:rFonts w:ascii="Calibri" w:hAnsi="Calibri" w:cs="Arial"/>
          <w:color w:val="333333"/>
          <w:shd w:val="clear" w:color="auto" w:fill="FFFFFF"/>
        </w:rPr>
        <w:t>»</w:t>
      </w:r>
      <w:r w:rsidR="00B6217A">
        <w:rPr>
          <w:rFonts w:ascii="Calibri" w:hAnsi="Calibri" w:cs="Arial"/>
          <w:color w:val="333333"/>
          <w:shd w:val="clear" w:color="auto" w:fill="FFFFFF"/>
        </w:rPr>
        <w:t>.</w:t>
      </w:r>
    </w:p>
    <w:p w14:paraId="706435C9" w14:textId="62C16DEE" w:rsidR="00C406DD" w:rsidRPr="005B52BA" w:rsidRDefault="00C406DD" w:rsidP="00192E96">
      <w:pPr>
        <w:jc w:val="both"/>
        <w:rPr>
          <w:rFonts w:ascii="Calibri" w:hAnsi="Calibri"/>
          <w:color w:val="000000"/>
        </w:rPr>
      </w:pPr>
    </w:p>
    <w:p w14:paraId="4F704459" w14:textId="20828261" w:rsidR="00D85AA5" w:rsidRPr="00105176" w:rsidRDefault="00D85AA5" w:rsidP="00C34A61">
      <w:pPr>
        <w:pStyle w:val="Titre2"/>
        <w:numPr>
          <w:ilvl w:val="1"/>
          <w:numId w:val="6"/>
        </w:numPr>
        <w:spacing w:after="0"/>
        <w:ind w:left="426" w:hanging="426"/>
        <w:rPr>
          <w:rFonts w:ascii="Calibri" w:hAnsi="Calibri"/>
          <w:color w:val="2F5496" w:themeColor="accent5" w:themeShade="BF"/>
          <w:szCs w:val="24"/>
        </w:rPr>
      </w:pPr>
      <w:bookmarkStart w:id="71" w:name="_Toc354415585"/>
      <w:bookmarkStart w:id="72" w:name="_Toc359840585"/>
      <w:bookmarkStart w:id="73" w:name="_Toc360118431"/>
      <w:bookmarkStart w:id="74" w:name="_Toc376258640"/>
      <w:bookmarkStart w:id="75" w:name="_Toc492294058"/>
      <w:bookmarkStart w:id="76" w:name="_Toc500496794"/>
      <w:bookmarkStart w:id="77" w:name="_Toc500520929"/>
      <w:bookmarkStart w:id="78" w:name="_Toc520983527"/>
      <w:r w:rsidRPr="00105176">
        <w:rPr>
          <w:rFonts w:ascii="Calibri" w:hAnsi="Calibri"/>
          <w:color w:val="2F5496" w:themeColor="accent5" w:themeShade="BF"/>
          <w:szCs w:val="24"/>
        </w:rPr>
        <w:t xml:space="preserve">Principes directeurs du </w:t>
      </w:r>
      <w:r w:rsidR="00B6217A">
        <w:rPr>
          <w:rFonts w:ascii="Calibri" w:hAnsi="Calibri"/>
          <w:color w:val="2F5496" w:themeColor="accent5" w:themeShade="BF"/>
          <w:szCs w:val="24"/>
        </w:rPr>
        <w:t>CSN</w:t>
      </w:r>
      <w:r w:rsidRPr="00105176">
        <w:rPr>
          <w:rFonts w:ascii="Calibri" w:hAnsi="Calibri"/>
          <w:color w:val="2F5496" w:themeColor="accent5" w:themeShade="BF"/>
          <w:szCs w:val="24"/>
        </w:rPr>
        <w:t xml:space="preserve"> </w:t>
      </w:r>
      <w:bookmarkEnd w:id="71"/>
      <w:bookmarkEnd w:id="72"/>
      <w:bookmarkEnd w:id="73"/>
      <w:bookmarkEnd w:id="74"/>
      <w:r w:rsidR="00336442" w:rsidRPr="00105176">
        <w:rPr>
          <w:rFonts w:ascii="Calibri" w:hAnsi="Calibri"/>
          <w:color w:val="2F5496" w:themeColor="accent5" w:themeShade="BF"/>
          <w:szCs w:val="24"/>
        </w:rPr>
        <w:t>2018 - 2022</w:t>
      </w:r>
      <w:bookmarkEnd w:id="75"/>
      <w:bookmarkEnd w:id="76"/>
      <w:bookmarkEnd w:id="77"/>
      <w:bookmarkEnd w:id="78"/>
    </w:p>
    <w:p w14:paraId="1854DED1" w14:textId="77777777" w:rsidR="007F4D48" w:rsidRPr="000B012F" w:rsidRDefault="007F4D48" w:rsidP="00192E96">
      <w:pPr>
        <w:autoSpaceDE w:val="0"/>
        <w:autoSpaceDN w:val="0"/>
        <w:adjustRightInd w:val="0"/>
        <w:jc w:val="both"/>
        <w:rPr>
          <w:rFonts w:ascii="Calibri" w:hAnsi="Calibri"/>
          <w:sz w:val="21"/>
        </w:rPr>
      </w:pPr>
    </w:p>
    <w:p w14:paraId="4036647F" w14:textId="5373BB4B" w:rsidR="00721EAE" w:rsidRPr="005B52BA" w:rsidRDefault="00D85AA5" w:rsidP="00192E96">
      <w:pPr>
        <w:autoSpaceDE w:val="0"/>
        <w:autoSpaceDN w:val="0"/>
        <w:adjustRightInd w:val="0"/>
        <w:jc w:val="both"/>
        <w:rPr>
          <w:rFonts w:ascii="Calibri" w:hAnsi="Calibri"/>
        </w:rPr>
      </w:pPr>
      <w:r w:rsidRPr="005B52BA">
        <w:rPr>
          <w:rFonts w:ascii="Calibri" w:hAnsi="Calibri"/>
        </w:rPr>
        <w:t xml:space="preserve">Les principes directeurs </w:t>
      </w:r>
      <w:r w:rsidR="00B074E5" w:rsidRPr="005B52BA">
        <w:rPr>
          <w:rFonts w:ascii="Calibri" w:hAnsi="Calibri"/>
        </w:rPr>
        <w:t xml:space="preserve">qui régissent le </w:t>
      </w:r>
      <w:r w:rsidRPr="005B52BA">
        <w:rPr>
          <w:rFonts w:ascii="Calibri" w:hAnsi="Calibri"/>
        </w:rPr>
        <w:t xml:space="preserve">Cadre Stratégique National </w:t>
      </w:r>
      <w:r w:rsidR="00336442" w:rsidRPr="005B52BA">
        <w:rPr>
          <w:rFonts w:ascii="Calibri" w:hAnsi="Calibri"/>
        </w:rPr>
        <w:t>2018</w:t>
      </w:r>
      <w:r w:rsidR="00E83DB8">
        <w:rPr>
          <w:rFonts w:ascii="Calibri" w:hAnsi="Calibri"/>
        </w:rPr>
        <w:t>-</w:t>
      </w:r>
      <w:r w:rsidR="00336442" w:rsidRPr="005B52BA">
        <w:rPr>
          <w:rFonts w:ascii="Calibri" w:hAnsi="Calibri"/>
        </w:rPr>
        <w:t xml:space="preserve">2022 </w:t>
      </w:r>
      <w:r w:rsidRPr="005B52BA">
        <w:rPr>
          <w:rFonts w:ascii="Calibri" w:hAnsi="Calibri"/>
        </w:rPr>
        <w:t xml:space="preserve">sont : </w:t>
      </w:r>
    </w:p>
    <w:p w14:paraId="394768DB" w14:textId="3E11BE98" w:rsidR="0051157A" w:rsidRPr="005B52BA" w:rsidRDefault="0051157A" w:rsidP="00C34A61">
      <w:pPr>
        <w:pStyle w:val="Paragraphedeliste"/>
        <w:numPr>
          <w:ilvl w:val="0"/>
          <w:numId w:val="2"/>
        </w:numPr>
        <w:jc w:val="both"/>
        <w:rPr>
          <w:rFonts w:ascii="Calibri" w:hAnsi="Calibri"/>
        </w:rPr>
      </w:pPr>
      <w:r w:rsidRPr="005B52BA">
        <w:rPr>
          <w:rFonts w:ascii="Calibri" w:hAnsi="Calibri"/>
        </w:rPr>
        <w:t xml:space="preserve">Le respect des </w:t>
      </w:r>
      <w:r w:rsidRPr="005B52BA">
        <w:rPr>
          <w:rFonts w:ascii="Calibri" w:hAnsi="Calibri"/>
          <w:b/>
        </w:rPr>
        <w:t>engagements nationaux et internationaux </w:t>
      </w:r>
      <w:r w:rsidRPr="005B52BA">
        <w:rPr>
          <w:rFonts w:ascii="Calibri" w:hAnsi="Calibri"/>
        </w:rPr>
        <w:t xml:space="preserve">: Le CSN s’inscrit dans la logique des Objectifs pour le Développement Durable visant à enrayer l’épidémie de </w:t>
      </w:r>
      <w:r w:rsidR="0036679F">
        <w:rPr>
          <w:rFonts w:ascii="Calibri" w:hAnsi="Calibri"/>
        </w:rPr>
        <w:t>sida</w:t>
      </w:r>
      <w:r w:rsidRPr="005B52BA">
        <w:rPr>
          <w:rFonts w:ascii="Calibri" w:hAnsi="Calibri"/>
        </w:rPr>
        <w:t>, la tuberculose, le paludisme et d’autres maladies transmissibles d’ici 2030</w:t>
      </w:r>
      <w:r w:rsidR="00294F00" w:rsidRPr="005B52BA">
        <w:rPr>
          <w:rFonts w:ascii="Calibri" w:hAnsi="Calibri"/>
        </w:rPr>
        <w:t xml:space="preserve">. </w:t>
      </w:r>
      <w:r w:rsidR="00E13998" w:rsidRPr="005B52BA">
        <w:rPr>
          <w:rFonts w:ascii="Calibri" w:hAnsi="Calibri"/>
        </w:rPr>
        <w:t>Aussi,</w:t>
      </w:r>
      <w:r w:rsidR="00294F00" w:rsidRPr="005B52BA">
        <w:rPr>
          <w:rFonts w:ascii="Calibri" w:hAnsi="Calibri"/>
        </w:rPr>
        <w:t xml:space="preserve"> le CSN est en parfaite cohérence avec les objectifs et directives de l’ONU</w:t>
      </w:r>
      <w:r w:rsidR="0036679F">
        <w:rPr>
          <w:rFonts w:ascii="Calibri" w:hAnsi="Calibri"/>
        </w:rPr>
        <w:t>SIDA</w:t>
      </w:r>
      <w:r w:rsidR="00294F00" w:rsidRPr="005B52BA">
        <w:rPr>
          <w:rFonts w:ascii="Calibri" w:hAnsi="Calibri"/>
        </w:rPr>
        <w:t xml:space="preserve"> et ses </w:t>
      </w:r>
      <w:proofErr w:type="spellStart"/>
      <w:r w:rsidR="00294F00" w:rsidRPr="005B52BA">
        <w:rPr>
          <w:rFonts w:ascii="Calibri" w:hAnsi="Calibri"/>
        </w:rPr>
        <w:t>co</w:t>
      </w:r>
      <w:proofErr w:type="spellEnd"/>
      <w:r w:rsidR="00294F00" w:rsidRPr="005B52BA">
        <w:rPr>
          <w:rFonts w:ascii="Calibri" w:hAnsi="Calibri"/>
        </w:rPr>
        <w:t>-parrains</w:t>
      </w:r>
      <w:r w:rsidR="00F33EFE" w:rsidRPr="005B52BA">
        <w:rPr>
          <w:rFonts w:ascii="Calibri" w:hAnsi="Calibri"/>
        </w:rPr>
        <w:t xml:space="preserve"> ainsi que ceux du Plan National de </w:t>
      </w:r>
      <w:r w:rsidR="0062715F">
        <w:rPr>
          <w:rFonts w:ascii="Calibri" w:hAnsi="Calibri"/>
        </w:rPr>
        <w:t>Développement Sanitaire 2015-202</w:t>
      </w:r>
      <w:r w:rsidR="00F33EFE" w:rsidRPr="005B52BA">
        <w:rPr>
          <w:rFonts w:ascii="Calibri" w:hAnsi="Calibri"/>
        </w:rPr>
        <w:t>4 notamment l’amélioration de la disponibilité des prestations de lutte contre le VIH/</w:t>
      </w:r>
      <w:r w:rsidR="0036679F">
        <w:rPr>
          <w:rFonts w:ascii="Calibri" w:hAnsi="Calibri"/>
        </w:rPr>
        <w:t>sida</w:t>
      </w:r>
      <w:r w:rsidR="00F33EFE" w:rsidRPr="005B52BA">
        <w:rPr>
          <w:rFonts w:ascii="Calibri" w:hAnsi="Calibri"/>
        </w:rPr>
        <w:t xml:space="preserve"> dans tous les établissements de santé.</w:t>
      </w:r>
    </w:p>
    <w:p w14:paraId="070C08E6" w14:textId="6962D3F6" w:rsidR="00717AD8" w:rsidRPr="00750262" w:rsidRDefault="00D85AA5" w:rsidP="00C34A61">
      <w:pPr>
        <w:pStyle w:val="Paragraphedeliste"/>
        <w:numPr>
          <w:ilvl w:val="0"/>
          <w:numId w:val="2"/>
        </w:numPr>
        <w:jc w:val="both"/>
        <w:rPr>
          <w:rFonts w:ascii="Calibri" w:hAnsi="Calibri"/>
        </w:rPr>
      </w:pPr>
      <w:r w:rsidRPr="005B52BA">
        <w:rPr>
          <w:rFonts w:ascii="Calibri" w:hAnsi="Calibri"/>
        </w:rPr>
        <w:t xml:space="preserve">La prise en compte de la dimension </w:t>
      </w:r>
      <w:r w:rsidRPr="005B52BA">
        <w:rPr>
          <w:rFonts w:ascii="Calibri" w:hAnsi="Calibri"/>
          <w:b/>
        </w:rPr>
        <w:t>genre e</w:t>
      </w:r>
      <w:r w:rsidR="0071348C" w:rsidRPr="005B52BA">
        <w:rPr>
          <w:rFonts w:ascii="Calibri" w:hAnsi="Calibri"/>
          <w:b/>
        </w:rPr>
        <w:t xml:space="preserve">t </w:t>
      </w:r>
      <w:r w:rsidR="0095647B" w:rsidRPr="005B52BA">
        <w:rPr>
          <w:rFonts w:ascii="Calibri" w:hAnsi="Calibri"/>
          <w:b/>
        </w:rPr>
        <w:t>droits humains</w:t>
      </w:r>
      <w:r w:rsidR="0071348C" w:rsidRPr="005B52BA">
        <w:rPr>
          <w:rFonts w:ascii="Calibri" w:hAnsi="Calibri"/>
        </w:rPr>
        <w:t xml:space="preserve"> dans la riposte au VIH : </w:t>
      </w:r>
      <w:r w:rsidR="003E6275" w:rsidRPr="005B52BA">
        <w:rPr>
          <w:rFonts w:ascii="Calibri" w:hAnsi="Calibri"/>
        </w:rPr>
        <w:t xml:space="preserve">il s’agit de garantir l’accès universel et équitable aux services et soins liés à la lutte contre le </w:t>
      </w:r>
      <w:r w:rsidR="0036679F">
        <w:rPr>
          <w:rFonts w:ascii="Calibri" w:hAnsi="Calibri"/>
        </w:rPr>
        <w:t>sida</w:t>
      </w:r>
      <w:r w:rsidR="0062715F">
        <w:rPr>
          <w:rFonts w:ascii="Calibri" w:hAnsi="Calibri"/>
        </w:rPr>
        <w:t xml:space="preserve"> à toute la population g</w:t>
      </w:r>
      <w:r w:rsidR="003E6275" w:rsidRPr="005B52BA">
        <w:rPr>
          <w:rFonts w:ascii="Calibri" w:hAnsi="Calibri"/>
        </w:rPr>
        <w:t>uinéenne en considérant aussi les inégalités de genre. Pour cela</w:t>
      </w:r>
      <w:r w:rsidR="005B3E39" w:rsidRPr="005B52BA">
        <w:rPr>
          <w:rFonts w:ascii="Calibri" w:hAnsi="Calibri"/>
        </w:rPr>
        <w:t xml:space="preserve"> les droits humains</w:t>
      </w:r>
      <w:r w:rsidR="003E6275" w:rsidRPr="005B52BA">
        <w:rPr>
          <w:rFonts w:ascii="Calibri" w:hAnsi="Calibri"/>
        </w:rPr>
        <w:t xml:space="preserve"> doivent être respectés</w:t>
      </w:r>
      <w:r w:rsidR="005B3E39" w:rsidRPr="005B52BA">
        <w:rPr>
          <w:rFonts w:ascii="Calibri" w:hAnsi="Calibri"/>
        </w:rPr>
        <w:t xml:space="preserve"> afin que personne ne soit laissé pour</w:t>
      </w:r>
      <w:r w:rsidR="003E6275" w:rsidRPr="005B52BA">
        <w:rPr>
          <w:rFonts w:ascii="Calibri" w:hAnsi="Calibri"/>
        </w:rPr>
        <w:t xml:space="preserve"> compte</w:t>
      </w:r>
      <w:r w:rsidR="00B27B34" w:rsidRPr="005B52BA">
        <w:rPr>
          <w:rFonts w:ascii="Calibri" w:hAnsi="Calibri"/>
        </w:rPr>
        <w:t xml:space="preserve"> </w:t>
      </w:r>
      <w:r w:rsidRPr="005B52BA">
        <w:rPr>
          <w:rFonts w:ascii="Calibri" w:hAnsi="Calibri"/>
        </w:rPr>
        <w:t>;</w:t>
      </w:r>
      <w:bookmarkStart w:id="79" w:name="_Toc13307758"/>
    </w:p>
    <w:bookmarkEnd w:id="79"/>
    <w:p w14:paraId="1F0A175A" w14:textId="7CAAF29C" w:rsidR="002874ED" w:rsidRPr="00750262" w:rsidRDefault="00B074E5" w:rsidP="00C34A61">
      <w:pPr>
        <w:pStyle w:val="Paragraphedeliste"/>
        <w:numPr>
          <w:ilvl w:val="0"/>
          <w:numId w:val="2"/>
        </w:numPr>
        <w:jc w:val="both"/>
        <w:rPr>
          <w:rFonts w:ascii="Calibri" w:hAnsi="Calibri"/>
        </w:rPr>
      </w:pPr>
      <w:r w:rsidRPr="005B52BA">
        <w:rPr>
          <w:rFonts w:ascii="Calibri" w:hAnsi="Calibri"/>
        </w:rPr>
        <w:t xml:space="preserve">La </w:t>
      </w:r>
      <w:r w:rsidRPr="005B52BA">
        <w:rPr>
          <w:rFonts w:ascii="Calibri" w:hAnsi="Calibri"/>
          <w:b/>
        </w:rPr>
        <w:t>redevabilité</w:t>
      </w:r>
      <w:r w:rsidR="00B27B34" w:rsidRPr="005B52BA">
        <w:rPr>
          <w:rFonts w:ascii="Calibri" w:hAnsi="Calibri"/>
          <w:b/>
        </w:rPr>
        <w:t> </w:t>
      </w:r>
      <w:r w:rsidR="00B27B34" w:rsidRPr="005B52BA">
        <w:rPr>
          <w:rFonts w:ascii="Calibri" w:hAnsi="Calibri"/>
        </w:rPr>
        <w:t xml:space="preserve">et </w:t>
      </w:r>
      <w:r w:rsidR="00AC49CE" w:rsidRPr="005B52BA">
        <w:rPr>
          <w:rFonts w:ascii="Calibri" w:hAnsi="Calibri"/>
          <w:b/>
        </w:rPr>
        <w:t>transparence</w:t>
      </w:r>
      <w:r w:rsidR="00AC49CE" w:rsidRPr="005B52BA">
        <w:rPr>
          <w:rFonts w:ascii="Calibri" w:hAnsi="Calibri"/>
        </w:rPr>
        <w:t xml:space="preserve"> :</w:t>
      </w:r>
      <w:r w:rsidR="00B27B34" w:rsidRPr="005B52BA">
        <w:rPr>
          <w:rFonts w:ascii="Calibri" w:hAnsi="Calibri"/>
        </w:rPr>
        <w:t xml:space="preserve"> Tous les acteurs engagés dans la lutte contre le </w:t>
      </w:r>
      <w:r w:rsidR="0036679F">
        <w:rPr>
          <w:rFonts w:ascii="Calibri" w:hAnsi="Calibri"/>
        </w:rPr>
        <w:t>sida</w:t>
      </w:r>
      <w:r w:rsidR="00B27B34" w:rsidRPr="005B52BA">
        <w:rPr>
          <w:rFonts w:ascii="Calibri" w:hAnsi="Calibri"/>
        </w:rPr>
        <w:t xml:space="preserve"> sont tenus à un devoir de contribuer à l’atteinte des objectifs du CSN et de rendre compte de leur performance, aussi bien programmatique et financière de façon transparente </w:t>
      </w:r>
      <w:r w:rsidRPr="005B52BA">
        <w:rPr>
          <w:rFonts w:ascii="Calibri" w:hAnsi="Calibri"/>
        </w:rPr>
        <w:t>;</w:t>
      </w:r>
    </w:p>
    <w:p w14:paraId="152CDF69" w14:textId="3EE0C55D" w:rsidR="00001A22" w:rsidRPr="00750262" w:rsidRDefault="00AC49CE" w:rsidP="00C34A61">
      <w:pPr>
        <w:pStyle w:val="Paragraphedeliste"/>
        <w:numPr>
          <w:ilvl w:val="0"/>
          <w:numId w:val="2"/>
        </w:numPr>
        <w:jc w:val="both"/>
        <w:rPr>
          <w:rFonts w:ascii="Calibri" w:hAnsi="Calibri"/>
        </w:rPr>
      </w:pPr>
      <w:r w:rsidRPr="005B52BA">
        <w:rPr>
          <w:rFonts w:ascii="Calibri" w:hAnsi="Calibri"/>
        </w:rPr>
        <w:t xml:space="preserve">La </w:t>
      </w:r>
      <w:r w:rsidRPr="005B52BA">
        <w:rPr>
          <w:rFonts w:ascii="Calibri" w:hAnsi="Calibri"/>
          <w:b/>
        </w:rPr>
        <w:t>multisectorialité</w:t>
      </w:r>
      <w:r w:rsidRPr="005B52BA">
        <w:rPr>
          <w:rFonts w:ascii="Calibri" w:hAnsi="Calibri"/>
        </w:rPr>
        <w:t xml:space="preserve"> : La </w:t>
      </w:r>
      <w:r w:rsidR="009D2340" w:rsidRPr="005B52BA">
        <w:rPr>
          <w:rFonts w:ascii="Calibri" w:hAnsi="Calibri"/>
        </w:rPr>
        <w:t xml:space="preserve">réponse au </w:t>
      </w:r>
      <w:r w:rsidR="0036679F">
        <w:rPr>
          <w:rFonts w:ascii="Calibri" w:hAnsi="Calibri"/>
        </w:rPr>
        <w:t>sida</w:t>
      </w:r>
      <w:r w:rsidRPr="005B52BA">
        <w:rPr>
          <w:rFonts w:ascii="Calibri" w:hAnsi="Calibri"/>
        </w:rPr>
        <w:t xml:space="preserve"> nécessite une approche multisectorielle intégrant tous les secteurs politiques et sociaux. Le partenariat public/privé et la participation communautaire </w:t>
      </w:r>
      <w:r w:rsidR="009D2340" w:rsidRPr="005B52BA">
        <w:rPr>
          <w:rFonts w:ascii="Calibri" w:hAnsi="Calibri"/>
        </w:rPr>
        <w:t>constituent aussi des domaines cruciaux de ce principe</w:t>
      </w:r>
      <w:r w:rsidRPr="005B52BA">
        <w:rPr>
          <w:rFonts w:ascii="Calibri" w:hAnsi="Calibri"/>
        </w:rPr>
        <w:t>.</w:t>
      </w:r>
    </w:p>
    <w:p w14:paraId="4C951FEA" w14:textId="04EEC79F" w:rsidR="00C04593" w:rsidRPr="006D7655" w:rsidRDefault="009D2340" w:rsidP="00C04593">
      <w:pPr>
        <w:pStyle w:val="Paragraphedeliste"/>
        <w:numPr>
          <w:ilvl w:val="0"/>
          <w:numId w:val="2"/>
        </w:numPr>
        <w:jc w:val="both"/>
        <w:rPr>
          <w:rFonts w:ascii="Calibri" w:hAnsi="Calibri" w:cs="Arial"/>
        </w:rPr>
      </w:pPr>
      <w:r w:rsidRPr="005B52BA">
        <w:rPr>
          <w:rFonts w:ascii="Calibri" w:hAnsi="Calibri"/>
        </w:rPr>
        <w:t>La</w:t>
      </w:r>
      <w:r w:rsidR="00AC49CE" w:rsidRPr="005B52BA">
        <w:rPr>
          <w:rFonts w:ascii="Calibri" w:hAnsi="Calibri"/>
        </w:rPr>
        <w:t xml:space="preserve"> </w:t>
      </w:r>
      <w:r w:rsidR="00AC49CE" w:rsidRPr="005B52BA">
        <w:rPr>
          <w:rFonts w:ascii="Calibri" w:hAnsi="Calibri"/>
          <w:b/>
        </w:rPr>
        <w:t>décentralisation</w:t>
      </w:r>
      <w:r w:rsidRPr="005B52BA">
        <w:rPr>
          <w:rFonts w:ascii="Calibri" w:hAnsi="Calibri"/>
        </w:rPr>
        <w:t> :</w:t>
      </w:r>
      <w:r w:rsidR="00AC49CE" w:rsidRPr="005B52BA">
        <w:rPr>
          <w:rFonts w:ascii="Calibri" w:hAnsi="Calibri"/>
        </w:rPr>
        <w:t xml:space="preserve"> </w:t>
      </w:r>
      <w:r w:rsidR="00512F64" w:rsidRPr="005B52BA">
        <w:rPr>
          <w:rFonts w:ascii="Calibri" w:hAnsi="Calibri"/>
          <w:noProof/>
        </w:rPr>
        <w:t>En matière de politique de santé, le pays a opt</w:t>
      </w:r>
      <w:r w:rsidR="00512F64" w:rsidRPr="005B52BA">
        <w:rPr>
          <w:rFonts w:ascii="Calibri" w:hAnsi="Calibri"/>
          <w:iCs/>
        </w:rPr>
        <w:t>é</w:t>
      </w:r>
      <w:r w:rsidR="00512F64" w:rsidRPr="005B52BA">
        <w:rPr>
          <w:rFonts w:ascii="Calibri" w:hAnsi="Calibri"/>
          <w:noProof/>
        </w:rPr>
        <w:t xml:space="preserve"> pour la stratégie de décentralisation en vue de l’accès universel des populations aux soins de santé de qualité à tous les niveaux de la pyramide sanitaire et dans la communauté. </w:t>
      </w:r>
      <w:r w:rsidR="0030030B" w:rsidRPr="005B52BA">
        <w:rPr>
          <w:rFonts w:ascii="Calibri" w:hAnsi="Calibri"/>
          <w:noProof/>
        </w:rPr>
        <w:t>Ce principe fait aussi mention de la décentralisation des niveaux de décision et une déconcentration des ressources</w:t>
      </w:r>
      <w:r w:rsidR="0030030B" w:rsidRPr="005B52BA">
        <w:rPr>
          <w:rFonts w:ascii="Calibri" w:hAnsi="Calibri" w:cs="Arial"/>
        </w:rPr>
        <w:t>.</w:t>
      </w:r>
    </w:p>
    <w:p w14:paraId="7F4821C6" w14:textId="10A897A8" w:rsidR="004C5EFC" w:rsidRPr="00750262" w:rsidRDefault="00C04593" w:rsidP="00C34A61">
      <w:pPr>
        <w:pStyle w:val="Paragraphedeliste"/>
        <w:numPr>
          <w:ilvl w:val="0"/>
          <w:numId w:val="2"/>
        </w:numPr>
        <w:jc w:val="both"/>
        <w:rPr>
          <w:rFonts w:ascii="Calibri" w:hAnsi="Calibri"/>
          <w:noProof/>
        </w:rPr>
      </w:pPr>
      <w:r w:rsidRPr="005B52BA">
        <w:rPr>
          <w:rFonts w:ascii="Calibri" w:hAnsi="Calibri"/>
        </w:rPr>
        <w:t>La</w:t>
      </w:r>
      <w:r w:rsidRPr="005B52BA">
        <w:rPr>
          <w:rFonts w:ascii="Calibri" w:hAnsi="Calibri"/>
          <w:b/>
        </w:rPr>
        <w:t xml:space="preserve"> </w:t>
      </w:r>
      <w:r w:rsidR="004C5EFC" w:rsidRPr="005B52BA">
        <w:rPr>
          <w:rFonts w:ascii="Calibri" w:hAnsi="Calibri"/>
          <w:b/>
        </w:rPr>
        <w:t>Coordination et alignement</w:t>
      </w:r>
      <w:r w:rsidRPr="005B52BA">
        <w:rPr>
          <w:rFonts w:ascii="Calibri" w:hAnsi="Calibri"/>
          <w:b/>
        </w:rPr>
        <w:t> </w:t>
      </w:r>
      <w:r w:rsidRPr="005B52BA">
        <w:rPr>
          <w:rFonts w:ascii="Calibri" w:hAnsi="Calibri"/>
        </w:rPr>
        <w:t xml:space="preserve">: </w:t>
      </w:r>
      <w:r w:rsidRPr="005B52BA">
        <w:rPr>
          <w:rFonts w:ascii="Calibri" w:hAnsi="Calibri"/>
          <w:noProof/>
        </w:rPr>
        <w:t xml:space="preserve">La Guinée a adopté le principe des « Three Ones » pour la gouvernance et la gestion de la réponse au VIH et au </w:t>
      </w:r>
      <w:r w:rsidR="0036679F">
        <w:rPr>
          <w:rFonts w:ascii="Calibri" w:hAnsi="Calibri"/>
          <w:noProof/>
        </w:rPr>
        <w:t>sida</w:t>
      </w:r>
      <w:r w:rsidRPr="005B52BA">
        <w:rPr>
          <w:rFonts w:ascii="Calibri" w:hAnsi="Calibri"/>
          <w:noProof/>
        </w:rPr>
        <w:t>. En effet, ce principe invite les responsables nationaux et les partenaires à s’aligner sur une coordination nationale efficace s’appuyant sur : (i) un seul cadre stratégique national ; (ii) une seule instance de coordination nationale ; et, (iii) un seul système de suivi &amp; évaluation.</w:t>
      </w:r>
    </w:p>
    <w:p w14:paraId="20D483F3" w14:textId="285DCE44" w:rsidR="00336442" w:rsidRPr="00750262" w:rsidRDefault="00B074E5" w:rsidP="00C34A61">
      <w:pPr>
        <w:pStyle w:val="Paragraphedeliste"/>
        <w:numPr>
          <w:ilvl w:val="0"/>
          <w:numId w:val="2"/>
        </w:numPr>
        <w:jc w:val="both"/>
        <w:rPr>
          <w:rFonts w:ascii="Calibri" w:hAnsi="Calibri"/>
        </w:rPr>
      </w:pPr>
      <w:r w:rsidRPr="005B52BA">
        <w:rPr>
          <w:rFonts w:ascii="Calibri" w:hAnsi="Calibri"/>
          <w:b/>
        </w:rPr>
        <w:t>L’éthique</w:t>
      </w:r>
      <w:r w:rsidR="00B25E55" w:rsidRPr="005B52BA">
        <w:rPr>
          <w:rFonts w:ascii="Calibri" w:hAnsi="Calibri"/>
        </w:rPr>
        <w:t> : Il s’agit du respect de renforcer les lois antidiscriminatoires et autres lois qui protègent les groupes vulnérables et qui garantissent le respect de la vie privée ainsi que la confidentialité et l’éthique de la recherche faisant appel à des sujets humains.</w:t>
      </w:r>
    </w:p>
    <w:p w14:paraId="79EA757E" w14:textId="4B533C85" w:rsidR="00A47498" w:rsidRPr="00750262" w:rsidRDefault="00FC0FD5" w:rsidP="00C34A61">
      <w:pPr>
        <w:pStyle w:val="Paragraphedeliste"/>
        <w:numPr>
          <w:ilvl w:val="0"/>
          <w:numId w:val="2"/>
        </w:numPr>
        <w:jc w:val="both"/>
        <w:rPr>
          <w:rFonts w:ascii="Calibri" w:hAnsi="Calibri"/>
          <w:noProof/>
        </w:rPr>
      </w:pPr>
      <w:r w:rsidRPr="005B52BA">
        <w:rPr>
          <w:rFonts w:ascii="Calibri" w:hAnsi="Calibri"/>
          <w:b/>
        </w:rPr>
        <w:t>L’intégration des interventions </w:t>
      </w:r>
      <w:r w:rsidR="00A955E3" w:rsidRPr="005B52BA">
        <w:rPr>
          <w:rFonts w:ascii="Calibri" w:hAnsi="Calibri"/>
        </w:rPr>
        <w:t>:</w:t>
      </w:r>
      <w:r w:rsidR="00875610" w:rsidRPr="005B52BA">
        <w:rPr>
          <w:rFonts w:ascii="Calibri" w:hAnsi="Calibri"/>
        </w:rPr>
        <w:t xml:space="preserve"> </w:t>
      </w:r>
      <w:r w:rsidR="00A955E3" w:rsidRPr="005B52BA">
        <w:rPr>
          <w:rFonts w:ascii="Calibri" w:hAnsi="Calibri"/>
        </w:rPr>
        <w:t xml:space="preserve">Ce principe implique que l’offre de service de santé (y compris la prise en charge VIH et du </w:t>
      </w:r>
      <w:r w:rsidR="0036679F">
        <w:rPr>
          <w:rFonts w:ascii="Calibri" w:hAnsi="Calibri"/>
        </w:rPr>
        <w:t>sida</w:t>
      </w:r>
      <w:r w:rsidR="00A955E3" w:rsidRPr="005B52BA">
        <w:rPr>
          <w:rFonts w:ascii="Calibri" w:hAnsi="Calibri"/>
        </w:rPr>
        <w:t>) fasse partie d’un paquet de services offerts par les points de prestations de services dans une logique non-verticale de dispensation et d’organisation des services.</w:t>
      </w:r>
    </w:p>
    <w:p w14:paraId="74D25028" w14:textId="0F6A7477" w:rsidR="00513E63" w:rsidRPr="005B52BA" w:rsidRDefault="004C5EFC" w:rsidP="00C34A61">
      <w:pPr>
        <w:pStyle w:val="Paragraphedeliste"/>
        <w:numPr>
          <w:ilvl w:val="0"/>
          <w:numId w:val="2"/>
        </w:numPr>
        <w:jc w:val="both"/>
        <w:rPr>
          <w:rFonts w:ascii="Calibri" w:hAnsi="Calibri"/>
          <w:b/>
          <w:bCs/>
          <w:noProof/>
          <w:lang w:eastAsia="fr-CA"/>
        </w:rPr>
      </w:pPr>
      <w:r w:rsidRPr="005B52BA">
        <w:rPr>
          <w:rFonts w:ascii="Calibri" w:hAnsi="Calibri"/>
          <w:b/>
        </w:rPr>
        <w:t>Réduction de la dépenda</w:t>
      </w:r>
      <w:r w:rsidR="00910BE5" w:rsidRPr="005B52BA">
        <w:rPr>
          <w:rFonts w:ascii="Calibri" w:hAnsi="Calibri"/>
          <w:b/>
        </w:rPr>
        <w:t>nce aux financements extérieurs </w:t>
      </w:r>
      <w:r w:rsidR="00910BE5" w:rsidRPr="005B52BA">
        <w:rPr>
          <w:rFonts w:ascii="Calibri" w:hAnsi="Calibri"/>
        </w:rPr>
        <w:t xml:space="preserve">: </w:t>
      </w:r>
      <w:r w:rsidR="00A47498" w:rsidRPr="005B52BA">
        <w:rPr>
          <w:rFonts w:ascii="Calibri" w:hAnsi="Calibri"/>
        </w:rPr>
        <w:t>La Guinée s’est</w:t>
      </w:r>
      <w:r w:rsidR="00910BE5" w:rsidRPr="005B52BA">
        <w:rPr>
          <w:rFonts w:ascii="Calibri" w:hAnsi="Calibri"/>
        </w:rPr>
        <w:t xml:space="preserve"> engagé</w:t>
      </w:r>
      <w:r w:rsidR="0062715F">
        <w:rPr>
          <w:rFonts w:ascii="Calibri" w:hAnsi="Calibri"/>
        </w:rPr>
        <w:t>e</w:t>
      </w:r>
      <w:r w:rsidR="00910BE5" w:rsidRPr="005B52BA">
        <w:rPr>
          <w:rFonts w:ascii="Calibri" w:hAnsi="Calibri"/>
        </w:rPr>
        <w:t xml:space="preserve"> à augmenter </w:t>
      </w:r>
      <w:r w:rsidR="0080493D" w:rsidRPr="005B52BA">
        <w:rPr>
          <w:rFonts w:ascii="Calibri" w:hAnsi="Calibri"/>
        </w:rPr>
        <w:t xml:space="preserve">les </w:t>
      </w:r>
      <w:r w:rsidR="00910BE5" w:rsidRPr="005B52BA">
        <w:rPr>
          <w:rFonts w:ascii="Calibri" w:hAnsi="Calibri"/>
        </w:rPr>
        <w:t>fonds nationaux </w:t>
      </w:r>
      <w:r w:rsidR="0080493D" w:rsidRPr="005B52BA">
        <w:rPr>
          <w:rFonts w:ascii="Calibri" w:hAnsi="Calibri"/>
        </w:rPr>
        <w:t xml:space="preserve">consacrés à la riposte contre le </w:t>
      </w:r>
      <w:r w:rsidR="0036679F">
        <w:rPr>
          <w:rFonts w:ascii="Calibri" w:hAnsi="Calibri"/>
        </w:rPr>
        <w:t>sida</w:t>
      </w:r>
      <w:r w:rsidR="005E0A2B" w:rsidRPr="005B52BA">
        <w:rPr>
          <w:rFonts w:ascii="Calibri" w:hAnsi="Calibri"/>
        </w:rPr>
        <w:t xml:space="preserve"> </w:t>
      </w:r>
      <w:r w:rsidR="00595168" w:rsidRPr="005B52BA">
        <w:rPr>
          <w:rFonts w:ascii="Calibri" w:hAnsi="Calibri"/>
        </w:rPr>
        <w:t>afin d’une appropriation croissante de la prévention de nouvelles infection</w:t>
      </w:r>
      <w:r w:rsidR="00B95290" w:rsidRPr="005B52BA">
        <w:rPr>
          <w:rFonts w:ascii="Calibri" w:hAnsi="Calibri"/>
        </w:rPr>
        <w:t>s</w:t>
      </w:r>
      <w:r w:rsidR="00595168" w:rsidRPr="005B52BA">
        <w:rPr>
          <w:rFonts w:ascii="Calibri" w:hAnsi="Calibri"/>
        </w:rPr>
        <w:t xml:space="preserve"> et la prise en charge globale de </w:t>
      </w:r>
      <w:r w:rsidR="00595168" w:rsidRPr="0062715F">
        <w:rPr>
          <w:rFonts w:ascii="Calibri" w:hAnsi="Calibri"/>
        </w:rPr>
        <w:t>sa</w:t>
      </w:r>
      <w:r w:rsidR="00595168" w:rsidRPr="005B52BA">
        <w:rPr>
          <w:rFonts w:ascii="Calibri" w:hAnsi="Calibri"/>
        </w:rPr>
        <w:t xml:space="preserve"> population dans le besoin.</w:t>
      </w:r>
      <w:bookmarkStart w:id="80" w:name="_Toc354415586"/>
      <w:bookmarkStart w:id="81" w:name="_Toc359840586"/>
      <w:bookmarkStart w:id="82" w:name="_Toc360118432"/>
      <w:bookmarkStart w:id="83" w:name="_Toc376258641"/>
      <w:bookmarkStart w:id="84" w:name="_Toc492294059"/>
    </w:p>
    <w:p w14:paraId="55A9D1A8" w14:textId="77777777" w:rsidR="00B6217A" w:rsidRPr="000B012F" w:rsidRDefault="00B6217A" w:rsidP="00B6217A">
      <w:pPr>
        <w:rPr>
          <w:rFonts w:ascii="Calibri" w:hAnsi="Calibri"/>
          <w:bCs/>
          <w:noProof/>
          <w:sz w:val="18"/>
          <w:lang w:val="fr-CH" w:eastAsia="fr-CA"/>
        </w:rPr>
      </w:pPr>
    </w:p>
    <w:p w14:paraId="4A687ABE" w14:textId="3F3329E6" w:rsidR="0062715F" w:rsidRPr="0062715F" w:rsidRDefault="00B6217A" w:rsidP="00BE580B">
      <w:pPr>
        <w:jc w:val="both"/>
        <w:rPr>
          <w:rFonts w:ascii="Calibri" w:hAnsi="Calibri"/>
          <w:bCs/>
          <w:noProof/>
          <w:lang w:val="fr-CH" w:eastAsia="fr-CA"/>
        </w:rPr>
      </w:pPr>
      <w:r w:rsidRPr="00B6217A">
        <w:rPr>
          <w:rFonts w:ascii="Calibri" w:hAnsi="Calibri"/>
          <w:bCs/>
          <w:noProof/>
          <w:lang w:val="fr-CH" w:eastAsia="fr-CA"/>
        </w:rPr>
        <w:t>Le</w:t>
      </w:r>
      <w:r>
        <w:rPr>
          <w:rFonts w:ascii="Calibri" w:hAnsi="Calibri"/>
          <w:bCs/>
          <w:noProof/>
          <w:lang w:val="fr-CH" w:eastAsia="fr-CA"/>
        </w:rPr>
        <w:t xml:space="preserve"> CSN 2018-2022 s’aligne et se fonde sur :</w:t>
      </w:r>
      <w:r w:rsidR="0062715F">
        <w:rPr>
          <w:rFonts w:ascii="Calibri" w:hAnsi="Calibri"/>
          <w:bCs/>
          <w:noProof/>
          <w:lang w:val="fr-CH" w:eastAsia="fr-CA"/>
        </w:rPr>
        <w:t xml:space="preserve"> i) les objectifs et engagements mondiaux en matière de riposte au sida, en particulier l’objectif d’élimination de l’épidémie du VIH à l’horizon 2030, incluant l’élimination de la transmission du VIH de la mère à l’enfant, ii) </w:t>
      </w:r>
      <w:r w:rsidR="007302B6">
        <w:rPr>
          <w:rFonts w:ascii="Calibri" w:hAnsi="Calibri"/>
          <w:bCs/>
          <w:noProof/>
          <w:lang w:val="fr-CH" w:eastAsia="fr-CA"/>
        </w:rPr>
        <w:t xml:space="preserve">le Plan national de développement économique et social (PNDES) 2016-2020, iii) </w:t>
      </w:r>
      <w:r w:rsidR="0062715F">
        <w:rPr>
          <w:rFonts w:ascii="Calibri" w:hAnsi="Calibri"/>
          <w:bCs/>
          <w:noProof/>
          <w:lang w:val="fr-CH" w:eastAsia="fr-CA"/>
        </w:rPr>
        <w:t>la politique nationale de santé et le plan national de dévelo</w:t>
      </w:r>
      <w:r w:rsidR="007302B6">
        <w:rPr>
          <w:rFonts w:ascii="Calibri" w:hAnsi="Calibri"/>
          <w:bCs/>
          <w:noProof/>
          <w:lang w:val="fr-CH" w:eastAsia="fr-CA"/>
        </w:rPr>
        <w:t>ppement sanitaire 2015-2024, iv</w:t>
      </w:r>
      <w:r w:rsidR="0062715F">
        <w:rPr>
          <w:rFonts w:ascii="Calibri" w:hAnsi="Calibri"/>
          <w:bCs/>
          <w:noProof/>
          <w:lang w:val="fr-CH" w:eastAsia="fr-CA"/>
        </w:rPr>
        <w:t>) la politique nationale de santé communautaire et le plan stratégique de santé communautaire 2018-2022</w:t>
      </w:r>
      <w:r w:rsidR="00BE580B">
        <w:rPr>
          <w:rFonts w:ascii="Calibri" w:hAnsi="Calibri"/>
          <w:bCs/>
          <w:noProof/>
          <w:lang w:val="fr-CH" w:eastAsia="fr-CA"/>
        </w:rPr>
        <w:t xml:space="preserve"> et v) l</w:t>
      </w:r>
      <w:r w:rsidR="0062715F">
        <w:rPr>
          <w:rFonts w:ascii="Calibri" w:hAnsi="Calibri"/>
          <w:bCs/>
          <w:noProof/>
          <w:lang w:val="fr-CH" w:eastAsia="fr-CA"/>
        </w:rPr>
        <w:t>a politique nationale de biologie médicale et le plan directeur de développement de la biologie médicale</w:t>
      </w:r>
      <w:r w:rsidR="00B31084">
        <w:rPr>
          <w:rFonts w:ascii="Calibri" w:hAnsi="Calibri"/>
          <w:bCs/>
          <w:noProof/>
          <w:lang w:val="fr-CH" w:eastAsia="fr-CA"/>
        </w:rPr>
        <w:t>, vi) la stratégie nationale de réduction de la mortalité maternelle</w:t>
      </w:r>
      <w:r w:rsidR="00332D40">
        <w:rPr>
          <w:rFonts w:ascii="Calibri" w:hAnsi="Calibri"/>
          <w:bCs/>
          <w:noProof/>
          <w:lang w:val="fr-CH" w:eastAsia="fr-CA"/>
        </w:rPr>
        <w:t>,</w:t>
      </w:r>
      <w:r w:rsidR="00B31084">
        <w:rPr>
          <w:rFonts w:ascii="Calibri" w:hAnsi="Calibri"/>
          <w:bCs/>
          <w:noProof/>
          <w:lang w:val="fr-CH" w:eastAsia="fr-CA"/>
        </w:rPr>
        <w:t xml:space="preserve"> néonatale</w:t>
      </w:r>
      <w:r w:rsidR="00332D40">
        <w:rPr>
          <w:rFonts w:ascii="Calibri" w:hAnsi="Calibri"/>
          <w:bCs/>
          <w:noProof/>
          <w:lang w:val="fr-CH" w:eastAsia="fr-CA"/>
        </w:rPr>
        <w:t>, infantile</w:t>
      </w:r>
      <w:r w:rsidR="00B31084">
        <w:rPr>
          <w:rFonts w:ascii="Calibri" w:hAnsi="Calibri"/>
          <w:bCs/>
          <w:noProof/>
          <w:lang w:val="fr-CH" w:eastAsia="fr-CA"/>
        </w:rPr>
        <w:t xml:space="preserve"> et des adolescents (SRMNIA)</w:t>
      </w:r>
      <w:r w:rsidR="00332D40">
        <w:rPr>
          <w:rFonts w:ascii="Calibri" w:hAnsi="Calibri"/>
          <w:bCs/>
          <w:noProof/>
          <w:lang w:val="fr-CH" w:eastAsia="fr-CA"/>
        </w:rPr>
        <w:t xml:space="preserve"> 2016-2020</w:t>
      </w:r>
      <w:r w:rsidR="007302B6">
        <w:rPr>
          <w:rFonts w:ascii="Calibri" w:hAnsi="Calibri"/>
          <w:bCs/>
          <w:noProof/>
          <w:lang w:val="fr-CH" w:eastAsia="fr-CA"/>
        </w:rPr>
        <w:t>.</w:t>
      </w:r>
    </w:p>
    <w:bookmarkEnd w:id="80"/>
    <w:bookmarkEnd w:id="81"/>
    <w:bookmarkEnd w:id="82"/>
    <w:bookmarkEnd w:id="83"/>
    <w:bookmarkEnd w:id="84"/>
    <w:p w14:paraId="37A69300" w14:textId="2A61A30B" w:rsidR="006C7459" w:rsidRPr="000B012F" w:rsidRDefault="006C7459" w:rsidP="00192E96">
      <w:pPr>
        <w:autoSpaceDE w:val="0"/>
        <w:autoSpaceDN w:val="0"/>
        <w:adjustRightInd w:val="0"/>
        <w:jc w:val="both"/>
        <w:rPr>
          <w:rFonts w:ascii="Calibri" w:hAnsi="Calibri"/>
          <w:color w:val="000000"/>
          <w:sz w:val="16"/>
          <w:highlight w:val="yellow"/>
        </w:rPr>
      </w:pPr>
    </w:p>
    <w:p w14:paraId="6DC448CA" w14:textId="78DAA2C1" w:rsidR="00BE580B" w:rsidRPr="0079309F" w:rsidRDefault="00BE580B" w:rsidP="00C34A61">
      <w:pPr>
        <w:pStyle w:val="Titre2"/>
        <w:numPr>
          <w:ilvl w:val="1"/>
          <w:numId w:val="6"/>
        </w:numPr>
        <w:spacing w:after="0"/>
        <w:ind w:left="426" w:hanging="426"/>
        <w:rPr>
          <w:rFonts w:ascii="Calibri" w:hAnsi="Calibri"/>
          <w:color w:val="2F5496" w:themeColor="accent5" w:themeShade="BF"/>
          <w:szCs w:val="24"/>
        </w:rPr>
      </w:pPr>
      <w:bookmarkStart w:id="85" w:name="_Toc520983528"/>
      <w:r>
        <w:rPr>
          <w:rFonts w:ascii="Calibri" w:hAnsi="Calibri"/>
          <w:color w:val="2F5496" w:themeColor="accent5" w:themeShade="BF"/>
          <w:szCs w:val="24"/>
        </w:rPr>
        <w:t>Cibles prioritaires pour les interventions du CSN</w:t>
      </w:r>
      <w:r w:rsidRPr="0079309F">
        <w:rPr>
          <w:rFonts w:ascii="Calibri" w:hAnsi="Calibri"/>
          <w:color w:val="2F5496" w:themeColor="accent5" w:themeShade="BF"/>
          <w:szCs w:val="24"/>
        </w:rPr>
        <w:t xml:space="preserve"> 2018-2022</w:t>
      </w:r>
      <w:bookmarkEnd w:id="85"/>
    </w:p>
    <w:p w14:paraId="7EB8B09D" w14:textId="02BFA9AE" w:rsidR="00BE580B" w:rsidRPr="000B012F" w:rsidRDefault="00BE580B" w:rsidP="00192E96">
      <w:pPr>
        <w:autoSpaceDE w:val="0"/>
        <w:autoSpaceDN w:val="0"/>
        <w:adjustRightInd w:val="0"/>
        <w:jc w:val="both"/>
        <w:rPr>
          <w:rFonts w:ascii="Calibri" w:hAnsi="Calibri"/>
          <w:color w:val="000000"/>
          <w:sz w:val="20"/>
          <w:highlight w:val="yellow"/>
          <w:lang w:val="fr-CH"/>
        </w:rPr>
      </w:pPr>
    </w:p>
    <w:p w14:paraId="70D60760" w14:textId="77777777" w:rsidR="00E367D1" w:rsidRPr="00266896" w:rsidRDefault="00E367D1" w:rsidP="00E367D1">
      <w:pPr>
        <w:jc w:val="both"/>
        <w:rPr>
          <w:rFonts w:ascii="Calibri" w:hAnsi="Calibri"/>
        </w:rPr>
      </w:pPr>
      <w:r w:rsidRPr="00266896">
        <w:rPr>
          <w:rFonts w:ascii="Calibri" w:hAnsi="Calibri"/>
        </w:rPr>
        <w:t>Que ce soit globalement ou de manière spécifique, on note une baisse progressive de la prévalence du VIH au sein des groupes de population. Toutefois, pour certains groupes, les facteurs de vulnérabilité reste</w:t>
      </w:r>
      <w:r>
        <w:rPr>
          <w:rFonts w:ascii="Calibri" w:hAnsi="Calibri"/>
        </w:rPr>
        <w:t>nt présent</w:t>
      </w:r>
      <w:r w:rsidRPr="00266896">
        <w:rPr>
          <w:rFonts w:ascii="Calibri" w:hAnsi="Calibri"/>
        </w:rPr>
        <w:t>s et notables comme par exemple l’incidence des IST d’une part ; et d’autre part, la prévalence se maintient à des niveaux encore plus élevés que la prévalence nationale.</w:t>
      </w:r>
      <w:r>
        <w:rPr>
          <w:rFonts w:ascii="Calibri" w:hAnsi="Calibri"/>
        </w:rPr>
        <w:t xml:space="preserve"> Aussi, au cours de la période 2018-2022, la priorité sera accordée aux groupes de population suivants :</w:t>
      </w:r>
    </w:p>
    <w:p w14:paraId="5DE5EA8E" w14:textId="53DBF13E" w:rsidR="00E367D1" w:rsidRDefault="00E367D1" w:rsidP="00E367D1">
      <w:pPr>
        <w:jc w:val="both"/>
        <w:rPr>
          <w:rFonts w:ascii="Calibri" w:hAnsi="Calibri"/>
          <w:sz w:val="18"/>
        </w:rPr>
      </w:pPr>
    </w:p>
    <w:p w14:paraId="58642D04" w14:textId="559FF13B" w:rsidR="00E367D1" w:rsidRPr="00284484" w:rsidRDefault="00E367D1" w:rsidP="00284484">
      <w:pPr>
        <w:pStyle w:val="fig"/>
        <w:jc w:val="left"/>
        <w:rPr>
          <w:b w:val="0"/>
        </w:rPr>
      </w:pPr>
      <w:bookmarkStart w:id="86" w:name="_Toc521064658"/>
      <w:r w:rsidRPr="006D7655">
        <w:rPr>
          <w:u w:val="single"/>
        </w:rPr>
        <w:t>Figure 2</w:t>
      </w:r>
      <w:r w:rsidRPr="00266896">
        <w:t> </w:t>
      </w:r>
      <w:r w:rsidRPr="00284484">
        <w:rPr>
          <w:b w:val="0"/>
        </w:rPr>
        <w:t>: Populations prioritaires retenues dans le CSN 2018-2022</w:t>
      </w:r>
      <w:bookmarkEnd w:id="86"/>
    </w:p>
    <w:p w14:paraId="447F4DB1" w14:textId="2B675A0F" w:rsidR="00BE580B" w:rsidRPr="005B52BA" w:rsidRDefault="001E01CD" w:rsidP="00192E96">
      <w:pPr>
        <w:autoSpaceDE w:val="0"/>
        <w:autoSpaceDN w:val="0"/>
        <w:adjustRightInd w:val="0"/>
        <w:jc w:val="both"/>
        <w:rPr>
          <w:rFonts w:ascii="Calibri" w:hAnsi="Calibri"/>
          <w:color w:val="000000"/>
          <w:highlight w:val="yellow"/>
        </w:rPr>
      </w:pPr>
      <w:r>
        <w:rPr>
          <w:noProof/>
        </w:rPr>
        <w:drawing>
          <wp:inline distT="0" distB="0" distL="0" distR="0" wp14:anchorId="0D9B5DCA" wp14:editId="7FC01AB2">
            <wp:extent cx="2794000" cy="3215472"/>
            <wp:effectExtent l="0" t="0" r="0" b="0"/>
            <wp:docPr id="11264" name="Imag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5317" cy="3216987"/>
                    </a:xfrm>
                    <a:prstGeom prst="rect">
                      <a:avLst/>
                    </a:prstGeom>
                  </pic:spPr>
                </pic:pic>
              </a:graphicData>
            </a:graphic>
          </wp:inline>
        </w:drawing>
      </w:r>
      <w:r>
        <w:rPr>
          <w:noProof/>
        </w:rPr>
        <w:drawing>
          <wp:inline distT="0" distB="0" distL="0" distR="0" wp14:anchorId="36F6C452" wp14:editId="07CD1727">
            <wp:extent cx="2794000" cy="3014505"/>
            <wp:effectExtent l="0" t="0" r="0" b="0"/>
            <wp:docPr id="11265" name="Imag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6391" cy="3017085"/>
                    </a:xfrm>
                    <a:prstGeom prst="rect">
                      <a:avLst/>
                    </a:prstGeom>
                  </pic:spPr>
                </pic:pic>
              </a:graphicData>
            </a:graphic>
          </wp:inline>
        </w:drawing>
      </w:r>
    </w:p>
    <w:p w14:paraId="62655F56" w14:textId="4B8ED634" w:rsidR="00360CB8" w:rsidRPr="0079309F" w:rsidRDefault="00E367D1" w:rsidP="00C34A61">
      <w:pPr>
        <w:pStyle w:val="Titre2"/>
        <w:numPr>
          <w:ilvl w:val="1"/>
          <w:numId w:val="6"/>
        </w:numPr>
        <w:spacing w:after="0"/>
        <w:ind w:left="426" w:hanging="426"/>
        <w:rPr>
          <w:rFonts w:ascii="Calibri" w:hAnsi="Calibri"/>
          <w:color w:val="2F5496" w:themeColor="accent5" w:themeShade="BF"/>
          <w:szCs w:val="24"/>
        </w:rPr>
      </w:pPr>
      <w:bookmarkStart w:id="87" w:name="_Toc492294063"/>
      <w:bookmarkStart w:id="88" w:name="_Toc500496800"/>
      <w:bookmarkStart w:id="89" w:name="_Toc500520933"/>
      <w:bookmarkStart w:id="90" w:name="_Toc520983529"/>
      <w:r>
        <w:rPr>
          <w:rFonts w:ascii="Calibri" w:hAnsi="Calibri"/>
          <w:color w:val="2F5496" w:themeColor="accent5" w:themeShade="BF"/>
          <w:szCs w:val="24"/>
        </w:rPr>
        <w:t>Cadre et chaine des résultats du CSN</w:t>
      </w:r>
      <w:r w:rsidR="002D09A1" w:rsidRPr="0079309F">
        <w:rPr>
          <w:rFonts w:ascii="Calibri" w:hAnsi="Calibri"/>
          <w:color w:val="2F5496" w:themeColor="accent5" w:themeShade="BF"/>
          <w:szCs w:val="24"/>
        </w:rPr>
        <w:t xml:space="preserve"> 2018-2022</w:t>
      </w:r>
      <w:bookmarkEnd w:id="87"/>
      <w:bookmarkEnd w:id="88"/>
      <w:bookmarkEnd w:id="89"/>
      <w:bookmarkEnd w:id="90"/>
    </w:p>
    <w:p w14:paraId="298421A3" w14:textId="2F736FF2" w:rsidR="006E47A8" w:rsidRDefault="006E47A8" w:rsidP="00192E96">
      <w:pPr>
        <w:autoSpaceDE w:val="0"/>
        <w:autoSpaceDN w:val="0"/>
        <w:adjustRightInd w:val="0"/>
        <w:jc w:val="both"/>
        <w:rPr>
          <w:rFonts w:ascii="Calibri" w:hAnsi="Calibri"/>
        </w:rPr>
      </w:pPr>
    </w:p>
    <w:p w14:paraId="10C4EA08" w14:textId="27ED5E18" w:rsidR="00C2348F" w:rsidRDefault="00EF247B" w:rsidP="00EF247B">
      <w:pPr>
        <w:autoSpaceDE w:val="0"/>
        <w:autoSpaceDN w:val="0"/>
        <w:adjustRightInd w:val="0"/>
        <w:jc w:val="both"/>
        <w:rPr>
          <w:rFonts w:ascii="Calibri" w:hAnsi="Calibri"/>
        </w:rPr>
      </w:pPr>
      <w:r>
        <w:rPr>
          <w:rFonts w:ascii="Calibri" w:hAnsi="Calibri"/>
        </w:rPr>
        <w:t>Sur la base des acquis, des insuffisances et des priorités d’intervention, le CSN 2018-2022 vise les priorités, les impacts et effets suivants :</w:t>
      </w:r>
    </w:p>
    <w:p w14:paraId="583F8560" w14:textId="77777777" w:rsidR="00EF247B" w:rsidRPr="00EF247B" w:rsidRDefault="00EF247B" w:rsidP="00EF247B">
      <w:pPr>
        <w:autoSpaceDE w:val="0"/>
        <w:autoSpaceDN w:val="0"/>
        <w:adjustRightInd w:val="0"/>
        <w:jc w:val="both"/>
        <w:rPr>
          <w:rFonts w:ascii="Calibri" w:hAnsi="Calibri"/>
        </w:rPr>
      </w:pPr>
    </w:p>
    <w:tbl>
      <w:tblPr>
        <w:tblW w:w="9993" w:type="dxa"/>
        <w:tblCellMar>
          <w:left w:w="70" w:type="dxa"/>
          <w:right w:w="70" w:type="dxa"/>
        </w:tblCellMar>
        <w:tblLook w:val="04A0" w:firstRow="1" w:lastRow="0" w:firstColumn="1" w:lastColumn="0" w:noHBand="0" w:noVBand="1"/>
      </w:tblPr>
      <w:tblGrid>
        <w:gridCol w:w="983"/>
        <w:gridCol w:w="992"/>
        <w:gridCol w:w="584"/>
        <w:gridCol w:w="7434"/>
      </w:tblGrid>
      <w:tr w:rsidR="00D56D3E" w:rsidRPr="000B012F" w14:paraId="56CAFB49" w14:textId="77777777" w:rsidTr="00D56D3E">
        <w:trPr>
          <w:trHeight w:val="560"/>
        </w:trPr>
        <w:tc>
          <w:tcPr>
            <w:tcW w:w="1975" w:type="dxa"/>
            <w:gridSpan w:val="2"/>
            <w:tcBorders>
              <w:top w:val="single" w:sz="4" w:space="0" w:color="auto"/>
              <w:left w:val="single" w:sz="4" w:space="0" w:color="auto"/>
              <w:bottom w:val="single" w:sz="4" w:space="0" w:color="auto"/>
              <w:right w:val="single" w:sz="4" w:space="0" w:color="auto"/>
            </w:tcBorders>
            <w:shd w:val="clear" w:color="000000" w:fill="FF0000"/>
            <w:vAlign w:val="center"/>
            <w:hideMark/>
          </w:tcPr>
          <w:p w14:paraId="477B161A" w14:textId="77777777" w:rsidR="00D56D3E" w:rsidRPr="000B012F" w:rsidRDefault="00D56D3E" w:rsidP="00D56D3E">
            <w:pPr>
              <w:rPr>
                <w:rFonts w:asciiTheme="minorHAnsi" w:hAnsiTheme="minorHAnsi"/>
                <w:b/>
                <w:bCs/>
                <w:color w:val="FFFFFF"/>
                <w:sz w:val="20"/>
                <w:szCs w:val="20"/>
              </w:rPr>
            </w:pPr>
            <w:r w:rsidRPr="000B012F">
              <w:rPr>
                <w:rFonts w:asciiTheme="minorHAnsi" w:hAnsiTheme="minorHAnsi"/>
                <w:b/>
                <w:bCs/>
                <w:color w:val="FFFFFF"/>
                <w:sz w:val="20"/>
                <w:szCs w:val="20"/>
              </w:rPr>
              <w:t>Priorité -1</w:t>
            </w:r>
          </w:p>
        </w:tc>
        <w:tc>
          <w:tcPr>
            <w:tcW w:w="8018" w:type="dxa"/>
            <w:gridSpan w:val="2"/>
            <w:tcBorders>
              <w:top w:val="single" w:sz="4" w:space="0" w:color="auto"/>
              <w:left w:val="nil"/>
              <w:bottom w:val="single" w:sz="4" w:space="0" w:color="auto"/>
              <w:right w:val="single" w:sz="4" w:space="0" w:color="auto"/>
            </w:tcBorders>
            <w:shd w:val="clear" w:color="000000" w:fill="E7E6E6"/>
            <w:vAlign w:val="center"/>
            <w:hideMark/>
          </w:tcPr>
          <w:p w14:paraId="580BC680" w14:textId="533AA2D2" w:rsidR="00D56D3E" w:rsidRPr="000B012F" w:rsidRDefault="00D56D3E" w:rsidP="00D56D3E">
            <w:pPr>
              <w:jc w:val="both"/>
              <w:rPr>
                <w:rFonts w:asciiTheme="minorHAnsi" w:hAnsiTheme="minorHAnsi"/>
                <w:color w:val="000000"/>
                <w:sz w:val="20"/>
                <w:szCs w:val="20"/>
              </w:rPr>
            </w:pPr>
            <w:r w:rsidRPr="000B012F">
              <w:rPr>
                <w:rFonts w:asciiTheme="minorHAnsi" w:hAnsiTheme="minorHAnsi"/>
                <w:color w:val="000000"/>
                <w:sz w:val="20"/>
                <w:szCs w:val="20"/>
              </w:rPr>
              <w:t>Réduire très significativement les nouvelles infections parmi les populations vulnérables (en l’occurrence les jeunes filles, les jeunes femmes), les populations clés et éliminer celle chez les enfants</w:t>
            </w:r>
          </w:p>
        </w:tc>
      </w:tr>
      <w:tr w:rsidR="00D56D3E" w:rsidRPr="000B012F" w14:paraId="0FF9B0AF" w14:textId="77777777" w:rsidTr="000B012F">
        <w:trPr>
          <w:gridBefore w:val="1"/>
          <w:wBefore w:w="983" w:type="dxa"/>
          <w:trHeight w:val="393"/>
        </w:trPr>
        <w:tc>
          <w:tcPr>
            <w:tcW w:w="992"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4416F0BE" w14:textId="77777777" w:rsidR="00D56D3E" w:rsidRPr="000B012F" w:rsidRDefault="00D56D3E" w:rsidP="00D56D3E">
            <w:pPr>
              <w:ind w:left="-780" w:firstLine="780"/>
              <w:rPr>
                <w:rFonts w:asciiTheme="minorHAnsi" w:hAnsiTheme="minorHAnsi"/>
                <w:color w:val="FFFFFF"/>
                <w:sz w:val="20"/>
                <w:szCs w:val="20"/>
              </w:rPr>
            </w:pPr>
            <w:r w:rsidRPr="000B012F">
              <w:rPr>
                <w:rFonts w:asciiTheme="minorHAnsi" w:hAnsiTheme="minorHAnsi"/>
                <w:color w:val="FFFFFF"/>
                <w:sz w:val="20"/>
                <w:szCs w:val="20"/>
              </w:rPr>
              <w:t>Impact-1</w:t>
            </w:r>
          </w:p>
        </w:tc>
        <w:tc>
          <w:tcPr>
            <w:tcW w:w="8018" w:type="dxa"/>
            <w:gridSpan w:val="2"/>
            <w:tcBorders>
              <w:top w:val="single" w:sz="4" w:space="0" w:color="auto"/>
              <w:left w:val="nil"/>
              <w:bottom w:val="single" w:sz="4" w:space="0" w:color="auto"/>
              <w:right w:val="single" w:sz="4" w:space="0" w:color="auto"/>
            </w:tcBorders>
            <w:shd w:val="clear" w:color="000000" w:fill="E7E6E6"/>
            <w:vAlign w:val="center"/>
            <w:hideMark/>
          </w:tcPr>
          <w:p w14:paraId="3F1E7EF7" w14:textId="5F82C590" w:rsidR="00D56D3E" w:rsidRPr="000B012F" w:rsidRDefault="00D56D3E" w:rsidP="00D56D3E">
            <w:pPr>
              <w:jc w:val="both"/>
              <w:rPr>
                <w:rFonts w:asciiTheme="minorHAnsi" w:hAnsiTheme="minorHAnsi"/>
                <w:color w:val="000000"/>
                <w:sz w:val="20"/>
                <w:szCs w:val="20"/>
              </w:rPr>
            </w:pPr>
            <w:r w:rsidRPr="000B012F">
              <w:rPr>
                <w:rFonts w:asciiTheme="minorHAnsi" w:hAnsiTheme="minorHAnsi"/>
                <w:color w:val="000000"/>
                <w:sz w:val="20"/>
                <w:szCs w:val="20"/>
              </w:rPr>
              <w:t xml:space="preserve">Les nouvelles infections sont réduites de 50% d’ici </w:t>
            </w:r>
            <w:r w:rsidRPr="000B012F">
              <w:rPr>
                <w:rFonts w:asciiTheme="minorHAnsi" w:hAnsiTheme="minorHAnsi" w:cs="Arial"/>
                <w:color w:val="000000"/>
                <w:sz w:val="20"/>
                <w:szCs w:val="20"/>
              </w:rPr>
              <w:t>à fin</w:t>
            </w:r>
            <w:r w:rsidRPr="000B012F">
              <w:rPr>
                <w:rFonts w:asciiTheme="minorHAnsi" w:hAnsiTheme="minorHAnsi"/>
                <w:color w:val="000000"/>
                <w:sz w:val="20"/>
                <w:szCs w:val="20"/>
              </w:rPr>
              <w:t xml:space="preserve"> 2022</w:t>
            </w:r>
          </w:p>
        </w:tc>
      </w:tr>
      <w:tr w:rsidR="00D56D3E" w:rsidRPr="000B012F" w14:paraId="0F25D08C" w14:textId="77777777" w:rsidTr="00D56D3E">
        <w:trPr>
          <w:trHeight w:val="320"/>
        </w:trPr>
        <w:tc>
          <w:tcPr>
            <w:tcW w:w="983" w:type="dxa"/>
            <w:tcBorders>
              <w:top w:val="nil"/>
              <w:left w:val="nil"/>
              <w:bottom w:val="nil"/>
              <w:right w:val="nil"/>
            </w:tcBorders>
            <w:shd w:val="clear" w:color="000000" w:fill="FFFFFF"/>
            <w:noWrap/>
            <w:vAlign w:val="bottom"/>
            <w:hideMark/>
          </w:tcPr>
          <w:p w14:paraId="78FBF313"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992" w:type="dxa"/>
            <w:tcBorders>
              <w:top w:val="nil"/>
              <w:left w:val="nil"/>
              <w:bottom w:val="nil"/>
              <w:right w:val="nil"/>
            </w:tcBorders>
            <w:shd w:val="clear" w:color="000000" w:fill="FFFFFF"/>
            <w:noWrap/>
            <w:vAlign w:val="bottom"/>
            <w:hideMark/>
          </w:tcPr>
          <w:p w14:paraId="74A9275F"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8018" w:type="dxa"/>
            <w:gridSpan w:val="2"/>
            <w:tcBorders>
              <w:top w:val="single" w:sz="4" w:space="0" w:color="auto"/>
              <w:left w:val="single" w:sz="4" w:space="0" w:color="auto"/>
              <w:bottom w:val="single" w:sz="4" w:space="0" w:color="auto"/>
              <w:right w:val="single" w:sz="4" w:space="0" w:color="auto"/>
            </w:tcBorders>
            <w:shd w:val="clear" w:color="000000" w:fill="C5E0B3"/>
            <w:vAlign w:val="center"/>
            <w:hideMark/>
          </w:tcPr>
          <w:p w14:paraId="185850F0" w14:textId="77777777" w:rsidR="00D56D3E" w:rsidRPr="000B012F" w:rsidRDefault="00D56D3E" w:rsidP="00D56D3E">
            <w:pPr>
              <w:rPr>
                <w:rFonts w:asciiTheme="minorHAnsi" w:hAnsiTheme="minorHAnsi"/>
                <w:b/>
                <w:bCs/>
                <w:color w:val="000000"/>
                <w:sz w:val="20"/>
                <w:szCs w:val="20"/>
              </w:rPr>
            </w:pPr>
            <w:r w:rsidRPr="000B012F">
              <w:rPr>
                <w:rFonts w:asciiTheme="minorHAnsi" w:hAnsiTheme="minorHAnsi"/>
                <w:b/>
                <w:bCs/>
                <w:color w:val="000000"/>
                <w:sz w:val="20"/>
                <w:szCs w:val="20"/>
              </w:rPr>
              <w:t>Effets</w:t>
            </w:r>
          </w:p>
        </w:tc>
      </w:tr>
      <w:tr w:rsidR="00D56D3E" w:rsidRPr="000B012F" w14:paraId="55F1C13C" w14:textId="77777777" w:rsidTr="00D56D3E">
        <w:trPr>
          <w:gridBefore w:val="1"/>
          <w:wBefore w:w="983" w:type="dxa"/>
          <w:trHeight w:val="560"/>
        </w:trPr>
        <w:tc>
          <w:tcPr>
            <w:tcW w:w="992" w:type="dxa"/>
            <w:tcBorders>
              <w:top w:val="nil"/>
              <w:left w:val="nil"/>
              <w:bottom w:val="nil"/>
              <w:right w:val="nil"/>
            </w:tcBorders>
            <w:shd w:val="clear" w:color="000000" w:fill="FFFFFF"/>
            <w:noWrap/>
            <w:vAlign w:val="bottom"/>
            <w:hideMark/>
          </w:tcPr>
          <w:p w14:paraId="38BE37AB"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nil"/>
              <w:left w:val="nil"/>
              <w:bottom w:val="nil"/>
              <w:right w:val="nil"/>
            </w:tcBorders>
            <w:shd w:val="clear" w:color="000000" w:fill="FFFFFF"/>
            <w:noWrap/>
            <w:vAlign w:val="bottom"/>
            <w:hideMark/>
          </w:tcPr>
          <w:p w14:paraId="746A666C"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nil"/>
              <w:left w:val="single" w:sz="4" w:space="0" w:color="auto"/>
              <w:bottom w:val="single" w:sz="4" w:space="0" w:color="auto"/>
              <w:right w:val="single" w:sz="4" w:space="0" w:color="auto"/>
            </w:tcBorders>
            <w:shd w:val="clear" w:color="000000" w:fill="FFFFFF"/>
            <w:vAlign w:val="center"/>
            <w:hideMark/>
          </w:tcPr>
          <w:p w14:paraId="30E82C21" w14:textId="6EE6FE30"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1.1-Au moins 80% des populations clés (PS, UDI, HSH) et populations vulnérables (Miniers, routiers, hommes en uniforme, populations carcérales, pêcheurs) ont des comportements à moindre risque d’ici 2022</w:t>
            </w:r>
          </w:p>
        </w:tc>
      </w:tr>
      <w:tr w:rsidR="00D56D3E" w:rsidRPr="000B012F" w14:paraId="0F54B64F" w14:textId="77777777" w:rsidTr="00D56D3E">
        <w:trPr>
          <w:gridBefore w:val="1"/>
          <w:wBefore w:w="983" w:type="dxa"/>
          <w:trHeight w:val="320"/>
        </w:trPr>
        <w:tc>
          <w:tcPr>
            <w:tcW w:w="992" w:type="dxa"/>
            <w:tcBorders>
              <w:top w:val="nil"/>
              <w:left w:val="nil"/>
              <w:bottom w:val="nil"/>
              <w:right w:val="nil"/>
            </w:tcBorders>
            <w:shd w:val="clear" w:color="000000" w:fill="FFFFFF"/>
            <w:noWrap/>
            <w:vAlign w:val="bottom"/>
            <w:hideMark/>
          </w:tcPr>
          <w:p w14:paraId="368EED12"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nil"/>
              <w:left w:val="nil"/>
              <w:bottom w:val="nil"/>
              <w:right w:val="nil"/>
            </w:tcBorders>
            <w:shd w:val="clear" w:color="000000" w:fill="FFFFFF"/>
            <w:noWrap/>
            <w:vAlign w:val="bottom"/>
            <w:hideMark/>
          </w:tcPr>
          <w:p w14:paraId="24298FF3"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nil"/>
              <w:left w:val="single" w:sz="4" w:space="0" w:color="auto"/>
              <w:bottom w:val="single" w:sz="4" w:space="0" w:color="auto"/>
              <w:right w:val="single" w:sz="4" w:space="0" w:color="auto"/>
            </w:tcBorders>
            <w:shd w:val="clear" w:color="000000" w:fill="FFFFFF"/>
            <w:vAlign w:val="center"/>
            <w:hideMark/>
          </w:tcPr>
          <w:p w14:paraId="698430E5" w14:textId="5B52F191"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1.2-90% des PVVIH connaissent leur statut sérologique et sont référés vers les services de soins/traitement</w:t>
            </w:r>
          </w:p>
        </w:tc>
      </w:tr>
      <w:tr w:rsidR="00D56D3E" w:rsidRPr="000B012F" w14:paraId="4079528B" w14:textId="77777777" w:rsidTr="00D56D3E">
        <w:trPr>
          <w:gridBefore w:val="1"/>
          <w:wBefore w:w="983" w:type="dxa"/>
          <w:trHeight w:val="320"/>
        </w:trPr>
        <w:tc>
          <w:tcPr>
            <w:tcW w:w="992" w:type="dxa"/>
            <w:tcBorders>
              <w:top w:val="nil"/>
              <w:left w:val="nil"/>
              <w:bottom w:val="nil"/>
              <w:right w:val="nil"/>
            </w:tcBorders>
            <w:shd w:val="clear" w:color="000000" w:fill="FFFFFF"/>
            <w:noWrap/>
            <w:vAlign w:val="bottom"/>
            <w:hideMark/>
          </w:tcPr>
          <w:p w14:paraId="3FE2A481"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nil"/>
              <w:left w:val="nil"/>
              <w:bottom w:val="nil"/>
              <w:right w:val="nil"/>
            </w:tcBorders>
            <w:shd w:val="clear" w:color="000000" w:fill="FFFFFF"/>
            <w:noWrap/>
            <w:vAlign w:val="bottom"/>
            <w:hideMark/>
          </w:tcPr>
          <w:p w14:paraId="74CDBE5B"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nil"/>
              <w:left w:val="single" w:sz="4" w:space="0" w:color="auto"/>
              <w:bottom w:val="single" w:sz="4" w:space="0" w:color="auto"/>
              <w:right w:val="single" w:sz="4" w:space="0" w:color="auto"/>
            </w:tcBorders>
            <w:shd w:val="clear" w:color="000000" w:fill="FFFFFF"/>
            <w:vAlign w:val="center"/>
            <w:hideMark/>
          </w:tcPr>
          <w:p w14:paraId="140C8C91" w14:textId="2FA0CFCC"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1.3-la transmission sanguine du VIH est éliminée (risque=0%) pendant la période 2018-2022</w:t>
            </w:r>
          </w:p>
        </w:tc>
      </w:tr>
      <w:tr w:rsidR="00D56D3E" w:rsidRPr="000B012F" w14:paraId="3D097116" w14:textId="77777777" w:rsidTr="00D56D3E">
        <w:trPr>
          <w:gridBefore w:val="1"/>
          <w:wBefore w:w="983" w:type="dxa"/>
          <w:trHeight w:val="560"/>
        </w:trPr>
        <w:tc>
          <w:tcPr>
            <w:tcW w:w="992" w:type="dxa"/>
            <w:tcBorders>
              <w:top w:val="nil"/>
              <w:left w:val="nil"/>
              <w:bottom w:val="nil"/>
              <w:right w:val="nil"/>
            </w:tcBorders>
            <w:shd w:val="clear" w:color="000000" w:fill="FFFFFF"/>
            <w:noWrap/>
            <w:vAlign w:val="bottom"/>
            <w:hideMark/>
          </w:tcPr>
          <w:p w14:paraId="6013871C"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nil"/>
              <w:left w:val="nil"/>
              <w:bottom w:val="nil"/>
              <w:right w:val="nil"/>
            </w:tcBorders>
            <w:shd w:val="clear" w:color="000000" w:fill="FFFFFF"/>
            <w:noWrap/>
            <w:vAlign w:val="bottom"/>
            <w:hideMark/>
          </w:tcPr>
          <w:p w14:paraId="68332D0A"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nil"/>
              <w:left w:val="single" w:sz="4" w:space="0" w:color="auto"/>
              <w:bottom w:val="single" w:sz="4" w:space="0" w:color="auto"/>
              <w:right w:val="single" w:sz="4" w:space="0" w:color="auto"/>
            </w:tcBorders>
            <w:shd w:val="clear" w:color="000000" w:fill="FFFFFF"/>
            <w:vAlign w:val="center"/>
            <w:hideMark/>
          </w:tcPr>
          <w:p w14:paraId="0E53B9BE" w14:textId="189BB253"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1.4</w:t>
            </w:r>
            <w:r w:rsidR="001E6B3D" w:rsidRPr="000B012F">
              <w:rPr>
                <w:rFonts w:asciiTheme="minorHAnsi" w:hAnsiTheme="minorHAnsi"/>
                <w:color w:val="000000"/>
                <w:sz w:val="20"/>
                <w:szCs w:val="20"/>
              </w:rPr>
              <w:t>-</w:t>
            </w:r>
            <w:r w:rsidR="00280172" w:rsidRPr="000B012F">
              <w:rPr>
                <w:sz w:val="20"/>
                <w:szCs w:val="20"/>
              </w:rPr>
              <w:t xml:space="preserve"> </w:t>
            </w:r>
            <w:r w:rsidR="00280172" w:rsidRPr="000B012F">
              <w:rPr>
                <w:rFonts w:asciiTheme="minorHAnsi" w:hAnsiTheme="minorHAnsi"/>
                <w:color w:val="000000"/>
                <w:sz w:val="20"/>
                <w:szCs w:val="20"/>
              </w:rPr>
              <w:t>Le taux de transmission du VIH de la mère à l’enfant est réduit à moins de 5%</w:t>
            </w:r>
          </w:p>
        </w:tc>
      </w:tr>
      <w:tr w:rsidR="00D56D3E" w:rsidRPr="000B012F" w14:paraId="0DE664F4" w14:textId="77777777" w:rsidTr="00D56D3E">
        <w:trPr>
          <w:gridBefore w:val="1"/>
          <w:wBefore w:w="983" w:type="dxa"/>
          <w:trHeight w:val="560"/>
        </w:trPr>
        <w:tc>
          <w:tcPr>
            <w:tcW w:w="992" w:type="dxa"/>
            <w:tcBorders>
              <w:top w:val="nil"/>
              <w:left w:val="nil"/>
              <w:bottom w:val="nil"/>
              <w:right w:val="nil"/>
            </w:tcBorders>
            <w:shd w:val="clear" w:color="000000" w:fill="FFFFFF"/>
            <w:noWrap/>
            <w:vAlign w:val="bottom"/>
            <w:hideMark/>
          </w:tcPr>
          <w:p w14:paraId="2E442246"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nil"/>
              <w:left w:val="nil"/>
              <w:bottom w:val="single" w:sz="4" w:space="0" w:color="auto"/>
              <w:right w:val="nil"/>
            </w:tcBorders>
            <w:shd w:val="clear" w:color="000000" w:fill="FFFFFF"/>
            <w:noWrap/>
            <w:vAlign w:val="bottom"/>
            <w:hideMark/>
          </w:tcPr>
          <w:p w14:paraId="06E3A3A3"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nil"/>
              <w:left w:val="single" w:sz="4" w:space="0" w:color="auto"/>
              <w:bottom w:val="single" w:sz="4" w:space="0" w:color="auto"/>
              <w:right w:val="single" w:sz="4" w:space="0" w:color="auto"/>
            </w:tcBorders>
            <w:shd w:val="clear" w:color="000000" w:fill="FFFFFF"/>
            <w:vAlign w:val="center"/>
            <w:hideMark/>
          </w:tcPr>
          <w:p w14:paraId="66094D46" w14:textId="53AE9384" w:rsidR="00D56D3E" w:rsidRPr="000B012F" w:rsidRDefault="00D56D3E" w:rsidP="00D56D3E">
            <w:pPr>
              <w:rPr>
                <w:rFonts w:asciiTheme="minorHAnsi" w:hAnsiTheme="minorHAnsi"/>
                <w:color w:val="000000"/>
                <w:sz w:val="20"/>
                <w:szCs w:val="20"/>
              </w:rPr>
            </w:pPr>
            <w:r w:rsidRPr="000B012F">
              <w:rPr>
                <w:rFonts w:asciiTheme="minorHAnsi" w:hAnsiTheme="minorHAnsi"/>
                <w:sz w:val="20"/>
                <w:szCs w:val="20"/>
              </w:rPr>
              <w:t>1.5-70% des femmes et jeunes filles victimes de VSBG pendant la période 2018-202</w:t>
            </w:r>
            <w:r w:rsidR="00FC05B7" w:rsidRPr="000B012F">
              <w:rPr>
                <w:rFonts w:asciiTheme="minorHAnsi" w:hAnsiTheme="minorHAnsi"/>
                <w:sz w:val="20"/>
                <w:szCs w:val="20"/>
              </w:rPr>
              <w:t>2</w:t>
            </w:r>
            <w:r w:rsidRPr="000B012F">
              <w:rPr>
                <w:rFonts w:asciiTheme="minorHAnsi" w:hAnsiTheme="minorHAnsi"/>
                <w:sz w:val="20"/>
                <w:szCs w:val="20"/>
              </w:rPr>
              <w:t xml:space="preserve"> ont bénéfici</w:t>
            </w:r>
            <w:r w:rsidRPr="000B012F">
              <w:rPr>
                <w:rFonts w:asciiTheme="minorHAnsi" w:hAnsiTheme="minorHAnsi" w:cs="Arial"/>
                <w:sz w:val="20"/>
                <w:szCs w:val="20"/>
              </w:rPr>
              <w:t>é</w:t>
            </w:r>
            <w:r w:rsidRPr="000B012F">
              <w:rPr>
                <w:rFonts w:asciiTheme="minorHAnsi" w:hAnsiTheme="minorHAnsi"/>
                <w:sz w:val="20"/>
                <w:szCs w:val="20"/>
              </w:rPr>
              <w:t xml:space="preserve"> d’une prise en charge holistique (sant</w:t>
            </w:r>
            <w:r w:rsidRPr="000B012F">
              <w:rPr>
                <w:rFonts w:asciiTheme="minorHAnsi" w:hAnsiTheme="minorHAnsi" w:cs="Arial"/>
                <w:sz w:val="20"/>
                <w:szCs w:val="20"/>
              </w:rPr>
              <w:t>é</w:t>
            </w:r>
            <w:r w:rsidRPr="000B012F">
              <w:rPr>
                <w:rFonts w:asciiTheme="minorHAnsi" w:hAnsiTheme="minorHAnsi"/>
                <w:sz w:val="20"/>
                <w:szCs w:val="20"/>
              </w:rPr>
              <w:t>, juridique et psychologique)</w:t>
            </w:r>
          </w:p>
        </w:tc>
      </w:tr>
      <w:tr w:rsidR="00D56D3E" w:rsidRPr="000B012F" w14:paraId="7D882CE8" w14:textId="77777777" w:rsidTr="00D56D3E">
        <w:trPr>
          <w:trHeight w:val="377"/>
        </w:trPr>
        <w:tc>
          <w:tcPr>
            <w:tcW w:w="1975" w:type="dxa"/>
            <w:gridSpan w:val="2"/>
            <w:tcBorders>
              <w:top w:val="single" w:sz="4" w:space="0" w:color="auto"/>
              <w:left w:val="single" w:sz="4" w:space="0" w:color="auto"/>
              <w:bottom w:val="single" w:sz="4" w:space="0" w:color="auto"/>
              <w:right w:val="single" w:sz="4" w:space="0" w:color="auto"/>
            </w:tcBorders>
            <w:shd w:val="clear" w:color="000000" w:fill="FF0000"/>
            <w:vAlign w:val="center"/>
            <w:hideMark/>
          </w:tcPr>
          <w:p w14:paraId="5ABB950B" w14:textId="77777777" w:rsidR="00D56D3E" w:rsidRPr="000B012F" w:rsidRDefault="00D56D3E" w:rsidP="00D56D3E">
            <w:pPr>
              <w:rPr>
                <w:rFonts w:asciiTheme="minorHAnsi" w:hAnsiTheme="minorHAnsi"/>
                <w:b/>
                <w:bCs/>
                <w:color w:val="FFFFFF"/>
                <w:sz w:val="20"/>
                <w:szCs w:val="20"/>
              </w:rPr>
            </w:pPr>
            <w:r w:rsidRPr="000B012F">
              <w:rPr>
                <w:rFonts w:asciiTheme="minorHAnsi" w:hAnsiTheme="minorHAnsi"/>
                <w:b/>
                <w:bCs/>
                <w:color w:val="FFFFFF"/>
                <w:sz w:val="20"/>
                <w:szCs w:val="20"/>
              </w:rPr>
              <w:t>Priorité -2</w:t>
            </w:r>
          </w:p>
        </w:tc>
        <w:tc>
          <w:tcPr>
            <w:tcW w:w="8018" w:type="dxa"/>
            <w:gridSpan w:val="2"/>
            <w:tcBorders>
              <w:top w:val="single" w:sz="4" w:space="0" w:color="auto"/>
              <w:left w:val="nil"/>
              <w:bottom w:val="single" w:sz="4" w:space="0" w:color="auto"/>
              <w:right w:val="single" w:sz="4" w:space="0" w:color="auto"/>
            </w:tcBorders>
            <w:shd w:val="clear" w:color="000000" w:fill="E7E6E6"/>
            <w:vAlign w:val="center"/>
            <w:hideMark/>
          </w:tcPr>
          <w:p w14:paraId="6951ADDF" w14:textId="77777777" w:rsidR="00D56D3E" w:rsidRPr="000B012F" w:rsidRDefault="00D56D3E" w:rsidP="00D56D3E">
            <w:pPr>
              <w:jc w:val="both"/>
              <w:rPr>
                <w:rFonts w:asciiTheme="minorHAnsi" w:hAnsiTheme="minorHAnsi"/>
                <w:color w:val="000000"/>
                <w:sz w:val="20"/>
                <w:szCs w:val="20"/>
              </w:rPr>
            </w:pPr>
            <w:r w:rsidRPr="000B012F">
              <w:rPr>
                <w:rFonts w:asciiTheme="minorHAnsi" w:hAnsiTheme="minorHAnsi"/>
                <w:color w:val="000000"/>
                <w:sz w:val="20"/>
                <w:szCs w:val="20"/>
              </w:rPr>
              <w:t>Réduire de manière très significative la mortalité chez les PVVIH</w:t>
            </w:r>
          </w:p>
        </w:tc>
      </w:tr>
      <w:tr w:rsidR="00D56D3E" w:rsidRPr="000B012F" w14:paraId="0AC3F990" w14:textId="77777777" w:rsidTr="00D56D3E">
        <w:trPr>
          <w:gridBefore w:val="1"/>
          <w:wBefore w:w="983" w:type="dxa"/>
          <w:trHeight w:val="320"/>
        </w:trPr>
        <w:tc>
          <w:tcPr>
            <w:tcW w:w="992"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C2FCBDF" w14:textId="77777777" w:rsidR="00D56D3E" w:rsidRPr="000B012F" w:rsidRDefault="00D56D3E" w:rsidP="00D56D3E">
            <w:pPr>
              <w:rPr>
                <w:rFonts w:asciiTheme="minorHAnsi" w:hAnsiTheme="minorHAnsi"/>
                <w:color w:val="FFFFFF"/>
                <w:sz w:val="20"/>
                <w:szCs w:val="20"/>
              </w:rPr>
            </w:pPr>
            <w:r w:rsidRPr="000B012F">
              <w:rPr>
                <w:rFonts w:asciiTheme="minorHAnsi" w:hAnsiTheme="minorHAnsi"/>
                <w:color w:val="FFFFFF"/>
                <w:sz w:val="20"/>
                <w:szCs w:val="20"/>
              </w:rPr>
              <w:t>Impact-2</w:t>
            </w:r>
          </w:p>
        </w:tc>
        <w:tc>
          <w:tcPr>
            <w:tcW w:w="8018" w:type="dxa"/>
            <w:gridSpan w:val="2"/>
            <w:tcBorders>
              <w:top w:val="single" w:sz="4" w:space="0" w:color="auto"/>
              <w:left w:val="nil"/>
              <w:bottom w:val="single" w:sz="4" w:space="0" w:color="auto"/>
              <w:right w:val="single" w:sz="4" w:space="0" w:color="auto"/>
            </w:tcBorders>
            <w:shd w:val="clear" w:color="000000" w:fill="E7E6E6"/>
            <w:vAlign w:val="center"/>
            <w:hideMark/>
          </w:tcPr>
          <w:p w14:paraId="00AD1324" w14:textId="4D4B7498" w:rsidR="00D56D3E" w:rsidRPr="000B012F" w:rsidRDefault="00377AC1" w:rsidP="00D56D3E">
            <w:pPr>
              <w:jc w:val="both"/>
              <w:rPr>
                <w:rFonts w:asciiTheme="minorHAnsi" w:hAnsiTheme="minorHAnsi"/>
                <w:color w:val="000000"/>
                <w:sz w:val="20"/>
                <w:szCs w:val="20"/>
              </w:rPr>
            </w:pPr>
            <w:r w:rsidRPr="000B012F">
              <w:rPr>
                <w:rFonts w:asciiTheme="minorHAnsi" w:hAnsiTheme="minorHAnsi"/>
                <w:color w:val="000000"/>
                <w:sz w:val="20"/>
                <w:szCs w:val="20"/>
              </w:rPr>
              <w:t>D’ici à fin 2022</w:t>
            </w:r>
            <w:r w:rsidR="00D56D3E" w:rsidRPr="000B012F">
              <w:rPr>
                <w:rFonts w:asciiTheme="minorHAnsi" w:hAnsiTheme="minorHAnsi"/>
                <w:color w:val="000000"/>
                <w:sz w:val="20"/>
                <w:szCs w:val="20"/>
              </w:rPr>
              <w:t xml:space="preserve">, </w:t>
            </w:r>
            <w:r w:rsidRPr="000B012F">
              <w:rPr>
                <w:rFonts w:asciiTheme="minorHAnsi" w:hAnsiTheme="minorHAnsi"/>
                <w:color w:val="000000"/>
                <w:sz w:val="20"/>
                <w:szCs w:val="20"/>
              </w:rPr>
              <w:t>La mortalité liée au VIH/sida est réduite d'au moins 62%</w:t>
            </w:r>
          </w:p>
        </w:tc>
      </w:tr>
      <w:tr w:rsidR="00D56D3E" w:rsidRPr="000B012F" w14:paraId="5BDF445C" w14:textId="77777777" w:rsidTr="00D56D3E">
        <w:trPr>
          <w:trHeight w:val="223"/>
        </w:trPr>
        <w:tc>
          <w:tcPr>
            <w:tcW w:w="983" w:type="dxa"/>
            <w:tcBorders>
              <w:top w:val="nil"/>
              <w:left w:val="nil"/>
              <w:bottom w:val="nil"/>
              <w:right w:val="nil"/>
            </w:tcBorders>
            <w:shd w:val="clear" w:color="000000" w:fill="FFFFFF"/>
            <w:noWrap/>
            <w:vAlign w:val="bottom"/>
            <w:hideMark/>
          </w:tcPr>
          <w:p w14:paraId="1B49C69C"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992" w:type="dxa"/>
            <w:tcBorders>
              <w:top w:val="nil"/>
              <w:left w:val="nil"/>
              <w:bottom w:val="nil"/>
              <w:right w:val="nil"/>
            </w:tcBorders>
            <w:shd w:val="clear" w:color="000000" w:fill="FFFFFF"/>
            <w:noWrap/>
            <w:vAlign w:val="bottom"/>
            <w:hideMark/>
          </w:tcPr>
          <w:p w14:paraId="7854FD9D"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8018" w:type="dxa"/>
            <w:gridSpan w:val="2"/>
            <w:tcBorders>
              <w:top w:val="single" w:sz="4" w:space="0" w:color="auto"/>
              <w:left w:val="single" w:sz="4" w:space="0" w:color="auto"/>
              <w:bottom w:val="single" w:sz="4" w:space="0" w:color="auto"/>
              <w:right w:val="single" w:sz="4" w:space="0" w:color="auto"/>
            </w:tcBorders>
            <w:shd w:val="clear" w:color="000000" w:fill="C5E0B3"/>
            <w:vAlign w:val="center"/>
            <w:hideMark/>
          </w:tcPr>
          <w:p w14:paraId="6F92554C" w14:textId="77777777" w:rsidR="00D56D3E" w:rsidRPr="000B012F" w:rsidRDefault="00D56D3E" w:rsidP="00D56D3E">
            <w:pPr>
              <w:rPr>
                <w:rFonts w:asciiTheme="minorHAnsi" w:hAnsiTheme="minorHAnsi"/>
                <w:b/>
                <w:bCs/>
                <w:color w:val="000000"/>
                <w:sz w:val="20"/>
                <w:szCs w:val="20"/>
              </w:rPr>
            </w:pPr>
            <w:r w:rsidRPr="000B012F">
              <w:rPr>
                <w:rFonts w:asciiTheme="minorHAnsi" w:hAnsiTheme="minorHAnsi"/>
                <w:b/>
                <w:bCs/>
                <w:color w:val="000000"/>
                <w:sz w:val="20"/>
                <w:szCs w:val="20"/>
              </w:rPr>
              <w:t>Effets</w:t>
            </w:r>
          </w:p>
        </w:tc>
      </w:tr>
      <w:tr w:rsidR="00D56D3E" w:rsidRPr="000B012F" w14:paraId="53D27080" w14:textId="77777777" w:rsidTr="00D56D3E">
        <w:trPr>
          <w:gridBefore w:val="1"/>
          <w:wBefore w:w="983" w:type="dxa"/>
          <w:trHeight w:val="560"/>
        </w:trPr>
        <w:tc>
          <w:tcPr>
            <w:tcW w:w="992" w:type="dxa"/>
            <w:tcBorders>
              <w:top w:val="nil"/>
              <w:left w:val="nil"/>
              <w:bottom w:val="nil"/>
              <w:right w:val="nil"/>
            </w:tcBorders>
            <w:shd w:val="clear" w:color="000000" w:fill="FFFFFF"/>
            <w:noWrap/>
            <w:vAlign w:val="bottom"/>
            <w:hideMark/>
          </w:tcPr>
          <w:p w14:paraId="1F4E7216"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nil"/>
              <w:left w:val="nil"/>
              <w:bottom w:val="nil"/>
              <w:right w:val="nil"/>
            </w:tcBorders>
            <w:shd w:val="clear" w:color="000000" w:fill="FFFFFF"/>
            <w:noWrap/>
            <w:vAlign w:val="bottom"/>
            <w:hideMark/>
          </w:tcPr>
          <w:p w14:paraId="1F7B88B7"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389C56" w14:textId="5958A931" w:rsidR="00D56D3E" w:rsidRPr="000B012F" w:rsidRDefault="00377AC1" w:rsidP="00D56D3E">
            <w:pPr>
              <w:jc w:val="both"/>
              <w:rPr>
                <w:rFonts w:asciiTheme="minorHAnsi" w:hAnsiTheme="minorHAnsi"/>
                <w:color w:val="000000"/>
                <w:sz w:val="20"/>
                <w:szCs w:val="20"/>
              </w:rPr>
            </w:pPr>
            <w:r w:rsidRPr="000B012F">
              <w:rPr>
                <w:rFonts w:asciiTheme="minorHAnsi" w:hAnsiTheme="minorHAnsi"/>
                <w:color w:val="000000"/>
                <w:sz w:val="20"/>
                <w:szCs w:val="20"/>
              </w:rPr>
              <w:t>2.1-75</w:t>
            </w:r>
            <w:r w:rsidR="00D56D3E" w:rsidRPr="000B012F">
              <w:rPr>
                <w:rFonts w:asciiTheme="minorHAnsi" w:hAnsiTheme="minorHAnsi"/>
                <w:color w:val="000000"/>
                <w:sz w:val="20"/>
                <w:szCs w:val="20"/>
              </w:rPr>
              <w:t>% des adultes et enfants vivant avec le VIH bénéficient d’une prise en charge médicale, psychologique,</w:t>
            </w:r>
            <w:r w:rsidRPr="000B012F">
              <w:rPr>
                <w:rFonts w:asciiTheme="minorHAnsi" w:hAnsiTheme="minorHAnsi"/>
                <w:color w:val="000000"/>
                <w:sz w:val="20"/>
                <w:szCs w:val="20"/>
              </w:rPr>
              <w:t xml:space="preserve"> sociale de qualité d’ici à 2022</w:t>
            </w:r>
          </w:p>
        </w:tc>
      </w:tr>
      <w:tr w:rsidR="00D56D3E" w:rsidRPr="000B012F" w14:paraId="3D27690E" w14:textId="77777777" w:rsidTr="00D56D3E">
        <w:trPr>
          <w:trHeight w:val="320"/>
        </w:trPr>
        <w:tc>
          <w:tcPr>
            <w:tcW w:w="983" w:type="dxa"/>
            <w:tcBorders>
              <w:top w:val="nil"/>
              <w:left w:val="nil"/>
              <w:bottom w:val="nil"/>
              <w:right w:val="nil"/>
            </w:tcBorders>
            <w:shd w:val="clear" w:color="000000" w:fill="FFFFFF"/>
            <w:noWrap/>
            <w:vAlign w:val="bottom"/>
            <w:hideMark/>
          </w:tcPr>
          <w:p w14:paraId="4B32AF7F"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992" w:type="dxa"/>
            <w:tcBorders>
              <w:top w:val="nil"/>
              <w:left w:val="nil"/>
              <w:bottom w:val="nil"/>
              <w:right w:val="nil"/>
            </w:tcBorders>
            <w:shd w:val="clear" w:color="000000" w:fill="FFFFFF"/>
            <w:noWrap/>
            <w:vAlign w:val="bottom"/>
            <w:hideMark/>
          </w:tcPr>
          <w:p w14:paraId="72838289"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nil"/>
              <w:left w:val="nil"/>
              <w:bottom w:val="nil"/>
              <w:right w:val="nil"/>
            </w:tcBorders>
            <w:shd w:val="clear" w:color="000000" w:fill="FFFFFF"/>
            <w:noWrap/>
            <w:vAlign w:val="bottom"/>
            <w:hideMark/>
          </w:tcPr>
          <w:p w14:paraId="3A33B516"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nil"/>
              <w:left w:val="single" w:sz="4" w:space="0" w:color="auto"/>
              <w:bottom w:val="single" w:sz="4" w:space="0" w:color="auto"/>
              <w:right w:val="single" w:sz="4" w:space="0" w:color="auto"/>
            </w:tcBorders>
            <w:shd w:val="clear" w:color="000000" w:fill="FFFFFF"/>
            <w:vAlign w:val="center"/>
            <w:hideMark/>
          </w:tcPr>
          <w:p w14:paraId="6CB6D572" w14:textId="68495B7A" w:rsidR="00D56D3E" w:rsidRPr="000B012F" w:rsidRDefault="00D56D3E" w:rsidP="00D56D3E">
            <w:pPr>
              <w:jc w:val="both"/>
              <w:rPr>
                <w:rFonts w:asciiTheme="minorHAnsi" w:hAnsiTheme="minorHAnsi"/>
                <w:color w:val="000000"/>
                <w:sz w:val="20"/>
                <w:szCs w:val="20"/>
              </w:rPr>
            </w:pPr>
            <w:r w:rsidRPr="000B012F">
              <w:rPr>
                <w:rFonts w:asciiTheme="minorHAnsi" w:hAnsiTheme="minorHAnsi"/>
                <w:color w:val="000000"/>
                <w:sz w:val="20"/>
                <w:szCs w:val="20"/>
              </w:rPr>
              <w:t xml:space="preserve">2.2-Le taux de décès chez les patients </w:t>
            </w:r>
            <w:r w:rsidR="00377AC1" w:rsidRPr="000B012F">
              <w:rPr>
                <w:rFonts w:asciiTheme="minorHAnsi" w:hAnsiTheme="minorHAnsi"/>
                <w:color w:val="000000"/>
                <w:sz w:val="20"/>
                <w:szCs w:val="20"/>
              </w:rPr>
              <w:t>coïnfect</w:t>
            </w:r>
            <w:r w:rsidR="00377AC1" w:rsidRPr="000B012F">
              <w:rPr>
                <w:rFonts w:asciiTheme="minorHAnsi" w:hAnsiTheme="minorHAnsi" w:cs="Arial"/>
                <w:color w:val="000000"/>
                <w:sz w:val="20"/>
                <w:szCs w:val="20"/>
              </w:rPr>
              <w:t>é</w:t>
            </w:r>
            <w:r w:rsidR="00377AC1" w:rsidRPr="000B012F">
              <w:rPr>
                <w:rFonts w:asciiTheme="minorHAnsi" w:hAnsiTheme="minorHAnsi"/>
                <w:color w:val="000000"/>
                <w:sz w:val="20"/>
                <w:szCs w:val="20"/>
              </w:rPr>
              <w:t>s</w:t>
            </w:r>
            <w:r w:rsidRPr="000B012F">
              <w:rPr>
                <w:rFonts w:asciiTheme="minorHAnsi" w:hAnsiTheme="minorHAnsi"/>
                <w:color w:val="000000"/>
                <w:sz w:val="20"/>
                <w:szCs w:val="20"/>
              </w:rPr>
              <w:t xml:space="preserve"> TB/VIH est réduit de 70% d’ici </w:t>
            </w:r>
            <w:r w:rsidRPr="000B012F">
              <w:rPr>
                <w:rFonts w:asciiTheme="minorHAnsi" w:hAnsiTheme="minorHAnsi" w:cs="Arial"/>
                <w:color w:val="000000"/>
                <w:sz w:val="20"/>
                <w:szCs w:val="20"/>
              </w:rPr>
              <w:t>à</w:t>
            </w:r>
            <w:r w:rsidR="00FC05B7" w:rsidRPr="000B012F">
              <w:rPr>
                <w:rFonts w:asciiTheme="minorHAnsi" w:hAnsiTheme="minorHAnsi"/>
                <w:color w:val="000000"/>
                <w:sz w:val="20"/>
                <w:szCs w:val="20"/>
              </w:rPr>
              <w:t xml:space="preserve"> fin 2022</w:t>
            </w:r>
          </w:p>
        </w:tc>
      </w:tr>
      <w:tr w:rsidR="00377AC1" w:rsidRPr="000B012F" w14:paraId="06167D35" w14:textId="77777777" w:rsidTr="00377AC1">
        <w:trPr>
          <w:trHeight w:val="320"/>
        </w:trPr>
        <w:tc>
          <w:tcPr>
            <w:tcW w:w="983" w:type="dxa"/>
            <w:tcBorders>
              <w:top w:val="nil"/>
              <w:left w:val="nil"/>
              <w:right w:val="nil"/>
            </w:tcBorders>
            <w:shd w:val="clear" w:color="000000" w:fill="FFFFFF"/>
            <w:noWrap/>
            <w:vAlign w:val="bottom"/>
          </w:tcPr>
          <w:p w14:paraId="573A8581" w14:textId="77777777" w:rsidR="00377AC1" w:rsidRPr="000B012F" w:rsidRDefault="00377AC1" w:rsidP="00D56D3E">
            <w:pPr>
              <w:rPr>
                <w:rFonts w:asciiTheme="minorHAnsi" w:hAnsiTheme="minorHAnsi"/>
                <w:color w:val="000000"/>
                <w:sz w:val="20"/>
                <w:szCs w:val="20"/>
              </w:rPr>
            </w:pPr>
          </w:p>
        </w:tc>
        <w:tc>
          <w:tcPr>
            <w:tcW w:w="992" w:type="dxa"/>
            <w:tcBorders>
              <w:top w:val="nil"/>
              <w:left w:val="nil"/>
              <w:right w:val="nil"/>
            </w:tcBorders>
            <w:shd w:val="clear" w:color="000000" w:fill="FFFFFF"/>
            <w:noWrap/>
            <w:vAlign w:val="bottom"/>
          </w:tcPr>
          <w:p w14:paraId="7B20882B" w14:textId="77777777" w:rsidR="00377AC1" w:rsidRPr="000B012F" w:rsidRDefault="00377AC1" w:rsidP="00D56D3E">
            <w:pPr>
              <w:rPr>
                <w:rFonts w:asciiTheme="minorHAnsi" w:hAnsiTheme="minorHAnsi"/>
                <w:color w:val="000000"/>
                <w:sz w:val="20"/>
                <w:szCs w:val="20"/>
              </w:rPr>
            </w:pPr>
          </w:p>
        </w:tc>
        <w:tc>
          <w:tcPr>
            <w:tcW w:w="584" w:type="dxa"/>
            <w:tcBorders>
              <w:top w:val="nil"/>
              <w:left w:val="nil"/>
              <w:right w:val="nil"/>
            </w:tcBorders>
            <w:shd w:val="clear" w:color="000000" w:fill="FFFFFF"/>
            <w:noWrap/>
            <w:vAlign w:val="bottom"/>
          </w:tcPr>
          <w:p w14:paraId="2A14D674" w14:textId="77777777" w:rsidR="00377AC1" w:rsidRPr="000B012F" w:rsidRDefault="00377AC1" w:rsidP="00D56D3E">
            <w:pPr>
              <w:rPr>
                <w:rFonts w:asciiTheme="minorHAnsi" w:hAnsiTheme="minorHAnsi"/>
                <w:color w:val="000000"/>
                <w:sz w:val="20"/>
                <w:szCs w:val="20"/>
              </w:rPr>
            </w:pPr>
          </w:p>
        </w:tc>
        <w:tc>
          <w:tcPr>
            <w:tcW w:w="7434" w:type="dxa"/>
            <w:tcBorders>
              <w:top w:val="nil"/>
              <w:left w:val="single" w:sz="4" w:space="0" w:color="auto"/>
              <w:bottom w:val="single" w:sz="4" w:space="0" w:color="auto"/>
              <w:right w:val="single" w:sz="4" w:space="0" w:color="auto"/>
            </w:tcBorders>
            <w:shd w:val="clear" w:color="000000" w:fill="FFFFFF"/>
            <w:vAlign w:val="center"/>
          </w:tcPr>
          <w:p w14:paraId="7C73EB4A" w14:textId="41C11091" w:rsidR="00377AC1" w:rsidRPr="000B012F" w:rsidRDefault="00377AC1" w:rsidP="00D56D3E">
            <w:pPr>
              <w:jc w:val="both"/>
              <w:rPr>
                <w:rFonts w:asciiTheme="minorHAnsi" w:hAnsiTheme="minorHAnsi"/>
                <w:color w:val="000000"/>
                <w:sz w:val="20"/>
                <w:szCs w:val="20"/>
              </w:rPr>
            </w:pPr>
            <w:r w:rsidRPr="000B012F">
              <w:rPr>
                <w:rFonts w:asciiTheme="minorHAnsi" w:hAnsiTheme="minorHAnsi"/>
                <w:color w:val="000000"/>
                <w:sz w:val="20"/>
                <w:szCs w:val="20"/>
              </w:rPr>
              <w:t>2.3-90% des PVVIH sous ARV ont une charge virale indétectable à 12 mois en 2022</w:t>
            </w:r>
          </w:p>
        </w:tc>
      </w:tr>
      <w:tr w:rsidR="00377AC1" w:rsidRPr="000B012F" w14:paraId="20CE0DE7" w14:textId="77777777" w:rsidTr="00377AC1">
        <w:trPr>
          <w:trHeight w:val="560"/>
        </w:trPr>
        <w:tc>
          <w:tcPr>
            <w:tcW w:w="983" w:type="dxa"/>
            <w:tcBorders>
              <w:left w:val="nil"/>
              <w:bottom w:val="single" w:sz="4" w:space="0" w:color="auto"/>
              <w:right w:val="nil"/>
            </w:tcBorders>
            <w:shd w:val="clear" w:color="000000" w:fill="FFFFFF"/>
            <w:noWrap/>
            <w:vAlign w:val="bottom"/>
          </w:tcPr>
          <w:p w14:paraId="55EF7EE5" w14:textId="77777777" w:rsidR="00377AC1" w:rsidRPr="000B012F" w:rsidRDefault="00377AC1" w:rsidP="00D56D3E">
            <w:pPr>
              <w:rPr>
                <w:rFonts w:asciiTheme="minorHAnsi" w:hAnsiTheme="minorHAnsi"/>
                <w:color w:val="000000"/>
                <w:sz w:val="20"/>
                <w:szCs w:val="20"/>
              </w:rPr>
            </w:pPr>
          </w:p>
        </w:tc>
        <w:tc>
          <w:tcPr>
            <w:tcW w:w="992" w:type="dxa"/>
            <w:tcBorders>
              <w:left w:val="nil"/>
              <w:bottom w:val="single" w:sz="4" w:space="0" w:color="auto"/>
              <w:right w:val="nil"/>
            </w:tcBorders>
            <w:shd w:val="clear" w:color="000000" w:fill="FFFFFF"/>
            <w:noWrap/>
            <w:vAlign w:val="bottom"/>
          </w:tcPr>
          <w:p w14:paraId="5FE3EA0F" w14:textId="77777777" w:rsidR="00377AC1" w:rsidRPr="000B012F" w:rsidRDefault="00377AC1" w:rsidP="00D56D3E">
            <w:pPr>
              <w:rPr>
                <w:rFonts w:asciiTheme="minorHAnsi" w:hAnsiTheme="minorHAnsi"/>
                <w:color w:val="000000"/>
                <w:sz w:val="20"/>
                <w:szCs w:val="20"/>
              </w:rPr>
            </w:pPr>
          </w:p>
        </w:tc>
        <w:tc>
          <w:tcPr>
            <w:tcW w:w="584" w:type="dxa"/>
            <w:tcBorders>
              <w:left w:val="nil"/>
              <w:bottom w:val="single" w:sz="4" w:space="0" w:color="auto"/>
              <w:right w:val="nil"/>
            </w:tcBorders>
            <w:shd w:val="clear" w:color="000000" w:fill="FFFFFF"/>
            <w:noWrap/>
            <w:vAlign w:val="bottom"/>
          </w:tcPr>
          <w:p w14:paraId="45973D9B" w14:textId="77777777" w:rsidR="00377AC1" w:rsidRPr="000B012F" w:rsidRDefault="00377AC1" w:rsidP="00D56D3E">
            <w:pPr>
              <w:rPr>
                <w:rFonts w:asciiTheme="minorHAnsi" w:hAnsiTheme="minorHAnsi"/>
                <w:color w:val="000000"/>
                <w:sz w:val="20"/>
                <w:szCs w:val="20"/>
              </w:rPr>
            </w:pPr>
          </w:p>
        </w:tc>
        <w:tc>
          <w:tcPr>
            <w:tcW w:w="7434" w:type="dxa"/>
            <w:tcBorders>
              <w:top w:val="nil"/>
              <w:left w:val="single" w:sz="4" w:space="0" w:color="auto"/>
              <w:bottom w:val="single" w:sz="4" w:space="0" w:color="auto"/>
              <w:right w:val="single" w:sz="4" w:space="0" w:color="auto"/>
            </w:tcBorders>
            <w:shd w:val="clear" w:color="000000" w:fill="FFFFFF"/>
            <w:vAlign w:val="center"/>
          </w:tcPr>
          <w:p w14:paraId="56233C53" w14:textId="32A5A2C9" w:rsidR="00377AC1" w:rsidRPr="000B012F" w:rsidRDefault="00693A25" w:rsidP="00D56D3E">
            <w:pPr>
              <w:jc w:val="both"/>
              <w:rPr>
                <w:rFonts w:asciiTheme="minorHAnsi" w:hAnsiTheme="minorHAnsi"/>
                <w:color w:val="000000"/>
                <w:sz w:val="20"/>
                <w:szCs w:val="20"/>
              </w:rPr>
            </w:pPr>
            <w:r w:rsidRPr="000B012F">
              <w:rPr>
                <w:rFonts w:asciiTheme="minorHAnsi" w:hAnsiTheme="minorHAnsi"/>
                <w:color w:val="000000"/>
                <w:sz w:val="20"/>
                <w:szCs w:val="20"/>
              </w:rPr>
              <w:t>2.4</w:t>
            </w:r>
            <w:r w:rsidR="00377AC1" w:rsidRPr="000B012F">
              <w:rPr>
                <w:rFonts w:asciiTheme="minorHAnsi" w:hAnsiTheme="minorHAnsi"/>
                <w:color w:val="000000"/>
                <w:sz w:val="20"/>
                <w:szCs w:val="20"/>
              </w:rPr>
              <w:t>-Au moins 90% des adultes de 15-49 ans, y compris les prestataires de soins et de services ont des attitudes de non- stigmatisation et non- discrimination à l’égard des PVVIH d’ici à fin 2022</w:t>
            </w:r>
          </w:p>
        </w:tc>
      </w:tr>
      <w:tr w:rsidR="00D56D3E" w:rsidRPr="000B012F" w14:paraId="523F9EFC" w14:textId="77777777" w:rsidTr="00D56D3E">
        <w:trPr>
          <w:trHeight w:val="560"/>
        </w:trPr>
        <w:tc>
          <w:tcPr>
            <w:tcW w:w="1975" w:type="dxa"/>
            <w:gridSpan w:val="2"/>
            <w:tcBorders>
              <w:top w:val="single" w:sz="4" w:space="0" w:color="auto"/>
              <w:left w:val="single" w:sz="4" w:space="0" w:color="auto"/>
              <w:bottom w:val="single" w:sz="4" w:space="0" w:color="auto"/>
              <w:right w:val="single" w:sz="4" w:space="0" w:color="auto"/>
            </w:tcBorders>
            <w:shd w:val="clear" w:color="000000" w:fill="FF0000"/>
            <w:vAlign w:val="center"/>
            <w:hideMark/>
          </w:tcPr>
          <w:p w14:paraId="567A2723" w14:textId="7714912C" w:rsidR="00D56D3E" w:rsidRPr="000B012F" w:rsidRDefault="009A2265" w:rsidP="00D56D3E">
            <w:pPr>
              <w:rPr>
                <w:rFonts w:asciiTheme="minorHAnsi" w:hAnsiTheme="minorHAnsi"/>
                <w:b/>
                <w:bCs/>
                <w:color w:val="FFFFFF"/>
                <w:sz w:val="20"/>
                <w:szCs w:val="20"/>
              </w:rPr>
            </w:pPr>
            <w:r w:rsidRPr="000B012F">
              <w:rPr>
                <w:rFonts w:asciiTheme="minorHAnsi" w:hAnsiTheme="minorHAnsi"/>
                <w:b/>
                <w:bCs/>
                <w:color w:val="FFFFFF"/>
                <w:sz w:val="20"/>
                <w:szCs w:val="20"/>
              </w:rPr>
              <w:t>Priorité -3</w:t>
            </w:r>
          </w:p>
        </w:tc>
        <w:tc>
          <w:tcPr>
            <w:tcW w:w="8018" w:type="dxa"/>
            <w:gridSpan w:val="2"/>
            <w:tcBorders>
              <w:top w:val="single" w:sz="4" w:space="0" w:color="auto"/>
              <w:left w:val="nil"/>
              <w:bottom w:val="single" w:sz="4" w:space="0" w:color="auto"/>
              <w:right w:val="single" w:sz="4" w:space="0" w:color="auto"/>
            </w:tcBorders>
            <w:shd w:val="clear" w:color="000000" w:fill="E7E6E6"/>
            <w:vAlign w:val="center"/>
            <w:hideMark/>
          </w:tcPr>
          <w:p w14:paraId="273C601A" w14:textId="77777777" w:rsidR="00D56D3E" w:rsidRPr="000B012F" w:rsidRDefault="00D56D3E" w:rsidP="00D56D3E">
            <w:pPr>
              <w:jc w:val="both"/>
              <w:rPr>
                <w:rFonts w:asciiTheme="minorHAnsi" w:hAnsiTheme="minorHAnsi"/>
                <w:color w:val="000000"/>
                <w:sz w:val="20"/>
                <w:szCs w:val="20"/>
              </w:rPr>
            </w:pPr>
            <w:r w:rsidRPr="000B012F">
              <w:rPr>
                <w:rFonts w:asciiTheme="minorHAnsi" w:hAnsiTheme="minorHAnsi"/>
                <w:color w:val="000000"/>
                <w:sz w:val="20"/>
                <w:szCs w:val="20"/>
              </w:rPr>
              <w:t>Renforcer la gouvernance et la résilience de la riposte au sida pour des meilleures réponses locales et pour la disponibilité de l’information stratégique</w:t>
            </w:r>
          </w:p>
        </w:tc>
      </w:tr>
      <w:tr w:rsidR="00D56D3E" w:rsidRPr="000B012F" w14:paraId="4DD61F4A" w14:textId="77777777" w:rsidTr="00D56D3E">
        <w:trPr>
          <w:gridBefore w:val="1"/>
          <w:wBefore w:w="983" w:type="dxa"/>
          <w:trHeight w:val="560"/>
        </w:trPr>
        <w:tc>
          <w:tcPr>
            <w:tcW w:w="992"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6DC305B5" w14:textId="0AA62013" w:rsidR="00D56D3E" w:rsidRPr="000B012F" w:rsidRDefault="00D56D3E" w:rsidP="00D56D3E">
            <w:pPr>
              <w:rPr>
                <w:rFonts w:asciiTheme="minorHAnsi" w:hAnsiTheme="minorHAnsi"/>
                <w:color w:val="FFFFFF"/>
                <w:sz w:val="20"/>
                <w:szCs w:val="20"/>
              </w:rPr>
            </w:pPr>
            <w:r w:rsidRPr="000B012F">
              <w:rPr>
                <w:rFonts w:asciiTheme="minorHAnsi" w:hAnsiTheme="minorHAnsi"/>
                <w:color w:val="FFFFFF"/>
                <w:sz w:val="20"/>
                <w:szCs w:val="20"/>
              </w:rPr>
              <w:t>Impact-</w:t>
            </w:r>
            <w:r w:rsidR="006D7655" w:rsidRPr="000B012F">
              <w:rPr>
                <w:rFonts w:asciiTheme="minorHAnsi" w:hAnsiTheme="minorHAnsi"/>
                <w:color w:val="FFFFFF"/>
                <w:sz w:val="20"/>
                <w:szCs w:val="20"/>
              </w:rPr>
              <w:t>3</w:t>
            </w:r>
          </w:p>
        </w:tc>
        <w:tc>
          <w:tcPr>
            <w:tcW w:w="8018" w:type="dxa"/>
            <w:gridSpan w:val="2"/>
            <w:tcBorders>
              <w:top w:val="single" w:sz="4" w:space="0" w:color="auto"/>
              <w:left w:val="nil"/>
              <w:bottom w:val="single" w:sz="4" w:space="0" w:color="auto"/>
              <w:right w:val="single" w:sz="4" w:space="0" w:color="auto"/>
            </w:tcBorders>
            <w:shd w:val="clear" w:color="000000" w:fill="E7E6E6"/>
            <w:vAlign w:val="center"/>
            <w:hideMark/>
          </w:tcPr>
          <w:p w14:paraId="6DBEDAA0" w14:textId="45EA23AD" w:rsidR="00D56D3E" w:rsidRPr="000B012F" w:rsidRDefault="00D56D3E" w:rsidP="00D56D3E">
            <w:pPr>
              <w:jc w:val="both"/>
              <w:rPr>
                <w:rFonts w:asciiTheme="minorHAnsi" w:hAnsiTheme="minorHAnsi"/>
                <w:color w:val="000000"/>
                <w:sz w:val="20"/>
                <w:szCs w:val="20"/>
              </w:rPr>
            </w:pPr>
            <w:r w:rsidRPr="000B012F">
              <w:rPr>
                <w:rFonts w:asciiTheme="minorHAnsi" w:hAnsiTheme="minorHAnsi"/>
                <w:color w:val="000000"/>
                <w:sz w:val="20"/>
                <w:szCs w:val="20"/>
              </w:rPr>
              <w:t xml:space="preserve">Les systèmes de </w:t>
            </w:r>
            <w:r w:rsidR="001F16DF" w:rsidRPr="000B012F">
              <w:rPr>
                <w:rFonts w:asciiTheme="minorHAnsi" w:hAnsiTheme="minorHAnsi"/>
                <w:color w:val="000000"/>
                <w:sz w:val="20"/>
                <w:szCs w:val="20"/>
              </w:rPr>
              <w:t>gestion, de suivi évaluation</w:t>
            </w:r>
            <w:r w:rsidRPr="000B012F">
              <w:rPr>
                <w:rFonts w:asciiTheme="minorHAnsi" w:hAnsiTheme="minorHAnsi"/>
                <w:color w:val="000000"/>
                <w:sz w:val="20"/>
                <w:szCs w:val="20"/>
              </w:rPr>
              <w:t xml:space="preserve">, </w:t>
            </w:r>
            <w:r w:rsidR="0096743B" w:rsidRPr="000B012F">
              <w:rPr>
                <w:rFonts w:asciiTheme="minorHAnsi" w:hAnsiTheme="minorHAnsi"/>
                <w:color w:val="000000"/>
                <w:sz w:val="20"/>
                <w:szCs w:val="20"/>
              </w:rPr>
              <w:t>de</w:t>
            </w:r>
            <w:r w:rsidRPr="000B012F">
              <w:rPr>
                <w:rFonts w:asciiTheme="minorHAnsi" w:hAnsiTheme="minorHAnsi"/>
                <w:color w:val="000000"/>
                <w:sz w:val="20"/>
                <w:szCs w:val="20"/>
              </w:rPr>
              <w:t xml:space="preserve"> coordination et </w:t>
            </w:r>
            <w:r w:rsidR="0096743B" w:rsidRPr="000B012F">
              <w:rPr>
                <w:rFonts w:asciiTheme="minorHAnsi" w:hAnsiTheme="minorHAnsi"/>
                <w:color w:val="000000"/>
                <w:sz w:val="20"/>
                <w:szCs w:val="20"/>
              </w:rPr>
              <w:t>de</w:t>
            </w:r>
            <w:r w:rsidRPr="000B012F">
              <w:rPr>
                <w:rFonts w:asciiTheme="minorHAnsi" w:hAnsiTheme="minorHAnsi"/>
                <w:color w:val="000000"/>
                <w:sz w:val="20"/>
                <w:szCs w:val="20"/>
              </w:rPr>
              <w:t xml:space="preserve"> gouvernance de la réponse au VIH sont renforcés et résilients d’ici à fin 202</w:t>
            </w:r>
            <w:r w:rsidR="009A2265" w:rsidRPr="000B012F">
              <w:rPr>
                <w:rFonts w:asciiTheme="minorHAnsi" w:hAnsiTheme="minorHAnsi"/>
                <w:color w:val="000000"/>
                <w:sz w:val="20"/>
                <w:szCs w:val="20"/>
              </w:rPr>
              <w:t>2</w:t>
            </w:r>
          </w:p>
        </w:tc>
      </w:tr>
      <w:tr w:rsidR="00D56D3E" w:rsidRPr="000B012F" w14:paraId="6E7E3945" w14:textId="77777777" w:rsidTr="00D56D3E">
        <w:trPr>
          <w:trHeight w:val="223"/>
        </w:trPr>
        <w:tc>
          <w:tcPr>
            <w:tcW w:w="983" w:type="dxa"/>
            <w:tcBorders>
              <w:top w:val="nil"/>
              <w:left w:val="nil"/>
              <w:bottom w:val="nil"/>
              <w:right w:val="nil"/>
            </w:tcBorders>
            <w:shd w:val="clear" w:color="000000" w:fill="FFFFFF"/>
            <w:noWrap/>
            <w:vAlign w:val="bottom"/>
            <w:hideMark/>
          </w:tcPr>
          <w:p w14:paraId="2A7B3AC4"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992" w:type="dxa"/>
            <w:tcBorders>
              <w:top w:val="nil"/>
              <w:left w:val="nil"/>
              <w:bottom w:val="nil"/>
              <w:right w:val="nil"/>
            </w:tcBorders>
            <w:shd w:val="clear" w:color="000000" w:fill="FFFFFF"/>
            <w:noWrap/>
            <w:vAlign w:val="bottom"/>
            <w:hideMark/>
          </w:tcPr>
          <w:p w14:paraId="548A45B9"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8018" w:type="dxa"/>
            <w:gridSpan w:val="2"/>
            <w:tcBorders>
              <w:top w:val="single" w:sz="4" w:space="0" w:color="auto"/>
              <w:left w:val="single" w:sz="4" w:space="0" w:color="auto"/>
              <w:bottom w:val="single" w:sz="4" w:space="0" w:color="auto"/>
              <w:right w:val="single" w:sz="4" w:space="0" w:color="auto"/>
            </w:tcBorders>
            <w:shd w:val="clear" w:color="000000" w:fill="C5E0B3"/>
            <w:vAlign w:val="center"/>
            <w:hideMark/>
          </w:tcPr>
          <w:p w14:paraId="57A19FD9" w14:textId="77777777" w:rsidR="00D56D3E" w:rsidRPr="000B012F" w:rsidRDefault="00D56D3E" w:rsidP="00D56D3E">
            <w:pPr>
              <w:rPr>
                <w:rFonts w:asciiTheme="minorHAnsi" w:hAnsiTheme="minorHAnsi"/>
                <w:b/>
                <w:bCs/>
                <w:color w:val="000000"/>
                <w:sz w:val="20"/>
                <w:szCs w:val="20"/>
              </w:rPr>
            </w:pPr>
            <w:r w:rsidRPr="000B012F">
              <w:rPr>
                <w:rFonts w:asciiTheme="minorHAnsi" w:hAnsiTheme="minorHAnsi"/>
                <w:b/>
                <w:bCs/>
                <w:color w:val="000000"/>
                <w:sz w:val="20"/>
                <w:szCs w:val="20"/>
              </w:rPr>
              <w:t>Effets</w:t>
            </w:r>
          </w:p>
        </w:tc>
      </w:tr>
      <w:tr w:rsidR="00D56D3E" w:rsidRPr="000B012F" w14:paraId="5F2A7EDC" w14:textId="77777777" w:rsidTr="00D56D3E">
        <w:trPr>
          <w:trHeight w:val="320"/>
        </w:trPr>
        <w:tc>
          <w:tcPr>
            <w:tcW w:w="983" w:type="dxa"/>
            <w:tcBorders>
              <w:top w:val="nil"/>
              <w:left w:val="nil"/>
              <w:bottom w:val="nil"/>
              <w:right w:val="nil"/>
            </w:tcBorders>
            <w:shd w:val="clear" w:color="000000" w:fill="FFFFFF"/>
            <w:noWrap/>
            <w:vAlign w:val="bottom"/>
            <w:hideMark/>
          </w:tcPr>
          <w:p w14:paraId="7B680C6A"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992" w:type="dxa"/>
            <w:tcBorders>
              <w:top w:val="nil"/>
              <w:left w:val="nil"/>
              <w:bottom w:val="nil"/>
              <w:right w:val="nil"/>
            </w:tcBorders>
            <w:shd w:val="clear" w:color="000000" w:fill="FFFFFF"/>
            <w:noWrap/>
            <w:vAlign w:val="bottom"/>
            <w:hideMark/>
          </w:tcPr>
          <w:p w14:paraId="61B1448E"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single" w:sz="4" w:space="0" w:color="auto"/>
              <w:left w:val="nil"/>
              <w:bottom w:val="nil"/>
              <w:right w:val="nil"/>
            </w:tcBorders>
            <w:shd w:val="clear" w:color="000000" w:fill="FFFFFF"/>
            <w:noWrap/>
            <w:vAlign w:val="bottom"/>
            <w:hideMark/>
          </w:tcPr>
          <w:p w14:paraId="689FD3C6"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8C4B1D" w14:textId="21E02014" w:rsidR="00D56D3E" w:rsidRPr="000B012F" w:rsidRDefault="001F16DF" w:rsidP="00D56D3E">
            <w:pPr>
              <w:jc w:val="both"/>
              <w:rPr>
                <w:rFonts w:asciiTheme="minorHAnsi" w:hAnsiTheme="minorHAnsi"/>
                <w:color w:val="000000"/>
                <w:sz w:val="20"/>
                <w:szCs w:val="20"/>
              </w:rPr>
            </w:pPr>
            <w:r w:rsidRPr="000B012F">
              <w:rPr>
                <w:rFonts w:asciiTheme="minorHAnsi" w:hAnsiTheme="minorHAnsi"/>
                <w:color w:val="000000"/>
                <w:sz w:val="20"/>
                <w:szCs w:val="20"/>
              </w:rPr>
              <w:t>3</w:t>
            </w:r>
            <w:r w:rsidR="00D56D3E" w:rsidRPr="000B012F">
              <w:rPr>
                <w:rFonts w:asciiTheme="minorHAnsi" w:hAnsiTheme="minorHAnsi"/>
                <w:color w:val="000000"/>
                <w:sz w:val="20"/>
                <w:szCs w:val="20"/>
              </w:rPr>
              <w:t xml:space="preserve">.1-D’ici </w:t>
            </w:r>
            <w:r w:rsidR="00D56D3E" w:rsidRPr="000B012F">
              <w:rPr>
                <w:rFonts w:asciiTheme="minorHAnsi" w:hAnsiTheme="minorHAnsi" w:cs="Arial"/>
                <w:color w:val="000000"/>
                <w:sz w:val="20"/>
                <w:szCs w:val="20"/>
              </w:rPr>
              <w:t>à</w:t>
            </w:r>
            <w:r w:rsidRPr="000B012F">
              <w:rPr>
                <w:rFonts w:asciiTheme="minorHAnsi" w:hAnsiTheme="minorHAnsi"/>
                <w:color w:val="000000"/>
                <w:sz w:val="20"/>
                <w:szCs w:val="20"/>
              </w:rPr>
              <w:t xml:space="preserve"> fin 2022, le taux d’exécution financière</w:t>
            </w:r>
            <w:r w:rsidR="00D56D3E" w:rsidRPr="000B012F">
              <w:rPr>
                <w:rFonts w:asciiTheme="minorHAnsi" w:hAnsiTheme="minorHAnsi"/>
                <w:color w:val="000000"/>
                <w:sz w:val="20"/>
                <w:szCs w:val="20"/>
              </w:rPr>
              <w:t xml:space="preserve"> du PSN est supérieur </w:t>
            </w:r>
            <w:r w:rsidR="00D56D3E" w:rsidRPr="000B012F">
              <w:rPr>
                <w:rFonts w:asciiTheme="minorHAnsi" w:hAnsiTheme="minorHAnsi" w:cs="Arial"/>
                <w:color w:val="000000"/>
                <w:sz w:val="20"/>
                <w:szCs w:val="20"/>
              </w:rPr>
              <w:t>à</w:t>
            </w:r>
            <w:r w:rsidRPr="000B012F">
              <w:rPr>
                <w:rFonts w:asciiTheme="minorHAnsi" w:hAnsiTheme="minorHAnsi"/>
                <w:color w:val="000000"/>
                <w:sz w:val="20"/>
                <w:szCs w:val="20"/>
              </w:rPr>
              <w:t xml:space="preserve"> 80</w:t>
            </w:r>
            <w:r w:rsidR="00D56D3E" w:rsidRPr="000B012F">
              <w:rPr>
                <w:rFonts w:asciiTheme="minorHAnsi" w:hAnsiTheme="minorHAnsi"/>
                <w:color w:val="000000"/>
                <w:sz w:val="20"/>
                <w:szCs w:val="20"/>
              </w:rPr>
              <w:t>%</w:t>
            </w:r>
          </w:p>
        </w:tc>
      </w:tr>
      <w:tr w:rsidR="00D56D3E" w:rsidRPr="000B012F" w14:paraId="6856DFED" w14:textId="77777777" w:rsidTr="00D56D3E">
        <w:trPr>
          <w:trHeight w:val="320"/>
        </w:trPr>
        <w:tc>
          <w:tcPr>
            <w:tcW w:w="983" w:type="dxa"/>
            <w:tcBorders>
              <w:top w:val="nil"/>
              <w:left w:val="nil"/>
              <w:bottom w:val="nil"/>
              <w:right w:val="nil"/>
            </w:tcBorders>
            <w:shd w:val="clear" w:color="000000" w:fill="FFFFFF"/>
            <w:noWrap/>
            <w:vAlign w:val="bottom"/>
            <w:hideMark/>
          </w:tcPr>
          <w:p w14:paraId="7C51AA44"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992" w:type="dxa"/>
            <w:tcBorders>
              <w:top w:val="nil"/>
              <w:left w:val="nil"/>
              <w:bottom w:val="nil"/>
              <w:right w:val="nil"/>
            </w:tcBorders>
            <w:shd w:val="clear" w:color="000000" w:fill="FFFFFF"/>
            <w:noWrap/>
            <w:vAlign w:val="bottom"/>
            <w:hideMark/>
          </w:tcPr>
          <w:p w14:paraId="63FDE591"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nil"/>
              <w:left w:val="nil"/>
              <w:bottom w:val="nil"/>
              <w:right w:val="nil"/>
            </w:tcBorders>
            <w:shd w:val="clear" w:color="000000" w:fill="FFFFFF"/>
            <w:noWrap/>
            <w:vAlign w:val="bottom"/>
            <w:hideMark/>
          </w:tcPr>
          <w:p w14:paraId="1E5CD70D"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nil"/>
              <w:left w:val="single" w:sz="4" w:space="0" w:color="auto"/>
              <w:bottom w:val="single" w:sz="4" w:space="0" w:color="auto"/>
              <w:right w:val="single" w:sz="4" w:space="0" w:color="auto"/>
            </w:tcBorders>
            <w:shd w:val="clear" w:color="000000" w:fill="FFFFFF"/>
            <w:vAlign w:val="center"/>
            <w:hideMark/>
          </w:tcPr>
          <w:p w14:paraId="6AB2CC5C" w14:textId="60BD67E4" w:rsidR="00D56D3E" w:rsidRPr="000B012F" w:rsidRDefault="001F16DF" w:rsidP="00D56D3E">
            <w:pPr>
              <w:jc w:val="both"/>
              <w:rPr>
                <w:rFonts w:asciiTheme="minorHAnsi" w:hAnsiTheme="minorHAnsi"/>
                <w:color w:val="000000"/>
                <w:sz w:val="20"/>
                <w:szCs w:val="20"/>
              </w:rPr>
            </w:pPr>
            <w:r w:rsidRPr="000B012F">
              <w:rPr>
                <w:rFonts w:asciiTheme="minorHAnsi" w:hAnsiTheme="minorHAnsi"/>
                <w:color w:val="000000"/>
                <w:sz w:val="20"/>
                <w:szCs w:val="20"/>
              </w:rPr>
              <w:t>3</w:t>
            </w:r>
            <w:r w:rsidR="00D56D3E" w:rsidRPr="000B012F">
              <w:rPr>
                <w:rFonts w:asciiTheme="minorHAnsi" w:hAnsiTheme="minorHAnsi"/>
                <w:color w:val="000000"/>
                <w:sz w:val="20"/>
                <w:szCs w:val="20"/>
              </w:rPr>
              <w:t>-2-L</w:t>
            </w:r>
            <w:r w:rsidR="004A2166" w:rsidRPr="000B012F">
              <w:rPr>
                <w:rFonts w:asciiTheme="minorHAnsi" w:hAnsiTheme="minorHAnsi"/>
                <w:color w:val="000000"/>
                <w:sz w:val="20"/>
                <w:szCs w:val="20"/>
              </w:rPr>
              <w:t>e</w:t>
            </w:r>
            <w:r w:rsidR="00B6716A" w:rsidRPr="000B012F">
              <w:rPr>
                <w:rFonts w:asciiTheme="minorHAnsi" w:hAnsiTheme="minorHAnsi"/>
                <w:color w:val="000000"/>
                <w:sz w:val="20"/>
                <w:szCs w:val="20"/>
              </w:rPr>
              <w:t xml:space="preserve"> secteur communautaire</w:t>
            </w:r>
            <w:r w:rsidRPr="000B012F">
              <w:rPr>
                <w:rFonts w:asciiTheme="minorHAnsi" w:hAnsiTheme="minorHAnsi"/>
                <w:color w:val="000000"/>
                <w:sz w:val="20"/>
                <w:szCs w:val="20"/>
              </w:rPr>
              <w:t xml:space="preserve"> et le secteur privé disposent des capacités managériales, technique</w:t>
            </w:r>
            <w:r w:rsidR="00F45B5C" w:rsidRPr="000B012F">
              <w:rPr>
                <w:rFonts w:asciiTheme="minorHAnsi" w:hAnsiTheme="minorHAnsi"/>
                <w:color w:val="000000"/>
                <w:sz w:val="20"/>
                <w:szCs w:val="20"/>
              </w:rPr>
              <w:t>s</w:t>
            </w:r>
            <w:r w:rsidRPr="000B012F">
              <w:rPr>
                <w:rFonts w:asciiTheme="minorHAnsi" w:hAnsiTheme="minorHAnsi"/>
                <w:color w:val="000000"/>
                <w:sz w:val="20"/>
                <w:szCs w:val="20"/>
              </w:rPr>
              <w:t xml:space="preserve"> et opérationnelle</w:t>
            </w:r>
            <w:r w:rsidR="00F45B5C" w:rsidRPr="000B012F">
              <w:rPr>
                <w:rFonts w:asciiTheme="minorHAnsi" w:hAnsiTheme="minorHAnsi"/>
                <w:color w:val="000000"/>
                <w:sz w:val="20"/>
                <w:szCs w:val="20"/>
              </w:rPr>
              <w:t>s</w:t>
            </w:r>
            <w:r w:rsidRPr="000B012F">
              <w:rPr>
                <w:rFonts w:asciiTheme="minorHAnsi" w:hAnsiTheme="minorHAnsi"/>
                <w:color w:val="000000"/>
                <w:sz w:val="20"/>
                <w:szCs w:val="20"/>
              </w:rPr>
              <w:t xml:space="preserve"> pour assurer au moins 80% de la réponse dans leur secteur d’ici à fin 2022 </w:t>
            </w:r>
          </w:p>
        </w:tc>
      </w:tr>
      <w:tr w:rsidR="00D56D3E" w:rsidRPr="000B012F" w14:paraId="3B4C3D33" w14:textId="77777777" w:rsidTr="00D56D3E">
        <w:trPr>
          <w:trHeight w:val="560"/>
        </w:trPr>
        <w:tc>
          <w:tcPr>
            <w:tcW w:w="983" w:type="dxa"/>
            <w:tcBorders>
              <w:top w:val="nil"/>
              <w:left w:val="nil"/>
              <w:bottom w:val="nil"/>
              <w:right w:val="nil"/>
            </w:tcBorders>
            <w:shd w:val="clear" w:color="000000" w:fill="FFFFFF"/>
            <w:noWrap/>
            <w:vAlign w:val="bottom"/>
            <w:hideMark/>
          </w:tcPr>
          <w:p w14:paraId="38D86922"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992" w:type="dxa"/>
            <w:tcBorders>
              <w:top w:val="nil"/>
              <w:left w:val="nil"/>
              <w:bottom w:val="nil"/>
              <w:right w:val="nil"/>
            </w:tcBorders>
            <w:shd w:val="clear" w:color="000000" w:fill="FFFFFF"/>
            <w:noWrap/>
            <w:vAlign w:val="bottom"/>
            <w:hideMark/>
          </w:tcPr>
          <w:p w14:paraId="61460D73"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nil"/>
              <w:left w:val="nil"/>
              <w:bottom w:val="nil"/>
              <w:right w:val="nil"/>
            </w:tcBorders>
            <w:shd w:val="clear" w:color="000000" w:fill="FFFFFF"/>
            <w:noWrap/>
            <w:vAlign w:val="bottom"/>
            <w:hideMark/>
          </w:tcPr>
          <w:p w14:paraId="577ED549"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nil"/>
              <w:left w:val="single" w:sz="4" w:space="0" w:color="auto"/>
              <w:bottom w:val="single" w:sz="4" w:space="0" w:color="auto"/>
              <w:right w:val="single" w:sz="4" w:space="0" w:color="auto"/>
            </w:tcBorders>
            <w:shd w:val="clear" w:color="000000" w:fill="FFFFFF"/>
            <w:vAlign w:val="center"/>
            <w:hideMark/>
          </w:tcPr>
          <w:p w14:paraId="37C92990" w14:textId="61AA8511" w:rsidR="00D56D3E" w:rsidRPr="000B012F" w:rsidRDefault="001F16DF" w:rsidP="00D56D3E">
            <w:pPr>
              <w:jc w:val="both"/>
              <w:rPr>
                <w:rFonts w:asciiTheme="minorHAnsi" w:hAnsiTheme="minorHAnsi"/>
                <w:color w:val="000000"/>
                <w:sz w:val="20"/>
                <w:szCs w:val="20"/>
              </w:rPr>
            </w:pPr>
            <w:r w:rsidRPr="000B012F">
              <w:rPr>
                <w:rFonts w:asciiTheme="minorHAnsi" w:hAnsiTheme="minorHAnsi"/>
                <w:color w:val="000000"/>
                <w:sz w:val="20"/>
                <w:szCs w:val="20"/>
              </w:rPr>
              <w:t>3.3</w:t>
            </w:r>
            <w:r w:rsidR="005217F0" w:rsidRPr="000B012F">
              <w:rPr>
                <w:rFonts w:asciiTheme="minorHAnsi" w:hAnsiTheme="minorHAnsi"/>
                <w:color w:val="000000"/>
                <w:sz w:val="20"/>
                <w:szCs w:val="20"/>
              </w:rPr>
              <w:t>-Durant la période 2018-</w:t>
            </w:r>
            <w:r w:rsidR="0096743B" w:rsidRPr="000B012F">
              <w:rPr>
                <w:rFonts w:asciiTheme="minorHAnsi" w:hAnsiTheme="minorHAnsi"/>
                <w:color w:val="000000"/>
                <w:sz w:val="20"/>
                <w:szCs w:val="20"/>
              </w:rPr>
              <w:t xml:space="preserve"> 2022</w:t>
            </w:r>
            <w:r w:rsidR="00D56D3E" w:rsidRPr="000B012F">
              <w:rPr>
                <w:rFonts w:asciiTheme="minorHAnsi" w:hAnsiTheme="minorHAnsi"/>
                <w:color w:val="000000"/>
                <w:sz w:val="20"/>
                <w:szCs w:val="20"/>
              </w:rPr>
              <w:t xml:space="preserve">, le système national de suivi évaluation de la riposte est </w:t>
            </w:r>
            <w:r w:rsidR="00D56D3E" w:rsidRPr="000B012F">
              <w:rPr>
                <w:rFonts w:asciiTheme="minorHAnsi" w:hAnsiTheme="minorHAnsi" w:cs="Arial"/>
                <w:color w:val="000000"/>
                <w:sz w:val="20"/>
                <w:szCs w:val="20"/>
              </w:rPr>
              <w:t>à</w:t>
            </w:r>
            <w:r w:rsidR="00D56D3E" w:rsidRPr="000B012F">
              <w:rPr>
                <w:rFonts w:asciiTheme="minorHAnsi" w:hAnsiTheme="minorHAnsi"/>
                <w:color w:val="000000"/>
                <w:sz w:val="20"/>
                <w:szCs w:val="20"/>
              </w:rPr>
              <w:t xml:space="preserve"> même de produire tous les </w:t>
            </w:r>
            <w:r w:rsidRPr="000B012F">
              <w:rPr>
                <w:rFonts w:asciiTheme="minorHAnsi" w:hAnsiTheme="minorHAnsi"/>
                <w:color w:val="000000"/>
                <w:sz w:val="20"/>
                <w:szCs w:val="20"/>
              </w:rPr>
              <w:t xml:space="preserve">données et </w:t>
            </w:r>
            <w:r w:rsidR="00D56D3E" w:rsidRPr="000B012F">
              <w:rPr>
                <w:rFonts w:asciiTheme="minorHAnsi" w:hAnsiTheme="minorHAnsi"/>
                <w:color w:val="000000"/>
                <w:sz w:val="20"/>
                <w:szCs w:val="20"/>
              </w:rPr>
              <w:t>indicateurs avec une qualit</w:t>
            </w:r>
            <w:r w:rsidR="00D56D3E" w:rsidRPr="000B012F">
              <w:rPr>
                <w:rFonts w:asciiTheme="minorHAnsi" w:hAnsiTheme="minorHAnsi" w:cs="Arial"/>
                <w:color w:val="000000"/>
                <w:sz w:val="20"/>
                <w:szCs w:val="20"/>
              </w:rPr>
              <w:t>é</w:t>
            </w:r>
            <w:r w:rsidR="00D56D3E" w:rsidRPr="000B012F">
              <w:rPr>
                <w:rFonts w:asciiTheme="minorHAnsi" w:hAnsiTheme="minorHAnsi"/>
                <w:color w:val="000000"/>
                <w:sz w:val="20"/>
                <w:szCs w:val="20"/>
              </w:rPr>
              <w:t>, une complétud</w:t>
            </w:r>
            <w:r w:rsidR="00AA7E70" w:rsidRPr="000B012F">
              <w:rPr>
                <w:rFonts w:asciiTheme="minorHAnsi" w:hAnsiTheme="minorHAnsi"/>
                <w:color w:val="000000"/>
                <w:sz w:val="20"/>
                <w:szCs w:val="20"/>
              </w:rPr>
              <w:t>e et une promptitude supérieure</w:t>
            </w:r>
            <w:r w:rsidR="00D56D3E" w:rsidRPr="000B012F">
              <w:rPr>
                <w:rFonts w:asciiTheme="minorHAnsi" w:hAnsiTheme="minorHAnsi"/>
                <w:color w:val="000000"/>
                <w:sz w:val="20"/>
                <w:szCs w:val="20"/>
              </w:rPr>
              <w:t xml:space="preserve"> </w:t>
            </w:r>
            <w:r w:rsidR="00D56D3E" w:rsidRPr="000B012F">
              <w:rPr>
                <w:rFonts w:asciiTheme="minorHAnsi" w:hAnsiTheme="minorHAnsi" w:cs="Arial"/>
                <w:color w:val="000000"/>
                <w:sz w:val="20"/>
                <w:szCs w:val="20"/>
              </w:rPr>
              <w:t>à</w:t>
            </w:r>
            <w:r w:rsidR="00B6716A" w:rsidRPr="000B012F">
              <w:rPr>
                <w:rFonts w:asciiTheme="minorHAnsi" w:hAnsiTheme="minorHAnsi"/>
                <w:color w:val="000000"/>
                <w:sz w:val="20"/>
                <w:szCs w:val="20"/>
              </w:rPr>
              <w:t xml:space="preserve"> 95</w:t>
            </w:r>
            <w:r w:rsidR="00D56D3E" w:rsidRPr="000B012F">
              <w:rPr>
                <w:rFonts w:asciiTheme="minorHAnsi" w:hAnsiTheme="minorHAnsi"/>
                <w:color w:val="000000"/>
                <w:sz w:val="20"/>
                <w:szCs w:val="20"/>
              </w:rPr>
              <w:t xml:space="preserve">% </w:t>
            </w:r>
          </w:p>
        </w:tc>
      </w:tr>
      <w:tr w:rsidR="00D56D3E" w:rsidRPr="000B012F" w14:paraId="5E8D0085" w14:textId="77777777" w:rsidTr="00D56D3E">
        <w:trPr>
          <w:trHeight w:val="320"/>
        </w:trPr>
        <w:tc>
          <w:tcPr>
            <w:tcW w:w="983" w:type="dxa"/>
            <w:tcBorders>
              <w:top w:val="nil"/>
              <w:left w:val="nil"/>
              <w:bottom w:val="nil"/>
              <w:right w:val="nil"/>
            </w:tcBorders>
            <w:shd w:val="clear" w:color="000000" w:fill="FFFFFF"/>
            <w:noWrap/>
            <w:vAlign w:val="bottom"/>
            <w:hideMark/>
          </w:tcPr>
          <w:p w14:paraId="76D496BB"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992" w:type="dxa"/>
            <w:tcBorders>
              <w:top w:val="nil"/>
              <w:left w:val="nil"/>
              <w:bottom w:val="nil"/>
              <w:right w:val="nil"/>
            </w:tcBorders>
            <w:shd w:val="clear" w:color="000000" w:fill="FFFFFF"/>
            <w:noWrap/>
            <w:vAlign w:val="bottom"/>
            <w:hideMark/>
          </w:tcPr>
          <w:p w14:paraId="54A76F88"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584" w:type="dxa"/>
            <w:tcBorders>
              <w:top w:val="nil"/>
              <w:left w:val="nil"/>
              <w:bottom w:val="nil"/>
              <w:right w:val="nil"/>
            </w:tcBorders>
            <w:shd w:val="clear" w:color="000000" w:fill="FFFFFF"/>
            <w:noWrap/>
            <w:vAlign w:val="bottom"/>
            <w:hideMark/>
          </w:tcPr>
          <w:p w14:paraId="366E87F4" w14:textId="77777777" w:rsidR="00D56D3E" w:rsidRPr="000B012F" w:rsidRDefault="00D56D3E" w:rsidP="00D56D3E">
            <w:pPr>
              <w:rPr>
                <w:rFonts w:asciiTheme="minorHAnsi" w:hAnsiTheme="minorHAnsi"/>
                <w:color w:val="000000"/>
                <w:sz w:val="20"/>
                <w:szCs w:val="20"/>
              </w:rPr>
            </w:pPr>
            <w:r w:rsidRPr="000B012F">
              <w:rPr>
                <w:rFonts w:asciiTheme="minorHAnsi" w:hAnsiTheme="minorHAnsi"/>
                <w:color w:val="000000"/>
                <w:sz w:val="20"/>
                <w:szCs w:val="20"/>
              </w:rPr>
              <w:t> </w:t>
            </w:r>
          </w:p>
        </w:tc>
        <w:tc>
          <w:tcPr>
            <w:tcW w:w="7434" w:type="dxa"/>
            <w:tcBorders>
              <w:top w:val="nil"/>
              <w:left w:val="single" w:sz="4" w:space="0" w:color="auto"/>
              <w:bottom w:val="single" w:sz="4" w:space="0" w:color="auto"/>
              <w:right w:val="single" w:sz="4" w:space="0" w:color="auto"/>
            </w:tcBorders>
            <w:shd w:val="clear" w:color="000000" w:fill="FFFFFF"/>
            <w:vAlign w:val="center"/>
            <w:hideMark/>
          </w:tcPr>
          <w:p w14:paraId="4962636C" w14:textId="65BFCDCB" w:rsidR="00D56D3E" w:rsidRPr="000B012F" w:rsidRDefault="001F16DF" w:rsidP="00D56D3E">
            <w:pPr>
              <w:jc w:val="both"/>
              <w:rPr>
                <w:rFonts w:asciiTheme="minorHAnsi" w:hAnsiTheme="minorHAnsi"/>
                <w:color w:val="000000"/>
                <w:sz w:val="20"/>
                <w:szCs w:val="20"/>
              </w:rPr>
            </w:pPr>
            <w:r w:rsidRPr="000B012F">
              <w:rPr>
                <w:rFonts w:asciiTheme="minorHAnsi" w:hAnsiTheme="minorHAnsi"/>
                <w:color w:val="000000"/>
                <w:sz w:val="20"/>
                <w:szCs w:val="20"/>
              </w:rPr>
              <w:t>3.4</w:t>
            </w:r>
            <w:r w:rsidR="0096743B" w:rsidRPr="000B012F">
              <w:rPr>
                <w:rFonts w:asciiTheme="minorHAnsi" w:hAnsiTheme="minorHAnsi"/>
                <w:color w:val="000000"/>
                <w:sz w:val="20"/>
                <w:szCs w:val="20"/>
              </w:rPr>
              <w:t>-Entre 2018-2022</w:t>
            </w:r>
            <w:r w:rsidR="00D56D3E" w:rsidRPr="000B012F">
              <w:rPr>
                <w:rFonts w:asciiTheme="minorHAnsi" w:hAnsiTheme="minorHAnsi"/>
                <w:color w:val="000000"/>
                <w:sz w:val="20"/>
                <w:szCs w:val="20"/>
              </w:rPr>
              <w:t xml:space="preserve">, la gouvernance du </w:t>
            </w:r>
            <w:r w:rsidR="0096743B" w:rsidRPr="000B012F">
              <w:rPr>
                <w:rFonts w:asciiTheme="minorHAnsi" w:hAnsiTheme="minorHAnsi"/>
                <w:color w:val="000000"/>
                <w:sz w:val="20"/>
                <w:szCs w:val="20"/>
              </w:rPr>
              <w:t>CN</w:t>
            </w:r>
            <w:r w:rsidR="00B6716A" w:rsidRPr="000B012F">
              <w:rPr>
                <w:rFonts w:asciiTheme="minorHAnsi" w:hAnsiTheme="minorHAnsi"/>
                <w:color w:val="000000"/>
                <w:sz w:val="20"/>
                <w:szCs w:val="20"/>
              </w:rPr>
              <w:t>L</w:t>
            </w:r>
            <w:r w:rsidRPr="000B012F">
              <w:rPr>
                <w:rFonts w:asciiTheme="minorHAnsi" w:hAnsiTheme="minorHAnsi"/>
                <w:color w:val="000000"/>
                <w:sz w:val="20"/>
                <w:szCs w:val="20"/>
              </w:rPr>
              <w:t>S</w:t>
            </w:r>
            <w:r w:rsidR="00D56D3E" w:rsidRPr="000B012F">
              <w:rPr>
                <w:rFonts w:asciiTheme="minorHAnsi" w:hAnsiTheme="minorHAnsi"/>
                <w:color w:val="000000"/>
                <w:sz w:val="20"/>
                <w:szCs w:val="20"/>
              </w:rPr>
              <w:t xml:space="preserve"> assure une multisectorialit</w:t>
            </w:r>
            <w:r w:rsidR="00D56D3E" w:rsidRPr="000B012F">
              <w:rPr>
                <w:rFonts w:asciiTheme="minorHAnsi" w:hAnsiTheme="minorHAnsi" w:cs="Arial"/>
                <w:color w:val="000000"/>
                <w:sz w:val="20"/>
                <w:szCs w:val="20"/>
              </w:rPr>
              <w:t>é</w:t>
            </w:r>
            <w:r w:rsidR="00D56D3E" w:rsidRPr="000B012F">
              <w:rPr>
                <w:rFonts w:asciiTheme="minorHAnsi" w:hAnsiTheme="minorHAnsi"/>
                <w:color w:val="000000"/>
                <w:sz w:val="20"/>
                <w:szCs w:val="20"/>
              </w:rPr>
              <w:t xml:space="preserve"> et une redevabilit</w:t>
            </w:r>
            <w:r w:rsidR="00D56D3E" w:rsidRPr="000B012F">
              <w:rPr>
                <w:rFonts w:asciiTheme="minorHAnsi" w:hAnsiTheme="minorHAnsi" w:cs="Arial"/>
                <w:color w:val="000000"/>
                <w:sz w:val="20"/>
                <w:szCs w:val="20"/>
              </w:rPr>
              <w:t>é</w:t>
            </w:r>
            <w:r w:rsidR="00D56D3E" w:rsidRPr="000B012F">
              <w:rPr>
                <w:rFonts w:asciiTheme="minorHAnsi" w:hAnsiTheme="minorHAnsi"/>
                <w:color w:val="000000"/>
                <w:sz w:val="20"/>
                <w:szCs w:val="20"/>
              </w:rPr>
              <w:t xml:space="preserve"> optimales</w:t>
            </w:r>
          </w:p>
        </w:tc>
      </w:tr>
    </w:tbl>
    <w:p w14:paraId="12D54C02" w14:textId="2BA5FE9D" w:rsidR="00D56D3E" w:rsidRPr="000B012F" w:rsidRDefault="00D56D3E" w:rsidP="001F16DF">
      <w:pPr>
        <w:rPr>
          <w:rFonts w:asciiTheme="minorHAnsi" w:eastAsiaTheme="majorEastAsia" w:hAnsiTheme="minorHAnsi" w:cstheme="majorBidi"/>
          <w:b/>
          <w:bCs/>
          <w:sz w:val="20"/>
        </w:rPr>
      </w:pPr>
    </w:p>
    <w:p w14:paraId="1A258622" w14:textId="68514C7C" w:rsidR="001F16DF" w:rsidRPr="001F16DF" w:rsidRDefault="001F16DF" w:rsidP="00C34A61">
      <w:pPr>
        <w:pStyle w:val="Titre2"/>
        <w:numPr>
          <w:ilvl w:val="1"/>
          <w:numId w:val="6"/>
        </w:numPr>
        <w:spacing w:after="0"/>
        <w:ind w:left="426" w:hanging="426"/>
        <w:rPr>
          <w:rFonts w:ascii="Calibri" w:hAnsi="Calibri"/>
          <w:color w:val="2F5496" w:themeColor="accent5" w:themeShade="BF"/>
          <w:szCs w:val="24"/>
        </w:rPr>
      </w:pPr>
      <w:bookmarkStart w:id="91" w:name="_Toc520983530"/>
      <w:r w:rsidRPr="001F16DF">
        <w:rPr>
          <w:rFonts w:ascii="Calibri" w:hAnsi="Calibri"/>
          <w:color w:val="2F5496" w:themeColor="accent5" w:themeShade="BF"/>
          <w:szCs w:val="24"/>
        </w:rPr>
        <w:t>Les interventions prioritaires</w:t>
      </w:r>
      <w:r w:rsidR="00464E5D">
        <w:rPr>
          <w:rFonts w:ascii="Calibri" w:hAnsi="Calibri"/>
          <w:color w:val="2F5496" w:themeColor="accent5" w:themeShade="BF"/>
          <w:szCs w:val="24"/>
        </w:rPr>
        <w:t xml:space="preserve"> du CSN 2018-2022</w:t>
      </w:r>
      <w:bookmarkEnd w:id="91"/>
    </w:p>
    <w:p w14:paraId="79E2D7F3" w14:textId="78D8ADC7" w:rsidR="001F16DF" w:rsidRPr="000B012F" w:rsidRDefault="001F16DF" w:rsidP="001F16DF">
      <w:pPr>
        <w:rPr>
          <w:rFonts w:asciiTheme="minorHAnsi" w:eastAsiaTheme="majorEastAsia" w:hAnsiTheme="minorHAnsi" w:cstheme="majorBidi"/>
          <w:bCs/>
          <w:sz w:val="15"/>
        </w:rPr>
      </w:pPr>
    </w:p>
    <w:p w14:paraId="6DB6ADE6" w14:textId="6E30631F" w:rsidR="00EF247B" w:rsidRDefault="001F16DF" w:rsidP="006D3AB7">
      <w:pPr>
        <w:jc w:val="both"/>
        <w:rPr>
          <w:rFonts w:asciiTheme="minorHAnsi" w:eastAsiaTheme="majorEastAsia" w:hAnsiTheme="minorHAnsi" w:cstheme="majorBidi"/>
          <w:bCs/>
        </w:rPr>
      </w:pPr>
      <w:r>
        <w:rPr>
          <w:rFonts w:asciiTheme="minorHAnsi" w:eastAsiaTheme="majorEastAsia" w:hAnsiTheme="minorHAnsi" w:cstheme="majorBidi"/>
          <w:bCs/>
        </w:rPr>
        <w:t>L</w:t>
      </w:r>
      <w:r w:rsidRPr="001F16DF">
        <w:rPr>
          <w:rFonts w:asciiTheme="minorHAnsi" w:eastAsiaTheme="majorEastAsia" w:hAnsiTheme="minorHAnsi" w:cstheme="majorBidi"/>
          <w:bCs/>
        </w:rPr>
        <w:t xml:space="preserve">es priorités d’intervention du </w:t>
      </w:r>
      <w:r>
        <w:rPr>
          <w:rFonts w:asciiTheme="minorHAnsi" w:eastAsiaTheme="majorEastAsia" w:hAnsiTheme="minorHAnsi" w:cstheme="majorBidi"/>
          <w:bCs/>
        </w:rPr>
        <w:t>CSN 2018-2022</w:t>
      </w:r>
      <w:r w:rsidR="00F16969">
        <w:rPr>
          <w:rFonts w:asciiTheme="minorHAnsi" w:eastAsiaTheme="majorEastAsia" w:hAnsiTheme="minorHAnsi" w:cstheme="majorBidi"/>
          <w:bCs/>
        </w:rPr>
        <w:t xml:space="preserve"> tiennent compte </w:t>
      </w:r>
      <w:r w:rsidRPr="001F16DF">
        <w:rPr>
          <w:rFonts w:asciiTheme="minorHAnsi" w:eastAsiaTheme="majorEastAsia" w:hAnsiTheme="minorHAnsi" w:cstheme="majorBidi"/>
          <w:bCs/>
        </w:rPr>
        <w:t xml:space="preserve">des insuffisances et des acquis de la mise en œuvre du </w:t>
      </w:r>
      <w:r>
        <w:rPr>
          <w:rFonts w:asciiTheme="minorHAnsi" w:eastAsiaTheme="majorEastAsia" w:hAnsiTheme="minorHAnsi" w:cstheme="majorBidi"/>
          <w:bCs/>
        </w:rPr>
        <w:t>CSN 2013-2017</w:t>
      </w:r>
      <w:r w:rsidR="00F16969">
        <w:rPr>
          <w:rFonts w:asciiTheme="minorHAnsi" w:eastAsiaTheme="majorEastAsia" w:hAnsiTheme="minorHAnsi" w:cstheme="majorBidi"/>
          <w:bCs/>
        </w:rPr>
        <w:t xml:space="preserve"> et visent à faire en sorte qu’au cours de la période 2018-2022 :</w:t>
      </w:r>
    </w:p>
    <w:p w14:paraId="0BBB468F" w14:textId="011C0235" w:rsidR="00F16969" w:rsidRDefault="00F16969" w:rsidP="00F16969">
      <w:pPr>
        <w:widowControl w:val="0"/>
        <w:autoSpaceDE w:val="0"/>
        <w:autoSpaceDN w:val="0"/>
        <w:adjustRightInd w:val="0"/>
        <w:contextualSpacing/>
        <w:jc w:val="both"/>
        <w:rPr>
          <w:rFonts w:asciiTheme="minorHAnsi" w:hAnsiTheme="minorHAnsi" w:cs="Arial"/>
          <w:szCs w:val="22"/>
        </w:rPr>
      </w:pPr>
    </w:p>
    <w:tbl>
      <w:tblPr>
        <w:tblStyle w:val="Grilledutableau"/>
        <w:tblW w:w="9918" w:type="dxa"/>
        <w:tblLook w:val="04A0" w:firstRow="1" w:lastRow="0" w:firstColumn="1" w:lastColumn="0" w:noHBand="0" w:noVBand="1"/>
      </w:tblPr>
      <w:tblGrid>
        <w:gridCol w:w="9918"/>
      </w:tblGrid>
      <w:tr w:rsidR="00B176D1" w:rsidRPr="000B012F" w14:paraId="21A7328A" w14:textId="77777777" w:rsidTr="00B176D1">
        <w:tc>
          <w:tcPr>
            <w:tcW w:w="9918" w:type="dxa"/>
            <w:shd w:val="clear" w:color="auto" w:fill="E7E6E6" w:themeFill="background2"/>
          </w:tcPr>
          <w:p w14:paraId="19C9378D" w14:textId="18646B4A" w:rsidR="00B176D1" w:rsidRPr="000B012F" w:rsidRDefault="00B176D1" w:rsidP="00B176D1">
            <w:pPr>
              <w:widowControl w:val="0"/>
              <w:autoSpaceDE w:val="0"/>
              <w:autoSpaceDN w:val="0"/>
              <w:adjustRightInd w:val="0"/>
              <w:jc w:val="both"/>
              <w:rPr>
                <w:rFonts w:asciiTheme="minorHAnsi" w:hAnsiTheme="minorHAnsi" w:cs="Arial"/>
                <w:sz w:val="22"/>
                <w:szCs w:val="22"/>
              </w:rPr>
            </w:pPr>
            <w:r w:rsidRPr="000B012F">
              <w:rPr>
                <w:rFonts w:asciiTheme="minorHAnsi" w:hAnsiTheme="minorHAnsi" w:cs="Arial"/>
                <w:sz w:val="22"/>
                <w:szCs w:val="22"/>
              </w:rPr>
              <w:t>Les capacités et la fonctionnalité du système de santé permettent :</w:t>
            </w:r>
          </w:p>
          <w:p w14:paraId="447F4111" w14:textId="2BBD5742" w:rsidR="00B176D1" w:rsidRPr="000B012F" w:rsidRDefault="00B176D1" w:rsidP="00C34A61">
            <w:pPr>
              <w:pStyle w:val="Paragraphedeliste"/>
              <w:widowControl w:val="0"/>
              <w:numPr>
                <w:ilvl w:val="0"/>
                <w:numId w:val="32"/>
              </w:numPr>
              <w:autoSpaceDE w:val="0"/>
              <w:autoSpaceDN w:val="0"/>
              <w:adjustRightInd w:val="0"/>
              <w:jc w:val="both"/>
              <w:rPr>
                <w:rFonts w:asciiTheme="minorHAnsi" w:hAnsiTheme="minorHAnsi" w:cs="Arial"/>
                <w:sz w:val="22"/>
                <w:szCs w:val="22"/>
              </w:rPr>
            </w:pPr>
            <w:r w:rsidRPr="000B012F">
              <w:rPr>
                <w:rFonts w:asciiTheme="minorHAnsi" w:hAnsiTheme="minorHAnsi" w:cs="Arial"/>
                <w:sz w:val="22"/>
                <w:szCs w:val="22"/>
              </w:rPr>
              <w:t>D’éliminer les nouvelles infections chez les enfants</w:t>
            </w:r>
          </w:p>
          <w:p w14:paraId="60F010BA" w14:textId="77777777" w:rsidR="00B176D1" w:rsidRPr="000B012F" w:rsidRDefault="00B176D1" w:rsidP="00C34A61">
            <w:pPr>
              <w:pStyle w:val="Paragraphedeliste"/>
              <w:widowControl w:val="0"/>
              <w:numPr>
                <w:ilvl w:val="0"/>
                <w:numId w:val="32"/>
              </w:numPr>
              <w:autoSpaceDE w:val="0"/>
              <w:autoSpaceDN w:val="0"/>
              <w:adjustRightInd w:val="0"/>
              <w:jc w:val="both"/>
              <w:rPr>
                <w:rFonts w:asciiTheme="minorHAnsi" w:hAnsiTheme="minorHAnsi" w:cs="Arial"/>
                <w:sz w:val="22"/>
                <w:szCs w:val="22"/>
              </w:rPr>
            </w:pPr>
            <w:r w:rsidRPr="000B012F">
              <w:rPr>
                <w:rFonts w:asciiTheme="minorHAnsi" w:hAnsiTheme="minorHAnsi" w:cs="Arial"/>
                <w:sz w:val="22"/>
                <w:szCs w:val="22"/>
              </w:rPr>
              <w:t>D’éliminer les infections imputables à la transfusion sanguine et aux AES</w:t>
            </w:r>
          </w:p>
          <w:p w14:paraId="74BE8A75" w14:textId="77777777" w:rsidR="00B176D1" w:rsidRPr="000B012F" w:rsidRDefault="00B176D1" w:rsidP="00C34A61">
            <w:pPr>
              <w:pStyle w:val="Paragraphedeliste"/>
              <w:widowControl w:val="0"/>
              <w:numPr>
                <w:ilvl w:val="0"/>
                <w:numId w:val="32"/>
              </w:numPr>
              <w:autoSpaceDE w:val="0"/>
              <w:autoSpaceDN w:val="0"/>
              <w:adjustRightInd w:val="0"/>
              <w:jc w:val="both"/>
              <w:rPr>
                <w:rFonts w:asciiTheme="minorHAnsi" w:hAnsiTheme="minorHAnsi" w:cs="Arial"/>
                <w:sz w:val="22"/>
                <w:szCs w:val="22"/>
              </w:rPr>
            </w:pPr>
            <w:r w:rsidRPr="000B012F">
              <w:rPr>
                <w:rFonts w:asciiTheme="minorHAnsi" w:hAnsiTheme="minorHAnsi" w:cs="Arial"/>
                <w:sz w:val="22"/>
                <w:szCs w:val="22"/>
              </w:rPr>
              <w:t>De mettre en œuvre Stratégie « dépister et traiter »</w:t>
            </w:r>
          </w:p>
          <w:p w14:paraId="4CD29101" w14:textId="77777777" w:rsidR="00B176D1" w:rsidRPr="000B012F" w:rsidRDefault="00B176D1" w:rsidP="00C34A61">
            <w:pPr>
              <w:pStyle w:val="Paragraphedeliste"/>
              <w:widowControl w:val="0"/>
              <w:numPr>
                <w:ilvl w:val="0"/>
                <w:numId w:val="32"/>
              </w:numPr>
              <w:autoSpaceDE w:val="0"/>
              <w:autoSpaceDN w:val="0"/>
              <w:adjustRightInd w:val="0"/>
              <w:jc w:val="both"/>
              <w:rPr>
                <w:rFonts w:asciiTheme="minorHAnsi" w:hAnsiTheme="minorHAnsi" w:cs="Arial"/>
                <w:sz w:val="22"/>
                <w:szCs w:val="22"/>
              </w:rPr>
            </w:pPr>
            <w:r w:rsidRPr="000B012F">
              <w:rPr>
                <w:rFonts w:asciiTheme="minorHAnsi" w:hAnsiTheme="minorHAnsi" w:cs="Arial"/>
                <w:sz w:val="22"/>
                <w:szCs w:val="22"/>
              </w:rPr>
              <w:t>De Traiter 90% des PVVIH dépistées</w:t>
            </w:r>
          </w:p>
          <w:p w14:paraId="4511BFC9" w14:textId="77777777" w:rsidR="00B176D1" w:rsidRPr="000B012F" w:rsidRDefault="00B176D1" w:rsidP="00C34A61">
            <w:pPr>
              <w:pStyle w:val="Paragraphedeliste"/>
              <w:widowControl w:val="0"/>
              <w:numPr>
                <w:ilvl w:val="0"/>
                <w:numId w:val="32"/>
              </w:numPr>
              <w:autoSpaceDE w:val="0"/>
              <w:autoSpaceDN w:val="0"/>
              <w:adjustRightInd w:val="0"/>
              <w:jc w:val="both"/>
              <w:rPr>
                <w:rFonts w:asciiTheme="minorHAnsi" w:hAnsiTheme="minorHAnsi" w:cs="Arial"/>
                <w:sz w:val="22"/>
                <w:szCs w:val="22"/>
              </w:rPr>
            </w:pPr>
            <w:r w:rsidRPr="000B012F">
              <w:rPr>
                <w:rFonts w:asciiTheme="minorHAnsi" w:hAnsiTheme="minorHAnsi" w:cs="Arial"/>
                <w:sz w:val="22"/>
                <w:szCs w:val="22"/>
              </w:rPr>
              <w:t>D’assurer la suppression virale chez les PVVIH</w:t>
            </w:r>
          </w:p>
          <w:p w14:paraId="37A720EF" w14:textId="2CC345AA" w:rsidR="00B176D1" w:rsidRPr="000B012F" w:rsidRDefault="00B176D1" w:rsidP="00C34A61">
            <w:pPr>
              <w:pStyle w:val="Paragraphedeliste"/>
              <w:widowControl w:val="0"/>
              <w:numPr>
                <w:ilvl w:val="0"/>
                <w:numId w:val="32"/>
              </w:numPr>
              <w:autoSpaceDE w:val="0"/>
              <w:autoSpaceDN w:val="0"/>
              <w:adjustRightInd w:val="0"/>
              <w:jc w:val="both"/>
              <w:rPr>
                <w:rFonts w:asciiTheme="minorHAnsi" w:hAnsiTheme="minorHAnsi" w:cs="Arial"/>
                <w:sz w:val="22"/>
                <w:szCs w:val="22"/>
              </w:rPr>
            </w:pPr>
            <w:r w:rsidRPr="000B012F">
              <w:rPr>
                <w:rFonts w:asciiTheme="minorHAnsi" w:hAnsiTheme="minorHAnsi" w:cs="Arial"/>
                <w:sz w:val="22"/>
                <w:szCs w:val="22"/>
              </w:rPr>
              <w:t>D’assurer un approvisionnement adéquat en intrants et une bonne logistique des intrants</w:t>
            </w:r>
          </w:p>
        </w:tc>
      </w:tr>
      <w:tr w:rsidR="00B176D1" w:rsidRPr="000B012F" w14:paraId="1D1EFBA6" w14:textId="77777777" w:rsidTr="00B176D1">
        <w:tc>
          <w:tcPr>
            <w:tcW w:w="9918" w:type="dxa"/>
            <w:shd w:val="clear" w:color="auto" w:fill="E7E6E6" w:themeFill="background2"/>
          </w:tcPr>
          <w:p w14:paraId="1B2A2DBB" w14:textId="59C9028E" w:rsidR="00B176D1" w:rsidRPr="000B012F" w:rsidRDefault="00B176D1" w:rsidP="00B176D1">
            <w:pPr>
              <w:jc w:val="both"/>
              <w:rPr>
                <w:rFonts w:asciiTheme="minorHAnsi" w:hAnsiTheme="minorHAnsi" w:cs="Arial"/>
                <w:sz w:val="22"/>
                <w:szCs w:val="22"/>
              </w:rPr>
            </w:pPr>
            <w:r w:rsidRPr="000B012F">
              <w:rPr>
                <w:rFonts w:asciiTheme="minorHAnsi" w:hAnsiTheme="minorHAnsi" w:cs="Arial"/>
                <w:sz w:val="22"/>
                <w:szCs w:val="22"/>
              </w:rPr>
              <w:t>Les réponses communautaires et sectorielles permettent :</w:t>
            </w:r>
          </w:p>
          <w:p w14:paraId="4767912E" w14:textId="5F74B3FF"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De réduire des nouvelles infections dans la population générale et chez les populations clés</w:t>
            </w:r>
          </w:p>
          <w:p w14:paraId="6B395DC3" w14:textId="77777777"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De dépister 90% des personnes séropositives</w:t>
            </w:r>
          </w:p>
          <w:p w14:paraId="12CEE9B2" w14:textId="77777777"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De réduire la stigmatisation discrimination</w:t>
            </w:r>
          </w:p>
          <w:p w14:paraId="26E7FBDA" w14:textId="77777777"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De lutter efficacement contre les violences sexuelles et prendre en compte le genre</w:t>
            </w:r>
          </w:p>
          <w:p w14:paraId="2CB597CA" w14:textId="77777777"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D’offrir un soutien adéquat au programme de traitement ARV</w:t>
            </w:r>
          </w:p>
          <w:p w14:paraId="5D9E4DE4" w14:textId="306E9C29"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De contribuer à réaliser une génération sans sida chez les enfants </w:t>
            </w:r>
          </w:p>
        </w:tc>
      </w:tr>
      <w:tr w:rsidR="00B176D1" w:rsidRPr="000B012F" w14:paraId="02D11123" w14:textId="77777777" w:rsidTr="00B176D1">
        <w:tc>
          <w:tcPr>
            <w:tcW w:w="9918" w:type="dxa"/>
            <w:shd w:val="clear" w:color="auto" w:fill="E7E6E6" w:themeFill="background2"/>
          </w:tcPr>
          <w:p w14:paraId="55AF9C80" w14:textId="0982C837" w:rsidR="00B176D1" w:rsidRPr="000B012F" w:rsidRDefault="00B176D1" w:rsidP="00B176D1">
            <w:pPr>
              <w:jc w:val="both"/>
              <w:rPr>
                <w:rFonts w:asciiTheme="minorHAnsi" w:hAnsiTheme="minorHAnsi" w:cs="Arial"/>
                <w:sz w:val="22"/>
                <w:szCs w:val="22"/>
              </w:rPr>
            </w:pPr>
            <w:r w:rsidRPr="000B012F">
              <w:rPr>
                <w:rFonts w:asciiTheme="minorHAnsi" w:hAnsiTheme="minorHAnsi" w:cs="Arial"/>
                <w:sz w:val="22"/>
                <w:szCs w:val="22"/>
              </w:rPr>
              <w:t>Le système de suivi évaluation en place :</w:t>
            </w:r>
          </w:p>
          <w:p w14:paraId="758C0502" w14:textId="2104C8D0"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 xml:space="preserve">Répond aux principes des 3 </w:t>
            </w:r>
            <w:proofErr w:type="spellStart"/>
            <w:r w:rsidRPr="000B012F">
              <w:rPr>
                <w:rFonts w:asciiTheme="minorHAnsi" w:hAnsiTheme="minorHAnsi" w:cs="Arial"/>
                <w:sz w:val="22"/>
                <w:szCs w:val="22"/>
              </w:rPr>
              <w:t>Ones</w:t>
            </w:r>
            <w:proofErr w:type="spellEnd"/>
            <w:r w:rsidRPr="000B012F">
              <w:rPr>
                <w:rFonts w:asciiTheme="minorHAnsi" w:hAnsiTheme="minorHAnsi" w:cs="Arial"/>
                <w:sz w:val="22"/>
                <w:szCs w:val="22"/>
              </w:rPr>
              <w:t> </w:t>
            </w:r>
            <w:r w:rsidR="00365EDA" w:rsidRPr="000B012F">
              <w:rPr>
                <w:rFonts w:asciiTheme="minorHAnsi" w:hAnsiTheme="minorHAnsi" w:cs="Arial"/>
                <w:sz w:val="22"/>
                <w:szCs w:val="22"/>
              </w:rPr>
              <w:t>et est conforme aux 12 composantes</w:t>
            </w:r>
          </w:p>
          <w:p w14:paraId="17A91C35" w14:textId="77777777"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Permet de capter toutes les informations avec qualité et promptitude </w:t>
            </w:r>
          </w:p>
          <w:p w14:paraId="1EF6F2E6" w14:textId="373C5A35"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Produire l’information stratégique nécessaire</w:t>
            </w:r>
            <w:r w:rsidR="008D32CF" w:rsidRPr="000B012F">
              <w:rPr>
                <w:rFonts w:asciiTheme="minorHAnsi" w:hAnsiTheme="minorHAnsi" w:cs="Arial"/>
                <w:sz w:val="22"/>
                <w:szCs w:val="22"/>
              </w:rPr>
              <w:t xml:space="preserve"> et de soutenir son utilisation optimale</w:t>
            </w:r>
            <w:r w:rsidRPr="000B012F">
              <w:rPr>
                <w:rFonts w:asciiTheme="minorHAnsi" w:hAnsiTheme="minorHAnsi" w:cs="Arial"/>
                <w:sz w:val="22"/>
                <w:szCs w:val="22"/>
              </w:rPr>
              <w:t> </w:t>
            </w:r>
          </w:p>
        </w:tc>
      </w:tr>
      <w:tr w:rsidR="00B176D1" w:rsidRPr="000B012F" w14:paraId="097110F0" w14:textId="77777777" w:rsidTr="00B176D1">
        <w:tc>
          <w:tcPr>
            <w:tcW w:w="9918" w:type="dxa"/>
            <w:shd w:val="clear" w:color="auto" w:fill="E7E6E6" w:themeFill="background2"/>
          </w:tcPr>
          <w:p w14:paraId="21DE6071" w14:textId="48080F4F" w:rsidR="00B176D1" w:rsidRPr="000B012F" w:rsidRDefault="00B176D1" w:rsidP="00B176D1">
            <w:pPr>
              <w:jc w:val="both"/>
              <w:rPr>
                <w:rFonts w:asciiTheme="minorHAnsi" w:hAnsiTheme="minorHAnsi" w:cs="Arial"/>
                <w:sz w:val="22"/>
                <w:szCs w:val="22"/>
              </w:rPr>
            </w:pPr>
            <w:r w:rsidRPr="000B012F">
              <w:rPr>
                <w:rFonts w:asciiTheme="minorHAnsi" w:hAnsiTheme="minorHAnsi" w:cs="Arial"/>
                <w:sz w:val="22"/>
                <w:szCs w:val="22"/>
              </w:rPr>
              <w:t>La gouvernance de la réponse nationale, sectorielle et décentralisée permet :</w:t>
            </w:r>
          </w:p>
          <w:p w14:paraId="34A30C26" w14:textId="059AE20B"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De développer une réponse multisectorielle, inclusive, harmonieuse et complète</w:t>
            </w:r>
          </w:p>
          <w:p w14:paraId="6E15E16C" w14:textId="078C1E2E"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 xml:space="preserve">De mobiliser efficacement les ressources financières nécessaires </w:t>
            </w:r>
          </w:p>
          <w:p w14:paraId="3B7B6F7E" w14:textId="3D561DAD" w:rsidR="00B176D1" w:rsidRPr="000B012F" w:rsidRDefault="00B176D1" w:rsidP="00C34A61">
            <w:pPr>
              <w:pStyle w:val="Paragraphedeliste"/>
              <w:numPr>
                <w:ilvl w:val="0"/>
                <w:numId w:val="32"/>
              </w:numPr>
              <w:jc w:val="both"/>
              <w:rPr>
                <w:rFonts w:asciiTheme="minorHAnsi" w:hAnsiTheme="minorHAnsi" w:cs="Arial"/>
                <w:sz w:val="22"/>
                <w:szCs w:val="22"/>
              </w:rPr>
            </w:pPr>
            <w:r w:rsidRPr="000B012F">
              <w:rPr>
                <w:rFonts w:asciiTheme="minorHAnsi" w:hAnsiTheme="minorHAnsi" w:cs="Arial"/>
                <w:sz w:val="22"/>
                <w:szCs w:val="22"/>
              </w:rPr>
              <w:t>D’assurer une bonne redevabilité</w:t>
            </w:r>
          </w:p>
        </w:tc>
      </w:tr>
    </w:tbl>
    <w:p w14:paraId="2A8D6A62" w14:textId="77777777" w:rsidR="00B176D1" w:rsidRDefault="00B176D1" w:rsidP="00F16969">
      <w:pPr>
        <w:widowControl w:val="0"/>
        <w:autoSpaceDE w:val="0"/>
        <w:autoSpaceDN w:val="0"/>
        <w:adjustRightInd w:val="0"/>
        <w:contextualSpacing/>
        <w:jc w:val="both"/>
        <w:rPr>
          <w:rFonts w:asciiTheme="minorHAnsi" w:hAnsiTheme="minorHAnsi" w:cs="Arial"/>
          <w:szCs w:val="22"/>
        </w:rPr>
      </w:pPr>
    </w:p>
    <w:p w14:paraId="1DC7E7B7" w14:textId="5553D06A" w:rsidR="002D09A1" w:rsidRPr="004D5E45" w:rsidRDefault="00C86669" w:rsidP="000B012F">
      <w:pPr>
        <w:widowControl w:val="0"/>
        <w:autoSpaceDE w:val="0"/>
        <w:autoSpaceDN w:val="0"/>
        <w:adjustRightInd w:val="0"/>
        <w:contextualSpacing/>
        <w:jc w:val="both"/>
        <w:rPr>
          <w:rFonts w:ascii="Calibri" w:hAnsi="Calibri"/>
          <w:lang w:eastAsia="fr-CA"/>
        </w:rPr>
      </w:pPr>
      <w:r>
        <w:rPr>
          <w:rFonts w:asciiTheme="minorHAnsi" w:hAnsiTheme="minorHAnsi" w:cs="Arial"/>
          <w:szCs w:val="22"/>
        </w:rPr>
        <w:t>La matrice des produits et des interventions prioritaires se présentent comme suit :</w:t>
      </w:r>
    </w:p>
    <w:p w14:paraId="3C9128F6" w14:textId="77777777" w:rsidR="005B2E1D" w:rsidRPr="005B52BA" w:rsidRDefault="005B2E1D" w:rsidP="00171AFD">
      <w:pPr>
        <w:pStyle w:val="Titre3"/>
        <w:spacing w:after="0"/>
        <w:rPr>
          <w:rFonts w:ascii="Calibri" w:hAnsi="Calibri"/>
        </w:rPr>
        <w:sectPr w:rsidR="005B2E1D" w:rsidRPr="005B52BA" w:rsidSect="00753E2C">
          <w:footerReference w:type="default" r:id="rId26"/>
          <w:pgSz w:w="11906" w:h="16838"/>
          <w:pgMar w:top="1021" w:right="964" w:bottom="964" w:left="1077" w:header="709" w:footer="709" w:gutter="0"/>
          <w:cols w:space="708"/>
          <w:titlePg/>
          <w:docGrid w:linePitch="360"/>
        </w:sectPr>
      </w:pPr>
      <w:bookmarkStart w:id="92" w:name="_Toc492294065"/>
    </w:p>
    <w:p w14:paraId="3EE64E1C" w14:textId="314A4BDB" w:rsidR="00171AFD" w:rsidRPr="00635549" w:rsidRDefault="00240456" w:rsidP="00240456">
      <w:pPr>
        <w:pStyle w:val="tab"/>
      </w:pPr>
      <w:bookmarkStart w:id="93" w:name="_Toc500496802"/>
      <w:bookmarkStart w:id="94" w:name="_Toc521064264"/>
      <w:r w:rsidRPr="00240456">
        <w:rPr>
          <w:b/>
          <w:u w:val="single"/>
        </w:rPr>
        <w:t>Tableau 8</w:t>
      </w:r>
      <w:r>
        <w:t xml:space="preserve"> : </w:t>
      </w:r>
      <w:r w:rsidR="00171AFD" w:rsidRPr="00635549">
        <w:t xml:space="preserve">Matrice </w:t>
      </w:r>
      <w:bookmarkEnd w:id="92"/>
      <w:r w:rsidR="005B2E1D" w:rsidRPr="00635549">
        <w:t>d</w:t>
      </w:r>
      <w:bookmarkEnd w:id="93"/>
      <w:r w:rsidR="00327AA7">
        <w:t>es produits et interventions prioritaires</w:t>
      </w:r>
      <w:bookmarkEnd w:id="94"/>
    </w:p>
    <w:p w14:paraId="41491A5C" w14:textId="77777777" w:rsidR="00E40EE9" w:rsidRPr="005B52BA" w:rsidRDefault="00E40EE9" w:rsidP="00192E96">
      <w:pPr>
        <w:rPr>
          <w:rFonts w:ascii="Calibri" w:hAnsi="Calibri"/>
          <w:lang w:val="fr-CH" w:eastAsia="fr-CA"/>
        </w:rPr>
      </w:pPr>
    </w:p>
    <w:tbl>
      <w:tblPr>
        <w:tblW w:w="15021" w:type="dxa"/>
        <w:tblCellMar>
          <w:left w:w="70" w:type="dxa"/>
          <w:right w:w="70" w:type="dxa"/>
        </w:tblCellMar>
        <w:tblLook w:val="04A0" w:firstRow="1" w:lastRow="0" w:firstColumn="1" w:lastColumn="0" w:noHBand="0" w:noVBand="1"/>
      </w:tblPr>
      <w:tblGrid>
        <w:gridCol w:w="984"/>
        <w:gridCol w:w="960"/>
        <w:gridCol w:w="260"/>
        <w:gridCol w:w="2199"/>
        <w:gridCol w:w="3247"/>
        <w:gridCol w:w="142"/>
        <w:gridCol w:w="7229"/>
      </w:tblGrid>
      <w:tr w:rsidR="00C84A16" w:rsidRPr="006B7270" w14:paraId="16ECAE4E" w14:textId="77777777" w:rsidTr="006B7270">
        <w:trPr>
          <w:trHeight w:val="458"/>
        </w:trPr>
        <w:tc>
          <w:tcPr>
            <w:tcW w:w="984" w:type="dxa"/>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4FBF9B62" w14:textId="77777777" w:rsidR="00C84A16" w:rsidRPr="006B7270" w:rsidRDefault="00C84A16" w:rsidP="00C84A16">
            <w:pPr>
              <w:jc w:val="center"/>
              <w:rPr>
                <w:rFonts w:ascii="Calibri" w:hAnsi="Calibri"/>
                <w:b/>
                <w:bCs/>
                <w:color w:val="3F3F76"/>
                <w:sz w:val="19"/>
                <w:szCs w:val="19"/>
              </w:rPr>
            </w:pPr>
            <w:r w:rsidRPr="006B7270">
              <w:rPr>
                <w:rFonts w:ascii="Calibri" w:hAnsi="Calibri"/>
                <w:b/>
                <w:bCs/>
                <w:color w:val="3F3F76"/>
                <w:sz w:val="19"/>
                <w:szCs w:val="19"/>
              </w:rPr>
              <w:t>Priorités</w:t>
            </w:r>
          </w:p>
        </w:tc>
        <w:tc>
          <w:tcPr>
            <w:tcW w:w="1220" w:type="dxa"/>
            <w:gridSpan w:val="2"/>
            <w:vMerge w:val="restart"/>
            <w:tcBorders>
              <w:top w:val="single" w:sz="4" w:space="0" w:color="auto"/>
              <w:left w:val="single" w:sz="4" w:space="0" w:color="auto"/>
              <w:bottom w:val="single" w:sz="4" w:space="0" w:color="auto"/>
              <w:right w:val="single" w:sz="4" w:space="0" w:color="auto"/>
            </w:tcBorders>
            <w:shd w:val="clear" w:color="000000" w:fill="FFCC99"/>
            <w:noWrap/>
            <w:vAlign w:val="center"/>
            <w:hideMark/>
          </w:tcPr>
          <w:p w14:paraId="04B8CF61" w14:textId="77777777" w:rsidR="00C84A16" w:rsidRPr="006B7270" w:rsidRDefault="00C84A16" w:rsidP="00C84A16">
            <w:pPr>
              <w:jc w:val="center"/>
              <w:rPr>
                <w:rFonts w:ascii="Calibri" w:hAnsi="Calibri"/>
                <w:b/>
                <w:bCs/>
                <w:color w:val="3F3F76"/>
                <w:sz w:val="19"/>
                <w:szCs w:val="19"/>
              </w:rPr>
            </w:pPr>
            <w:r w:rsidRPr="006B7270">
              <w:rPr>
                <w:rFonts w:ascii="Calibri" w:hAnsi="Calibri"/>
                <w:b/>
                <w:bCs/>
                <w:color w:val="3F3F76"/>
                <w:sz w:val="19"/>
                <w:szCs w:val="19"/>
              </w:rPr>
              <w:t>Impact</w:t>
            </w:r>
          </w:p>
        </w:tc>
        <w:tc>
          <w:tcPr>
            <w:tcW w:w="2199" w:type="dxa"/>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40F8685F" w14:textId="77777777" w:rsidR="00C84A16" w:rsidRPr="006B7270" w:rsidRDefault="00C84A16" w:rsidP="00C84A16">
            <w:pPr>
              <w:jc w:val="center"/>
              <w:rPr>
                <w:rFonts w:ascii="Calibri" w:hAnsi="Calibri"/>
                <w:b/>
                <w:bCs/>
                <w:color w:val="3F3F76"/>
                <w:sz w:val="19"/>
                <w:szCs w:val="19"/>
              </w:rPr>
            </w:pPr>
            <w:r w:rsidRPr="006B7270">
              <w:rPr>
                <w:rFonts w:ascii="Calibri" w:hAnsi="Calibri"/>
                <w:b/>
                <w:bCs/>
                <w:color w:val="3F3F76"/>
                <w:sz w:val="19"/>
                <w:szCs w:val="19"/>
              </w:rPr>
              <w:t>Effets</w:t>
            </w:r>
          </w:p>
        </w:tc>
        <w:tc>
          <w:tcPr>
            <w:tcW w:w="3247" w:type="dxa"/>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14C8DDD4" w14:textId="77777777" w:rsidR="00C84A16" w:rsidRPr="006B7270" w:rsidRDefault="00C84A16" w:rsidP="00C84A16">
            <w:pPr>
              <w:jc w:val="center"/>
              <w:rPr>
                <w:rFonts w:ascii="Calibri" w:hAnsi="Calibri"/>
                <w:b/>
                <w:bCs/>
                <w:color w:val="3F3F76"/>
                <w:sz w:val="19"/>
                <w:szCs w:val="19"/>
              </w:rPr>
            </w:pPr>
            <w:r w:rsidRPr="006B7270">
              <w:rPr>
                <w:rFonts w:ascii="Calibri" w:hAnsi="Calibri"/>
                <w:b/>
                <w:bCs/>
                <w:color w:val="3F3F76"/>
                <w:sz w:val="19"/>
                <w:szCs w:val="19"/>
              </w:rPr>
              <w:t>Produits</w:t>
            </w:r>
          </w:p>
        </w:tc>
        <w:tc>
          <w:tcPr>
            <w:tcW w:w="7371" w:type="dxa"/>
            <w:gridSpan w:val="2"/>
            <w:vMerge w:val="restart"/>
            <w:tcBorders>
              <w:top w:val="single" w:sz="4" w:space="0" w:color="auto"/>
              <w:left w:val="single" w:sz="4" w:space="0" w:color="auto"/>
              <w:bottom w:val="single" w:sz="4" w:space="0" w:color="auto"/>
              <w:right w:val="single" w:sz="4" w:space="0" w:color="auto"/>
            </w:tcBorders>
            <w:shd w:val="clear" w:color="000000" w:fill="FFCC99"/>
            <w:vAlign w:val="center"/>
            <w:hideMark/>
          </w:tcPr>
          <w:p w14:paraId="78F2D545" w14:textId="77777777" w:rsidR="00C84A16" w:rsidRPr="006B7270" w:rsidRDefault="00C84A16" w:rsidP="00C84A16">
            <w:pPr>
              <w:jc w:val="center"/>
              <w:rPr>
                <w:rFonts w:ascii="Calibri" w:hAnsi="Calibri"/>
                <w:b/>
                <w:bCs/>
                <w:color w:val="3F3F76"/>
                <w:sz w:val="19"/>
                <w:szCs w:val="19"/>
              </w:rPr>
            </w:pPr>
            <w:r w:rsidRPr="006B7270">
              <w:rPr>
                <w:rFonts w:ascii="Calibri" w:hAnsi="Calibri"/>
                <w:b/>
                <w:bCs/>
                <w:color w:val="3F3F76"/>
                <w:sz w:val="19"/>
                <w:szCs w:val="19"/>
              </w:rPr>
              <w:t>Stratégies</w:t>
            </w:r>
          </w:p>
        </w:tc>
      </w:tr>
      <w:tr w:rsidR="00C84A16" w:rsidRPr="006B7270" w14:paraId="1586C842" w14:textId="77777777" w:rsidTr="006B7270">
        <w:trPr>
          <w:trHeight w:val="458"/>
        </w:trPr>
        <w:tc>
          <w:tcPr>
            <w:tcW w:w="984" w:type="dxa"/>
            <w:vMerge/>
            <w:tcBorders>
              <w:top w:val="single" w:sz="4" w:space="0" w:color="auto"/>
              <w:left w:val="single" w:sz="4" w:space="0" w:color="auto"/>
              <w:bottom w:val="single" w:sz="4" w:space="0" w:color="auto"/>
              <w:right w:val="single" w:sz="4" w:space="0" w:color="auto"/>
            </w:tcBorders>
            <w:vAlign w:val="center"/>
            <w:hideMark/>
          </w:tcPr>
          <w:p w14:paraId="10E7B217" w14:textId="77777777" w:rsidR="00C84A16" w:rsidRPr="006B7270" w:rsidRDefault="00C84A16" w:rsidP="00C84A16">
            <w:pPr>
              <w:rPr>
                <w:rFonts w:ascii="Calibri" w:hAnsi="Calibri"/>
                <w:b/>
                <w:bCs/>
                <w:color w:val="3F3F76"/>
                <w:sz w:val="19"/>
                <w:szCs w:val="19"/>
              </w:rPr>
            </w:pPr>
          </w:p>
        </w:tc>
        <w:tc>
          <w:tcPr>
            <w:tcW w:w="1220" w:type="dxa"/>
            <w:gridSpan w:val="2"/>
            <w:vMerge/>
            <w:tcBorders>
              <w:top w:val="single" w:sz="4" w:space="0" w:color="auto"/>
              <w:left w:val="single" w:sz="4" w:space="0" w:color="auto"/>
              <w:bottom w:val="single" w:sz="4" w:space="0" w:color="auto"/>
              <w:right w:val="single" w:sz="4" w:space="0" w:color="auto"/>
            </w:tcBorders>
            <w:vAlign w:val="center"/>
            <w:hideMark/>
          </w:tcPr>
          <w:p w14:paraId="23A7E856" w14:textId="77777777" w:rsidR="00C84A16" w:rsidRPr="006B7270" w:rsidRDefault="00C84A16" w:rsidP="00C84A16">
            <w:pPr>
              <w:rPr>
                <w:rFonts w:ascii="Calibri" w:hAnsi="Calibri"/>
                <w:b/>
                <w:bCs/>
                <w:color w:val="3F3F76"/>
                <w:sz w:val="19"/>
                <w:szCs w:val="19"/>
              </w:rPr>
            </w:pPr>
          </w:p>
        </w:tc>
        <w:tc>
          <w:tcPr>
            <w:tcW w:w="2199" w:type="dxa"/>
            <w:vMerge/>
            <w:tcBorders>
              <w:top w:val="single" w:sz="4" w:space="0" w:color="auto"/>
              <w:left w:val="single" w:sz="4" w:space="0" w:color="auto"/>
              <w:bottom w:val="single" w:sz="4" w:space="0" w:color="auto"/>
              <w:right w:val="single" w:sz="4" w:space="0" w:color="auto"/>
            </w:tcBorders>
            <w:vAlign w:val="center"/>
            <w:hideMark/>
          </w:tcPr>
          <w:p w14:paraId="7B88E5C2" w14:textId="77777777" w:rsidR="00C84A16" w:rsidRPr="006B7270" w:rsidRDefault="00C84A16" w:rsidP="00C84A16">
            <w:pPr>
              <w:rPr>
                <w:rFonts w:ascii="Calibri" w:hAnsi="Calibri"/>
                <w:b/>
                <w:bCs/>
                <w:color w:val="3F3F76"/>
                <w:sz w:val="19"/>
                <w:szCs w:val="19"/>
              </w:rPr>
            </w:pPr>
          </w:p>
        </w:tc>
        <w:tc>
          <w:tcPr>
            <w:tcW w:w="3247" w:type="dxa"/>
            <w:vMerge/>
            <w:tcBorders>
              <w:top w:val="single" w:sz="4" w:space="0" w:color="auto"/>
              <w:left w:val="single" w:sz="4" w:space="0" w:color="auto"/>
              <w:bottom w:val="single" w:sz="4" w:space="0" w:color="auto"/>
              <w:right w:val="single" w:sz="4" w:space="0" w:color="auto"/>
            </w:tcBorders>
            <w:vAlign w:val="center"/>
            <w:hideMark/>
          </w:tcPr>
          <w:p w14:paraId="4DE33E5C" w14:textId="77777777" w:rsidR="00C84A16" w:rsidRPr="006B7270" w:rsidRDefault="00C84A16" w:rsidP="00C84A16">
            <w:pPr>
              <w:rPr>
                <w:rFonts w:ascii="Calibri" w:hAnsi="Calibri"/>
                <w:b/>
                <w:bCs/>
                <w:color w:val="3F3F76"/>
                <w:sz w:val="19"/>
                <w:szCs w:val="19"/>
              </w:rPr>
            </w:pPr>
          </w:p>
        </w:tc>
        <w:tc>
          <w:tcPr>
            <w:tcW w:w="7371" w:type="dxa"/>
            <w:gridSpan w:val="2"/>
            <w:vMerge/>
            <w:tcBorders>
              <w:top w:val="single" w:sz="4" w:space="0" w:color="auto"/>
              <w:left w:val="single" w:sz="4" w:space="0" w:color="auto"/>
              <w:bottom w:val="single" w:sz="4" w:space="0" w:color="auto"/>
              <w:right w:val="single" w:sz="4" w:space="0" w:color="auto"/>
            </w:tcBorders>
            <w:vAlign w:val="center"/>
            <w:hideMark/>
          </w:tcPr>
          <w:p w14:paraId="21DC2511" w14:textId="77777777" w:rsidR="00C84A16" w:rsidRPr="006B7270" w:rsidRDefault="00C84A16" w:rsidP="00C84A16">
            <w:pPr>
              <w:rPr>
                <w:rFonts w:ascii="Calibri" w:hAnsi="Calibri"/>
                <w:b/>
                <w:bCs/>
                <w:color w:val="3F3F76"/>
                <w:sz w:val="19"/>
                <w:szCs w:val="19"/>
              </w:rPr>
            </w:pPr>
          </w:p>
        </w:tc>
      </w:tr>
      <w:tr w:rsidR="00C84A16" w:rsidRPr="006B7270" w14:paraId="785CD6BB" w14:textId="77777777" w:rsidTr="006B7270">
        <w:trPr>
          <w:trHeight w:val="600"/>
        </w:trPr>
        <w:tc>
          <w:tcPr>
            <w:tcW w:w="984" w:type="dxa"/>
            <w:tcBorders>
              <w:top w:val="nil"/>
              <w:left w:val="single" w:sz="8" w:space="0" w:color="auto"/>
              <w:bottom w:val="single" w:sz="8" w:space="0" w:color="auto"/>
              <w:right w:val="nil"/>
            </w:tcBorders>
            <w:shd w:val="clear" w:color="000000" w:fill="FF0000"/>
            <w:vAlign w:val="center"/>
            <w:hideMark/>
          </w:tcPr>
          <w:p w14:paraId="6EBD3F9A" w14:textId="77777777" w:rsidR="00C84A16" w:rsidRPr="006B7270" w:rsidRDefault="00C84A16" w:rsidP="00C84A16">
            <w:pPr>
              <w:rPr>
                <w:rFonts w:ascii="Calibri" w:hAnsi="Calibri"/>
                <w:b/>
                <w:bCs/>
                <w:color w:val="FFFFFF"/>
                <w:sz w:val="19"/>
                <w:szCs w:val="19"/>
              </w:rPr>
            </w:pPr>
            <w:r w:rsidRPr="006B7270">
              <w:rPr>
                <w:rFonts w:ascii="Calibri" w:hAnsi="Calibri"/>
                <w:b/>
                <w:bCs/>
                <w:color w:val="FFFFFF"/>
                <w:sz w:val="19"/>
                <w:szCs w:val="19"/>
              </w:rPr>
              <w:t>Priorité -1</w:t>
            </w:r>
          </w:p>
        </w:tc>
        <w:tc>
          <w:tcPr>
            <w:tcW w:w="14037" w:type="dxa"/>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6D3DD68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Réduire très significativement les nouvelles infections parmi les populations vulnérables (en l’occurrence les jeunes filles, les jeunes femmes), les populations clés et éliminer celle chez les enfants</w:t>
            </w:r>
          </w:p>
        </w:tc>
      </w:tr>
      <w:tr w:rsidR="00C84A16" w:rsidRPr="006B7270" w14:paraId="7116B2F8" w14:textId="77777777" w:rsidTr="006B7270">
        <w:trPr>
          <w:gridBefore w:val="1"/>
          <w:wBefore w:w="984" w:type="dxa"/>
          <w:trHeight w:val="340"/>
        </w:trPr>
        <w:tc>
          <w:tcPr>
            <w:tcW w:w="960" w:type="dxa"/>
            <w:tcBorders>
              <w:top w:val="nil"/>
              <w:left w:val="single" w:sz="8" w:space="0" w:color="auto"/>
              <w:bottom w:val="single" w:sz="8" w:space="0" w:color="auto"/>
              <w:right w:val="nil"/>
            </w:tcBorders>
            <w:shd w:val="clear" w:color="000000" w:fill="00B0F0"/>
            <w:vAlign w:val="center"/>
            <w:hideMark/>
          </w:tcPr>
          <w:p w14:paraId="1CA6B959" w14:textId="77777777" w:rsidR="00C84A16" w:rsidRPr="006B7270" w:rsidRDefault="00C84A16" w:rsidP="00C84A16">
            <w:pPr>
              <w:rPr>
                <w:rFonts w:ascii="Calibri" w:hAnsi="Calibri"/>
                <w:color w:val="FFFFFF"/>
                <w:sz w:val="19"/>
                <w:szCs w:val="19"/>
              </w:rPr>
            </w:pPr>
            <w:r w:rsidRPr="006B7270">
              <w:rPr>
                <w:rFonts w:ascii="Calibri" w:hAnsi="Calibri"/>
                <w:color w:val="FFFFFF"/>
                <w:sz w:val="19"/>
                <w:szCs w:val="19"/>
              </w:rPr>
              <w:t>Impact-1</w:t>
            </w:r>
          </w:p>
        </w:tc>
        <w:tc>
          <w:tcPr>
            <w:tcW w:w="13077"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4321571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Les nouvelles infections sont réduites de 50% d’ici à fin 2022</w:t>
            </w:r>
          </w:p>
        </w:tc>
      </w:tr>
      <w:tr w:rsidR="00C84A16" w:rsidRPr="006B7270" w14:paraId="37E20603" w14:textId="77777777" w:rsidTr="006B7270">
        <w:trPr>
          <w:trHeight w:val="280"/>
        </w:trPr>
        <w:tc>
          <w:tcPr>
            <w:tcW w:w="984" w:type="dxa"/>
            <w:tcBorders>
              <w:top w:val="nil"/>
              <w:left w:val="nil"/>
              <w:bottom w:val="nil"/>
              <w:right w:val="nil"/>
            </w:tcBorders>
            <w:shd w:val="clear" w:color="000000" w:fill="FFFFFF"/>
            <w:noWrap/>
            <w:vAlign w:val="center"/>
            <w:hideMark/>
          </w:tcPr>
          <w:p w14:paraId="0EDCB4F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417AF6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BB1521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A8363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1.1-Au moins 80% des populations clés (PS, UDI, HSH) et populations vulnérables (Miniers, routiers, hommes en uniforme, populations carcérales, pêcheurs, jeunes) ont des comportements à moindre risque d’ici 2022</w:t>
            </w:r>
          </w:p>
        </w:tc>
        <w:tc>
          <w:tcPr>
            <w:tcW w:w="3247" w:type="dxa"/>
            <w:vMerge w:val="restart"/>
            <w:tcBorders>
              <w:top w:val="nil"/>
              <w:left w:val="single" w:sz="4" w:space="0" w:color="auto"/>
              <w:bottom w:val="single" w:sz="4" w:space="0" w:color="000000"/>
              <w:right w:val="single" w:sz="4" w:space="0" w:color="auto"/>
            </w:tcBorders>
            <w:shd w:val="clear" w:color="000000" w:fill="FFFFFF"/>
            <w:hideMark/>
          </w:tcPr>
          <w:p w14:paraId="1C34DCB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90% des PS bénéficient du paquet compréhensif de services de prévention (sensibilisation, dépistage VIH, soins IST, préservatifs, référence si besoin)</w:t>
            </w:r>
          </w:p>
        </w:tc>
        <w:tc>
          <w:tcPr>
            <w:tcW w:w="7371" w:type="dxa"/>
            <w:gridSpan w:val="2"/>
            <w:tcBorders>
              <w:top w:val="nil"/>
              <w:left w:val="nil"/>
              <w:bottom w:val="single" w:sz="4" w:space="0" w:color="auto"/>
              <w:right w:val="single" w:sz="4" w:space="0" w:color="auto"/>
            </w:tcBorders>
            <w:shd w:val="clear" w:color="000000" w:fill="FFFFFF"/>
            <w:hideMark/>
          </w:tcPr>
          <w:p w14:paraId="3303E7D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Actualisation de la cartographie des PS</w:t>
            </w:r>
          </w:p>
        </w:tc>
      </w:tr>
      <w:tr w:rsidR="00C84A16" w:rsidRPr="006B7270" w14:paraId="6F3305B1" w14:textId="77777777" w:rsidTr="006B7270">
        <w:trPr>
          <w:trHeight w:val="539"/>
        </w:trPr>
        <w:tc>
          <w:tcPr>
            <w:tcW w:w="984" w:type="dxa"/>
            <w:tcBorders>
              <w:top w:val="nil"/>
              <w:left w:val="nil"/>
              <w:bottom w:val="nil"/>
              <w:right w:val="nil"/>
            </w:tcBorders>
            <w:shd w:val="clear" w:color="000000" w:fill="FFFFFF"/>
            <w:noWrap/>
            <w:vAlign w:val="center"/>
            <w:hideMark/>
          </w:tcPr>
          <w:p w14:paraId="750D71E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FD8DDA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DBC250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5E4B9A9" w14:textId="77777777" w:rsidR="00C84A16" w:rsidRPr="006B7270" w:rsidRDefault="00C84A16"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hideMark/>
          </w:tcPr>
          <w:p w14:paraId="02B34C82" w14:textId="77777777" w:rsidR="00C84A16" w:rsidRPr="006B7270" w:rsidRDefault="00C84A16" w:rsidP="00C84A16">
            <w:pPr>
              <w:rPr>
                <w:rFonts w:ascii="Calibri" w:hAnsi="Calibri"/>
                <w:color w:val="000000"/>
                <w:sz w:val="19"/>
                <w:szCs w:val="19"/>
              </w:rPr>
            </w:pPr>
          </w:p>
        </w:tc>
        <w:tc>
          <w:tcPr>
            <w:tcW w:w="7371" w:type="dxa"/>
            <w:gridSpan w:val="2"/>
            <w:tcBorders>
              <w:top w:val="nil"/>
              <w:left w:val="nil"/>
              <w:bottom w:val="single" w:sz="4" w:space="0" w:color="auto"/>
              <w:right w:val="single" w:sz="4" w:space="0" w:color="auto"/>
            </w:tcBorders>
            <w:shd w:val="clear" w:color="000000" w:fill="FFFFFF"/>
            <w:hideMark/>
          </w:tcPr>
          <w:p w14:paraId="338ACEF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capacités des acteurs et de structures communautaires pour la riposte au sida auprès des PS</w:t>
            </w:r>
          </w:p>
        </w:tc>
      </w:tr>
      <w:tr w:rsidR="00C84A16" w:rsidRPr="006B7270" w14:paraId="06EDBC2C" w14:textId="77777777" w:rsidTr="006B7270">
        <w:trPr>
          <w:trHeight w:val="560"/>
        </w:trPr>
        <w:tc>
          <w:tcPr>
            <w:tcW w:w="984" w:type="dxa"/>
            <w:tcBorders>
              <w:top w:val="nil"/>
              <w:left w:val="nil"/>
              <w:bottom w:val="nil"/>
              <w:right w:val="nil"/>
            </w:tcBorders>
            <w:shd w:val="clear" w:color="000000" w:fill="FFFFFF"/>
            <w:noWrap/>
            <w:vAlign w:val="center"/>
            <w:hideMark/>
          </w:tcPr>
          <w:p w14:paraId="136E42F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080C250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4F607F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7D9D4B73" w14:textId="77777777" w:rsidR="00C84A16" w:rsidRPr="006B7270" w:rsidRDefault="00C84A16"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hideMark/>
          </w:tcPr>
          <w:p w14:paraId="1664731D" w14:textId="77777777" w:rsidR="00C84A16" w:rsidRPr="006B7270" w:rsidRDefault="00C84A16" w:rsidP="00C84A16">
            <w:pPr>
              <w:rPr>
                <w:rFonts w:ascii="Calibri" w:hAnsi="Calibri"/>
                <w:color w:val="000000"/>
                <w:sz w:val="19"/>
                <w:szCs w:val="19"/>
              </w:rPr>
            </w:pPr>
          </w:p>
        </w:tc>
        <w:tc>
          <w:tcPr>
            <w:tcW w:w="7371" w:type="dxa"/>
            <w:gridSpan w:val="2"/>
            <w:tcBorders>
              <w:top w:val="nil"/>
              <w:left w:val="nil"/>
              <w:bottom w:val="single" w:sz="4" w:space="0" w:color="auto"/>
              <w:right w:val="single" w:sz="4" w:space="0" w:color="auto"/>
            </w:tcBorders>
            <w:shd w:val="clear" w:color="000000" w:fill="FFFFFF"/>
            <w:hideMark/>
          </w:tcPr>
          <w:p w14:paraId="26A0EE96" w14:textId="410C8917" w:rsidR="00C84A16" w:rsidRPr="006B7270" w:rsidRDefault="00C84A16" w:rsidP="00C84A16">
            <w:pPr>
              <w:rPr>
                <w:rFonts w:ascii="Calibri" w:hAnsi="Calibri"/>
                <w:color w:val="000000"/>
                <w:sz w:val="19"/>
                <w:szCs w:val="19"/>
              </w:rPr>
            </w:pPr>
            <w:r w:rsidRPr="006B7270">
              <w:rPr>
                <w:rFonts w:ascii="Calibri" w:hAnsi="Calibri"/>
                <w:color w:val="000000"/>
                <w:sz w:val="19"/>
                <w:szCs w:val="19"/>
              </w:rPr>
              <w:t>Intensification des activit</w:t>
            </w:r>
            <w:r w:rsidR="00D51632" w:rsidRPr="006B7270">
              <w:rPr>
                <w:rFonts w:ascii="Calibri" w:hAnsi="Calibri"/>
                <w:color w:val="000000"/>
                <w:sz w:val="19"/>
                <w:szCs w:val="19"/>
              </w:rPr>
              <w:t>é</w:t>
            </w:r>
            <w:r w:rsidRPr="006B7270">
              <w:rPr>
                <w:rFonts w:ascii="Calibri" w:hAnsi="Calibri"/>
                <w:color w:val="000000"/>
                <w:sz w:val="19"/>
                <w:szCs w:val="19"/>
              </w:rPr>
              <w:t>s de prévention/dépistage du VIH et des IST (y compris les soins) auprès des PS</w:t>
            </w:r>
          </w:p>
        </w:tc>
      </w:tr>
      <w:tr w:rsidR="00C84A16" w:rsidRPr="006B7270" w14:paraId="29D236C9" w14:textId="77777777" w:rsidTr="006B7270">
        <w:trPr>
          <w:trHeight w:val="280"/>
        </w:trPr>
        <w:tc>
          <w:tcPr>
            <w:tcW w:w="984" w:type="dxa"/>
            <w:tcBorders>
              <w:top w:val="nil"/>
              <w:left w:val="nil"/>
              <w:bottom w:val="nil"/>
              <w:right w:val="nil"/>
            </w:tcBorders>
            <w:shd w:val="clear" w:color="000000" w:fill="FFFFFF"/>
            <w:noWrap/>
            <w:vAlign w:val="center"/>
            <w:hideMark/>
          </w:tcPr>
          <w:p w14:paraId="6958A8F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0957FD4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0F9C60F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7D3FB059" w14:textId="77777777" w:rsidR="00C84A16" w:rsidRPr="006B7270" w:rsidRDefault="00C84A16" w:rsidP="00C84A16">
            <w:pPr>
              <w:rPr>
                <w:rFonts w:ascii="Calibri" w:hAnsi="Calibri"/>
                <w:color w:val="000000"/>
                <w:sz w:val="19"/>
                <w:szCs w:val="19"/>
              </w:rPr>
            </w:pPr>
          </w:p>
        </w:tc>
        <w:tc>
          <w:tcPr>
            <w:tcW w:w="3247" w:type="dxa"/>
            <w:vMerge w:val="restart"/>
            <w:tcBorders>
              <w:top w:val="nil"/>
              <w:left w:val="single" w:sz="4" w:space="0" w:color="auto"/>
              <w:bottom w:val="single" w:sz="4" w:space="0" w:color="000000"/>
              <w:right w:val="single" w:sz="4" w:space="0" w:color="auto"/>
            </w:tcBorders>
            <w:shd w:val="clear" w:color="000000" w:fill="FFFFFF"/>
            <w:hideMark/>
          </w:tcPr>
          <w:p w14:paraId="0F5D4C6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90% des HSH bénéficient du paquet compréhensif de services de prévention (sensibilisation, dépistage VIH, soins IST, préservatifs, référence si besoin)</w:t>
            </w:r>
          </w:p>
        </w:tc>
        <w:tc>
          <w:tcPr>
            <w:tcW w:w="7371" w:type="dxa"/>
            <w:gridSpan w:val="2"/>
            <w:tcBorders>
              <w:top w:val="nil"/>
              <w:left w:val="nil"/>
              <w:bottom w:val="single" w:sz="4" w:space="0" w:color="auto"/>
              <w:right w:val="single" w:sz="4" w:space="0" w:color="auto"/>
            </w:tcBorders>
            <w:shd w:val="clear" w:color="000000" w:fill="FFFFFF"/>
            <w:hideMark/>
          </w:tcPr>
          <w:p w14:paraId="0947FD6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Actualisation de la cartographie des HSH</w:t>
            </w:r>
          </w:p>
        </w:tc>
      </w:tr>
      <w:tr w:rsidR="00C84A16" w:rsidRPr="006B7270" w14:paraId="08A232B5" w14:textId="77777777" w:rsidTr="006B7270">
        <w:trPr>
          <w:trHeight w:val="403"/>
        </w:trPr>
        <w:tc>
          <w:tcPr>
            <w:tcW w:w="984" w:type="dxa"/>
            <w:tcBorders>
              <w:top w:val="nil"/>
              <w:left w:val="nil"/>
              <w:bottom w:val="nil"/>
              <w:right w:val="nil"/>
            </w:tcBorders>
            <w:shd w:val="clear" w:color="000000" w:fill="FFFFFF"/>
            <w:noWrap/>
            <w:vAlign w:val="center"/>
            <w:hideMark/>
          </w:tcPr>
          <w:p w14:paraId="008C7DF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8C9F28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66A17E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F241615" w14:textId="77777777" w:rsidR="00C84A16" w:rsidRPr="006B7270" w:rsidRDefault="00C84A16"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hideMark/>
          </w:tcPr>
          <w:p w14:paraId="766FE9E9" w14:textId="77777777" w:rsidR="00C84A16" w:rsidRPr="006B7270" w:rsidRDefault="00C84A16" w:rsidP="00C84A16">
            <w:pPr>
              <w:rPr>
                <w:rFonts w:ascii="Calibri" w:hAnsi="Calibri"/>
                <w:color w:val="000000"/>
                <w:sz w:val="19"/>
                <w:szCs w:val="19"/>
              </w:rPr>
            </w:pPr>
          </w:p>
        </w:tc>
        <w:tc>
          <w:tcPr>
            <w:tcW w:w="7371" w:type="dxa"/>
            <w:gridSpan w:val="2"/>
            <w:tcBorders>
              <w:top w:val="nil"/>
              <w:left w:val="nil"/>
              <w:bottom w:val="single" w:sz="4" w:space="0" w:color="auto"/>
              <w:right w:val="single" w:sz="4" w:space="0" w:color="auto"/>
            </w:tcBorders>
            <w:shd w:val="clear" w:color="000000" w:fill="FFFFFF"/>
            <w:hideMark/>
          </w:tcPr>
          <w:p w14:paraId="3E6D780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capacités des acteurs et de structures communautaires pour la riposte au sida auprès des HSH</w:t>
            </w:r>
          </w:p>
        </w:tc>
      </w:tr>
      <w:tr w:rsidR="00C84A16" w:rsidRPr="006B7270" w14:paraId="736C8D1C" w14:textId="77777777" w:rsidTr="006B7270">
        <w:trPr>
          <w:trHeight w:val="560"/>
        </w:trPr>
        <w:tc>
          <w:tcPr>
            <w:tcW w:w="984" w:type="dxa"/>
            <w:tcBorders>
              <w:top w:val="nil"/>
              <w:left w:val="nil"/>
              <w:bottom w:val="nil"/>
              <w:right w:val="nil"/>
            </w:tcBorders>
            <w:shd w:val="clear" w:color="000000" w:fill="FFFFFF"/>
            <w:noWrap/>
            <w:vAlign w:val="center"/>
            <w:hideMark/>
          </w:tcPr>
          <w:p w14:paraId="518009E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38085C4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33C7D6B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4853806" w14:textId="77777777" w:rsidR="00C84A16" w:rsidRPr="006B7270" w:rsidRDefault="00C84A16"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hideMark/>
          </w:tcPr>
          <w:p w14:paraId="55C2F63A" w14:textId="77777777" w:rsidR="00C84A16" w:rsidRPr="006B7270" w:rsidRDefault="00C84A16" w:rsidP="00C84A16">
            <w:pPr>
              <w:rPr>
                <w:rFonts w:ascii="Calibri" w:hAnsi="Calibri"/>
                <w:color w:val="000000"/>
                <w:sz w:val="19"/>
                <w:szCs w:val="19"/>
              </w:rPr>
            </w:pPr>
          </w:p>
        </w:tc>
        <w:tc>
          <w:tcPr>
            <w:tcW w:w="7371" w:type="dxa"/>
            <w:gridSpan w:val="2"/>
            <w:tcBorders>
              <w:top w:val="nil"/>
              <w:left w:val="nil"/>
              <w:bottom w:val="single" w:sz="4" w:space="0" w:color="auto"/>
              <w:right w:val="single" w:sz="4" w:space="0" w:color="auto"/>
            </w:tcBorders>
            <w:shd w:val="clear" w:color="000000" w:fill="FFFFFF"/>
            <w:hideMark/>
          </w:tcPr>
          <w:p w14:paraId="336CE3D1" w14:textId="18F4013D" w:rsidR="00C84A16" w:rsidRPr="006B7270" w:rsidRDefault="00C84A16" w:rsidP="00C84A16">
            <w:pPr>
              <w:rPr>
                <w:rFonts w:ascii="Calibri" w:hAnsi="Calibri"/>
                <w:color w:val="000000"/>
                <w:sz w:val="19"/>
                <w:szCs w:val="19"/>
              </w:rPr>
            </w:pPr>
            <w:r w:rsidRPr="006B7270">
              <w:rPr>
                <w:rFonts w:ascii="Calibri" w:hAnsi="Calibri"/>
                <w:color w:val="000000"/>
                <w:sz w:val="19"/>
                <w:szCs w:val="19"/>
              </w:rPr>
              <w:t>Intensification des activit</w:t>
            </w:r>
            <w:r w:rsidR="00D51632" w:rsidRPr="006B7270">
              <w:rPr>
                <w:rFonts w:ascii="Calibri" w:hAnsi="Calibri"/>
                <w:color w:val="000000"/>
                <w:sz w:val="19"/>
                <w:szCs w:val="19"/>
              </w:rPr>
              <w:t>é</w:t>
            </w:r>
            <w:r w:rsidRPr="006B7270">
              <w:rPr>
                <w:rFonts w:ascii="Calibri" w:hAnsi="Calibri"/>
                <w:color w:val="000000"/>
                <w:sz w:val="19"/>
                <w:szCs w:val="19"/>
              </w:rPr>
              <w:t>s de prévention/dépistage du VIH et des IST (y compris les soins) auprès des HSH</w:t>
            </w:r>
          </w:p>
        </w:tc>
      </w:tr>
      <w:tr w:rsidR="00C84A16" w:rsidRPr="006B7270" w14:paraId="29C80F9D" w14:textId="77777777" w:rsidTr="006B7270">
        <w:trPr>
          <w:trHeight w:val="280"/>
        </w:trPr>
        <w:tc>
          <w:tcPr>
            <w:tcW w:w="984" w:type="dxa"/>
            <w:tcBorders>
              <w:top w:val="nil"/>
              <w:left w:val="nil"/>
              <w:bottom w:val="nil"/>
              <w:right w:val="nil"/>
            </w:tcBorders>
            <w:shd w:val="clear" w:color="000000" w:fill="FFFFFF"/>
            <w:noWrap/>
            <w:vAlign w:val="center"/>
            <w:hideMark/>
          </w:tcPr>
          <w:p w14:paraId="266E504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109826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4DDDEB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EB554F7" w14:textId="77777777" w:rsidR="00C84A16" w:rsidRPr="006B7270" w:rsidRDefault="00C84A16" w:rsidP="00C84A16">
            <w:pPr>
              <w:rPr>
                <w:rFonts w:ascii="Calibri" w:hAnsi="Calibri"/>
                <w:color w:val="000000"/>
                <w:sz w:val="19"/>
                <w:szCs w:val="19"/>
              </w:rPr>
            </w:pPr>
          </w:p>
        </w:tc>
        <w:tc>
          <w:tcPr>
            <w:tcW w:w="3247" w:type="dxa"/>
            <w:vMerge w:val="restart"/>
            <w:tcBorders>
              <w:top w:val="nil"/>
              <w:left w:val="single" w:sz="4" w:space="0" w:color="auto"/>
              <w:bottom w:val="single" w:sz="4" w:space="0" w:color="000000"/>
              <w:right w:val="single" w:sz="4" w:space="0" w:color="auto"/>
            </w:tcBorders>
            <w:shd w:val="clear" w:color="000000" w:fill="FFFFFF"/>
            <w:hideMark/>
          </w:tcPr>
          <w:p w14:paraId="2D895CB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70% des UDI bénéficient du paquet compréhensif de services de prévention (sensibilisation, dépistage VIH, soins IST, préservatifs, référence si besoin)</w:t>
            </w:r>
          </w:p>
        </w:tc>
        <w:tc>
          <w:tcPr>
            <w:tcW w:w="7371" w:type="dxa"/>
            <w:gridSpan w:val="2"/>
            <w:tcBorders>
              <w:top w:val="nil"/>
              <w:left w:val="nil"/>
              <w:bottom w:val="single" w:sz="4" w:space="0" w:color="auto"/>
              <w:right w:val="single" w:sz="4" w:space="0" w:color="auto"/>
            </w:tcBorders>
            <w:shd w:val="clear" w:color="000000" w:fill="FFFFFF"/>
            <w:hideMark/>
          </w:tcPr>
          <w:p w14:paraId="09B6181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Actualisation de la cartographie des UDI</w:t>
            </w:r>
          </w:p>
        </w:tc>
      </w:tr>
      <w:tr w:rsidR="00C84A16" w:rsidRPr="006B7270" w14:paraId="4F5A6CCD" w14:textId="77777777" w:rsidTr="006B7270">
        <w:trPr>
          <w:trHeight w:val="450"/>
        </w:trPr>
        <w:tc>
          <w:tcPr>
            <w:tcW w:w="984" w:type="dxa"/>
            <w:tcBorders>
              <w:top w:val="nil"/>
              <w:left w:val="nil"/>
              <w:bottom w:val="nil"/>
              <w:right w:val="nil"/>
            </w:tcBorders>
            <w:shd w:val="clear" w:color="000000" w:fill="FFFFFF"/>
            <w:noWrap/>
            <w:vAlign w:val="center"/>
            <w:hideMark/>
          </w:tcPr>
          <w:p w14:paraId="7B0BD64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02805E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A77846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61F2535" w14:textId="77777777" w:rsidR="00C84A16" w:rsidRPr="006B7270" w:rsidRDefault="00C84A16"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hideMark/>
          </w:tcPr>
          <w:p w14:paraId="73E32829" w14:textId="77777777" w:rsidR="00C84A16" w:rsidRPr="006B7270" w:rsidRDefault="00C84A16" w:rsidP="00C84A16">
            <w:pPr>
              <w:rPr>
                <w:rFonts w:ascii="Calibri" w:hAnsi="Calibri"/>
                <w:color w:val="000000"/>
                <w:sz w:val="19"/>
                <w:szCs w:val="19"/>
              </w:rPr>
            </w:pPr>
          </w:p>
        </w:tc>
        <w:tc>
          <w:tcPr>
            <w:tcW w:w="7371" w:type="dxa"/>
            <w:gridSpan w:val="2"/>
            <w:tcBorders>
              <w:top w:val="nil"/>
              <w:left w:val="nil"/>
              <w:bottom w:val="single" w:sz="4" w:space="0" w:color="auto"/>
              <w:right w:val="single" w:sz="4" w:space="0" w:color="auto"/>
            </w:tcBorders>
            <w:shd w:val="clear" w:color="000000" w:fill="FFFFFF"/>
            <w:hideMark/>
          </w:tcPr>
          <w:p w14:paraId="6C8898C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capacités des acteurs et de structures communautaires pour la riposte au sida auprès des UDI</w:t>
            </w:r>
          </w:p>
        </w:tc>
      </w:tr>
      <w:tr w:rsidR="00C84A16" w:rsidRPr="006B7270" w14:paraId="677B3616" w14:textId="77777777" w:rsidTr="006B7270">
        <w:trPr>
          <w:trHeight w:val="247"/>
        </w:trPr>
        <w:tc>
          <w:tcPr>
            <w:tcW w:w="984" w:type="dxa"/>
            <w:tcBorders>
              <w:top w:val="nil"/>
              <w:left w:val="nil"/>
              <w:bottom w:val="nil"/>
              <w:right w:val="nil"/>
            </w:tcBorders>
            <w:shd w:val="clear" w:color="000000" w:fill="FFFFFF"/>
            <w:noWrap/>
            <w:vAlign w:val="center"/>
            <w:hideMark/>
          </w:tcPr>
          <w:p w14:paraId="5B0CD23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5E91E0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B311C0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60C0DB6" w14:textId="77777777" w:rsidR="00C84A16" w:rsidRPr="006B7270" w:rsidRDefault="00C84A16"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hideMark/>
          </w:tcPr>
          <w:p w14:paraId="6776AD32" w14:textId="77777777" w:rsidR="00C84A16" w:rsidRPr="006B7270" w:rsidRDefault="00C84A16" w:rsidP="00C84A16">
            <w:pPr>
              <w:rPr>
                <w:rFonts w:ascii="Calibri" w:hAnsi="Calibri"/>
                <w:color w:val="000000"/>
                <w:sz w:val="19"/>
                <w:szCs w:val="19"/>
              </w:rPr>
            </w:pPr>
          </w:p>
        </w:tc>
        <w:tc>
          <w:tcPr>
            <w:tcW w:w="7371" w:type="dxa"/>
            <w:gridSpan w:val="2"/>
            <w:tcBorders>
              <w:top w:val="nil"/>
              <w:left w:val="nil"/>
              <w:bottom w:val="single" w:sz="4" w:space="0" w:color="auto"/>
              <w:right w:val="single" w:sz="4" w:space="0" w:color="auto"/>
            </w:tcBorders>
            <w:shd w:val="clear" w:color="000000" w:fill="FFFFFF"/>
            <w:hideMark/>
          </w:tcPr>
          <w:p w14:paraId="4EDF4C34" w14:textId="5B725DFF"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Intensification des </w:t>
            </w:r>
            <w:r w:rsidR="005B0A9B" w:rsidRPr="006B7270">
              <w:rPr>
                <w:rFonts w:ascii="Calibri" w:hAnsi="Calibri"/>
                <w:color w:val="000000"/>
                <w:sz w:val="19"/>
                <w:szCs w:val="19"/>
              </w:rPr>
              <w:t>activités</w:t>
            </w:r>
            <w:r w:rsidRPr="006B7270">
              <w:rPr>
                <w:rFonts w:ascii="Calibri" w:hAnsi="Calibri"/>
                <w:color w:val="000000"/>
                <w:sz w:val="19"/>
                <w:szCs w:val="19"/>
              </w:rPr>
              <w:t xml:space="preserve"> de prévention/dépistage du VIH et des IST auprès des UDI</w:t>
            </w:r>
          </w:p>
        </w:tc>
      </w:tr>
      <w:tr w:rsidR="00C84A16" w:rsidRPr="006B7270" w14:paraId="710208E4" w14:textId="77777777" w:rsidTr="006B7270">
        <w:trPr>
          <w:trHeight w:val="553"/>
        </w:trPr>
        <w:tc>
          <w:tcPr>
            <w:tcW w:w="984" w:type="dxa"/>
            <w:tcBorders>
              <w:top w:val="nil"/>
              <w:left w:val="nil"/>
              <w:bottom w:val="nil"/>
              <w:right w:val="nil"/>
            </w:tcBorders>
            <w:shd w:val="clear" w:color="000000" w:fill="FFFFFF"/>
            <w:noWrap/>
            <w:vAlign w:val="center"/>
            <w:hideMark/>
          </w:tcPr>
          <w:p w14:paraId="7CD6E9F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BDAB23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FF41A8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2AACDD8" w14:textId="77777777" w:rsidR="00C84A16" w:rsidRPr="006B7270" w:rsidRDefault="00C84A16" w:rsidP="00C84A16">
            <w:pPr>
              <w:rPr>
                <w:rFonts w:ascii="Calibri" w:hAnsi="Calibri"/>
                <w:color w:val="000000"/>
                <w:sz w:val="19"/>
                <w:szCs w:val="19"/>
              </w:rPr>
            </w:pPr>
          </w:p>
        </w:tc>
        <w:tc>
          <w:tcPr>
            <w:tcW w:w="3247" w:type="dxa"/>
            <w:vMerge w:val="restart"/>
            <w:tcBorders>
              <w:top w:val="nil"/>
              <w:left w:val="single" w:sz="4" w:space="0" w:color="auto"/>
              <w:bottom w:val="single" w:sz="4" w:space="0" w:color="000000"/>
              <w:right w:val="single" w:sz="4" w:space="0" w:color="auto"/>
            </w:tcBorders>
            <w:shd w:val="clear" w:color="000000" w:fill="FFFFFF"/>
            <w:hideMark/>
          </w:tcPr>
          <w:p w14:paraId="6DA7837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 Au moins 80% des jeunes/adolescent bénéficient de programme intégré de VIH/SSRAJ </w:t>
            </w:r>
          </w:p>
        </w:tc>
        <w:tc>
          <w:tcPr>
            <w:tcW w:w="7371" w:type="dxa"/>
            <w:gridSpan w:val="2"/>
            <w:tcBorders>
              <w:top w:val="nil"/>
              <w:left w:val="nil"/>
              <w:bottom w:val="single" w:sz="4" w:space="0" w:color="auto"/>
              <w:right w:val="single" w:sz="4" w:space="0" w:color="auto"/>
            </w:tcBorders>
            <w:shd w:val="clear" w:color="000000" w:fill="FFFFFF"/>
            <w:hideMark/>
          </w:tcPr>
          <w:p w14:paraId="4E6AC48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Intégration de l'éducation sexuelle complète dans les curricula des établissements secondaires, universitaires et professionnels</w:t>
            </w:r>
          </w:p>
        </w:tc>
      </w:tr>
      <w:tr w:rsidR="00C84A16" w:rsidRPr="006B7270" w14:paraId="738394B5" w14:textId="77777777" w:rsidTr="006B7270">
        <w:trPr>
          <w:trHeight w:val="560"/>
        </w:trPr>
        <w:tc>
          <w:tcPr>
            <w:tcW w:w="984" w:type="dxa"/>
            <w:tcBorders>
              <w:top w:val="nil"/>
              <w:left w:val="nil"/>
              <w:bottom w:val="nil"/>
              <w:right w:val="nil"/>
            </w:tcBorders>
            <w:shd w:val="clear" w:color="000000" w:fill="FFFFFF"/>
            <w:noWrap/>
            <w:vAlign w:val="center"/>
            <w:hideMark/>
          </w:tcPr>
          <w:p w14:paraId="761C063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C2761B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7DDBAAE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6F3927F4" w14:textId="77777777" w:rsidR="00C84A16" w:rsidRPr="006B7270" w:rsidRDefault="00C84A16"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hideMark/>
          </w:tcPr>
          <w:p w14:paraId="7EBE9E2B" w14:textId="77777777" w:rsidR="00C84A16" w:rsidRPr="006B7270" w:rsidRDefault="00C84A16" w:rsidP="00C84A16">
            <w:pPr>
              <w:rPr>
                <w:rFonts w:ascii="Calibri" w:hAnsi="Calibri"/>
                <w:color w:val="000000"/>
                <w:sz w:val="19"/>
                <w:szCs w:val="19"/>
              </w:rPr>
            </w:pPr>
          </w:p>
        </w:tc>
        <w:tc>
          <w:tcPr>
            <w:tcW w:w="7371" w:type="dxa"/>
            <w:gridSpan w:val="2"/>
            <w:tcBorders>
              <w:top w:val="nil"/>
              <w:left w:val="nil"/>
              <w:bottom w:val="single" w:sz="4" w:space="0" w:color="auto"/>
              <w:right w:val="single" w:sz="4" w:space="0" w:color="auto"/>
            </w:tcBorders>
            <w:shd w:val="clear" w:color="000000" w:fill="FFFFFF"/>
            <w:hideMark/>
          </w:tcPr>
          <w:p w14:paraId="71C6D26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Renforcement des capacités des CECOJE, Associations/réseaux /ONG et les maisons de jeunes </w:t>
            </w:r>
          </w:p>
        </w:tc>
      </w:tr>
      <w:tr w:rsidR="00C84A16" w:rsidRPr="006B7270" w14:paraId="0BF796AB" w14:textId="77777777" w:rsidTr="006B7270">
        <w:trPr>
          <w:trHeight w:val="541"/>
        </w:trPr>
        <w:tc>
          <w:tcPr>
            <w:tcW w:w="984" w:type="dxa"/>
            <w:tcBorders>
              <w:top w:val="nil"/>
              <w:left w:val="nil"/>
              <w:bottom w:val="nil"/>
              <w:right w:val="nil"/>
            </w:tcBorders>
            <w:shd w:val="clear" w:color="000000" w:fill="FFFFFF"/>
            <w:noWrap/>
            <w:vAlign w:val="center"/>
            <w:hideMark/>
          </w:tcPr>
          <w:p w14:paraId="19ECE05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F6805F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4B96E5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8CB778C" w14:textId="77777777" w:rsidR="00C84A16" w:rsidRPr="006B7270" w:rsidRDefault="00C84A16"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hideMark/>
          </w:tcPr>
          <w:p w14:paraId="50B5EB35" w14:textId="77777777" w:rsidR="00C84A16" w:rsidRPr="006B7270" w:rsidRDefault="00C84A16" w:rsidP="00C84A16">
            <w:pPr>
              <w:rPr>
                <w:rFonts w:ascii="Calibri" w:hAnsi="Calibri"/>
                <w:color w:val="000000"/>
                <w:sz w:val="19"/>
                <w:szCs w:val="19"/>
              </w:rPr>
            </w:pPr>
          </w:p>
        </w:tc>
        <w:tc>
          <w:tcPr>
            <w:tcW w:w="7371" w:type="dxa"/>
            <w:gridSpan w:val="2"/>
            <w:tcBorders>
              <w:top w:val="nil"/>
              <w:left w:val="nil"/>
              <w:bottom w:val="single" w:sz="4" w:space="0" w:color="auto"/>
              <w:right w:val="single" w:sz="4" w:space="0" w:color="auto"/>
            </w:tcBorders>
            <w:shd w:val="clear" w:color="000000" w:fill="FFFFFF"/>
            <w:hideMark/>
          </w:tcPr>
          <w:p w14:paraId="6E0D36A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Intensification de la communication pour le changement de comportements dans les CECOJE et au sein des communautés </w:t>
            </w:r>
          </w:p>
        </w:tc>
      </w:tr>
      <w:tr w:rsidR="00C84A16" w:rsidRPr="006B7270" w14:paraId="3D4ECC03" w14:textId="77777777" w:rsidTr="006B7270">
        <w:trPr>
          <w:trHeight w:val="418"/>
        </w:trPr>
        <w:tc>
          <w:tcPr>
            <w:tcW w:w="984" w:type="dxa"/>
            <w:tcBorders>
              <w:top w:val="nil"/>
              <w:left w:val="nil"/>
              <w:bottom w:val="nil"/>
              <w:right w:val="nil"/>
            </w:tcBorders>
            <w:shd w:val="clear" w:color="000000" w:fill="FFFFFF"/>
            <w:noWrap/>
            <w:vAlign w:val="center"/>
            <w:hideMark/>
          </w:tcPr>
          <w:p w14:paraId="345BCF8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1342FE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0A1D7E1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287A15EA" w14:textId="77777777" w:rsidR="00C84A16" w:rsidRPr="006B7270" w:rsidRDefault="00C84A16" w:rsidP="00C84A16">
            <w:pPr>
              <w:rPr>
                <w:rFonts w:ascii="Calibri" w:hAnsi="Calibri"/>
                <w:color w:val="000000"/>
                <w:sz w:val="19"/>
                <w:szCs w:val="19"/>
              </w:rPr>
            </w:pPr>
          </w:p>
        </w:tc>
        <w:tc>
          <w:tcPr>
            <w:tcW w:w="3247" w:type="dxa"/>
            <w:vMerge w:val="restart"/>
            <w:tcBorders>
              <w:top w:val="nil"/>
              <w:left w:val="single" w:sz="4" w:space="0" w:color="auto"/>
              <w:bottom w:val="single" w:sz="4" w:space="0" w:color="000000"/>
              <w:right w:val="single" w:sz="4" w:space="0" w:color="auto"/>
            </w:tcBorders>
            <w:shd w:val="clear" w:color="000000" w:fill="FFFFFF"/>
            <w:hideMark/>
          </w:tcPr>
          <w:p w14:paraId="6EA76D46" w14:textId="72EFF92C" w:rsidR="00C84A16" w:rsidRPr="006B7270" w:rsidRDefault="00C84A16" w:rsidP="00C84A16">
            <w:pPr>
              <w:rPr>
                <w:rFonts w:ascii="Calibri" w:hAnsi="Calibri"/>
                <w:color w:val="000000"/>
                <w:sz w:val="19"/>
                <w:szCs w:val="19"/>
              </w:rPr>
            </w:pPr>
            <w:r w:rsidRPr="006B7270">
              <w:rPr>
                <w:rFonts w:ascii="Calibri" w:hAnsi="Calibri"/>
                <w:color w:val="000000"/>
                <w:sz w:val="19"/>
                <w:szCs w:val="19"/>
              </w:rPr>
              <w:t>65% des populations vulnérables (Miniers, routiers, hommes en uniforme, populations carcérales, pêcheurs sont touchés par des activités de prévention et ont a</w:t>
            </w:r>
            <w:r w:rsidR="00655677">
              <w:rPr>
                <w:rFonts w:ascii="Calibri" w:hAnsi="Calibri"/>
                <w:color w:val="000000"/>
                <w:sz w:val="19"/>
                <w:szCs w:val="19"/>
              </w:rPr>
              <w:t>ccès abordable</w:t>
            </w:r>
            <w:r w:rsidRPr="006B7270">
              <w:rPr>
                <w:rFonts w:ascii="Calibri" w:hAnsi="Calibri"/>
                <w:color w:val="000000"/>
                <w:sz w:val="19"/>
                <w:szCs w:val="19"/>
              </w:rPr>
              <w:t xml:space="preserve"> aux préservatifs (masculins et féminins) et au dépistage du VIH</w:t>
            </w:r>
          </w:p>
        </w:tc>
        <w:tc>
          <w:tcPr>
            <w:tcW w:w="7371" w:type="dxa"/>
            <w:gridSpan w:val="2"/>
            <w:tcBorders>
              <w:top w:val="nil"/>
              <w:left w:val="nil"/>
              <w:bottom w:val="single" w:sz="4" w:space="0" w:color="auto"/>
              <w:right w:val="single" w:sz="4" w:space="0" w:color="auto"/>
            </w:tcBorders>
            <w:shd w:val="clear" w:color="000000" w:fill="FFFFFF"/>
            <w:hideMark/>
          </w:tcPr>
          <w:p w14:paraId="28180A4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capacités des acteurs pour les interventions en faveur des populations vulnérables</w:t>
            </w:r>
          </w:p>
        </w:tc>
      </w:tr>
      <w:tr w:rsidR="00C84A16" w:rsidRPr="006B7270" w14:paraId="56DAED83" w14:textId="77777777" w:rsidTr="006B7270">
        <w:trPr>
          <w:trHeight w:val="720"/>
        </w:trPr>
        <w:tc>
          <w:tcPr>
            <w:tcW w:w="984" w:type="dxa"/>
            <w:tcBorders>
              <w:top w:val="nil"/>
              <w:left w:val="nil"/>
              <w:bottom w:val="nil"/>
              <w:right w:val="nil"/>
            </w:tcBorders>
            <w:shd w:val="clear" w:color="000000" w:fill="FFFFFF"/>
            <w:noWrap/>
            <w:vAlign w:val="center"/>
            <w:hideMark/>
          </w:tcPr>
          <w:p w14:paraId="12F56BD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6C375F1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347C77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3BC7029" w14:textId="77777777" w:rsidR="00C84A16" w:rsidRPr="006B7270" w:rsidRDefault="00C84A16"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hideMark/>
          </w:tcPr>
          <w:p w14:paraId="3F278A65" w14:textId="77777777" w:rsidR="00C84A16" w:rsidRPr="006B7270" w:rsidRDefault="00C84A16" w:rsidP="00C84A16">
            <w:pPr>
              <w:rPr>
                <w:rFonts w:ascii="Calibri" w:hAnsi="Calibri"/>
                <w:color w:val="000000"/>
                <w:sz w:val="19"/>
                <w:szCs w:val="19"/>
              </w:rPr>
            </w:pPr>
          </w:p>
        </w:tc>
        <w:tc>
          <w:tcPr>
            <w:tcW w:w="7371" w:type="dxa"/>
            <w:gridSpan w:val="2"/>
            <w:tcBorders>
              <w:top w:val="nil"/>
              <w:left w:val="nil"/>
              <w:bottom w:val="single" w:sz="4" w:space="0" w:color="auto"/>
              <w:right w:val="single" w:sz="4" w:space="0" w:color="auto"/>
            </w:tcBorders>
            <w:shd w:val="clear" w:color="000000" w:fill="FFFFFF"/>
            <w:hideMark/>
          </w:tcPr>
          <w:p w14:paraId="6AF512B1" w14:textId="2BDFDC6C" w:rsidR="00C84A16" w:rsidRPr="006B7270" w:rsidRDefault="00C84A16" w:rsidP="00C84A16">
            <w:pPr>
              <w:rPr>
                <w:rFonts w:ascii="Calibri" w:hAnsi="Calibri"/>
                <w:color w:val="000000"/>
                <w:sz w:val="19"/>
                <w:szCs w:val="19"/>
              </w:rPr>
            </w:pPr>
            <w:r w:rsidRPr="006B7270">
              <w:rPr>
                <w:rFonts w:ascii="Calibri" w:hAnsi="Calibri"/>
                <w:color w:val="000000"/>
                <w:sz w:val="19"/>
                <w:szCs w:val="19"/>
              </w:rPr>
              <w:t>Intensification des activit</w:t>
            </w:r>
            <w:r w:rsidR="00D51632" w:rsidRPr="006B7270">
              <w:rPr>
                <w:rFonts w:ascii="Calibri" w:hAnsi="Calibri"/>
                <w:color w:val="000000"/>
                <w:sz w:val="19"/>
                <w:szCs w:val="19"/>
              </w:rPr>
              <w:t>é</w:t>
            </w:r>
            <w:r w:rsidRPr="006B7270">
              <w:rPr>
                <w:rFonts w:ascii="Calibri" w:hAnsi="Calibri"/>
                <w:color w:val="000000"/>
                <w:sz w:val="19"/>
                <w:szCs w:val="19"/>
              </w:rPr>
              <w:t>s de prévention/dépistage du VIH et des IST auprès des populations vulnérables</w:t>
            </w:r>
          </w:p>
        </w:tc>
      </w:tr>
      <w:tr w:rsidR="001C7350" w:rsidRPr="006B7270" w14:paraId="6D5EA4D7" w14:textId="77777777" w:rsidTr="006B7270">
        <w:trPr>
          <w:trHeight w:val="720"/>
        </w:trPr>
        <w:tc>
          <w:tcPr>
            <w:tcW w:w="984" w:type="dxa"/>
            <w:tcBorders>
              <w:top w:val="nil"/>
              <w:left w:val="nil"/>
              <w:bottom w:val="nil"/>
              <w:right w:val="nil"/>
            </w:tcBorders>
            <w:shd w:val="clear" w:color="000000" w:fill="FFFFFF"/>
            <w:noWrap/>
            <w:vAlign w:val="center"/>
          </w:tcPr>
          <w:p w14:paraId="566F1AE1" w14:textId="77777777" w:rsidR="001C7350" w:rsidRPr="006B7270" w:rsidRDefault="001C7350" w:rsidP="00C84A16">
            <w:pPr>
              <w:rPr>
                <w:rFonts w:ascii="Calibri" w:hAnsi="Calibri"/>
                <w:color w:val="000000"/>
                <w:sz w:val="19"/>
                <w:szCs w:val="19"/>
              </w:rPr>
            </w:pPr>
          </w:p>
        </w:tc>
        <w:tc>
          <w:tcPr>
            <w:tcW w:w="960" w:type="dxa"/>
            <w:tcBorders>
              <w:top w:val="nil"/>
              <w:left w:val="nil"/>
              <w:bottom w:val="nil"/>
              <w:right w:val="nil"/>
            </w:tcBorders>
            <w:shd w:val="clear" w:color="000000" w:fill="FFFFFF"/>
            <w:noWrap/>
            <w:vAlign w:val="center"/>
          </w:tcPr>
          <w:p w14:paraId="7F670E4A" w14:textId="77777777" w:rsidR="001C7350" w:rsidRPr="006B7270" w:rsidRDefault="001C7350" w:rsidP="00C84A16">
            <w:pPr>
              <w:rPr>
                <w:rFonts w:ascii="Calibri" w:hAnsi="Calibri"/>
                <w:color w:val="000000"/>
                <w:sz w:val="19"/>
                <w:szCs w:val="19"/>
              </w:rPr>
            </w:pPr>
          </w:p>
        </w:tc>
        <w:tc>
          <w:tcPr>
            <w:tcW w:w="260" w:type="dxa"/>
            <w:tcBorders>
              <w:top w:val="nil"/>
              <w:left w:val="nil"/>
              <w:bottom w:val="nil"/>
              <w:right w:val="nil"/>
            </w:tcBorders>
            <w:shd w:val="clear" w:color="000000" w:fill="FFFFFF"/>
            <w:noWrap/>
            <w:vAlign w:val="center"/>
          </w:tcPr>
          <w:p w14:paraId="2F9C23F2" w14:textId="77777777" w:rsidR="001C7350" w:rsidRPr="006B7270" w:rsidRDefault="001C7350" w:rsidP="00C84A16">
            <w:pPr>
              <w:rPr>
                <w:rFonts w:ascii="Calibri" w:hAnsi="Calibri"/>
                <w:color w:val="000000"/>
                <w:sz w:val="19"/>
                <w:szCs w:val="19"/>
              </w:rPr>
            </w:pPr>
          </w:p>
        </w:tc>
        <w:tc>
          <w:tcPr>
            <w:tcW w:w="2199" w:type="dxa"/>
            <w:vMerge/>
            <w:tcBorders>
              <w:top w:val="nil"/>
              <w:left w:val="single" w:sz="4" w:space="0" w:color="auto"/>
              <w:bottom w:val="single" w:sz="4" w:space="0" w:color="000000"/>
              <w:right w:val="single" w:sz="4" w:space="0" w:color="auto"/>
            </w:tcBorders>
            <w:vAlign w:val="center"/>
          </w:tcPr>
          <w:p w14:paraId="141BC685" w14:textId="77777777" w:rsidR="001C7350" w:rsidRPr="006B7270" w:rsidRDefault="001C7350"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tcPr>
          <w:p w14:paraId="089B9A5C" w14:textId="77777777" w:rsidR="001C7350" w:rsidRPr="006B7270" w:rsidRDefault="001C7350" w:rsidP="00C84A16">
            <w:pPr>
              <w:rPr>
                <w:rFonts w:ascii="Calibri" w:hAnsi="Calibri"/>
                <w:color w:val="000000"/>
                <w:sz w:val="19"/>
                <w:szCs w:val="19"/>
              </w:rPr>
            </w:pPr>
          </w:p>
        </w:tc>
        <w:tc>
          <w:tcPr>
            <w:tcW w:w="7371" w:type="dxa"/>
            <w:gridSpan w:val="2"/>
            <w:tcBorders>
              <w:top w:val="nil"/>
              <w:left w:val="nil"/>
              <w:bottom w:val="single" w:sz="4" w:space="0" w:color="auto"/>
              <w:right w:val="single" w:sz="4" w:space="0" w:color="auto"/>
            </w:tcBorders>
            <w:shd w:val="clear" w:color="000000" w:fill="FFFFFF"/>
          </w:tcPr>
          <w:p w14:paraId="547D7E2F" w14:textId="093E44FB" w:rsidR="001C7350" w:rsidRPr="006B7270" w:rsidRDefault="00655677" w:rsidP="00C84A16">
            <w:pPr>
              <w:rPr>
                <w:rFonts w:ascii="Calibri" w:hAnsi="Calibri"/>
                <w:color w:val="000000"/>
                <w:sz w:val="19"/>
                <w:szCs w:val="19"/>
              </w:rPr>
            </w:pPr>
            <w:r w:rsidRPr="006B7270">
              <w:rPr>
                <w:rFonts w:ascii="Calibri" w:hAnsi="Calibri"/>
                <w:color w:val="000000"/>
                <w:sz w:val="19"/>
                <w:szCs w:val="19"/>
              </w:rPr>
              <w:t>Élaboration</w:t>
            </w:r>
            <w:r w:rsidR="001C7350" w:rsidRPr="006B7270">
              <w:rPr>
                <w:rFonts w:ascii="Calibri" w:hAnsi="Calibri"/>
                <w:color w:val="000000"/>
                <w:sz w:val="19"/>
                <w:szCs w:val="19"/>
              </w:rPr>
              <w:t xml:space="preserve"> et mise en œuvre de la politique de distribution et marketing social des préservatifs</w:t>
            </w:r>
          </w:p>
        </w:tc>
      </w:tr>
      <w:tr w:rsidR="00C84A16" w:rsidRPr="006B7270" w14:paraId="105955E1" w14:textId="77777777" w:rsidTr="006B7270">
        <w:trPr>
          <w:trHeight w:val="287"/>
        </w:trPr>
        <w:tc>
          <w:tcPr>
            <w:tcW w:w="984" w:type="dxa"/>
            <w:tcBorders>
              <w:top w:val="nil"/>
              <w:left w:val="nil"/>
              <w:bottom w:val="nil"/>
              <w:right w:val="nil"/>
            </w:tcBorders>
            <w:shd w:val="clear" w:color="000000" w:fill="FFFFFF"/>
            <w:noWrap/>
            <w:vAlign w:val="center"/>
            <w:hideMark/>
          </w:tcPr>
          <w:p w14:paraId="41DD9B1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6D92885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985F93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nil"/>
              <w:right w:val="single" w:sz="4" w:space="0" w:color="auto"/>
            </w:tcBorders>
            <w:shd w:val="clear" w:color="000000" w:fill="FFFFFF"/>
            <w:vAlign w:val="center"/>
            <w:hideMark/>
          </w:tcPr>
          <w:p w14:paraId="13B61A55" w14:textId="26614194" w:rsidR="00C84A16" w:rsidRPr="006B7270" w:rsidRDefault="00C84A16" w:rsidP="00C84A16">
            <w:pPr>
              <w:rPr>
                <w:rFonts w:ascii="Calibri" w:hAnsi="Calibri"/>
                <w:color w:val="000000"/>
                <w:sz w:val="19"/>
                <w:szCs w:val="19"/>
              </w:rPr>
            </w:pPr>
            <w:r w:rsidRPr="006B7270">
              <w:rPr>
                <w:rFonts w:ascii="Calibri" w:hAnsi="Calibri"/>
                <w:color w:val="000000"/>
                <w:sz w:val="19"/>
                <w:szCs w:val="19"/>
              </w:rPr>
              <w:t>1.2-La proportion des personnes dépistées par les acte</w:t>
            </w:r>
            <w:r w:rsidR="00655677">
              <w:rPr>
                <w:rFonts w:ascii="Calibri" w:hAnsi="Calibri"/>
                <w:color w:val="000000"/>
                <w:sz w:val="19"/>
                <w:szCs w:val="19"/>
              </w:rPr>
              <w:t xml:space="preserve">urs communautaires atteint 50% </w:t>
            </w:r>
            <w:r w:rsidRPr="006B7270">
              <w:rPr>
                <w:rFonts w:ascii="Calibri" w:hAnsi="Calibri"/>
                <w:color w:val="000000"/>
                <w:sz w:val="19"/>
                <w:szCs w:val="19"/>
              </w:rPr>
              <w:t>fin 2022</w:t>
            </w:r>
          </w:p>
        </w:tc>
        <w:tc>
          <w:tcPr>
            <w:tcW w:w="3247" w:type="dxa"/>
            <w:vMerge w:val="restart"/>
            <w:tcBorders>
              <w:top w:val="nil"/>
              <w:left w:val="single" w:sz="4" w:space="0" w:color="auto"/>
              <w:bottom w:val="single" w:sz="4" w:space="0" w:color="000000"/>
              <w:right w:val="single" w:sz="4" w:space="0" w:color="auto"/>
            </w:tcBorders>
            <w:shd w:val="clear" w:color="000000" w:fill="FFFFFF"/>
            <w:hideMark/>
          </w:tcPr>
          <w:p w14:paraId="4C1CEB92" w14:textId="4B6DE7E3"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Des capacités communautaires sont </w:t>
            </w:r>
            <w:r w:rsidR="00655677" w:rsidRPr="006B7270">
              <w:rPr>
                <w:rFonts w:ascii="Calibri" w:hAnsi="Calibri"/>
                <w:color w:val="000000"/>
                <w:sz w:val="19"/>
                <w:szCs w:val="19"/>
              </w:rPr>
              <w:t>développées</w:t>
            </w:r>
            <w:r w:rsidRPr="006B7270">
              <w:rPr>
                <w:rFonts w:ascii="Calibri" w:hAnsi="Calibri"/>
                <w:color w:val="000000"/>
                <w:sz w:val="19"/>
                <w:szCs w:val="19"/>
              </w:rPr>
              <w:t xml:space="preserve"> dans le domaine du dépistage du VIH </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0C861ED4" w14:textId="43A0E662" w:rsidR="00C84A16" w:rsidRPr="006B7270" w:rsidRDefault="001C7350" w:rsidP="00C84A16">
            <w:pPr>
              <w:rPr>
                <w:rFonts w:ascii="Calibri" w:hAnsi="Calibri"/>
                <w:color w:val="000000"/>
                <w:sz w:val="19"/>
                <w:szCs w:val="19"/>
              </w:rPr>
            </w:pPr>
            <w:r w:rsidRPr="006B7270">
              <w:rPr>
                <w:rFonts w:ascii="Calibri" w:hAnsi="Calibri"/>
                <w:color w:val="000000"/>
                <w:sz w:val="19"/>
                <w:szCs w:val="19"/>
              </w:rPr>
              <w:t>Révision</w:t>
            </w:r>
            <w:r w:rsidR="00C84A16" w:rsidRPr="006B7270">
              <w:rPr>
                <w:rFonts w:ascii="Calibri" w:hAnsi="Calibri"/>
                <w:color w:val="000000"/>
                <w:sz w:val="19"/>
                <w:szCs w:val="19"/>
              </w:rPr>
              <w:t>/adaptation des directives et normes de dépistage</w:t>
            </w:r>
          </w:p>
        </w:tc>
      </w:tr>
      <w:tr w:rsidR="001C7350" w:rsidRPr="006B7270" w14:paraId="548750DF" w14:textId="77777777" w:rsidTr="006B7270">
        <w:trPr>
          <w:trHeight w:val="287"/>
        </w:trPr>
        <w:tc>
          <w:tcPr>
            <w:tcW w:w="984" w:type="dxa"/>
            <w:tcBorders>
              <w:top w:val="nil"/>
              <w:left w:val="nil"/>
              <w:bottom w:val="nil"/>
              <w:right w:val="nil"/>
            </w:tcBorders>
            <w:shd w:val="clear" w:color="000000" w:fill="FFFFFF"/>
            <w:noWrap/>
            <w:vAlign w:val="center"/>
          </w:tcPr>
          <w:p w14:paraId="19DE4931" w14:textId="77777777" w:rsidR="001C7350" w:rsidRPr="006B7270" w:rsidRDefault="001C7350" w:rsidP="00C84A16">
            <w:pPr>
              <w:rPr>
                <w:rFonts w:ascii="Calibri" w:hAnsi="Calibri"/>
                <w:color w:val="000000"/>
                <w:sz w:val="19"/>
                <w:szCs w:val="19"/>
              </w:rPr>
            </w:pPr>
          </w:p>
        </w:tc>
        <w:tc>
          <w:tcPr>
            <w:tcW w:w="960" w:type="dxa"/>
            <w:tcBorders>
              <w:top w:val="nil"/>
              <w:left w:val="nil"/>
              <w:bottom w:val="nil"/>
              <w:right w:val="nil"/>
            </w:tcBorders>
            <w:shd w:val="clear" w:color="000000" w:fill="FFFFFF"/>
            <w:noWrap/>
            <w:vAlign w:val="center"/>
          </w:tcPr>
          <w:p w14:paraId="7FAA8B7A" w14:textId="77777777" w:rsidR="001C7350" w:rsidRPr="006B7270" w:rsidRDefault="001C7350" w:rsidP="00C84A16">
            <w:pPr>
              <w:rPr>
                <w:rFonts w:ascii="Calibri" w:hAnsi="Calibri"/>
                <w:color w:val="000000"/>
                <w:sz w:val="19"/>
                <w:szCs w:val="19"/>
              </w:rPr>
            </w:pPr>
          </w:p>
        </w:tc>
        <w:tc>
          <w:tcPr>
            <w:tcW w:w="260" w:type="dxa"/>
            <w:tcBorders>
              <w:top w:val="nil"/>
              <w:left w:val="nil"/>
              <w:bottom w:val="nil"/>
              <w:right w:val="nil"/>
            </w:tcBorders>
            <w:shd w:val="clear" w:color="000000" w:fill="FFFFFF"/>
            <w:noWrap/>
            <w:vAlign w:val="center"/>
          </w:tcPr>
          <w:p w14:paraId="4CB5CDBE" w14:textId="77777777" w:rsidR="001C7350" w:rsidRPr="006B7270" w:rsidRDefault="001C7350" w:rsidP="00C84A16">
            <w:pPr>
              <w:rPr>
                <w:rFonts w:ascii="Calibri" w:hAnsi="Calibri"/>
                <w:color w:val="000000"/>
                <w:sz w:val="19"/>
                <w:szCs w:val="19"/>
              </w:rPr>
            </w:pPr>
          </w:p>
        </w:tc>
        <w:tc>
          <w:tcPr>
            <w:tcW w:w="2199" w:type="dxa"/>
            <w:vMerge/>
            <w:tcBorders>
              <w:top w:val="nil"/>
              <w:left w:val="single" w:sz="4" w:space="0" w:color="auto"/>
              <w:bottom w:val="nil"/>
              <w:right w:val="single" w:sz="4" w:space="0" w:color="auto"/>
            </w:tcBorders>
            <w:shd w:val="clear" w:color="000000" w:fill="FFFFFF"/>
            <w:vAlign w:val="center"/>
          </w:tcPr>
          <w:p w14:paraId="75A2C6C4" w14:textId="77777777" w:rsidR="001C7350" w:rsidRPr="006B7270" w:rsidRDefault="001C7350"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shd w:val="clear" w:color="000000" w:fill="FFFFFF"/>
          </w:tcPr>
          <w:p w14:paraId="00B037C1" w14:textId="77777777" w:rsidR="001C7350" w:rsidRPr="006B7270" w:rsidRDefault="001C7350"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tcPr>
          <w:p w14:paraId="0357A5FB" w14:textId="229BB497" w:rsidR="001C7350" w:rsidRPr="006B7270" w:rsidRDefault="001C7350" w:rsidP="00C84A16">
            <w:pPr>
              <w:rPr>
                <w:rFonts w:ascii="Calibri" w:hAnsi="Calibri"/>
                <w:color w:val="000000"/>
                <w:sz w:val="19"/>
                <w:szCs w:val="19"/>
              </w:rPr>
            </w:pPr>
            <w:r w:rsidRPr="006B7270">
              <w:rPr>
                <w:rFonts w:ascii="Calibri" w:hAnsi="Calibri"/>
                <w:color w:val="000000"/>
                <w:sz w:val="19"/>
                <w:szCs w:val="19"/>
              </w:rPr>
              <w:t>Développement des capacités communautaires de dépistage</w:t>
            </w:r>
          </w:p>
        </w:tc>
      </w:tr>
      <w:tr w:rsidR="001C7350" w:rsidRPr="006B7270" w14:paraId="2108F262" w14:textId="77777777" w:rsidTr="006B7270">
        <w:trPr>
          <w:trHeight w:val="287"/>
        </w:trPr>
        <w:tc>
          <w:tcPr>
            <w:tcW w:w="984" w:type="dxa"/>
            <w:tcBorders>
              <w:top w:val="nil"/>
              <w:left w:val="nil"/>
              <w:bottom w:val="nil"/>
              <w:right w:val="nil"/>
            </w:tcBorders>
            <w:shd w:val="clear" w:color="000000" w:fill="FFFFFF"/>
            <w:noWrap/>
            <w:vAlign w:val="center"/>
          </w:tcPr>
          <w:p w14:paraId="59180564" w14:textId="77777777" w:rsidR="001C7350" w:rsidRPr="006B7270" w:rsidRDefault="001C7350" w:rsidP="00C84A16">
            <w:pPr>
              <w:rPr>
                <w:rFonts w:ascii="Calibri" w:hAnsi="Calibri"/>
                <w:color w:val="000000"/>
                <w:sz w:val="19"/>
                <w:szCs w:val="19"/>
              </w:rPr>
            </w:pPr>
          </w:p>
        </w:tc>
        <w:tc>
          <w:tcPr>
            <w:tcW w:w="960" w:type="dxa"/>
            <w:tcBorders>
              <w:top w:val="nil"/>
              <w:left w:val="nil"/>
              <w:bottom w:val="nil"/>
              <w:right w:val="nil"/>
            </w:tcBorders>
            <w:shd w:val="clear" w:color="000000" w:fill="FFFFFF"/>
            <w:noWrap/>
            <w:vAlign w:val="center"/>
          </w:tcPr>
          <w:p w14:paraId="0993AEF7" w14:textId="77777777" w:rsidR="001C7350" w:rsidRPr="006B7270" w:rsidRDefault="001C7350" w:rsidP="00C84A16">
            <w:pPr>
              <w:rPr>
                <w:rFonts w:ascii="Calibri" w:hAnsi="Calibri"/>
                <w:color w:val="000000"/>
                <w:sz w:val="19"/>
                <w:szCs w:val="19"/>
              </w:rPr>
            </w:pPr>
          </w:p>
        </w:tc>
        <w:tc>
          <w:tcPr>
            <w:tcW w:w="260" w:type="dxa"/>
            <w:tcBorders>
              <w:top w:val="nil"/>
              <w:left w:val="nil"/>
              <w:bottom w:val="nil"/>
              <w:right w:val="nil"/>
            </w:tcBorders>
            <w:shd w:val="clear" w:color="000000" w:fill="FFFFFF"/>
            <w:noWrap/>
            <w:vAlign w:val="center"/>
          </w:tcPr>
          <w:p w14:paraId="01ABE0D9" w14:textId="77777777" w:rsidR="001C7350" w:rsidRPr="006B7270" w:rsidRDefault="001C7350" w:rsidP="00C84A16">
            <w:pPr>
              <w:rPr>
                <w:rFonts w:ascii="Calibri" w:hAnsi="Calibri"/>
                <w:color w:val="000000"/>
                <w:sz w:val="19"/>
                <w:szCs w:val="19"/>
              </w:rPr>
            </w:pPr>
          </w:p>
        </w:tc>
        <w:tc>
          <w:tcPr>
            <w:tcW w:w="2199" w:type="dxa"/>
            <w:vMerge/>
            <w:tcBorders>
              <w:top w:val="nil"/>
              <w:left w:val="single" w:sz="4" w:space="0" w:color="auto"/>
              <w:bottom w:val="nil"/>
              <w:right w:val="single" w:sz="4" w:space="0" w:color="auto"/>
            </w:tcBorders>
            <w:shd w:val="clear" w:color="000000" w:fill="FFFFFF"/>
            <w:vAlign w:val="center"/>
          </w:tcPr>
          <w:p w14:paraId="39DD9144" w14:textId="77777777" w:rsidR="001C7350" w:rsidRPr="006B7270" w:rsidRDefault="001C7350"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shd w:val="clear" w:color="000000" w:fill="FFFFFF"/>
          </w:tcPr>
          <w:p w14:paraId="041AAC89" w14:textId="77777777" w:rsidR="001C7350" w:rsidRPr="006B7270" w:rsidRDefault="001C7350"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tcPr>
          <w:p w14:paraId="0E59AB2F" w14:textId="37F34EB9" w:rsidR="001C7350" w:rsidRPr="006B7270" w:rsidRDefault="001C7350" w:rsidP="00C84A16">
            <w:pPr>
              <w:rPr>
                <w:rFonts w:ascii="Calibri" w:hAnsi="Calibri"/>
                <w:color w:val="000000"/>
                <w:sz w:val="19"/>
                <w:szCs w:val="19"/>
              </w:rPr>
            </w:pPr>
            <w:r w:rsidRPr="006B7270">
              <w:rPr>
                <w:rFonts w:ascii="Calibri" w:hAnsi="Calibri"/>
                <w:color w:val="000000"/>
                <w:sz w:val="19"/>
                <w:szCs w:val="19"/>
              </w:rPr>
              <w:t>Développement des stratégies de dépistage en milieu communautaire y compris l'autotest</w:t>
            </w:r>
          </w:p>
        </w:tc>
      </w:tr>
      <w:tr w:rsidR="00C84A16" w:rsidRPr="006B7270" w14:paraId="7A632195" w14:textId="77777777" w:rsidTr="006B7270">
        <w:trPr>
          <w:trHeight w:val="419"/>
        </w:trPr>
        <w:tc>
          <w:tcPr>
            <w:tcW w:w="984" w:type="dxa"/>
            <w:tcBorders>
              <w:top w:val="nil"/>
              <w:left w:val="nil"/>
              <w:bottom w:val="nil"/>
              <w:right w:val="nil"/>
            </w:tcBorders>
            <w:shd w:val="clear" w:color="000000" w:fill="FFFFFF"/>
            <w:noWrap/>
            <w:vAlign w:val="center"/>
            <w:hideMark/>
          </w:tcPr>
          <w:p w14:paraId="4E40485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323326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8507CB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nil"/>
              <w:right w:val="single" w:sz="4" w:space="0" w:color="auto"/>
            </w:tcBorders>
            <w:vAlign w:val="center"/>
            <w:hideMark/>
          </w:tcPr>
          <w:p w14:paraId="52CE6621" w14:textId="77777777" w:rsidR="00C84A16" w:rsidRPr="006B7270" w:rsidRDefault="00C84A16" w:rsidP="00C84A16">
            <w:pPr>
              <w:rPr>
                <w:rFonts w:ascii="Calibri" w:hAnsi="Calibri"/>
                <w:color w:val="000000"/>
                <w:sz w:val="19"/>
                <w:szCs w:val="19"/>
              </w:rPr>
            </w:pPr>
          </w:p>
        </w:tc>
        <w:tc>
          <w:tcPr>
            <w:tcW w:w="3247" w:type="dxa"/>
            <w:vMerge/>
            <w:tcBorders>
              <w:top w:val="nil"/>
              <w:left w:val="single" w:sz="4" w:space="0" w:color="auto"/>
              <w:bottom w:val="single" w:sz="4" w:space="0" w:color="000000"/>
              <w:right w:val="single" w:sz="4" w:space="0" w:color="auto"/>
            </w:tcBorders>
            <w:vAlign w:val="center"/>
            <w:hideMark/>
          </w:tcPr>
          <w:p w14:paraId="5330E969"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167750CA" w14:textId="0A11018B" w:rsidR="00C84A16" w:rsidRPr="006B7270" w:rsidRDefault="001C7350" w:rsidP="00C84A16">
            <w:pPr>
              <w:rPr>
                <w:rFonts w:ascii="Calibri" w:hAnsi="Calibri"/>
                <w:color w:val="000000"/>
                <w:sz w:val="19"/>
                <w:szCs w:val="19"/>
              </w:rPr>
            </w:pPr>
            <w:r w:rsidRPr="006B7270">
              <w:rPr>
                <w:rFonts w:ascii="Calibri" w:hAnsi="Calibri"/>
                <w:color w:val="000000"/>
                <w:sz w:val="19"/>
                <w:szCs w:val="19"/>
              </w:rPr>
              <w:t>Mise en place de stratégies pour la référence/ traçabilité des personnes dépistées positives vers les centres de soins</w:t>
            </w:r>
          </w:p>
        </w:tc>
      </w:tr>
      <w:tr w:rsidR="00C84A16" w:rsidRPr="006B7270" w14:paraId="74D2411F" w14:textId="77777777" w:rsidTr="006B7270">
        <w:trPr>
          <w:trHeight w:val="640"/>
        </w:trPr>
        <w:tc>
          <w:tcPr>
            <w:tcW w:w="984" w:type="dxa"/>
            <w:tcBorders>
              <w:top w:val="nil"/>
              <w:left w:val="nil"/>
              <w:bottom w:val="nil"/>
              <w:right w:val="nil"/>
            </w:tcBorders>
            <w:shd w:val="clear" w:color="000000" w:fill="FFFFFF"/>
            <w:noWrap/>
            <w:vAlign w:val="center"/>
            <w:hideMark/>
          </w:tcPr>
          <w:p w14:paraId="661CBFB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7F43D3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FDDC12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9488C6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1.3-la transmission sanguine du VIH est éliminée (risque=0%) pendant la période 2018-2022</w:t>
            </w:r>
          </w:p>
        </w:tc>
        <w:tc>
          <w:tcPr>
            <w:tcW w:w="3247" w:type="dxa"/>
            <w:tcBorders>
              <w:top w:val="nil"/>
              <w:left w:val="nil"/>
              <w:bottom w:val="single" w:sz="4" w:space="0" w:color="auto"/>
              <w:right w:val="nil"/>
            </w:tcBorders>
            <w:shd w:val="clear" w:color="000000" w:fill="FFFFFF"/>
            <w:hideMark/>
          </w:tcPr>
          <w:p w14:paraId="5F400A8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100% des proches de sang sont testés et sécurisés</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36E11AEA" w14:textId="05506A6D"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w:t>
            </w:r>
            <w:r w:rsidR="001C7350" w:rsidRPr="006B7270">
              <w:rPr>
                <w:rFonts w:ascii="Calibri" w:hAnsi="Calibri"/>
                <w:color w:val="000000"/>
                <w:sz w:val="19"/>
                <w:szCs w:val="19"/>
              </w:rPr>
              <w:t>approvisionnement</w:t>
            </w:r>
            <w:r w:rsidRPr="006B7270">
              <w:rPr>
                <w:rFonts w:ascii="Calibri" w:hAnsi="Calibri"/>
                <w:color w:val="000000"/>
                <w:sz w:val="19"/>
                <w:szCs w:val="19"/>
              </w:rPr>
              <w:t xml:space="preserve"> des centres de transfusion en réactifs appropriés pour la sécurisation sanguine</w:t>
            </w:r>
          </w:p>
        </w:tc>
      </w:tr>
      <w:tr w:rsidR="00655677" w:rsidRPr="006B7270" w14:paraId="0EC88FB9" w14:textId="77777777" w:rsidTr="00655677">
        <w:trPr>
          <w:trHeight w:val="389"/>
        </w:trPr>
        <w:tc>
          <w:tcPr>
            <w:tcW w:w="984" w:type="dxa"/>
            <w:tcBorders>
              <w:top w:val="nil"/>
              <w:left w:val="nil"/>
              <w:bottom w:val="nil"/>
              <w:right w:val="nil"/>
            </w:tcBorders>
            <w:shd w:val="clear" w:color="000000" w:fill="FFFFFF"/>
            <w:noWrap/>
            <w:vAlign w:val="center"/>
          </w:tcPr>
          <w:p w14:paraId="48894DAC" w14:textId="77777777" w:rsidR="00655677" w:rsidRPr="006B7270" w:rsidRDefault="00655677" w:rsidP="00C84A16">
            <w:pPr>
              <w:rPr>
                <w:rFonts w:ascii="Calibri" w:hAnsi="Calibri"/>
                <w:color w:val="000000"/>
                <w:sz w:val="19"/>
                <w:szCs w:val="19"/>
              </w:rPr>
            </w:pPr>
          </w:p>
        </w:tc>
        <w:tc>
          <w:tcPr>
            <w:tcW w:w="960" w:type="dxa"/>
            <w:tcBorders>
              <w:top w:val="nil"/>
              <w:left w:val="nil"/>
              <w:bottom w:val="nil"/>
              <w:right w:val="nil"/>
            </w:tcBorders>
            <w:shd w:val="clear" w:color="000000" w:fill="FFFFFF"/>
            <w:noWrap/>
            <w:vAlign w:val="center"/>
          </w:tcPr>
          <w:p w14:paraId="5675ABC1" w14:textId="77777777" w:rsidR="00655677" w:rsidRPr="006B7270" w:rsidRDefault="00655677" w:rsidP="00C84A16">
            <w:pPr>
              <w:rPr>
                <w:rFonts w:ascii="Calibri" w:hAnsi="Calibri"/>
                <w:color w:val="000000"/>
                <w:sz w:val="19"/>
                <w:szCs w:val="19"/>
              </w:rPr>
            </w:pPr>
          </w:p>
        </w:tc>
        <w:tc>
          <w:tcPr>
            <w:tcW w:w="260" w:type="dxa"/>
            <w:tcBorders>
              <w:top w:val="nil"/>
              <w:left w:val="nil"/>
              <w:bottom w:val="nil"/>
              <w:right w:val="nil"/>
            </w:tcBorders>
            <w:shd w:val="clear" w:color="000000" w:fill="FFFFFF"/>
            <w:noWrap/>
            <w:vAlign w:val="center"/>
          </w:tcPr>
          <w:p w14:paraId="7B4AF702" w14:textId="77777777" w:rsidR="00655677" w:rsidRPr="006B7270" w:rsidRDefault="00655677" w:rsidP="00C84A16">
            <w:pPr>
              <w:rPr>
                <w:rFonts w:ascii="Calibri" w:hAnsi="Calibri"/>
                <w:color w:val="000000"/>
                <w:sz w:val="19"/>
                <w:szCs w:val="19"/>
              </w:rPr>
            </w:pPr>
          </w:p>
        </w:tc>
        <w:tc>
          <w:tcPr>
            <w:tcW w:w="2199" w:type="dxa"/>
            <w:vMerge/>
            <w:tcBorders>
              <w:top w:val="single" w:sz="4" w:space="0" w:color="auto"/>
              <w:left w:val="single" w:sz="4" w:space="0" w:color="auto"/>
              <w:bottom w:val="single" w:sz="4" w:space="0" w:color="000000"/>
              <w:right w:val="single" w:sz="4" w:space="0" w:color="auto"/>
            </w:tcBorders>
            <w:shd w:val="clear" w:color="000000" w:fill="FFFFFF"/>
            <w:vAlign w:val="center"/>
          </w:tcPr>
          <w:p w14:paraId="05F2F726" w14:textId="77777777" w:rsidR="00655677" w:rsidRPr="006B7270" w:rsidRDefault="00655677" w:rsidP="00C84A16">
            <w:pPr>
              <w:rPr>
                <w:rFonts w:ascii="Calibri" w:hAnsi="Calibri"/>
                <w:color w:val="000000"/>
                <w:sz w:val="19"/>
                <w:szCs w:val="19"/>
              </w:rPr>
            </w:pPr>
          </w:p>
        </w:tc>
        <w:tc>
          <w:tcPr>
            <w:tcW w:w="3247" w:type="dxa"/>
            <w:vMerge w:val="restart"/>
            <w:tcBorders>
              <w:top w:val="nil"/>
              <w:left w:val="nil"/>
              <w:right w:val="nil"/>
            </w:tcBorders>
            <w:shd w:val="clear" w:color="000000" w:fill="FFFFFF"/>
          </w:tcPr>
          <w:p w14:paraId="5500242D" w14:textId="0A6413A4" w:rsidR="00655677" w:rsidRPr="006B7270" w:rsidRDefault="00655677" w:rsidP="00C84A16">
            <w:pPr>
              <w:rPr>
                <w:rFonts w:ascii="Calibri" w:hAnsi="Calibri"/>
                <w:color w:val="000000"/>
                <w:sz w:val="19"/>
                <w:szCs w:val="19"/>
              </w:rPr>
            </w:pPr>
            <w:r w:rsidRPr="006B7270">
              <w:rPr>
                <w:rFonts w:ascii="Calibri" w:hAnsi="Calibri"/>
                <w:color w:val="000000"/>
                <w:sz w:val="19"/>
                <w:szCs w:val="19"/>
              </w:rPr>
              <w:t>Le nombre de donneurs bénévoles de sang est accru et 90% sont fidélisés</w:t>
            </w:r>
          </w:p>
        </w:tc>
        <w:tc>
          <w:tcPr>
            <w:tcW w:w="7371" w:type="dxa"/>
            <w:gridSpan w:val="2"/>
            <w:tcBorders>
              <w:top w:val="nil"/>
              <w:left w:val="single" w:sz="4" w:space="0" w:color="auto"/>
              <w:bottom w:val="single" w:sz="4" w:space="0" w:color="auto"/>
              <w:right w:val="single" w:sz="4" w:space="0" w:color="auto"/>
            </w:tcBorders>
            <w:shd w:val="clear" w:color="000000" w:fill="FFFFFF"/>
          </w:tcPr>
          <w:p w14:paraId="0178B51B" w14:textId="159D8AFC" w:rsidR="00655677" w:rsidRPr="006B7270" w:rsidRDefault="00655677" w:rsidP="00C84A16">
            <w:pPr>
              <w:rPr>
                <w:rFonts w:ascii="Calibri" w:hAnsi="Calibri"/>
                <w:color w:val="000000"/>
                <w:sz w:val="19"/>
                <w:szCs w:val="19"/>
              </w:rPr>
            </w:pPr>
            <w:r w:rsidRPr="006B7270">
              <w:rPr>
                <w:rFonts w:ascii="Calibri" w:hAnsi="Calibri"/>
                <w:color w:val="000000"/>
                <w:sz w:val="19"/>
                <w:szCs w:val="19"/>
              </w:rPr>
              <w:t>Renforcem</w:t>
            </w:r>
            <w:r>
              <w:rPr>
                <w:rFonts w:ascii="Calibri" w:hAnsi="Calibri"/>
                <w:color w:val="000000"/>
                <w:sz w:val="19"/>
                <w:szCs w:val="19"/>
              </w:rPr>
              <w:t>ent de la mobilisation sociale pour le</w:t>
            </w:r>
            <w:r w:rsidRPr="006B7270">
              <w:rPr>
                <w:rFonts w:ascii="Calibri" w:hAnsi="Calibri"/>
                <w:color w:val="000000"/>
                <w:sz w:val="19"/>
                <w:szCs w:val="19"/>
              </w:rPr>
              <w:t xml:space="preserve"> don volontaire de sang</w:t>
            </w:r>
          </w:p>
        </w:tc>
      </w:tr>
      <w:tr w:rsidR="00655677" w:rsidRPr="006B7270" w14:paraId="114F34CF" w14:textId="77777777" w:rsidTr="001C1B9A">
        <w:trPr>
          <w:trHeight w:val="280"/>
        </w:trPr>
        <w:tc>
          <w:tcPr>
            <w:tcW w:w="984" w:type="dxa"/>
            <w:tcBorders>
              <w:top w:val="nil"/>
              <w:left w:val="nil"/>
              <w:bottom w:val="nil"/>
              <w:right w:val="nil"/>
            </w:tcBorders>
            <w:shd w:val="clear" w:color="000000" w:fill="FFFFFF"/>
            <w:noWrap/>
            <w:vAlign w:val="center"/>
            <w:hideMark/>
          </w:tcPr>
          <w:p w14:paraId="4119325B" w14:textId="77777777" w:rsidR="00655677" w:rsidRPr="006B7270" w:rsidRDefault="00655677"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EAD9CB4" w14:textId="77777777" w:rsidR="00655677" w:rsidRPr="006B7270" w:rsidRDefault="00655677"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561A8D0" w14:textId="77777777" w:rsidR="00655677" w:rsidRPr="006B7270" w:rsidRDefault="00655677"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single" w:sz="4" w:space="0" w:color="auto"/>
              <w:left w:val="single" w:sz="4" w:space="0" w:color="auto"/>
              <w:bottom w:val="single" w:sz="4" w:space="0" w:color="000000"/>
              <w:right w:val="single" w:sz="4" w:space="0" w:color="auto"/>
            </w:tcBorders>
            <w:vAlign w:val="center"/>
            <w:hideMark/>
          </w:tcPr>
          <w:p w14:paraId="6E96247A" w14:textId="77777777" w:rsidR="00655677" w:rsidRPr="006B7270" w:rsidRDefault="00655677" w:rsidP="00C84A16">
            <w:pPr>
              <w:rPr>
                <w:rFonts w:ascii="Calibri" w:hAnsi="Calibri"/>
                <w:color w:val="000000"/>
                <w:sz w:val="19"/>
                <w:szCs w:val="19"/>
              </w:rPr>
            </w:pPr>
          </w:p>
        </w:tc>
        <w:tc>
          <w:tcPr>
            <w:tcW w:w="3247" w:type="dxa"/>
            <w:vMerge/>
            <w:tcBorders>
              <w:left w:val="single" w:sz="4" w:space="0" w:color="auto"/>
              <w:right w:val="nil"/>
            </w:tcBorders>
            <w:shd w:val="clear" w:color="000000" w:fill="FFFFFF"/>
            <w:hideMark/>
          </w:tcPr>
          <w:p w14:paraId="11025243" w14:textId="4B7CB622" w:rsidR="00655677" w:rsidRPr="006B7270" w:rsidRDefault="00655677" w:rsidP="00C84A16">
            <w:pPr>
              <w:rPr>
                <w:rFonts w:ascii="Calibri" w:hAnsi="Calibri"/>
                <w:color w:val="000000"/>
                <w:sz w:val="19"/>
                <w:szCs w:val="19"/>
              </w:rPr>
            </w:pPr>
          </w:p>
        </w:tc>
        <w:tc>
          <w:tcPr>
            <w:tcW w:w="7371" w:type="dxa"/>
            <w:gridSpan w:val="2"/>
            <w:vMerge w:val="restart"/>
            <w:tcBorders>
              <w:top w:val="nil"/>
              <w:left w:val="single" w:sz="4" w:space="0" w:color="auto"/>
              <w:bottom w:val="single" w:sz="4" w:space="0" w:color="auto"/>
              <w:right w:val="single" w:sz="4" w:space="0" w:color="auto"/>
            </w:tcBorders>
            <w:shd w:val="clear" w:color="000000" w:fill="FFFFFF"/>
            <w:hideMark/>
          </w:tcPr>
          <w:p w14:paraId="211A8439" w14:textId="549BFA5B" w:rsidR="00655677" w:rsidRPr="006B7270" w:rsidRDefault="00655677" w:rsidP="00C84A16">
            <w:pPr>
              <w:rPr>
                <w:rFonts w:ascii="Calibri" w:hAnsi="Calibri"/>
                <w:color w:val="000000"/>
                <w:sz w:val="19"/>
                <w:szCs w:val="19"/>
              </w:rPr>
            </w:pPr>
            <w:r>
              <w:rPr>
                <w:rFonts w:ascii="Calibri" w:hAnsi="Calibri"/>
                <w:color w:val="000000"/>
                <w:sz w:val="19"/>
                <w:szCs w:val="19"/>
              </w:rPr>
              <w:t>Renforcement des mesures de suivi accompagnement psychosocial des donneurs bénévoles de sang</w:t>
            </w:r>
          </w:p>
        </w:tc>
      </w:tr>
      <w:tr w:rsidR="00655677" w:rsidRPr="006B7270" w14:paraId="17907093" w14:textId="77777777" w:rsidTr="001C1B9A">
        <w:trPr>
          <w:trHeight w:val="280"/>
        </w:trPr>
        <w:tc>
          <w:tcPr>
            <w:tcW w:w="984" w:type="dxa"/>
            <w:tcBorders>
              <w:top w:val="nil"/>
              <w:left w:val="nil"/>
              <w:bottom w:val="nil"/>
              <w:right w:val="nil"/>
            </w:tcBorders>
            <w:shd w:val="clear" w:color="000000" w:fill="FFFFFF"/>
            <w:noWrap/>
            <w:vAlign w:val="center"/>
            <w:hideMark/>
          </w:tcPr>
          <w:p w14:paraId="26A9A239" w14:textId="77777777" w:rsidR="00655677" w:rsidRPr="006B7270" w:rsidRDefault="00655677"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4C120F3" w14:textId="77777777" w:rsidR="00655677" w:rsidRPr="006B7270" w:rsidRDefault="00655677"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019E59E" w14:textId="77777777" w:rsidR="00655677" w:rsidRPr="006B7270" w:rsidRDefault="00655677"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single" w:sz="4" w:space="0" w:color="auto"/>
              <w:left w:val="single" w:sz="4" w:space="0" w:color="auto"/>
              <w:bottom w:val="single" w:sz="4" w:space="0" w:color="000000"/>
              <w:right w:val="single" w:sz="4" w:space="0" w:color="auto"/>
            </w:tcBorders>
            <w:vAlign w:val="center"/>
            <w:hideMark/>
          </w:tcPr>
          <w:p w14:paraId="4C8AA1FC" w14:textId="77777777" w:rsidR="00655677" w:rsidRPr="006B7270" w:rsidRDefault="00655677" w:rsidP="00C84A16">
            <w:pPr>
              <w:rPr>
                <w:rFonts w:ascii="Calibri" w:hAnsi="Calibri"/>
                <w:color w:val="000000"/>
                <w:sz w:val="19"/>
                <w:szCs w:val="19"/>
              </w:rPr>
            </w:pPr>
          </w:p>
        </w:tc>
        <w:tc>
          <w:tcPr>
            <w:tcW w:w="3247" w:type="dxa"/>
            <w:vMerge/>
            <w:tcBorders>
              <w:left w:val="single" w:sz="4" w:space="0" w:color="auto"/>
              <w:bottom w:val="single" w:sz="4" w:space="0" w:color="000000"/>
              <w:right w:val="nil"/>
            </w:tcBorders>
            <w:vAlign w:val="center"/>
            <w:hideMark/>
          </w:tcPr>
          <w:p w14:paraId="7D75143D" w14:textId="77777777" w:rsidR="00655677" w:rsidRPr="006B7270" w:rsidRDefault="00655677" w:rsidP="00C84A16">
            <w:pPr>
              <w:rPr>
                <w:rFonts w:ascii="Calibri" w:hAnsi="Calibri"/>
                <w:color w:val="000000"/>
                <w:sz w:val="19"/>
                <w:szCs w:val="19"/>
              </w:rPr>
            </w:pPr>
          </w:p>
        </w:tc>
        <w:tc>
          <w:tcPr>
            <w:tcW w:w="7371" w:type="dxa"/>
            <w:gridSpan w:val="2"/>
            <w:vMerge/>
            <w:tcBorders>
              <w:top w:val="nil"/>
              <w:left w:val="single" w:sz="4" w:space="0" w:color="auto"/>
              <w:bottom w:val="single" w:sz="4" w:space="0" w:color="auto"/>
              <w:right w:val="single" w:sz="4" w:space="0" w:color="auto"/>
            </w:tcBorders>
            <w:vAlign w:val="center"/>
            <w:hideMark/>
          </w:tcPr>
          <w:p w14:paraId="0F96643F" w14:textId="77777777" w:rsidR="00655677" w:rsidRPr="006B7270" w:rsidRDefault="00655677" w:rsidP="00C84A16">
            <w:pPr>
              <w:rPr>
                <w:rFonts w:ascii="Calibri" w:hAnsi="Calibri"/>
                <w:color w:val="000000"/>
                <w:sz w:val="19"/>
                <w:szCs w:val="19"/>
              </w:rPr>
            </w:pPr>
          </w:p>
        </w:tc>
      </w:tr>
      <w:tr w:rsidR="00C84A16" w:rsidRPr="006B7270" w14:paraId="05D148A3" w14:textId="77777777" w:rsidTr="006B7270">
        <w:trPr>
          <w:trHeight w:val="543"/>
        </w:trPr>
        <w:tc>
          <w:tcPr>
            <w:tcW w:w="984" w:type="dxa"/>
            <w:tcBorders>
              <w:top w:val="nil"/>
              <w:left w:val="nil"/>
              <w:bottom w:val="nil"/>
              <w:right w:val="nil"/>
            </w:tcBorders>
            <w:shd w:val="clear" w:color="000000" w:fill="FFFFFF"/>
            <w:noWrap/>
            <w:vAlign w:val="center"/>
            <w:hideMark/>
          </w:tcPr>
          <w:p w14:paraId="5B0C93F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0C9440B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E83A73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single" w:sz="4" w:space="0" w:color="auto"/>
              <w:left w:val="single" w:sz="4" w:space="0" w:color="auto"/>
              <w:bottom w:val="single" w:sz="4" w:space="0" w:color="000000"/>
              <w:right w:val="single" w:sz="4" w:space="0" w:color="auto"/>
            </w:tcBorders>
            <w:vAlign w:val="center"/>
            <w:hideMark/>
          </w:tcPr>
          <w:p w14:paraId="0BB2B0B1"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6131234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Les cas d'accident d'exposition au sang sont réduits de 90%, les cas éventuels sont pris en charge et documentés</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3522743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capacités du personnel de santé et du personnel communautaire vulnérable en prévention des infections et bonnes pratiques</w:t>
            </w:r>
          </w:p>
        </w:tc>
      </w:tr>
      <w:tr w:rsidR="00C84A16" w:rsidRPr="006B7270" w14:paraId="525FBCDC" w14:textId="77777777" w:rsidTr="006B7270">
        <w:trPr>
          <w:trHeight w:val="280"/>
        </w:trPr>
        <w:tc>
          <w:tcPr>
            <w:tcW w:w="984" w:type="dxa"/>
            <w:tcBorders>
              <w:top w:val="nil"/>
              <w:left w:val="nil"/>
              <w:bottom w:val="nil"/>
              <w:right w:val="nil"/>
            </w:tcBorders>
            <w:shd w:val="clear" w:color="000000" w:fill="FFFFFF"/>
            <w:noWrap/>
            <w:vAlign w:val="center"/>
            <w:hideMark/>
          </w:tcPr>
          <w:p w14:paraId="2523FC5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0940F2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7B16804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single" w:sz="4" w:space="0" w:color="auto"/>
              <w:left w:val="single" w:sz="4" w:space="0" w:color="auto"/>
              <w:bottom w:val="single" w:sz="4" w:space="0" w:color="000000"/>
              <w:right w:val="single" w:sz="4" w:space="0" w:color="auto"/>
            </w:tcBorders>
            <w:vAlign w:val="center"/>
            <w:hideMark/>
          </w:tcPr>
          <w:p w14:paraId="2943B1F5"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250EC438"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428A655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Mettre en place un dispositif de prise en charge des cas d'AES</w:t>
            </w:r>
          </w:p>
        </w:tc>
      </w:tr>
      <w:tr w:rsidR="00C84A16" w:rsidRPr="006B7270" w14:paraId="207FE13C" w14:textId="77777777" w:rsidTr="006B7270">
        <w:trPr>
          <w:trHeight w:val="504"/>
        </w:trPr>
        <w:tc>
          <w:tcPr>
            <w:tcW w:w="984" w:type="dxa"/>
            <w:tcBorders>
              <w:top w:val="nil"/>
              <w:left w:val="nil"/>
              <w:bottom w:val="nil"/>
              <w:right w:val="nil"/>
            </w:tcBorders>
            <w:shd w:val="clear" w:color="000000" w:fill="FFFFFF"/>
            <w:noWrap/>
            <w:vAlign w:val="center"/>
            <w:hideMark/>
          </w:tcPr>
          <w:p w14:paraId="7143B88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E0B206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BE812E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single" w:sz="4" w:space="0" w:color="auto"/>
              <w:left w:val="single" w:sz="4" w:space="0" w:color="auto"/>
              <w:bottom w:val="single" w:sz="4" w:space="0" w:color="000000"/>
              <w:right w:val="single" w:sz="4" w:space="0" w:color="auto"/>
            </w:tcBorders>
            <w:vAlign w:val="center"/>
            <w:hideMark/>
          </w:tcPr>
          <w:p w14:paraId="3128D8F8"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07186169" w14:textId="25FEBAEB"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Les risques d'exposition au VIH chez les populations </w:t>
            </w:r>
            <w:r w:rsidR="007313AA" w:rsidRPr="006B7270">
              <w:rPr>
                <w:rFonts w:ascii="Calibri" w:hAnsi="Calibri"/>
                <w:color w:val="000000"/>
                <w:sz w:val="19"/>
                <w:szCs w:val="19"/>
              </w:rPr>
              <w:t>clés, le</w:t>
            </w:r>
            <w:r w:rsidRPr="006B7270">
              <w:rPr>
                <w:rFonts w:ascii="Calibri" w:hAnsi="Calibri"/>
                <w:color w:val="000000"/>
                <w:sz w:val="19"/>
                <w:szCs w:val="19"/>
              </w:rPr>
              <w:t xml:space="preserve"> personnel communautaire et le personnel de santé sont réduits</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4D5DBF4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Extension de la stratégie </w:t>
            </w:r>
            <w:proofErr w:type="spellStart"/>
            <w:r w:rsidRPr="006B7270">
              <w:rPr>
                <w:rFonts w:ascii="Calibri" w:hAnsi="Calibri"/>
                <w:color w:val="000000"/>
                <w:sz w:val="19"/>
                <w:szCs w:val="19"/>
              </w:rPr>
              <w:t>PeP</w:t>
            </w:r>
            <w:proofErr w:type="spellEnd"/>
            <w:r w:rsidRPr="006B7270">
              <w:rPr>
                <w:rFonts w:ascii="Calibri" w:hAnsi="Calibri"/>
                <w:color w:val="000000"/>
                <w:sz w:val="19"/>
                <w:szCs w:val="19"/>
              </w:rPr>
              <w:t xml:space="preserve"> au personnel de santé et personnel communautaire vulnérable</w:t>
            </w:r>
          </w:p>
        </w:tc>
      </w:tr>
      <w:tr w:rsidR="00C84A16" w:rsidRPr="006B7270" w14:paraId="163D0028" w14:textId="77777777" w:rsidTr="006B7270">
        <w:trPr>
          <w:trHeight w:val="498"/>
        </w:trPr>
        <w:tc>
          <w:tcPr>
            <w:tcW w:w="984" w:type="dxa"/>
            <w:tcBorders>
              <w:top w:val="nil"/>
              <w:left w:val="nil"/>
              <w:bottom w:val="nil"/>
              <w:right w:val="nil"/>
            </w:tcBorders>
            <w:shd w:val="clear" w:color="000000" w:fill="FFFFFF"/>
            <w:noWrap/>
            <w:vAlign w:val="center"/>
            <w:hideMark/>
          </w:tcPr>
          <w:p w14:paraId="64F0777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824D53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3813B06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single" w:sz="4" w:space="0" w:color="auto"/>
              <w:left w:val="single" w:sz="4" w:space="0" w:color="auto"/>
              <w:bottom w:val="single" w:sz="4" w:space="0" w:color="000000"/>
              <w:right w:val="single" w:sz="4" w:space="0" w:color="auto"/>
            </w:tcBorders>
            <w:vAlign w:val="center"/>
            <w:hideMark/>
          </w:tcPr>
          <w:p w14:paraId="66629BE8"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7003FA3B"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63A3994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Développement de la stratégie et du paquet d'offre </w:t>
            </w:r>
            <w:proofErr w:type="spellStart"/>
            <w:r w:rsidRPr="006B7270">
              <w:rPr>
                <w:rFonts w:ascii="Calibri" w:hAnsi="Calibri"/>
                <w:color w:val="000000"/>
                <w:sz w:val="19"/>
                <w:szCs w:val="19"/>
              </w:rPr>
              <w:t>PrEP</w:t>
            </w:r>
            <w:proofErr w:type="spellEnd"/>
            <w:r w:rsidRPr="006B7270">
              <w:rPr>
                <w:rFonts w:ascii="Calibri" w:hAnsi="Calibri"/>
                <w:color w:val="000000"/>
                <w:sz w:val="19"/>
                <w:szCs w:val="19"/>
              </w:rPr>
              <w:t xml:space="preserve"> pour les populations clés et les couples sérodiscordants</w:t>
            </w:r>
          </w:p>
        </w:tc>
      </w:tr>
      <w:tr w:rsidR="00C84A16" w:rsidRPr="006B7270" w14:paraId="5FFF62D2" w14:textId="77777777" w:rsidTr="006B7270">
        <w:trPr>
          <w:trHeight w:val="336"/>
        </w:trPr>
        <w:tc>
          <w:tcPr>
            <w:tcW w:w="984" w:type="dxa"/>
            <w:tcBorders>
              <w:top w:val="nil"/>
              <w:left w:val="nil"/>
              <w:bottom w:val="nil"/>
              <w:right w:val="nil"/>
            </w:tcBorders>
            <w:shd w:val="clear" w:color="000000" w:fill="FFFFFF"/>
            <w:noWrap/>
            <w:vAlign w:val="center"/>
            <w:hideMark/>
          </w:tcPr>
          <w:p w14:paraId="3D3BC89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398A017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7E674B8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C992A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1.4-</w:t>
            </w:r>
            <w:r w:rsidRPr="006B7270">
              <w:rPr>
                <w:color w:val="000000"/>
                <w:sz w:val="19"/>
                <w:szCs w:val="19"/>
              </w:rPr>
              <w:t xml:space="preserve"> </w:t>
            </w:r>
            <w:r w:rsidRPr="006B7270">
              <w:rPr>
                <w:rFonts w:ascii="Calibri" w:hAnsi="Calibri"/>
                <w:color w:val="000000"/>
                <w:sz w:val="19"/>
                <w:szCs w:val="19"/>
              </w:rPr>
              <w:t>Le taux de transmission du VIH de la mère à l’enfant est réduit à moins de 5%</w:t>
            </w: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5F0CAA7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90% des femmes enceintes sont dépistées au cours de la CPN</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03F4C392" w14:textId="2B63B64C"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liens avec la santé reprodu</w:t>
            </w:r>
            <w:r w:rsidR="00655677">
              <w:rPr>
                <w:rFonts w:ascii="Calibri" w:hAnsi="Calibri"/>
                <w:color w:val="000000"/>
                <w:sz w:val="19"/>
                <w:szCs w:val="19"/>
              </w:rPr>
              <w:t xml:space="preserve">ctive (y compris la PF chez les PVVIH), maternelle, néonatale, </w:t>
            </w:r>
            <w:r w:rsidRPr="006B7270">
              <w:rPr>
                <w:rFonts w:ascii="Calibri" w:hAnsi="Calibri"/>
                <w:color w:val="000000"/>
                <w:sz w:val="19"/>
                <w:szCs w:val="19"/>
              </w:rPr>
              <w:t xml:space="preserve">infantile </w:t>
            </w:r>
            <w:r w:rsidR="00655677">
              <w:rPr>
                <w:rFonts w:ascii="Calibri" w:hAnsi="Calibri"/>
                <w:color w:val="000000"/>
                <w:sz w:val="19"/>
                <w:szCs w:val="19"/>
              </w:rPr>
              <w:t>et adolescent (SRMNIA</w:t>
            </w:r>
            <w:r w:rsidRPr="006B7270">
              <w:rPr>
                <w:rFonts w:ascii="Calibri" w:hAnsi="Calibri"/>
                <w:color w:val="000000"/>
                <w:sz w:val="19"/>
                <w:szCs w:val="19"/>
              </w:rPr>
              <w:t>)</w:t>
            </w:r>
          </w:p>
        </w:tc>
      </w:tr>
      <w:tr w:rsidR="00C84A16" w:rsidRPr="006B7270" w14:paraId="6EF76027" w14:textId="77777777" w:rsidTr="006B7270">
        <w:trPr>
          <w:trHeight w:val="472"/>
        </w:trPr>
        <w:tc>
          <w:tcPr>
            <w:tcW w:w="984" w:type="dxa"/>
            <w:tcBorders>
              <w:top w:val="nil"/>
              <w:left w:val="nil"/>
              <w:bottom w:val="nil"/>
              <w:right w:val="nil"/>
            </w:tcBorders>
            <w:shd w:val="clear" w:color="000000" w:fill="FFFFFF"/>
            <w:noWrap/>
            <w:vAlign w:val="center"/>
            <w:hideMark/>
          </w:tcPr>
          <w:p w14:paraId="637F07A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B54703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1611DA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55BB9AA9"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19291D10"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94CB638" w14:textId="5BD45316" w:rsidR="00C84A16" w:rsidRPr="006B7270" w:rsidRDefault="00C84A16" w:rsidP="00C84A16">
            <w:pPr>
              <w:rPr>
                <w:rFonts w:ascii="Calibri" w:hAnsi="Calibri"/>
                <w:color w:val="000000"/>
                <w:sz w:val="19"/>
                <w:szCs w:val="19"/>
              </w:rPr>
            </w:pPr>
            <w:r w:rsidRPr="006B7270">
              <w:rPr>
                <w:rFonts w:ascii="Calibri" w:hAnsi="Calibri"/>
                <w:color w:val="000000"/>
                <w:sz w:val="19"/>
                <w:szCs w:val="19"/>
              </w:rPr>
              <w:t>R</w:t>
            </w:r>
            <w:r w:rsidR="00655677">
              <w:rPr>
                <w:rFonts w:ascii="Calibri" w:hAnsi="Calibri"/>
                <w:color w:val="000000"/>
                <w:sz w:val="19"/>
                <w:szCs w:val="19"/>
              </w:rPr>
              <w:t>enforcement de la mobilisation c</w:t>
            </w:r>
            <w:r w:rsidRPr="006B7270">
              <w:rPr>
                <w:rFonts w:ascii="Calibri" w:hAnsi="Calibri"/>
                <w:color w:val="000000"/>
                <w:sz w:val="19"/>
                <w:szCs w:val="19"/>
              </w:rPr>
              <w:t>ommunautaire par l'implication des médiatrices/</w:t>
            </w:r>
            <w:r w:rsidR="00655677">
              <w:rPr>
                <w:rFonts w:ascii="Calibri" w:hAnsi="Calibri"/>
                <w:color w:val="000000"/>
                <w:sz w:val="19"/>
                <w:szCs w:val="19"/>
              </w:rPr>
              <w:t xml:space="preserve"> </w:t>
            </w:r>
            <w:r w:rsidRPr="006B7270">
              <w:rPr>
                <w:rFonts w:ascii="Calibri" w:hAnsi="Calibri"/>
                <w:color w:val="000000"/>
                <w:sz w:val="19"/>
                <w:szCs w:val="19"/>
              </w:rPr>
              <w:t>médiateurs et RECO/ASC</w:t>
            </w:r>
          </w:p>
        </w:tc>
      </w:tr>
      <w:tr w:rsidR="00C84A16" w:rsidRPr="006B7270" w14:paraId="3AD24E18" w14:textId="77777777" w:rsidTr="006B7270">
        <w:trPr>
          <w:trHeight w:val="480"/>
        </w:trPr>
        <w:tc>
          <w:tcPr>
            <w:tcW w:w="984" w:type="dxa"/>
            <w:tcBorders>
              <w:top w:val="nil"/>
              <w:left w:val="nil"/>
              <w:bottom w:val="nil"/>
              <w:right w:val="nil"/>
            </w:tcBorders>
            <w:shd w:val="clear" w:color="000000" w:fill="FFFFFF"/>
            <w:noWrap/>
            <w:vAlign w:val="center"/>
            <w:hideMark/>
          </w:tcPr>
          <w:p w14:paraId="2330A1E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BBF8D0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E933B2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1507A85"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5778FAC2"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738D864" w14:textId="53BFD2BB"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Amélioration </w:t>
            </w:r>
            <w:r w:rsidR="007313AA" w:rsidRPr="006B7270">
              <w:rPr>
                <w:rFonts w:ascii="Calibri" w:hAnsi="Calibri"/>
                <w:color w:val="000000"/>
                <w:sz w:val="19"/>
                <w:szCs w:val="19"/>
              </w:rPr>
              <w:t>de la</w:t>
            </w:r>
            <w:r w:rsidRPr="006B7270">
              <w:rPr>
                <w:rFonts w:ascii="Calibri" w:hAnsi="Calibri"/>
                <w:color w:val="000000"/>
                <w:sz w:val="19"/>
                <w:szCs w:val="19"/>
              </w:rPr>
              <w:t xml:space="preserve"> disponibilité et l'accessibilité des services de la PTME des zones et populations peu ou pas couvertes</w:t>
            </w:r>
          </w:p>
        </w:tc>
      </w:tr>
      <w:tr w:rsidR="00C84A16" w:rsidRPr="006B7270" w14:paraId="40C02F03" w14:textId="77777777" w:rsidTr="006B7270">
        <w:trPr>
          <w:trHeight w:val="558"/>
        </w:trPr>
        <w:tc>
          <w:tcPr>
            <w:tcW w:w="984" w:type="dxa"/>
            <w:tcBorders>
              <w:top w:val="nil"/>
              <w:left w:val="nil"/>
              <w:bottom w:val="nil"/>
              <w:right w:val="nil"/>
            </w:tcBorders>
            <w:shd w:val="clear" w:color="000000" w:fill="FFFFFF"/>
            <w:noWrap/>
            <w:vAlign w:val="center"/>
            <w:hideMark/>
          </w:tcPr>
          <w:p w14:paraId="310AB96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037841C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377F0A3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FB89570"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0749A3E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Au moins 90% des femmes enceintes séropositives et leurs nouveau-nés sont mises sous traitement ARV</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2F21DA4B" w14:textId="1EB50B58"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Dynamisation des anciens sites peu </w:t>
            </w:r>
            <w:r w:rsidR="007313AA" w:rsidRPr="006B7270">
              <w:rPr>
                <w:rFonts w:ascii="Calibri" w:hAnsi="Calibri"/>
                <w:color w:val="000000"/>
                <w:sz w:val="19"/>
                <w:szCs w:val="19"/>
              </w:rPr>
              <w:t>performant via</w:t>
            </w:r>
            <w:r w:rsidRPr="006B7270">
              <w:rPr>
                <w:rFonts w:ascii="Calibri" w:hAnsi="Calibri"/>
                <w:color w:val="000000"/>
                <w:sz w:val="19"/>
                <w:szCs w:val="19"/>
              </w:rPr>
              <w:t xml:space="preserve"> le monitorage et les analyses de corrélation des références et contre-référence</w:t>
            </w:r>
          </w:p>
        </w:tc>
      </w:tr>
      <w:tr w:rsidR="00C84A16" w:rsidRPr="006B7270" w14:paraId="07F4E4F9" w14:textId="77777777" w:rsidTr="006B7270">
        <w:trPr>
          <w:trHeight w:val="283"/>
        </w:trPr>
        <w:tc>
          <w:tcPr>
            <w:tcW w:w="984" w:type="dxa"/>
            <w:tcBorders>
              <w:top w:val="nil"/>
              <w:left w:val="nil"/>
              <w:bottom w:val="nil"/>
              <w:right w:val="nil"/>
            </w:tcBorders>
            <w:shd w:val="clear" w:color="000000" w:fill="FFFFFF"/>
            <w:noWrap/>
            <w:vAlign w:val="center"/>
            <w:hideMark/>
          </w:tcPr>
          <w:p w14:paraId="27D84FA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30753B3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C6CD27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5D30F40"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5CFCD2EE"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6A34D5A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délégation des tâches et de la décentralisation des prestations</w:t>
            </w:r>
          </w:p>
        </w:tc>
      </w:tr>
      <w:tr w:rsidR="00C84A16" w:rsidRPr="006B7270" w14:paraId="26A952E9" w14:textId="77777777" w:rsidTr="006B7270">
        <w:trPr>
          <w:trHeight w:val="269"/>
        </w:trPr>
        <w:tc>
          <w:tcPr>
            <w:tcW w:w="984" w:type="dxa"/>
            <w:tcBorders>
              <w:top w:val="nil"/>
              <w:left w:val="nil"/>
              <w:bottom w:val="nil"/>
              <w:right w:val="nil"/>
            </w:tcBorders>
            <w:shd w:val="clear" w:color="000000" w:fill="FFFFFF"/>
            <w:noWrap/>
            <w:vAlign w:val="center"/>
            <w:hideMark/>
          </w:tcPr>
          <w:p w14:paraId="5900E99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30F1EF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62428B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743B1B1E"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1A8C4CE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Au moins 90% des enfants nés de mères séropositives sont diagnostiqués dans les deux mois qui ont suivi leur naissance </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136F0F4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du réseautage et de la plateforme de dépistage précoce</w:t>
            </w:r>
          </w:p>
        </w:tc>
      </w:tr>
      <w:tr w:rsidR="00C84A16" w:rsidRPr="006B7270" w14:paraId="063E0591" w14:textId="77777777" w:rsidTr="006B7270">
        <w:trPr>
          <w:trHeight w:val="417"/>
        </w:trPr>
        <w:tc>
          <w:tcPr>
            <w:tcW w:w="984" w:type="dxa"/>
            <w:tcBorders>
              <w:top w:val="nil"/>
              <w:left w:val="nil"/>
              <w:bottom w:val="nil"/>
              <w:right w:val="nil"/>
            </w:tcBorders>
            <w:shd w:val="clear" w:color="000000" w:fill="FFFFFF"/>
            <w:noWrap/>
            <w:vAlign w:val="center"/>
            <w:hideMark/>
          </w:tcPr>
          <w:p w14:paraId="48DE78C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9CB623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A8403F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25980939"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54A68CEC"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147922F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qualité des échantillons DBS et de la promptitude des prélèvements</w:t>
            </w:r>
          </w:p>
        </w:tc>
      </w:tr>
      <w:tr w:rsidR="00C84A16" w:rsidRPr="006B7270" w14:paraId="1433206E" w14:textId="77777777" w:rsidTr="006B7270">
        <w:trPr>
          <w:trHeight w:val="328"/>
        </w:trPr>
        <w:tc>
          <w:tcPr>
            <w:tcW w:w="984" w:type="dxa"/>
            <w:tcBorders>
              <w:top w:val="nil"/>
              <w:left w:val="nil"/>
              <w:bottom w:val="nil"/>
              <w:right w:val="nil"/>
            </w:tcBorders>
            <w:shd w:val="clear" w:color="000000" w:fill="FFFFFF"/>
            <w:noWrap/>
            <w:vAlign w:val="center"/>
            <w:hideMark/>
          </w:tcPr>
          <w:p w14:paraId="14683DE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E1AAF0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0B9E55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56A09BEA"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6A8A4143"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4F69EB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Amélioration des stratégies de transport des échantillons et de rendu des résultats</w:t>
            </w:r>
          </w:p>
        </w:tc>
      </w:tr>
      <w:tr w:rsidR="00C84A16" w:rsidRPr="006B7270" w14:paraId="540B5EA5" w14:textId="77777777" w:rsidTr="006B7270">
        <w:trPr>
          <w:trHeight w:val="560"/>
        </w:trPr>
        <w:tc>
          <w:tcPr>
            <w:tcW w:w="984" w:type="dxa"/>
            <w:tcBorders>
              <w:top w:val="nil"/>
              <w:left w:val="nil"/>
              <w:bottom w:val="nil"/>
              <w:right w:val="nil"/>
            </w:tcBorders>
            <w:shd w:val="clear" w:color="000000" w:fill="FFFFFF"/>
            <w:noWrap/>
            <w:vAlign w:val="center"/>
            <w:hideMark/>
          </w:tcPr>
          <w:p w14:paraId="086FE8E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847216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BD8BEA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75164DBA"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73B0C29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98% des femmes PTME poursuivent leur traitement ARV après la grossesse</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F261BF5" w14:textId="67C9A2E5"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référence, du réseautage et du suivi des cohortes de femmes PTME</w:t>
            </w:r>
            <w:r w:rsidR="00655677">
              <w:rPr>
                <w:rFonts w:ascii="Calibri" w:hAnsi="Calibri"/>
                <w:color w:val="000000"/>
                <w:sz w:val="19"/>
                <w:szCs w:val="19"/>
              </w:rPr>
              <w:t xml:space="preserve"> (incluant la recherche des perdus de vue)</w:t>
            </w:r>
          </w:p>
        </w:tc>
      </w:tr>
      <w:tr w:rsidR="00C84A16" w:rsidRPr="006B7270" w14:paraId="1477E36F" w14:textId="77777777" w:rsidTr="006B7270">
        <w:trPr>
          <w:trHeight w:val="329"/>
        </w:trPr>
        <w:tc>
          <w:tcPr>
            <w:tcW w:w="984" w:type="dxa"/>
            <w:tcBorders>
              <w:top w:val="nil"/>
              <w:left w:val="nil"/>
              <w:bottom w:val="nil"/>
              <w:right w:val="nil"/>
            </w:tcBorders>
            <w:shd w:val="clear" w:color="000000" w:fill="FFFFFF"/>
            <w:noWrap/>
            <w:vAlign w:val="center"/>
            <w:hideMark/>
          </w:tcPr>
          <w:p w14:paraId="533AB53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0E46A73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789D79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E200024"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7CB22178"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8BAE1D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et systématisation du monitorage décentralisé</w:t>
            </w:r>
          </w:p>
        </w:tc>
      </w:tr>
      <w:tr w:rsidR="00C84A16" w:rsidRPr="006B7270" w14:paraId="5E3797B1" w14:textId="77777777" w:rsidTr="006B7270">
        <w:trPr>
          <w:trHeight w:val="606"/>
        </w:trPr>
        <w:tc>
          <w:tcPr>
            <w:tcW w:w="984" w:type="dxa"/>
            <w:tcBorders>
              <w:top w:val="nil"/>
              <w:left w:val="nil"/>
              <w:bottom w:val="nil"/>
              <w:right w:val="nil"/>
            </w:tcBorders>
            <w:shd w:val="clear" w:color="000000" w:fill="FFFFFF"/>
            <w:noWrap/>
            <w:vAlign w:val="center"/>
            <w:hideMark/>
          </w:tcPr>
          <w:p w14:paraId="565CCE5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166036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019E628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3436F7DD" w14:textId="77777777" w:rsidR="00C84A16" w:rsidRPr="006B7270" w:rsidRDefault="00C84A16" w:rsidP="00C84A16">
            <w:pPr>
              <w:rPr>
                <w:rFonts w:ascii="Calibri" w:hAnsi="Calibri"/>
                <w:color w:val="000000"/>
                <w:sz w:val="19"/>
                <w:szCs w:val="19"/>
              </w:rPr>
            </w:pPr>
          </w:p>
        </w:tc>
        <w:tc>
          <w:tcPr>
            <w:tcW w:w="3247" w:type="dxa"/>
            <w:tcBorders>
              <w:top w:val="nil"/>
              <w:left w:val="nil"/>
              <w:bottom w:val="single" w:sz="4" w:space="0" w:color="auto"/>
              <w:right w:val="nil"/>
            </w:tcBorders>
            <w:shd w:val="clear" w:color="000000" w:fill="FFFFFF"/>
            <w:hideMark/>
          </w:tcPr>
          <w:p w14:paraId="3BCFA7D0" w14:textId="48F15941"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Les retards ou </w:t>
            </w:r>
            <w:r w:rsidR="007313AA" w:rsidRPr="006B7270">
              <w:rPr>
                <w:rFonts w:ascii="Calibri" w:hAnsi="Calibri"/>
                <w:color w:val="000000"/>
                <w:sz w:val="19"/>
                <w:szCs w:val="19"/>
              </w:rPr>
              <w:t>ruptures d’</w:t>
            </w:r>
            <w:r w:rsidR="007302B6" w:rsidRPr="006B7270">
              <w:rPr>
                <w:rFonts w:ascii="Calibri" w:hAnsi="Calibri"/>
                <w:color w:val="000000"/>
                <w:sz w:val="19"/>
                <w:szCs w:val="19"/>
              </w:rPr>
              <w:t>approvisionnement</w:t>
            </w:r>
            <w:r w:rsidR="007302B6">
              <w:rPr>
                <w:rFonts w:ascii="Calibri" w:hAnsi="Calibri"/>
                <w:color w:val="000000"/>
                <w:sz w:val="19"/>
                <w:szCs w:val="19"/>
              </w:rPr>
              <w:t xml:space="preserve"> </w:t>
            </w:r>
            <w:r w:rsidRPr="006B7270">
              <w:rPr>
                <w:rFonts w:ascii="Calibri" w:hAnsi="Calibri"/>
                <w:color w:val="000000"/>
                <w:sz w:val="19"/>
                <w:szCs w:val="19"/>
              </w:rPr>
              <w:t>des sites PTME sont éliminés ou insignifiants</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2865A35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mécanismes d'approvisionnements et de suivi des stocks des sites PTME</w:t>
            </w:r>
          </w:p>
        </w:tc>
      </w:tr>
      <w:tr w:rsidR="00C84A16" w:rsidRPr="006B7270" w14:paraId="784ACC5F" w14:textId="77777777" w:rsidTr="006B7270">
        <w:trPr>
          <w:trHeight w:val="840"/>
        </w:trPr>
        <w:tc>
          <w:tcPr>
            <w:tcW w:w="984" w:type="dxa"/>
            <w:tcBorders>
              <w:top w:val="nil"/>
              <w:left w:val="nil"/>
              <w:bottom w:val="nil"/>
              <w:right w:val="nil"/>
            </w:tcBorders>
            <w:shd w:val="clear" w:color="000000" w:fill="FFFFFF"/>
            <w:noWrap/>
            <w:vAlign w:val="center"/>
            <w:hideMark/>
          </w:tcPr>
          <w:p w14:paraId="15C35AC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027DAF2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AB61E0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A9B8E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1.5-Le nombre et les complications des violences basées sur le genre sont réduites </w:t>
            </w:r>
          </w:p>
        </w:tc>
        <w:tc>
          <w:tcPr>
            <w:tcW w:w="3247" w:type="dxa"/>
            <w:tcBorders>
              <w:top w:val="nil"/>
              <w:left w:val="nil"/>
              <w:bottom w:val="single" w:sz="4" w:space="0" w:color="auto"/>
              <w:right w:val="nil"/>
            </w:tcBorders>
            <w:shd w:val="clear" w:color="000000" w:fill="FFFFFF"/>
            <w:vAlign w:val="center"/>
            <w:hideMark/>
          </w:tcPr>
          <w:p w14:paraId="35262FC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Le dispositif de prévention, protection et de détection des VSBG est renforcé à tous les niveaux</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1504E82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Renforcement du mécanisme d'information et de sensibilisation des parents, victimes et des communautés sur la lutte contre les VBG </w:t>
            </w:r>
          </w:p>
        </w:tc>
      </w:tr>
      <w:tr w:rsidR="00C84A16" w:rsidRPr="006B7270" w14:paraId="6659324F" w14:textId="77777777" w:rsidTr="006B7270">
        <w:trPr>
          <w:trHeight w:val="560"/>
        </w:trPr>
        <w:tc>
          <w:tcPr>
            <w:tcW w:w="984" w:type="dxa"/>
            <w:tcBorders>
              <w:top w:val="nil"/>
              <w:left w:val="nil"/>
              <w:bottom w:val="nil"/>
              <w:right w:val="nil"/>
            </w:tcBorders>
            <w:shd w:val="clear" w:color="000000" w:fill="FFFFFF"/>
            <w:noWrap/>
            <w:vAlign w:val="center"/>
            <w:hideMark/>
          </w:tcPr>
          <w:p w14:paraId="688F5F2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F426B1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213C20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B074A81"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1C2070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70% des femmes et jeunes filles victimes de VSBG pendant la période 2018-2022 ont bénéficié d’une prise en charge holistique (santé, juridique et psychologique)</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0B94CBC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du dispositif de prévention et de PEC des victimes de VBG à tous les niveaux</w:t>
            </w:r>
          </w:p>
        </w:tc>
      </w:tr>
      <w:tr w:rsidR="00C84A16" w:rsidRPr="006B7270" w14:paraId="541ED18C" w14:textId="77777777" w:rsidTr="006B7270">
        <w:trPr>
          <w:trHeight w:val="610"/>
        </w:trPr>
        <w:tc>
          <w:tcPr>
            <w:tcW w:w="984" w:type="dxa"/>
            <w:tcBorders>
              <w:top w:val="nil"/>
              <w:left w:val="nil"/>
              <w:bottom w:val="single" w:sz="8" w:space="0" w:color="auto"/>
              <w:right w:val="nil"/>
            </w:tcBorders>
            <w:shd w:val="clear" w:color="auto" w:fill="auto"/>
            <w:vAlign w:val="center"/>
            <w:hideMark/>
          </w:tcPr>
          <w:p w14:paraId="06EBDBF5" w14:textId="77777777" w:rsidR="00C84A16" w:rsidRPr="006B7270" w:rsidRDefault="00C84A16" w:rsidP="00C84A16">
            <w:pPr>
              <w:rPr>
                <w:color w:val="000000"/>
                <w:sz w:val="19"/>
                <w:szCs w:val="19"/>
              </w:rPr>
            </w:pPr>
            <w:r w:rsidRPr="006B7270">
              <w:rPr>
                <w:color w:val="000000"/>
                <w:sz w:val="19"/>
                <w:szCs w:val="19"/>
              </w:rPr>
              <w:t> </w:t>
            </w:r>
          </w:p>
        </w:tc>
        <w:tc>
          <w:tcPr>
            <w:tcW w:w="960" w:type="dxa"/>
            <w:tcBorders>
              <w:top w:val="nil"/>
              <w:left w:val="nil"/>
              <w:bottom w:val="nil"/>
              <w:right w:val="nil"/>
            </w:tcBorders>
            <w:shd w:val="clear" w:color="000000" w:fill="FFFFFF"/>
            <w:noWrap/>
            <w:vAlign w:val="center"/>
            <w:hideMark/>
          </w:tcPr>
          <w:p w14:paraId="2161F35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5C0FFF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828526B"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5DEE8260"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220C7CDC" w14:textId="40A28DB9"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Renforcement de la documentation des cas et des bonnes pratiques en </w:t>
            </w:r>
            <w:r w:rsidR="007313AA" w:rsidRPr="006B7270">
              <w:rPr>
                <w:rFonts w:ascii="Calibri" w:hAnsi="Calibri"/>
                <w:color w:val="000000"/>
                <w:sz w:val="19"/>
                <w:szCs w:val="19"/>
              </w:rPr>
              <w:t>matière</w:t>
            </w:r>
            <w:r w:rsidRPr="006B7270">
              <w:rPr>
                <w:rFonts w:ascii="Calibri" w:hAnsi="Calibri"/>
                <w:color w:val="000000"/>
                <w:sz w:val="19"/>
                <w:szCs w:val="19"/>
              </w:rPr>
              <w:t xml:space="preserve"> de prévention et de PEC des victimes de VBG à tous les niveaux</w:t>
            </w:r>
          </w:p>
        </w:tc>
      </w:tr>
      <w:tr w:rsidR="00C84A16" w:rsidRPr="006B7270" w14:paraId="6A29D75B" w14:textId="77777777" w:rsidTr="006B7270">
        <w:trPr>
          <w:trHeight w:val="340"/>
        </w:trPr>
        <w:tc>
          <w:tcPr>
            <w:tcW w:w="984" w:type="dxa"/>
            <w:tcBorders>
              <w:top w:val="nil"/>
              <w:left w:val="single" w:sz="8" w:space="0" w:color="auto"/>
              <w:bottom w:val="single" w:sz="8" w:space="0" w:color="auto"/>
              <w:right w:val="nil"/>
            </w:tcBorders>
            <w:shd w:val="clear" w:color="000000" w:fill="FF0000"/>
            <w:vAlign w:val="center"/>
            <w:hideMark/>
          </w:tcPr>
          <w:p w14:paraId="3D59C898" w14:textId="77777777" w:rsidR="00C84A16" w:rsidRPr="006B7270" w:rsidRDefault="00C84A16" w:rsidP="00C84A16">
            <w:pPr>
              <w:rPr>
                <w:rFonts w:ascii="Calibri" w:hAnsi="Calibri"/>
                <w:b/>
                <w:bCs/>
                <w:color w:val="FFFFFF"/>
                <w:sz w:val="19"/>
                <w:szCs w:val="19"/>
              </w:rPr>
            </w:pPr>
            <w:r w:rsidRPr="006B7270">
              <w:rPr>
                <w:rFonts w:ascii="Calibri" w:hAnsi="Calibri"/>
                <w:b/>
                <w:bCs/>
                <w:color w:val="FFFFFF"/>
                <w:sz w:val="19"/>
                <w:szCs w:val="19"/>
              </w:rPr>
              <w:t>Priorité -2</w:t>
            </w:r>
          </w:p>
        </w:tc>
        <w:tc>
          <w:tcPr>
            <w:tcW w:w="14037" w:type="dxa"/>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387135C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Réduire de manière très significative la mortalité chez les PVVIH</w:t>
            </w:r>
          </w:p>
        </w:tc>
      </w:tr>
      <w:tr w:rsidR="00C84A16" w:rsidRPr="006B7270" w14:paraId="186C70F0" w14:textId="77777777" w:rsidTr="006B7270">
        <w:trPr>
          <w:trHeight w:val="340"/>
        </w:trPr>
        <w:tc>
          <w:tcPr>
            <w:tcW w:w="984" w:type="dxa"/>
            <w:tcBorders>
              <w:top w:val="nil"/>
              <w:left w:val="nil"/>
              <w:bottom w:val="nil"/>
              <w:right w:val="nil"/>
            </w:tcBorders>
            <w:shd w:val="clear" w:color="000000" w:fill="FFFFFF"/>
            <w:noWrap/>
            <w:vAlign w:val="center"/>
            <w:hideMark/>
          </w:tcPr>
          <w:p w14:paraId="6237AEC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single" w:sz="8" w:space="0" w:color="auto"/>
              <w:bottom w:val="single" w:sz="8" w:space="0" w:color="auto"/>
              <w:right w:val="nil"/>
            </w:tcBorders>
            <w:shd w:val="clear" w:color="000000" w:fill="00B0F0"/>
            <w:vAlign w:val="center"/>
            <w:hideMark/>
          </w:tcPr>
          <w:p w14:paraId="0D37DCC9" w14:textId="77777777" w:rsidR="00C84A16" w:rsidRPr="006B7270" w:rsidRDefault="00C84A16" w:rsidP="00C84A16">
            <w:pPr>
              <w:rPr>
                <w:rFonts w:ascii="Calibri" w:hAnsi="Calibri"/>
                <w:color w:val="FFFFFF"/>
                <w:sz w:val="19"/>
                <w:szCs w:val="19"/>
              </w:rPr>
            </w:pPr>
            <w:r w:rsidRPr="006B7270">
              <w:rPr>
                <w:rFonts w:ascii="Calibri" w:hAnsi="Calibri"/>
                <w:color w:val="FFFFFF"/>
                <w:sz w:val="19"/>
                <w:szCs w:val="19"/>
              </w:rPr>
              <w:t>Impact-2</w:t>
            </w:r>
          </w:p>
        </w:tc>
        <w:tc>
          <w:tcPr>
            <w:tcW w:w="13077" w:type="dxa"/>
            <w:gridSpan w:val="5"/>
            <w:tcBorders>
              <w:top w:val="single" w:sz="4" w:space="0" w:color="auto"/>
              <w:left w:val="single" w:sz="4" w:space="0" w:color="auto"/>
              <w:bottom w:val="single" w:sz="4" w:space="0" w:color="auto"/>
              <w:right w:val="single" w:sz="4" w:space="0" w:color="000000"/>
            </w:tcBorders>
            <w:shd w:val="clear" w:color="000000" w:fill="D9E1F2"/>
            <w:vAlign w:val="center"/>
            <w:hideMark/>
          </w:tcPr>
          <w:p w14:paraId="331DC71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D’ici à fin 2022, La mortalité liée au VIH/sida est réduite d'au moins 62%</w:t>
            </w:r>
          </w:p>
        </w:tc>
      </w:tr>
      <w:tr w:rsidR="00C84A16" w:rsidRPr="006B7270" w14:paraId="395CF50C" w14:textId="77777777" w:rsidTr="006B7270">
        <w:trPr>
          <w:trHeight w:val="357"/>
        </w:trPr>
        <w:tc>
          <w:tcPr>
            <w:tcW w:w="984" w:type="dxa"/>
            <w:tcBorders>
              <w:top w:val="nil"/>
              <w:left w:val="nil"/>
              <w:bottom w:val="nil"/>
              <w:right w:val="nil"/>
            </w:tcBorders>
            <w:shd w:val="clear" w:color="000000" w:fill="FFFFFF"/>
            <w:noWrap/>
            <w:vAlign w:val="center"/>
            <w:hideMark/>
          </w:tcPr>
          <w:p w14:paraId="1335730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048A336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4E2ACD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0CA2D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2.1-75% des adultes et enfants vivant avec le VIH bénéficient d’une prise en charge médicale, psychologique, sociale de qualité d’ici à 2022</w:t>
            </w: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4ACF2469" w14:textId="69535D83"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86% des adultes vivant avec le </w:t>
            </w:r>
            <w:r w:rsidR="007313AA" w:rsidRPr="006B7270">
              <w:rPr>
                <w:rFonts w:ascii="Calibri" w:hAnsi="Calibri"/>
                <w:color w:val="000000"/>
                <w:sz w:val="19"/>
                <w:szCs w:val="19"/>
              </w:rPr>
              <w:t>VIH bénéficient</w:t>
            </w:r>
            <w:r w:rsidRPr="006B7270">
              <w:rPr>
                <w:rFonts w:ascii="Calibri" w:hAnsi="Calibri"/>
                <w:color w:val="000000"/>
                <w:sz w:val="19"/>
                <w:szCs w:val="19"/>
              </w:rPr>
              <w:t xml:space="preserve"> d'un traitement ARV de qualité d'ici à fin 2022</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07B4ACF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l'intégration du dépistage du VIH dans les structures de soins publiques et privées</w:t>
            </w:r>
          </w:p>
        </w:tc>
      </w:tr>
      <w:tr w:rsidR="00C84A16" w:rsidRPr="006B7270" w14:paraId="24A87E22" w14:textId="77777777" w:rsidTr="006B7270">
        <w:trPr>
          <w:trHeight w:val="273"/>
        </w:trPr>
        <w:tc>
          <w:tcPr>
            <w:tcW w:w="984" w:type="dxa"/>
            <w:tcBorders>
              <w:top w:val="nil"/>
              <w:left w:val="nil"/>
              <w:bottom w:val="nil"/>
              <w:right w:val="nil"/>
            </w:tcBorders>
            <w:shd w:val="clear" w:color="000000" w:fill="FFFFFF"/>
            <w:noWrap/>
            <w:vAlign w:val="center"/>
            <w:hideMark/>
          </w:tcPr>
          <w:p w14:paraId="3E319B5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021F5A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01D9203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1B4D790"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11BE680A"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0A9FF0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mesures d'appui à l'observance du traitement</w:t>
            </w:r>
          </w:p>
        </w:tc>
      </w:tr>
      <w:tr w:rsidR="00C84A16" w:rsidRPr="006B7270" w14:paraId="0B72D24D" w14:textId="77777777" w:rsidTr="006B7270">
        <w:trPr>
          <w:trHeight w:val="337"/>
        </w:trPr>
        <w:tc>
          <w:tcPr>
            <w:tcW w:w="984" w:type="dxa"/>
            <w:tcBorders>
              <w:top w:val="nil"/>
              <w:left w:val="nil"/>
              <w:bottom w:val="nil"/>
              <w:right w:val="nil"/>
            </w:tcBorders>
            <w:shd w:val="clear" w:color="000000" w:fill="FFFFFF"/>
            <w:noWrap/>
            <w:vAlign w:val="center"/>
            <w:hideMark/>
          </w:tcPr>
          <w:p w14:paraId="6EFBAB8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7F0375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58770E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8030A2A"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47A9A23B"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1C19B6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Opérationnalisation des stratégies de prise en charge différenciée des PVVIH sous ARV</w:t>
            </w:r>
          </w:p>
        </w:tc>
      </w:tr>
      <w:tr w:rsidR="00C84A16" w:rsidRPr="006B7270" w14:paraId="76835425" w14:textId="77777777" w:rsidTr="006B7270">
        <w:trPr>
          <w:trHeight w:val="560"/>
        </w:trPr>
        <w:tc>
          <w:tcPr>
            <w:tcW w:w="984" w:type="dxa"/>
            <w:tcBorders>
              <w:top w:val="nil"/>
              <w:left w:val="nil"/>
              <w:bottom w:val="nil"/>
              <w:right w:val="nil"/>
            </w:tcBorders>
            <w:shd w:val="clear" w:color="000000" w:fill="FFFFFF"/>
            <w:noWrap/>
            <w:vAlign w:val="center"/>
            <w:hideMark/>
          </w:tcPr>
          <w:p w14:paraId="4EFA835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B8CFF8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B350D2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6D477DD7"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6AB3A31B"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08852259" w14:textId="701BDF46"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Renforcement des mesures de </w:t>
            </w:r>
            <w:r w:rsidR="007313AA" w:rsidRPr="006B7270">
              <w:rPr>
                <w:rFonts w:ascii="Calibri" w:hAnsi="Calibri"/>
                <w:color w:val="000000"/>
                <w:sz w:val="19"/>
                <w:szCs w:val="19"/>
              </w:rPr>
              <w:t>rétention</w:t>
            </w:r>
            <w:r w:rsidRPr="006B7270">
              <w:rPr>
                <w:rFonts w:ascii="Calibri" w:hAnsi="Calibri"/>
                <w:color w:val="000000"/>
                <w:sz w:val="19"/>
                <w:szCs w:val="19"/>
              </w:rPr>
              <w:t xml:space="preserve"> des patients sous ARV, y compris les femmes ayant achevé la PTME</w:t>
            </w:r>
          </w:p>
        </w:tc>
      </w:tr>
      <w:tr w:rsidR="00C84A16" w:rsidRPr="006B7270" w14:paraId="2D9E545E" w14:textId="77777777" w:rsidTr="006B7270">
        <w:trPr>
          <w:trHeight w:val="279"/>
        </w:trPr>
        <w:tc>
          <w:tcPr>
            <w:tcW w:w="984" w:type="dxa"/>
            <w:tcBorders>
              <w:top w:val="nil"/>
              <w:left w:val="nil"/>
              <w:bottom w:val="nil"/>
              <w:right w:val="nil"/>
            </w:tcBorders>
            <w:shd w:val="clear" w:color="000000" w:fill="FFFFFF"/>
            <w:noWrap/>
            <w:vAlign w:val="center"/>
            <w:hideMark/>
          </w:tcPr>
          <w:p w14:paraId="274008E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EA24A5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30A4C2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D17A978"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5FCD106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90% des enfants entre 2 -14 ans exposés au VIH ou à risque sont diagnostiqués au VIH</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8FAEE8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Renforcement du dépistage familial « Index </w:t>
            </w:r>
            <w:proofErr w:type="spellStart"/>
            <w:r w:rsidRPr="006B7270">
              <w:rPr>
                <w:rFonts w:ascii="Calibri" w:hAnsi="Calibri"/>
                <w:color w:val="000000"/>
                <w:sz w:val="19"/>
                <w:szCs w:val="19"/>
              </w:rPr>
              <w:t>testing</w:t>
            </w:r>
            <w:proofErr w:type="spellEnd"/>
            <w:r w:rsidRPr="006B7270">
              <w:rPr>
                <w:rFonts w:ascii="Calibri" w:hAnsi="Calibri"/>
                <w:color w:val="000000"/>
                <w:sz w:val="19"/>
                <w:szCs w:val="19"/>
              </w:rPr>
              <w:t> »</w:t>
            </w:r>
          </w:p>
        </w:tc>
      </w:tr>
      <w:tr w:rsidR="00C84A16" w:rsidRPr="006B7270" w14:paraId="485FAE2B" w14:textId="77777777" w:rsidTr="006B7270">
        <w:trPr>
          <w:trHeight w:val="269"/>
        </w:trPr>
        <w:tc>
          <w:tcPr>
            <w:tcW w:w="984" w:type="dxa"/>
            <w:tcBorders>
              <w:top w:val="nil"/>
              <w:left w:val="nil"/>
              <w:bottom w:val="nil"/>
              <w:right w:val="nil"/>
            </w:tcBorders>
            <w:shd w:val="clear" w:color="000000" w:fill="FFFFFF"/>
            <w:noWrap/>
            <w:vAlign w:val="center"/>
            <w:hideMark/>
          </w:tcPr>
          <w:p w14:paraId="2E17560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04BB65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039DF34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5D89D66F"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0BF447A7"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356D97A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Recherche active des enfants à toutes les portes d’entrée « DCIS »</w:t>
            </w:r>
          </w:p>
        </w:tc>
      </w:tr>
      <w:tr w:rsidR="00C84A16" w:rsidRPr="006B7270" w14:paraId="36C17F25" w14:textId="77777777" w:rsidTr="006B7270">
        <w:trPr>
          <w:trHeight w:val="307"/>
        </w:trPr>
        <w:tc>
          <w:tcPr>
            <w:tcW w:w="984" w:type="dxa"/>
            <w:tcBorders>
              <w:top w:val="nil"/>
              <w:left w:val="nil"/>
              <w:bottom w:val="nil"/>
              <w:right w:val="nil"/>
            </w:tcBorders>
            <w:shd w:val="clear" w:color="000000" w:fill="FFFFFF"/>
            <w:noWrap/>
            <w:vAlign w:val="center"/>
            <w:hideMark/>
          </w:tcPr>
          <w:p w14:paraId="19A992E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9761F6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39FB10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057F227"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48F17F0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44% des enfants (moins de 15 ans) vivant avec le VIH bénéficient d'un traitement ARV de qualité d'ici à fin 2022</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73A25C7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Décentralisation de la prise en charge pédiatrique par les ARV</w:t>
            </w:r>
          </w:p>
        </w:tc>
      </w:tr>
      <w:tr w:rsidR="00C84A16" w:rsidRPr="006B7270" w14:paraId="74F3C736" w14:textId="77777777" w:rsidTr="006B7270">
        <w:trPr>
          <w:trHeight w:val="560"/>
        </w:trPr>
        <w:tc>
          <w:tcPr>
            <w:tcW w:w="984" w:type="dxa"/>
            <w:tcBorders>
              <w:top w:val="nil"/>
              <w:left w:val="nil"/>
              <w:bottom w:val="nil"/>
              <w:right w:val="nil"/>
            </w:tcBorders>
            <w:shd w:val="clear" w:color="000000" w:fill="FFFFFF"/>
            <w:noWrap/>
            <w:vAlign w:val="center"/>
            <w:hideMark/>
          </w:tcPr>
          <w:p w14:paraId="3837807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449114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228B0C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2E128FEC"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19280B1B"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303ED16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Mise en place et offre de services adaptes/conviviaux pour les enfants/adolescents vivant avec le VIH</w:t>
            </w:r>
          </w:p>
        </w:tc>
      </w:tr>
      <w:tr w:rsidR="00C84A16" w:rsidRPr="006B7270" w14:paraId="78F7EEDA" w14:textId="77777777" w:rsidTr="006B7270">
        <w:trPr>
          <w:trHeight w:val="560"/>
        </w:trPr>
        <w:tc>
          <w:tcPr>
            <w:tcW w:w="984" w:type="dxa"/>
            <w:tcBorders>
              <w:top w:val="nil"/>
              <w:left w:val="nil"/>
              <w:bottom w:val="nil"/>
              <w:right w:val="nil"/>
            </w:tcBorders>
            <w:shd w:val="clear" w:color="000000" w:fill="FFFFFF"/>
            <w:noWrap/>
            <w:vAlign w:val="center"/>
            <w:hideMark/>
          </w:tcPr>
          <w:p w14:paraId="472E534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73EDEB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1F38E6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7AA5FBB"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7E2754C2"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45EB8FC9" w14:textId="36C9BE5C"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mesures et dispo</w:t>
            </w:r>
            <w:r w:rsidR="001D74D3" w:rsidRPr="006B7270">
              <w:rPr>
                <w:rFonts w:ascii="Calibri" w:hAnsi="Calibri"/>
                <w:color w:val="000000"/>
                <w:sz w:val="19"/>
                <w:szCs w:val="19"/>
              </w:rPr>
              <w:t>si</w:t>
            </w:r>
            <w:r w:rsidRPr="006B7270">
              <w:rPr>
                <w:rFonts w:ascii="Calibri" w:hAnsi="Calibri"/>
                <w:color w:val="000000"/>
                <w:sz w:val="19"/>
                <w:szCs w:val="19"/>
              </w:rPr>
              <w:t>tifs de soutien psychosocial et d'accompagnement pour les enfants PVVIH sous ARV</w:t>
            </w:r>
          </w:p>
        </w:tc>
      </w:tr>
      <w:tr w:rsidR="00C84A16" w:rsidRPr="006B7270" w14:paraId="3D4EF544" w14:textId="77777777" w:rsidTr="006B7270">
        <w:trPr>
          <w:trHeight w:val="271"/>
        </w:trPr>
        <w:tc>
          <w:tcPr>
            <w:tcW w:w="984" w:type="dxa"/>
            <w:tcBorders>
              <w:top w:val="nil"/>
              <w:left w:val="nil"/>
              <w:bottom w:val="nil"/>
              <w:right w:val="nil"/>
            </w:tcBorders>
            <w:shd w:val="clear" w:color="000000" w:fill="FFFFFF"/>
            <w:noWrap/>
            <w:vAlign w:val="center"/>
            <w:hideMark/>
          </w:tcPr>
          <w:p w14:paraId="5A93236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9C2B46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D8EFEC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1CFDBDA"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6E31F456" w14:textId="1CB3496D" w:rsidR="00C84A16" w:rsidRPr="006B7270" w:rsidRDefault="00C84A16" w:rsidP="00C84A16">
            <w:pPr>
              <w:rPr>
                <w:rFonts w:ascii="Calibri" w:hAnsi="Calibri"/>
                <w:color w:val="000000"/>
                <w:sz w:val="19"/>
                <w:szCs w:val="19"/>
              </w:rPr>
            </w:pPr>
            <w:r w:rsidRPr="006B7270">
              <w:rPr>
                <w:rFonts w:ascii="Calibri" w:hAnsi="Calibri"/>
                <w:color w:val="000000"/>
                <w:sz w:val="19"/>
                <w:szCs w:val="19"/>
              </w:rPr>
              <w:t>Tous les PVVIH dans le besoin ont reçu un soutien et une prise en charge psycho</w:t>
            </w:r>
            <w:r w:rsidR="00D51632" w:rsidRPr="006B7270">
              <w:rPr>
                <w:rFonts w:ascii="Calibri" w:hAnsi="Calibri"/>
                <w:color w:val="000000"/>
                <w:sz w:val="19"/>
                <w:szCs w:val="19"/>
              </w:rPr>
              <w:t>so</w:t>
            </w:r>
            <w:r w:rsidRPr="006B7270">
              <w:rPr>
                <w:rFonts w:ascii="Calibri" w:hAnsi="Calibri"/>
                <w:color w:val="000000"/>
                <w:sz w:val="19"/>
                <w:szCs w:val="19"/>
              </w:rPr>
              <w:t>ciale et nutritionnelle</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0D7785A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du dispositif de soutien psychosocial des PVVIH</w:t>
            </w:r>
          </w:p>
        </w:tc>
      </w:tr>
      <w:tr w:rsidR="00C84A16" w:rsidRPr="006B7270" w14:paraId="15C1AECA" w14:textId="77777777" w:rsidTr="006B7270">
        <w:trPr>
          <w:trHeight w:val="274"/>
        </w:trPr>
        <w:tc>
          <w:tcPr>
            <w:tcW w:w="984" w:type="dxa"/>
            <w:tcBorders>
              <w:top w:val="nil"/>
              <w:left w:val="nil"/>
              <w:bottom w:val="nil"/>
              <w:right w:val="nil"/>
            </w:tcBorders>
            <w:shd w:val="clear" w:color="000000" w:fill="FFFFFF"/>
            <w:noWrap/>
            <w:vAlign w:val="center"/>
            <w:hideMark/>
          </w:tcPr>
          <w:p w14:paraId="192401E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568D5D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71E0E01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5B02A328"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0F3A21A8"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4429E1A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Intensification des activités de soutien psychosocial des PVVIH</w:t>
            </w:r>
          </w:p>
        </w:tc>
      </w:tr>
      <w:tr w:rsidR="00C84A16" w:rsidRPr="006B7270" w14:paraId="1B6C2224" w14:textId="77777777" w:rsidTr="006B7270">
        <w:trPr>
          <w:trHeight w:val="279"/>
        </w:trPr>
        <w:tc>
          <w:tcPr>
            <w:tcW w:w="984" w:type="dxa"/>
            <w:tcBorders>
              <w:top w:val="nil"/>
              <w:left w:val="nil"/>
              <w:bottom w:val="nil"/>
              <w:right w:val="nil"/>
            </w:tcBorders>
            <w:shd w:val="clear" w:color="000000" w:fill="FFFFFF"/>
            <w:noWrap/>
            <w:vAlign w:val="center"/>
            <w:hideMark/>
          </w:tcPr>
          <w:p w14:paraId="425B31E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3F975A4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C6FB92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551DDE36"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75E2926F"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10189DD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Poursuite de la stratégie de soutien nutritionnel aux PVVIH malnutris</w:t>
            </w:r>
          </w:p>
        </w:tc>
      </w:tr>
      <w:tr w:rsidR="00C84A16" w:rsidRPr="006B7270" w14:paraId="56FFE9E0" w14:textId="77777777" w:rsidTr="006B7270">
        <w:trPr>
          <w:trHeight w:val="429"/>
        </w:trPr>
        <w:tc>
          <w:tcPr>
            <w:tcW w:w="984" w:type="dxa"/>
            <w:tcBorders>
              <w:top w:val="nil"/>
              <w:left w:val="nil"/>
              <w:bottom w:val="nil"/>
              <w:right w:val="nil"/>
            </w:tcBorders>
            <w:shd w:val="clear" w:color="000000" w:fill="FFFFFF"/>
            <w:noWrap/>
            <w:vAlign w:val="center"/>
            <w:hideMark/>
          </w:tcPr>
          <w:p w14:paraId="1E667B2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C90146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E6AE5C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5FE6FB2"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0D0FB611" w14:textId="2596F022" w:rsidR="00C84A16" w:rsidRPr="006B7270" w:rsidRDefault="00C84A16" w:rsidP="00C84A16">
            <w:pPr>
              <w:rPr>
                <w:rFonts w:ascii="Calibri" w:hAnsi="Calibri"/>
                <w:color w:val="000000"/>
                <w:sz w:val="19"/>
                <w:szCs w:val="19"/>
              </w:rPr>
            </w:pPr>
            <w:r w:rsidRPr="006B7270">
              <w:rPr>
                <w:rFonts w:ascii="Calibri" w:hAnsi="Calibri"/>
                <w:color w:val="000000"/>
                <w:sz w:val="19"/>
                <w:szCs w:val="19"/>
              </w:rPr>
              <w:t>Les infections opportunistes sont prévenues, diagnostiquées et traitées effica</w:t>
            </w:r>
            <w:r w:rsidR="00D51632" w:rsidRPr="006B7270">
              <w:rPr>
                <w:rFonts w:ascii="Calibri" w:hAnsi="Calibri"/>
                <w:color w:val="000000"/>
                <w:sz w:val="19"/>
                <w:szCs w:val="19"/>
              </w:rPr>
              <w:t>ce</w:t>
            </w:r>
            <w:r w:rsidRPr="006B7270">
              <w:rPr>
                <w:rFonts w:ascii="Calibri" w:hAnsi="Calibri"/>
                <w:color w:val="000000"/>
                <w:sz w:val="19"/>
                <w:szCs w:val="19"/>
              </w:rPr>
              <w:t>ment</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2EC858B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mesures de diagnostic et de prise en charge des IO</w:t>
            </w:r>
          </w:p>
        </w:tc>
      </w:tr>
      <w:tr w:rsidR="00C84A16" w:rsidRPr="006B7270" w14:paraId="6C7AA3FF" w14:textId="77777777" w:rsidTr="006B7270">
        <w:trPr>
          <w:trHeight w:val="285"/>
        </w:trPr>
        <w:tc>
          <w:tcPr>
            <w:tcW w:w="984" w:type="dxa"/>
            <w:tcBorders>
              <w:top w:val="nil"/>
              <w:left w:val="nil"/>
              <w:bottom w:val="nil"/>
              <w:right w:val="nil"/>
            </w:tcBorders>
            <w:shd w:val="clear" w:color="000000" w:fill="FFFFFF"/>
            <w:noWrap/>
            <w:vAlign w:val="center"/>
            <w:hideMark/>
          </w:tcPr>
          <w:p w14:paraId="32BC133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439DA7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A7F6EA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35C60CDC"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09E8333C"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2C023A1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Mise à disposition d'intrants pour la prévention et la prise en charge des IO</w:t>
            </w:r>
          </w:p>
        </w:tc>
      </w:tr>
      <w:tr w:rsidR="00C84A16" w:rsidRPr="006B7270" w14:paraId="1662C63F" w14:textId="77777777" w:rsidTr="006B7270">
        <w:trPr>
          <w:trHeight w:val="560"/>
        </w:trPr>
        <w:tc>
          <w:tcPr>
            <w:tcW w:w="984" w:type="dxa"/>
            <w:tcBorders>
              <w:top w:val="nil"/>
              <w:left w:val="nil"/>
              <w:bottom w:val="nil"/>
              <w:right w:val="nil"/>
            </w:tcBorders>
            <w:shd w:val="clear" w:color="000000" w:fill="FFFFFF"/>
            <w:noWrap/>
            <w:vAlign w:val="center"/>
            <w:hideMark/>
          </w:tcPr>
          <w:p w14:paraId="37F2573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670889E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D9F7A9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7A2E2574"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575FBAFD" w14:textId="6ABEB0D1"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Les PVVIH </w:t>
            </w:r>
            <w:r w:rsidR="007313AA" w:rsidRPr="006B7270">
              <w:rPr>
                <w:rFonts w:ascii="Calibri" w:hAnsi="Calibri"/>
                <w:color w:val="000000"/>
                <w:sz w:val="19"/>
                <w:szCs w:val="19"/>
              </w:rPr>
              <w:t>coïnfectés</w:t>
            </w:r>
            <w:r w:rsidRPr="006B7270">
              <w:rPr>
                <w:rFonts w:ascii="Calibri" w:hAnsi="Calibri"/>
                <w:color w:val="000000"/>
                <w:sz w:val="19"/>
                <w:szCs w:val="19"/>
              </w:rPr>
              <w:t xml:space="preserve"> HIV/Hépatites sont diagnostiqués et pris en charge</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0E9572D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mesures de diagnostic et de prise en charge des hépatites chez les PVVIV</w:t>
            </w:r>
          </w:p>
        </w:tc>
      </w:tr>
      <w:tr w:rsidR="00C84A16" w:rsidRPr="006B7270" w14:paraId="1A284BF0" w14:textId="77777777" w:rsidTr="006B7270">
        <w:trPr>
          <w:trHeight w:val="560"/>
        </w:trPr>
        <w:tc>
          <w:tcPr>
            <w:tcW w:w="984" w:type="dxa"/>
            <w:tcBorders>
              <w:top w:val="nil"/>
              <w:left w:val="nil"/>
              <w:bottom w:val="nil"/>
              <w:right w:val="nil"/>
            </w:tcBorders>
            <w:shd w:val="clear" w:color="000000" w:fill="FFFFFF"/>
            <w:noWrap/>
            <w:vAlign w:val="center"/>
            <w:hideMark/>
          </w:tcPr>
          <w:p w14:paraId="665C1E3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6FF770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185FB9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4C12BF87"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064A83CD"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73AEF635" w14:textId="76223C1B"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Mise à disposition d'intrants pour la prévention et la prise en </w:t>
            </w:r>
            <w:r w:rsidR="007313AA" w:rsidRPr="006B7270">
              <w:rPr>
                <w:rFonts w:ascii="Calibri" w:hAnsi="Calibri"/>
                <w:color w:val="000000"/>
                <w:sz w:val="19"/>
                <w:szCs w:val="19"/>
              </w:rPr>
              <w:t>charge des</w:t>
            </w:r>
            <w:r w:rsidRPr="006B7270">
              <w:rPr>
                <w:rFonts w:ascii="Calibri" w:hAnsi="Calibri"/>
                <w:color w:val="000000"/>
                <w:sz w:val="19"/>
                <w:szCs w:val="19"/>
              </w:rPr>
              <w:t xml:space="preserve"> hépatites chez les PVVIH</w:t>
            </w:r>
          </w:p>
        </w:tc>
      </w:tr>
      <w:tr w:rsidR="00C84A16" w:rsidRPr="006B7270" w14:paraId="22AF5DD3" w14:textId="77777777" w:rsidTr="006B7270">
        <w:trPr>
          <w:trHeight w:val="409"/>
        </w:trPr>
        <w:tc>
          <w:tcPr>
            <w:tcW w:w="984" w:type="dxa"/>
            <w:tcBorders>
              <w:top w:val="nil"/>
              <w:left w:val="nil"/>
              <w:bottom w:val="nil"/>
              <w:right w:val="nil"/>
            </w:tcBorders>
            <w:shd w:val="clear" w:color="000000" w:fill="FFFFFF"/>
            <w:noWrap/>
            <w:vAlign w:val="center"/>
            <w:hideMark/>
          </w:tcPr>
          <w:p w14:paraId="16F5F34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481DFE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3576775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nil"/>
              <w:right w:val="single" w:sz="4" w:space="0" w:color="auto"/>
            </w:tcBorders>
            <w:shd w:val="clear" w:color="000000" w:fill="FFFFFF"/>
            <w:vAlign w:val="center"/>
            <w:hideMark/>
          </w:tcPr>
          <w:p w14:paraId="1CCDB5F4" w14:textId="417910C1"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2.2-Le taux de décès chez les patients </w:t>
            </w:r>
            <w:r w:rsidR="007313AA" w:rsidRPr="006B7270">
              <w:rPr>
                <w:rFonts w:ascii="Calibri" w:hAnsi="Calibri"/>
                <w:color w:val="000000"/>
                <w:sz w:val="19"/>
                <w:szCs w:val="19"/>
              </w:rPr>
              <w:t>coïnfectés</w:t>
            </w:r>
            <w:r w:rsidRPr="006B7270">
              <w:rPr>
                <w:rFonts w:ascii="Calibri" w:hAnsi="Calibri"/>
                <w:color w:val="000000"/>
                <w:sz w:val="19"/>
                <w:szCs w:val="19"/>
              </w:rPr>
              <w:t xml:space="preserve"> TB/VIH est réduit de 70% d’ici à fin 2022</w:t>
            </w:r>
          </w:p>
        </w:tc>
        <w:tc>
          <w:tcPr>
            <w:tcW w:w="3247" w:type="dxa"/>
            <w:tcBorders>
              <w:top w:val="nil"/>
              <w:left w:val="nil"/>
              <w:bottom w:val="single" w:sz="4" w:space="0" w:color="auto"/>
              <w:right w:val="nil"/>
            </w:tcBorders>
            <w:shd w:val="clear" w:color="000000" w:fill="FFFFFF"/>
            <w:hideMark/>
          </w:tcPr>
          <w:p w14:paraId="1ACA079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La proportion des PVVIH chez qui la recherche de la TB a été faite atteint 100% d'ici 2022</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391FD4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détection systématique de la TB chez les PVVIH</w:t>
            </w:r>
          </w:p>
        </w:tc>
      </w:tr>
      <w:tr w:rsidR="00C84A16" w:rsidRPr="006B7270" w14:paraId="6E78D3F1" w14:textId="77777777" w:rsidTr="006B7270">
        <w:trPr>
          <w:trHeight w:val="421"/>
        </w:trPr>
        <w:tc>
          <w:tcPr>
            <w:tcW w:w="984" w:type="dxa"/>
            <w:tcBorders>
              <w:top w:val="nil"/>
              <w:left w:val="nil"/>
              <w:bottom w:val="nil"/>
              <w:right w:val="nil"/>
            </w:tcBorders>
            <w:shd w:val="clear" w:color="000000" w:fill="FFFFFF"/>
            <w:noWrap/>
            <w:vAlign w:val="center"/>
            <w:hideMark/>
          </w:tcPr>
          <w:p w14:paraId="3CAF1BE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4CD515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73B759B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nil"/>
              <w:right w:val="single" w:sz="4" w:space="0" w:color="auto"/>
            </w:tcBorders>
            <w:vAlign w:val="center"/>
            <w:hideMark/>
          </w:tcPr>
          <w:p w14:paraId="5BF8AD45" w14:textId="77777777" w:rsidR="00C84A16" w:rsidRPr="006B7270" w:rsidRDefault="00C84A16" w:rsidP="00C84A16">
            <w:pPr>
              <w:rPr>
                <w:rFonts w:ascii="Calibri" w:hAnsi="Calibri"/>
                <w:color w:val="000000"/>
                <w:sz w:val="19"/>
                <w:szCs w:val="19"/>
              </w:rPr>
            </w:pP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6E1C257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Tous les PVVIH en situation de besoin ont reçu le traitement préventif de la TB à l'INH</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48D6AB5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mesures de prévention de la TB chez les PVVIH</w:t>
            </w:r>
          </w:p>
        </w:tc>
      </w:tr>
      <w:tr w:rsidR="00C84A16" w:rsidRPr="006B7270" w14:paraId="4D8AB991" w14:textId="77777777" w:rsidTr="006B7270">
        <w:trPr>
          <w:trHeight w:val="347"/>
        </w:trPr>
        <w:tc>
          <w:tcPr>
            <w:tcW w:w="984" w:type="dxa"/>
            <w:tcBorders>
              <w:top w:val="nil"/>
              <w:left w:val="nil"/>
              <w:bottom w:val="nil"/>
              <w:right w:val="nil"/>
            </w:tcBorders>
            <w:shd w:val="clear" w:color="000000" w:fill="FFFFFF"/>
            <w:noWrap/>
            <w:vAlign w:val="center"/>
            <w:hideMark/>
          </w:tcPr>
          <w:p w14:paraId="2C67B77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1F728D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1E60E8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nil"/>
              <w:right w:val="single" w:sz="4" w:space="0" w:color="auto"/>
            </w:tcBorders>
            <w:vAlign w:val="center"/>
            <w:hideMark/>
          </w:tcPr>
          <w:p w14:paraId="11C73B44"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23394F5C"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68A643F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coordination des interventions TB/VIH</w:t>
            </w:r>
          </w:p>
        </w:tc>
      </w:tr>
      <w:tr w:rsidR="00C84A16" w:rsidRPr="006B7270" w14:paraId="541D9F6D" w14:textId="77777777" w:rsidTr="006B7270">
        <w:trPr>
          <w:trHeight w:val="134"/>
        </w:trPr>
        <w:tc>
          <w:tcPr>
            <w:tcW w:w="984" w:type="dxa"/>
            <w:tcBorders>
              <w:top w:val="nil"/>
              <w:left w:val="nil"/>
              <w:bottom w:val="nil"/>
              <w:right w:val="nil"/>
            </w:tcBorders>
            <w:shd w:val="clear" w:color="000000" w:fill="FFFFFF"/>
            <w:noWrap/>
            <w:vAlign w:val="center"/>
            <w:hideMark/>
          </w:tcPr>
          <w:p w14:paraId="35D40EA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3421C9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3A50A2F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28938E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2.3-90% des PVVIH sous ARV ont une charge virale indétectable à 12 mois en 2022</w:t>
            </w: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25588E7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90% des PVVIH ont réalisé leur charge virale selon les normes requises</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15F67C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plateforme de charge virale</w:t>
            </w:r>
          </w:p>
        </w:tc>
      </w:tr>
      <w:tr w:rsidR="00C84A16" w:rsidRPr="006B7270" w14:paraId="15D84453" w14:textId="77777777" w:rsidTr="006B7270">
        <w:trPr>
          <w:trHeight w:val="560"/>
        </w:trPr>
        <w:tc>
          <w:tcPr>
            <w:tcW w:w="984" w:type="dxa"/>
            <w:tcBorders>
              <w:top w:val="nil"/>
              <w:left w:val="nil"/>
              <w:bottom w:val="nil"/>
              <w:right w:val="nil"/>
            </w:tcBorders>
            <w:shd w:val="clear" w:color="000000" w:fill="FFFFFF"/>
            <w:noWrap/>
            <w:vAlign w:val="center"/>
            <w:hideMark/>
          </w:tcPr>
          <w:p w14:paraId="0F79F9C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57037A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D15201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single" w:sz="4" w:space="0" w:color="auto"/>
              <w:left w:val="single" w:sz="4" w:space="0" w:color="auto"/>
              <w:bottom w:val="single" w:sz="4" w:space="0" w:color="000000"/>
              <w:right w:val="single" w:sz="4" w:space="0" w:color="auto"/>
            </w:tcBorders>
            <w:vAlign w:val="center"/>
            <w:hideMark/>
          </w:tcPr>
          <w:p w14:paraId="3E7D2BA9"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6300BE4C"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2E91438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Amélioration du dispositif de transport des échantillons et de rendu des résultats de la charge virale</w:t>
            </w:r>
          </w:p>
        </w:tc>
      </w:tr>
      <w:tr w:rsidR="00C84A16" w:rsidRPr="006B7270" w14:paraId="40ACDD4A" w14:textId="77777777" w:rsidTr="006B7270">
        <w:trPr>
          <w:trHeight w:val="365"/>
        </w:trPr>
        <w:tc>
          <w:tcPr>
            <w:tcW w:w="984" w:type="dxa"/>
            <w:tcBorders>
              <w:top w:val="nil"/>
              <w:left w:val="nil"/>
              <w:bottom w:val="nil"/>
              <w:right w:val="nil"/>
            </w:tcBorders>
            <w:shd w:val="clear" w:color="000000" w:fill="FFFFFF"/>
            <w:noWrap/>
            <w:vAlign w:val="center"/>
            <w:hideMark/>
          </w:tcPr>
          <w:p w14:paraId="24C1D30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3ACAB50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0D907BF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single" w:sz="4" w:space="0" w:color="auto"/>
              <w:left w:val="single" w:sz="4" w:space="0" w:color="auto"/>
              <w:bottom w:val="single" w:sz="4" w:space="0" w:color="000000"/>
              <w:right w:val="single" w:sz="4" w:space="0" w:color="auto"/>
            </w:tcBorders>
            <w:vAlign w:val="center"/>
            <w:hideMark/>
          </w:tcPr>
          <w:p w14:paraId="7AF01D5F"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68A3CEA1"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6F3ADFE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demande de CV et du monitorage des performances</w:t>
            </w:r>
          </w:p>
        </w:tc>
      </w:tr>
      <w:tr w:rsidR="00C84A16" w:rsidRPr="006B7270" w14:paraId="5CA6DF82" w14:textId="77777777" w:rsidTr="006B7270">
        <w:trPr>
          <w:trHeight w:val="270"/>
        </w:trPr>
        <w:tc>
          <w:tcPr>
            <w:tcW w:w="984" w:type="dxa"/>
            <w:tcBorders>
              <w:top w:val="nil"/>
              <w:left w:val="nil"/>
              <w:bottom w:val="nil"/>
              <w:right w:val="nil"/>
            </w:tcBorders>
            <w:shd w:val="clear" w:color="000000" w:fill="FFFFFF"/>
            <w:noWrap/>
            <w:vAlign w:val="center"/>
            <w:hideMark/>
          </w:tcPr>
          <w:p w14:paraId="42B22C3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857D72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CE5FFC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single" w:sz="4" w:space="0" w:color="auto"/>
              <w:left w:val="single" w:sz="4" w:space="0" w:color="auto"/>
              <w:bottom w:val="single" w:sz="4" w:space="0" w:color="000000"/>
              <w:right w:val="single" w:sz="4" w:space="0" w:color="auto"/>
            </w:tcBorders>
            <w:vAlign w:val="center"/>
            <w:hideMark/>
          </w:tcPr>
          <w:p w14:paraId="4E937FB7"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0B976F51"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4B96361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Assurer la disponibilité des intrants et le fonctionnement des plateformes de CV</w:t>
            </w:r>
          </w:p>
        </w:tc>
      </w:tr>
      <w:tr w:rsidR="00C84A16" w:rsidRPr="006B7270" w14:paraId="384B57C0" w14:textId="77777777" w:rsidTr="006B7270">
        <w:trPr>
          <w:trHeight w:val="277"/>
        </w:trPr>
        <w:tc>
          <w:tcPr>
            <w:tcW w:w="984" w:type="dxa"/>
            <w:tcBorders>
              <w:top w:val="nil"/>
              <w:left w:val="nil"/>
              <w:bottom w:val="nil"/>
              <w:right w:val="nil"/>
            </w:tcBorders>
            <w:shd w:val="clear" w:color="000000" w:fill="FFFFFF"/>
            <w:noWrap/>
            <w:vAlign w:val="center"/>
            <w:hideMark/>
          </w:tcPr>
          <w:p w14:paraId="08D96A6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7D4962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191966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44FD9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2.4-Au moins 90% des adultes de 15-49 ans, y compris les prestataires de soins et de services ont des attitudes de non- stigmatisation et non- discrimination à l’égard des PVVIH d’ici à fin 2022</w:t>
            </w:r>
          </w:p>
        </w:tc>
        <w:tc>
          <w:tcPr>
            <w:tcW w:w="3247" w:type="dxa"/>
            <w:vMerge w:val="restart"/>
            <w:tcBorders>
              <w:top w:val="single" w:sz="4" w:space="0" w:color="auto"/>
              <w:left w:val="single" w:sz="4" w:space="0" w:color="auto"/>
              <w:bottom w:val="single" w:sz="4" w:space="0" w:color="000000"/>
              <w:right w:val="nil"/>
            </w:tcBorders>
            <w:shd w:val="clear" w:color="000000" w:fill="FFFFFF"/>
            <w:hideMark/>
          </w:tcPr>
          <w:p w14:paraId="46C228F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Les dispositifs et mesures de prévention et de lutte contre la stigmatisation/discrimination est renforcé</w:t>
            </w: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21AB00D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capacités de l'Observatoire communautaire</w:t>
            </w:r>
          </w:p>
        </w:tc>
      </w:tr>
      <w:tr w:rsidR="00C84A16" w:rsidRPr="006B7270" w14:paraId="6A1A9620" w14:textId="77777777" w:rsidTr="006B7270">
        <w:trPr>
          <w:trHeight w:val="551"/>
        </w:trPr>
        <w:tc>
          <w:tcPr>
            <w:tcW w:w="984" w:type="dxa"/>
            <w:tcBorders>
              <w:top w:val="nil"/>
              <w:left w:val="nil"/>
              <w:bottom w:val="nil"/>
              <w:right w:val="nil"/>
            </w:tcBorders>
            <w:shd w:val="clear" w:color="000000" w:fill="FFFFFF"/>
            <w:noWrap/>
            <w:vAlign w:val="center"/>
            <w:hideMark/>
          </w:tcPr>
          <w:p w14:paraId="3D7223F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EDA6B9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7C5E1D7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419CBB50"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34CAD3B0"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6427E8C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Renforcement de capacités des populations clés et PVVIH sur le concept "connaitre mon droit" à travers les associations </w:t>
            </w:r>
          </w:p>
        </w:tc>
      </w:tr>
      <w:tr w:rsidR="00C84A16" w:rsidRPr="006B7270" w14:paraId="04687618" w14:textId="77777777" w:rsidTr="006B7270">
        <w:trPr>
          <w:trHeight w:val="560"/>
        </w:trPr>
        <w:tc>
          <w:tcPr>
            <w:tcW w:w="984" w:type="dxa"/>
            <w:tcBorders>
              <w:top w:val="nil"/>
              <w:left w:val="nil"/>
              <w:bottom w:val="nil"/>
              <w:right w:val="nil"/>
            </w:tcBorders>
            <w:shd w:val="clear" w:color="000000" w:fill="FFFFFF"/>
            <w:noWrap/>
            <w:vAlign w:val="center"/>
            <w:hideMark/>
          </w:tcPr>
          <w:p w14:paraId="18FE366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6B7A9D2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9ECE6A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7059285F"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276EBBF3"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5E2D216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du plaidoyer et de la promotion des droits des PVVIH et des populations clés</w:t>
            </w:r>
          </w:p>
        </w:tc>
      </w:tr>
      <w:tr w:rsidR="00C84A16" w:rsidRPr="006B7270" w14:paraId="40AFB235" w14:textId="77777777" w:rsidTr="006B7270">
        <w:trPr>
          <w:trHeight w:val="559"/>
        </w:trPr>
        <w:tc>
          <w:tcPr>
            <w:tcW w:w="984" w:type="dxa"/>
            <w:tcBorders>
              <w:top w:val="nil"/>
              <w:left w:val="nil"/>
              <w:bottom w:val="nil"/>
              <w:right w:val="nil"/>
            </w:tcBorders>
            <w:shd w:val="clear" w:color="000000" w:fill="FFFFFF"/>
            <w:noWrap/>
            <w:vAlign w:val="center"/>
            <w:hideMark/>
          </w:tcPr>
          <w:p w14:paraId="3687373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C5EBB5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945911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5CDCA1EE" w14:textId="77777777" w:rsidR="00C84A16" w:rsidRPr="006B7270" w:rsidRDefault="00C84A16" w:rsidP="00C84A16">
            <w:pPr>
              <w:rPr>
                <w:rFonts w:ascii="Calibri" w:hAnsi="Calibri"/>
                <w:color w:val="000000"/>
                <w:sz w:val="19"/>
                <w:szCs w:val="19"/>
              </w:rPr>
            </w:pPr>
          </w:p>
        </w:tc>
        <w:tc>
          <w:tcPr>
            <w:tcW w:w="3247" w:type="dxa"/>
            <w:vMerge/>
            <w:tcBorders>
              <w:top w:val="single" w:sz="4" w:space="0" w:color="auto"/>
              <w:left w:val="single" w:sz="4" w:space="0" w:color="auto"/>
              <w:bottom w:val="single" w:sz="4" w:space="0" w:color="000000"/>
              <w:right w:val="nil"/>
            </w:tcBorders>
            <w:vAlign w:val="center"/>
            <w:hideMark/>
          </w:tcPr>
          <w:p w14:paraId="173D2199" w14:textId="77777777" w:rsidR="00C84A16" w:rsidRPr="006B7270" w:rsidRDefault="00C84A16" w:rsidP="00C84A16">
            <w:pPr>
              <w:rPr>
                <w:rFonts w:ascii="Calibri" w:hAnsi="Calibri"/>
                <w:color w:val="000000"/>
                <w:sz w:val="19"/>
                <w:szCs w:val="19"/>
              </w:rPr>
            </w:pPr>
          </w:p>
        </w:tc>
        <w:tc>
          <w:tcPr>
            <w:tcW w:w="7371" w:type="dxa"/>
            <w:gridSpan w:val="2"/>
            <w:tcBorders>
              <w:top w:val="nil"/>
              <w:left w:val="single" w:sz="4" w:space="0" w:color="auto"/>
              <w:bottom w:val="single" w:sz="4" w:space="0" w:color="auto"/>
              <w:right w:val="single" w:sz="4" w:space="0" w:color="auto"/>
            </w:tcBorders>
            <w:shd w:val="clear" w:color="000000" w:fill="FFFFFF"/>
            <w:hideMark/>
          </w:tcPr>
          <w:p w14:paraId="1F3EA0E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documentation et l'information stratégique sur la stigmatisation/discrimination et le respect des droits</w:t>
            </w:r>
          </w:p>
        </w:tc>
      </w:tr>
      <w:tr w:rsidR="00C84A16" w:rsidRPr="006B7270" w14:paraId="014B59F8" w14:textId="77777777" w:rsidTr="006B7270">
        <w:trPr>
          <w:trHeight w:val="340"/>
        </w:trPr>
        <w:tc>
          <w:tcPr>
            <w:tcW w:w="984" w:type="dxa"/>
            <w:tcBorders>
              <w:top w:val="single" w:sz="8" w:space="0" w:color="auto"/>
              <w:left w:val="single" w:sz="8" w:space="0" w:color="auto"/>
              <w:bottom w:val="single" w:sz="8" w:space="0" w:color="auto"/>
              <w:right w:val="nil"/>
            </w:tcBorders>
            <w:shd w:val="clear" w:color="000000" w:fill="FF0000"/>
            <w:vAlign w:val="center"/>
            <w:hideMark/>
          </w:tcPr>
          <w:p w14:paraId="2F54717F" w14:textId="77777777" w:rsidR="00C84A16" w:rsidRPr="006B7270" w:rsidRDefault="00C84A16" w:rsidP="00C84A16">
            <w:pPr>
              <w:rPr>
                <w:rFonts w:ascii="Calibri" w:hAnsi="Calibri"/>
                <w:b/>
                <w:bCs/>
                <w:color w:val="FFFFFF"/>
                <w:sz w:val="19"/>
                <w:szCs w:val="19"/>
              </w:rPr>
            </w:pPr>
            <w:r w:rsidRPr="006B7270">
              <w:rPr>
                <w:rFonts w:ascii="Calibri" w:hAnsi="Calibri"/>
                <w:b/>
                <w:bCs/>
                <w:color w:val="FFFFFF"/>
                <w:sz w:val="19"/>
                <w:szCs w:val="19"/>
              </w:rPr>
              <w:t>Priorité -3</w:t>
            </w:r>
          </w:p>
        </w:tc>
        <w:tc>
          <w:tcPr>
            <w:tcW w:w="14037" w:type="dxa"/>
            <w:gridSpan w:val="6"/>
            <w:tcBorders>
              <w:top w:val="single" w:sz="4" w:space="0" w:color="auto"/>
              <w:left w:val="single" w:sz="4" w:space="0" w:color="auto"/>
              <w:bottom w:val="single" w:sz="4" w:space="0" w:color="auto"/>
              <w:right w:val="single" w:sz="4" w:space="0" w:color="000000"/>
            </w:tcBorders>
            <w:shd w:val="clear" w:color="000000" w:fill="E7E6E6"/>
            <w:vAlign w:val="center"/>
            <w:hideMark/>
          </w:tcPr>
          <w:p w14:paraId="5592F19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Renforcer la gouvernance et la résilience de la riposte au sida pour des meilleures réponses locales et pour la disponibilité de l’information stratégique</w:t>
            </w:r>
          </w:p>
        </w:tc>
      </w:tr>
      <w:tr w:rsidR="00C84A16" w:rsidRPr="006B7270" w14:paraId="4FAD7C2D" w14:textId="77777777" w:rsidTr="006B7270">
        <w:trPr>
          <w:gridBefore w:val="1"/>
          <w:wBefore w:w="984" w:type="dxa"/>
          <w:trHeight w:val="340"/>
        </w:trPr>
        <w:tc>
          <w:tcPr>
            <w:tcW w:w="960" w:type="dxa"/>
            <w:tcBorders>
              <w:top w:val="nil"/>
              <w:left w:val="single" w:sz="8" w:space="0" w:color="auto"/>
              <w:bottom w:val="single" w:sz="8" w:space="0" w:color="auto"/>
              <w:right w:val="nil"/>
            </w:tcBorders>
            <w:shd w:val="clear" w:color="000000" w:fill="00B0F0"/>
            <w:vAlign w:val="center"/>
            <w:hideMark/>
          </w:tcPr>
          <w:p w14:paraId="42C73B56" w14:textId="77777777" w:rsidR="00C84A16" w:rsidRPr="006B7270" w:rsidRDefault="00C84A16" w:rsidP="00C84A16">
            <w:pPr>
              <w:rPr>
                <w:rFonts w:ascii="Calibri" w:hAnsi="Calibri"/>
                <w:color w:val="FFFFFF"/>
                <w:sz w:val="19"/>
                <w:szCs w:val="19"/>
              </w:rPr>
            </w:pPr>
            <w:r w:rsidRPr="006B7270">
              <w:rPr>
                <w:rFonts w:ascii="Calibri" w:hAnsi="Calibri"/>
                <w:color w:val="FFFFFF"/>
                <w:sz w:val="19"/>
                <w:szCs w:val="19"/>
              </w:rPr>
              <w:t>Impact-3</w:t>
            </w:r>
          </w:p>
        </w:tc>
        <w:tc>
          <w:tcPr>
            <w:tcW w:w="13077" w:type="dxa"/>
            <w:gridSpan w:val="5"/>
            <w:tcBorders>
              <w:top w:val="single" w:sz="4" w:space="0" w:color="auto"/>
              <w:left w:val="single" w:sz="4" w:space="0" w:color="auto"/>
              <w:bottom w:val="single" w:sz="4" w:space="0" w:color="auto"/>
              <w:right w:val="single" w:sz="4" w:space="0" w:color="000000"/>
            </w:tcBorders>
            <w:shd w:val="clear" w:color="000000" w:fill="D9E1F2"/>
            <w:vAlign w:val="center"/>
            <w:hideMark/>
          </w:tcPr>
          <w:p w14:paraId="703C2D9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Les systèmes de gestion, de suivi évaluation, de coordination et de gouvernance de la réponse au VIH sont renforcés et résilients d’ici à fin 2022</w:t>
            </w:r>
          </w:p>
        </w:tc>
      </w:tr>
      <w:tr w:rsidR="00C84A16" w:rsidRPr="006B7270" w14:paraId="661642FA" w14:textId="77777777" w:rsidTr="006B7270">
        <w:trPr>
          <w:trHeight w:val="560"/>
        </w:trPr>
        <w:tc>
          <w:tcPr>
            <w:tcW w:w="984" w:type="dxa"/>
            <w:tcBorders>
              <w:top w:val="nil"/>
              <w:left w:val="nil"/>
              <w:bottom w:val="nil"/>
              <w:right w:val="nil"/>
            </w:tcBorders>
            <w:shd w:val="clear" w:color="000000" w:fill="FFFFFF"/>
            <w:noWrap/>
            <w:vAlign w:val="center"/>
            <w:hideMark/>
          </w:tcPr>
          <w:p w14:paraId="4D81BC7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0527ED3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7C3EB2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20723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3.1-D’ici à fin 2022, le taux d’exécution financière du PSN est supérieur à 80%</w:t>
            </w:r>
          </w:p>
        </w:tc>
        <w:tc>
          <w:tcPr>
            <w:tcW w:w="3389" w:type="dxa"/>
            <w:gridSpan w:val="2"/>
            <w:vMerge w:val="restart"/>
            <w:tcBorders>
              <w:top w:val="single" w:sz="4" w:space="0" w:color="auto"/>
              <w:left w:val="single" w:sz="4" w:space="0" w:color="auto"/>
              <w:bottom w:val="single" w:sz="4" w:space="0" w:color="000000"/>
              <w:right w:val="nil"/>
            </w:tcBorders>
            <w:shd w:val="clear" w:color="000000" w:fill="FFFFFF"/>
            <w:hideMark/>
          </w:tcPr>
          <w:p w14:paraId="11CB3D7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90% du financement extérieur sont mobilisés et exécutés</w:t>
            </w:r>
          </w:p>
        </w:tc>
        <w:tc>
          <w:tcPr>
            <w:tcW w:w="7229" w:type="dxa"/>
            <w:tcBorders>
              <w:top w:val="nil"/>
              <w:left w:val="single" w:sz="4" w:space="0" w:color="auto"/>
              <w:bottom w:val="single" w:sz="4" w:space="0" w:color="auto"/>
              <w:right w:val="single" w:sz="4" w:space="0" w:color="auto"/>
            </w:tcBorders>
            <w:shd w:val="clear" w:color="000000" w:fill="FFFFFF"/>
            <w:hideMark/>
          </w:tcPr>
          <w:p w14:paraId="3D00E32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stratégies de mobilisation des ressources financières pour le CSN 2018-2022</w:t>
            </w:r>
          </w:p>
        </w:tc>
      </w:tr>
      <w:tr w:rsidR="00C84A16" w:rsidRPr="006B7270" w14:paraId="612CE6A7" w14:textId="77777777" w:rsidTr="006B7270">
        <w:trPr>
          <w:trHeight w:val="277"/>
        </w:trPr>
        <w:tc>
          <w:tcPr>
            <w:tcW w:w="984" w:type="dxa"/>
            <w:tcBorders>
              <w:top w:val="nil"/>
              <w:left w:val="nil"/>
              <w:bottom w:val="nil"/>
              <w:right w:val="nil"/>
            </w:tcBorders>
            <w:shd w:val="clear" w:color="000000" w:fill="FFFFFF"/>
            <w:noWrap/>
            <w:vAlign w:val="center"/>
            <w:hideMark/>
          </w:tcPr>
          <w:p w14:paraId="567D3BC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D6C481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E17918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4936875D"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4BF3D1C7"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63C394B6" w14:textId="098DF83C"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w:t>
            </w:r>
            <w:r w:rsidR="003068FD" w:rsidRPr="006B7270">
              <w:rPr>
                <w:rFonts w:ascii="Calibri" w:hAnsi="Calibri"/>
                <w:color w:val="000000"/>
                <w:sz w:val="19"/>
                <w:szCs w:val="19"/>
              </w:rPr>
              <w:t xml:space="preserve"> </w:t>
            </w:r>
            <w:r w:rsidRPr="006B7270">
              <w:rPr>
                <w:rFonts w:ascii="Calibri" w:hAnsi="Calibri"/>
                <w:color w:val="000000"/>
                <w:sz w:val="19"/>
                <w:szCs w:val="19"/>
              </w:rPr>
              <w:t>des capacités de l'ICN pour la mobilisation des ressources</w:t>
            </w:r>
          </w:p>
        </w:tc>
      </w:tr>
      <w:tr w:rsidR="00C84A16" w:rsidRPr="006B7270" w14:paraId="5D332140" w14:textId="77777777" w:rsidTr="006B7270">
        <w:trPr>
          <w:trHeight w:val="320"/>
        </w:trPr>
        <w:tc>
          <w:tcPr>
            <w:tcW w:w="984" w:type="dxa"/>
            <w:tcBorders>
              <w:top w:val="nil"/>
              <w:left w:val="nil"/>
              <w:bottom w:val="nil"/>
              <w:right w:val="nil"/>
            </w:tcBorders>
            <w:shd w:val="clear" w:color="000000" w:fill="FFFFFF"/>
            <w:noWrap/>
            <w:vAlign w:val="center"/>
            <w:hideMark/>
          </w:tcPr>
          <w:p w14:paraId="43DA2A3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392DC7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421BD6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2D6C7E13" w14:textId="77777777" w:rsidR="00C84A16" w:rsidRPr="006B7270" w:rsidRDefault="00C84A16" w:rsidP="00C84A16">
            <w:pPr>
              <w:rPr>
                <w:rFonts w:ascii="Calibri" w:hAnsi="Calibri"/>
                <w:color w:val="000000"/>
                <w:sz w:val="19"/>
                <w:szCs w:val="19"/>
              </w:rPr>
            </w:pPr>
          </w:p>
        </w:tc>
        <w:tc>
          <w:tcPr>
            <w:tcW w:w="3389" w:type="dxa"/>
            <w:gridSpan w:val="2"/>
            <w:tcBorders>
              <w:top w:val="single" w:sz="4" w:space="0" w:color="auto"/>
              <w:left w:val="single" w:sz="4" w:space="0" w:color="auto"/>
              <w:bottom w:val="single" w:sz="4" w:space="0" w:color="000000"/>
              <w:right w:val="nil"/>
            </w:tcBorders>
            <w:shd w:val="clear" w:color="000000" w:fill="FFFFFF"/>
            <w:hideMark/>
          </w:tcPr>
          <w:p w14:paraId="362D6E5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40% du financement du PSN est assuré par des sources nationales durables ou pérennes</w:t>
            </w:r>
          </w:p>
        </w:tc>
        <w:tc>
          <w:tcPr>
            <w:tcW w:w="7229" w:type="dxa"/>
            <w:tcBorders>
              <w:top w:val="nil"/>
              <w:left w:val="single" w:sz="4" w:space="0" w:color="auto"/>
              <w:bottom w:val="single" w:sz="4" w:space="0" w:color="auto"/>
              <w:right w:val="single" w:sz="4" w:space="0" w:color="auto"/>
            </w:tcBorders>
            <w:shd w:val="clear" w:color="000000" w:fill="FFFFFF"/>
            <w:hideMark/>
          </w:tcPr>
          <w:p w14:paraId="07EE54AD" w14:textId="35D452ED" w:rsidR="00C84A16" w:rsidRPr="006B7270" w:rsidRDefault="00C84A16" w:rsidP="00C84A16">
            <w:pPr>
              <w:rPr>
                <w:rFonts w:ascii="Calibri" w:hAnsi="Calibri"/>
                <w:color w:val="000000"/>
                <w:sz w:val="19"/>
                <w:szCs w:val="19"/>
              </w:rPr>
            </w:pPr>
            <w:r w:rsidRPr="006B7270">
              <w:rPr>
                <w:rFonts w:ascii="Calibri" w:hAnsi="Calibri"/>
                <w:color w:val="000000"/>
                <w:sz w:val="19"/>
                <w:szCs w:val="19"/>
              </w:rPr>
              <w:t>Suivi du décaissement des engagements de l'</w:t>
            </w:r>
            <w:r w:rsidR="00BD57CE" w:rsidRPr="006B7270">
              <w:rPr>
                <w:rFonts w:ascii="Calibri" w:hAnsi="Calibri"/>
                <w:color w:val="000000"/>
                <w:sz w:val="19"/>
                <w:szCs w:val="19"/>
              </w:rPr>
              <w:t>État</w:t>
            </w:r>
            <w:r w:rsidRPr="006B7270">
              <w:rPr>
                <w:rFonts w:ascii="Calibri" w:hAnsi="Calibri"/>
                <w:color w:val="000000"/>
                <w:sz w:val="19"/>
                <w:szCs w:val="19"/>
              </w:rPr>
              <w:t xml:space="preserve"> et du secteur privé</w:t>
            </w:r>
          </w:p>
        </w:tc>
      </w:tr>
      <w:tr w:rsidR="00C84A16" w:rsidRPr="006B7270" w14:paraId="15206348" w14:textId="77777777" w:rsidTr="006B7270">
        <w:trPr>
          <w:trHeight w:val="560"/>
        </w:trPr>
        <w:tc>
          <w:tcPr>
            <w:tcW w:w="984" w:type="dxa"/>
            <w:tcBorders>
              <w:top w:val="nil"/>
              <w:left w:val="nil"/>
              <w:bottom w:val="nil"/>
              <w:right w:val="nil"/>
            </w:tcBorders>
            <w:shd w:val="clear" w:color="000000" w:fill="FFFFFF"/>
            <w:noWrap/>
            <w:vAlign w:val="center"/>
            <w:hideMark/>
          </w:tcPr>
          <w:p w14:paraId="71AC7E8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017EDC6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7AD95F4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28680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3-2-Le secteur communautaire et le secteur privé disposent des capacités managériales, techniques et opérationnelles pour assurer au moins 80% de la réponse dans leur secteur d’ici à fin 2022 </w:t>
            </w:r>
          </w:p>
        </w:tc>
        <w:tc>
          <w:tcPr>
            <w:tcW w:w="3389" w:type="dxa"/>
            <w:gridSpan w:val="2"/>
            <w:vMerge w:val="restart"/>
            <w:tcBorders>
              <w:top w:val="single" w:sz="4" w:space="0" w:color="auto"/>
              <w:left w:val="single" w:sz="4" w:space="0" w:color="auto"/>
              <w:bottom w:val="single" w:sz="4" w:space="0" w:color="000000"/>
              <w:right w:val="nil"/>
            </w:tcBorders>
            <w:shd w:val="clear" w:color="000000" w:fill="FFFFFF"/>
            <w:hideMark/>
          </w:tcPr>
          <w:p w14:paraId="292ACB8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La plateforme globale de la société civile est fonctionnelle pour assurer une réponse cohérente et décentralisée au niveau communautaire</w:t>
            </w:r>
          </w:p>
        </w:tc>
        <w:tc>
          <w:tcPr>
            <w:tcW w:w="7229" w:type="dxa"/>
            <w:tcBorders>
              <w:top w:val="nil"/>
              <w:left w:val="single" w:sz="4" w:space="0" w:color="auto"/>
              <w:bottom w:val="single" w:sz="4" w:space="0" w:color="auto"/>
              <w:right w:val="single" w:sz="4" w:space="0" w:color="auto"/>
            </w:tcBorders>
            <w:shd w:val="clear" w:color="000000" w:fill="FFFFFF"/>
            <w:hideMark/>
          </w:tcPr>
          <w:p w14:paraId="69CDBED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Opérationnalisation des plateformes nationales et régionales des organisations de la société civile</w:t>
            </w:r>
          </w:p>
        </w:tc>
      </w:tr>
      <w:tr w:rsidR="00C84A16" w:rsidRPr="006B7270" w14:paraId="79A5CC38" w14:textId="77777777" w:rsidTr="006B7270">
        <w:trPr>
          <w:trHeight w:val="560"/>
        </w:trPr>
        <w:tc>
          <w:tcPr>
            <w:tcW w:w="984" w:type="dxa"/>
            <w:tcBorders>
              <w:top w:val="nil"/>
              <w:left w:val="nil"/>
              <w:bottom w:val="nil"/>
              <w:right w:val="nil"/>
            </w:tcBorders>
            <w:shd w:val="clear" w:color="000000" w:fill="FFFFFF"/>
            <w:noWrap/>
            <w:vAlign w:val="center"/>
            <w:hideMark/>
          </w:tcPr>
          <w:p w14:paraId="168D74B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BC31C6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172523F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6E162F9"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0F9E8C54"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507A29E3" w14:textId="051706C8" w:rsidR="00C84A16" w:rsidRPr="006B7270" w:rsidRDefault="00BD57CE" w:rsidP="00C84A16">
            <w:pPr>
              <w:rPr>
                <w:rFonts w:ascii="Calibri" w:hAnsi="Calibri"/>
                <w:color w:val="000000"/>
                <w:sz w:val="19"/>
                <w:szCs w:val="19"/>
              </w:rPr>
            </w:pPr>
            <w:r w:rsidRPr="006B7270">
              <w:rPr>
                <w:rFonts w:ascii="Calibri" w:hAnsi="Calibri"/>
                <w:color w:val="000000"/>
                <w:sz w:val="19"/>
                <w:szCs w:val="19"/>
              </w:rPr>
              <w:t>Élaboration</w:t>
            </w:r>
            <w:r w:rsidR="00C84A16" w:rsidRPr="006B7270">
              <w:rPr>
                <w:rFonts w:ascii="Calibri" w:hAnsi="Calibri"/>
                <w:color w:val="000000"/>
                <w:sz w:val="19"/>
                <w:szCs w:val="19"/>
              </w:rPr>
              <w:t xml:space="preserve"> et mise en œuvre d'un plan de renforcement des </w:t>
            </w:r>
            <w:r w:rsidRPr="006B7270">
              <w:rPr>
                <w:rFonts w:ascii="Calibri" w:hAnsi="Calibri"/>
                <w:color w:val="000000"/>
                <w:sz w:val="19"/>
                <w:szCs w:val="19"/>
              </w:rPr>
              <w:t>capacités</w:t>
            </w:r>
            <w:r w:rsidR="00C84A16" w:rsidRPr="006B7270">
              <w:rPr>
                <w:rFonts w:ascii="Calibri" w:hAnsi="Calibri"/>
                <w:color w:val="000000"/>
                <w:sz w:val="19"/>
                <w:szCs w:val="19"/>
              </w:rPr>
              <w:t xml:space="preserve"> de la société civile</w:t>
            </w:r>
          </w:p>
        </w:tc>
      </w:tr>
      <w:tr w:rsidR="00C84A16" w:rsidRPr="006B7270" w14:paraId="4D7DE9A2" w14:textId="77777777" w:rsidTr="006B7270">
        <w:trPr>
          <w:trHeight w:val="560"/>
        </w:trPr>
        <w:tc>
          <w:tcPr>
            <w:tcW w:w="984" w:type="dxa"/>
            <w:tcBorders>
              <w:top w:val="nil"/>
              <w:left w:val="nil"/>
              <w:bottom w:val="nil"/>
              <w:right w:val="nil"/>
            </w:tcBorders>
            <w:shd w:val="clear" w:color="000000" w:fill="FFFFFF"/>
            <w:noWrap/>
            <w:vAlign w:val="center"/>
            <w:hideMark/>
          </w:tcPr>
          <w:p w14:paraId="6898699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3A18B42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0C5241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607AA2F"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6F187648"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187EA49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redevabilité et la visibilité des résultats du secteur communautaire</w:t>
            </w:r>
          </w:p>
        </w:tc>
      </w:tr>
      <w:tr w:rsidR="00C84A16" w:rsidRPr="006B7270" w14:paraId="6F47E8AF" w14:textId="77777777" w:rsidTr="006B7270">
        <w:trPr>
          <w:trHeight w:val="866"/>
        </w:trPr>
        <w:tc>
          <w:tcPr>
            <w:tcW w:w="984" w:type="dxa"/>
            <w:tcBorders>
              <w:top w:val="nil"/>
              <w:left w:val="nil"/>
              <w:bottom w:val="nil"/>
              <w:right w:val="nil"/>
            </w:tcBorders>
            <w:shd w:val="clear" w:color="000000" w:fill="FFFFFF"/>
            <w:noWrap/>
            <w:vAlign w:val="center"/>
            <w:hideMark/>
          </w:tcPr>
          <w:p w14:paraId="7278DA7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161252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6DB05A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3B740818" w14:textId="77777777" w:rsidR="00C84A16" w:rsidRPr="006B7270" w:rsidRDefault="00C84A16" w:rsidP="00C84A16">
            <w:pPr>
              <w:rPr>
                <w:rFonts w:ascii="Calibri" w:hAnsi="Calibri"/>
                <w:color w:val="000000"/>
                <w:sz w:val="19"/>
                <w:szCs w:val="19"/>
              </w:rPr>
            </w:pPr>
          </w:p>
        </w:tc>
        <w:tc>
          <w:tcPr>
            <w:tcW w:w="3389" w:type="dxa"/>
            <w:gridSpan w:val="2"/>
            <w:vMerge w:val="restart"/>
            <w:tcBorders>
              <w:top w:val="single" w:sz="4" w:space="0" w:color="auto"/>
              <w:left w:val="single" w:sz="4" w:space="0" w:color="auto"/>
              <w:bottom w:val="single" w:sz="4" w:space="0" w:color="000000"/>
              <w:right w:val="nil"/>
            </w:tcBorders>
            <w:shd w:val="clear" w:color="000000" w:fill="FFFFFF"/>
            <w:hideMark/>
          </w:tcPr>
          <w:p w14:paraId="6D675E4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La plateforme globale du secteur privé est fonctionnelle pour assurer une réponse cohérente et décentralisée au niveau du secteur privé et des entreprises</w:t>
            </w:r>
          </w:p>
        </w:tc>
        <w:tc>
          <w:tcPr>
            <w:tcW w:w="7229" w:type="dxa"/>
            <w:tcBorders>
              <w:top w:val="nil"/>
              <w:left w:val="single" w:sz="4" w:space="0" w:color="auto"/>
              <w:bottom w:val="single" w:sz="4" w:space="0" w:color="auto"/>
              <w:right w:val="single" w:sz="4" w:space="0" w:color="auto"/>
            </w:tcBorders>
            <w:shd w:val="clear" w:color="000000" w:fill="FFFFFF"/>
            <w:hideMark/>
          </w:tcPr>
          <w:p w14:paraId="3199AB2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capacités et de la fonctionnalité de la chambre des mines pour la mobilisation des ressources, l'organisation et le financement de la riposte au sida dans le secteur privé et les entreprises</w:t>
            </w:r>
          </w:p>
        </w:tc>
      </w:tr>
      <w:tr w:rsidR="00C84A16" w:rsidRPr="006B7270" w14:paraId="2F79EA16" w14:textId="77777777" w:rsidTr="006B7270">
        <w:trPr>
          <w:trHeight w:val="559"/>
        </w:trPr>
        <w:tc>
          <w:tcPr>
            <w:tcW w:w="984" w:type="dxa"/>
            <w:tcBorders>
              <w:top w:val="nil"/>
              <w:left w:val="nil"/>
              <w:bottom w:val="nil"/>
              <w:right w:val="nil"/>
            </w:tcBorders>
            <w:shd w:val="clear" w:color="000000" w:fill="FFFFFF"/>
            <w:noWrap/>
            <w:vAlign w:val="center"/>
            <w:hideMark/>
          </w:tcPr>
          <w:p w14:paraId="34B6628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3EED70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0CBCA07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3B646BB7"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168522B3"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0C90F0FE" w14:textId="0C593B7D" w:rsidR="00C84A16" w:rsidRPr="006B7270" w:rsidRDefault="00BD57CE" w:rsidP="00C84A16">
            <w:pPr>
              <w:rPr>
                <w:rFonts w:ascii="Calibri" w:hAnsi="Calibri"/>
                <w:color w:val="000000"/>
                <w:sz w:val="19"/>
                <w:szCs w:val="19"/>
              </w:rPr>
            </w:pPr>
            <w:r w:rsidRPr="006B7270">
              <w:rPr>
                <w:rFonts w:ascii="Calibri" w:hAnsi="Calibri"/>
                <w:color w:val="000000"/>
                <w:sz w:val="19"/>
                <w:szCs w:val="19"/>
              </w:rPr>
              <w:t>Élaboration</w:t>
            </w:r>
            <w:r w:rsidR="00C84A16" w:rsidRPr="006B7270">
              <w:rPr>
                <w:rFonts w:ascii="Calibri" w:hAnsi="Calibri"/>
                <w:color w:val="000000"/>
                <w:sz w:val="19"/>
                <w:szCs w:val="19"/>
              </w:rPr>
              <w:t xml:space="preserve"> et mise en œuvre d'un plan de renforcement des </w:t>
            </w:r>
            <w:r w:rsidRPr="006B7270">
              <w:rPr>
                <w:rFonts w:ascii="Calibri" w:hAnsi="Calibri"/>
                <w:color w:val="000000"/>
                <w:sz w:val="19"/>
                <w:szCs w:val="19"/>
              </w:rPr>
              <w:t>capacités</w:t>
            </w:r>
            <w:r w:rsidR="00C84A16" w:rsidRPr="006B7270">
              <w:rPr>
                <w:rFonts w:ascii="Calibri" w:hAnsi="Calibri"/>
                <w:color w:val="000000"/>
                <w:sz w:val="19"/>
                <w:szCs w:val="19"/>
              </w:rPr>
              <w:t xml:space="preserve"> des acteurs et structures faitières du secteur privé</w:t>
            </w:r>
          </w:p>
        </w:tc>
      </w:tr>
      <w:tr w:rsidR="00C84A16" w:rsidRPr="006B7270" w14:paraId="2E4628F3" w14:textId="77777777" w:rsidTr="006B7270">
        <w:trPr>
          <w:trHeight w:val="559"/>
        </w:trPr>
        <w:tc>
          <w:tcPr>
            <w:tcW w:w="984" w:type="dxa"/>
            <w:tcBorders>
              <w:top w:val="nil"/>
              <w:left w:val="nil"/>
              <w:bottom w:val="nil"/>
              <w:right w:val="nil"/>
            </w:tcBorders>
            <w:shd w:val="clear" w:color="000000" w:fill="FFFFFF"/>
            <w:noWrap/>
            <w:vAlign w:val="center"/>
            <w:hideMark/>
          </w:tcPr>
          <w:p w14:paraId="73160F1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304E52B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7C8943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74EA07D8"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513BE6D3"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0213022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redevabilité et la visibilité des résultats du secteur privé et des entreprises</w:t>
            </w:r>
          </w:p>
        </w:tc>
      </w:tr>
      <w:tr w:rsidR="00C84A16" w:rsidRPr="006B7270" w14:paraId="1AE0612C" w14:textId="77777777" w:rsidTr="006B7270">
        <w:trPr>
          <w:trHeight w:val="408"/>
        </w:trPr>
        <w:tc>
          <w:tcPr>
            <w:tcW w:w="984" w:type="dxa"/>
            <w:tcBorders>
              <w:top w:val="nil"/>
              <w:left w:val="nil"/>
              <w:bottom w:val="nil"/>
              <w:right w:val="nil"/>
            </w:tcBorders>
            <w:shd w:val="clear" w:color="000000" w:fill="FFFFFF"/>
            <w:noWrap/>
            <w:vAlign w:val="center"/>
            <w:hideMark/>
          </w:tcPr>
          <w:p w14:paraId="549DAE2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02EB74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B3AFA7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A7538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3.3-Durant la période 2018- 2022, le système national de suivi évaluation de la riposte est à même de produire tous les données et indicateurs avec une qualité, une complétude et une promptitude supérieure à 95% </w:t>
            </w:r>
          </w:p>
        </w:tc>
        <w:tc>
          <w:tcPr>
            <w:tcW w:w="3389" w:type="dxa"/>
            <w:gridSpan w:val="2"/>
            <w:vMerge w:val="restart"/>
            <w:tcBorders>
              <w:top w:val="single" w:sz="4" w:space="0" w:color="auto"/>
              <w:left w:val="single" w:sz="4" w:space="0" w:color="auto"/>
              <w:bottom w:val="single" w:sz="4" w:space="0" w:color="000000"/>
              <w:right w:val="nil"/>
            </w:tcBorders>
            <w:shd w:val="clear" w:color="000000" w:fill="FFFFFF"/>
            <w:hideMark/>
          </w:tcPr>
          <w:p w14:paraId="2E3BAFD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Le dispositif de suivi évaluation est fonctionnel et rempli ses missions pendant la durée de mise en œuvre du CSN</w:t>
            </w:r>
          </w:p>
        </w:tc>
        <w:tc>
          <w:tcPr>
            <w:tcW w:w="7229" w:type="dxa"/>
            <w:tcBorders>
              <w:top w:val="nil"/>
              <w:left w:val="single" w:sz="4" w:space="0" w:color="auto"/>
              <w:bottom w:val="single" w:sz="4" w:space="0" w:color="auto"/>
              <w:right w:val="single" w:sz="4" w:space="0" w:color="auto"/>
            </w:tcBorders>
            <w:shd w:val="clear" w:color="000000" w:fill="FFFFFF"/>
            <w:hideMark/>
          </w:tcPr>
          <w:p w14:paraId="42D5B07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Renforcement/mise à jour des capacités des acteurs en suivi évaluation</w:t>
            </w:r>
          </w:p>
        </w:tc>
      </w:tr>
      <w:tr w:rsidR="00C84A16" w:rsidRPr="006B7270" w14:paraId="7A3D06DD" w14:textId="77777777" w:rsidTr="006B7270">
        <w:trPr>
          <w:trHeight w:val="402"/>
        </w:trPr>
        <w:tc>
          <w:tcPr>
            <w:tcW w:w="984" w:type="dxa"/>
            <w:tcBorders>
              <w:top w:val="nil"/>
              <w:left w:val="nil"/>
              <w:bottom w:val="nil"/>
              <w:right w:val="nil"/>
            </w:tcBorders>
            <w:shd w:val="clear" w:color="000000" w:fill="FFFFFF"/>
            <w:noWrap/>
            <w:vAlign w:val="center"/>
            <w:hideMark/>
          </w:tcPr>
          <w:p w14:paraId="2CFCA82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73CBD1D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D3DC745"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76129BAC"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42EB0E32"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4E8C5F9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disponibilité des outils de gestion du suivi évaluation et de collecte des données et de rapportage</w:t>
            </w:r>
          </w:p>
        </w:tc>
      </w:tr>
      <w:tr w:rsidR="00C84A16" w:rsidRPr="006B7270" w14:paraId="313FB4C7" w14:textId="77777777" w:rsidTr="006B7270">
        <w:trPr>
          <w:trHeight w:val="373"/>
        </w:trPr>
        <w:tc>
          <w:tcPr>
            <w:tcW w:w="984" w:type="dxa"/>
            <w:tcBorders>
              <w:top w:val="nil"/>
              <w:left w:val="nil"/>
              <w:bottom w:val="nil"/>
              <w:right w:val="nil"/>
            </w:tcBorders>
            <w:shd w:val="clear" w:color="000000" w:fill="FFFFFF"/>
            <w:noWrap/>
            <w:vAlign w:val="center"/>
            <w:hideMark/>
          </w:tcPr>
          <w:p w14:paraId="123D3DA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527302C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213DDD8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5D68C3C8" w14:textId="77777777" w:rsidR="00C84A16" w:rsidRPr="006B7270" w:rsidRDefault="00C84A16" w:rsidP="00C84A16">
            <w:pPr>
              <w:rPr>
                <w:rFonts w:ascii="Calibri" w:hAnsi="Calibri"/>
                <w:color w:val="000000"/>
                <w:sz w:val="19"/>
                <w:szCs w:val="19"/>
              </w:rPr>
            </w:pPr>
          </w:p>
        </w:tc>
        <w:tc>
          <w:tcPr>
            <w:tcW w:w="3389" w:type="dxa"/>
            <w:gridSpan w:val="2"/>
            <w:vMerge w:val="restart"/>
            <w:tcBorders>
              <w:top w:val="single" w:sz="4" w:space="0" w:color="auto"/>
              <w:left w:val="single" w:sz="4" w:space="0" w:color="auto"/>
              <w:bottom w:val="single" w:sz="4" w:space="0" w:color="000000"/>
              <w:right w:val="nil"/>
            </w:tcBorders>
            <w:shd w:val="clear" w:color="000000" w:fill="FFFFFF"/>
            <w:hideMark/>
          </w:tcPr>
          <w:p w14:paraId="172BC8E5" w14:textId="587EFA02"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Tous les rapports et les </w:t>
            </w:r>
            <w:r w:rsidR="00BD57CE" w:rsidRPr="006B7270">
              <w:rPr>
                <w:rFonts w:ascii="Calibri" w:hAnsi="Calibri"/>
                <w:color w:val="000000"/>
                <w:sz w:val="19"/>
                <w:szCs w:val="19"/>
              </w:rPr>
              <w:t>indicateurs requis</w:t>
            </w:r>
            <w:r w:rsidRPr="006B7270">
              <w:rPr>
                <w:rFonts w:ascii="Calibri" w:hAnsi="Calibri"/>
                <w:color w:val="000000"/>
                <w:sz w:val="19"/>
                <w:szCs w:val="19"/>
              </w:rPr>
              <w:t xml:space="preserve"> sont disponibles à temps et sont de qualité</w:t>
            </w:r>
          </w:p>
        </w:tc>
        <w:tc>
          <w:tcPr>
            <w:tcW w:w="7229" w:type="dxa"/>
            <w:tcBorders>
              <w:top w:val="nil"/>
              <w:left w:val="single" w:sz="4" w:space="0" w:color="auto"/>
              <w:bottom w:val="single" w:sz="4" w:space="0" w:color="auto"/>
              <w:right w:val="single" w:sz="4" w:space="0" w:color="auto"/>
            </w:tcBorders>
            <w:shd w:val="clear" w:color="000000" w:fill="FFFFFF"/>
            <w:hideMark/>
          </w:tcPr>
          <w:p w14:paraId="05C6A8A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mesures et dispositifs collecte et de remontée des données</w:t>
            </w:r>
          </w:p>
        </w:tc>
      </w:tr>
      <w:tr w:rsidR="00C84A16" w:rsidRPr="006B7270" w14:paraId="57C9D99F" w14:textId="77777777" w:rsidTr="006B7270">
        <w:trPr>
          <w:trHeight w:val="329"/>
        </w:trPr>
        <w:tc>
          <w:tcPr>
            <w:tcW w:w="984" w:type="dxa"/>
            <w:tcBorders>
              <w:top w:val="nil"/>
              <w:left w:val="nil"/>
              <w:bottom w:val="nil"/>
              <w:right w:val="nil"/>
            </w:tcBorders>
            <w:shd w:val="clear" w:color="000000" w:fill="FFFFFF"/>
            <w:noWrap/>
            <w:vAlign w:val="center"/>
            <w:hideMark/>
          </w:tcPr>
          <w:p w14:paraId="7407080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CCC47F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3F2A58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EC5061C"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07882064"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0C4F42FF" w14:textId="26AF4699"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mesures d'assurance qualité des données à tous les niveaux</w:t>
            </w:r>
          </w:p>
        </w:tc>
      </w:tr>
      <w:tr w:rsidR="00C84A16" w:rsidRPr="006B7270" w14:paraId="08731CEC" w14:textId="77777777" w:rsidTr="006B7270">
        <w:trPr>
          <w:trHeight w:val="323"/>
        </w:trPr>
        <w:tc>
          <w:tcPr>
            <w:tcW w:w="984" w:type="dxa"/>
            <w:tcBorders>
              <w:top w:val="nil"/>
              <w:left w:val="nil"/>
              <w:bottom w:val="nil"/>
              <w:right w:val="nil"/>
            </w:tcBorders>
            <w:shd w:val="clear" w:color="000000" w:fill="FFFFFF"/>
            <w:noWrap/>
            <w:vAlign w:val="center"/>
            <w:hideMark/>
          </w:tcPr>
          <w:p w14:paraId="75AE904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4E327F3"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9807BD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311C4D96"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25D942D8"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1AE619A9"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Production régulière des rapports et de l'état des indicateurs</w:t>
            </w:r>
          </w:p>
        </w:tc>
      </w:tr>
      <w:tr w:rsidR="00C84A16" w:rsidRPr="006B7270" w14:paraId="5256BC9F" w14:textId="77777777" w:rsidTr="006B7270">
        <w:trPr>
          <w:trHeight w:val="417"/>
        </w:trPr>
        <w:tc>
          <w:tcPr>
            <w:tcW w:w="984" w:type="dxa"/>
            <w:tcBorders>
              <w:top w:val="nil"/>
              <w:left w:val="nil"/>
              <w:bottom w:val="nil"/>
              <w:right w:val="nil"/>
            </w:tcBorders>
            <w:shd w:val="clear" w:color="000000" w:fill="FFFFFF"/>
            <w:noWrap/>
            <w:vAlign w:val="center"/>
            <w:hideMark/>
          </w:tcPr>
          <w:p w14:paraId="432949E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203DC6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092C61C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6B08FED" w14:textId="77777777" w:rsidR="00C84A16" w:rsidRPr="006B7270" w:rsidRDefault="00C84A16" w:rsidP="00C84A16">
            <w:pPr>
              <w:rPr>
                <w:rFonts w:ascii="Calibri" w:hAnsi="Calibri"/>
                <w:color w:val="000000"/>
                <w:sz w:val="19"/>
                <w:szCs w:val="19"/>
              </w:rPr>
            </w:pPr>
          </w:p>
        </w:tc>
        <w:tc>
          <w:tcPr>
            <w:tcW w:w="3389" w:type="dxa"/>
            <w:gridSpan w:val="2"/>
            <w:vMerge w:val="restart"/>
            <w:tcBorders>
              <w:top w:val="single" w:sz="4" w:space="0" w:color="auto"/>
              <w:left w:val="single" w:sz="4" w:space="0" w:color="auto"/>
              <w:bottom w:val="single" w:sz="4" w:space="0" w:color="000000"/>
              <w:right w:val="nil"/>
            </w:tcBorders>
            <w:shd w:val="clear" w:color="000000" w:fill="FFFFFF"/>
            <w:hideMark/>
          </w:tcPr>
          <w:p w14:paraId="3E8E2F25" w14:textId="590C4BC8" w:rsidR="00C84A16" w:rsidRPr="006B7270" w:rsidRDefault="00C84A16" w:rsidP="00C84A16">
            <w:pPr>
              <w:rPr>
                <w:rFonts w:ascii="Calibri" w:hAnsi="Calibri"/>
                <w:color w:val="000000"/>
                <w:sz w:val="19"/>
                <w:szCs w:val="19"/>
              </w:rPr>
            </w:pPr>
            <w:r w:rsidRPr="006B7270">
              <w:rPr>
                <w:rFonts w:ascii="Calibri" w:hAnsi="Calibri"/>
                <w:color w:val="000000"/>
                <w:sz w:val="19"/>
                <w:szCs w:val="19"/>
              </w:rPr>
              <w:t xml:space="preserve">Les informations stratégiques sont </w:t>
            </w:r>
            <w:r w:rsidR="00BD57CE" w:rsidRPr="006B7270">
              <w:rPr>
                <w:rFonts w:ascii="Calibri" w:hAnsi="Calibri"/>
                <w:color w:val="000000"/>
                <w:sz w:val="19"/>
                <w:szCs w:val="19"/>
              </w:rPr>
              <w:t>disponibles et utilisées</w:t>
            </w:r>
            <w:r w:rsidRPr="006B7270">
              <w:rPr>
                <w:rFonts w:ascii="Calibri" w:hAnsi="Calibri"/>
                <w:color w:val="000000"/>
                <w:sz w:val="19"/>
                <w:szCs w:val="19"/>
              </w:rPr>
              <w:t xml:space="preserve"> pour la planification, la gestion et la prise de décision</w:t>
            </w:r>
          </w:p>
        </w:tc>
        <w:tc>
          <w:tcPr>
            <w:tcW w:w="7229" w:type="dxa"/>
            <w:tcBorders>
              <w:top w:val="nil"/>
              <w:left w:val="single" w:sz="4" w:space="0" w:color="auto"/>
              <w:bottom w:val="single" w:sz="4" w:space="0" w:color="auto"/>
              <w:right w:val="single" w:sz="4" w:space="0" w:color="auto"/>
            </w:tcBorders>
            <w:shd w:val="clear" w:color="000000" w:fill="FFFFFF"/>
            <w:hideMark/>
          </w:tcPr>
          <w:p w14:paraId="6FB3732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la production et de la disponibilité de l'information stratégique</w:t>
            </w:r>
          </w:p>
        </w:tc>
      </w:tr>
      <w:tr w:rsidR="00C84A16" w:rsidRPr="006B7270" w14:paraId="1D5E498C" w14:textId="77777777" w:rsidTr="006B7270">
        <w:trPr>
          <w:trHeight w:val="423"/>
        </w:trPr>
        <w:tc>
          <w:tcPr>
            <w:tcW w:w="984" w:type="dxa"/>
            <w:tcBorders>
              <w:top w:val="nil"/>
              <w:left w:val="nil"/>
              <w:bottom w:val="nil"/>
              <w:right w:val="nil"/>
            </w:tcBorders>
            <w:shd w:val="clear" w:color="000000" w:fill="FFFFFF"/>
            <w:noWrap/>
            <w:vAlign w:val="center"/>
            <w:hideMark/>
          </w:tcPr>
          <w:p w14:paraId="47513AFD"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250C7D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400E507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003230F7"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208D22A3"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617695D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l'utilisation des informations stratégiques à tous les niveaux</w:t>
            </w:r>
          </w:p>
        </w:tc>
      </w:tr>
      <w:tr w:rsidR="00C84A16" w:rsidRPr="006B7270" w14:paraId="3AB5D81A" w14:textId="77777777" w:rsidTr="006B7270">
        <w:trPr>
          <w:trHeight w:val="531"/>
        </w:trPr>
        <w:tc>
          <w:tcPr>
            <w:tcW w:w="984" w:type="dxa"/>
            <w:tcBorders>
              <w:top w:val="nil"/>
              <w:left w:val="nil"/>
              <w:bottom w:val="nil"/>
              <w:right w:val="nil"/>
            </w:tcBorders>
            <w:shd w:val="clear" w:color="000000" w:fill="FFFFFF"/>
            <w:noWrap/>
            <w:vAlign w:val="center"/>
            <w:hideMark/>
          </w:tcPr>
          <w:p w14:paraId="4BA7D26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003ED7F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05EEDFF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12CF0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3.4-Entre 2018-2022, la gouvernance du CNLS assure une multisectorialité et une redevabilité optimales</w:t>
            </w:r>
          </w:p>
        </w:tc>
        <w:tc>
          <w:tcPr>
            <w:tcW w:w="3389" w:type="dxa"/>
            <w:gridSpan w:val="2"/>
            <w:vMerge w:val="restart"/>
            <w:tcBorders>
              <w:top w:val="single" w:sz="4" w:space="0" w:color="auto"/>
              <w:left w:val="single" w:sz="4" w:space="0" w:color="auto"/>
              <w:bottom w:val="single" w:sz="4" w:space="0" w:color="000000"/>
              <w:right w:val="nil"/>
            </w:tcBorders>
            <w:shd w:val="clear" w:color="000000" w:fill="FFFFFF"/>
            <w:hideMark/>
          </w:tcPr>
          <w:p w14:paraId="449D7F5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Les instances nationales de coordination de la réponse sont fonctionnelles à tous les niveaux</w:t>
            </w:r>
          </w:p>
        </w:tc>
        <w:tc>
          <w:tcPr>
            <w:tcW w:w="7229" w:type="dxa"/>
            <w:tcBorders>
              <w:top w:val="nil"/>
              <w:left w:val="single" w:sz="4" w:space="0" w:color="auto"/>
              <w:bottom w:val="single" w:sz="4" w:space="0" w:color="auto"/>
              <w:right w:val="single" w:sz="4" w:space="0" w:color="auto"/>
            </w:tcBorders>
            <w:shd w:val="clear" w:color="000000" w:fill="FFFFFF"/>
            <w:hideMark/>
          </w:tcPr>
          <w:p w14:paraId="692B3C5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Amélioration de la gouvernance stratégique et opérationnelle du Secrétariat exécutif du CNLS</w:t>
            </w:r>
          </w:p>
        </w:tc>
      </w:tr>
      <w:tr w:rsidR="00C84A16" w:rsidRPr="006B7270" w14:paraId="03FEC338" w14:textId="77777777" w:rsidTr="006B7270">
        <w:trPr>
          <w:trHeight w:val="439"/>
        </w:trPr>
        <w:tc>
          <w:tcPr>
            <w:tcW w:w="984" w:type="dxa"/>
            <w:tcBorders>
              <w:top w:val="nil"/>
              <w:left w:val="nil"/>
              <w:bottom w:val="nil"/>
              <w:right w:val="nil"/>
            </w:tcBorders>
            <w:shd w:val="clear" w:color="000000" w:fill="FFFFFF"/>
            <w:noWrap/>
            <w:vAlign w:val="center"/>
            <w:hideMark/>
          </w:tcPr>
          <w:p w14:paraId="2F5335C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6425F9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B5A1752"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2A3D7B1C"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13A89E3E"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46CB656C"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 l’engagement sectoriel et des réponses locales au sida (stratégie villes et VIH) en faveur de la riposte au sida</w:t>
            </w:r>
          </w:p>
        </w:tc>
      </w:tr>
      <w:tr w:rsidR="00C84A16" w:rsidRPr="006B7270" w14:paraId="2339B6A9" w14:textId="77777777" w:rsidTr="006B7270">
        <w:trPr>
          <w:trHeight w:val="508"/>
        </w:trPr>
        <w:tc>
          <w:tcPr>
            <w:tcW w:w="984" w:type="dxa"/>
            <w:tcBorders>
              <w:top w:val="nil"/>
              <w:left w:val="nil"/>
              <w:bottom w:val="nil"/>
              <w:right w:val="nil"/>
            </w:tcBorders>
            <w:shd w:val="clear" w:color="000000" w:fill="FFFFFF"/>
            <w:noWrap/>
            <w:vAlign w:val="center"/>
            <w:hideMark/>
          </w:tcPr>
          <w:p w14:paraId="5F93ECCB"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48F0237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3F8CEEB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1CAE803B"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6D7A0F2E"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7EA536F1"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des mécanismes de coordination multisectorielle, de planification et de gestion des interventions à tous les niveaux</w:t>
            </w:r>
          </w:p>
        </w:tc>
      </w:tr>
      <w:tr w:rsidR="00C84A16" w:rsidRPr="006B7270" w14:paraId="4CD67724" w14:textId="77777777" w:rsidTr="006B7270">
        <w:trPr>
          <w:trHeight w:val="565"/>
        </w:trPr>
        <w:tc>
          <w:tcPr>
            <w:tcW w:w="984" w:type="dxa"/>
            <w:tcBorders>
              <w:top w:val="nil"/>
              <w:left w:val="nil"/>
              <w:bottom w:val="nil"/>
              <w:right w:val="nil"/>
            </w:tcBorders>
            <w:shd w:val="clear" w:color="000000" w:fill="FFFFFF"/>
            <w:noWrap/>
            <w:vAlign w:val="center"/>
            <w:hideMark/>
          </w:tcPr>
          <w:p w14:paraId="782135A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2D1433B7"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7B10CA9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4E3A191E"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25E26858"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79C9C6A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Renforcement du cadre normatif et légal relatif à la gestion des opérations de lutte contre le VIH/SIDA</w:t>
            </w:r>
          </w:p>
        </w:tc>
      </w:tr>
      <w:tr w:rsidR="006B7270" w:rsidRPr="006B7270" w14:paraId="4D0222AA" w14:textId="77777777" w:rsidTr="006B7270">
        <w:trPr>
          <w:trHeight w:val="307"/>
        </w:trPr>
        <w:tc>
          <w:tcPr>
            <w:tcW w:w="984" w:type="dxa"/>
            <w:tcBorders>
              <w:top w:val="nil"/>
              <w:left w:val="nil"/>
              <w:bottom w:val="nil"/>
              <w:right w:val="nil"/>
            </w:tcBorders>
            <w:shd w:val="clear" w:color="000000" w:fill="FFFFFF"/>
            <w:noWrap/>
            <w:vAlign w:val="center"/>
          </w:tcPr>
          <w:p w14:paraId="18F6DCBC" w14:textId="77777777" w:rsidR="006B7270" w:rsidRPr="006B7270" w:rsidRDefault="006B7270" w:rsidP="006B7270">
            <w:pPr>
              <w:rPr>
                <w:rFonts w:ascii="Calibri" w:hAnsi="Calibri"/>
                <w:color w:val="000000"/>
                <w:sz w:val="19"/>
                <w:szCs w:val="19"/>
              </w:rPr>
            </w:pPr>
          </w:p>
        </w:tc>
        <w:tc>
          <w:tcPr>
            <w:tcW w:w="960" w:type="dxa"/>
            <w:tcBorders>
              <w:top w:val="nil"/>
              <w:left w:val="nil"/>
              <w:bottom w:val="nil"/>
              <w:right w:val="nil"/>
            </w:tcBorders>
            <w:shd w:val="clear" w:color="000000" w:fill="FFFFFF"/>
            <w:noWrap/>
            <w:vAlign w:val="center"/>
          </w:tcPr>
          <w:p w14:paraId="517ED2E4" w14:textId="77777777" w:rsidR="006B7270" w:rsidRPr="006B7270" w:rsidRDefault="006B7270" w:rsidP="006B7270">
            <w:pPr>
              <w:rPr>
                <w:rFonts w:ascii="Calibri" w:hAnsi="Calibri"/>
                <w:color w:val="000000"/>
                <w:sz w:val="19"/>
                <w:szCs w:val="19"/>
              </w:rPr>
            </w:pPr>
          </w:p>
        </w:tc>
        <w:tc>
          <w:tcPr>
            <w:tcW w:w="260" w:type="dxa"/>
            <w:tcBorders>
              <w:top w:val="nil"/>
              <w:left w:val="nil"/>
              <w:bottom w:val="nil"/>
              <w:right w:val="nil"/>
            </w:tcBorders>
            <w:shd w:val="clear" w:color="000000" w:fill="FFFFFF"/>
            <w:noWrap/>
            <w:vAlign w:val="center"/>
          </w:tcPr>
          <w:p w14:paraId="096D5BD2" w14:textId="77777777" w:rsidR="006B7270" w:rsidRPr="006B7270" w:rsidRDefault="006B7270" w:rsidP="006B7270">
            <w:pPr>
              <w:rPr>
                <w:rFonts w:ascii="Calibri" w:hAnsi="Calibri"/>
                <w:color w:val="000000"/>
                <w:sz w:val="19"/>
                <w:szCs w:val="19"/>
              </w:rPr>
            </w:pPr>
          </w:p>
        </w:tc>
        <w:tc>
          <w:tcPr>
            <w:tcW w:w="2199" w:type="dxa"/>
            <w:vMerge/>
            <w:tcBorders>
              <w:top w:val="nil"/>
              <w:left w:val="single" w:sz="4" w:space="0" w:color="auto"/>
              <w:bottom w:val="single" w:sz="4" w:space="0" w:color="000000"/>
              <w:right w:val="single" w:sz="4" w:space="0" w:color="auto"/>
            </w:tcBorders>
            <w:vAlign w:val="center"/>
          </w:tcPr>
          <w:p w14:paraId="43684122" w14:textId="77777777" w:rsidR="006B7270" w:rsidRPr="006B7270" w:rsidRDefault="006B7270" w:rsidP="006B7270">
            <w:pPr>
              <w:rPr>
                <w:rFonts w:ascii="Calibri" w:hAnsi="Calibri"/>
                <w:color w:val="000000"/>
                <w:sz w:val="19"/>
                <w:szCs w:val="19"/>
              </w:rPr>
            </w:pPr>
          </w:p>
        </w:tc>
        <w:tc>
          <w:tcPr>
            <w:tcW w:w="3389" w:type="dxa"/>
            <w:gridSpan w:val="2"/>
            <w:vMerge w:val="restart"/>
            <w:tcBorders>
              <w:top w:val="single" w:sz="4" w:space="0" w:color="auto"/>
              <w:left w:val="single" w:sz="4" w:space="0" w:color="auto"/>
              <w:right w:val="nil"/>
            </w:tcBorders>
            <w:vAlign w:val="center"/>
          </w:tcPr>
          <w:p w14:paraId="119797E3" w14:textId="0F316361" w:rsidR="006B7270" w:rsidRPr="006B7270" w:rsidRDefault="006B7270" w:rsidP="006B7270">
            <w:pPr>
              <w:rPr>
                <w:rFonts w:ascii="Calibri" w:hAnsi="Calibri"/>
                <w:color w:val="000000"/>
                <w:sz w:val="19"/>
                <w:szCs w:val="19"/>
              </w:rPr>
            </w:pPr>
            <w:r w:rsidRPr="006B7270">
              <w:rPr>
                <w:rFonts w:ascii="Calibri" w:hAnsi="Calibri"/>
                <w:color w:val="000000"/>
                <w:sz w:val="19"/>
                <w:szCs w:val="19"/>
              </w:rPr>
              <w:t>Le système d'approvisionnement et de gestion des intrants VIH est performant</w:t>
            </w:r>
          </w:p>
        </w:tc>
        <w:tc>
          <w:tcPr>
            <w:tcW w:w="7229" w:type="dxa"/>
            <w:tcBorders>
              <w:top w:val="nil"/>
              <w:left w:val="single" w:sz="4" w:space="0" w:color="auto"/>
              <w:bottom w:val="single" w:sz="4" w:space="0" w:color="auto"/>
              <w:right w:val="single" w:sz="4" w:space="0" w:color="auto"/>
            </w:tcBorders>
            <w:shd w:val="clear" w:color="000000" w:fill="FFFFFF"/>
          </w:tcPr>
          <w:p w14:paraId="7FAA8D78" w14:textId="40D90781" w:rsidR="006B7270" w:rsidRPr="006B7270" w:rsidRDefault="006B7270" w:rsidP="006B7270">
            <w:pPr>
              <w:rPr>
                <w:rFonts w:ascii="Calibri" w:hAnsi="Calibri"/>
                <w:color w:val="000000"/>
                <w:sz w:val="19"/>
                <w:szCs w:val="19"/>
              </w:rPr>
            </w:pPr>
            <w:r w:rsidRPr="006B7270">
              <w:rPr>
                <w:rFonts w:ascii="Calibri" w:hAnsi="Calibri"/>
                <w:color w:val="000000"/>
                <w:sz w:val="19"/>
                <w:szCs w:val="19"/>
              </w:rPr>
              <w:t>Opérationnalisation du SIGL</w:t>
            </w:r>
          </w:p>
        </w:tc>
      </w:tr>
      <w:tr w:rsidR="006B7270" w:rsidRPr="006B7270" w14:paraId="154FFDF6" w14:textId="77777777" w:rsidTr="006B7270">
        <w:trPr>
          <w:trHeight w:val="565"/>
        </w:trPr>
        <w:tc>
          <w:tcPr>
            <w:tcW w:w="984" w:type="dxa"/>
            <w:tcBorders>
              <w:top w:val="nil"/>
              <w:left w:val="nil"/>
              <w:bottom w:val="nil"/>
              <w:right w:val="nil"/>
            </w:tcBorders>
            <w:shd w:val="clear" w:color="000000" w:fill="FFFFFF"/>
            <w:noWrap/>
            <w:vAlign w:val="center"/>
          </w:tcPr>
          <w:p w14:paraId="50B76EB8" w14:textId="77777777" w:rsidR="006B7270" w:rsidRPr="006B7270" w:rsidRDefault="006B7270" w:rsidP="006B7270">
            <w:pPr>
              <w:rPr>
                <w:rFonts w:ascii="Calibri" w:hAnsi="Calibri"/>
                <w:color w:val="000000"/>
                <w:sz w:val="19"/>
                <w:szCs w:val="19"/>
              </w:rPr>
            </w:pPr>
          </w:p>
        </w:tc>
        <w:tc>
          <w:tcPr>
            <w:tcW w:w="960" w:type="dxa"/>
            <w:tcBorders>
              <w:top w:val="nil"/>
              <w:left w:val="nil"/>
              <w:bottom w:val="nil"/>
              <w:right w:val="nil"/>
            </w:tcBorders>
            <w:shd w:val="clear" w:color="000000" w:fill="FFFFFF"/>
            <w:noWrap/>
            <w:vAlign w:val="center"/>
          </w:tcPr>
          <w:p w14:paraId="281F5905" w14:textId="77777777" w:rsidR="006B7270" w:rsidRPr="006B7270" w:rsidRDefault="006B7270" w:rsidP="006B7270">
            <w:pPr>
              <w:rPr>
                <w:rFonts w:ascii="Calibri" w:hAnsi="Calibri"/>
                <w:color w:val="000000"/>
                <w:sz w:val="19"/>
                <w:szCs w:val="19"/>
              </w:rPr>
            </w:pPr>
          </w:p>
        </w:tc>
        <w:tc>
          <w:tcPr>
            <w:tcW w:w="260" w:type="dxa"/>
            <w:tcBorders>
              <w:top w:val="nil"/>
              <w:left w:val="nil"/>
              <w:bottom w:val="nil"/>
              <w:right w:val="nil"/>
            </w:tcBorders>
            <w:shd w:val="clear" w:color="000000" w:fill="FFFFFF"/>
            <w:noWrap/>
            <w:vAlign w:val="center"/>
          </w:tcPr>
          <w:p w14:paraId="55A6D5EE" w14:textId="77777777" w:rsidR="006B7270" w:rsidRPr="006B7270" w:rsidRDefault="006B7270" w:rsidP="006B7270">
            <w:pPr>
              <w:rPr>
                <w:rFonts w:ascii="Calibri" w:hAnsi="Calibri"/>
                <w:color w:val="000000"/>
                <w:sz w:val="19"/>
                <w:szCs w:val="19"/>
              </w:rPr>
            </w:pPr>
          </w:p>
        </w:tc>
        <w:tc>
          <w:tcPr>
            <w:tcW w:w="2199" w:type="dxa"/>
            <w:vMerge/>
            <w:tcBorders>
              <w:top w:val="nil"/>
              <w:left w:val="single" w:sz="4" w:space="0" w:color="auto"/>
              <w:bottom w:val="single" w:sz="4" w:space="0" w:color="000000"/>
              <w:right w:val="single" w:sz="4" w:space="0" w:color="auto"/>
            </w:tcBorders>
            <w:vAlign w:val="center"/>
          </w:tcPr>
          <w:p w14:paraId="7C69DF61" w14:textId="77777777" w:rsidR="006B7270" w:rsidRPr="006B7270" w:rsidRDefault="006B7270" w:rsidP="006B7270">
            <w:pPr>
              <w:rPr>
                <w:rFonts w:ascii="Calibri" w:hAnsi="Calibri"/>
                <w:color w:val="000000"/>
                <w:sz w:val="19"/>
                <w:szCs w:val="19"/>
              </w:rPr>
            </w:pPr>
          </w:p>
        </w:tc>
        <w:tc>
          <w:tcPr>
            <w:tcW w:w="3389" w:type="dxa"/>
            <w:gridSpan w:val="2"/>
            <w:vMerge/>
            <w:tcBorders>
              <w:left w:val="single" w:sz="4" w:space="0" w:color="auto"/>
              <w:right w:val="nil"/>
            </w:tcBorders>
            <w:vAlign w:val="center"/>
          </w:tcPr>
          <w:p w14:paraId="04AB76DD" w14:textId="77777777" w:rsidR="006B7270" w:rsidRPr="006B7270" w:rsidRDefault="006B7270" w:rsidP="006B7270">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tcPr>
          <w:p w14:paraId="40FBC20B" w14:textId="72333B7A" w:rsidR="006B7270" w:rsidRPr="006B7270" w:rsidRDefault="006B7270" w:rsidP="006B7270">
            <w:pPr>
              <w:rPr>
                <w:rFonts w:ascii="Calibri" w:hAnsi="Calibri"/>
                <w:color w:val="000000"/>
                <w:sz w:val="19"/>
                <w:szCs w:val="19"/>
              </w:rPr>
            </w:pPr>
            <w:r w:rsidRPr="006B7270">
              <w:rPr>
                <w:rFonts w:ascii="Calibri" w:hAnsi="Calibri"/>
                <w:color w:val="000000"/>
                <w:sz w:val="19"/>
                <w:szCs w:val="19"/>
              </w:rPr>
              <w:t>Renforcement des capacités des acteurs et de la supervision de la chaine d'approvisionnement</w:t>
            </w:r>
          </w:p>
        </w:tc>
      </w:tr>
      <w:tr w:rsidR="006B7270" w:rsidRPr="006B7270" w14:paraId="4B9E615D" w14:textId="77777777" w:rsidTr="006B7270">
        <w:trPr>
          <w:trHeight w:val="403"/>
        </w:trPr>
        <w:tc>
          <w:tcPr>
            <w:tcW w:w="984" w:type="dxa"/>
            <w:tcBorders>
              <w:top w:val="nil"/>
              <w:left w:val="nil"/>
              <w:bottom w:val="nil"/>
              <w:right w:val="nil"/>
            </w:tcBorders>
            <w:shd w:val="clear" w:color="000000" w:fill="FFFFFF"/>
            <w:noWrap/>
            <w:vAlign w:val="center"/>
          </w:tcPr>
          <w:p w14:paraId="112E9A9D" w14:textId="77777777" w:rsidR="006B7270" w:rsidRPr="006B7270" w:rsidRDefault="006B7270" w:rsidP="006B7270">
            <w:pPr>
              <w:rPr>
                <w:rFonts w:ascii="Calibri" w:hAnsi="Calibri"/>
                <w:color w:val="000000"/>
                <w:sz w:val="19"/>
                <w:szCs w:val="19"/>
              </w:rPr>
            </w:pPr>
          </w:p>
        </w:tc>
        <w:tc>
          <w:tcPr>
            <w:tcW w:w="960" w:type="dxa"/>
            <w:tcBorders>
              <w:top w:val="nil"/>
              <w:left w:val="nil"/>
              <w:bottom w:val="nil"/>
              <w:right w:val="nil"/>
            </w:tcBorders>
            <w:shd w:val="clear" w:color="000000" w:fill="FFFFFF"/>
            <w:noWrap/>
            <w:vAlign w:val="center"/>
          </w:tcPr>
          <w:p w14:paraId="43EE27A4" w14:textId="77777777" w:rsidR="006B7270" w:rsidRPr="006B7270" w:rsidRDefault="006B7270" w:rsidP="006B7270">
            <w:pPr>
              <w:rPr>
                <w:rFonts w:ascii="Calibri" w:hAnsi="Calibri"/>
                <w:color w:val="000000"/>
                <w:sz w:val="19"/>
                <w:szCs w:val="19"/>
              </w:rPr>
            </w:pPr>
          </w:p>
        </w:tc>
        <w:tc>
          <w:tcPr>
            <w:tcW w:w="260" w:type="dxa"/>
            <w:tcBorders>
              <w:top w:val="nil"/>
              <w:left w:val="nil"/>
              <w:bottom w:val="nil"/>
              <w:right w:val="nil"/>
            </w:tcBorders>
            <w:shd w:val="clear" w:color="000000" w:fill="FFFFFF"/>
            <w:noWrap/>
            <w:vAlign w:val="center"/>
          </w:tcPr>
          <w:p w14:paraId="227397AC" w14:textId="77777777" w:rsidR="006B7270" w:rsidRPr="006B7270" w:rsidRDefault="006B7270" w:rsidP="006B7270">
            <w:pPr>
              <w:rPr>
                <w:rFonts w:ascii="Calibri" w:hAnsi="Calibri"/>
                <w:color w:val="000000"/>
                <w:sz w:val="19"/>
                <w:szCs w:val="19"/>
              </w:rPr>
            </w:pPr>
          </w:p>
        </w:tc>
        <w:tc>
          <w:tcPr>
            <w:tcW w:w="2199" w:type="dxa"/>
            <w:vMerge/>
            <w:tcBorders>
              <w:top w:val="nil"/>
              <w:left w:val="single" w:sz="4" w:space="0" w:color="auto"/>
              <w:bottom w:val="single" w:sz="4" w:space="0" w:color="000000"/>
              <w:right w:val="single" w:sz="4" w:space="0" w:color="auto"/>
            </w:tcBorders>
            <w:vAlign w:val="center"/>
          </w:tcPr>
          <w:p w14:paraId="478E53D6" w14:textId="77777777" w:rsidR="006B7270" w:rsidRPr="006B7270" w:rsidRDefault="006B7270" w:rsidP="006B7270">
            <w:pPr>
              <w:rPr>
                <w:rFonts w:ascii="Calibri" w:hAnsi="Calibri"/>
                <w:color w:val="000000"/>
                <w:sz w:val="19"/>
                <w:szCs w:val="19"/>
              </w:rPr>
            </w:pPr>
          </w:p>
        </w:tc>
        <w:tc>
          <w:tcPr>
            <w:tcW w:w="3389" w:type="dxa"/>
            <w:gridSpan w:val="2"/>
            <w:vMerge/>
            <w:tcBorders>
              <w:left w:val="single" w:sz="4" w:space="0" w:color="auto"/>
              <w:bottom w:val="single" w:sz="4" w:space="0" w:color="000000"/>
              <w:right w:val="nil"/>
            </w:tcBorders>
            <w:vAlign w:val="center"/>
          </w:tcPr>
          <w:p w14:paraId="3A3314FB" w14:textId="77777777" w:rsidR="006B7270" w:rsidRPr="006B7270" w:rsidRDefault="006B7270" w:rsidP="006B7270">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tcPr>
          <w:p w14:paraId="54B8ABA9" w14:textId="327DB4D4" w:rsidR="006B7270" w:rsidRPr="006B7270" w:rsidRDefault="006B7270" w:rsidP="006B7270">
            <w:pPr>
              <w:rPr>
                <w:rFonts w:ascii="Calibri" w:hAnsi="Calibri"/>
                <w:color w:val="000000"/>
                <w:sz w:val="19"/>
                <w:szCs w:val="19"/>
              </w:rPr>
            </w:pPr>
            <w:r w:rsidRPr="006B7270">
              <w:rPr>
                <w:rFonts w:ascii="Calibri" w:hAnsi="Calibri"/>
                <w:color w:val="000000"/>
                <w:sz w:val="19"/>
                <w:szCs w:val="19"/>
              </w:rPr>
              <w:t>Renforcement du suivi des stocks et de la performance de la chaine d'approvisionnement en vue de produire l'information stratégique sur les intrants</w:t>
            </w:r>
          </w:p>
        </w:tc>
      </w:tr>
      <w:tr w:rsidR="00C84A16" w:rsidRPr="006B7270" w14:paraId="1DF85FE3" w14:textId="77777777" w:rsidTr="006B7270">
        <w:trPr>
          <w:trHeight w:val="397"/>
        </w:trPr>
        <w:tc>
          <w:tcPr>
            <w:tcW w:w="984" w:type="dxa"/>
            <w:tcBorders>
              <w:top w:val="nil"/>
              <w:left w:val="nil"/>
              <w:bottom w:val="nil"/>
              <w:right w:val="nil"/>
            </w:tcBorders>
            <w:shd w:val="clear" w:color="000000" w:fill="FFFFFF"/>
            <w:noWrap/>
            <w:vAlign w:val="center"/>
            <w:hideMark/>
          </w:tcPr>
          <w:p w14:paraId="5AA579C4"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193D3E4E"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5D8BF19A"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5CC094C8" w14:textId="77777777" w:rsidR="00C84A16" w:rsidRPr="006B7270" w:rsidRDefault="00C84A16" w:rsidP="00C84A16">
            <w:pPr>
              <w:rPr>
                <w:rFonts w:ascii="Calibri" w:hAnsi="Calibri"/>
                <w:color w:val="000000"/>
                <w:sz w:val="19"/>
                <w:szCs w:val="19"/>
              </w:rPr>
            </w:pPr>
          </w:p>
        </w:tc>
        <w:tc>
          <w:tcPr>
            <w:tcW w:w="3389" w:type="dxa"/>
            <w:gridSpan w:val="2"/>
            <w:vMerge w:val="restart"/>
            <w:tcBorders>
              <w:top w:val="single" w:sz="4" w:space="0" w:color="auto"/>
              <w:left w:val="single" w:sz="4" w:space="0" w:color="auto"/>
              <w:bottom w:val="single" w:sz="4" w:space="0" w:color="000000"/>
              <w:right w:val="nil"/>
            </w:tcBorders>
            <w:shd w:val="clear" w:color="000000" w:fill="FFFFFF"/>
            <w:hideMark/>
          </w:tcPr>
          <w:p w14:paraId="6318B5D0"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Les documents normatifs et d'orientation de la riposte au sida sont disponibles, mise à jour et adaptés au contexte national et international</w:t>
            </w:r>
          </w:p>
        </w:tc>
        <w:tc>
          <w:tcPr>
            <w:tcW w:w="7229" w:type="dxa"/>
            <w:tcBorders>
              <w:top w:val="nil"/>
              <w:left w:val="single" w:sz="4" w:space="0" w:color="auto"/>
              <w:bottom w:val="single" w:sz="4" w:space="0" w:color="auto"/>
              <w:right w:val="single" w:sz="4" w:space="0" w:color="auto"/>
            </w:tcBorders>
            <w:shd w:val="clear" w:color="000000" w:fill="FFFFFF"/>
            <w:hideMark/>
          </w:tcPr>
          <w:p w14:paraId="4603E1C0" w14:textId="64312769" w:rsidR="00C84A16" w:rsidRPr="006B7270" w:rsidRDefault="00FB25AB" w:rsidP="00C84A16">
            <w:pPr>
              <w:rPr>
                <w:rFonts w:ascii="Calibri" w:hAnsi="Calibri"/>
                <w:color w:val="000000"/>
                <w:sz w:val="19"/>
                <w:szCs w:val="19"/>
              </w:rPr>
            </w:pPr>
            <w:r w:rsidRPr="006B7270">
              <w:rPr>
                <w:rFonts w:ascii="Calibri" w:hAnsi="Calibri"/>
                <w:color w:val="000000"/>
                <w:sz w:val="19"/>
                <w:szCs w:val="19"/>
              </w:rPr>
              <w:t>Renforcement de la communication thématique et institutionnelle sur la riposte au sida</w:t>
            </w:r>
          </w:p>
        </w:tc>
      </w:tr>
      <w:tr w:rsidR="00FB25AB" w:rsidRPr="006B7270" w14:paraId="0A5F7BE3" w14:textId="77777777" w:rsidTr="006B7270">
        <w:trPr>
          <w:trHeight w:val="556"/>
        </w:trPr>
        <w:tc>
          <w:tcPr>
            <w:tcW w:w="984" w:type="dxa"/>
            <w:tcBorders>
              <w:top w:val="nil"/>
              <w:left w:val="nil"/>
              <w:bottom w:val="nil"/>
              <w:right w:val="nil"/>
            </w:tcBorders>
            <w:shd w:val="clear" w:color="000000" w:fill="FFFFFF"/>
            <w:noWrap/>
            <w:vAlign w:val="center"/>
          </w:tcPr>
          <w:p w14:paraId="69DC2E03" w14:textId="77777777" w:rsidR="00FB25AB" w:rsidRPr="006B7270" w:rsidRDefault="00FB25AB" w:rsidP="00C84A16">
            <w:pPr>
              <w:rPr>
                <w:rFonts w:ascii="Calibri" w:hAnsi="Calibri"/>
                <w:color w:val="000000"/>
                <w:sz w:val="19"/>
                <w:szCs w:val="19"/>
              </w:rPr>
            </w:pPr>
          </w:p>
        </w:tc>
        <w:tc>
          <w:tcPr>
            <w:tcW w:w="960" w:type="dxa"/>
            <w:tcBorders>
              <w:top w:val="nil"/>
              <w:left w:val="nil"/>
              <w:bottom w:val="nil"/>
              <w:right w:val="nil"/>
            </w:tcBorders>
            <w:shd w:val="clear" w:color="000000" w:fill="FFFFFF"/>
            <w:noWrap/>
            <w:vAlign w:val="center"/>
          </w:tcPr>
          <w:p w14:paraId="3EDE0819" w14:textId="77777777" w:rsidR="00FB25AB" w:rsidRPr="006B7270" w:rsidRDefault="00FB25AB" w:rsidP="00C84A16">
            <w:pPr>
              <w:rPr>
                <w:rFonts w:ascii="Calibri" w:hAnsi="Calibri"/>
                <w:color w:val="000000"/>
                <w:sz w:val="19"/>
                <w:szCs w:val="19"/>
              </w:rPr>
            </w:pPr>
          </w:p>
        </w:tc>
        <w:tc>
          <w:tcPr>
            <w:tcW w:w="260" w:type="dxa"/>
            <w:tcBorders>
              <w:top w:val="nil"/>
              <w:left w:val="nil"/>
              <w:bottom w:val="nil"/>
              <w:right w:val="nil"/>
            </w:tcBorders>
            <w:shd w:val="clear" w:color="000000" w:fill="FFFFFF"/>
            <w:noWrap/>
            <w:vAlign w:val="center"/>
          </w:tcPr>
          <w:p w14:paraId="66E98D35" w14:textId="77777777" w:rsidR="00FB25AB" w:rsidRPr="006B7270" w:rsidRDefault="00FB25AB" w:rsidP="00C84A16">
            <w:pPr>
              <w:rPr>
                <w:rFonts w:ascii="Calibri" w:hAnsi="Calibri"/>
                <w:color w:val="000000"/>
                <w:sz w:val="19"/>
                <w:szCs w:val="19"/>
              </w:rPr>
            </w:pPr>
          </w:p>
        </w:tc>
        <w:tc>
          <w:tcPr>
            <w:tcW w:w="2199" w:type="dxa"/>
            <w:vMerge/>
            <w:tcBorders>
              <w:top w:val="nil"/>
              <w:left w:val="single" w:sz="4" w:space="0" w:color="auto"/>
              <w:bottom w:val="single" w:sz="4" w:space="0" w:color="000000"/>
              <w:right w:val="single" w:sz="4" w:space="0" w:color="auto"/>
            </w:tcBorders>
            <w:vAlign w:val="center"/>
          </w:tcPr>
          <w:p w14:paraId="28DB1A33" w14:textId="77777777" w:rsidR="00FB25AB" w:rsidRPr="006B7270" w:rsidRDefault="00FB25AB"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shd w:val="clear" w:color="000000" w:fill="FFFFFF"/>
          </w:tcPr>
          <w:p w14:paraId="7888D83D" w14:textId="77777777" w:rsidR="00FB25AB" w:rsidRPr="006B7270" w:rsidRDefault="00FB25AB"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tcPr>
          <w:p w14:paraId="34DC8177" w14:textId="52A165E0" w:rsidR="00FB25AB" w:rsidRPr="006B7270" w:rsidRDefault="00FB25AB" w:rsidP="00C84A16">
            <w:pPr>
              <w:rPr>
                <w:rFonts w:ascii="Calibri" w:hAnsi="Calibri"/>
                <w:color w:val="000000"/>
                <w:sz w:val="19"/>
                <w:szCs w:val="19"/>
              </w:rPr>
            </w:pPr>
            <w:r w:rsidRPr="006B7270">
              <w:rPr>
                <w:rFonts w:ascii="Calibri" w:hAnsi="Calibri"/>
                <w:color w:val="000000"/>
                <w:sz w:val="19"/>
                <w:szCs w:val="19"/>
              </w:rPr>
              <w:t>Revue périodique et mise à jour régulièrement des documents d'orientation de la riposte au sida</w:t>
            </w:r>
          </w:p>
        </w:tc>
      </w:tr>
      <w:tr w:rsidR="00C84A16" w:rsidRPr="006B7270" w14:paraId="55141768" w14:textId="77777777" w:rsidTr="006B7270">
        <w:trPr>
          <w:trHeight w:val="280"/>
        </w:trPr>
        <w:tc>
          <w:tcPr>
            <w:tcW w:w="984" w:type="dxa"/>
            <w:tcBorders>
              <w:top w:val="nil"/>
              <w:left w:val="nil"/>
              <w:bottom w:val="nil"/>
              <w:right w:val="nil"/>
            </w:tcBorders>
            <w:shd w:val="clear" w:color="000000" w:fill="FFFFFF"/>
            <w:noWrap/>
            <w:vAlign w:val="center"/>
            <w:hideMark/>
          </w:tcPr>
          <w:p w14:paraId="5C8358D6"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960" w:type="dxa"/>
            <w:tcBorders>
              <w:top w:val="nil"/>
              <w:left w:val="nil"/>
              <w:bottom w:val="nil"/>
              <w:right w:val="nil"/>
            </w:tcBorders>
            <w:shd w:val="clear" w:color="000000" w:fill="FFFFFF"/>
            <w:noWrap/>
            <w:vAlign w:val="center"/>
            <w:hideMark/>
          </w:tcPr>
          <w:p w14:paraId="35F3ED9F"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60" w:type="dxa"/>
            <w:tcBorders>
              <w:top w:val="nil"/>
              <w:left w:val="nil"/>
              <w:bottom w:val="nil"/>
              <w:right w:val="nil"/>
            </w:tcBorders>
            <w:shd w:val="clear" w:color="000000" w:fill="FFFFFF"/>
            <w:noWrap/>
            <w:vAlign w:val="center"/>
            <w:hideMark/>
          </w:tcPr>
          <w:p w14:paraId="69EFCB78" w14:textId="77777777" w:rsidR="00C84A16" w:rsidRPr="006B7270" w:rsidRDefault="00C84A16" w:rsidP="00C84A16">
            <w:pPr>
              <w:rPr>
                <w:rFonts w:ascii="Calibri" w:hAnsi="Calibri"/>
                <w:color w:val="000000"/>
                <w:sz w:val="19"/>
                <w:szCs w:val="19"/>
              </w:rPr>
            </w:pPr>
            <w:r w:rsidRPr="006B7270">
              <w:rPr>
                <w:rFonts w:ascii="Calibri" w:hAnsi="Calibri"/>
                <w:color w:val="000000"/>
                <w:sz w:val="19"/>
                <w:szCs w:val="19"/>
              </w:rPr>
              <w:t> </w:t>
            </w:r>
          </w:p>
        </w:tc>
        <w:tc>
          <w:tcPr>
            <w:tcW w:w="2199" w:type="dxa"/>
            <w:vMerge/>
            <w:tcBorders>
              <w:top w:val="nil"/>
              <w:left w:val="single" w:sz="4" w:space="0" w:color="auto"/>
              <w:bottom w:val="single" w:sz="4" w:space="0" w:color="000000"/>
              <w:right w:val="single" w:sz="4" w:space="0" w:color="auto"/>
            </w:tcBorders>
            <w:vAlign w:val="center"/>
            <w:hideMark/>
          </w:tcPr>
          <w:p w14:paraId="2F5DAB36" w14:textId="77777777" w:rsidR="00C84A16" w:rsidRPr="006B7270" w:rsidRDefault="00C84A16" w:rsidP="00C84A16">
            <w:pPr>
              <w:rPr>
                <w:rFonts w:ascii="Calibri" w:hAnsi="Calibri"/>
                <w:color w:val="000000"/>
                <w:sz w:val="19"/>
                <w:szCs w:val="19"/>
              </w:rPr>
            </w:pPr>
          </w:p>
        </w:tc>
        <w:tc>
          <w:tcPr>
            <w:tcW w:w="3389" w:type="dxa"/>
            <w:gridSpan w:val="2"/>
            <w:vMerge/>
            <w:tcBorders>
              <w:top w:val="single" w:sz="4" w:space="0" w:color="auto"/>
              <w:left w:val="single" w:sz="4" w:space="0" w:color="auto"/>
              <w:bottom w:val="single" w:sz="4" w:space="0" w:color="000000"/>
              <w:right w:val="nil"/>
            </w:tcBorders>
            <w:vAlign w:val="center"/>
            <w:hideMark/>
          </w:tcPr>
          <w:p w14:paraId="377E10AF" w14:textId="77777777" w:rsidR="00C84A16" w:rsidRPr="006B7270" w:rsidRDefault="00C84A16" w:rsidP="00C84A16">
            <w:pPr>
              <w:rPr>
                <w:rFonts w:ascii="Calibri" w:hAnsi="Calibri"/>
                <w:color w:val="000000"/>
                <w:sz w:val="19"/>
                <w:szCs w:val="19"/>
              </w:rPr>
            </w:pPr>
          </w:p>
        </w:tc>
        <w:tc>
          <w:tcPr>
            <w:tcW w:w="7229" w:type="dxa"/>
            <w:tcBorders>
              <w:top w:val="nil"/>
              <w:left w:val="single" w:sz="4" w:space="0" w:color="auto"/>
              <w:bottom w:val="single" w:sz="4" w:space="0" w:color="auto"/>
              <w:right w:val="single" w:sz="4" w:space="0" w:color="auto"/>
            </w:tcBorders>
            <w:shd w:val="clear" w:color="000000" w:fill="FFFFFF"/>
            <w:hideMark/>
          </w:tcPr>
          <w:p w14:paraId="7A52C9C9" w14:textId="4BA93B89" w:rsidR="00C84A16" w:rsidRPr="006B7270" w:rsidRDefault="006B7270" w:rsidP="00C84A16">
            <w:pPr>
              <w:rPr>
                <w:rFonts w:ascii="Calibri" w:hAnsi="Calibri"/>
                <w:color w:val="000000"/>
                <w:sz w:val="19"/>
                <w:szCs w:val="19"/>
              </w:rPr>
            </w:pPr>
            <w:r w:rsidRPr="006B7270">
              <w:rPr>
                <w:rFonts w:ascii="Calibri" w:hAnsi="Calibri"/>
                <w:color w:val="000000"/>
                <w:sz w:val="19"/>
                <w:szCs w:val="19"/>
              </w:rPr>
              <w:t>Élaboration</w:t>
            </w:r>
            <w:r w:rsidR="00C84A16" w:rsidRPr="006B7270">
              <w:rPr>
                <w:rFonts w:ascii="Calibri" w:hAnsi="Calibri"/>
                <w:color w:val="000000"/>
                <w:sz w:val="19"/>
                <w:szCs w:val="19"/>
              </w:rPr>
              <w:t xml:space="preserve"> du nouveau cadre stratégique 2023-2027</w:t>
            </w:r>
          </w:p>
        </w:tc>
      </w:tr>
    </w:tbl>
    <w:p w14:paraId="25866DDF" w14:textId="2AA4227A" w:rsidR="00AE1F64" w:rsidRPr="005B52BA" w:rsidRDefault="00AE1F64">
      <w:pPr>
        <w:spacing w:after="160" w:line="259" w:lineRule="auto"/>
        <w:rPr>
          <w:rFonts w:ascii="Calibri" w:hAnsi="Calibri"/>
          <w:lang w:eastAsia="fr-CA"/>
        </w:rPr>
      </w:pPr>
    </w:p>
    <w:p w14:paraId="6C4C5C64" w14:textId="77777777" w:rsidR="00AB79BD" w:rsidRPr="005B52BA" w:rsidRDefault="00AB79BD" w:rsidP="00AB79BD">
      <w:pPr>
        <w:jc w:val="both"/>
        <w:rPr>
          <w:rFonts w:ascii="Calibri" w:hAnsi="Calibri"/>
          <w:b/>
          <w:bCs/>
        </w:rPr>
        <w:sectPr w:rsidR="00AB79BD" w:rsidRPr="005B52BA" w:rsidSect="005B2E1D">
          <w:pgSz w:w="16840" w:h="11901" w:orient="landscape"/>
          <w:pgMar w:top="851" w:right="851" w:bottom="851" w:left="1134" w:header="709" w:footer="709" w:gutter="0"/>
          <w:cols w:space="708"/>
          <w:docGrid w:linePitch="360"/>
        </w:sectPr>
      </w:pPr>
    </w:p>
    <w:bookmarkEnd w:id="18"/>
    <w:p w14:paraId="6BDC9822" w14:textId="77777777" w:rsidR="00787CCB" w:rsidRPr="00A96CAD" w:rsidRDefault="00787CCB" w:rsidP="00C34A61">
      <w:pPr>
        <w:pStyle w:val="Titre1"/>
        <w:numPr>
          <w:ilvl w:val="0"/>
          <w:numId w:val="6"/>
        </w:numPr>
        <w:pBdr>
          <w:bottom w:val="single" w:sz="12" w:space="1" w:color="auto"/>
        </w:pBdr>
        <w:shd w:val="clear" w:color="auto" w:fill="92D050"/>
        <w:spacing w:after="0"/>
        <w:ind w:left="284" w:hanging="284"/>
        <w:rPr>
          <w:rFonts w:ascii="Calibri" w:eastAsiaTheme="majorEastAsia" w:hAnsi="Calibri"/>
          <w:sz w:val="28"/>
          <w:szCs w:val="28"/>
        </w:rPr>
      </w:pPr>
      <w:r w:rsidRPr="00A96CAD">
        <w:rPr>
          <w:rFonts w:ascii="Calibri" w:hAnsi="Calibri"/>
          <w:sz w:val="28"/>
          <w:szCs w:val="28"/>
        </w:rPr>
        <w:fldChar w:fldCharType="begin"/>
      </w:r>
      <w:r w:rsidRPr="00A96CAD">
        <w:rPr>
          <w:rFonts w:ascii="Calibri" w:hAnsi="Calibri"/>
          <w:sz w:val="28"/>
          <w:szCs w:val="28"/>
        </w:rPr>
        <w:instrText>HYPERLINK \l "_Toc360118439"</w:instrText>
      </w:r>
      <w:r w:rsidRPr="00A96CAD">
        <w:rPr>
          <w:rFonts w:ascii="Calibri" w:hAnsi="Calibri"/>
          <w:sz w:val="28"/>
          <w:szCs w:val="28"/>
        </w:rPr>
        <w:fldChar w:fldCharType="separate"/>
      </w:r>
      <w:bookmarkStart w:id="95" w:name="_Toc520983531"/>
      <w:bookmarkStart w:id="96" w:name="_Toc500335874"/>
      <w:bookmarkStart w:id="97" w:name="_Toc370812800"/>
      <w:bookmarkStart w:id="98" w:name="_Toc500520934"/>
      <w:r w:rsidRPr="00A96CAD">
        <w:rPr>
          <w:rStyle w:val="Lienhypertexte"/>
          <w:rFonts w:ascii="Calibri" w:eastAsiaTheme="majorEastAsia" w:hAnsi="Calibri"/>
          <w:color w:val="auto"/>
          <w:sz w:val="28"/>
          <w:szCs w:val="28"/>
          <w:u w:val="none"/>
        </w:rPr>
        <w:t xml:space="preserve">MISE EN ŒUVRE DU CADRE STRATEGIQUE NATIONAL 2018 – </w:t>
      </w:r>
      <w:bookmarkEnd w:id="97"/>
      <w:r w:rsidRPr="00A96CAD">
        <w:rPr>
          <w:rStyle w:val="Lienhypertexte"/>
          <w:rFonts w:ascii="Calibri" w:eastAsiaTheme="majorEastAsia" w:hAnsi="Calibri"/>
          <w:color w:val="auto"/>
          <w:sz w:val="28"/>
          <w:szCs w:val="28"/>
          <w:u w:val="none"/>
        </w:rPr>
        <w:t>2022</w:t>
      </w:r>
      <w:bookmarkEnd w:id="95"/>
      <w:bookmarkEnd w:id="96"/>
      <w:bookmarkEnd w:id="98"/>
      <w:r w:rsidRPr="00A96CAD">
        <w:rPr>
          <w:rFonts w:ascii="Calibri" w:hAnsi="Calibri"/>
          <w:sz w:val="28"/>
          <w:szCs w:val="28"/>
        </w:rPr>
        <w:fldChar w:fldCharType="end"/>
      </w:r>
      <w:bookmarkStart w:id="99" w:name="_Toc370812801"/>
    </w:p>
    <w:p w14:paraId="08C542B2" w14:textId="77777777" w:rsidR="00787CCB" w:rsidRDefault="00787CCB" w:rsidP="00787CCB">
      <w:pPr>
        <w:pStyle w:val="Titre1"/>
        <w:numPr>
          <w:ilvl w:val="0"/>
          <w:numId w:val="0"/>
        </w:numPr>
        <w:spacing w:after="0"/>
        <w:ind w:left="284"/>
        <w:rPr>
          <w:rFonts w:ascii="Calibri" w:hAnsi="Calibri"/>
        </w:rPr>
      </w:pPr>
    </w:p>
    <w:p w14:paraId="129C6156" w14:textId="458D78DD" w:rsidR="00787CCB" w:rsidRPr="00383208" w:rsidRDefault="00787CCB" w:rsidP="00C34A61">
      <w:pPr>
        <w:pStyle w:val="Titre2"/>
        <w:numPr>
          <w:ilvl w:val="1"/>
          <w:numId w:val="6"/>
        </w:numPr>
        <w:spacing w:after="0"/>
        <w:ind w:left="425" w:hanging="425"/>
        <w:rPr>
          <w:rFonts w:ascii="Calibri" w:eastAsiaTheme="majorEastAsia" w:hAnsi="Calibri"/>
          <w:color w:val="2F5496" w:themeColor="accent5" w:themeShade="BF"/>
        </w:rPr>
      </w:pPr>
      <w:bookmarkStart w:id="100" w:name="_Toc500335875"/>
      <w:bookmarkStart w:id="101" w:name="_Toc500520935"/>
      <w:bookmarkStart w:id="102" w:name="_Toc520983532"/>
      <w:r w:rsidRPr="00383208">
        <w:rPr>
          <w:rFonts w:ascii="Calibri" w:hAnsi="Calibri"/>
          <w:color w:val="2F5496" w:themeColor="accent5" w:themeShade="BF"/>
        </w:rPr>
        <w:t>Cadre institutionnel</w:t>
      </w:r>
      <w:bookmarkEnd w:id="99"/>
      <w:bookmarkEnd w:id="100"/>
      <w:bookmarkEnd w:id="101"/>
      <w:r w:rsidR="00C35060">
        <w:rPr>
          <w:rFonts w:ascii="Calibri" w:hAnsi="Calibri"/>
          <w:color w:val="2F5496" w:themeColor="accent5" w:themeShade="BF"/>
        </w:rPr>
        <w:t xml:space="preserve"> de mise en œuvre</w:t>
      </w:r>
      <w:bookmarkEnd w:id="102"/>
      <w:r w:rsidR="00C35060">
        <w:rPr>
          <w:rFonts w:ascii="Calibri" w:hAnsi="Calibri"/>
          <w:color w:val="2F5496" w:themeColor="accent5" w:themeShade="BF"/>
        </w:rPr>
        <w:t xml:space="preserve"> </w:t>
      </w:r>
    </w:p>
    <w:p w14:paraId="144EDC56" w14:textId="77777777" w:rsidR="00787CCB" w:rsidRDefault="00787CCB" w:rsidP="00787CCB">
      <w:pPr>
        <w:jc w:val="both"/>
        <w:rPr>
          <w:rFonts w:ascii="Calibri" w:hAnsi="Calibri"/>
        </w:rPr>
      </w:pPr>
    </w:p>
    <w:p w14:paraId="30679CA5" w14:textId="77777777" w:rsidR="00787CCB" w:rsidRPr="005B52BA" w:rsidRDefault="00787CCB" w:rsidP="00787CCB">
      <w:pPr>
        <w:jc w:val="both"/>
        <w:rPr>
          <w:rFonts w:ascii="Calibri" w:hAnsi="Calibri"/>
        </w:rPr>
      </w:pPr>
      <w:r w:rsidRPr="005B52BA">
        <w:rPr>
          <w:rFonts w:ascii="Calibri" w:hAnsi="Calibri"/>
        </w:rPr>
        <w:t>La mise en œuvre du CSN se fera dans un cadre organisationnel et institutionnel comportant des organes et structures selon les trois fonctions suivantes :</w:t>
      </w:r>
    </w:p>
    <w:p w14:paraId="11F131C6" w14:textId="77777777" w:rsidR="00787CCB" w:rsidRPr="005B52BA" w:rsidRDefault="00787CCB" w:rsidP="00787CCB">
      <w:pPr>
        <w:jc w:val="both"/>
        <w:rPr>
          <w:rFonts w:ascii="Calibri" w:hAnsi="Calibri"/>
        </w:rPr>
      </w:pPr>
    </w:p>
    <w:p w14:paraId="6D0F2582" w14:textId="77777777" w:rsidR="00787CCB" w:rsidRPr="005B52BA" w:rsidRDefault="00787CCB" w:rsidP="00C34A61">
      <w:pPr>
        <w:pStyle w:val="Paragraphedeliste"/>
        <w:numPr>
          <w:ilvl w:val="0"/>
          <w:numId w:val="20"/>
        </w:numPr>
        <w:jc w:val="both"/>
        <w:rPr>
          <w:rFonts w:ascii="Calibri" w:eastAsia="Calibri" w:hAnsi="Calibri"/>
          <w:b/>
          <w:lang w:eastAsia="en-US"/>
        </w:rPr>
      </w:pPr>
      <w:r w:rsidRPr="005B52BA">
        <w:rPr>
          <w:rFonts w:ascii="Calibri" w:eastAsia="Calibri" w:hAnsi="Calibri"/>
          <w:b/>
          <w:lang w:eastAsia="en-US"/>
        </w:rPr>
        <w:t>Orientation et décision</w:t>
      </w:r>
    </w:p>
    <w:p w14:paraId="6437222C" w14:textId="77777777" w:rsidR="00C35060" w:rsidRPr="00C35060" w:rsidRDefault="00C35060" w:rsidP="00B27F68">
      <w:pPr>
        <w:autoSpaceDE w:val="0"/>
        <w:autoSpaceDN w:val="0"/>
        <w:adjustRightInd w:val="0"/>
        <w:ind w:left="709"/>
        <w:jc w:val="both"/>
        <w:rPr>
          <w:rFonts w:ascii="Calibri" w:hAnsi="Calibri"/>
          <w:sz w:val="15"/>
        </w:rPr>
      </w:pPr>
    </w:p>
    <w:p w14:paraId="791EEF59" w14:textId="5F629691" w:rsidR="00787CCB" w:rsidRDefault="00787CCB" w:rsidP="00B27F68">
      <w:pPr>
        <w:autoSpaceDE w:val="0"/>
        <w:autoSpaceDN w:val="0"/>
        <w:adjustRightInd w:val="0"/>
        <w:ind w:left="709"/>
        <w:jc w:val="both"/>
        <w:rPr>
          <w:rFonts w:ascii="Calibri" w:hAnsi="Calibri"/>
        </w:rPr>
      </w:pPr>
      <w:r w:rsidRPr="005B52BA">
        <w:rPr>
          <w:rFonts w:ascii="Calibri" w:hAnsi="Calibri"/>
        </w:rPr>
        <w:t xml:space="preserve">Cette fonction est assurée par le CNLS qui a pour missions de : définir les orientations nationales de la riposte au </w:t>
      </w:r>
      <w:r w:rsidR="0036679F">
        <w:rPr>
          <w:rFonts w:ascii="Calibri" w:hAnsi="Calibri"/>
        </w:rPr>
        <w:t>sida</w:t>
      </w:r>
      <w:r w:rsidRPr="005B52BA">
        <w:rPr>
          <w:rFonts w:ascii="Calibri" w:hAnsi="Calibri"/>
        </w:rPr>
        <w:t xml:space="preserve">, assurer le plaidoyer et le partenariat au plus haut niveau dans la riposte au </w:t>
      </w:r>
      <w:r w:rsidR="0036679F">
        <w:rPr>
          <w:rFonts w:ascii="Calibri" w:hAnsi="Calibri"/>
        </w:rPr>
        <w:t>sida</w:t>
      </w:r>
      <w:r w:rsidRPr="005B52BA">
        <w:rPr>
          <w:rFonts w:ascii="Calibri" w:hAnsi="Calibri"/>
        </w:rPr>
        <w:t xml:space="preserve">, veiller au respect de la réglementation et de l’éthique en matière de riposte au </w:t>
      </w:r>
      <w:r w:rsidR="0036679F">
        <w:rPr>
          <w:rFonts w:ascii="Calibri" w:hAnsi="Calibri"/>
        </w:rPr>
        <w:t>sida</w:t>
      </w:r>
    </w:p>
    <w:p w14:paraId="5D276BE4" w14:textId="77777777" w:rsidR="00B27F68" w:rsidRPr="005B52BA" w:rsidRDefault="00B27F68" w:rsidP="00B27F68">
      <w:pPr>
        <w:autoSpaceDE w:val="0"/>
        <w:autoSpaceDN w:val="0"/>
        <w:adjustRightInd w:val="0"/>
        <w:ind w:left="709"/>
        <w:jc w:val="both"/>
        <w:rPr>
          <w:rFonts w:ascii="Calibri" w:hAnsi="Calibri"/>
        </w:rPr>
      </w:pPr>
    </w:p>
    <w:p w14:paraId="32D124BD" w14:textId="77777777" w:rsidR="00787CCB" w:rsidRPr="005B52BA" w:rsidRDefault="00787CCB" w:rsidP="00C34A61">
      <w:pPr>
        <w:pStyle w:val="Paragraphedeliste"/>
        <w:numPr>
          <w:ilvl w:val="0"/>
          <w:numId w:val="20"/>
        </w:numPr>
        <w:jc w:val="both"/>
        <w:rPr>
          <w:rFonts w:ascii="Calibri" w:eastAsia="Calibri" w:hAnsi="Calibri"/>
          <w:b/>
          <w:lang w:eastAsia="en-US"/>
        </w:rPr>
      </w:pPr>
      <w:r w:rsidRPr="005B52BA">
        <w:rPr>
          <w:rFonts w:ascii="Calibri" w:eastAsia="Calibri" w:hAnsi="Calibri"/>
          <w:b/>
          <w:lang w:eastAsia="en-US"/>
        </w:rPr>
        <w:t>Coordination et suivi</w:t>
      </w:r>
    </w:p>
    <w:p w14:paraId="19B5FDAA" w14:textId="77777777" w:rsidR="00C35060" w:rsidRPr="00C35060" w:rsidRDefault="00C35060" w:rsidP="00B27F68">
      <w:pPr>
        <w:ind w:left="709"/>
        <w:jc w:val="both"/>
        <w:rPr>
          <w:rFonts w:ascii="Calibri" w:hAnsi="Calibri"/>
          <w:sz w:val="15"/>
        </w:rPr>
      </w:pPr>
    </w:p>
    <w:p w14:paraId="1C7B46CC" w14:textId="3226E899" w:rsidR="00787CCB" w:rsidRPr="005B52BA" w:rsidRDefault="00787CCB" w:rsidP="00B27F68">
      <w:pPr>
        <w:ind w:left="709"/>
        <w:jc w:val="both"/>
        <w:rPr>
          <w:rFonts w:ascii="Calibri" w:hAnsi="Calibri"/>
        </w:rPr>
      </w:pPr>
      <w:r w:rsidRPr="005B52BA">
        <w:rPr>
          <w:rFonts w:ascii="Calibri" w:hAnsi="Calibri"/>
        </w:rPr>
        <w:t>La coordination de l’élaboration, de la mise en œuvre et du suivi des plans opérationnels se fait à trois niveaux :</w:t>
      </w:r>
    </w:p>
    <w:p w14:paraId="4057B54F" w14:textId="11AC02A6" w:rsidR="00787CCB" w:rsidRPr="005B52BA" w:rsidRDefault="00787CCB" w:rsidP="00B27F68">
      <w:pPr>
        <w:pStyle w:val="Paragraphedeliste"/>
        <w:numPr>
          <w:ilvl w:val="0"/>
          <w:numId w:val="14"/>
        </w:numPr>
        <w:ind w:left="1429"/>
        <w:jc w:val="both"/>
        <w:rPr>
          <w:rFonts w:ascii="Calibri" w:eastAsia="Calibri" w:hAnsi="Calibri"/>
          <w:lang w:eastAsia="en-US"/>
        </w:rPr>
      </w:pPr>
      <w:r w:rsidRPr="005B52BA">
        <w:rPr>
          <w:rFonts w:ascii="Calibri" w:eastAsia="Calibri" w:hAnsi="Calibri"/>
          <w:lang w:eastAsia="en-US"/>
        </w:rPr>
        <w:t xml:space="preserve">Niveau national par le Secrétariat Exécutif du Conseil National de Lutte contre le </w:t>
      </w:r>
      <w:r w:rsidR="0036679F">
        <w:rPr>
          <w:rFonts w:ascii="Calibri" w:eastAsia="Calibri" w:hAnsi="Calibri"/>
          <w:lang w:eastAsia="en-US"/>
        </w:rPr>
        <w:t>sida</w:t>
      </w:r>
      <w:r w:rsidRPr="005B52BA">
        <w:rPr>
          <w:rFonts w:ascii="Calibri" w:eastAsia="Calibri" w:hAnsi="Calibri"/>
          <w:lang w:eastAsia="en-US"/>
        </w:rPr>
        <w:t xml:space="preserve"> (SE/CNLS)</w:t>
      </w:r>
    </w:p>
    <w:p w14:paraId="7FD37030" w14:textId="77777777" w:rsidR="00787CCB" w:rsidRPr="005B52BA" w:rsidRDefault="00787CCB" w:rsidP="00B27F68">
      <w:pPr>
        <w:pStyle w:val="Paragraphedeliste"/>
        <w:numPr>
          <w:ilvl w:val="0"/>
          <w:numId w:val="14"/>
        </w:numPr>
        <w:ind w:left="1429"/>
        <w:jc w:val="both"/>
        <w:rPr>
          <w:rFonts w:ascii="Calibri" w:eastAsia="Calibri" w:hAnsi="Calibri"/>
          <w:lang w:eastAsia="en-US"/>
        </w:rPr>
      </w:pPr>
      <w:r w:rsidRPr="005B52BA">
        <w:rPr>
          <w:rFonts w:ascii="Calibri" w:eastAsia="Calibri" w:hAnsi="Calibri"/>
          <w:lang w:eastAsia="en-US"/>
        </w:rPr>
        <w:t>Niveau sectoriel par le Comité sectoriel de lutte contre le VIH (Comité interne)</w:t>
      </w:r>
    </w:p>
    <w:p w14:paraId="6D83CF21" w14:textId="69EEF779" w:rsidR="00787CCB" w:rsidRPr="005B52BA" w:rsidRDefault="00787CCB" w:rsidP="00B27F68">
      <w:pPr>
        <w:pStyle w:val="Paragraphedeliste"/>
        <w:numPr>
          <w:ilvl w:val="0"/>
          <w:numId w:val="14"/>
        </w:numPr>
        <w:ind w:left="1429"/>
        <w:jc w:val="both"/>
        <w:rPr>
          <w:rFonts w:ascii="Calibri" w:eastAsia="Calibri" w:hAnsi="Calibri"/>
          <w:lang w:eastAsia="en-US"/>
        </w:rPr>
      </w:pPr>
      <w:r w:rsidRPr="005B52BA">
        <w:rPr>
          <w:rFonts w:ascii="Calibri" w:eastAsia="Calibri" w:hAnsi="Calibri"/>
          <w:lang w:eastAsia="en-US"/>
        </w:rPr>
        <w:t xml:space="preserve">Niveau régional par le Comité Régional de Lutte contre le </w:t>
      </w:r>
      <w:r w:rsidR="0036679F">
        <w:rPr>
          <w:rFonts w:ascii="Calibri" w:eastAsia="Calibri" w:hAnsi="Calibri"/>
          <w:lang w:eastAsia="en-US"/>
        </w:rPr>
        <w:t>sida</w:t>
      </w:r>
      <w:r w:rsidRPr="005B52BA">
        <w:rPr>
          <w:rFonts w:ascii="Calibri" w:eastAsia="Calibri" w:hAnsi="Calibri"/>
          <w:lang w:eastAsia="en-US"/>
        </w:rPr>
        <w:t xml:space="preserve"> (CTR/CRLS).</w:t>
      </w:r>
    </w:p>
    <w:p w14:paraId="74AE2231" w14:textId="77777777" w:rsidR="00787CCB" w:rsidRPr="005B52BA" w:rsidRDefault="00787CCB" w:rsidP="00787CCB">
      <w:pPr>
        <w:pStyle w:val="Paragraphedeliste"/>
        <w:jc w:val="both"/>
        <w:rPr>
          <w:rFonts w:ascii="Calibri" w:eastAsia="Calibri" w:hAnsi="Calibri"/>
          <w:lang w:eastAsia="en-US"/>
        </w:rPr>
      </w:pPr>
    </w:p>
    <w:p w14:paraId="57629FB8" w14:textId="50C12528" w:rsidR="00787CCB" w:rsidRPr="005B52BA" w:rsidRDefault="00787CCB" w:rsidP="00C34A61">
      <w:pPr>
        <w:pStyle w:val="Paragraphedeliste"/>
        <w:numPr>
          <w:ilvl w:val="0"/>
          <w:numId w:val="20"/>
        </w:numPr>
        <w:jc w:val="both"/>
        <w:rPr>
          <w:rFonts w:ascii="Calibri" w:eastAsia="Calibri" w:hAnsi="Calibri"/>
          <w:b/>
          <w:lang w:eastAsia="en-US"/>
        </w:rPr>
      </w:pPr>
      <w:r w:rsidRPr="005B52BA">
        <w:rPr>
          <w:rFonts w:ascii="Calibri" w:eastAsia="Calibri" w:hAnsi="Calibri"/>
          <w:b/>
          <w:lang w:eastAsia="en-US"/>
        </w:rPr>
        <w:t>Mise en œuvre</w:t>
      </w:r>
      <w:r w:rsidR="00C35060">
        <w:rPr>
          <w:rFonts w:ascii="Calibri" w:eastAsia="Calibri" w:hAnsi="Calibri"/>
          <w:b/>
          <w:lang w:eastAsia="en-US"/>
        </w:rPr>
        <w:t xml:space="preserve"> opérationnel</w:t>
      </w:r>
    </w:p>
    <w:p w14:paraId="57007E6F" w14:textId="77777777" w:rsidR="00C35060" w:rsidRPr="00C35060" w:rsidRDefault="00C35060" w:rsidP="00B27F68">
      <w:pPr>
        <w:pStyle w:val="Paragraphedeliste"/>
        <w:ind w:left="709"/>
        <w:jc w:val="both"/>
        <w:rPr>
          <w:rFonts w:ascii="Calibri" w:eastAsia="Calibri" w:hAnsi="Calibri"/>
          <w:sz w:val="13"/>
          <w:lang w:eastAsia="en-US"/>
        </w:rPr>
      </w:pPr>
    </w:p>
    <w:p w14:paraId="7D9641AA" w14:textId="1CBB42DB" w:rsidR="00787CCB" w:rsidRPr="005B52BA" w:rsidRDefault="00787CCB" w:rsidP="00B27F68">
      <w:pPr>
        <w:pStyle w:val="Paragraphedeliste"/>
        <w:ind w:left="709"/>
        <w:jc w:val="both"/>
        <w:rPr>
          <w:rFonts w:ascii="Calibri" w:hAnsi="Calibri"/>
          <w:color w:val="000000"/>
        </w:rPr>
      </w:pPr>
      <w:r w:rsidRPr="005B52BA">
        <w:rPr>
          <w:rFonts w:ascii="Calibri" w:eastAsia="Calibri" w:hAnsi="Calibri"/>
          <w:lang w:eastAsia="en-US"/>
        </w:rPr>
        <w:t>La mise en œuvre du CSN est assurée par le secteur public (santé et non santé), le secteur communautaire et le secteur privé</w:t>
      </w:r>
      <w:r w:rsidRPr="005B52BA">
        <w:rPr>
          <w:rFonts w:ascii="Calibri" w:hAnsi="Calibri"/>
          <w:color w:val="000000"/>
        </w:rPr>
        <w:t>.</w:t>
      </w:r>
    </w:p>
    <w:p w14:paraId="5DD761E8" w14:textId="08E14159" w:rsidR="00787CCB" w:rsidRPr="005B52BA" w:rsidRDefault="00787CCB" w:rsidP="00787CCB">
      <w:pPr>
        <w:jc w:val="both"/>
        <w:rPr>
          <w:rFonts w:ascii="Calibri" w:hAnsi="Calibri"/>
          <w:b/>
          <w:color w:val="000000"/>
        </w:rPr>
      </w:pPr>
    </w:p>
    <w:p w14:paraId="2AD3F7F8" w14:textId="3AEB83AC" w:rsidR="00787CCB" w:rsidRPr="00383208" w:rsidRDefault="00787CCB" w:rsidP="00C34A61">
      <w:pPr>
        <w:pStyle w:val="Titre2"/>
        <w:numPr>
          <w:ilvl w:val="1"/>
          <w:numId w:val="6"/>
        </w:numPr>
        <w:spacing w:after="0"/>
        <w:ind w:left="425" w:hanging="425"/>
        <w:rPr>
          <w:rFonts w:ascii="Calibri" w:hAnsi="Calibri"/>
          <w:color w:val="2F5496" w:themeColor="accent5" w:themeShade="BF"/>
          <w:szCs w:val="24"/>
        </w:rPr>
      </w:pPr>
      <w:bookmarkStart w:id="103" w:name="_Toc370812803"/>
      <w:bookmarkStart w:id="104" w:name="_Toc500335877"/>
      <w:bookmarkStart w:id="105" w:name="_Toc500520937"/>
      <w:bookmarkStart w:id="106" w:name="_Toc520983533"/>
      <w:r w:rsidRPr="00383208">
        <w:rPr>
          <w:rFonts w:ascii="Calibri" w:hAnsi="Calibri"/>
          <w:color w:val="2F5496" w:themeColor="accent5" w:themeShade="BF"/>
          <w:szCs w:val="24"/>
        </w:rPr>
        <w:t>Opérationnalisation du</w:t>
      </w:r>
      <w:r w:rsidR="00A606CE">
        <w:rPr>
          <w:rFonts w:ascii="Calibri" w:hAnsi="Calibri"/>
          <w:color w:val="2F5496" w:themeColor="accent5" w:themeShade="BF"/>
          <w:szCs w:val="24"/>
        </w:rPr>
        <w:t xml:space="preserve"> Cadre Stratégique National 2018</w:t>
      </w:r>
      <w:r w:rsidRPr="00383208">
        <w:rPr>
          <w:rFonts w:ascii="Calibri" w:hAnsi="Calibri"/>
          <w:color w:val="2F5496" w:themeColor="accent5" w:themeShade="BF"/>
          <w:szCs w:val="24"/>
        </w:rPr>
        <w:t>-20</w:t>
      </w:r>
      <w:bookmarkEnd w:id="103"/>
      <w:bookmarkEnd w:id="104"/>
      <w:bookmarkEnd w:id="105"/>
      <w:r w:rsidR="00A606CE">
        <w:rPr>
          <w:rFonts w:ascii="Calibri" w:hAnsi="Calibri"/>
          <w:color w:val="2F5496" w:themeColor="accent5" w:themeShade="BF"/>
          <w:szCs w:val="24"/>
        </w:rPr>
        <w:t>22</w:t>
      </w:r>
      <w:bookmarkEnd w:id="106"/>
    </w:p>
    <w:p w14:paraId="20DCB425" w14:textId="77777777" w:rsidR="00787CCB" w:rsidRDefault="00787CCB" w:rsidP="00787CCB">
      <w:pPr>
        <w:autoSpaceDE w:val="0"/>
        <w:autoSpaceDN w:val="0"/>
        <w:adjustRightInd w:val="0"/>
        <w:jc w:val="both"/>
        <w:rPr>
          <w:rFonts w:ascii="Calibri" w:hAnsi="Calibri"/>
          <w:color w:val="272627"/>
          <w:lang w:val="fr-CH"/>
        </w:rPr>
      </w:pPr>
    </w:p>
    <w:p w14:paraId="4E1DEC1F" w14:textId="4F0AC207" w:rsidR="00C35060" w:rsidRDefault="00B27F68" w:rsidP="00787CCB">
      <w:pPr>
        <w:autoSpaceDE w:val="0"/>
        <w:autoSpaceDN w:val="0"/>
        <w:adjustRightInd w:val="0"/>
        <w:jc w:val="both"/>
        <w:rPr>
          <w:rFonts w:ascii="Calibri" w:hAnsi="Calibri"/>
          <w:color w:val="000000"/>
        </w:rPr>
      </w:pPr>
      <w:r w:rsidRPr="005B52BA">
        <w:rPr>
          <w:rFonts w:ascii="Calibri" w:hAnsi="Calibri"/>
        </w:rPr>
        <w:t>La mise en œuvre des stratégies sectorielles de lutte contre les IST et le VIH/</w:t>
      </w:r>
      <w:r>
        <w:rPr>
          <w:rFonts w:ascii="Calibri" w:hAnsi="Calibri"/>
        </w:rPr>
        <w:t>sida</w:t>
      </w:r>
      <w:r w:rsidRPr="005B52BA">
        <w:rPr>
          <w:rFonts w:ascii="Calibri" w:hAnsi="Calibri"/>
        </w:rPr>
        <w:t xml:space="preserve"> sur la période 2018-2022 </w:t>
      </w:r>
      <w:r w:rsidRPr="005B52BA">
        <w:rPr>
          <w:rFonts w:ascii="Calibri" w:hAnsi="Calibri"/>
          <w:color w:val="000000"/>
        </w:rPr>
        <w:t>sera organisée selon une approche basée sur la multisectorialité et la décentralisation autour d’un cadre institutionnel impliquant les différents a</w:t>
      </w:r>
      <w:r w:rsidR="00C35060">
        <w:rPr>
          <w:rFonts w:ascii="Calibri" w:hAnsi="Calibri"/>
          <w:color w:val="000000"/>
        </w:rPr>
        <w:t>cteurs de la riposte nationale. Elle se fera à travers les documents importants suivants :</w:t>
      </w:r>
    </w:p>
    <w:p w14:paraId="71718513" w14:textId="70BF590C" w:rsidR="00C35060" w:rsidRDefault="00C35060" w:rsidP="00C35060">
      <w:pPr>
        <w:pStyle w:val="Paragraphedeliste"/>
        <w:numPr>
          <w:ilvl w:val="0"/>
          <w:numId w:val="20"/>
        </w:numPr>
        <w:autoSpaceDE w:val="0"/>
        <w:autoSpaceDN w:val="0"/>
        <w:adjustRightInd w:val="0"/>
        <w:jc w:val="both"/>
        <w:rPr>
          <w:rFonts w:ascii="Calibri" w:hAnsi="Calibri"/>
          <w:color w:val="000000"/>
        </w:rPr>
      </w:pPr>
      <w:r w:rsidRPr="00C35060">
        <w:rPr>
          <w:rFonts w:ascii="Calibri" w:hAnsi="Calibri"/>
          <w:color w:val="000000"/>
          <w:u w:val="single"/>
        </w:rPr>
        <w:t>Le Plan de suivi évaluation du CSN 2018-202</w:t>
      </w:r>
      <w:r w:rsidR="00A606CE">
        <w:rPr>
          <w:rFonts w:ascii="Calibri" w:hAnsi="Calibri"/>
          <w:color w:val="000000"/>
          <w:u w:val="single"/>
        </w:rPr>
        <w:t>2</w:t>
      </w:r>
      <w:r w:rsidR="00A606CE">
        <w:rPr>
          <w:rFonts w:ascii="Calibri" w:hAnsi="Calibri"/>
          <w:color w:val="000000"/>
        </w:rPr>
        <w:t xml:space="preserve"> : </w:t>
      </w:r>
      <w:r w:rsidRPr="00C35060">
        <w:rPr>
          <w:rFonts w:ascii="Calibri" w:hAnsi="Calibri"/>
          <w:color w:val="000000"/>
        </w:rPr>
        <w:t>Ce plan de suivi sert à monitorer les performances et la prise de décision objective pendant la mise en œuvre. Il précise  le cadre de performance du PSNM, la description des indicateurs (les définitions opérationnelles, les rythmes de collecte, les modalités de collecte, les moyens de vérification et de validation), le système global de rapportage des résultats et de production de l’information, les modalités de collecte des données et les outils qui seront utilisés ainsi que les ressources matérielles, informationnelles et humaines qui seront mobilisées pour la production de l’information nationale relative au VIH.</w:t>
      </w:r>
    </w:p>
    <w:p w14:paraId="40C32A24" w14:textId="19CEE3B4" w:rsidR="00C35060" w:rsidRDefault="00C35060" w:rsidP="00C35060">
      <w:pPr>
        <w:pStyle w:val="Paragraphedeliste"/>
        <w:numPr>
          <w:ilvl w:val="0"/>
          <w:numId w:val="20"/>
        </w:numPr>
        <w:autoSpaceDE w:val="0"/>
        <w:autoSpaceDN w:val="0"/>
        <w:adjustRightInd w:val="0"/>
        <w:jc w:val="both"/>
        <w:rPr>
          <w:rFonts w:ascii="Calibri" w:hAnsi="Calibri"/>
          <w:color w:val="000000"/>
        </w:rPr>
      </w:pPr>
      <w:r>
        <w:rPr>
          <w:rFonts w:ascii="Calibri" w:hAnsi="Calibri"/>
          <w:color w:val="000000"/>
          <w:u w:val="single"/>
        </w:rPr>
        <w:t xml:space="preserve">Le Plan de mise en œuvre opérationnel </w:t>
      </w:r>
      <w:r w:rsidRPr="00A606CE">
        <w:rPr>
          <w:rFonts w:ascii="Calibri" w:hAnsi="Calibri"/>
          <w:color w:val="000000"/>
          <w:u w:val="single"/>
        </w:rPr>
        <w:t>2018-2022</w:t>
      </w:r>
      <w:r>
        <w:rPr>
          <w:rFonts w:ascii="Calibri" w:hAnsi="Calibri"/>
          <w:color w:val="000000"/>
        </w:rPr>
        <w:t> : Il décrit dans les détails les principales activités prioritaires qui seront menées au cours de la période. Il prend en compte les plans de travail des projets et programmes déjà disponibles pour les aligner</w:t>
      </w:r>
    </w:p>
    <w:p w14:paraId="31023AF2" w14:textId="1CA8E3C4" w:rsidR="00C35060" w:rsidRPr="00C35060" w:rsidRDefault="00C35060" w:rsidP="00C35060">
      <w:pPr>
        <w:pStyle w:val="Paragraphedeliste"/>
        <w:numPr>
          <w:ilvl w:val="0"/>
          <w:numId w:val="20"/>
        </w:numPr>
        <w:autoSpaceDE w:val="0"/>
        <w:autoSpaceDN w:val="0"/>
        <w:adjustRightInd w:val="0"/>
        <w:jc w:val="both"/>
        <w:rPr>
          <w:rFonts w:ascii="Calibri" w:hAnsi="Calibri"/>
          <w:color w:val="000000"/>
        </w:rPr>
      </w:pPr>
      <w:r w:rsidRPr="00C35060">
        <w:rPr>
          <w:rFonts w:ascii="Calibri" w:hAnsi="Calibri"/>
          <w:color w:val="000000"/>
          <w:u w:val="single"/>
        </w:rPr>
        <w:t>Les plans régionaux</w:t>
      </w:r>
      <w:r>
        <w:rPr>
          <w:rFonts w:ascii="Calibri" w:hAnsi="Calibri"/>
          <w:color w:val="000000"/>
        </w:rPr>
        <w:t xml:space="preserve"> : </w:t>
      </w:r>
      <w:r w:rsidRPr="005B52BA">
        <w:rPr>
          <w:rFonts w:ascii="Calibri" w:hAnsi="Calibri"/>
        </w:rPr>
        <w:t>Au niveau régional, les différentes structures de coordination et d’exécution seront invitées à planifier leurs activités conformément à leurs missions et attributions définies dans le CSN. Les activités prioritaires seront planifiées et mises en œuvre par les différents acteurs au niveau local, préfectoral et régional (secteur public santé et non santé, secteur privé et ONG/Associations/OBC) et seront pilotées par les directions régionales, les membres des organisations de la société civile sous la coordination des CRLS</w:t>
      </w:r>
    </w:p>
    <w:p w14:paraId="16368616" w14:textId="7F737072" w:rsidR="00C35060" w:rsidRPr="00A606CE" w:rsidRDefault="00C35060" w:rsidP="00C35060">
      <w:pPr>
        <w:pStyle w:val="Paragraphedeliste"/>
        <w:numPr>
          <w:ilvl w:val="0"/>
          <w:numId w:val="20"/>
        </w:numPr>
        <w:autoSpaceDE w:val="0"/>
        <w:autoSpaceDN w:val="0"/>
        <w:adjustRightInd w:val="0"/>
        <w:jc w:val="both"/>
        <w:rPr>
          <w:rFonts w:asciiTheme="minorHAnsi" w:hAnsiTheme="minorHAnsi"/>
          <w:color w:val="000000"/>
        </w:rPr>
      </w:pPr>
      <w:r w:rsidRPr="00A606CE">
        <w:rPr>
          <w:rFonts w:asciiTheme="minorHAnsi" w:hAnsiTheme="minorHAnsi"/>
          <w:color w:val="000000"/>
          <w:u w:val="single"/>
        </w:rPr>
        <w:t xml:space="preserve">Les plans sectoriels : </w:t>
      </w:r>
      <w:r w:rsidRPr="00A606CE">
        <w:rPr>
          <w:rFonts w:asciiTheme="minorHAnsi" w:eastAsia="Calibri" w:hAnsiTheme="minorHAnsi"/>
          <w:lang w:eastAsia="en-US"/>
        </w:rPr>
        <w:t>Les secteurs élaboreront des plans d’action qui prendront en compte les activités sectorielles des plans régionaux et des priorités définies par le CSN. Ces plans devront tenir compte des problèmes et des déterminants spécifiques à chaque secteur et veiller à ne pas empiéter sur les actions déjà planifiées au niveau des régions. La mise en œuvre des plans sectoriels sera coordonnée par les comités sectoriels de lutte contre les IST/VIH/ sida</w:t>
      </w:r>
    </w:p>
    <w:p w14:paraId="0AADC9E4" w14:textId="217A31AB" w:rsidR="00C35060" w:rsidRPr="001A311B" w:rsidRDefault="00C35060" w:rsidP="00C35060">
      <w:pPr>
        <w:pStyle w:val="Paragraphedeliste"/>
        <w:numPr>
          <w:ilvl w:val="0"/>
          <w:numId w:val="20"/>
        </w:numPr>
        <w:autoSpaceDE w:val="0"/>
        <w:autoSpaceDN w:val="0"/>
        <w:adjustRightInd w:val="0"/>
        <w:jc w:val="both"/>
        <w:rPr>
          <w:rFonts w:ascii="Calibri" w:hAnsi="Calibri"/>
          <w:color w:val="000000"/>
        </w:rPr>
      </w:pPr>
      <w:r w:rsidRPr="00A606CE">
        <w:rPr>
          <w:rFonts w:asciiTheme="minorHAnsi" w:hAnsiTheme="minorHAnsi"/>
          <w:color w:val="000000"/>
          <w:u w:val="single"/>
        </w:rPr>
        <w:t>Les plans annuels :</w:t>
      </w:r>
      <w:r w:rsidRPr="00A606CE">
        <w:rPr>
          <w:rFonts w:asciiTheme="minorHAnsi" w:hAnsiTheme="minorHAnsi"/>
          <w:color w:val="000000"/>
        </w:rPr>
        <w:t xml:space="preserve"> </w:t>
      </w:r>
      <w:r w:rsidRPr="00A606CE">
        <w:rPr>
          <w:rFonts w:asciiTheme="minorHAnsi" w:hAnsiTheme="minorHAnsi"/>
        </w:rPr>
        <w:t>Chaque année, toutes les structures de coordination et de mise en œuvre (secteur public, secteur privé, société civile) produiront des plans d’actions annuels à partir du Plan National Multisectoriel (</w:t>
      </w:r>
      <w:r w:rsidRPr="005B52BA">
        <w:rPr>
          <w:rFonts w:ascii="Calibri" w:hAnsi="Calibri"/>
        </w:rPr>
        <w:t>PNM) en fonction de leurs domaines d’intervention</w:t>
      </w:r>
    </w:p>
    <w:p w14:paraId="67D03AD2" w14:textId="3BCCD32D" w:rsidR="001A311B" w:rsidRPr="00C35060" w:rsidRDefault="001A311B" w:rsidP="00C35060">
      <w:pPr>
        <w:pStyle w:val="Paragraphedeliste"/>
        <w:numPr>
          <w:ilvl w:val="0"/>
          <w:numId w:val="20"/>
        </w:numPr>
        <w:autoSpaceDE w:val="0"/>
        <w:autoSpaceDN w:val="0"/>
        <w:adjustRightInd w:val="0"/>
        <w:jc w:val="both"/>
        <w:rPr>
          <w:rFonts w:ascii="Calibri" w:hAnsi="Calibri"/>
          <w:color w:val="000000"/>
        </w:rPr>
      </w:pPr>
      <w:r>
        <w:rPr>
          <w:rFonts w:ascii="Calibri" w:hAnsi="Calibri"/>
          <w:color w:val="000000"/>
          <w:u w:val="single"/>
        </w:rPr>
        <w:t>Le plan de mobilisation des ressources :</w:t>
      </w:r>
      <w:r>
        <w:rPr>
          <w:rFonts w:ascii="Calibri" w:hAnsi="Calibri"/>
          <w:color w:val="000000"/>
        </w:rPr>
        <w:t xml:space="preserve"> il s’agit d’un document d’orientation qui va servir de support de plaidoyer et de mobilisation des ressources nationales et internationales pour soutenir la mise en œuvre du CSN 2018-2022.</w:t>
      </w:r>
    </w:p>
    <w:p w14:paraId="4AC62321" w14:textId="3AC03602" w:rsidR="00787CCB" w:rsidRPr="00C35060" w:rsidRDefault="00787CCB" w:rsidP="00C35060">
      <w:pPr>
        <w:autoSpaceDE w:val="0"/>
        <w:autoSpaceDN w:val="0"/>
        <w:adjustRightInd w:val="0"/>
        <w:jc w:val="both"/>
        <w:rPr>
          <w:rFonts w:ascii="Calibri" w:hAnsi="Calibri"/>
          <w:color w:val="272627"/>
        </w:rPr>
      </w:pPr>
    </w:p>
    <w:p w14:paraId="2E3E7471" w14:textId="77777777" w:rsidR="00787CCB" w:rsidRPr="00A96CAD" w:rsidRDefault="00787CCB" w:rsidP="00C34A61">
      <w:pPr>
        <w:pStyle w:val="Titre1"/>
        <w:numPr>
          <w:ilvl w:val="0"/>
          <w:numId w:val="6"/>
        </w:numPr>
        <w:pBdr>
          <w:bottom w:val="single" w:sz="12" w:space="1" w:color="auto"/>
        </w:pBdr>
        <w:shd w:val="clear" w:color="auto" w:fill="92D050"/>
        <w:spacing w:after="0"/>
        <w:ind w:left="284" w:hanging="284"/>
        <w:rPr>
          <w:rStyle w:val="Lienhypertexte"/>
          <w:rFonts w:ascii="Calibri" w:eastAsiaTheme="majorEastAsia" w:hAnsi="Calibri"/>
          <w:color w:val="auto"/>
          <w:sz w:val="28"/>
          <w:szCs w:val="28"/>
        </w:rPr>
      </w:pPr>
      <w:bookmarkStart w:id="107" w:name="_Toc370812805"/>
      <w:bookmarkStart w:id="108" w:name="_Toc500335879"/>
      <w:bookmarkStart w:id="109" w:name="_Toc500520939"/>
      <w:bookmarkStart w:id="110" w:name="_Toc520983534"/>
      <w:r w:rsidRPr="00A96CAD">
        <w:rPr>
          <w:rFonts w:ascii="Calibri" w:eastAsiaTheme="majorEastAsia" w:hAnsi="Calibri"/>
          <w:sz w:val="28"/>
          <w:szCs w:val="28"/>
        </w:rPr>
        <w:t>SUIVI ET EVALUATION DU PLAN STRATEGIQUE NATIONAL 2018-</w:t>
      </w:r>
      <w:bookmarkEnd w:id="107"/>
      <w:r w:rsidRPr="00A96CAD">
        <w:rPr>
          <w:rFonts w:ascii="Calibri" w:eastAsiaTheme="majorEastAsia" w:hAnsi="Calibri"/>
          <w:sz w:val="28"/>
          <w:szCs w:val="28"/>
        </w:rPr>
        <w:t>2022</w:t>
      </w:r>
      <w:bookmarkEnd w:id="108"/>
      <w:bookmarkEnd w:id="109"/>
      <w:bookmarkEnd w:id="110"/>
    </w:p>
    <w:p w14:paraId="2D05E985" w14:textId="77777777" w:rsidR="00787CCB" w:rsidRPr="005B52BA" w:rsidRDefault="00787CCB" w:rsidP="00787CCB">
      <w:pPr>
        <w:pStyle w:val="TM2"/>
        <w:ind w:left="709"/>
      </w:pPr>
    </w:p>
    <w:p w14:paraId="56DC5E52" w14:textId="4E247777" w:rsidR="00787CCB" w:rsidRPr="00383208" w:rsidRDefault="00DB4486" w:rsidP="00C34A61">
      <w:pPr>
        <w:pStyle w:val="Titre2"/>
        <w:numPr>
          <w:ilvl w:val="1"/>
          <w:numId w:val="6"/>
        </w:numPr>
        <w:spacing w:after="0"/>
        <w:ind w:left="425" w:hanging="425"/>
        <w:rPr>
          <w:rFonts w:ascii="Calibri" w:hAnsi="Calibri"/>
          <w:color w:val="2F5496" w:themeColor="accent5" w:themeShade="BF"/>
          <w:szCs w:val="24"/>
        </w:rPr>
      </w:pPr>
      <w:hyperlink w:anchor="_Toc360118445" w:history="1">
        <w:bookmarkStart w:id="111" w:name="_Toc370812806"/>
        <w:bookmarkStart w:id="112" w:name="_Toc500335880"/>
        <w:bookmarkStart w:id="113" w:name="_Toc500520940"/>
        <w:bookmarkStart w:id="114" w:name="_Toc520983535"/>
        <w:r w:rsidR="003D5D20">
          <w:rPr>
            <w:rFonts w:ascii="Calibri" w:hAnsi="Calibri"/>
            <w:color w:val="2F5496" w:themeColor="accent5" w:themeShade="BF"/>
            <w:szCs w:val="24"/>
          </w:rPr>
          <w:t xml:space="preserve">Cadre de mise en œuvre </w:t>
        </w:r>
        <w:r w:rsidR="00787CCB" w:rsidRPr="00383208">
          <w:rPr>
            <w:rFonts w:ascii="Calibri" w:hAnsi="Calibri"/>
            <w:color w:val="2F5496" w:themeColor="accent5" w:themeShade="BF"/>
            <w:szCs w:val="24"/>
          </w:rPr>
          <w:t>du système de suivi et d’évaluation</w:t>
        </w:r>
        <w:bookmarkEnd w:id="111"/>
        <w:bookmarkEnd w:id="112"/>
        <w:bookmarkEnd w:id="113"/>
        <w:bookmarkEnd w:id="114"/>
        <w:r w:rsidR="00787CCB" w:rsidRPr="00383208">
          <w:rPr>
            <w:rFonts w:ascii="Calibri" w:hAnsi="Calibri"/>
            <w:color w:val="2F5496" w:themeColor="accent5" w:themeShade="BF"/>
            <w:szCs w:val="24"/>
          </w:rPr>
          <w:t xml:space="preserve">  </w:t>
        </w:r>
      </w:hyperlink>
    </w:p>
    <w:p w14:paraId="5F1B42CF" w14:textId="77777777" w:rsidR="00787CCB" w:rsidRDefault="00787CCB" w:rsidP="00787CCB">
      <w:pPr>
        <w:autoSpaceDE w:val="0"/>
        <w:autoSpaceDN w:val="0"/>
        <w:adjustRightInd w:val="0"/>
        <w:jc w:val="both"/>
        <w:rPr>
          <w:rFonts w:ascii="Calibri" w:hAnsi="Calibri"/>
        </w:rPr>
      </w:pPr>
    </w:p>
    <w:p w14:paraId="12CDF14C" w14:textId="289FE424" w:rsidR="00787CCB" w:rsidRDefault="00787CCB" w:rsidP="00787CCB">
      <w:pPr>
        <w:autoSpaceDE w:val="0"/>
        <w:autoSpaceDN w:val="0"/>
        <w:adjustRightInd w:val="0"/>
        <w:jc w:val="both"/>
        <w:rPr>
          <w:rFonts w:ascii="Calibri" w:hAnsi="Calibri"/>
        </w:rPr>
      </w:pPr>
      <w:r w:rsidRPr="005B52BA">
        <w:rPr>
          <w:rFonts w:ascii="Calibri" w:hAnsi="Calibri"/>
        </w:rPr>
        <w:t>Le suivi et évaluation des interventions du CSN 2018-2022 aura pour cadre de référence, les 12 composantes d’un système de suivi et évaluation fonctionnel recommandées au niveau international.</w:t>
      </w:r>
      <w:r w:rsidR="003D5D20">
        <w:rPr>
          <w:rFonts w:ascii="Calibri" w:hAnsi="Calibri"/>
        </w:rPr>
        <w:t xml:space="preserve"> </w:t>
      </w:r>
      <w:r w:rsidRPr="005B52BA">
        <w:rPr>
          <w:rFonts w:ascii="Calibri" w:hAnsi="Calibri"/>
        </w:rPr>
        <w:t>Le dispositif prévoit une collecte et l’acheminement des données des sites d’exécution des interventions vers les départements, les régions et le niveau central</w:t>
      </w:r>
      <w:r>
        <w:rPr>
          <w:rFonts w:ascii="Calibri" w:hAnsi="Calibri"/>
        </w:rPr>
        <w:t xml:space="preserve"> à travers un plan de collecte.</w:t>
      </w:r>
      <w:r w:rsidR="007313AA">
        <w:rPr>
          <w:rFonts w:ascii="Calibri" w:hAnsi="Calibri"/>
        </w:rPr>
        <w:t xml:space="preserve"> Ceci tiendra compte de l’existence du DHIS2 et du SIGL</w:t>
      </w:r>
    </w:p>
    <w:p w14:paraId="01AEA391" w14:textId="77777777" w:rsidR="00787CCB" w:rsidRPr="005B52BA" w:rsidRDefault="00787CCB" w:rsidP="00787CCB">
      <w:pPr>
        <w:autoSpaceDE w:val="0"/>
        <w:autoSpaceDN w:val="0"/>
        <w:adjustRightInd w:val="0"/>
        <w:jc w:val="both"/>
        <w:rPr>
          <w:rFonts w:ascii="Calibri" w:hAnsi="Calibri"/>
        </w:rPr>
      </w:pPr>
    </w:p>
    <w:p w14:paraId="23C59292" w14:textId="2F7B9A3B" w:rsidR="00787CCB" w:rsidRPr="005B52BA" w:rsidRDefault="00787CCB" w:rsidP="00750DF3">
      <w:pPr>
        <w:jc w:val="both"/>
        <w:rPr>
          <w:rFonts w:ascii="Calibri" w:hAnsi="Calibri"/>
          <w:color w:val="000000"/>
        </w:rPr>
      </w:pPr>
      <w:r w:rsidRPr="005B52BA">
        <w:rPr>
          <w:rFonts w:ascii="Calibri" w:hAnsi="Calibri"/>
        </w:rPr>
        <w:t xml:space="preserve">Outre les structures de collecte, de traitement, d’analyse des données et de production des rapports semestriels, un groupe technique de travail en Suivi et </w:t>
      </w:r>
      <w:r w:rsidR="007313AA" w:rsidRPr="005B52BA">
        <w:rPr>
          <w:rFonts w:ascii="Calibri" w:hAnsi="Calibri"/>
        </w:rPr>
        <w:t>Évaluation</w:t>
      </w:r>
      <w:r w:rsidRPr="005B52BA">
        <w:rPr>
          <w:rFonts w:ascii="Calibri" w:hAnsi="Calibri"/>
        </w:rPr>
        <w:t xml:space="preserve"> multisectoriel et </w:t>
      </w:r>
      <w:r w:rsidR="001F4B5E" w:rsidRPr="005B52BA">
        <w:rPr>
          <w:rFonts w:ascii="Calibri" w:hAnsi="Calibri"/>
        </w:rPr>
        <w:t>multidisciplinaire et</w:t>
      </w:r>
      <w:r w:rsidRPr="005B52BA">
        <w:rPr>
          <w:rFonts w:ascii="Calibri" w:hAnsi="Calibri"/>
        </w:rPr>
        <w:t xml:space="preserve"> une Commission multisectorielle de travail </w:t>
      </w:r>
      <w:r w:rsidR="001F4B5E" w:rsidRPr="005B52BA">
        <w:rPr>
          <w:rFonts w:ascii="Calibri" w:hAnsi="Calibri"/>
        </w:rPr>
        <w:t>en SE</w:t>
      </w:r>
      <w:r w:rsidRPr="005B52BA">
        <w:rPr>
          <w:rFonts w:ascii="Calibri" w:hAnsi="Calibri"/>
        </w:rPr>
        <w:t>-VIH</w:t>
      </w:r>
      <w:r w:rsidR="003D5D20">
        <w:rPr>
          <w:rFonts w:ascii="Calibri" w:hAnsi="Calibri"/>
        </w:rPr>
        <w:t xml:space="preserve"> appuient le DPSER du SE/CNLS, les CRLS et </w:t>
      </w:r>
      <w:r w:rsidRPr="005B52BA">
        <w:rPr>
          <w:rFonts w:ascii="Calibri" w:hAnsi="Calibri"/>
        </w:rPr>
        <w:t>CPLS dans la validation et l’assurance qualité des données</w:t>
      </w:r>
      <w:r w:rsidRPr="005B52BA">
        <w:rPr>
          <w:rFonts w:ascii="Calibri" w:hAnsi="Calibri"/>
          <w:color w:val="000000"/>
        </w:rPr>
        <w:t>.</w:t>
      </w:r>
    </w:p>
    <w:p w14:paraId="414265D1" w14:textId="77777777" w:rsidR="003D5D20" w:rsidRDefault="003D5D20" w:rsidP="003D5D20">
      <w:pPr>
        <w:jc w:val="both"/>
        <w:rPr>
          <w:rFonts w:ascii="Calibri" w:hAnsi="Calibri"/>
        </w:rPr>
      </w:pPr>
    </w:p>
    <w:p w14:paraId="3FB06681" w14:textId="7EE8BA5C" w:rsidR="003D5D20" w:rsidRPr="005B52BA" w:rsidRDefault="003D5D20" w:rsidP="003D5D20">
      <w:pPr>
        <w:jc w:val="both"/>
        <w:rPr>
          <w:rFonts w:ascii="Calibri" w:hAnsi="Calibri"/>
        </w:rPr>
      </w:pPr>
      <w:r w:rsidRPr="005B52BA">
        <w:rPr>
          <w:rFonts w:ascii="Calibri" w:hAnsi="Calibri"/>
        </w:rPr>
        <w:t>Le circuit comprend quatre niveaux :</w:t>
      </w:r>
    </w:p>
    <w:p w14:paraId="6D59379B" w14:textId="77777777" w:rsidR="003D5D20" w:rsidRPr="003D5D20" w:rsidRDefault="003D5D20" w:rsidP="003D5D20">
      <w:pPr>
        <w:numPr>
          <w:ilvl w:val="0"/>
          <w:numId w:val="18"/>
        </w:numPr>
        <w:jc w:val="both"/>
        <w:rPr>
          <w:rFonts w:ascii="Calibri" w:hAnsi="Calibri"/>
        </w:rPr>
      </w:pPr>
      <w:r w:rsidRPr="00A606CE">
        <w:rPr>
          <w:rFonts w:ascii="Calibri" w:hAnsi="Calibri"/>
          <w:i/>
          <w:iCs/>
          <w:u w:val="single"/>
        </w:rPr>
        <w:t>Le niveau sous-préfectoral</w:t>
      </w:r>
      <w:r w:rsidRPr="005B52BA">
        <w:rPr>
          <w:rFonts w:ascii="Calibri" w:hAnsi="Calibri"/>
        </w:rPr>
        <w:t xml:space="preserve"> est constitué par les structures de santé (centres et postes de santé), les services sous-préfectoraux, les entreprises et les OBC. Les responsables qui opèrent à ce niveau travaillent sur les registres et les fiches pour collecter les données et transmettent leur rapport mensuel au niveau immédiatement supérieur, la </w:t>
      </w:r>
      <w:r w:rsidRPr="003D5D20">
        <w:rPr>
          <w:rFonts w:ascii="Calibri" w:hAnsi="Calibri"/>
        </w:rPr>
        <w:t>préfecture.</w:t>
      </w:r>
    </w:p>
    <w:p w14:paraId="12B71FDC" w14:textId="4B7C0678" w:rsidR="003D5D20" w:rsidRPr="003D5D20" w:rsidRDefault="003D5D20" w:rsidP="003D5D20">
      <w:pPr>
        <w:numPr>
          <w:ilvl w:val="0"/>
          <w:numId w:val="18"/>
        </w:numPr>
        <w:ind w:left="867" w:hanging="357"/>
        <w:jc w:val="both"/>
        <w:rPr>
          <w:rFonts w:ascii="Calibri" w:hAnsi="Calibri"/>
        </w:rPr>
      </w:pPr>
      <w:r w:rsidRPr="00A606CE">
        <w:rPr>
          <w:rFonts w:ascii="Calibri" w:hAnsi="Calibri"/>
          <w:i/>
          <w:iCs/>
          <w:u w:val="single"/>
        </w:rPr>
        <w:t>Le niveau préfectoral</w:t>
      </w:r>
      <w:r w:rsidRPr="003D5D20">
        <w:rPr>
          <w:rFonts w:ascii="Calibri" w:hAnsi="Calibri"/>
        </w:rPr>
        <w:t xml:space="preserve"> comprend la direction préfectorale de la santé et les autres directions sectorielles. Les responsables, à ce niveau, traitent et compilent toutes les données/informations venant du niveau sous-préfectoral et les transmettent après validation dans des supports appropriés</w:t>
      </w:r>
      <w:r w:rsidR="007313AA">
        <w:rPr>
          <w:rFonts w:ascii="Calibri" w:hAnsi="Calibri"/>
        </w:rPr>
        <w:t xml:space="preserve"> (saisi dans le DHIS2)</w:t>
      </w:r>
      <w:r w:rsidRPr="003D5D20">
        <w:rPr>
          <w:rFonts w:ascii="Calibri" w:hAnsi="Calibri"/>
        </w:rPr>
        <w:t>. Les données des secteurs</w:t>
      </w:r>
      <w:r w:rsidR="000B77AB">
        <w:rPr>
          <w:rFonts w:ascii="Calibri" w:hAnsi="Calibri"/>
        </w:rPr>
        <w:t xml:space="preserve"> (ministères non santé et communautaire) </w:t>
      </w:r>
      <w:r w:rsidRPr="003D5D20">
        <w:rPr>
          <w:rFonts w:ascii="Calibri" w:hAnsi="Calibri"/>
        </w:rPr>
        <w:t>sont traitées par le point focal VIH préfectorale.</w:t>
      </w:r>
    </w:p>
    <w:p w14:paraId="164DF9CA" w14:textId="2C5C66F7" w:rsidR="003D5D20" w:rsidRPr="003D5D20" w:rsidRDefault="003D5D20" w:rsidP="003D5D20">
      <w:pPr>
        <w:numPr>
          <w:ilvl w:val="0"/>
          <w:numId w:val="18"/>
        </w:numPr>
        <w:ind w:left="867" w:hanging="357"/>
        <w:jc w:val="both"/>
        <w:rPr>
          <w:rFonts w:ascii="Calibri" w:hAnsi="Calibri"/>
        </w:rPr>
      </w:pPr>
      <w:r w:rsidRPr="00A606CE">
        <w:rPr>
          <w:rFonts w:ascii="Calibri" w:hAnsi="Calibri"/>
          <w:i/>
          <w:iCs/>
          <w:u w:val="single"/>
        </w:rPr>
        <w:t>Le niveau régional</w:t>
      </w:r>
      <w:r w:rsidRPr="003D5D20">
        <w:rPr>
          <w:rFonts w:ascii="Calibri" w:hAnsi="Calibri"/>
        </w:rPr>
        <w:t xml:space="preserve"> comprend la direction régionale de la santé publique, les autres directions/inspections et la coordination régionale du SE/CNLS. Les responsables, à ce niveau, traitent et compilent toutes les données/informations venant des différentes préfectures qui composent la région et les transmettent après contrôle/validation, tous les trimestr</w:t>
      </w:r>
      <w:r w:rsidR="00891515">
        <w:rPr>
          <w:rFonts w:ascii="Calibri" w:hAnsi="Calibri"/>
        </w:rPr>
        <w:t>es dans des supports appropriés</w:t>
      </w:r>
      <w:r w:rsidRPr="003D5D20">
        <w:rPr>
          <w:rFonts w:ascii="Calibri" w:hAnsi="Calibri"/>
        </w:rPr>
        <w:t xml:space="preserve"> au niveau central. </w:t>
      </w:r>
    </w:p>
    <w:p w14:paraId="48747D12" w14:textId="107B2DC9" w:rsidR="003D5D20" w:rsidRPr="003D5D20" w:rsidRDefault="003D5D20" w:rsidP="003D5D20">
      <w:pPr>
        <w:numPr>
          <w:ilvl w:val="0"/>
          <w:numId w:val="18"/>
        </w:numPr>
        <w:ind w:left="867" w:hanging="357"/>
        <w:jc w:val="both"/>
        <w:rPr>
          <w:rFonts w:ascii="Calibri" w:hAnsi="Calibri"/>
        </w:rPr>
      </w:pPr>
      <w:r w:rsidRPr="00A606CE">
        <w:rPr>
          <w:rFonts w:ascii="Calibri" w:hAnsi="Calibri"/>
          <w:i/>
          <w:iCs/>
          <w:u w:val="single"/>
        </w:rPr>
        <w:t>Le niveau central</w:t>
      </w:r>
      <w:r w:rsidR="000B77AB">
        <w:rPr>
          <w:rFonts w:ascii="Calibri" w:hAnsi="Calibri"/>
        </w:rPr>
        <w:t xml:space="preserve"> comprend le Département planification, s</w:t>
      </w:r>
      <w:r w:rsidRPr="003D5D20">
        <w:rPr>
          <w:rFonts w:ascii="Calibri" w:hAnsi="Calibri"/>
        </w:rPr>
        <w:t>uivi-Évaluation et Recherche du SE/CNLS et les chargés du suivi-évaluation des comités sectoriels. Les responsables du suivi-évaluation ainsi que les gestionnaires des données, à ce niveau, effectuent la triangulation de données reçues du niveau régional, pour en garantir la qualité. Les données ainsi traitées sont soumises à validation au CMT-SE VIH avant d’être disséminées.</w:t>
      </w:r>
    </w:p>
    <w:p w14:paraId="225EBE80" w14:textId="77777777" w:rsidR="003D5D20" w:rsidRDefault="003D5D20" w:rsidP="003D5D20">
      <w:pPr>
        <w:ind w:left="510"/>
        <w:jc w:val="both"/>
        <w:rPr>
          <w:rFonts w:ascii="Calibri" w:hAnsi="Calibri"/>
        </w:rPr>
      </w:pPr>
    </w:p>
    <w:p w14:paraId="00522652" w14:textId="799CA062" w:rsidR="003D5D20" w:rsidRPr="003D5D20" w:rsidRDefault="003D5D20" w:rsidP="003D5D20">
      <w:pPr>
        <w:ind w:left="510"/>
        <w:jc w:val="both"/>
        <w:rPr>
          <w:rFonts w:ascii="Calibri" w:hAnsi="Calibri"/>
        </w:rPr>
      </w:pPr>
      <w:r w:rsidRPr="003D5D20">
        <w:rPr>
          <w:rFonts w:ascii="Calibri" w:hAnsi="Calibri"/>
        </w:rPr>
        <w:t xml:space="preserve">La </w:t>
      </w:r>
      <w:r w:rsidRPr="003D5D20">
        <w:rPr>
          <w:rFonts w:ascii="Calibri" w:hAnsi="Calibri"/>
          <w:b/>
          <w:bCs/>
        </w:rPr>
        <w:t>rétroinformation</w:t>
      </w:r>
      <w:r w:rsidRPr="003D5D20">
        <w:rPr>
          <w:rFonts w:ascii="Calibri" w:hAnsi="Calibri"/>
        </w:rPr>
        <w:t xml:space="preserve"> part du niveau central jusqu’au niveau sous-préfectoral</w:t>
      </w:r>
    </w:p>
    <w:p w14:paraId="560C6784" w14:textId="34EC21A0" w:rsidR="003D5D20" w:rsidRDefault="003D5D20" w:rsidP="003D5D20">
      <w:pPr>
        <w:rPr>
          <w:rFonts w:ascii="Calibri" w:hAnsi="Calibri"/>
        </w:rPr>
      </w:pPr>
    </w:p>
    <w:p w14:paraId="07BA4E2A" w14:textId="7FFE7A24" w:rsidR="003D5D20" w:rsidRPr="00284484" w:rsidRDefault="003D5D20" w:rsidP="00284484">
      <w:pPr>
        <w:pStyle w:val="fig"/>
        <w:jc w:val="left"/>
        <w:rPr>
          <w:b w:val="0"/>
        </w:rPr>
      </w:pPr>
      <w:bookmarkStart w:id="115" w:name="_Toc521064659"/>
      <w:r w:rsidRPr="00284484">
        <w:rPr>
          <w:u w:val="single"/>
        </w:rPr>
        <w:t>Figure 3</w:t>
      </w:r>
      <w:r w:rsidRPr="00891515">
        <w:t> </w:t>
      </w:r>
      <w:r w:rsidRPr="00284484">
        <w:rPr>
          <w:b w:val="0"/>
        </w:rPr>
        <w:t xml:space="preserve">: </w:t>
      </w:r>
      <w:proofErr w:type="spellStart"/>
      <w:r w:rsidRPr="00284484">
        <w:rPr>
          <w:b w:val="0"/>
        </w:rPr>
        <w:t>Fluxogramme</w:t>
      </w:r>
      <w:proofErr w:type="spellEnd"/>
      <w:r w:rsidRPr="00284484">
        <w:rPr>
          <w:b w:val="0"/>
        </w:rPr>
        <w:t xml:space="preserve"> des données/informations</w:t>
      </w:r>
      <w:bookmarkEnd w:id="115"/>
    </w:p>
    <w:p w14:paraId="5B5FE0AF" w14:textId="301EDA0F" w:rsidR="003D5D20" w:rsidRPr="00787CCB" w:rsidRDefault="003D5D20" w:rsidP="003D5D20">
      <w:pPr>
        <w:rPr>
          <w:rFonts w:ascii="Calibri" w:hAnsi="Calibri"/>
          <w:b/>
        </w:rPr>
      </w:pPr>
    </w:p>
    <w:p w14:paraId="54AF125A" w14:textId="77777777" w:rsidR="003D5D20" w:rsidRPr="005B52BA" w:rsidRDefault="003D5D20" w:rsidP="003D5D20">
      <w:pPr>
        <w:rPr>
          <w:rFonts w:ascii="Calibri" w:hAnsi="Calibri"/>
        </w:rPr>
      </w:pPr>
    </w:p>
    <w:p w14:paraId="61D2B577" w14:textId="694156D0" w:rsidR="003D5D20" w:rsidRDefault="003D5D20" w:rsidP="00787CCB">
      <w:pPr>
        <w:rPr>
          <w:rFonts w:ascii="Calibri" w:hAnsi="Calibri"/>
        </w:rPr>
      </w:pPr>
      <w:r w:rsidRPr="003D5D20">
        <w:rPr>
          <w:rFonts w:ascii="Calibri" w:hAnsi="Calibri"/>
          <w:noProof/>
        </w:rPr>
        <w:drawing>
          <wp:inline distT="0" distB="0" distL="0" distR="0" wp14:anchorId="0AAC5324" wp14:editId="48514183">
            <wp:extent cx="5760720" cy="5134162"/>
            <wp:effectExtent l="0" t="0" r="5080" b="0"/>
            <wp:docPr id="11280" name="Image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3451" cy="5136596"/>
                    </a:xfrm>
                    <a:prstGeom prst="rect">
                      <a:avLst/>
                    </a:prstGeom>
                  </pic:spPr>
                </pic:pic>
              </a:graphicData>
            </a:graphic>
          </wp:inline>
        </w:drawing>
      </w:r>
    </w:p>
    <w:p w14:paraId="7DD3859C" w14:textId="3CF1EDBE" w:rsidR="00787CCB" w:rsidRDefault="00787CCB" w:rsidP="00787CCB">
      <w:pPr>
        <w:rPr>
          <w:rFonts w:ascii="Calibri" w:hAnsi="Calibri"/>
          <w:b/>
        </w:rPr>
      </w:pPr>
    </w:p>
    <w:p w14:paraId="632ECCA1" w14:textId="31D473DA" w:rsidR="00787CCB" w:rsidRDefault="00787CCB" w:rsidP="00787CCB">
      <w:pPr>
        <w:spacing w:line="300" w:lineRule="atLeast"/>
        <w:jc w:val="both"/>
        <w:rPr>
          <w:rFonts w:ascii="Calibri" w:hAnsi="Calibri"/>
        </w:rPr>
      </w:pPr>
    </w:p>
    <w:p w14:paraId="3E6D3F99" w14:textId="5D588E95" w:rsidR="003D5D20" w:rsidRDefault="003D5D20" w:rsidP="00787CCB">
      <w:pPr>
        <w:spacing w:line="300" w:lineRule="atLeast"/>
        <w:jc w:val="both"/>
        <w:rPr>
          <w:rFonts w:ascii="Calibri" w:hAnsi="Calibri"/>
        </w:rPr>
      </w:pPr>
      <w:r>
        <w:rPr>
          <w:rFonts w:ascii="Calibri" w:hAnsi="Calibri"/>
        </w:rPr>
        <w:t>Les périodicités de rapportage des données sont les suivantes :</w:t>
      </w:r>
    </w:p>
    <w:p w14:paraId="2962D32E" w14:textId="77777777" w:rsidR="003D5D20" w:rsidRPr="005B52BA" w:rsidRDefault="003D5D20" w:rsidP="00787CCB">
      <w:pPr>
        <w:spacing w:line="300" w:lineRule="atLeast"/>
        <w:jc w:val="both"/>
        <w:rPr>
          <w:rFonts w:ascii="Calibri" w:hAnsi="Calibri"/>
        </w:rPr>
      </w:pPr>
    </w:p>
    <w:p w14:paraId="794C0FF5" w14:textId="3C846AFE" w:rsidR="00891515" w:rsidRPr="001C1DD2" w:rsidRDefault="00891515" w:rsidP="00240456">
      <w:pPr>
        <w:pStyle w:val="tab"/>
      </w:pPr>
      <w:bookmarkStart w:id="116" w:name="_Toc521064265"/>
      <w:r w:rsidRPr="00240456">
        <w:rPr>
          <w:b/>
          <w:u w:val="single"/>
        </w:rPr>
        <w:t xml:space="preserve">Tableau </w:t>
      </w:r>
      <w:r w:rsidR="00240456" w:rsidRPr="00240456">
        <w:rPr>
          <w:b/>
          <w:u w:val="single"/>
        </w:rPr>
        <w:t xml:space="preserve">9 </w:t>
      </w:r>
      <w:r>
        <w:t>: Présentation des mécanismes et périodicité de rapportage</w:t>
      </w:r>
      <w:bookmarkEnd w:id="116"/>
    </w:p>
    <w:p w14:paraId="156D3700" w14:textId="2DC6267A" w:rsidR="00787CCB" w:rsidRPr="005B52BA" w:rsidRDefault="00787CCB" w:rsidP="00891515">
      <w:pPr>
        <w:rPr>
          <w:rFonts w:ascii="Calibri" w:hAnsi="Calibri"/>
          <w:b/>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67"/>
        <w:gridCol w:w="1355"/>
        <w:gridCol w:w="2018"/>
        <w:gridCol w:w="1249"/>
        <w:gridCol w:w="1483"/>
        <w:gridCol w:w="1911"/>
      </w:tblGrid>
      <w:tr w:rsidR="00787CCB" w:rsidRPr="001C1B9A" w14:paraId="28BFDAA9" w14:textId="77777777" w:rsidTr="00033262">
        <w:tc>
          <w:tcPr>
            <w:tcW w:w="1267" w:type="dxa"/>
            <w:shd w:val="clear" w:color="auto" w:fill="FFC000"/>
            <w:vAlign w:val="center"/>
          </w:tcPr>
          <w:p w14:paraId="19E3ADCE" w14:textId="77777777" w:rsidR="00787CCB" w:rsidRPr="001C1B9A" w:rsidRDefault="00787CCB" w:rsidP="00891515">
            <w:pPr>
              <w:jc w:val="center"/>
              <w:rPr>
                <w:rFonts w:ascii="Calibri" w:hAnsi="Calibri"/>
                <w:b/>
                <w:sz w:val="18"/>
                <w:szCs w:val="18"/>
              </w:rPr>
            </w:pPr>
            <w:r w:rsidRPr="001C1B9A">
              <w:rPr>
                <w:rFonts w:ascii="Calibri" w:hAnsi="Calibri"/>
                <w:b/>
                <w:sz w:val="18"/>
                <w:szCs w:val="18"/>
              </w:rPr>
              <w:t>Niveau</w:t>
            </w:r>
          </w:p>
        </w:tc>
        <w:tc>
          <w:tcPr>
            <w:tcW w:w="1355" w:type="dxa"/>
            <w:shd w:val="clear" w:color="auto" w:fill="FFC000"/>
            <w:vAlign w:val="center"/>
          </w:tcPr>
          <w:p w14:paraId="4E8F7128" w14:textId="77777777" w:rsidR="00787CCB" w:rsidRPr="001C1B9A" w:rsidRDefault="00787CCB" w:rsidP="00891515">
            <w:pPr>
              <w:jc w:val="center"/>
              <w:rPr>
                <w:rFonts w:ascii="Calibri" w:hAnsi="Calibri"/>
                <w:b/>
                <w:sz w:val="18"/>
                <w:szCs w:val="18"/>
              </w:rPr>
            </w:pPr>
            <w:r w:rsidRPr="001C1B9A">
              <w:rPr>
                <w:rFonts w:ascii="Calibri" w:hAnsi="Calibri"/>
                <w:b/>
                <w:sz w:val="18"/>
                <w:szCs w:val="18"/>
              </w:rPr>
              <w:t>Type de rapport</w:t>
            </w:r>
          </w:p>
        </w:tc>
        <w:tc>
          <w:tcPr>
            <w:tcW w:w="2018" w:type="dxa"/>
            <w:shd w:val="clear" w:color="auto" w:fill="FFC000"/>
            <w:vAlign w:val="center"/>
          </w:tcPr>
          <w:p w14:paraId="6FF4E3A5" w14:textId="77777777" w:rsidR="00787CCB" w:rsidRPr="001C1B9A" w:rsidRDefault="00787CCB" w:rsidP="00891515">
            <w:pPr>
              <w:jc w:val="center"/>
              <w:rPr>
                <w:rFonts w:ascii="Calibri" w:hAnsi="Calibri"/>
                <w:b/>
                <w:sz w:val="18"/>
                <w:szCs w:val="18"/>
              </w:rPr>
            </w:pPr>
            <w:r w:rsidRPr="001C1B9A">
              <w:rPr>
                <w:rFonts w:ascii="Calibri" w:hAnsi="Calibri"/>
                <w:b/>
                <w:sz w:val="18"/>
                <w:szCs w:val="18"/>
              </w:rPr>
              <w:t>Mode/Support de transmission</w:t>
            </w:r>
          </w:p>
        </w:tc>
        <w:tc>
          <w:tcPr>
            <w:tcW w:w="1249" w:type="dxa"/>
            <w:shd w:val="clear" w:color="auto" w:fill="FFC000"/>
            <w:vAlign w:val="center"/>
          </w:tcPr>
          <w:p w14:paraId="20CE2229" w14:textId="77777777" w:rsidR="00787CCB" w:rsidRPr="001C1B9A" w:rsidRDefault="00787CCB" w:rsidP="00891515">
            <w:pPr>
              <w:jc w:val="center"/>
              <w:rPr>
                <w:rFonts w:ascii="Calibri" w:hAnsi="Calibri"/>
                <w:b/>
                <w:sz w:val="18"/>
                <w:szCs w:val="18"/>
              </w:rPr>
            </w:pPr>
            <w:r w:rsidRPr="001C1B9A">
              <w:rPr>
                <w:rFonts w:ascii="Calibri" w:hAnsi="Calibri"/>
                <w:b/>
                <w:sz w:val="18"/>
                <w:szCs w:val="18"/>
              </w:rPr>
              <w:t>Fréquence</w:t>
            </w:r>
          </w:p>
        </w:tc>
        <w:tc>
          <w:tcPr>
            <w:tcW w:w="1483" w:type="dxa"/>
            <w:shd w:val="clear" w:color="auto" w:fill="FFC000"/>
            <w:vAlign w:val="center"/>
          </w:tcPr>
          <w:p w14:paraId="1F01440E" w14:textId="77777777" w:rsidR="00787CCB" w:rsidRPr="001C1B9A" w:rsidRDefault="00787CCB" w:rsidP="00891515">
            <w:pPr>
              <w:jc w:val="center"/>
              <w:rPr>
                <w:rFonts w:ascii="Calibri" w:hAnsi="Calibri"/>
                <w:b/>
                <w:sz w:val="18"/>
                <w:szCs w:val="18"/>
              </w:rPr>
            </w:pPr>
            <w:r w:rsidRPr="001C1B9A">
              <w:rPr>
                <w:rFonts w:ascii="Calibri" w:hAnsi="Calibri"/>
                <w:b/>
                <w:sz w:val="18"/>
                <w:szCs w:val="18"/>
              </w:rPr>
              <w:t>Délais</w:t>
            </w:r>
          </w:p>
        </w:tc>
        <w:tc>
          <w:tcPr>
            <w:tcW w:w="1911" w:type="dxa"/>
            <w:shd w:val="clear" w:color="auto" w:fill="FFC000"/>
            <w:vAlign w:val="center"/>
          </w:tcPr>
          <w:p w14:paraId="0E9C99AA" w14:textId="77777777" w:rsidR="00787CCB" w:rsidRPr="001C1B9A" w:rsidRDefault="00787CCB" w:rsidP="00891515">
            <w:pPr>
              <w:jc w:val="center"/>
              <w:rPr>
                <w:rFonts w:ascii="Calibri" w:hAnsi="Calibri"/>
                <w:b/>
                <w:sz w:val="18"/>
                <w:szCs w:val="18"/>
              </w:rPr>
            </w:pPr>
            <w:r w:rsidRPr="001C1B9A">
              <w:rPr>
                <w:rFonts w:ascii="Calibri" w:hAnsi="Calibri"/>
                <w:b/>
                <w:sz w:val="18"/>
                <w:szCs w:val="18"/>
              </w:rPr>
              <w:t>Commentaires</w:t>
            </w:r>
          </w:p>
        </w:tc>
      </w:tr>
      <w:tr w:rsidR="00787CCB" w:rsidRPr="001C1B9A" w14:paraId="3C635549" w14:textId="77777777" w:rsidTr="00033262">
        <w:trPr>
          <w:trHeight w:val="648"/>
        </w:trPr>
        <w:tc>
          <w:tcPr>
            <w:tcW w:w="1267" w:type="dxa"/>
            <w:shd w:val="clear" w:color="auto" w:fill="FFFFFF"/>
            <w:vAlign w:val="center"/>
          </w:tcPr>
          <w:p w14:paraId="63345F4F" w14:textId="77777777" w:rsidR="00787CCB" w:rsidRPr="001C1B9A" w:rsidRDefault="00787CCB" w:rsidP="00891515">
            <w:pPr>
              <w:rPr>
                <w:rFonts w:ascii="Calibri" w:hAnsi="Calibri"/>
                <w:sz w:val="18"/>
                <w:szCs w:val="18"/>
              </w:rPr>
            </w:pPr>
            <w:r w:rsidRPr="001C1B9A">
              <w:rPr>
                <w:rFonts w:ascii="Calibri" w:hAnsi="Calibri"/>
                <w:sz w:val="18"/>
                <w:szCs w:val="18"/>
              </w:rPr>
              <w:t>Central</w:t>
            </w:r>
          </w:p>
        </w:tc>
        <w:tc>
          <w:tcPr>
            <w:tcW w:w="1355" w:type="dxa"/>
            <w:shd w:val="clear" w:color="auto" w:fill="FFFFFF"/>
            <w:vAlign w:val="center"/>
          </w:tcPr>
          <w:p w14:paraId="6B393256" w14:textId="77777777" w:rsidR="00787CCB" w:rsidRPr="001C1B9A" w:rsidRDefault="00787CCB" w:rsidP="00891515">
            <w:pPr>
              <w:rPr>
                <w:rFonts w:ascii="Calibri" w:hAnsi="Calibri"/>
                <w:sz w:val="18"/>
                <w:szCs w:val="18"/>
              </w:rPr>
            </w:pPr>
            <w:r w:rsidRPr="001C1B9A">
              <w:rPr>
                <w:rFonts w:ascii="Calibri" w:hAnsi="Calibri"/>
                <w:sz w:val="18"/>
                <w:szCs w:val="18"/>
              </w:rPr>
              <w:t>Rapport de progrès trimestriel et annuel</w:t>
            </w:r>
          </w:p>
        </w:tc>
        <w:tc>
          <w:tcPr>
            <w:tcW w:w="2018" w:type="dxa"/>
            <w:shd w:val="clear" w:color="auto" w:fill="FFFFFF"/>
            <w:vAlign w:val="center"/>
          </w:tcPr>
          <w:p w14:paraId="0C4D08E1" w14:textId="77777777" w:rsidR="00787CCB" w:rsidRPr="001C1B9A" w:rsidRDefault="00787CCB" w:rsidP="00891515">
            <w:pPr>
              <w:numPr>
                <w:ilvl w:val="0"/>
                <w:numId w:val="17"/>
              </w:numPr>
              <w:tabs>
                <w:tab w:val="num" w:pos="360"/>
              </w:tabs>
              <w:ind w:left="252" w:hanging="252"/>
              <w:jc w:val="both"/>
              <w:rPr>
                <w:rFonts w:ascii="Calibri" w:hAnsi="Calibri"/>
                <w:sz w:val="18"/>
                <w:szCs w:val="18"/>
              </w:rPr>
            </w:pPr>
            <w:r w:rsidRPr="001C1B9A">
              <w:rPr>
                <w:rFonts w:ascii="Calibri" w:hAnsi="Calibri"/>
                <w:sz w:val="18"/>
                <w:szCs w:val="18"/>
              </w:rPr>
              <w:t>Courrier physique</w:t>
            </w:r>
          </w:p>
          <w:p w14:paraId="0E681091" w14:textId="77777777" w:rsidR="00787CCB" w:rsidRPr="001C1B9A" w:rsidRDefault="00787CCB" w:rsidP="00891515">
            <w:pPr>
              <w:numPr>
                <w:ilvl w:val="0"/>
                <w:numId w:val="17"/>
              </w:numPr>
              <w:tabs>
                <w:tab w:val="num" w:pos="360"/>
              </w:tabs>
              <w:ind w:left="252" w:hanging="252"/>
              <w:rPr>
                <w:rFonts w:ascii="Calibri" w:hAnsi="Calibri"/>
                <w:sz w:val="18"/>
                <w:szCs w:val="18"/>
              </w:rPr>
            </w:pPr>
            <w:r w:rsidRPr="001C1B9A">
              <w:rPr>
                <w:rFonts w:ascii="Calibri" w:hAnsi="Calibri"/>
                <w:sz w:val="18"/>
                <w:szCs w:val="18"/>
              </w:rPr>
              <w:t>Courrier électronique</w:t>
            </w:r>
          </w:p>
          <w:p w14:paraId="025A4821" w14:textId="39EB0D56" w:rsidR="00891515" w:rsidRPr="001C1B9A" w:rsidRDefault="00891515" w:rsidP="00891515">
            <w:pPr>
              <w:numPr>
                <w:ilvl w:val="0"/>
                <w:numId w:val="17"/>
              </w:numPr>
              <w:tabs>
                <w:tab w:val="num" w:pos="360"/>
              </w:tabs>
              <w:ind w:left="252" w:hanging="252"/>
              <w:rPr>
                <w:rFonts w:ascii="Calibri" w:hAnsi="Calibri"/>
                <w:sz w:val="18"/>
                <w:szCs w:val="18"/>
              </w:rPr>
            </w:pPr>
            <w:r w:rsidRPr="001C1B9A">
              <w:rPr>
                <w:rFonts w:ascii="Calibri" w:hAnsi="Calibri"/>
                <w:sz w:val="18"/>
                <w:szCs w:val="18"/>
              </w:rPr>
              <w:t>DHIS2, SIGL</w:t>
            </w:r>
          </w:p>
        </w:tc>
        <w:tc>
          <w:tcPr>
            <w:tcW w:w="1249" w:type="dxa"/>
            <w:shd w:val="clear" w:color="auto" w:fill="FFFFFF"/>
            <w:vAlign w:val="center"/>
          </w:tcPr>
          <w:p w14:paraId="5C8DC9CB" w14:textId="77777777" w:rsidR="00787CCB" w:rsidRPr="001C1B9A" w:rsidRDefault="00787CCB" w:rsidP="00891515">
            <w:pPr>
              <w:rPr>
                <w:rFonts w:ascii="Calibri" w:hAnsi="Calibri"/>
                <w:sz w:val="18"/>
                <w:szCs w:val="18"/>
              </w:rPr>
            </w:pPr>
            <w:r w:rsidRPr="001C1B9A">
              <w:rPr>
                <w:rFonts w:ascii="Calibri" w:hAnsi="Calibri"/>
                <w:sz w:val="18"/>
                <w:szCs w:val="18"/>
              </w:rPr>
              <w:t>Trimestrielle Annuelle</w:t>
            </w:r>
          </w:p>
        </w:tc>
        <w:tc>
          <w:tcPr>
            <w:tcW w:w="1483" w:type="dxa"/>
            <w:shd w:val="clear" w:color="auto" w:fill="FFFFFF"/>
          </w:tcPr>
          <w:p w14:paraId="4683463E" w14:textId="77777777" w:rsidR="00787CCB" w:rsidRPr="001C1B9A" w:rsidRDefault="00787CCB" w:rsidP="00891515">
            <w:pPr>
              <w:rPr>
                <w:rFonts w:ascii="Calibri" w:hAnsi="Calibri"/>
                <w:sz w:val="18"/>
                <w:szCs w:val="18"/>
              </w:rPr>
            </w:pPr>
            <w:r w:rsidRPr="001C1B9A">
              <w:rPr>
                <w:rFonts w:ascii="Calibri" w:hAnsi="Calibri"/>
                <w:sz w:val="18"/>
                <w:szCs w:val="18"/>
              </w:rPr>
              <w:t>45 jours après le trimestre ou la fin de l’année</w:t>
            </w:r>
          </w:p>
        </w:tc>
        <w:tc>
          <w:tcPr>
            <w:tcW w:w="1911" w:type="dxa"/>
            <w:shd w:val="clear" w:color="auto" w:fill="FFFFFF"/>
            <w:vAlign w:val="center"/>
          </w:tcPr>
          <w:p w14:paraId="352A8CAB" w14:textId="77777777" w:rsidR="00787CCB" w:rsidRPr="001C1B9A" w:rsidRDefault="00787CCB" w:rsidP="00891515">
            <w:pPr>
              <w:rPr>
                <w:rFonts w:ascii="Calibri" w:hAnsi="Calibri"/>
                <w:sz w:val="18"/>
                <w:szCs w:val="18"/>
              </w:rPr>
            </w:pPr>
            <w:r w:rsidRPr="001C1B9A">
              <w:rPr>
                <w:rFonts w:ascii="Calibri" w:hAnsi="Calibri"/>
                <w:sz w:val="18"/>
                <w:szCs w:val="18"/>
              </w:rPr>
              <w:t>Rapport de progrès et analyse des écarts</w:t>
            </w:r>
          </w:p>
        </w:tc>
      </w:tr>
      <w:tr w:rsidR="00787CCB" w:rsidRPr="001C1B9A" w14:paraId="7893B9D8" w14:textId="77777777" w:rsidTr="00033262">
        <w:trPr>
          <w:trHeight w:val="528"/>
        </w:trPr>
        <w:tc>
          <w:tcPr>
            <w:tcW w:w="1267" w:type="dxa"/>
            <w:shd w:val="clear" w:color="auto" w:fill="FFFFFF"/>
            <w:vAlign w:val="center"/>
          </w:tcPr>
          <w:p w14:paraId="49CBB134" w14:textId="77777777" w:rsidR="00787CCB" w:rsidRPr="001C1B9A" w:rsidRDefault="00787CCB" w:rsidP="00891515">
            <w:pPr>
              <w:rPr>
                <w:rFonts w:ascii="Calibri" w:hAnsi="Calibri"/>
                <w:sz w:val="18"/>
                <w:szCs w:val="18"/>
              </w:rPr>
            </w:pPr>
            <w:r w:rsidRPr="001C1B9A">
              <w:rPr>
                <w:rFonts w:ascii="Calibri" w:hAnsi="Calibri"/>
                <w:sz w:val="18"/>
                <w:szCs w:val="18"/>
              </w:rPr>
              <w:t>Régional</w:t>
            </w:r>
          </w:p>
        </w:tc>
        <w:tc>
          <w:tcPr>
            <w:tcW w:w="1355" w:type="dxa"/>
            <w:shd w:val="clear" w:color="auto" w:fill="FFFFFF"/>
            <w:vAlign w:val="center"/>
          </w:tcPr>
          <w:p w14:paraId="2659F002" w14:textId="77777777" w:rsidR="00787CCB" w:rsidRPr="001C1B9A" w:rsidRDefault="00787CCB" w:rsidP="00891515">
            <w:pPr>
              <w:rPr>
                <w:rFonts w:ascii="Calibri" w:hAnsi="Calibri"/>
                <w:sz w:val="18"/>
                <w:szCs w:val="18"/>
              </w:rPr>
            </w:pPr>
            <w:r w:rsidRPr="001C1B9A">
              <w:rPr>
                <w:rFonts w:ascii="Calibri" w:hAnsi="Calibri"/>
                <w:sz w:val="18"/>
                <w:szCs w:val="18"/>
              </w:rPr>
              <w:t>Rapport d’activités et de résultats</w:t>
            </w:r>
          </w:p>
        </w:tc>
        <w:tc>
          <w:tcPr>
            <w:tcW w:w="2018" w:type="dxa"/>
            <w:shd w:val="clear" w:color="auto" w:fill="FFFFFF"/>
            <w:vAlign w:val="center"/>
          </w:tcPr>
          <w:p w14:paraId="63594794" w14:textId="77777777" w:rsidR="00787CCB" w:rsidRPr="001C1B9A" w:rsidRDefault="00787CCB" w:rsidP="00891515">
            <w:pPr>
              <w:numPr>
                <w:ilvl w:val="0"/>
                <w:numId w:val="17"/>
              </w:numPr>
              <w:tabs>
                <w:tab w:val="num" w:pos="360"/>
              </w:tabs>
              <w:ind w:left="252" w:hanging="252"/>
              <w:rPr>
                <w:rFonts w:ascii="Calibri" w:hAnsi="Calibri"/>
                <w:sz w:val="18"/>
                <w:szCs w:val="18"/>
              </w:rPr>
            </w:pPr>
            <w:r w:rsidRPr="001C1B9A">
              <w:rPr>
                <w:rFonts w:ascii="Calibri" w:hAnsi="Calibri"/>
                <w:sz w:val="18"/>
                <w:szCs w:val="18"/>
              </w:rPr>
              <w:t>Courrier physique</w:t>
            </w:r>
          </w:p>
          <w:p w14:paraId="790B6767" w14:textId="77777777" w:rsidR="00787CCB" w:rsidRPr="001C1B9A" w:rsidRDefault="00787CCB" w:rsidP="00891515">
            <w:pPr>
              <w:numPr>
                <w:ilvl w:val="0"/>
                <w:numId w:val="17"/>
              </w:numPr>
              <w:tabs>
                <w:tab w:val="num" w:pos="360"/>
              </w:tabs>
              <w:ind w:left="252" w:hanging="252"/>
              <w:rPr>
                <w:rFonts w:ascii="Calibri" w:hAnsi="Calibri"/>
                <w:sz w:val="18"/>
                <w:szCs w:val="18"/>
              </w:rPr>
            </w:pPr>
            <w:r w:rsidRPr="001C1B9A">
              <w:rPr>
                <w:rFonts w:ascii="Calibri" w:hAnsi="Calibri"/>
                <w:sz w:val="18"/>
                <w:szCs w:val="18"/>
              </w:rPr>
              <w:t>Courrier électronique</w:t>
            </w:r>
          </w:p>
          <w:p w14:paraId="731BE436" w14:textId="7B1A15B2" w:rsidR="00891515" w:rsidRPr="001C1B9A" w:rsidRDefault="00891515" w:rsidP="00891515">
            <w:pPr>
              <w:numPr>
                <w:ilvl w:val="0"/>
                <w:numId w:val="17"/>
              </w:numPr>
              <w:tabs>
                <w:tab w:val="num" w:pos="360"/>
              </w:tabs>
              <w:ind w:left="252" w:hanging="252"/>
              <w:rPr>
                <w:rFonts w:ascii="Calibri" w:hAnsi="Calibri"/>
                <w:sz w:val="18"/>
                <w:szCs w:val="18"/>
              </w:rPr>
            </w:pPr>
            <w:r w:rsidRPr="001C1B9A">
              <w:rPr>
                <w:rFonts w:ascii="Calibri" w:hAnsi="Calibri"/>
                <w:sz w:val="18"/>
                <w:szCs w:val="18"/>
              </w:rPr>
              <w:t>DHIS2, SIGL</w:t>
            </w:r>
          </w:p>
        </w:tc>
        <w:tc>
          <w:tcPr>
            <w:tcW w:w="1249" w:type="dxa"/>
            <w:shd w:val="clear" w:color="auto" w:fill="FFFFFF"/>
            <w:vAlign w:val="center"/>
          </w:tcPr>
          <w:p w14:paraId="100ED798" w14:textId="77777777" w:rsidR="00787CCB" w:rsidRPr="001C1B9A" w:rsidRDefault="00787CCB" w:rsidP="00891515">
            <w:pPr>
              <w:rPr>
                <w:rFonts w:ascii="Calibri" w:hAnsi="Calibri"/>
                <w:sz w:val="18"/>
                <w:szCs w:val="18"/>
              </w:rPr>
            </w:pPr>
            <w:r w:rsidRPr="001C1B9A">
              <w:rPr>
                <w:rFonts w:ascii="Calibri" w:hAnsi="Calibri"/>
                <w:sz w:val="18"/>
                <w:szCs w:val="18"/>
              </w:rPr>
              <w:t>Annuelle Trimestrielle</w:t>
            </w:r>
          </w:p>
        </w:tc>
        <w:tc>
          <w:tcPr>
            <w:tcW w:w="1483" w:type="dxa"/>
            <w:shd w:val="clear" w:color="auto" w:fill="FFFFFF"/>
          </w:tcPr>
          <w:p w14:paraId="24718BF5" w14:textId="4DA58640" w:rsidR="00787CCB" w:rsidRPr="001C1B9A" w:rsidRDefault="00787CCB" w:rsidP="00891515">
            <w:pPr>
              <w:rPr>
                <w:rFonts w:ascii="Calibri" w:hAnsi="Calibri"/>
                <w:sz w:val="18"/>
                <w:szCs w:val="18"/>
              </w:rPr>
            </w:pPr>
            <w:r w:rsidRPr="001C1B9A">
              <w:rPr>
                <w:rFonts w:ascii="Calibri" w:hAnsi="Calibri"/>
                <w:sz w:val="18"/>
                <w:szCs w:val="18"/>
              </w:rPr>
              <w:t xml:space="preserve">25 jours après le </w:t>
            </w:r>
            <w:r w:rsidR="00891515" w:rsidRPr="001C1B9A">
              <w:rPr>
                <w:rFonts w:ascii="Calibri" w:hAnsi="Calibri"/>
                <w:sz w:val="18"/>
                <w:szCs w:val="18"/>
              </w:rPr>
              <w:t>trimestre ou</w:t>
            </w:r>
            <w:r w:rsidRPr="001C1B9A">
              <w:rPr>
                <w:rFonts w:ascii="Calibri" w:hAnsi="Calibri"/>
                <w:sz w:val="18"/>
                <w:szCs w:val="18"/>
              </w:rPr>
              <w:t xml:space="preserve"> à la fin de l’année</w:t>
            </w:r>
          </w:p>
        </w:tc>
        <w:tc>
          <w:tcPr>
            <w:tcW w:w="1911" w:type="dxa"/>
            <w:shd w:val="clear" w:color="auto" w:fill="FFFFFF"/>
            <w:vAlign w:val="center"/>
          </w:tcPr>
          <w:p w14:paraId="3312F026" w14:textId="77777777" w:rsidR="00787CCB" w:rsidRPr="001C1B9A" w:rsidRDefault="00787CCB" w:rsidP="00891515">
            <w:pPr>
              <w:rPr>
                <w:rFonts w:ascii="Calibri" w:hAnsi="Calibri"/>
                <w:sz w:val="18"/>
                <w:szCs w:val="18"/>
              </w:rPr>
            </w:pPr>
            <w:r w:rsidRPr="001C1B9A">
              <w:rPr>
                <w:rFonts w:ascii="Calibri" w:hAnsi="Calibri"/>
                <w:sz w:val="18"/>
                <w:szCs w:val="18"/>
              </w:rPr>
              <w:t>Rapport narratif et fichiers de données</w:t>
            </w:r>
          </w:p>
        </w:tc>
      </w:tr>
      <w:tr w:rsidR="00787CCB" w:rsidRPr="001C1B9A" w14:paraId="1F6B40E6" w14:textId="77777777" w:rsidTr="00033262">
        <w:trPr>
          <w:trHeight w:val="559"/>
        </w:trPr>
        <w:tc>
          <w:tcPr>
            <w:tcW w:w="1267" w:type="dxa"/>
            <w:shd w:val="clear" w:color="auto" w:fill="FFFFFF"/>
            <w:vAlign w:val="center"/>
          </w:tcPr>
          <w:p w14:paraId="564D7DB7" w14:textId="77777777" w:rsidR="00787CCB" w:rsidRPr="001C1B9A" w:rsidRDefault="00787CCB" w:rsidP="00044B81">
            <w:pPr>
              <w:rPr>
                <w:rFonts w:ascii="Calibri" w:hAnsi="Calibri"/>
                <w:sz w:val="18"/>
                <w:szCs w:val="18"/>
              </w:rPr>
            </w:pPr>
            <w:r w:rsidRPr="001C1B9A">
              <w:rPr>
                <w:rFonts w:ascii="Calibri" w:hAnsi="Calibri"/>
                <w:sz w:val="18"/>
                <w:szCs w:val="18"/>
              </w:rPr>
              <w:t>Préfectoral</w:t>
            </w:r>
          </w:p>
        </w:tc>
        <w:tc>
          <w:tcPr>
            <w:tcW w:w="1355" w:type="dxa"/>
            <w:shd w:val="clear" w:color="auto" w:fill="FFFFFF"/>
            <w:vAlign w:val="center"/>
          </w:tcPr>
          <w:p w14:paraId="75DCC532" w14:textId="77777777" w:rsidR="00787CCB" w:rsidRPr="001C1B9A" w:rsidRDefault="00787CCB" w:rsidP="00044B81">
            <w:pPr>
              <w:rPr>
                <w:rFonts w:ascii="Calibri" w:hAnsi="Calibri"/>
                <w:sz w:val="18"/>
                <w:szCs w:val="18"/>
              </w:rPr>
            </w:pPr>
            <w:r w:rsidRPr="001C1B9A">
              <w:rPr>
                <w:rFonts w:ascii="Calibri" w:hAnsi="Calibri"/>
                <w:sz w:val="18"/>
                <w:szCs w:val="18"/>
              </w:rPr>
              <w:t>Rapport d’activités et de résultats</w:t>
            </w:r>
          </w:p>
        </w:tc>
        <w:tc>
          <w:tcPr>
            <w:tcW w:w="2018" w:type="dxa"/>
            <w:shd w:val="clear" w:color="auto" w:fill="FFFFFF"/>
            <w:vAlign w:val="center"/>
          </w:tcPr>
          <w:p w14:paraId="318608B3" w14:textId="77777777" w:rsidR="00787CCB" w:rsidRPr="001C1B9A" w:rsidRDefault="00787CCB" w:rsidP="00C34A61">
            <w:pPr>
              <w:numPr>
                <w:ilvl w:val="0"/>
                <w:numId w:val="17"/>
              </w:numPr>
              <w:tabs>
                <w:tab w:val="num" w:pos="360"/>
              </w:tabs>
              <w:ind w:left="252" w:hanging="252"/>
              <w:rPr>
                <w:rFonts w:ascii="Calibri" w:hAnsi="Calibri"/>
                <w:sz w:val="18"/>
                <w:szCs w:val="18"/>
              </w:rPr>
            </w:pPr>
            <w:r w:rsidRPr="001C1B9A">
              <w:rPr>
                <w:rFonts w:ascii="Calibri" w:hAnsi="Calibri"/>
                <w:sz w:val="18"/>
                <w:szCs w:val="18"/>
              </w:rPr>
              <w:t>Courrier physique</w:t>
            </w:r>
          </w:p>
          <w:p w14:paraId="01F7C658" w14:textId="77777777" w:rsidR="00787CCB" w:rsidRPr="001C1B9A" w:rsidRDefault="00787CCB" w:rsidP="00C34A61">
            <w:pPr>
              <w:numPr>
                <w:ilvl w:val="0"/>
                <w:numId w:val="17"/>
              </w:numPr>
              <w:tabs>
                <w:tab w:val="num" w:pos="360"/>
              </w:tabs>
              <w:ind w:left="252" w:hanging="252"/>
              <w:rPr>
                <w:rFonts w:ascii="Calibri" w:hAnsi="Calibri"/>
                <w:sz w:val="18"/>
                <w:szCs w:val="18"/>
              </w:rPr>
            </w:pPr>
            <w:r w:rsidRPr="001C1B9A">
              <w:rPr>
                <w:rFonts w:ascii="Calibri" w:hAnsi="Calibri"/>
                <w:sz w:val="18"/>
                <w:szCs w:val="18"/>
              </w:rPr>
              <w:t>Courrier électronique, si disponible</w:t>
            </w:r>
          </w:p>
          <w:p w14:paraId="7E08867A" w14:textId="1980C276" w:rsidR="00891515" w:rsidRPr="001C1B9A" w:rsidRDefault="00891515" w:rsidP="00C34A61">
            <w:pPr>
              <w:numPr>
                <w:ilvl w:val="0"/>
                <w:numId w:val="17"/>
              </w:numPr>
              <w:tabs>
                <w:tab w:val="num" w:pos="360"/>
              </w:tabs>
              <w:ind w:left="252" w:hanging="252"/>
              <w:rPr>
                <w:rFonts w:ascii="Calibri" w:hAnsi="Calibri"/>
                <w:sz w:val="18"/>
                <w:szCs w:val="18"/>
              </w:rPr>
            </w:pPr>
            <w:r w:rsidRPr="001C1B9A">
              <w:rPr>
                <w:rFonts w:ascii="Calibri" w:hAnsi="Calibri"/>
                <w:sz w:val="18"/>
                <w:szCs w:val="18"/>
              </w:rPr>
              <w:t>DHIS2, SIGL</w:t>
            </w:r>
          </w:p>
        </w:tc>
        <w:tc>
          <w:tcPr>
            <w:tcW w:w="1249" w:type="dxa"/>
            <w:shd w:val="clear" w:color="auto" w:fill="FFFFFF"/>
            <w:vAlign w:val="center"/>
          </w:tcPr>
          <w:p w14:paraId="281BF327" w14:textId="77777777" w:rsidR="00787CCB" w:rsidRPr="001C1B9A" w:rsidRDefault="00787CCB" w:rsidP="00044B81">
            <w:pPr>
              <w:rPr>
                <w:rFonts w:ascii="Calibri" w:hAnsi="Calibri"/>
                <w:sz w:val="18"/>
                <w:szCs w:val="18"/>
              </w:rPr>
            </w:pPr>
            <w:r w:rsidRPr="001C1B9A">
              <w:rPr>
                <w:rFonts w:ascii="Calibri" w:hAnsi="Calibri"/>
                <w:sz w:val="18"/>
                <w:szCs w:val="18"/>
              </w:rPr>
              <w:t>Mensuelle Trimestrielle</w:t>
            </w:r>
          </w:p>
        </w:tc>
        <w:tc>
          <w:tcPr>
            <w:tcW w:w="1483" w:type="dxa"/>
            <w:shd w:val="clear" w:color="auto" w:fill="FFFFFF"/>
          </w:tcPr>
          <w:p w14:paraId="534BEA52" w14:textId="77777777" w:rsidR="00787CCB" w:rsidRPr="001C1B9A" w:rsidRDefault="00787CCB" w:rsidP="00044B81">
            <w:pPr>
              <w:rPr>
                <w:rFonts w:ascii="Calibri" w:hAnsi="Calibri"/>
                <w:sz w:val="18"/>
                <w:szCs w:val="18"/>
              </w:rPr>
            </w:pPr>
            <w:r w:rsidRPr="001C1B9A">
              <w:rPr>
                <w:rFonts w:ascii="Calibri" w:hAnsi="Calibri"/>
                <w:sz w:val="18"/>
                <w:szCs w:val="18"/>
              </w:rPr>
              <w:t xml:space="preserve">15 jours après le trimestre </w:t>
            </w:r>
          </w:p>
        </w:tc>
        <w:tc>
          <w:tcPr>
            <w:tcW w:w="1911" w:type="dxa"/>
            <w:shd w:val="clear" w:color="auto" w:fill="FFFFFF"/>
            <w:vAlign w:val="center"/>
          </w:tcPr>
          <w:p w14:paraId="22692CC0" w14:textId="77777777" w:rsidR="00787CCB" w:rsidRPr="001C1B9A" w:rsidRDefault="00787CCB" w:rsidP="00044B81">
            <w:pPr>
              <w:rPr>
                <w:rFonts w:ascii="Calibri" w:hAnsi="Calibri"/>
                <w:sz w:val="18"/>
                <w:szCs w:val="18"/>
              </w:rPr>
            </w:pPr>
            <w:r w:rsidRPr="001C1B9A">
              <w:rPr>
                <w:rFonts w:ascii="Calibri" w:hAnsi="Calibri"/>
                <w:sz w:val="18"/>
                <w:szCs w:val="18"/>
              </w:rPr>
              <w:t>Rapport narratif +</w:t>
            </w:r>
          </w:p>
          <w:p w14:paraId="37E676E0" w14:textId="6AA957C8" w:rsidR="00787CCB" w:rsidRPr="001C1B9A" w:rsidRDefault="007A7C07" w:rsidP="00044B81">
            <w:pPr>
              <w:rPr>
                <w:rFonts w:ascii="Calibri" w:hAnsi="Calibri"/>
                <w:sz w:val="18"/>
                <w:szCs w:val="18"/>
              </w:rPr>
            </w:pPr>
            <w:r w:rsidRPr="001C1B9A">
              <w:rPr>
                <w:rFonts w:ascii="Calibri" w:hAnsi="Calibri"/>
                <w:sz w:val="18"/>
                <w:szCs w:val="18"/>
              </w:rPr>
              <w:t>Données</w:t>
            </w:r>
            <w:r w:rsidR="00787CCB" w:rsidRPr="001C1B9A">
              <w:rPr>
                <w:rFonts w:ascii="Calibri" w:hAnsi="Calibri"/>
                <w:sz w:val="18"/>
                <w:szCs w:val="18"/>
              </w:rPr>
              <w:t xml:space="preserve"> annexées </w:t>
            </w:r>
          </w:p>
        </w:tc>
      </w:tr>
      <w:tr w:rsidR="00787CCB" w:rsidRPr="001C1B9A" w14:paraId="4237641B" w14:textId="77777777" w:rsidTr="00033262">
        <w:trPr>
          <w:trHeight w:val="752"/>
        </w:trPr>
        <w:tc>
          <w:tcPr>
            <w:tcW w:w="1267" w:type="dxa"/>
            <w:shd w:val="clear" w:color="auto" w:fill="FFFFFF"/>
            <w:vAlign w:val="center"/>
          </w:tcPr>
          <w:p w14:paraId="70A58301" w14:textId="77777777" w:rsidR="00787CCB" w:rsidRPr="001C1B9A" w:rsidRDefault="00787CCB" w:rsidP="00044B81">
            <w:pPr>
              <w:rPr>
                <w:rFonts w:ascii="Calibri" w:hAnsi="Calibri"/>
                <w:sz w:val="18"/>
                <w:szCs w:val="18"/>
              </w:rPr>
            </w:pPr>
            <w:r w:rsidRPr="001C1B9A">
              <w:rPr>
                <w:rFonts w:ascii="Calibri" w:hAnsi="Calibri"/>
                <w:sz w:val="18"/>
                <w:szCs w:val="18"/>
              </w:rPr>
              <w:t>Sous-préfectoral</w:t>
            </w:r>
          </w:p>
        </w:tc>
        <w:tc>
          <w:tcPr>
            <w:tcW w:w="1355" w:type="dxa"/>
            <w:shd w:val="clear" w:color="auto" w:fill="FFFFFF"/>
            <w:vAlign w:val="center"/>
          </w:tcPr>
          <w:p w14:paraId="189FBA32" w14:textId="77777777" w:rsidR="00787CCB" w:rsidRPr="001C1B9A" w:rsidRDefault="00787CCB" w:rsidP="00044B81">
            <w:pPr>
              <w:rPr>
                <w:rFonts w:ascii="Calibri" w:hAnsi="Calibri"/>
                <w:sz w:val="18"/>
                <w:szCs w:val="18"/>
              </w:rPr>
            </w:pPr>
            <w:r w:rsidRPr="001C1B9A">
              <w:rPr>
                <w:rFonts w:ascii="Calibri" w:hAnsi="Calibri"/>
                <w:sz w:val="18"/>
                <w:szCs w:val="18"/>
              </w:rPr>
              <w:t>Rapport d’activités et de résultats</w:t>
            </w:r>
          </w:p>
        </w:tc>
        <w:tc>
          <w:tcPr>
            <w:tcW w:w="2018" w:type="dxa"/>
            <w:shd w:val="clear" w:color="auto" w:fill="FFFFFF"/>
            <w:vAlign w:val="center"/>
          </w:tcPr>
          <w:p w14:paraId="42B6DB51" w14:textId="77777777" w:rsidR="00787CCB" w:rsidRPr="001C1B9A" w:rsidRDefault="00787CCB" w:rsidP="00C34A61">
            <w:pPr>
              <w:numPr>
                <w:ilvl w:val="0"/>
                <w:numId w:val="17"/>
              </w:numPr>
              <w:tabs>
                <w:tab w:val="num" w:pos="360"/>
              </w:tabs>
              <w:ind w:left="252" w:hanging="252"/>
              <w:rPr>
                <w:rFonts w:ascii="Calibri" w:hAnsi="Calibri"/>
                <w:sz w:val="18"/>
                <w:szCs w:val="18"/>
              </w:rPr>
            </w:pPr>
            <w:r w:rsidRPr="001C1B9A">
              <w:rPr>
                <w:rFonts w:ascii="Calibri" w:hAnsi="Calibri"/>
                <w:sz w:val="18"/>
                <w:szCs w:val="18"/>
              </w:rPr>
              <w:t>Courrier physique</w:t>
            </w:r>
          </w:p>
          <w:p w14:paraId="7C089361" w14:textId="77777777" w:rsidR="00787CCB" w:rsidRPr="001C1B9A" w:rsidRDefault="00787CCB" w:rsidP="00C34A61">
            <w:pPr>
              <w:numPr>
                <w:ilvl w:val="0"/>
                <w:numId w:val="17"/>
              </w:numPr>
              <w:tabs>
                <w:tab w:val="num" w:pos="360"/>
              </w:tabs>
              <w:ind w:left="252" w:hanging="252"/>
              <w:rPr>
                <w:rFonts w:ascii="Calibri" w:hAnsi="Calibri"/>
                <w:sz w:val="18"/>
                <w:szCs w:val="18"/>
              </w:rPr>
            </w:pPr>
            <w:r w:rsidRPr="001C1B9A">
              <w:rPr>
                <w:rFonts w:ascii="Calibri" w:hAnsi="Calibri"/>
                <w:sz w:val="18"/>
                <w:szCs w:val="18"/>
              </w:rPr>
              <w:t>Courrier électronique, si disponible</w:t>
            </w:r>
          </w:p>
        </w:tc>
        <w:tc>
          <w:tcPr>
            <w:tcW w:w="1249" w:type="dxa"/>
            <w:shd w:val="clear" w:color="auto" w:fill="FFFFFF"/>
            <w:vAlign w:val="center"/>
          </w:tcPr>
          <w:p w14:paraId="700AF216" w14:textId="77777777" w:rsidR="00787CCB" w:rsidRPr="001C1B9A" w:rsidRDefault="00787CCB" w:rsidP="00044B81">
            <w:pPr>
              <w:rPr>
                <w:rFonts w:ascii="Calibri" w:hAnsi="Calibri"/>
                <w:sz w:val="18"/>
                <w:szCs w:val="18"/>
              </w:rPr>
            </w:pPr>
            <w:r w:rsidRPr="001C1B9A">
              <w:rPr>
                <w:rFonts w:ascii="Calibri" w:hAnsi="Calibri"/>
                <w:sz w:val="18"/>
                <w:szCs w:val="18"/>
              </w:rPr>
              <w:t>Mensuelle</w:t>
            </w:r>
          </w:p>
        </w:tc>
        <w:tc>
          <w:tcPr>
            <w:tcW w:w="1483" w:type="dxa"/>
            <w:shd w:val="clear" w:color="auto" w:fill="FFFFFF"/>
          </w:tcPr>
          <w:p w14:paraId="6EF62DF3" w14:textId="77777777" w:rsidR="00787CCB" w:rsidRPr="001C1B9A" w:rsidRDefault="00787CCB" w:rsidP="00044B81">
            <w:pPr>
              <w:rPr>
                <w:rFonts w:ascii="Calibri" w:hAnsi="Calibri"/>
                <w:sz w:val="18"/>
                <w:szCs w:val="18"/>
                <w:u w:val="single"/>
              </w:rPr>
            </w:pPr>
            <w:r w:rsidRPr="001C1B9A">
              <w:rPr>
                <w:rFonts w:ascii="Calibri" w:hAnsi="Calibri"/>
                <w:sz w:val="18"/>
                <w:szCs w:val="18"/>
              </w:rPr>
              <w:t>5 jours après le mois</w:t>
            </w:r>
          </w:p>
        </w:tc>
        <w:tc>
          <w:tcPr>
            <w:tcW w:w="1911" w:type="dxa"/>
            <w:shd w:val="clear" w:color="auto" w:fill="FFFFFF"/>
            <w:vAlign w:val="center"/>
          </w:tcPr>
          <w:p w14:paraId="754DBC22" w14:textId="77777777" w:rsidR="00787CCB" w:rsidRPr="001C1B9A" w:rsidRDefault="00787CCB" w:rsidP="00044B81">
            <w:pPr>
              <w:rPr>
                <w:rFonts w:ascii="Calibri" w:hAnsi="Calibri"/>
                <w:sz w:val="18"/>
                <w:szCs w:val="18"/>
              </w:rPr>
            </w:pPr>
            <w:r w:rsidRPr="001C1B9A">
              <w:rPr>
                <w:rFonts w:ascii="Calibri" w:hAnsi="Calibri"/>
                <w:sz w:val="18"/>
                <w:szCs w:val="18"/>
                <w:u w:val="single"/>
              </w:rPr>
              <w:t>Contenu</w:t>
            </w:r>
            <w:r w:rsidRPr="001C1B9A">
              <w:rPr>
                <w:rFonts w:ascii="Calibri" w:hAnsi="Calibri"/>
                <w:sz w:val="18"/>
                <w:szCs w:val="18"/>
              </w:rPr>
              <w:t xml:space="preserve"> : données transcrites dans les outils de rapportage </w:t>
            </w:r>
          </w:p>
        </w:tc>
      </w:tr>
    </w:tbl>
    <w:p w14:paraId="76651AF0" w14:textId="01851816" w:rsidR="00787CCB" w:rsidRPr="005B52BA" w:rsidRDefault="00787CCB" w:rsidP="003D5D20">
      <w:pPr>
        <w:pStyle w:val="Titre2"/>
        <w:ind w:left="0" w:firstLine="0"/>
        <w:rPr>
          <w:rFonts w:ascii="Calibri" w:hAnsi="Calibri"/>
          <w:szCs w:val="24"/>
        </w:rPr>
      </w:pPr>
    </w:p>
    <w:p w14:paraId="1FC75E61" w14:textId="3E618F98" w:rsidR="00787CCB" w:rsidRPr="003D5D20" w:rsidRDefault="00787CCB" w:rsidP="003D5D20">
      <w:pPr>
        <w:pStyle w:val="Titre2"/>
        <w:numPr>
          <w:ilvl w:val="1"/>
          <w:numId w:val="6"/>
        </w:numPr>
        <w:spacing w:after="0"/>
        <w:ind w:left="425" w:hanging="425"/>
        <w:rPr>
          <w:rFonts w:ascii="Calibri" w:hAnsi="Calibri"/>
          <w:color w:val="2F5496" w:themeColor="accent5" w:themeShade="BF"/>
          <w:szCs w:val="24"/>
        </w:rPr>
      </w:pPr>
      <w:bookmarkStart w:id="117" w:name="_Toc520983536"/>
      <w:r w:rsidRPr="003D5D20">
        <w:rPr>
          <w:rFonts w:ascii="Calibri" w:hAnsi="Calibri"/>
          <w:color w:val="2F5496" w:themeColor="accent5" w:themeShade="BF"/>
          <w:szCs w:val="24"/>
        </w:rPr>
        <w:t>Données d’enquêtes</w:t>
      </w:r>
      <w:r w:rsidR="004475AD" w:rsidRPr="003D5D20">
        <w:rPr>
          <w:rFonts w:ascii="Calibri" w:hAnsi="Calibri"/>
          <w:color w:val="2F5496" w:themeColor="accent5" w:themeShade="BF"/>
          <w:szCs w:val="24"/>
        </w:rPr>
        <w:t xml:space="preserve"> et de recherches</w:t>
      </w:r>
      <w:bookmarkEnd w:id="117"/>
    </w:p>
    <w:p w14:paraId="145DE775" w14:textId="77777777" w:rsidR="00DA0F0F" w:rsidRDefault="00DA0F0F" w:rsidP="00787CCB">
      <w:pPr>
        <w:jc w:val="both"/>
        <w:rPr>
          <w:rFonts w:ascii="Calibri" w:hAnsi="Calibri"/>
          <w:lang w:val="fr-CH"/>
        </w:rPr>
      </w:pPr>
    </w:p>
    <w:p w14:paraId="3E7C6603" w14:textId="3B036636" w:rsidR="00787CCB" w:rsidRPr="005B52BA" w:rsidRDefault="00787CCB" w:rsidP="00891515">
      <w:pPr>
        <w:jc w:val="both"/>
        <w:rPr>
          <w:rFonts w:ascii="Calibri" w:hAnsi="Calibri"/>
        </w:rPr>
      </w:pPr>
      <w:r w:rsidRPr="005B52BA">
        <w:rPr>
          <w:rFonts w:ascii="Calibri" w:hAnsi="Calibri"/>
        </w:rPr>
        <w:t>La qualité des enquêtes eff</w:t>
      </w:r>
      <w:r w:rsidR="00891515">
        <w:rPr>
          <w:rFonts w:ascii="Calibri" w:hAnsi="Calibri"/>
        </w:rPr>
        <w:t>ectuées dans le cadre du Suivi é</w:t>
      </w:r>
      <w:r w:rsidRPr="005B52BA">
        <w:rPr>
          <w:rFonts w:ascii="Calibri" w:hAnsi="Calibri"/>
        </w:rPr>
        <w:t xml:space="preserve">valuation du CSN est prise en compte avant même la réalisation de ces enquêtes. La CMT-SE se réunit pour évaluer la qualité des protocoles développés pour ces études et est en mesure de demander des modifications ou des amendements en cas de nécessité. </w:t>
      </w:r>
    </w:p>
    <w:p w14:paraId="45625276" w14:textId="77777777" w:rsidR="00787CCB" w:rsidRPr="005B52BA" w:rsidRDefault="00787CCB" w:rsidP="00787CCB">
      <w:pPr>
        <w:jc w:val="both"/>
        <w:rPr>
          <w:rFonts w:ascii="Calibri" w:hAnsi="Calibri"/>
        </w:rPr>
      </w:pPr>
    </w:p>
    <w:p w14:paraId="68025CBF" w14:textId="77777777" w:rsidR="00787CCB" w:rsidRPr="005B52BA" w:rsidRDefault="00787CCB" w:rsidP="00787CCB">
      <w:pPr>
        <w:jc w:val="both"/>
        <w:rPr>
          <w:rFonts w:ascii="Calibri" w:hAnsi="Calibri"/>
        </w:rPr>
      </w:pPr>
      <w:r w:rsidRPr="005B52BA">
        <w:rPr>
          <w:rFonts w:ascii="Calibri" w:hAnsi="Calibri"/>
        </w:rPr>
        <w:t>Au cours de l’étude, un membre du DPSER du SE/CNLS fait partie du comité de pilotage de l’étude et suit l’avancée des travaux. Il contrôle la qualité des outils de collecte de données et évalue régulièrement leur qualité.</w:t>
      </w:r>
    </w:p>
    <w:p w14:paraId="3DACEA19" w14:textId="77777777" w:rsidR="00787CCB" w:rsidRPr="005B52BA" w:rsidRDefault="00787CCB" w:rsidP="00787CCB">
      <w:pPr>
        <w:jc w:val="both"/>
        <w:rPr>
          <w:rFonts w:ascii="Calibri" w:hAnsi="Calibri"/>
        </w:rPr>
      </w:pPr>
    </w:p>
    <w:p w14:paraId="2D9D8B56" w14:textId="77777777" w:rsidR="00787CCB" w:rsidRPr="005B52BA" w:rsidRDefault="00787CCB" w:rsidP="00787CCB">
      <w:pPr>
        <w:jc w:val="both"/>
        <w:rPr>
          <w:rFonts w:ascii="Calibri" w:hAnsi="Calibri"/>
        </w:rPr>
      </w:pPr>
      <w:r w:rsidRPr="005B52BA">
        <w:rPr>
          <w:rFonts w:ascii="Calibri" w:hAnsi="Calibri"/>
        </w:rPr>
        <w:t>A l’issue de l’étude, la CMT-SE se réunit pour évaluer la qualité des données collectées et valider les résultats de l’étude. Toutes les données des études financées par ou à travers le SE/CNLS sont la propriété du SE/CNLS qui en assure l’archivage. Une évaluation de leur qualité est effectuée et une seconde estimation de certains éléments de l’étude est faite, pour vérifier la qualité de l’analyse des données.</w:t>
      </w:r>
    </w:p>
    <w:p w14:paraId="3A2D2243" w14:textId="63F72010" w:rsidR="00787CCB" w:rsidRDefault="00787CCB" w:rsidP="00C64BCC">
      <w:pPr>
        <w:pStyle w:val="TM2"/>
      </w:pPr>
    </w:p>
    <w:p w14:paraId="07AE21EC" w14:textId="721FD067" w:rsidR="00033262" w:rsidRPr="001C4070" w:rsidRDefault="00033262" w:rsidP="001C4070">
      <w:pPr>
        <w:pStyle w:val="tab"/>
        <w:rPr>
          <w:sz w:val="22"/>
        </w:rPr>
      </w:pPr>
      <w:bookmarkStart w:id="118" w:name="_Toc521064266"/>
      <w:r w:rsidRPr="00240456">
        <w:rPr>
          <w:b/>
          <w:sz w:val="22"/>
          <w:u w:val="single"/>
        </w:rPr>
        <w:t xml:space="preserve">Tableau </w:t>
      </w:r>
      <w:r w:rsidR="00240456" w:rsidRPr="00240456">
        <w:rPr>
          <w:b/>
          <w:sz w:val="22"/>
          <w:u w:val="single"/>
        </w:rPr>
        <w:t>10</w:t>
      </w:r>
      <w:r w:rsidRPr="00240456">
        <w:rPr>
          <w:b/>
          <w:sz w:val="22"/>
        </w:rPr>
        <w:t> </w:t>
      </w:r>
      <w:r w:rsidRPr="001C4070">
        <w:rPr>
          <w:sz w:val="22"/>
        </w:rPr>
        <w:t>: Liste des priorités nationales en matière d’étude et de recherche</w:t>
      </w:r>
      <w:bookmarkEnd w:id="118"/>
    </w:p>
    <w:p w14:paraId="1A9600EC" w14:textId="77777777" w:rsidR="00033262" w:rsidRPr="00033262" w:rsidRDefault="00033262" w:rsidP="00033262"/>
    <w:tbl>
      <w:tblPr>
        <w:tblStyle w:val="Grilledutableau"/>
        <w:tblW w:w="0" w:type="auto"/>
        <w:tblInd w:w="108" w:type="dxa"/>
        <w:tblLook w:val="04A0" w:firstRow="1" w:lastRow="0" w:firstColumn="1" w:lastColumn="0" w:noHBand="0" w:noVBand="1"/>
      </w:tblPr>
      <w:tblGrid>
        <w:gridCol w:w="1794"/>
        <w:gridCol w:w="7586"/>
      </w:tblGrid>
      <w:tr w:rsidR="00033262" w:rsidRPr="00DC6D3E" w14:paraId="78DE5BF6" w14:textId="77777777" w:rsidTr="001C1B9A">
        <w:tc>
          <w:tcPr>
            <w:tcW w:w="1807" w:type="dxa"/>
            <w:shd w:val="clear" w:color="auto" w:fill="FFC000"/>
          </w:tcPr>
          <w:p w14:paraId="3F4639E2" w14:textId="77777777" w:rsidR="00033262" w:rsidRPr="00DC6D3E" w:rsidRDefault="00033262" w:rsidP="001C1B9A">
            <w:pPr>
              <w:rPr>
                <w:rFonts w:asciiTheme="minorHAnsi" w:hAnsiTheme="minorHAnsi"/>
                <w:b/>
                <w:sz w:val="20"/>
                <w:szCs w:val="20"/>
              </w:rPr>
            </w:pPr>
            <w:r w:rsidRPr="00DC6D3E">
              <w:rPr>
                <w:rFonts w:asciiTheme="minorHAnsi" w:hAnsiTheme="minorHAnsi"/>
                <w:b/>
                <w:sz w:val="20"/>
                <w:szCs w:val="20"/>
              </w:rPr>
              <w:t xml:space="preserve">Domaines </w:t>
            </w:r>
          </w:p>
        </w:tc>
        <w:tc>
          <w:tcPr>
            <w:tcW w:w="8224" w:type="dxa"/>
            <w:shd w:val="clear" w:color="auto" w:fill="FFC000"/>
          </w:tcPr>
          <w:p w14:paraId="042775C9" w14:textId="77777777" w:rsidR="00033262" w:rsidRPr="00DC6D3E" w:rsidRDefault="00033262" w:rsidP="001C1B9A">
            <w:pPr>
              <w:rPr>
                <w:rFonts w:asciiTheme="minorHAnsi" w:hAnsiTheme="minorHAnsi"/>
                <w:b/>
                <w:sz w:val="20"/>
                <w:szCs w:val="20"/>
              </w:rPr>
            </w:pPr>
            <w:r w:rsidRPr="00DC6D3E">
              <w:rPr>
                <w:rFonts w:asciiTheme="minorHAnsi" w:hAnsiTheme="minorHAnsi"/>
                <w:b/>
                <w:sz w:val="20"/>
                <w:szCs w:val="20"/>
              </w:rPr>
              <w:t xml:space="preserve">Thématiques </w:t>
            </w:r>
          </w:p>
        </w:tc>
      </w:tr>
      <w:tr w:rsidR="00033262" w:rsidRPr="00DC6D3E" w14:paraId="5231FB7D" w14:textId="77777777" w:rsidTr="001C1B9A">
        <w:tc>
          <w:tcPr>
            <w:tcW w:w="1807" w:type="dxa"/>
            <w:shd w:val="clear" w:color="auto" w:fill="F2F2F2" w:themeFill="background1" w:themeFillShade="F2"/>
          </w:tcPr>
          <w:p w14:paraId="057AD233" w14:textId="791AF4C3" w:rsidR="00033262" w:rsidRPr="00DC6D3E" w:rsidRDefault="00033262" w:rsidP="001C1B9A">
            <w:pPr>
              <w:rPr>
                <w:rFonts w:asciiTheme="minorHAnsi" w:hAnsiTheme="minorHAnsi"/>
                <w:sz w:val="20"/>
                <w:szCs w:val="20"/>
              </w:rPr>
            </w:pPr>
            <w:r w:rsidRPr="00DC6D3E">
              <w:rPr>
                <w:rFonts w:asciiTheme="minorHAnsi" w:hAnsiTheme="minorHAnsi"/>
                <w:sz w:val="20"/>
                <w:szCs w:val="20"/>
              </w:rPr>
              <w:t>Socio-psychologique</w:t>
            </w:r>
            <w:r w:rsidR="00DC6D3E" w:rsidRPr="00DC6D3E">
              <w:rPr>
                <w:rFonts w:asciiTheme="minorHAnsi" w:hAnsiTheme="minorHAnsi"/>
                <w:sz w:val="20"/>
                <w:szCs w:val="20"/>
              </w:rPr>
              <w:t xml:space="preserve"> et comportementale</w:t>
            </w:r>
          </w:p>
        </w:tc>
        <w:tc>
          <w:tcPr>
            <w:tcW w:w="8224" w:type="dxa"/>
          </w:tcPr>
          <w:p w14:paraId="08BAD517" w14:textId="77777777" w:rsidR="00033262"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Enquête sur la qualité de vie des PVVIH et familles et la satisfaction des usagers des services de soins VIH</w:t>
            </w:r>
          </w:p>
          <w:p w14:paraId="255E97B7" w14:textId="77777777"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Étude sur les déterminants de l'utilisation du préservatif masculin et féminin</w:t>
            </w:r>
          </w:p>
          <w:p w14:paraId="789691D4" w14:textId="77777777"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Enquête nationale d'évaluation de l’enseignement du VIH en milieu scolaire</w:t>
            </w:r>
          </w:p>
          <w:p w14:paraId="7B445DE4" w14:textId="77777777"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Étude qualitative sur la faible participation des conjoints aux interventions PTME</w:t>
            </w:r>
          </w:p>
          <w:p w14:paraId="1E3BF2E8" w14:textId="77777777"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Étude qualitative sur les contraintes du dépistage familial du VIH proposé à Conakry</w:t>
            </w:r>
          </w:p>
          <w:p w14:paraId="2E10A85C" w14:textId="77777777"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Étude sur la discrimination et la stigmatisation contre les PVVIH en Guinée – Considérations éthiques et juridiques</w:t>
            </w:r>
          </w:p>
          <w:p w14:paraId="2C8DACFC" w14:textId="50178B0B"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Évaluation du taux d'utilisation des méthodes contraceptives chez les Femmes VIH+</w:t>
            </w:r>
          </w:p>
        </w:tc>
      </w:tr>
      <w:tr w:rsidR="00033262" w:rsidRPr="00DC6D3E" w14:paraId="266F80CA" w14:textId="77777777" w:rsidTr="001C1B9A">
        <w:tc>
          <w:tcPr>
            <w:tcW w:w="1807" w:type="dxa"/>
            <w:shd w:val="clear" w:color="auto" w:fill="F2F2F2" w:themeFill="background1" w:themeFillShade="F2"/>
          </w:tcPr>
          <w:p w14:paraId="6289D03C" w14:textId="77777777" w:rsidR="00033262" w:rsidRPr="00DC6D3E" w:rsidRDefault="00033262" w:rsidP="001C1B9A">
            <w:pPr>
              <w:rPr>
                <w:rFonts w:asciiTheme="minorHAnsi" w:hAnsiTheme="minorHAnsi"/>
                <w:sz w:val="20"/>
                <w:szCs w:val="20"/>
              </w:rPr>
            </w:pPr>
            <w:r w:rsidRPr="00DC6D3E">
              <w:rPr>
                <w:rFonts w:asciiTheme="minorHAnsi" w:hAnsiTheme="minorHAnsi"/>
                <w:sz w:val="20"/>
                <w:szCs w:val="20"/>
              </w:rPr>
              <w:t xml:space="preserve">Biomédical </w:t>
            </w:r>
          </w:p>
        </w:tc>
        <w:tc>
          <w:tcPr>
            <w:tcW w:w="8224" w:type="dxa"/>
          </w:tcPr>
          <w:p w14:paraId="4D49E1FD" w14:textId="06FCD4FE" w:rsidR="00033262"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Étude sur l’ampleur et les facteurs associés aux cas d’accident d'exposition de sang AES) dans les formations sanitaires publiques et privées</w:t>
            </w:r>
          </w:p>
        </w:tc>
      </w:tr>
      <w:tr w:rsidR="00DC6D3E" w:rsidRPr="00DC6D3E" w14:paraId="05BFB52E" w14:textId="77777777" w:rsidTr="001C1B9A">
        <w:tc>
          <w:tcPr>
            <w:tcW w:w="1807" w:type="dxa"/>
            <w:shd w:val="clear" w:color="auto" w:fill="F2F2F2" w:themeFill="background1" w:themeFillShade="F2"/>
          </w:tcPr>
          <w:p w14:paraId="401E1209" w14:textId="1396C051" w:rsidR="00DC6D3E" w:rsidRPr="00DC6D3E" w:rsidRDefault="00DC6D3E" w:rsidP="001C1B9A">
            <w:pPr>
              <w:rPr>
                <w:rFonts w:asciiTheme="minorHAnsi" w:hAnsiTheme="minorHAnsi"/>
                <w:sz w:val="20"/>
                <w:szCs w:val="20"/>
              </w:rPr>
            </w:pPr>
            <w:r w:rsidRPr="00DC6D3E">
              <w:rPr>
                <w:rFonts w:asciiTheme="minorHAnsi" w:hAnsiTheme="minorHAnsi"/>
                <w:sz w:val="20"/>
                <w:szCs w:val="20"/>
              </w:rPr>
              <w:t>Prise en charge et prévention</w:t>
            </w:r>
          </w:p>
        </w:tc>
        <w:tc>
          <w:tcPr>
            <w:tcW w:w="8224" w:type="dxa"/>
          </w:tcPr>
          <w:p w14:paraId="6CAE2972" w14:textId="77777777"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Étude nationale sur le Profil de résistance primaire et secondaire aux ARV chez les PVVIH</w:t>
            </w:r>
          </w:p>
          <w:p w14:paraId="4E48FE8F" w14:textId="77777777"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Étude de survie à 12, 24, 36 et 48 mois des personnes sous TARV</w:t>
            </w:r>
          </w:p>
          <w:p w14:paraId="43C2D973" w14:textId="77777777"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Étude sur la résistance et l'observance au traitement antirétroviral, séroprévalence des Hépatites B&amp;C chez des patient infectés par le VIH1 suivi dans les sites de prise en charge du VIH</w:t>
            </w:r>
          </w:p>
          <w:p w14:paraId="5CA6CAD2" w14:textId="30D2BFCC"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Réaliser une étude sur la problématique des cas de perdus de vue dans les sites PEC et PTME</w:t>
            </w:r>
          </w:p>
        </w:tc>
      </w:tr>
      <w:tr w:rsidR="00033262" w:rsidRPr="00DC6D3E" w14:paraId="17D3EF09" w14:textId="77777777" w:rsidTr="001C1B9A">
        <w:trPr>
          <w:trHeight w:val="488"/>
        </w:trPr>
        <w:tc>
          <w:tcPr>
            <w:tcW w:w="1807" w:type="dxa"/>
            <w:shd w:val="clear" w:color="auto" w:fill="F2F2F2" w:themeFill="background1" w:themeFillShade="F2"/>
          </w:tcPr>
          <w:p w14:paraId="1EAC8752" w14:textId="7B6D929A" w:rsidR="00033262" w:rsidRPr="00DC6D3E" w:rsidRDefault="00033262" w:rsidP="001C1B9A">
            <w:pPr>
              <w:rPr>
                <w:rFonts w:asciiTheme="minorHAnsi" w:hAnsiTheme="minorHAnsi"/>
                <w:sz w:val="20"/>
                <w:szCs w:val="20"/>
              </w:rPr>
            </w:pPr>
            <w:r w:rsidRPr="00DC6D3E">
              <w:rPr>
                <w:rFonts w:asciiTheme="minorHAnsi" w:hAnsiTheme="minorHAnsi"/>
                <w:sz w:val="20"/>
                <w:szCs w:val="20"/>
              </w:rPr>
              <w:t xml:space="preserve">Épidémiologique </w:t>
            </w:r>
          </w:p>
        </w:tc>
        <w:tc>
          <w:tcPr>
            <w:tcW w:w="8224" w:type="dxa"/>
          </w:tcPr>
          <w:p w14:paraId="20DCAC22" w14:textId="77777777" w:rsidR="00033262"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Enquête nationale de surveillance comportementale et biologique (ESCOMB) auprès des groupes de population à plus à risque de l'infection par le VIH en 2020</w:t>
            </w:r>
          </w:p>
          <w:p w14:paraId="0451C53F" w14:textId="77777777"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Étude sur la cascade CDV, PEC (Adultes et enfants) et PTME</w:t>
            </w:r>
          </w:p>
          <w:p w14:paraId="5BB3B281" w14:textId="5008ABFF" w:rsidR="00DC6D3E"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Enquêtes nationales de surveillance sentinelle auprès de femmes enceintes</w:t>
            </w:r>
          </w:p>
        </w:tc>
      </w:tr>
      <w:tr w:rsidR="00033262" w:rsidRPr="00DC6D3E" w14:paraId="5833599D" w14:textId="77777777" w:rsidTr="006C10BF">
        <w:trPr>
          <w:trHeight w:val="206"/>
        </w:trPr>
        <w:tc>
          <w:tcPr>
            <w:tcW w:w="1807" w:type="dxa"/>
            <w:shd w:val="clear" w:color="auto" w:fill="F2F2F2" w:themeFill="background1" w:themeFillShade="F2"/>
          </w:tcPr>
          <w:p w14:paraId="3885DC86" w14:textId="77777777" w:rsidR="00033262" w:rsidRPr="00DC6D3E" w:rsidRDefault="00033262" w:rsidP="001C1B9A">
            <w:pPr>
              <w:rPr>
                <w:rFonts w:asciiTheme="minorHAnsi" w:hAnsiTheme="minorHAnsi"/>
                <w:sz w:val="20"/>
                <w:szCs w:val="20"/>
              </w:rPr>
            </w:pPr>
            <w:r w:rsidRPr="00DC6D3E">
              <w:rPr>
                <w:rFonts w:asciiTheme="minorHAnsi" w:hAnsiTheme="minorHAnsi"/>
                <w:sz w:val="20"/>
                <w:szCs w:val="20"/>
              </w:rPr>
              <w:t xml:space="preserve">Socioéconomique </w:t>
            </w:r>
          </w:p>
        </w:tc>
        <w:tc>
          <w:tcPr>
            <w:tcW w:w="8224" w:type="dxa"/>
          </w:tcPr>
          <w:p w14:paraId="31CE738B" w14:textId="79FC07D1" w:rsidR="00033262" w:rsidRPr="00DC6D3E" w:rsidRDefault="00DC6D3E" w:rsidP="00033262">
            <w:pPr>
              <w:pStyle w:val="Paragraphedeliste"/>
              <w:numPr>
                <w:ilvl w:val="0"/>
                <w:numId w:val="38"/>
              </w:numPr>
              <w:rPr>
                <w:rFonts w:asciiTheme="minorHAnsi" w:hAnsiTheme="minorHAnsi"/>
                <w:sz w:val="20"/>
                <w:szCs w:val="20"/>
              </w:rPr>
            </w:pPr>
            <w:r w:rsidRPr="00DC6D3E">
              <w:rPr>
                <w:rFonts w:asciiTheme="minorHAnsi" w:hAnsiTheme="minorHAnsi"/>
                <w:color w:val="000000"/>
                <w:sz w:val="20"/>
                <w:szCs w:val="20"/>
              </w:rPr>
              <w:t>Études sur le coût-efficacité de la prise en charge des PVVIH</w:t>
            </w:r>
          </w:p>
        </w:tc>
      </w:tr>
      <w:tr w:rsidR="00033262" w:rsidRPr="00DC6D3E" w14:paraId="34B73078" w14:textId="77777777" w:rsidTr="001C1B9A">
        <w:trPr>
          <w:trHeight w:val="488"/>
        </w:trPr>
        <w:tc>
          <w:tcPr>
            <w:tcW w:w="1807" w:type="dxa"/>
            <w:shd w:val="clear" w:color="auto" w:fill="F2F2F2" w:themeFill="background1" w:themeFillShade="F2"/>
          </w:tcPr>
          <w:p w14:paraId="4501BCC5" w14:textId="77777777" w:rsidR="00033262" w:rsidRPr="00DC6D3E" w:rsidRDefault="00033262" w:rsidP="001C1B9A">
            <w:pPr>
              <w:rPr>
                <w:rFonts w:asciiTheme="minorHAnsi" w:hAnsiTheme="minorHAnsi"/>
                <w:sz w:val="20"/>
                <w:szCs w:val="20"/>
              </w:rPr>
            </w:pPr>
            <w:r w:rsidRPr="00DC6D3E">
              <w:rPr>
                <w:rFonts w:asciiTheme="minorHAnsi" w:hAnsiTheme="minorHAnsi"/>
                <w:sz w:val="20"/>
                <w:szCs w:val="20"/>
              </w:rPr>
              <w:t xml:space="preserve">Gestion </w:t>
            </w:r>
          </w:p>
        </w:tc>
        <w:tc>
          <w:tcPr>
            <w:tcW w:w="8224" w:type="dxa"/>
          </w:tcPr>
          <w:p w14:paraId="1C599BB5" w14:textId="040FD351" w:rsidR="00033262" w:rsidRPr="00DC6D3E" w:rsidRDefault="00DC6D3E" w:rsidP="00DC6D3E">
            <w:pPr>
              <w:pStyle w:val="Paragraphedeliste"/>
              <w:numPr>
                <w:ilvl w:val="0"/>
                <w:numId w:val="38"/>
              </w:numPr>
              <w:rPr>
                <w:rFonts w:asciiTheme="minorHAnsi" w:hAnsiTheme="minorHAnsi"/>
                <w:sz w:val="20"/>
                <w:szCs w:val="20"/>
              </w:rPr>
            </w:pPr>
            <w:r w:rsidRPr="00DC6D3E">
              <w:rPr>
                <w:rFonts w:asciiTheme="minorHAnsi" w:hAnsiTheme="minorHAnsi"/>
                <w:sz w:val="20"/>
                <w:szCs w:val="20"/>
              </w:rPr>
              <w:t>Étude d'estimation des Ressources et Dépenses Nationales de la lutte contre les IST/VIH/Sida (REDES)</w:t>
            </w:r>
          </w:p>
        </w:tc>
      </w:tr>
    </w:tbl>
    <w:p w14:paraId="28888C4A" w14:textId="59332DE5" w:rsidR="001C1B9A" w:rsidRPr="00033262" w:rsidRDefault="001C1B9A" w:rsidP="00033262"/>
    <w:p w14:paraId="70883496" w14:textId="77777777" w:rsidR="00787CCB" w:rsidRPr="005A0CA9" w:rsidRDefault="00787CCB" w:rsidP="00C64BCC">
      <w:pPr>
        <w:pStyle w:val="Titre2"/>
        <w:numPr>
          <w:ilvl w:val="1"/>
          <w:numId w:val="6"/>
        </w:numPr>
        <w:spacing w:after="0"/>
        <w:ind w:left="425" w:hanging="425"/>
        <w:rPr>
          <w:rStyle w:val="Lienhypertexte"/>
          <w:rFonts w:ascii="Calibri" w:eastAsiaTheme="majorEastAsia" w:hAnsi="Calibri"/>
          <w:color w:val="2F5496" w:themeColor="accent5" w:themeShade="BF"/>
          <w:szCs w:val="24"/>
        </w:rPr>
      </w:pPr>
      <w:bookmarkStart w:id="119" w:name="_Toc370812807"/>
      <w:bookmarkStart w:id="120" w:name="_Toc500335881"/>
      <w:bookmarkStart w:id="121" w:name="_Toc500520941"/>
      <w:bookmarkStart w:id="122" w:name="_Toc520983537"/>
      <w:r w:rsidRPr="005A0CA9">
        <w:rPr>
          <w:rFonts w:ascii="Calibri" w:eastAsiaTheme="majorEastAsia" w:hAnsi="Calibri"/>
          <w:color w:val="2F5496" w:themeColor="accent5" w:themeShade="BF"/>
          <w:szCs w:val="24"/>
        </w:rPr>
        <w:t>Cadre de performance du CSN 2018-</w:t>
      </w:r>
      <w:bookmarkEnd w:id="119"/>
      <w:r w:rsidRPr="005A0CA9">
        <w:rPr>
          <w:rFonts w:ascii="Calibri" w:eastAsiaTheme="majorEastAsia" w:hAnsi="Calibri"/>
          <w:color w:val="2F5496" w:themeColor="accent5" w:themeShade="BF"/>
          <w:szCs w:val="24"/>
        </w:rPr>
        <w:t>2022</w:t>
      </w:r>
      <w:bookmarkEnd w:id="120"/>
      <w:bookmarkEnd w:id="121"/>
      <w:bookmarkEnd w:id="122"/>
    </w:p>
    <w:p w14:paraId="34564CF0" w14:textId="77777777" w:rsidR="00787CCB" w:rsidRDefault="00787CCB" w:rsidP="00C64BCC">
      <w:pPr>
        <w:pStyle w:val="Titre3"/>
        <w:spacing w:after="0"/>
        <w:jc w:val="both"/>
        <w:rPr>
          <w:rFonts w:ascii="Calibri" w:eastAsia="Calibri" w:hAnsi="Calibri"/>
          <w:b w:val="0"/>
          <w:bCs w:val="0"/>
          <w:lang w:eastAsia="en-US"/>
        </w:rPr>
      </w:pPr>
      <w:bookmarkStart w:id="123" w:name="_Toc370812808"/>
    </w:p>
    <w:p w14:paraId="6DD26322" w14:textId="77BE61B2" w:rsidR="00787CCB" w:rsidRPr="007774C3" w:rsidRDefault="00787CCB" w:rsidP="00787CCB">
      <w:pPr>
        <w:jc w:val="both"/>
        <w:rPr>
          <w:rFonts w:ascii="Calibri" w:eastAsia="Calibri" w:hAnsi="Calibri"/>
          <w:lang w:eastAsia="en-US"/>
        </w:rPr>
      </w:pPr>
      <w:r w:rsidRPr="007774C3">
        <w:rPr>
          <w:rFonts w:ascii="Calibri" w:eastAsia="Calibri" w:hAnsi="Calibri"/>
          <w:lang w:eastAsia="en-US"/>
        </w:rPr>
        <w:t>La mesure de la performance (</w:t>
      </w:r>
      <w:proofErr w:type="spellStart"/>
      <w:r w:rsidRPr="007774C3">
        <w:rPr>
          <w:rFonts w:ascii="Calibri" w:eastAsia="Calibri" w:hAnsi="Calibri"/>
          <w:lang w:eastAsia="en-US"/>
        </w:rPr>
        <w:t>cf</w:t>
      </w:r>
      <w:proofErr w:type="spellEnd"/>
      <w:r w:rsidRPr="007774C3">
        <w:rPr>
          <w:rFonts w:ascii="Calibri" w:eastAsia="Calibri" w:hAnsi="Calibri"/>
          <w:lang w:eastAsia="en-US"/>
        </w:rPr>
        <w:t xml:space="preserve"> Annexe 1) de la mise en œuvre du CSN 2018-2022se fera au moyen d’indicateurs définis pour chaque résultat attendu. Les données seront collectées par :</w:t>
      </w:r>
      <w:bookmarkEnd w:id="123"/>
    </w:p>
    <w:p w14:paraId="3B320849" w14:textId="77777777" w:rsidR="00787CCB" w:rsidRPr="005B52BA" w:rsidRDefault="00787CCB" w:rsidP="00C64BCC">
      <w:pPr>
        <w:numPr>
          <w:ilvl w:val="0"/>
          <w:numId w:val="36"/>
        </w:numPr>
        <w:autoSpaceDE w:val="0"/>
        <w:autoSpaceDN w:val="0"/>
        <w:adjustRightInd w:val="0"/>
        <w:ind w:left="714" w:hanging="357"/>
        <w:jc w:val="both"/>
        <w:rPr>
          <w:rFonts w:ascii="Calibri" w:hAnsi="Calibri"/>
        </w:rPr>
      </w:pPr>
      <w:r w:rsidRPr="005B52BA">
        <w:rPr>
          <w:rFonts w:ascii="Calibri" w:hAnsi="Calibri"/>
        </w:rPr>
        <w:t>Routine (collecte mensuelle ou trimestrielle selon les niveaux) ;</w:t>
      </w:r>
    </w:p>
    <w:p w14:paraId="0974B8F5" w14:textId="77777777" w:rsidR="00787CCB" w:rsidRPr="005B52BA" w:rsidRDefault="00787CCB" w:rsidP="00C64BCC">
      <w:pPr>
        <w:numPr>
          <w:ilvl w:val="0"/>
          <w:numId w:val="36"/>
        </w:numPr>
        <w:autoSpaceDE w:val="0"/>
        <w:autoSpaceDN w:val="0"/>
        <w:adjustRightInd w:val="0"/>
        <w:ind w:left="714" w:hanging="357"/>
        <w:jc w:val="both"/>
        <w:rPr>
          <w:rFonts w:ascii="Calibri" w:hAnsi="Calibri"/>
        </w:rPr>
      </w:pPr>
      <w:r w:rsidRPr="005B52BA">
        <w:rPr>
          <w:rFonts w:ascii="Calibri" w:hAnsi="Calibri"/>
        </w:rPr>
        <w:t>Enquête de surveillance sentinelle chez les femmes enceintes, selon un rythme annuel ;</w:t>
      </w:r>
    </w:p>
    <w:p w14:paraId="5DE839B6" w14:textId="77777777" w:rsidR="00787CCB" w:rsidRPr="005B52BA" w:rsidRDefault="00787CCB" w:rsidP="00C64BCC">
      <w:pPr>
        <w:numPr>
          <w:ilvl w:val="0"/>
          <w:numId w:val="36"/>
        </w:numPr>
        <w:autoSpaceDE w:val="0"/>
        <w:autoSpaceDN w:val="0"/>
        <w:adjustRightInd w:val="0"/>
        <w:ind w:left="714" w:hanging="357"/>
        <w:jc w:val="both"/>
        <w:rPr>
          <w:rFonts w:ascii="Calibri" w:hAnsi="Calibri"/>
        </w:rPr>
      </w:pPr>
      <w:r w:rsidRPr="005B52BA">
        <w:rPr>
          <w:rFonts w:ascii="Calibri" w:hAnsi="Calibri"/>
        </w:rPr>
        <w:t>Enquête de surveillance de seconde génération (ESCOMB), à réaliser tous les deux ans chez les groupes cibles prioritaires ;</w:t>
      </w:r>
    </w:p>
    <w:p w14:paraId="30FAE97D" w14:textId="77777777" w:rsidR="00787CCB" w:rsidRDefault="00787CCB" w:rsidP="00C64BCC">
      <w:pPr>
        <w:numPr>
          <w:ilvl w:val="0"/>
          <w:numId w:val="36"/>
        </w:numPr>
        <w:autoSpaceDE w:val="0"/>
        <w:autoSpaceDN w:val="0"/>
        <w:adjustRightInd w:val="0"/>
        <w:ind w:left="714" w:hanging="357"/>
        <w:jc w:val="both"/>
        <w:rPr>
          <w:rFonts w:ascii="Calibri" w:hAnsi="Calibri"/>
        </w:rPr>
      </w:pPr>
      <w:r w:rsidRPr="005B52BA">
        <w:rPr>
          <w:rFonts w:ascii="Calibri" w:hAnsi="Calibri"/>
        </w:rPr>
        <w:t>Enquête démographique et de santé couplée au volet sérologique VIH réalisée tous les cinq ans au sein de la population générale.</w:t>
      </w:r>
    </w:p>
    <w:p w14:paraId="24DC293E" w14:textId="77777777" w:rsidR="00787CCB" w:rsidRDefault="00787CCB" w:rsidP="00C64BCC">
      <w:pPr>
        <w:autoSpaceDE w:val="0"/>
        <w:autoSpaceDN w:val="0"/>
        <w:adjustRightInd w:val="0"/>
        <w:jc w:val="both"/>
        <w:rPr>
          <w:rFonts w:ascii="Calibri" w:hAnsi="Calibri"/>
        </w:rPr>
      </w:pPr>
    </w:p>
    <w:p w14:paraId="2D26F848" w14:textId="6F53E42F" w:rsidR="00787CCB" w:rsidRPr="00A96CAD" w:rsidRDefault="00DA0F0F" w:rsidP="00C64BCC">
      <w:pPr>
        <w:pStyle w:val="Titre1"/>
        <w:numPr>
          <w:ilvl w:val="0"/>
          <w:numId w:val="6"/>
        </w:numPr>
        <w:pBdr>
          <w:bottom w:val="single" w:sz="12" w:space="1" w:color="auto"/>
        </w:pBdr>
        <w:shd w:val="clear" w:color="auto" w:fill="92D050"/>
        <w:spacing w:after="0"/>
        <w:ind w:left="284" w:hanging="284"/>
        <w:rPr>
          <w:rFonts w:ascii="Calibri" w:eastAsiaTheme="majorEastAsia" w:hAnsi="Calibri"/>
          <w:sz w:val="28"/>
          <w:szCs w:val="28"/>
        </w:rPr>
      </w:pPr>
      <w:bookmarkStart w:id="124" w:name="_Toc370812809"/>
      <w:bookmarkStart w:id="125" w:name="_Toc500335882"/>
      <w:bookmarkStart w:id="126" w:name="_Toc500520942"/>
      <w:bookmarkStart w:id="127" w:name="_Toc520983538"/>
      <w:r>
        <w:rPr>
          <w:rFonts w:ascii="Calibri" w:eastAsiaTheme="majorEastAsia" w:hAnsi="Calibri"/>
          <w:sz w:val="28"/>
          <w:szCs w:val="28"/>
        </w:rPr>
        <w:t>BUDGET ET</w:t>
      </w:r>
      <w:r w:rsidR="00787CCB" w:rsidRPr="00A96CAD">
        <w:rPr>
          <w:rFonts w:ascii="Calibri" w:eastAsiaTheme="majorEastAsia" w:hAnsi="Calibri"/>
          <w:sz w:val="28"/>
          <w:szCs w:val="28"/>
        </w:rPr>
        <w:t xml:space="preserve"> FINANCEMENT DU CSN 2018-20</w:t>
      </w:r>
      <w:bookmarkEnd w:id="124"/>
      <w:r w:rsidR="00787CCB" w:rsidRPr="00A96CAD">
        <w:rPr>
          <w:rFonts w:ascii="Calibri" w:eastAsiaTheme="majorEastAsia" w:hAnsi="Calibri"/>
          <w:sz w:val="28"/>
          <w:szCs w:val="28"/>
        </w:rPr>
        <w:t>22</w:t>
      </w:r>
      <w:bookmarkEnd w:id="125"/>
      <w:bookmarkEnd w:id="126"/>
      <w:bookmarkEnd w:id="127"/>
    </w:p>
    <w:p w14:paraId="27145F1D" w14:textId="5C117C8C" w:rsidR="00787CCB" w:rsidRPr="005B52BA" w:rsidRDefault="00787CCB" w:rsidP="00C64BCC">
      <w:pPr>
        <w:pStyle w:val="Sansinterligne"/>
        <w:jc w:val="both"/>
        <w:rPr>
          <w:sz w:val="24"/>
          <w:szCs w:val="24"/>
        </w:rPr>
      </w:pPr>
    </w:p>
    <w:p w14:paraId="5391A291" w14:textId="39D2A2CC" w:rsidR="00787CCB" w:rsidRPr="005A0CA9" w:rsidRDefault="00DB4486" w:rsidP="00C64BCC">
      <w:pPr>
        <w:pStyle w:val="Titre2"/>
        <w:numPr>
          <w:ilvl w:val="1"/>
          <w:numId w:val="6"/>
        </w:numPr>
        <w:spacing w:after="0"/>
        <w:ind w:left="426" w:hanging="426"/>
        <w:rPr>
          <w:rFonts w:ascii="Calibri" w:hAnsi="Calibri"/>
          <w:color w:val="2F5496" w:themeColor="accent5" w:themeShade="BF"/>
          <w:szCs w:val="24"/>
        </w:rPr>
      </w:pPr>
      <w:hyperlink w:anchor="_Toc360118449" w:history="1">
        <w:bookmarkStart w:id="128" w:name="_Toc370812810"/>
        <w:bookmarkStart w:id="129" w:name="_Toc500335883"/>
        <w:bookmarkStart w:id="130" w:name="_Toc500520943"/>
        <w:bookmarkStart w:id="131" w:name="_Toc520983539"/>
        <w:r w:rsidR="00DA0F0F">
          <w:rPr>
            <w:rFonts w:ascii="Calibri" w:hAnsi="Calibri"/>
            <w:color w:val="2F5496" w:themeColor="accent5" w:themeShade="BF"/>
            <w:szCs w:val="24"/>
          </w:rPr>
          <w:t xml:space="preserve">Modalités d’établissement du budget et </w:t>
        </w:r>
        <w:r w:rsidR="00787CCB" w:rsidRPr="005A0CA9">
          <w:rPr>
            <w:rFonts w:ascii="Calibri" w:hAnsi="Calibri"/>
            <w:color w:val="2F5496" w:themeColor="accent5" w:themeShade="BF"/>
            <w:szCs w:val="24"/>
          </w:rPr>
          <w:t xml:space="preserve">des gaps financiers du CSN </w:t>
        </w:r>
        <w:bookmarkEnd w:id="128"/>
        <w:r w:rsidR="00787CCB" w:rsidRPr="005A0CA9">
          <w:rPr>
            <w:rFonts w:ascii="Calibri" w:hAnsi="Calibri"/>
            <w:color w:val="2F5496" w:themeColor="accent5" w:themeShade="BF"/>
            <w:szCs w:val="24"/>
          </w:rPr>
          <w:t>2018-202</w:t>
        </w:r>
      </w:hyperlink>
      <w:r w:rsidR="00787CCB" w:rsidRPr="005A0CA9">
        <w:rPr>
          <w:rFonts w:ascii="Calibri" w:hAnsi="Calibri"/>
          <w:color w:val="2F5496" w:themeColor="accent5" w:themeShade="BF"/>
          <w:szCs w:val="24"/>
        </w:rPr>
        <w:t>2</w:t>
      </w:r>
      <w:bookmarkEnd w:id="129"/>
      <w:bookmarkEnd w:id="130"/>
      <w:bookmarkEnd w:id="131"/>
      <w:r w:rsidR="00787CCB" w:rsidRPr="005A0CA9">
        <w:rPr>
          <w:rFonts w:ascii="Calibri" w:hAnsi="Calibri"/>
          <w:color w:val="2F5496" w:themeColor="accent5" w:themeShade="BF"/>
          <w:szCs w:val="24"/>
        </w:rPr>
        <w:t xml:space="preserve"> </w:t>
      </w:r>
    </w:p>
    <w:p w14:paraId="15167603" w14:textId="31F3B5CD" w:rsidR="00787CCB" w:rsidRPr="001044F4" w:rsidRDefault="00787CCB" w:rsidP="00C64BCC">
      <w:pPr>
        <w:pStyle w:val="Titre2"/>
        <w:spacing w:after="0"/>
        <w:rPr>
          <w:rFonts w:asciiTheme="minorHAnsi" w:hAnsiTheme="minorHAnsi"/>
          <w:szCs w:val="24"/>
        </w:rPr>
      </w:pPr>
      <w:bookmarkStart w:id="132" w:name="_Toc370812811"/>
    </w:p>
    <w:p w14:paraId="6771D4B2" w14:textId="77777777" w:rsidR="001044F4" w:rsidRPr="001044F4" w:rsidRDefault="001044F4" w:rsidP="001044F4">
      <w:pPr>
        <w:widowControl w:val="0"/>
        <w:autoSpaceDE w:val="0"/>
        <w:autoSpaceDN w:val="0"/>
        <w:adjustRightInd w:val="0"/>
        <w:contextualSpacing/>
        <w:jc w:val="both"/>
        <w:rPr>
          <w:rFonts w:asciiTheme="minorHAnsi" w:hAnsiTheme="minorHAnsi" w:cs="Arial"/>
        </w:rPr>
      </w:pPr>
      <w:r w:rsidRPr="001044F4">
        <w:rPr>
          <w:rFonts w:asciiTheme="minorHAnsi" w:hAnsiTheme="minorHAnsi" w:cs="Arial"/>
        </w:rPr>
        <w:t xml:space="preserve">Le budget du PSNM a été établi en utilisant l’outil </w:t>
      </w:r>
      <w:proofErr w:type="spellStart"/>
      <w:r w:rsidRPr="001044F4">
        <w:rPr>
          <w:rFonts w:asciiTheme="minorHAnsi" w:hAnsiTheme="minorHAnsi" w:cs="Arial"/>
          <w:i/>
        </w:rPr>
        <w:t>Resssource</w:t>
      </w:r>
      <w:proofErr w:type="spellEnd"/>
      <w:r w:rsidRPr="001044F4">
        <w:rPr>
          <w:rFonts w:asciiTheme="minorHAnsi" w:hAnsiTheme="minorHAnsi" w:cs="Arial"/>
          <w:i/>
        </w:rPr>
        <w:t xml:space="preserve"> </w:t>
      </w:r>
      <w:proofErr w:type="spellStart"/>
      <w:r w:rsidRPr="001044F4">
        <w:rPr>
          <w:rFonts w:asciiTheme="minorHAnsi" w:hAnsiTheme="minorHAnsi" w:cs="Arial"/>
          <w:i/>
        </w:rPr>
        <w:t>Needs</w:t>
      </w:r>
      <w:proofErr w:type="spellEnd"/>
      <w:r w:rsidRPr="001044F4">
        <w:rPr>
          <w:rFonts w:asciiTheme="minorHAnsi" w:hAnsiTheme="minorHAnsi" w:cs="Arial"/>
          <w:i/>
        </w:rPr>
        <w:t xml:space="preserve"> Model (RNM)</w:t>
      </w:r>
      <w:r w:rsidRPr="001044F4">
        <w:rPr>
          <w:rFonts w:asciiTheme="minorHAnsi" w:hAnsiTheme="minorHAnsi" w:cs="Arial"/>
        </w:rPr>
        <w:t xml:space="preserve"> développé par l’</w:t>
      </w:r>
      <w:r w:rsidRPr="001044F4">
        <w:rPr>
          <w:rFonts w:asciiTheme="minorHAnsi" w:hAnsiTheme="minorHAnsi" w:cs="Arial"/>
          <w:i/>
        </w:rPr>
        <w:t>ONUSIDA</w:t>
      </w:r>
      <w:r w:rsidRPr="001044F4">
        <w:rPr>
          <w:rFonts w:asciiTheme="minorHAnsi" w:hAnsiTheme="minorHAnsi" w:cs="Arial"/>
        </w:rPr>
        <w:t xml:space="preserve"> et </w:t>
      </w:r>
      <w:r w:rsidRPr="001044F4">
        <w:rPr>
          <w:rFonts w:asciiTheme="minorHAnsi" w:hAnsiTheme="minorHAnsi" w:cs="Arial"/>
          <w:i/>
        </w:rPr>
        <w:t>Future Group International</w:t>
      </w:r>
      <w:r w:rsidRPr="001044F4">
        <w:rPr>
          <w:rFonts w:asciiTheme="minorHAnsi" w:hAnsiTheme="minorHAnsi" w:cs="Arial"/>
        </w:rPr>
        <w:t xml:space="preserve"> pour aider les pays dans la préparation de leur planification du budget des plans stratégiques. </w:t>
      </w:r>
    </w:p>
    <w:p w14:paraId="14F99406" w14:textId="77777777" w:rsidR="001044F4" w:rsidRPr="001044F4" w:rsidRDefault="001044F4" w:rsidP="001044F4">
      <w:pPr>
        <w:widowControl w:val="0"/>
        <w:autoSpaceDE w:val="0"/>
        <w:autoSpaceDN w:val="0"/>
        <w:adjustRightInd w:val="0"/>
        <w:contextualSpacing/>
        <w:jc w:val="both"/>
        <w:rPr>
          <w:rFonts w:asciiTheme="minorHAnsi" w:hAnsiTheme="minorHAnsi" w:cs="Arial"/>
        </w:rPr>
      </w:pPr>
    </w:p>
    <w:p w14:paraId="45B0581C" w14:textId="77777777" w:rsidR="001044F4" w:rsidRPr="001044F4" w:rsidRDefault="001044F4" w:rsidP="001044F4">
      <w:pPr>
        <w:widowControl w:val="0"/>
        <w:autoSpaceDE w:val="0"/>
        <w:autoSpaceDN w:val="0"/>
        <w:adjustRightInd w:val="0"/>
        <w:contextualSpacing/>
        <w:jc w:val="both"/>
        <w:rPr>
          <w:rFonts w:asciiTheme="minorHAnsi" w:hAnsiTheme="minorHAnsi" w:cs="Arial"/>
        </w:rPr>
      </w:pPr>
      <w:r w:rsidRPr="001044F4">
        <w:rPr>
          <w:rFonts w:asciiTheme="minorHAnsi" w:hAnsiTheme="minorHAnsi" w:cs="Arial"/>
        </w:rPr>
        <w:t xml:space="preserve">Les hypothèses de base qui ont été employées sont les suivantes : </w:t>
      </w:r>
    </w:p>
    <w:p w14:paraId="19311147" w14:textId="48332055" w:rsidR="001044F4" w:rsidRPr="001044F4" w:rsidRDefault="001044F4" w:rsidP="001044F4">
      <w:pPr>
        <w:widowControl w:val="0"/>
        <w:numPr>
          <w:ilvl w:val="0"/>
          <w:numId w:val="39"/>
        </w:numPr>
        <w:autoSpaceDE w:val="0"/>
        <w:autoSpaceDN w:val="0"/>
        <w:adjustRightInd w:val="0"/>
        <w:contextualSpacing/>
        <w:jc w:val="both"/>
        <w:rPr>
          <w:rFonts w:asciiTheme="minorHAnsi" w:hAnsiTheme="minorHAnsi" w:cs="Arial"/>
        </w:rPr>
      </w:pPr>
      <w:r w:rsidRPr="001044F4">
        <w:rPr>
          <w:rFonts w:asciiTheme="minorHAnsi" w:hAnsiTheme="minorHAnsi" w:cs="Arial"/>
          <w:b/>
        </w:rPr>
        <w:t xml:space="preserve">La taille des populations clés </w:t>
      </w:r>
      <w:r>
        <w:rPr>
          <w:rFonts w:asciiTheme="minorHAnsi" w:hAnsiTheme="minorHAnsi" w:cs="Arial"/>
        </w:rPr>
        <w:t>(HS</w:t>
      </w:r>
      <w:r w:rsidRPr="001044F4">
        <w:rPr>
          <w:rFonts w:asciiTheme="minorHAnsi" w:hAnsiTheme="minorHAnsi" w:cs="Arial"/>
        </w:rPr>
        <w:t xml:space="preserve">H, PS, jeunes, détenus, clients des PS, hommes femmes en uniformes etc.) établie par certaines études réalisées dans le pays et figurant dans le travail de re-ciblage réalisées par </w:t>
      </w:r>
      <w:r>
        <w:rPr>
          <w:rFonts w:asciiTheme="minorHAnsi" w:hAnsiTheme="minorHAnsi" w:cs="Arial"/>
        </w:rPr>
        <w:t>le SE/CNLS</w:t>
      </w:r>
      <w:r w:rsidR="00BD0ABC">
        <w:rPr>
          <w:rFonts w:asciiTheme="minorHAnsi" w:hAnsiTheme="minorHAnsi" w:cs="Arial"/>
        </w:rPr>
        <w:t xml:space="preserve">. Les données existantes </w:t>
      </w:r>
      <w:r w:rsidRPr="001044F4">
        <w:rPr>
          <w:rFonts w:asciiTheme="minorHAnsi" w:hAnsiTheme="minorHAnsi" w:cs="Arial"/>
        </w:rPr>
        <w:t xml:space="preserve">ont été utilisées également ainsi que celles d’autres études (dont SPECTRUM) apportant des informations spécifiques sur certains indicateurs et interventions. </w:t>
      </w:r>
    </w:p>
    <w:p w14:paraId="0A7081E0" w14:textId="6C6C3751" w:rsidR="001044F4" w:rsidRPr="001044F4" w:rsidRDefault="001044F4" w:rsidP="001044F4">
      <w:pPr>
        <w:widowControl w:val="0"/>
        <w:numPr>
          <w:ilvl w:val="0"/>
          <w:numId w:val="39"/>
        </w:numPr>
        <w:autoSpaceDE w:val="0"/>
        <w:autoSpaceDN w:val="0"/>
        <w:adjustRightInd w:val="0"/>
        <w:contextualSpacing/>
        <w:jc w:val="both"/>
        <w:rPr>
          <w:rFonts w:asciiTheme="minorHAnsi" w:hAnsiTheme="minorHAnsi" w:cs="Arial"/>
        </w:rPr>
      </w:pPr>
      <w:r w:rsidRPr="001044F4">
        <w:rPr>
          <w:rFonts w:asciiTheme="minorHAnsi" w:hAnsiTheme="minorHAnsi" w:cs="Arial"/>
          <w:b/>
        </w:rPr>
        <w:t xml:space="preserve">Les couts unitaires adoptés sont ceux proposés par l’ONUSIDA </w:t>
      </w:r>
      <w:r w:rsidRPr="001044F4">
        <w:rPr>
          <w:rFonts w:asciiTheme="minorHAnsi" w:hAnsiTheme="minorHAnsi" w:cs="Arial"/>
        </w:rPr>
        <w:t>dans le cadre du calcul des ressources nécessaires pour les différents pays dans le cadre de la stratégie des trois 90. Ces couts unitaires couvrent l’intégralité des dépenses d’une intervention. Ainsi par exemple le cout de l’intervention de prise en charge ARV d’un patient inclut non seulement les médicaments mais également toutes les dépenses</w:t>
      </w:r>
      <w:r w:rsidRPr="001044F4">
        <w:rPr>
          <w:rFonts w:asciiTheme="minorHAnsi" w:hAnsiTheme="minorHAnsi" w:cs="Arial"/>
          <w:b/>
        </w:rPr>
        <w:t xml:space="preserve"> </w:t>
      </w:r>
      <w:r w:rsidRPr="001044F4">
        <w:rPr>
          <w:rFonts w:asciiTheme="minorHAnsi" w:hAnsiTheme="minorHAnsi" w:cs="Arial"/>
        </w:rPr>
        <w:t>en rapport avec le suivi de laboratoire, la gestion des ressources humaines etc. de même l’intervention promotion du condom inclut en plus des activités promotionnelles, l’achat et la distribution de condoms.</w:t>
      </w:r>
    </w:p>
    <w:p w14:paraId="193320E1" w14:textId="13E72BDE" w:rsidR="001044F4" w:rsidRPr="001044F4" w:rsidRDefault="001044F4" w:rsidP="001044F4">
      <w:pPr>
        <w:widowControl w:val="0"/>
        <w:numPr>
          <w:ilvl w:val="0"/>
          <w:numId w:val="39"/>
        </w:numPr>
        <w:autoSpaceDE w:val="0"/>
        <w:autoSpaceDN w:val="0"/>
        <w:adjustRightInd w:val="0"/>
        <w:contextualSpacing/>
        <w:jc w:val="both"/>
        <w:rPr>
          <w:rFonts w:asciiTheme="minorHAnsi" w:hAnsiTheme="minorHAnsi" w:cs="Arial"/>
        </w:rPr>
      </w:pPr>
      <w:r w:rsidRPr="001044F4">
        <w:rPr>
          <w:rFonts w:asciiTheme="minorHAnsi" w:hAnsiTheme="minorHAnsi" w:cs="Arial"/>
          <w:b/>
        </w:rPr>
        <w:t>Les cibles pour les différents indicateurs</w:t>
      </w:r>
      <w:r w:rsidRPr="001044F4">
        <w:rPr>
          <w:rFonts w:asciiTheme="minorHAnsi" w:hAnsiTheme="minorHAnsi" w:cs="Arial"/>
        </w:rPr>
        <w:t>, montrant le niveau d’effort à accomplir, ont été établis jusqu</w:t>
      </w:r>
      <w:r w:rsidR="00BD0ABC">
        <w:rPr>
          <w:rFonts w:asciiTheme="minorHAnsi" w:hAnsiTheme="minorHAnsi" w:cs="Arial"/>
        </w:rPr>
        <w:t>’en 2022</w:t>
      </w:r>
      <w:r w:rsidRPr="001044F4">
        <w:rPr>
          <w:rFonts w:asciiTheme="minorHAnsi" w:hAnsiTheme="minorHAnsi" w:cs="Arial"/>
        </w:rPr>
        <w:t xml:space="preserve"> dans le cadre du travail de re-ciblage réalisé par </w:t>
      </w:r>
      <w:r w:rsidR="00BD0ABC">
        <w:rPr>
          <w:rFonts w:asciiTheme="minorHAnsi" w:hAnsiTheme="minorHAnsi" w:cs="Arial"/>
        </w:rPr>
        <w:t>le SE/CNLS et ses partenaires</w:t>
      </w:r>
      <w:r w:rsidRPr="001044F4">
        <w:rPr>
          <w:rFonts w:asciiTheme="minorHAnsi" w:hAnsiTheme="minorHAnsi" w:cs="Arial"/>
        </w:rPr>
        <w:t xml:space="preserve">. Ces nouvelles cibles ont été </w:t>
      </w:r>
      <w:r w:rsidR="00BD0ABC">
        <w:rPr>
          <w:rFonts w:asciiTheme="minorHAnsi" w:hAnsiTheme="minorHAnsi" w:cs="Arial"/>
        </w:rPr>
        <w:t>alignés sur le Plan de rattrapage de la prise en charge médicale et les</w:t>
      </w:r>
      <w:r w:rsidRPr="001044F4">
        <w:rPr>
          <w:rFonts w:asciiTheme="minorHAnsi" w:hAnsiTheme="minorHAnsi" w:cs="Arial"/>
        </w:rPr>
        <w:t xml:space="preserve"> trois 90 de l’ONUSIDA (tester et traiter) la mettant sur la voie de l’élimination du VIH/SIDA à l’horizon 2030. </w:t>
      </w:r>
    </w:p>
    <w:p w14:paraId="59811B8C" w14:textId="77777777" w:rsidR="001044F4" w:rsidRPr="001044F4" w:rsidRDefault="001044F4" w:rsidP="001044F4">
      <w:pPr>
        <w:widowControl w:val="0"/>
        <w:autoSpaceDE w:val="0"/>
        <w:autoSpaceDN w:val="0"/>
        <w:adjustRightInd w:val="0"/>
        <w:contextualSpacing/>
        <w:jc w:val="both"/>
        <w:rPr>
          <w:rFonts w:asciiTheme="minorHAnsi" w:hAnsiTheme="minorHAnsi" w:cs="Arial"/>
        </w:rPr>
      </w:pPr>
    </w:p>
    <w:p w14:paraId="6D9257E1" w14:textId="425715DC" w:rsidR="00DA0F0F" w:rsidRPr="001044F4" w:rsidRDefault="001044F4" w:rsidP="001044F4">
      <w:pPr>
        <w:rPr>
          <w:rFonts w:asciiTheme="minorHAnsi" w:hAnsiTheme="minorHAnsi"/>
          <w:lang w:val="fr-CH" w:eastAsia="fr-CA"/>
        </w:rPr>
      </w:pPr>
      <w:r w:rsidRPr="001044F4">
        <w:rPr>
          <w:rFonts w:asciiTheme="minorHAnsi" w:hAnsiTheme="minorHAnsi" w:cs="Arial"/>
        </w:rPr>
        <w:t xml:space="preserve">Les différentes données ont été intégrées dans l’outil RNM ce qui a permis de dégager </w:t>
      </w:r>
      <w:r w:rsidR="00BD0ABC">
        <w:rPr>
          <w:rFonts w:asciiTheme="minorHAnsi" w:hAnsiTheme="minorHAnsi" w:cs="Arial"/>
        </w:rPr>
        <w:t>le budget du programme sur les 5</w:t>
      </w:r>
      <w:r w:rsidRPr="001044F4">
        <w:rPr>
          <w:rFonts w:asciiTheme="minorHAnsi" w:hAnsiTheme="minorHAnsi" w:cs="Arial"/>
        </w:rPr>
        <w:t xml:space="preserve"> prochaines années</w:t>
      </w:r>
      <w:r w:rsidRPr="001044F4">
        <w:rPr>
          <w:rFonts w:asciiTheme="minorHAnsi" w:hAnsiTheme="minorHAnsi" w:cs="Arial"/>
          <w:b/>
        </w:rPr>
        <w:t xml:space="preserve">. </w:t>
      </w:r>
      <w:r w:rsidRPr="001044F4">
        <w:rPr>
          <w:rFonts w:asciiTheme="minorHAnsi" w:hAnsiTheme="minorHAnsi" w:cs="Arial"/>
        </w:rPr>
        <w:t>Le présent budget est exprimé</w:t>
      </w:r>
      <w:r w:rsidR="00BD0ABC">
        <w:rPr>
          <w:rFonts w:asciiTheme="minorHAnsi" w:hAnsiTheme="minorHAnsi" w:cs="Arial"/>
        </w:rPr>
        <w:t xml:space="preserve"> en années civiles et dollars US</w:t>
      </w:r>
      <w:r w:rsidRPr="001044F4">
        <w:rPr>
          <w:rFonts w:asciiTheme="minorHAnsi" w:hAnsiTheme="minorHAnsi" w:cs="Arial"/>
        </w:rPr>
        <w:t>.</w:t>
      </w:r>
    </w:p>
    <w:p w14:paraId="6C49DB80" w14:textId="77777777" w:rsidR="00C64BCC" w:rsidRDefault="00C64BCC" w:rsidP="00C64BCC">
      <w:pPr>
        <w:rPr>
          <w:lang w:val="fr-CH" w:eastAsia="fr-CA"/>
        </w:rPr>
      </w:pPr>
    </w:p>
    <w:p w14:paraId="100F9414" w14:textId="77777777" w:rsidR="00DA0F0F" w:rsidRPr="005A0CA9" w:rsidRDefault="00DB4486" w:rsidP="00C64BCC">
      <w:pPr>
        <w:pStyle w:val="Titre2"/>
        <w:numPr>
          <w:ilvl w:val="1"/>
          <w:numId w:val="6"/>
        </w:numPr>
        <w:spacing w:after="0"/>
        <w:ind w:left="426" w:hanging="426"/>
        <w:rPr>
          <w:rFonts w:ascii="Calibri" w:hAnsi="Calibri"/>
          <w:color w:val="2F5496" w:themeColor="accent5" w:themeShade="BF"/>
          <w:szCs w:val="24"/>
        </w:rPr>
      </w:pPr>
      <w:hyperlink w:anchor="_Toc360118449" w:history="1">
        <w:bookmarkStart w:id="133" w:name="_Toc520983540"/>
        <w:r w:rsidR="00DA0F0F" w:rsidRPr="005A0CA9">
          <w:rPr>
            <w:rFonts w:ascii="Calibri" w:hAnsi="Calibri"/>
            <w:color w:val="2F5496" w:themeColor="accent5" w:themeShade="BF"/>
            <w:szCs w:val="24"/>
          </w:rPr>
          <w:t>Estimation gl</w:t>
        </w:r>
        <w:r w:rsidR="00DA0F0F" w:rsidRPr="005A0CA9">
          <w:rPr>
            <w:rFonts w:ascii="Calibri" w:hAnsi="Calibri"/>
            <w:color w:val="2F5496" w:themeColor="accent5" w:themeShade="BF"/>
            <w:szCs w:val="24"/>
            <w:lang w:val="fr-FR"/>
          </w:rPr>
          <w:t>o</w:t>
        </w:r>
        <w:r w:rsidR="00DA0F0F" w:rsidRPr="005A0CA9">
          <w:rPr>
            <w:rFonts w:ascii="Calibri" w:hAnsi="Calibri"/>
            <w:color w:val="2F5496" w:themeColor="accent5" w:themeShade="BF"/>
            <w:szCs w:val="24"/>
          </w:rPr>
          <w:t>b</w:t>
        </w:r>
        <w:r w:rsidR="00DA0F0F" w:rsidRPr="005A0CA9">
          <w:rPr>
            <w:rFonts w:ascii="Calibri" w:hAnsi="Calibri"/>
            <w:color w:val="2F5496" w:themeColor="accent5" w:themeShade="BF"/>
            <w:szCs w:val="24"/>
            <w:lang w:val="fr-FR"/>
          </w:rPr>
          <w:t>a</w:t>
        </w:r>
        <w:r w:rsidR="00DA0F0F" w:rsidRPr="005A0CA9">
          <w:rPr>
            <w:rFonts w:ascii="Calibri" w:hAnsi="Calibri"/>
            <w:color w:val="2F5496" w:themeColor="accent5" w:themeShade="BF"/>
            <w:szCs w:val="24"/>
          </w:rPr>
          <w:t>le des gaps financiers du CSN 2018-202</w:t>
        </w:r>
      </w:hyperlink>
      <w:r w:rsidR="00DA0F0F" w:rsidRPr="005A0CA9">
        <w:rPr>
          <w:rFonts w:ascii="Calibri" w:hAnsi="Calibri"/>
          <w:color w:val="2F5496" w:themeColor="accent5" w:themeShade="BF"/>
          <w:szCs w:val="24"/>
        </w:rPr>
        <w:t>2</w:t>
      </w:r>
      <w:bookmarkEnd w:id="133"/>
      <w:r w:rsidR="00DA0F0F" w:rsidRPr="005A0CA9">
        <w:rPr>
          <w:rFonts w:ascii="Calibri" w:hAnsi="Calibri"/>
          <w:color w:val="2F5496" w:themeColor="accent5" w:themeShade="BF"/>
          <w:szCs w:val="24"/>
        </w:rPr>
        <w:t xml:space="preserve"> </w:t>
      </w:r>
    </w:p>
    <w:p w14:paraId="64B14217" w14:textId="77777777" w:rsidR="00DA0F0F" w:rsidRPr="00DA0F0F" w:rsidRDefault="00DA0F0F" w:rsidP="00C64BCC">
      <w:pPr>
        <w:rPr>
          <w:lang w:val="fr-CH" w:eastAsia="fr-CA"/>
        </w:rPr>
      </w:pPr>
    </w:p>
    <w:p w14:paraId="568139F0" w14:textId="0D928AB8" w:rsidR="007B029B" w:rsidRDefault="007B029B" w:rsidP="001C4070">
      <w:pPr>
        <w:jc w:val="both"/>
        <w:rPr>
          <w:b/>
        </w:rPr>
      </w:pPr>
      <w:r>
        <w:rPr>
          <w:rFonts w:ascii="Calibri" w:hAnsi="Calibri"/>
          <w:lang w:val="fr-CH" w:eastAsia="fr-CA"/>
        </w:rPr>
        <w:t>Le budget total pour le</w:t>
      </w:r>
      <w:r w:rsidR="00C45341" w:rsidRPr="00C45341">
        <w:rPr>
          <w:rFonts w:ascii="Calibri" w:hAnsi="Calibri"/>
          <w:lang w:val="fr-CH" w:eastAsia="fr-CA"/>
        </w:rPr>
        <w:t xml:space="preserve"> Cadre Stratégique National de lutte contre le sida pour la période 2018-2022 s’élève à quatre cent vingt-deux millions huit cent quarante-neuf mille zéro cinquante dollars (</w:t>
      </w:r>
      <w:r w:rsidR="001C4070">
        <w:rPr>
          <w:rFonts w:ascii="Calibri" w:hAnsi="Calibri"/>
          <w:b/>
          <w:color w:val="000000"/>
        </w:rPr>
        <w:t>262</w:t>
      </w:r>
      <w:r w:rsidR="00E76E88">
        <w:rPr>
          <w:rFonts w:ascii="Calibri" w:hAnsi="Calibri"/>
          <w:b/>
          <w:color w:val="000000"/>
        </w:rPr>
        <w:t> </w:t>
      </w:r>
      <w:r w:rsidR="001C4070">
        <w:rPr>
          <w:rFonts w:ascii="Calibri" w:hAnsi="Calibri"/>
          <w:b/>
          <w:color w:val="000000"/>
        </w:rPr>
        <w:t>751</w:t>
      </w:r>
      <w:r w:rsidR="00E76E88">
        <w:rPr>
          <w:rFonts w:ascii="Calibri" w:hAnsi="Calibri"/>
          <w:b/>
          <w:color w:val="000000"/>
        </w:rPr>
        <w:t xml:space="preserve"> </w:t>
      </w:r>
      <w:r w:rsidR="001C4070">
        <w:rPr>
          <w:rFonts w:ascii="Calibri" w:hAnsi="Calibri"/>
          <w:b/>
          <w:color w:val="000000"/>
        </w:rPr>
        <w:t>048</w:t>
      </w:r>
      <w:r w:rsidR="00C45341" w:rsidRPr="00C45341">
        <w:rPr>
          <w:rFonts w:ascii="Calibri" w:hAnsi="Calibri"/>
          <w:b/>
          <w:color w:val="000000"/>
        </w:rPr>
        <w:t xml:space="preserve"> USD). </w:t>
      </w:r>
      <w:r w:rsidR="00C45341" w:rsidRPr="00C45341">
        <w:rPr>
          <w:rFonts w:ascii="Calibri" w:hAnsi="Calibri"/>
          <w:color w:val="000000"/>
        </w:rPr>
        <w:t>Le montant disponible</w:t>
      </w:r>
      <w:r w:rsidR="00C45341">
        <w:rPr>
          <w:rFonts w:ascii="Calibri" w:hAnsi="Calibri"/>
          <w:color w:val="000000"/>
        </w:rPr>
        <w:t xml:space="preserve"> </w:t>
      </w:r>
      <w:r>
        <w:rPr>
          <w:rFonts w:ascii="Calibri" w:hAnsi="Calibri"/>
          <w:color w:val="000000"/>
        </w:rPr>
        <w:t xml:space="preserve">actuellement </w:t>
      </w:r>
      <w:r w:rsidR="00C45341">
        <w:rPr>
          <w:rFonts w:ascii="Calibri" w:hAnsi="Calibri"/>
          <w:color w:val="000000"/>
        </w:rPr>
        <w:t>pour les trois pr</w:t>
      </w:r>
      <w:r>
        <w:rPr>
          <w:rFonts w:ascii="Calibri" w:hAnsi="Calibri"/>
          <w:color w:val="000000"/>
        </w:rPr>
        <w:t>emières années 2018-2020 est de cinquante-un millions cinq cent trente-un mille trois cent soixante dollars (</w:t>
      </w:r>
      <w:r w:rsidRPr="007B029B">
        <w:rPr>
          <w:rFonts w:ascii="Arial Narrow" w:hAnsi="Arial Narrow"/>
          <w:b/>
          <w:color w:val="000000"/>
          <w:sz w:val="22"/>
          <w:szCs w:val="22"/>
        </w:rPr>
        <w:t>51 531 360</w:t>
      </w:r>
      <w:r w:rsidR="000344B2">
        <w:rPr>
          <w:rFonts w:ascii="Calibri" w:hAnsi="Calibri"/>
          <w:color w:val="000000"/>
        </w:rPr>
        <w:t xml:space="preserve"> USD), soit 19,6</w:t>
      </w:r>
      <w:r>
        <w:rPr>
          <w:rFonts w:ascii="Calibri" w:hAnsi="Calibri"/>
          <w:color w:val="000000"/>
        </w:rPr>
        <w:t>%. Le GAP financier pour la période 2018-2022 à mobiliser s’élève à trois cent soixante-onze millions trois cent dix-sept mille six cent quatre-vingt-dix dollars (</w:t>
      </w:r>
      <w:r w:rsidR="001C4070">
        <w:rPr>
          <w:rFonts w:ascii="Calibri" w:hAnsi="Calibri"/>
          <w:color w:val="000000"/>
        </w:rPr>
        <w:t>211</w:t>
      </w:r>
      <w:r w:rsidR="00E76E88">
        <w:rPr>
          <w:rFonts w:ascii="Calibri" w:hAnsi="Calibri"/>
          <w:color w:val="000000"/>
        </w:rPr>
        <w:t> </w:t>
      </w:r>
      <w:r w:rsidR="001C4070">
        <w:rPr>
          <w:rFonts w:ascii="Calibri" w:hAnsi="Calibri"/>
          <w:color w:val="000000"/>
        </w:rPr>
        <w:t>219</w:t>
      </w:r>
      <w:r w:rsidR="00E76E88">
        <w:rPr>
          <w:rFonts w:ascii="Calibri" w:hAnsi="Calibri"/>
          <w:color w:val="000000"/>
        </w:rPr>
        <w:t xml:space="preserve"> </w:t>
      </w:r>
      <w:r w:rsidR="001C4070">
        <w:rPr>
          <w:rFonts w:ascii="Calibri" w:hAnsi="Calibri"/>
          <w:color w:val="000000"/>
        </w:rPr>
        <w:t>688</w:t>
      </w:r>
      <w:r>
        <w:rPr>
          <w:rFonts w:ascii="Calibri" w:hAnsi="Calibri"/>
          <w:color w:val="000000"/>
        </w:rPr>
        <w:t xml:space="preserve"> USD)</w:t>
      </w:r>
      <w:r w:rsidR="001C4070">
        <w:rPr>
          <w:rFonts w:ascii="Calibri" w:hAnsi="Calibri"/>
          <w:color w:val="000000"/>
        </w:rPr>
        <w:t>, soit 80,4</w:t>
      </w:r>
      <w:r w:rsidR="00586661">
        <w:rPr>
          <w:rFonts w:ascii="Calibri" w:hAnsi="Calibri"/>
          <w:color w:val="000000"/>
        </w:rPr>
        <w:t>%</w:t>
      </w:r>
      <w:r>
        <w:rPr>
          <w:rFonts w:ascii="Calibri" w:hAnsi="Calibri"/>
          <w:color w:val="000000"/>
        </w:rPr>
        <w:t>.</w:t>
      </w:r>
      <w:bookmarkStart w:id="134" w:name="_Toc500335884"/>
      <w:bookmarkStart w:id="135" w:name="_Toc500520944"/>
    </w:p>
    <w:p w14:paraId="50442282" w14:textId="096F2623" w:rsidR="001C4070" w:rsidRDefault="001C4070" w:rsidP="00C64BCC">
      <w:pPr>
        <w:pStyle w:val="Sansinterligne"/>
        <w:jc w:val="both"/>
        <w:rPr>
          <w:b/>
          <w:sz w:val="24"/>
          <w:szCs w:val="24"/>
        </w:rPr>
      </w:pPr>
    </w:p>
    <w:p w14:paraId="6E280ED4" w14:textId="36452BB9" w:rsidR="001C4070" w:rsidRPr="001C4070" w:rsidRDefault="001C4070" w:rsidP="001C4070">
      <w:pPr>
        <w:pStyle w:val="tab"/>
        <w:rPr>
          <w:sz w:val="22"/>
        </w:rPr>
      </w:pPr>
      <w:bookmarkStart w:id="136" w:name="_Toc521064267"/>
      <w:r w:rsidRPr="00240456">
        <w:rPr>
          <w:b/>
          <w:sz w:val="22"/>
          <w:u w:val="single"/>
        </w:rPr>
        <w:t>Tableau 1</w:t>
      </w:r>
      <w:r w:rsidR="00240456" w:rsidRPr="00240456">
        <w:rPr>
          <w:b/>
          <w:sz w:val="22"/>
          <w:u w:val="single"/>
        </w:rPr>
        <w:t>1</w:t>
      </w:r>
      <w:r w:rsidRPr="001C4070">
        <w:rPr>
          <w:sz w:val="22"/>
        </w:rPr>
        <w:t xml:space="preserve"> : </w:t>
      </w:r>
      <w:r>
        <w:rPr>
          <w:sz w:val="22"/>
        </w:rPr>
        <w:t>Synthèse du budget du Cadre stratégique national 2018-2022</w:t>
      </w:r>
      <w:bookmarkEnd w:id="136"/>
    </w:p>
    <w:p w14:paraId="237638D6" w14:textId="6091F28D" w:rsidR="001C4070" w:rsidRDefault="001C4070" w:rsidP="00C64BCC">
      <w:pPr>
        <w:pStyle w:val="Sansinterligne"/>
        <w:jc w:val="both"/>
        <w:rPr>
          <w:b/>
          <w:sz w:val="24"/>
          <w:szCs w:val="24"/>
        </w:rPr>
      </w:pPr>
    </w:p>
    <w:tbl>
      <w:tblPr>
        <w:tblW w:w="9584" w:type="dxa"/>
        <w:tblCellMar>
          <w:left w:w="70" w:type="dxa"/>
          <w:right w:w="70" w:type="dxa"/>
        </w:tblCellMar>
        <w:tblLook w:val="04A0" w:firstRow="1" w:lastRow="0" w:firstColumn="1" w:lastColumn="0" w:noHBand="0" w:noVBand="1"/>
      </w:tblPr>
      <w:tblGrid>
        <w:gridCol w:w="2984"/>
        <w:gridCol w:w="1100"/>
        <w:gridCol w:w="1100"/>
        <w:gridCol w:w="1100"/>
        <w:gridCol w:w="1100"/>
        <w:gridCol w:w="1100"/>
        <w:gridCol w:w="1100"/>
      </w:tblGrid>
      <w:tr w:rsidR="000344B2" w:rsidRPr="000344B2" w14:paraId="53FE9332" w14:textId="77777777" w:rsidTr="000344B2">
        <w:trPr>
          <w:trHeight w:val="500"/>
        </w:trPr>
        <w:tc>
          <w:tcPr>
            <w:tcW w:w="2984"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109D9581" w14:textId="77777777" w:rsidR="000344B2" w:rsidRPr="000344B2" w:rsidRDefault="000344B2" w:rsidP="000344B2">
            <w:pPr>
              <w:jc w:val="center"/>
              <w:rPr>
                <w:rFonts w:ascii="Calibri" w:hAnsi="Calibri" w:cs="Calibri"/>
                <w:color w:val="FFFFFF"/>
                <w:sz w:val="15"/>
                <w:szCs w:val="15"/>
              </w:rPr>
            </w:pPr>
            <w:r w:rsidRPr="000344B2">
              <w:rPr>
                <w:rFonts w:ascii="Calibri" w:hAnsi="Calibri" w:cs="Calibri"/>
                <w:color w:val="FFFFFF"/>
                <w:sz w:val="15"/>
                <w:szCs w:val="15"/>
              </w:rPr>
              <w:t> </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087D31CF" w14:textId="77777777" w:rsidR="000344B2" w:rsidRPr="000344B2" w:rsidRDefault="000344B2" w:rsidP="000344B2">
            <w:pPr>
              <w:jc w:val="center"/>
              <w:rPr>
                <w:rFonts w:ascii="Calibri" w:hAnsi="Calibri" w:cs="Calibri"/>
                <w:color w:val="FFFFFF"/>
                <w:sz w:val="15"/>
                <w:szCs w:val="15"/>
              </w:rPr>
            </w:pPr>
            <w:r w:rsidRPr="000344B2">
              <w:rPr>
                <w:rFonts w:ascii="Calibri" w:hAnsi="Calibri" w:cs="Calibri"/>
                <w:color w:val="FFFFFF"/>
                <w:sz w:val="15"/>
                <w:szCs w:val="15"/>
              </w:rPr>
              <w:t>2018</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45EC91AA" w14:textId="77777777" w:rsidR="000344B2" w:rsidRPr="000344B2" w:rsidRDefault="000344B2" w:rsidP="000344B2">
            <w:pPr>
              <w:jc w:val="right"/>
              <w:rPr>
                <w:rFonts w:ascii="Calibri" w:hAnsi="Calibri" w:cs="Calibri"/>
                <w:color w:val="FFFFFF"/>
                <w:sz w:val="15"/>
                <w:szCs w:val="15"/>
              </w:rPr>
            </w:pPr>
            <w:r w:rsidRPr="000344B2">
              <w:rPr>
                <w:rFonts w:ascii="Calibri" w:hAnsi="Calibri" w:cs="Calibri"/>
                <w:color w:val="FFFFFF"/>
                <w:sz w:val="15"/>
                <w:szCs w:val="15"/>
              </w:rPr>
              <w:t>2019</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1F9CFAD4" w14:textId="77777777" w:rsidR="000344B2" w:rsidRPr="000344B2" w:rsidRDefault="000344B2" w:rsidP="000344B2">
            <w:pPr>
              <w:jc w:val="right"/>
              <w:rPr>
                <w:rFonts w:ascii="Calibri" w:hAnsi="Calibri" w:cs="Calibri"/>
                <w:color w:val="FFFFFF"/>
                <w:sz w:val="15"/>
                <w:szCs w:val="15"/>
              </w:rPr>
            </w:pPr>
            <w:r w:rsidRPr="000344B2">
              <w:rPr>
                <w:rFonts w:ascii="Calibri" w:hAnsi="Calibri" w:cs="Calibri"/>
                <w:color w:val="FFFFFF"/>
                <w:sz w:val="15"/>
                <w:szCs w:val="15"/>
              </w:rPr>
              <w:t>2020</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644F6936" w14:textId="77777777" w:rsidR="000344B2" w:rsidRPr="000344B2" w:rsidRDefault="000344B2" w:rsidP="000344B2">
            <w:pPr>
              <w:jc w:val="right"/>
              <w:rPr>
                <w:rFonts w:ascii="Calibri" w:hAnsi="Calibri" w:cs="Calibri"/>
                <w:color w:val="FFFFFF"/>
                <w:sz w:val="15"/>
                <w:szCs w:val="15"/>
              </w:rPr>
            </w:pPr>
            <w:r w:rsidRPr="000344B2">
              <w:rPr>
                <w:rFonts w:ascii="Calibri" w:hAnsi="Calibri" w:cs="Calibri"/>
                <w:color w:val="FFFFFF"/>
                <w:sz w:val="15"/>
                <w:szCs w:val="15"/>
              </w:rPr>
              <w:t>2021</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5584206C" w14:textId="77777777" w:rsidR="000344B2" w:rsidRPr="000344B2" w:rsidRDefault="000344B2" w:rsidP="000344B2">
            <w:pPr>
              <w:jc w:val="right"/>
              <w:rPr>
                <w:rFonts w:ascii="Calibri" w:hAnsi="Calibri" w:cs="Calibri"/>
                <w:color w:val="FFFFFF"/>
                <w:sz w:val="15"/>
                <w:szCs w:val="15"/>
              </w:rPr>
            </w:pPr>
            <w:r w:rsidRPr="000344B2">
              <w:rPr>
                <w:rFonts w:ascii="Calibri" w:hAnsi="Calibri" w:cs="Calibri"/>
                <w:color w:val="FFFFFF"/>
                <w:sz w:val="15"/>
                <w:szCs w:val="15"/>
              </w:rPr>
              <w:t>2022</w:t>
            </w:r>
          </w:p>
        </w:tc>
        <w:tc>
          <w:tcPr>
            <w:tcW w:w="1100" w:type="dxa"/>
            <w:tcBorders>
              <w:top w:val="single" w:sz="4" w:space="0" w:color="auto"/>
              <w:left w:val="nil"/>
              <w:bottom w:val="single" w:sz="4" w:space="0" w:color="auto"/>
              <w:right w:val="single" w:sz="4" w:space="0" w:color="auto"/>
            </w:tcBorders>
            <w:shd w:val="clear" w:color="000000" w:fill="4472C4"/>
            <w:noWrap/>
            <w:vAlign w:val="center"/>
            <w:hideMark/>
          </w:tcPr>
          <w:p w14:paraId="48DCA6FA" w14:textId="7482FF88" w:rsidR="000344B2" w:rsidRPr="000344B2" w:rsidRDefault="000344B2" w:rsidP="000344B2">
            <w:pPr>
              <w:jc w:val="center"/>
              <w:rPr>
                <w:rFonts w:ascii="Calibri" w:hAnsi="Calibri" w:cs="Calibri"/>
                <w:color w:val="FFFFFF"/>
                <w:sz w:val="15"/>
                <w:szCs w:val="15"/>
              </w:rPr>
            </w:pPr>
            <w:r w:rsidRPr="000344B2">
              <w:rPr>
                <w:rFonts w:ascii="Calibri" w:hAnsi="Calibri" w:cs="Calibri"/>
                <w:color w:val="FFFFFF"/>
                <w:sz w:val="15"/>
                <w:szCs w:val="15"/>
              </w:rPr>
              <w:t>2018-202</w:t>
            </w:r>
            <w:r w:rsidR="001C4070">
              <w:rPr>
                <w:rFonts w:ascii="Calibri" w:hAnsi="Calibri" w:cs="Calibri"/>
                <w:color w:val="FFFFFF"/>
                <w:sz w:val="15"/>
                <w:szCs w:val="15"/>
              </w:rPr>
              <w:t>2</w:t>
            </w:r>
          </w:p>
        </w:tc>
      </w:tr>
      <w:tr w:rsidR="000344B2" w:rsidRPr="000344B2" w14:paraId="2746CDA5"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8CBAD"/>
            <w:noWrap/>
            <w:vAlign w:val="center"/>
            <w:hideMark/>
          </w:tcPr>
          <w:p w14:paraId="6861BEDA"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Prévention</w:t>
            </w:r>
          </w:p>
        </w:tc>
        <w:tc>
          <w:tcPr>
            <w:tcW w:w="1100" w:type="dxa"/>
            <w:tcBorders>
              <w:top w:val="nil"/>
              <w:left w:val="nil"/>
              <w:bottom w:val="single" w:sz="4" w:space="0" w:color="auto"/>
              <w:right w:val="single" w:sz="4" w:space="0" w:color="auto"/>
            </w:tcBorders>
            <w:shd w:val="clear" w:color="000000" w:fill="F8CBAD"/>
            <w:noWrap/>
            <w:vAlign w:val="center"/>
            <w:hideMark/>
          </w:tcPr>
          <w:p w14:paraId="08E39B4C"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12 493 170,41</w:t>
            </w:r>
          </w:p>
        </w:tc>
        <w:tc>
          <w:tcPr>
            <w:tcW w:w="1100" w:type="dxa"/>
            <w:tcBorders>
              <w:top w:val="nil"/>
              <w:left w:val="nil"/>
              <w:bottom w:val="single" w:sz="4" w:space="0" w:color="auto"/>
              <w:right w:val="single" w:sz="4" w:space="0" w:color="auto"/>
            </w:tcBorders>
            <w:shd w:val="clear" w:color="000000" w:fill="F8CBAD"/>
            <w:noWrap/>
            <w:vAlign w:val="center"/>
            <w:hideMark/>
          </w:tcPr>
          <w:p w14:paraId="1EC96DE1"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14 562 859,91</w:t>
            </w:r>
          </w:p>
        </w:tc>
        <w:tc>
          <w:tcPr>
            <w:tcW w:w="1100" w:type="dxa"/>
            <w:tcBorders>
              <w:top w:val="nil"/>
              <w:left w:val="nil"/>
              <w:bottom w:val="single" w:sz="4" w:space="0" w:color="auto"/>
              <w:right w:val="single" w:sz="4" w:space="0" w:color="auto"/>
            </w:tcBorders>
            <w:shd w:val="clear" w:color="000000" w:fill="F8CBAD"/>
            <w:noWrap/>
            <w:vAlign w:val="center"/>
            <w:hideMark/>
          </w:tcPr>
          <w:p w14:paraId="30891E37"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16 842 992,31</w:t>
            </w:r>
          </w:p>
        </w:tc>
        <w:tc>
          <w:tcPr>
            <w:tcW w:w="1100" w:type="dxa"/>
            <w:tcBorders>
              <w:top w:val="nil"/>
              <w:left w:val="nil"/>
              <w:bottom w:val="single" w:sz="4" w:space="0" w:color="auto"/>
              <w:right w:val="single" w:sz="4" w:space="0" w:color="auto"/>
            </w:tcBorders>
            <w:shd w:val="clear" w:color="000000" w:fill="F8CBAD"/>
            <w:noWrap/>
            <w:vAlign w:val="center"/>
            <w:hideMark/>
          </w:tcPr>
          <w:p w14:paraId="1758F6C7"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19 299 936,15</w:t>
            </w:r>
          </w:p>
        </w:tc>
        <w:tc>
          <w:tcPr>
            <w:tcW w:w="1100" w:type="dxa"/>
            <w:tcBorders>
              <w:top w:val="nil"/>
              <w:left w:val="nil"/>
              <w:bottom w:val="single" w:sz="4" w:space="0" w:color="auto"/>
              <w:right w:val="single" w:sz="4" w:space="0" w:color="auto"/>
            </w:tcBorders>
            <w:shd w:val="clear" w:color="000000" w:fill="F8CBAD"/>
            <w:noWrap/>
            <w:vAlign w:val="center"/>
            <w:hideMark/>
          </w:tcPr>
          <w:p w14:paraId="4AFFFF1E"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21 724 434,18</w:t>
            </w:r>
          </w:p>
        </w:tc>
        <w:tc>
          <w:tcPr>
            <w:tcW w:w="1100" w:type="dxa"/>
            <w:tcBorders>
              <w:top w:val="nil"/>
              <w:left w:val="nil"/>
              <w:bottom w:val="single" w:sz="4" w:space="0" w:color="auto"/>
              <w:right w:val="single" w:sz="4" w:space="0" w:color="auto"/>
            </w:tcBorders>
            <w:shd w:val="clear" w:color="000000" w:fill="F8CBAD"/>
            <w:noWrap/>
            <w:vAlign w:val="center"/>
            <w:hideMark/>
          </w:tcPr>
          <w:p w14:paraId="59EAFF08"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84 923 392,96</w:t>
            </w:r>
          </w:p>
        </w:tc>
      </w:tr>
      <w:tr w:rsidR="000344B2" w:rsidRPr="000344B2" w14:paraId="78F99CE0"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FFFFF"/>
            <w:noWrap/>
            <w:vAlign w:val="center"/>
            <w:hideMark/>
          </w:tcPr>
          <w:p w14:paraId="624BF075"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Populations clés</w:t>
            </w:r>
          </w:p>
        </w:tc>
        <w:tc>
          <w:tcPr>
            <w:tcW w:w="1100" w:type="dxa"/>
            <w:tcBorders>
              <w:top w:val="nil"/>
              <w:left w:val="nil"/>
              <w:bottom w:val="single" w:sz="4" w:space="0" w:color="auto"/>
              <w:right w:val="single" w:sz="4" w:space="0" w:color="auto"/>
            </w:tcBorders>
            <w:shd w:val="clear" w:color="000000" w:fill="FFFFFF"/>
            <w:noWrap/>
            <w:vAlign w:val="center"/>
            <w:hideMark/>
          </w:tcPr>
          <w:p w14:paraId="16549737"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397 134,70</w:t>
            </w:r>
          </w:p>
        </w:tc>
        <w:tc>
          <w:tcPr>
            <w:tcW w:w="1100" w:type="dxa"/>
            <w:tcBorders>
              <w:top w:val="nil"/>
              <w:left w:val="nil"/>
              <w:bottom w:val="single" w:sz="4" w:space="0" w:color="auto"/>
              <w:right w:val="single" w:sz="4" w:space="0" w:color="auto"/>
            </w:tcBorders>
            <w:shd w:val="clear" w:color="000000" w:fill="FFFFFF"/>
            <w:noWrap/>
            <w:vAlign w:val="center"/>
            <w:hideMark/>
          </w:tcPr>
          <w:p w14:paraId="4639E33C"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533 467,61</w:t>
            </w:r>
          </w:p>
        </w:tc>
        <w:tc>
          <w:tcPr>
            <w:tcW w:w="1100" w:type="dxa"/>
            <w:tcBorders>
              <w:top w:val="nil"/>
              <w:left w:val="nil"/>
              <w:bottom w:val="single" w:sz="4" w:space="0" w:color="auto"/>
              <w:right w:val="single" w:sz="4" w:space="0" w:color="auto"/>
            </w:tcBorders>
            <w:shd w:val="clear" w:color="000000" w:fill="FFFFFF"/>
            <w:noWrap/>
            <w:vAlign w:val="center"/>
            <w:hideMark/>
          </w:tcPr>
          <w:p w14:paraId="35CF4EDD"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729 976,68</w:t>
            </w:r>
          </w:p>
        </w:tc>
        <w:tc>
          <w:tcPr>
            <w:tcW w:w="1100" w:type="dxa"/>
            <w:tcBorders>
              <w:top w:val="nil"/>
              <w:left w:val="nil"/>
              <w:bottom w:val="single" w:sz="4" w:space="0" w:color="auto"/>
              <w:right w:val="single" w:sz="4" w:space="0" w:color="auto"/>
            </w:tcBorders>
            <w:shd w:val="clear" w:color="000000" w:fill="FFFFFF"/>
            <w:noWrap/>
            <w:vAlign w:val="center"/>
            <w:hideMark/>
          </w:tcPr>
          <w:p w14:paraId="6D11347F"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863 359,36</w:t>
            </w:r>
          </w:p>
        </w:tc>
        <w:tc>
          <w:tcPr>
            <w:tcW w:w="1100" w:type="dxa"/>
            <w:tcBorders>
              <w:top w:val="nil"/>
              <w:left w:val="nil"/>
              <w:bottom w:val="single" w:sz="4" w:space="0" w:color="auto"/>
              <w:right w:val="single" w:sz="4" w:space="0" w:color="auto"/>
            </w:tcBorders>
            <w:shd w:val="clear" w:color="000000" w:fill="FFFFFF"/>
            <w:noWrap/>
            <w:vAlign w:val="center"/>
            <w:hideMark/>
          </w:tcPr>
          <w:p w14:paraId="4817DF87"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1 095 116,88</w:t>
            </w:r>
          </w:p>
        </w:tc>
        <w:tc>
          <w:tcPr>
            <w:tcW w:w="1100" w:type="dxa"/>
            <w:tcBorders>
              <w:top w:val="nil"/>
              <w:left w:val="nil"/>
              <w:bottom w:val="single" w:sz="4" w:space="0" w:color="auto"/>
              <w:right w:val="single" w:sz="4" w:space="0" w:color="auto"/>
            </w:tcBorders>
            <w:shd w:val="clear" w:color="000000" w:fill="FFFFFF"/>
            <w:noWrap/>
            <w:vAlign w:val="center"/>
            <w:hideMark/>
          </w:tcPr>
          <w:p w14:paraId="56E70D64"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3 619 055,22</w:t>
            </w:r>
          </w:p>
        </w:tc>
      </w:tr>
      <w:tr w:rsidR="000344B2" w:rsidRPr="000344B2" w14:paraId="50C6EF68"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FFFFF"/>
            <w:noWrap/>
            <w:vAlign w:val="center"/>
            <w:hideMark/>
          </w:tcPr>
          <w:p w14:paraId="1B043EA1"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Populations vulnérables</w:t>
            </w:r>
          </w:p>
        </w:tc>
        <w:tc>
          <w:tcPr>
            <w:tcW w:w="1100" w:type="dxa"/>
            <w:tcBorders>
              <w:top w:val="nil"/>
              <w:left w:val="nil"/>
              <w:bottom w:val="single" w:sz="4" w:space="0" w:color="auto"/>
              <w:right w:val="single" w:sz="4" w:space="0" w:color="auto"/>
            </w:tcBorders>
            <w:shd w:val="clear" w:color="000000" w:fill="FFFFFF"/>
            <w:noWrap/>
            <w:vAlign w:val="center"/>
            <w:hideMark/>
          </w:tcPr>
          <w:p w14:paraId="0CE366B5"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1 579 926,63</w:t>
            </w:r>
          </w:p>
        </w:tc>
        <w:tc>
          <w:tcPr>
            <w:tcW w:w="1100" w:type="dxa"/>
            <w:tcBorders>
              <w:top w:val="nil"/>
              <w:left w:val="nil"/>
              <w:bottom w:val="single" w:sz="4" w:space="0" w:color="auto"/>
              <w:right w:val="single" w:sz="4" w:space="0" w:color="auto"/>
            </w:tcBorders>
            <w:shd w:val="clear" w:color="000000" w:fill="FFFFFF"/>
            <w:noWrap/>
            <w:vAlign w:val="center"/>
            <w:hideMark/>
          </w:tcPr>
          <w:p w14:paraId="0AE7D46C"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1 801 379,22</w:t>
            </w:r>
          </w:p>
        </w:tc>
        <w:tc>
          <w:tcPr>
            <w:tcW w:w="1100" w:type="dxa"/>
            <w:tcBorders>
              <w:top w:val="nil"/>
              <w:left w:val="nil"/>
              <w:bottom w:val="single" w:sz="4" w:space="0" w:color="auto"/>
              <w:right w:val="single" w:sz="4" w:space="0" w:color="auto"/>
            </w:tcBorders>
            <w:shd w:val="clear" w:color="000000" w:fill="FFFFFF"/>
            <w:noWrap/>
            <w:vAlign w:val="center"/>
            <w:hideMark/>
          </w:tcPr>
          <w:p w14:paraId="7ACCDC38"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2 061 203,62</w:t>
            </w:r>
          </w:p>
        </w:tc>
        <w:tc>
          <w:tcPr>
            <w:tcW w:w="1100" w:type="dxa"/>
            <w:tcBorders>
              <w:top w:val="nil"/>
              <w:left w:val="nil"/>
              <w:bottom w:val="single" w:sz="4" w:space="0" w:color="auto"/>
              <w:right w:val="single" w:sz="4" w:space="0" w:color="auto"/>
            </w:tcBorders>
            <w:shd w:val="clear" w:color="000000" w:fill="FFFFFF"/>
            <w:noWrap/>
            <w:vAlign w:val="center"/>
            <w:hideMark/>
          </w:tcPr>
          <w:p w14:paraId="202937E6"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2 317 168,36</w:t>
            </w:r>
          </w:p>
        </w:tc>
        <w:tc>
          <w:tcPr>
            <w:tcW w:w="1100" w:type="dxa"/>
            <w:tcBorders>
              <w:top w:val="nil"/>
              <w:left w:val="nil"/>
              <w:bottom w:val="single" w:sz="4" w:space="0" w:color="auto"/>
              <w:right w:val="single" w:sz="4" w:space="0" w:color="auto"/>
            </w:tcBorders>
            <w:shd w:val="clear" w:color="000000" w:fill="FFFFFF"/>
            <w:noWrap/>
            <w:vAlign w:val="center"/>
            <w:hideMark/>
          </w:tcPr>
          <w:p w14:paraId="6852273A"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2 595 768,27</w:t>
            </w:r>
          </w:p>
        </w:tc>
        <w:tc>
          <w:tcPr>
            <w:tcW w:w="1100" w:type="dxa"/>
            <w:tcBorders>
              <w:top w:val="nil"/>
              <w:left w:val="nil"/>
              <w:bottom w:val="single" w:sz="4" w:space="0" w:color="auto"/>
              <w:right w:val="single" w:sz="4" w:space="0" w:color="auto"/>
            </w:tcBorders>
            <w:shd w:val="clear" w:color="000000" w:fill="FFFFFF"/>
            <w:noWrap/>
            <w:vAlign w:val="center"/>
            <w:hideMark/>
          </w:tcPr>
          <w:p w14:paraId="32B7D083"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10 355 446,10</w:t>
            </w:r>
          </w:p>
        </w:tc>
      </w:tr>
      <w:tr w:rsidR="000344B2" w:rsidRPr="000344B2" w14:paraId="1710B904"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FFFFF"/>
            <w:noWrap/>
            <w:vAlign w:val="center"/>
            <w:hideMark/>
          </w:tcPr>
          <w:p w14:paraId="7ADB3CFF" w14:textId="77777777" w:rsidR="000344B2" w:rsidRPr="000344B2" w:rsidRDefault="000344B2" w:rsidP="000344B2">
            <w:pPr>
              <w:rPr>
                <w:rFonts w:ascii="Calibri" w:hAnsi="Calibri" w:cs="Calibri"/>
                <w:b/>
                <w:bCs/>
                <w:i/>
                <w:iCs/>
                <w:color w:val="000000"/>
                <w:sz w:val="15"/>
                <w:szCs w:val="15"/>
              </w:rPr>
            </w:pPr>
            <w:r w:rsidRPr="000344B2">
              <w:rPr>
                <w:rFonts w:ascii="Calibri" w:hAnsi="Calibri" w:cs="Calibri"/>
                <w:b/>
                <w:bCs/>
                <w:i/>
                <w:iCs/>
                <w:color w:val="000000"/>
                <w:sz w:val="15"/>
                <w:szCs w:val="15"/>
              </w:rPr>
              <w:t>Prestation de services</w:t>
            </w:r>
          </w:p>
        </w:tc>
        <w:tc>
          <w:tcPr>
            <w:tcW w:w="1100" w:type="dxa"/>
            <w:tcBorders>
              <w:top w:val="nil"/>
              <w:left w:val="nil"/>
              <w:bottom w:val="single" w:sz="4" w:space="0" w:color="auto"/>
              <w:right w:val="single" w:sz="4" w:space="0" w:color="auto"/>
            </w:tcBorders>
            <w:shd w:val="clear" w:color="000000" w:fill="FFFFFF"/>
            <w:noWrap/>
            <w:vAlign w:val="center"/>
            <w:hideMark/>
          </w:tcPr>
          <w:p w14:paraId="47C00922"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10 246 125,38</w:t>
            </w:r>
          </w:p>
        </w:tc>
        <w:tc>
          <w:tcPr>
            <w:tcW w:w="1100" w:type="dxa"/>
            <w:tcBorders>
              <w:top w:val="nil"/>
              <w:left w:val="nil"/>
              <w:bottom w:val="single" w:sz="4" w:space="0" w:color="auto"/>
              <w:right w:val="single" w:sz="4" w:space="0" w:color="auto"/>
            </w:tcBorders>
            <w:shd w:val="clear" w:color="000000" w:fill="FFFFFF"/>
            <w:noWrap/>
            <w:vAlign w:val="center"/>
            <w:hideMark/>
          </w:tcPr>
          <w:p w14:paraId="2D2B38FE"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11 568 036,32</w:t>
            </w:r>
          </w:p>
        </w:tc>
        <w:tc>
          <w:tcPr>
            <w:tcW w:w="1100" w:type="dxa"/>
            <w:tcBorders>
              <w:top w:val="nil"/>
              <w:left w:val="nil"/>
              <w:bottom w:val="single" w:sz="4" w:space="0" w:color="auto"/>
              <w:right w:val="single" w:sz="4" w:space="0" w:color="auto"/>
            </w:tcBorders>
            <w:shd w:val="clear" w:color="000000" w:fill="FFFFFF"/>
            <w:noWrap/>
            <w:vAlign w:val="center"/>
            <w:hideMark/>
          </w:tcPr>
          <w:p w14:paraId="6E36215E"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12 909 633,24</w:t>
            </w:r>
          </w:p>
        </w:tc>
        <w:tc>
          <w:tcPr>
            <w:tcW w:w="1100" w:type="dxa"/>
            <w:tcBorders>
              <w:top w:val="nil"/>
              <w:left w:val="nil"/>
              <w:bottom w:val="single" w:sz="4" w:space="0" w:color="auto"/>
              <w:right w:val="single" w:sz="4" w:space="0" w:color="auto"/>
            </w:tcBorders>
            <w:shd w:val="clear" w:color="000000" w:fill="FFFFFF"/>
            <w:noWrap/>
            <w:vAlign w:val="center"/>
            <w:hideMark/>
          </w:tcPr>
          <w:p w14:paraId="2DAAFCB9"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14 427 115,86</w:t>
            </w:r>
          </w:p>
        </w:tc>
        <w:tc>
          <w:tcPr>
            <w:tcW w:w="1100" w:type="dxa"/>
            <w:tcBorders>
              <w:top w:val="nil"/>
              <w:left w:val="nil"/>
              <w:bottom w:val="single" w:sz="4" w:space="0" w:color="auto"/>
              <w:right w:val="single" w:sz="4" w:space="0" w:color="auto"/>
            </w:tcBorders>
            <w:shd w:val="clear" w:color="000000" w:fill="FFFFFF"/>
            <w:noWrap/>
            <w:vAlign w:val="center"/>
            <w:hideMark/>
          </w:tcPr>
          <w:p w14:paraId="13AE1C80"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15 476 260,86</w:t>
            </w:r>
          </w:p>
        </w:tc>
        <w:tc>
          <w:tcPr>
            <w:tcW w:w="1100" w:type="dxa"/>
            <w:tcBorders>
              <w:top w:val="nil"/>
              <w:left w:val="nil"/>
              <w:bottom w:val="single" w:sz="4" w:space="0" w:color="auto"/>
              <w:right w:val="single" w:sz="4" w:space="0" w:color="auto"/>
            </w:tcBorders>
            <w:shd w:val="clear" w:color="000000" w:fill="FFFFFF"/>
            <w:noWrap/>
            <w:vAlign w:val="center"/>
            <w:hideMark/>
          </w:tcPr>
          <w:p w14:paraId="1988256E"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64 627 171,67</w:t>
            </w:r>
          </w:p>
        </w:tc>
      </w:tr>
      <w:tr w:rsidR="000344B2" w:rsidRPr="000344B2" w14:paraId="4D3ADB75"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FFFFF"/>
            <w:noWrap/>
            <w:vAlign w:val="center"/>
            <w:hideMark/>
          </w:tcPr>
          <w:p w14:paraId="77968FF0" w14:textId="77777777" w:rsidR="000344B2" w:rsidRPr="000344B2" w:rsidRDefault="000344B2" w:rsidP="000344B2">
            <w:pPr>
              <w:rPr>
                <w:rFonts w:ascii="Calibri" w:hAnsi="Calibri" w:cs="Calibri"/>
                <w:b/>
                <w:bCs/>
                <w:i/>
                <w:iCs/>
                <w:color w:val="000000"/>
                <w:sz w:val="15"/>
                <w:szCs w:val="15"/>
              </w:rPr>
            </w:pPr>
            <w:r w:rsidRPr="000344B2">
              <w:rPr>
                <w:rFonts w:ascii="Calibri" w:hAnsi="Calibri" w:cs="Calibri"/>
                <w:b/>
                <w:bCs/>
                <w:i/>
                <w:iCs/>
                <w:color w:val="000000"/>
                <w:sz w:val="15"/>
                <w:szCs w:val="15"/>
              </w:rPr>
              <w:t>Soins de santé</w:t>
            </w:r>
          </w:p>
        </w:tc>
        <w:tc>
          <w:tcPr>
            <w:tcW w:w="1100" w:type="dxa"/>
            <w:tcBorders>
              <w:top w:val="nil"/>
              <w:left w:val="nil"/>
              <w:bottom w:val="single" w:sz="4" w:space="0" w:color="auto"/>
              <w:right w:val="single" w:sz="4" w:space="0" w:color="auto"/>
            </w:tcBorders>
            <w:shd w:val="clear" w:color="000000" w:fill="FFFFFF"/>
            <w:noWrap/>
            <w:vAlign w:val="center"/>
            <w:hideMark/>
          </w:tcPr>
          <w:p w14:paraId="661CE0F2"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269 983,70</w:t>
            </w:r>
          </w:p>
        </w:tc>
        <w:tc>
          <w:tcPr>
            <w:tcW w:w="1100" w:type="dxa"/>
            <w:tcBorders>
              <w:top w:val="nil"/>
              <w:left w:val="nil"/>
              <w:bottom w:val="single" w:sz="4" w:space="0" w:color="auto"/>
              <w:right w:val="single" w:sz="4" w:space="0" w:color="auto"/>
            </w:tcBorders>
            <w:shd w:val="clear" w:color="000000" w:fill="FFFFFF"/>
            <w:noWrap/>
            <w:vAlign w:val="center"/>
            <w:hideMark/>
          </w:tcPr>
          <w:p w14:paraId="7CEEA05E"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659 976,76</w:t>
            </w:r>
          </w:p>
        </w:tc>
        <w:tc>
          <w:tcPr>
            <w:tcW w:w="1100" w:type="dxa"/>
            <w:tcBorders>
              <w:top w:val="nil"/>
              <w:left w:val="nil"/>
              <w:bottom w:val="single" w:sz="4" w:space="0" w:color="auto"/>
              <w:right w:val="single" w:sz="4" w:space="0" w:color="auto"/>
            </w:tcBorders>
            <w:shd w:val="clear" w:color="000000" w:fill="FFFFFF"/>
            <w:noWrap/>
            <w:vAlign w:val="center"/>
            <w:hideMark/>
          </w:tcPr>
          <w:p w14:paraId="698B2B09"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1 142 178,76</w:t>
            </w:r>
          </w:p>
        </w:tc>
        <w:tc>
          <w:tcPr>
            <w:tcW w:w="1100" w:type="dxa"/>
            <w:tcBorders>
              <w:top w:val="nil"/>
              <w:left w:val="nil"/>
              <w:bottom w:val="single" w:sz="4" w:space="0" w:color="auto"/>
              <w:right w:val="single" w:sz="4" w:space="0" w:color="auto"/>
            </w:tcBorders>
            <w:shd w:val="clear" w:color="000000" w:fill="FFFFFF"/>
            <w:noWrap/>
            <w:vAlign w:val="center"/>
            <w:hideMark/>
          </w:tcPr>
          <w:p w14:paraId="1AFEDFE6"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1 692 292,57</w:t>
            </w:r>
          </w:p>
        </w:tc>
        <w:tc>
          <w:tcPr>
            <w:tcW w:w="1100" w:type="dxa"/>
            <w:tcBorders>
              <w:top w:val="nil"/>
              <w:left w:val="nil"/>
              <w:bottom w:val="single" w:sz="4" w:space="0" w:color="auto"/>
              <w:right w:val="single" w:sz="4" w:space="0" w:color="auto"/>
            </w:tcBorders>
            <w:shd w:val="clear" w:color="000000" w:fill="FFFFFF"/>
            <w:noWrap/>
            <w:vAlign w:val="center"/>
            <w:hideMark/>
          </w:tcPr>
          <w:p w14:paraId="3EE0360C" w14:textId="77777777" w:rsidR="000344B2" w:rsidRPr="000344B2" w:rsidRDefault="000344B2" w:rsidP="000344B2">
            <w:pPr>
              <w:jc w:val="right"/>
              <w:rPr>
                <w:rFonts w:ascii="Calibri" w:hAnsi="Calibri" w:cs="Calibri"/>
                <w:b/>
                <w:bCs/>
                <w:i/>
                <w:iCs/>
                <w:color w:val="000000"/>
                <w:sz w:val="15"/>
                <w:szCs w:val="15"/>
              </w:rPr>
            </w:pPr>
            <w:r w:rsidRPr="000344B2">
              <w:rPr>
                <w:rFonts w:ascii="Calibri" w:hAnsi="Calibri" w:cs="Calibri"/>
                <w:b/>
                <w:bCs/>
                <w:i/>
                <w:iCs/>
                <w:color w:val="000000"/>
                <w:sz w:val="15"/>
                <w:szCs w:val="15"/>
              </w:rPr>
              <w:t>2 557 288,17</w:t>
            </w:r>
          </w:p>
        </w:tc>
        <w:tc>
          <w:tcPr>
            <w:tcW w:w="1100" w:type="dxa"/>
            <w:tcBorders>
              <w:top w:val="nil"/>
              <w:left w:val="nil"/>
              <w:bottom w:val="single" w:sz="4" w:space="0" w:color="auto"/>
              <w:right w:val="single" w:sz="4" w:space="0" w:color="auto"/>
            </w:tcBorders>
            <w:shd w:val="clear" w:color="000000" w:fill="FFFFFF"/>
            <w:noWrap/>
            <w:vAlign w:val="center"/>
            <w:hideMark/>
          </w:tcPr>
          <w:p w14:paraId="3A864CBE"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6 321 719,97</w:t>
            </w:r>
          </w:p>
        </w:tc>
      </w:tr>
      <w:tr w:rsidR="000344B2" w:rsidRPr="000344B2" w14:paraId="681ECF24"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8CBAD"/>
            <w:noWrap/>
            <w:vAlign w:val="center"/>
            <w:hideMark/>
          </w:tcPr>
          <w:p w14:paraId="6601E773"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Services de soin et de traitement</w:t>
            </w:r>
          </w:p>
        </w:tc>
        <w:tc>
          <w:tcPr>
            <w:tcW w:w="1100" w:type="dxa"/>
            <w:tcBorders>
              <w:top w:val="nil"/>
              <w:left w:val="nil"/>
              <w:bottom w:val="single" w:sz="4" w:space="0" w:color="auto"/>
              <w:right w:val="single" w:sz="4" w:space="0" w:color="auto"/>
            </w:tcBorders>
            <w:shd w:val="clear" w:color="000000" w:fill="F8CBAD"/>
            <w:noWrap/>
            <w:vAlign w:val="center"/>
            <w:hideMark/>
          </w:tcPr>
          <w:p w14:paraId="72191FB5"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18 540 156,84</w:t>
            </w:r>
          </w:p>
        </w:tc>
        <w:tc>
          <w:tcPr>
            <w:tcW w:w="1100" w:type="dxa"/>
            <w:tcBorders>
              <w:top w:val="nil"/>
              <w:left w:val="nil"/>
              <w:bottom w:val="single" w:sz="4" w:space="0" w:color="auto"/>
              <w:right w:val="single" w:sz="4" w:space="0" w:color="auto"/>
            </w:tcBorders>
            <w:shd w:val="clear" w:color="000000" w:fill="F8CBAD"/>
            <w:noWrap/>
            <w:vAlign w:val="center"/>
            <w:hideMark/>
          </w:tcPr>
          <w:p w14:paraId="48E26966"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22 183 236,70</w:t>
            </w:r>
          </w:p>
        </w:tc>
        <w:tc>
          <w:tcPr>
            <w:tcW w:w="1100" w:type="dxa"/>
            <w:tcBorders>
              <w:top w:val="nil"/>
              <w:left w:val="nil"/>
              <w:bottom w:val="single" w:sz="4" w:space="0" w:color="auto"/>
              <w:right w:val="single" w:sz="4" w:space="0" w:color="auto"/>
            </w:tcBorders>
            <w:shd w:val="clear" w:color="000000" w:fill="F8CBAD"/>
            <w:noWrap/>
            <w:vAlign w:val="center"/>
            <w:hideMark/>
          </w:tcPr>
          <w:p w14:paraId="30F257A1"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25 807 502,53</w:t>
            </w:r>
          </w:p>
        </w:tc>
        <w:tc>
          <w:tcPr>
            <w:tcW w:w="1100" w:type="dxa"/>
            <w:tcBorders>
              <w:top w:val="nil"/>
              <w:left w:val="nil"/>
              <w:bottom w:val="single" w:sz="4" w:space="0" w:color="auto"/>
              <w:right w:val="single" w:sz="4" w:space="0" w:color="auto"/>
            </w:tcBorders>
            <w:shd w:val="clear" w:color="000000" w:fill="F8CBAD"/>
            <w:noWrap/>
            <w:vAlign w:val="center"/>
            <w:hideMark/>
          </w:tcPr>
          <w:p w14:paraId="5C1892B4"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28 145 942,96</w:t>
            </w:r>
          </w:p>
        </w:tc>
        <w:tc>
          <w:tcPr>
            <w:tcW w:w="1100" w:type="dxa"/>
            <w:tcBorders>
              <w:top w:val="nil"/>
              <w:left w:val="nil"/>
              <w:bottom w:val="single" w:sz="4" w:space="0" w:color="auto"/>
              <w:right w:val="single" w:sz="4" w:space="0" w:color="auto"/>
            </w:tcBorders>
            <w:shd w:val="clear" w:color="000000" w:fill="F8CBAD"/>
            <w:noWrap/>
            <w:vAlign w:val="center"/>
            <w:hideMark/>
          </w:tcPr>
          <w:p w14:paraId="35C0EDB7"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31 106 302,24</w:t>
            </w:r>
          </w:p>
        </w:tc>
        <w:tc>
          <w:tcPr>
            <w:tcW w:w="1100" w:type="dxa"/>
            <w:tcBorders>
              <w:top w:val="nil"/>
              <w:left w:val="nil"/>
              <w:bottom w:val="single" w:sz="4" w:space="0" w:color="auto"/>
              <w:right w:val="single" w:sz="4" w:space="0" w:color="auto"/>
            </w:tcBorders>
            <w:shd w:val="clear" w:color="000000" w:fill="F8CBAD"/>
            <w:noWrap/>
            <w:vAlign w:val="center"/>
            <w:hideMark/>
          </w:tcPr>
          <w:p w14:paraId="456C55A7"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125 783 141,27</w:t>
            </w:r>
          </w:p>
        </w:tc>
      </w:tr>
      <w:tr w:rsidR="000344B2" w:rsidRPr="000344B2" w14:paraId="6DFCD1A0"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F8CBAD"/>
            <w:noWrap/>
            <w:vAlign w:val="center"/>
            <w:hideMark/>
          </w:tcPr>
          <w:p w14:paraId="00FD925E"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Politique, admin., recherche, suivi et évaluation</w:t>
            </w:r>
          </w:p>
        </w:tc>
        <w:tc>
          <w:tcPr>
            <w:tcW w:w="1100" w:type="dxa"/>
            <w:tcBorders>
              <w:top w:val="nil"/>
              <w:left w:val="nil"/>
              <w:bottom w:val="single" w:sz="4" w:space="0" w:color="auto"/>
              <w:right w:val="single" w:sz="4" w:space="0" w:color="auto"/>
            </w:tcBorders>
            <w:shd w:val="clear" w:color="000000" w:fill="F8CBAD"/>
            <w:noWrap/>
            <w:vAlign w:val="center"/>
            <w:hideMark/>
          </w:tcPr>
          <w:p w14:paraId="1AE4BE0C"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7 665 231,83</w:t>
            </w:r>
          </w:p>
        </w:tc>
        <w:tc>
          <w:tcPr>
            <w:tcW w:w="1100" w:type="dxa"/>
            <w:tcBorders>
              <w:top w:val="nil"/>
              <w:left w:val="nil"/>
              <w:bottom w:val="single" w:sz="4" w:space="0" w:color="auto"/>
              <w:right w:val="single" w:sz="4" w:space="0" w:color="auto"/>
            </w:tcBorders>
            <w:shd w:val="clear" w:color="000000" w:fill="F8CBAD"/>
            <w:noWrap/>
            <w:vAlign w:val="center"/>
            <w:hideMark/>
          </w:tcPr>
          <w:p w14:paraId="545B980B"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9 076 285,86</w:t>
            </w:r>
          </w:p>
        </w:tc>
        <w:tc>
          <w:tcPr>
            <w:tcW w:w="1100" w:type="dxa"/>
            <w:tcBorders>
              <w:top w:val="nil"/>
              <w:left w:val="nil"/>
              <w:bottom w:val="single" w:sz="4" w:space="0" w:color="auto"/>
              <w:right w:val="single" w:sz="4" w:space="0" w:color="auto"/>
            </w:tcBorders>
            <w:shd w:val="clear" w:color="000000" w:fill="F8CBAD"/>
            <w:noWrap/>
            <w:vAlign w:val="center"/>
            <w:hideMark/>
          </w:tcPr>
          <w:p w14:paraId="58E4C07D"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10 534 672,23</w:t>
            </w:r>
          </w:p>
        </w:tc>
        <w:tc>
          <w:tcPr>
            <w:tcW w:w="1100" w:type="dxa"/>
            <w:tcBorders>
              <w:top w:val="nil"/>
              <w:left w:val="nil"/>
              <w:bottom w:val="single" w:sz="4" w:space="0" w:color="auto"/>
              <w:right w:val="single" w:sz="4" w:space="0" w:color="auto"/>
            </w:tcBorders>
            <w:shd w:val="clear" w:color="000000" w:fill="F8CBAD"/>
            <w:noWrap/>
            <w:vAlign w:val="center"/>
            <w:hideMark/>
          </w:tcPr>
          <w:p w14:paraId="5AB95F83"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11 719 132,14</w:t>
            </w:r>
          </w:p>
        </w:tc>
        <w:tc>
          <w:tcPr>
            <w:tcW w:w="1100" w:type="dxa"/>
            <w:tcBorders>
              <w:top w:val="nil"/>
              <w:left w:val="nil"/>
              <w:bottom w:val="single" w:sz="4" w:space="0" w:color="auto"/>
              <w:right w:val="single" w:sz="4" w:space="0" w:color="auto"/>
            </w:tcBorders>
            <w:shd w:val="clear" w:color="000000" w:fill="F8CBAD"/>
            <w:noWrap/>
            <w:vAlign w:val="center"/>
            <w:hideMark/>
          </w:tcPr>
          <w:p w14:paraId="14921835"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13 049 191,89</w:t>
            </w:r>
          </w:p>
        </w:tc>
        <w:tc>
          <w:tcPr>
            <w:tcW w:w="1100" w:type="dxa"/>
            <w:tcBorders>
              <w:top w:val="nil"/>
              <w:left w:val="nil"/>
              <w:bottom w:val="single" w:sz="4" w:space="0" w:color="auto"/>
              <w:right w:val="single" w:sz="4" w:space="0" w:color="auto"/>
            </w:tcBorders>
            <w:shd w:val="clear" w:color="000000" w:fill="F8CBAD"/>
            <w:noWrap/>
            <w:vAlign w:val="center"/>
            <w:hideMark/>
          </w:tcPr>
          <w:p w14:paraId="43B76725"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52 044 513,95</w:t>
            </w:r>
          </w:p>
        </w:tc>
      </w:tr>
      <w:tr w:rsidR="000344B2" w:rsidRPr="000344B2" w14:paraId="4156AA11" w14:textId="77777777" w:rsidTr="000344B2">
        <w:trPr>
          <w:trHeight w:val="500"/>
        </w:trPr>
        <w:tc>
          <w:tcPr>
            <w:tcW w:w="2984" w:type="dxa"/>
            <w:tcBorders>
              <w:top w:val="nil"/>
              <w:left w:val="single" w:sz="4" w:space="0" w:color="auto"/>
              <w:bottom w:val="single" w:sz="4" w:space="0" w:color="auto"/>
              <w:right w:val="single" w:sz="4" w:space="0" w:color="auto"/>
            </w:tcBorders>
            <w:shd w:val="clear" w:color="000000" w:fill="E7E6E6"/>
            <w:noWrap/>
            <w:vAlign w:val="center"/>
            <w:hideMark/>
          </w:tcPr>
          <w:p w14:paraId="1702E981" w14:textId="77777777" w:rsidR="000344B2" w:rsidRPr="000344B2" w:rsidRDefault="000344B2" w:rsidP="000344B2">
            <w:pPr>
              <w:rPr>
                <w:rFonts w:ascii="Calibri" w:hAnsi="Calibri" w:cs="Calibri"/>
                <w:b/>
                <w:bCs/>
                <w:color w:val="000000"/>
                <w:sz w:val="15"/>
                <w:szCs w:val="15"/>
              </w:rPr>
            </w:pPr>
            <w:r w:rsidRPr="000344B2">
              <w:rPr>
                <w:rFonts w:ascii="Calibri" w:hAnsi="Calibri" w:cs="Calibri"/>
                <w:b/>
                <w:bCs/>
                <w:color w:val="000000"/>
                <w:sz w:val="15"/>
                <w:szCs w:val="15"/>
              </w:rPr>
              <w:t>Total Unité de USD</w:t>
            </w:r>
          </w:p>
        </w:tc>
        <w:tc>
          <w:tcPr>
            <w:tcW w:w="1100" w:type="dxa"/>
            <w:tcBorders>
              <w:top w:val="nil"/>
              <w:left w:val="nil"/>
              <w:bottom w:val="single" w:sz="4" w:space="0" w:color="auto"/>
              <w:right w:val="single" w:sz="4" w:space="0" w:color="auto"/>
            </w:tcBorders>
            <w:shd w:val="clear" w:color="000000" w:fill="E7E6E6"/>
            <w:noWrap/>
            <w:vAlign w:val="center"/>
            <w:hideMark/>
          </w:tcPr>
          <w:p w14:paraId="65C4AF6F"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38 698 559,08</w:t>
            </w:r>
          </w:p>
        </w:tc>
        <w:tc>
          <w:tcPr>
            <w:tcW w:w="1100" w:type="dxa"/>
            <w:tcBorders>
              <w:top w:val="nil"/>
              <w:left w:val="nil"/>
              <w:bottom w:val="single" w:sz="4" w:space="0" w:color="auto"/>
              <w:right w:val="single" w:sz="4" w:space="0" w:color="auto"/>
            </w:tcBorders>
            <w:shd w:val="clear" w:color="000000" w:fill="E7E6E6"/>
            <w:noWrap/>
            <w:vAlign w:val="center"/>
            <w:hideMark/>
          </w:tcPr>
          <w:p w14:paraId="458B30A8"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45 822 382,47</w:t>
            </w:r>
          </w:p>
        </w:tc>
        <w:tc>
          <w:tcPr>
            <w:tcW w:w="1100" w:type="dxa"/>
            <w:tcBorders>
              <w:top w:val="nil"/>
              <w:left w:val="nil"/>
              <w:bottom w:val="single" w:sz="4" w:space="0" w:color="auto"/>
              <w:right w:val="single" w:sz="4" w:space="0" w:color="auto"/>
            </w:tcBorders>
            <w:shd w:val="clear" w:color="000000" w:fill="E7E6E6"/>
            <w:noWrap/>
            <w:vAlign w:val="center"/>
            <w:hideMark/>
          </w:tcPr>
          <w:p w14:paraId="07D67620"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53 185 167,07</w:t>
            </w:r>
          </w:p>
        </w:tc>
        <w:tc>
          <w:tcPr>
            <w:tcW w:w="1100" w:type="dxa"/>
            <w:tcBorders>
              <w:top w:val="nil"/>
              <w:left w:val="nil"/>
              <w:bottom w:val="single" w:sz="4" w:space="0" w:color="auto"/>
              <w:right w:val="single" w:sz="4" w:space="0" w:color="auto"/>
            </w:tcBorders>
            <w:shd w:val="clear" w:color="000000" w:fill="E7E6E6"/>
            <w:noWrap/>
            <w:vAlign w:val="center"/>
            <w:hideMark/>
          </w:tcPr>
          <w:p w14:paraId="497E5BFA"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59 165 011,25</w:t>
            </w:r>
          </w:p>
        </w:tc>
        <w:tc>
          <w:tcPr>
            <w:tcW w:w="1100" w:type="dxa"/>
            <w:tcBorders>
              <w:top w:val="nil"/>
              <w:left w:val="nil"/>
              <w:bottom w:val="single" w:sz="4" w:space="0" w:color="auto"/>
              <w:right w:val="single" w:sz="4" w:space="0" w:color="auto"/>
            </w:tcBorders>
            <w:shd w:val="clear" w:color="000000" w:fill="E7E6E6"/>
            <w:noWrap/>
            <w:vAlign w:val="center"/>
            <w:hideMark/>
          </w:tcPr>
          <w:p w14:paraId="0F9B620F"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65 879 928,31</w:t>
            </w:r>
          </w:p>
        </w:tc>
        <w:tc>
          <w:tcPr>
            <w:tcW w:w="1100" w:type="dxa"/>
            <w:tcBorders>
              <w:top w:val="nil"/>
              <w:left w:val="nil"/>
              <w:bottom w:val="single" w:sz="4" w:space="0" w:color="auto"/>
              <w:right w:val="single" w:sz="4" w:space="0" w:color="auto"/>
            </w:tcBorders>
            <w:shd w:val="clear" w:color="000000" w:fill="E7E6E6"/>
            <w:noWrap/>
            <w:vAlign w:val="center"/>
            <w:hideMark/>
          </w:tcPr>
          <w:p w14:paraId="570DA3ED" w14:textId="77777777" w:rsidR="000344B2" w:rsidRPr="000344B2" w:rsidRDefault="000344B2" w:rsidP="000344B2">
            <w:pPr>
              <w:jc w:val="right"/>
              <w:rPr>
                <w:rFonts w:ascii="Calibri" w:hAnsi="Calibri" w:cs="Calibri"/>
                <w:b/>
                <w:bCs/>
                <w:color w:val="000000"/>
                <w:sz w:val="15"/>
                <w:szCs w:val="15"/>
              </w:rPr>
            </w:pPr>
            <w:r w:rsidRPr="000344B2">
              <w:rPr>
                <w:rFonts w:ascii="Calibri" w:hAnsi="Calibri" w:cs="Calibri"/>
                <w:b/>
                <w:bCs/>
                <w:color w:val="000000"/>
                <w:sz w:val="15"/>
                <w:szCs w:val="15"/>
              </w:rPr>
              <w:t>262 751 048,18</w:t>
            </w:r>
          </w:p>
        </w:tc>
      </w:tr>
    </w:tbl>
    <w:p w14:paraId="2E6C6CFB" w14:textId="77777777" w:rsidR="000344B2" w:rsidRDefault="000344B2" w:rsidP="00C64BCC">
      <w:pPr>
        <w:pStyle w:val="Sansinterligne"/>
        <w:jc w:val="both"/>
        <w:rPr>
          <w:b/>
          <w:sz w:val="24"/>
          <w:szCs w:val="24"/>
        </w:rPr>
      </w:pPr>
    </w:p>
    <w:bookmarkEnd w:id="132"/>
    <w:bookmarkEnd w:id="134"/>
    <w:bookmarkEnd w:id="135"/>
    <w:p w14:paraId="676FC55C" w14:textId="77777777" w:rsidR="00787CCB" w:rsidRPr="005A0CA9" w:rsidRDefault="00240456" w:rsidP="00C64BCC">
      <w:pPr>
        <w:pStyle w:val="Titre2"/>
        <w:numPr>
          <w:ilvl w:val="1"/>
          <w:numId w:val="6"/>
        </w:numPr>
        <w:spacing w:after="0"/>
        <w:ind w:left="426" w:hanging="426"/>
        <w:rPr>
          <w:rFonts w:ascii="Calibri" w:hAnsi="Calibri"/>
          <w:color w:val="2F5496" w:themeColor="accent5" w:themeShade="BF"/>
          <w:szCs w:val="24"/>
        </w:rPr>
      </w:pPr>
      <w:r>
        <w:rPr>
          <w:rFonts w:ascii="Calibri" w:hAnsi="Calibri"/>
          <w:color w:val="2F5496" w:themeColor="accent5" w:themeShade="BF"/>
          <w:szCs w:val="24"/>
        </w:rPr>
        <w:fldChar w:fldCharType="begin"/>
      </w:r>
      <w:r>
        <w:rPr>
          <w:rFonts w:ascii="Calibri" w:hAnsi="Calibri"/>
          <w:color w:val="2F5496" w:themeColor="accent5" w:themeShade="BF"/>
          <w:szCs w:val="24"/>
        </w:rPr>
        <w:instrText xml:space="preserve"> HYPERLINK \l "_Toc360118451" </w:instrText>
      </w:r>
      <w:r>
        <w:rPr>
          <w:rFonts w:ascii="Calibri" w:hAnsi="Calibri"/>
          <w:color w:val="2F5496" w:themeColor="accent5" w:themeShade="BF"/>
          <w:szCs w:val="24"/>
        </w:rPr>
        <w:fldChar w:fldCharType="separate"/>
      </w:r>
      <w:bookmarkStart w:id="137" w:name="_Toc370812812"/>
      <w:bookmarkStart w:id="138" w:name="_Toc500335885"/>
      <w:bookmarkStart w:id="139" w:name="_Toc500520945"/>
      <w:bookmarkStart w:id="140" w:name="_Toc520983541"/>
      <w:r w:rsidR="00787CCB" w:rsidRPr="005A0CA9">
        <w:rPr>
          <w:rFonts w:ascii="Calibri" w:hAnsi="Calibri"/>
          <w:color w:val="2F5496" w:themeColor="accent5" w:themeShade="BF"/>
          <w:szCs w:val="24"/>
        </w:rPr>
        <w:t>Stratégie pour la mobilisation des ressources</w:t>
      </w:r>
      <w:bookmarkEnd w:id="137"/>
      <w:bookmarkEnd w:id="138"/>
      <w:bookmarkEnd w:id="139"/>
      <w:bookmarkEnd w:id="140"/>
      <w:r>
        <w:rPr>
          <w:rFonts w:ascii="Calibri" w:hAnsi="Calibri"/>
          <w:color w:val="2F5496" w:themeColor="accent5" w:themeShade="BF"/>
          <w:szCs w:val="24"/>
        </w:rPr>
        <w:fldChar w:fldCharType="end"/>
      </w:r>
    </w:p>
    <w:p w14:paraId="45F357DA" w14:textId="77777777" w:rsidR="00787CCB" w:rsidRDefault="00787CCB" w:rsidP="00C64BCC">
      <w:pPr>
        <w:jc w:val="both"/>
        <w:rPr>
          <w:rFonts w:ascii="Calibri" w:hAnsi="Calibri"/>
        </w:rPr>
      </w:pPr>
    </w:p>
    <w:p w14:paraId="237E2295" w14:textId="77777777" w:rsidR="00787CCB" w:rsidRPr="005B52BA" w:rsidRDefault="00787CCB" w:rsidP="00C64BCC">
      <w:pPr>
        <w:jc w:val="both"/>
        <w:rPr>
          <w:rFonts w:ascii="Calibri" w:hAnsi="Calibri"/>
        </w:rPr>
      </w:pPr>
      <w:r w:rsidRPr="005B52BA">
        <w:rPr>
          <w:rFonts w:ascii="Calibri" w:hAnsi="Calibri"/>
        </w:rPr>
        <w:t>Pour combler le gap financier, il sera organisé une table ronde de partenaires techniques et financiers, élargie au secteur privé. La mobilisation des ressources se fera aux plans interne et externe :</w:t>
      </w:r>
    </w:p>
    <w:p w14:paraId="3901868C" w14:textId="77777777" w:rsidR="00787CCB" w:rsidRPr="005B52BA" w:rsidRDefault="00787CCB" w:rsidP="00C64BCC">
      <w:pPr>
        <w:jc w:val="both"/>
        <w:rPr>
          <w:rFonts w:ascii="Calibri" w:hAnsi="Calibri"/>
        </w:rPr>
      </w:pPr>
    </w:p>
    <w:p w14:paraId="0A93693A" w14:textId="77777777" w:rsidR="00787CCB" w:rsidRPr="005B52BA" w:rsidRDefault="00787CCB" w:rsidP="00C64BCC">
      <w:pPr>
        <w:numPr>
          <w:ilvl w:val="0"/>
          <w:numId w:val="13"/>
        </w:numPr>
        <w:tabs>
          <w:tab w:val="num" w:pos="284"/>
        </w:tabs>
        <w:autoSpaceDE w:val="0"/>
        <w:autoSpaceDN w:val="0"/>
        <w:adjustRightInd w:val="0"/>
        <w:ind w:left="284" w:hanging="284"/>
        <w:jc w:val="both"/>
        <w:rPr>
          <w:rFonts w:ascii="Calibri" w:hAnsi="Calibri"/>
          <w:b/>
        </w:rPr>
      </w:pPr>
      <w:r w:rsidRPr="005B52BA">
        <w:rPr>
          <w:rFonts w:ascii="Calibri" w:hAnsi="Calibri"/>
          <w:b/>
        </w:rPr>
        <w:t>La mobilisation externe :</w:t>
      </w:r>
    </w:p>
    <w:p w14:paraId="182CAF98" w14:textId="77777777" w:rsidR="00787CCB" w:rsidRPr="005B52BA" w:rsidRDefault="00787CCB" w:rsidP="00EF20A4">
      <w:pPr>
        <w:pStyle w:val="Sansinterligne"/>
        <w:ind w:left="284"/>
        <w:jc w:val="both"/>
        <w:rPr>
          <w:sz w:val="24"/>
          <w:szCs w:val="24"/>
        </w:rPr>
      </w:pPr>
      <w:r w:rsidRPr="005B52BA">
        <w:rPr>
          <w:sz w:val="24"/>
          <w:szCs w:val="24"/>
        </w:rPr>
        <w:t>En plus des principaux bailleurs de fonds traditionnels, la mobilisation des ressources se fera à travers des requêtes de financement et des missions de plaidoyer au niveau régional et international.</w:t>
      </w:r>
    </w:p>
    <w:p w14:paraId="05591C29" w14:textId="77777777" w:rsidR="00787CCB" w:rsidRPr="005B52BA" w:rsidRDefault="00787CCB" w:rsidP="00C64BCC">
      <w:pPr>
        <w:pStyle w:val="Sansinterligne"/>
        <w:jc w:val="both"/>
        <w:rPr>
          <w:sz w:val="24"/>
          <w:szCs w:val="24"/>
        </w:rPr>
      </w:pPr>
    </w:p>
    <w:p w14:paraId="4699FE60" w14:textId="77777777" w:rsidR="00787CCB" w:rsidRPr="005B52BA" w:rsidRDefault="00787CCB" w:rsidP="00C64BCC">
      <w:pPr>
        <w:numPr>
          <w:ilvl w:val="0"/>
          <w:numId w:val="13"/>
        </w:numPr>
        <w:tabs>
          <w:tab w:val="num" w:pos="284"/>
        </w:tabs>
        <w:autoSpaceDE w:val="0"/>
        <w:autoSpaceDN w:val="0"/>
        <w:adjustRightInd w:val="0"/>
        <w:ind w:left="284" w:hanging="284"/>
        <w:jc w:val="both"/>
        <w:rPr>
          <w:rFonts w:ascii="Calibri" w:hAnsi="Calibri"/>
          <w:b/>
        </w:rPr>
      </w:pPr>
      <w:r w:rsidRPr="005B52BA">
        <w:rPr>
          <w:rFonts w:ascii="Calibri" w:hAnsi="Calibri"/>
          <w:b/>
        </w:rPr>
        <w:t>La mobilisation interne :</w:t>
      </w:r>
    </w:p>
    <w:p w14:paraId="21DC0736" w14:textId="58232C12" w:rsidR="00787CCB" w:rsidRPr="005B52BA" w:rsidRDefault="00787CCB" w:rsidP="00EF20A4">
      <w:pPr>
        <w:pStyle w:val="Sansinterligne"/>
        <w:ind w:left="284"/>
        <w:jc w:val="both"/>
        <w:rPr>
          <w:sz w:val="24"/>
          <w:szCs w:val="24"/>
        </w:rPr>
      </w:pPr>
      <w:r w:rsidRPr="005B52BA">
        <w:rPr>
          <w:sz w:val="24"/>
          <w:szCs w:val="24"/>
        </w:rPr>
        <w:t>Elle se fera à travers : L’intégration du VIH dans les plans et projets de développement ; L’inscription de la ligne VIH dans le budget de l’</w:t>
      </w:r>
      <w:r w:rsidR="006C10BF" w:rsidRPr="005B52BA">
        <w:rPr>
          <w:sz w:val="24"/>
          <w:szCs w:val="24"/>
        </w:rPr>
        <w:t>État</w:t>
      </w:r>
      <w:r w:rsidRPr="005B52BA">
        <w:rPr>
          <w:sz w:val="24"/>
          <w:szCs w:val="24"/>
        </w:rPr>
        <w:t>, dans les budgets sectoriels et des collectivités territoriales (communes, conseils régionaux</w:t>
      </w:r>
      <w:proofErr w:type="gramStart"/>
      <w:r w:rsidRPr="005B52BA">
        <w:rPr>
          <w:sz w:val="24"/>
          <w:szCs w:val="24"/>
        </w:rPr>
        <w:t>);</w:t>
      </w:r>
      <w:proofErr w:type="gramEnd"/>
      <w:r w:rsidRPr="005B52BA">
        <w:rPr>
          <w:sz w:val="24"/>
          <w:szCs w:val="24"/>
        </w:rPr>
        <w:t xml:space="preserve"> Le plaidoyer pour la contribution du secteur privé ; L’organisation de </w:t>
      </w:r>
      <w:proofErr w:type="spellStart"/>
      <w:r w:rsidR="0036679F">
        <w:rPr>
          <w:sz w:val="24"/>
          <w:szCs w:val="24"/>
        </w:rPr>
        <w:t>sida</w:t>
      </w:r>
      <w:r w:rsidRPr="005B52BA">
        <w:rPr>
          <w:sz w:val="24"/>
          <w:szCs w:val="24"/>
        </w:rPr>
        <w:t>thon</w:t>
      </w:r>
      <w:proofErr w:type="spellEnd"/>
      <w:r w:rsidRPr="005B52BA">
        <w:rPr>
          <w:sz w:val="24"/>
          <w:szCs w:val="24"/>
        </w:rPr>
        <w:t>, etc.</w:t>
      </w:r>
    </w:p>
    <w:p w14:paraId="110D793D" w14:textId="17F69586" w:rsidR="00787CCB" w:rsidRDefault="00787CCB" w:rsidP="00C64BCC">
      <w:pPr>
        <w:pStyle w:val="Sansinterligne"/>
        <w:jc w:val="both"/>
        <w:rPr>
          <w:sz w:val="24"/>
          <w:szCs w:val="24"/>
        </w:rPr>
      </w:pPr>
    </w:p>
    <w:p w14:paraId="69D2FF55" w14:textId="5E9A4EEC" w:rsidR="00284484" w:rsidRDefault="00284484" w:rsidP="00C64BCC">
      <w:pPr>
        <w:pStyle w:val="Sansinterligne"/>
        <w:jc w:val="both"/>
        <w:rPr>
          <w:sz w:val="24"/>
          <w:szCs w:val="24"/>
        </w:rPr>
      </w:pPr>
    </w:p>
    <w:p w14:paraId="60D294EA" w14:textId="77777777" w:rsidR="00284484" w:rsidRPr="005B52BA" w:rsidRDefault="00284484" w:rsidP="00C64BCC">
      <w:pPr>
        <w:pStyle w:val="Sansinterligne"/>
        <w:jc w:val="both"/>
        <w:rPr>
          <w:sz w:val="24"/>
          <w:szCs w:val="24"/>
        </w:rPr>
      </w:pPr>
    </w:p>
    <w:p w14:paraId="4CF0CBBC" w14:textId="77777777" w:rsidR="00787CCB" w:rsidRPr="005A0CA9" w:rsidRDefault="00DB4486" w:rsidP="00C64BCC">
      <w:pPr>
        <w:pStyle w:val="Titre2"/>
        <w:numPr>
          <w:ilvl w:val="1"/>
          <w:numId w:val="6"/>
        </w:numPr>
        <w:spacing w:after="0"/>
        <w:ind w:left="426" w:hanging="426"/>
        <w:rPr>
          <w:rFonts w:ascii="Calibri" w:hAnsi="Calibri"/>
          <w:color w:val="2F5496" w:themeColor="accent5" w:themeShade="BF"/>
          <w:szCs w:val="24"/>
        </w:rPr>
      </w:pPr>
      <w:hyperlink w:anchor="_Toc360118452" w:history="1">
        <w:bookmarkStart w:id="141" w:name="_Toc370812813"/>
        <w:bookmarkStart w:id="142" w:name="_Toc500335886"/>
        <w:bookmarkStart w:id="143" w:name="_Toc500520946"/>
        <w:bookmarkStart w:id="144" w:name="_Toc520983542"/>
        <w:r w:rsidR="00787CCB" w:rsidRPr="005A0CA9">
          <w:rPr>
            <w:rFonts w:ascii="Calibri" w:hAnsi="Calibri"/>
            <w:color w:val="2F5496" w:themeColor="accent5" w:themeShade="BF"/>
            <w:szCs w:val="24"/>
          </w:rPr>
          <w:t>Mécanismes de Gestion des Ressources et Financières</w:t>
        </w:r>
        <w:bookmarkEnd w:id="141"/>
        <w:bookmarkEnd w:id="142"/>
        <w:bookmarkEnd w:id="143"/>
        <w:bookmarkEnd w:id="144"/>
        <w:r w:rsidR="00787CCB" w:rsidRPr="005A0CA9">
          <w:rPr>
            <w:rFonts w:ascii="Calibri" w:hAnsi="Calibri"/>
            <w:color w:val="2F5496" w:themeColor="accent5" w:themeShade="BF"/>
            <w:szCs w:val="24"/>
          </w:rPr>
          <w:t xml:space="preserve"> </w:t>
        </w:r>
      </w:hyperlink>
    </w:p>
    <w:p w14:paraId="4CC4DC70" w14:textId="77777777" w:rsidR="00787CCB" w:rsidRPr="005B52BA" w:rsidRDefault="00787CCB" w:rsidP="00C64BCC">
      <w:pPr>
        <w:jc w:val="both"/>
        <w:rPr>
          <w:rFonts w:ascii="Calibri" w:hAnsi="Calibri"/>
        </w:rPr>
      </w:pPr>
    </w:p>
    <w:p w14:paraId="3749992B" w14:textId="60BC36A9" w:rsidR="00787CCB" w:rsidRPr="005B52BA" w:rsidRDefault="00787CCB" w:rsidP="00C64BCC">
      <w:pPr>
        <w:rPr>
          <w:rFonts w:ascii="Calibri" w:hAnsi="Calibri"/>
        </w:rPr>
      </w:pPr>
      <w:r w:rsidRPr="005B52BA">
        <w:rPr>
          <w:rFonts w:ascii="Calibri" w:hAnsi="Calibri"/>
        </w:rPr>
        <w:t>La gestion des ressources financières mobilisées dans le cadre de la mise en œuvre du CSN 2018-2022</w:t>
      </w:r>
      <w:r w:rsidR="00DA0F0F">
        <w:rPr>
          <w:rFonts w:ascii="Calibri" w:hAnsi="Calibri"/>
        </w:rPr>
        <w:t xml:space="preserve"> </w:t>
      </w:r>
      <w:r w:rsidRPr="005B52BA">
        <w:rPr>
          <w:rFonts w:ascii="Calibri" w:hAnsi="Calibri"/>
        </w:rPr>
        <w:t>obéira aux procédures en vigueur au niveau national et international en matière de gestion financière et comptable.</w:t>
      </w:r>
    </w:p>
    <w:p w14:paraId="1D85D05A" w14:textId="77777777" w:rsidR="00787CCB" w:rsidRPr="005B52BA" w:rsidRDefault="00787CCB" w:rsidP="00C64BCC">
      <w:pPr>
        <w:rPr>
          <w:rFonts w:ascii="Calibri" w:hAnsi="Calibri"/>
        </w:rPr>
      </w:pPr>
    </w:p>
    <w:p w14:paraId="3196DC58" w14:textId="77777777" w:rsidR="00787CCB" w:rsidRPr="005B52BA" w:rsidRDefault="00787CCB" w:rsidP="00C64BCC">
      <w:pPr>
        <w:jc w:val="both"/>
        <w:rPr>
          <w:rFonts w:ascii="Calibri" w:hAnsi="Calibri"/>
        </w:rPr>
      </w:pPr>
      <w:r w:rsidRPr="005B52BA">
        <w:rPr>
          <w:rFonts w:ascii="Calibri" w:hAnsi="Calibri"/>
        </w:rPr>
        <w:t xml:space="preserve"> Au niveau national, ces procédures sont définies dans le manuel révisé de procédures administratives, financières et comptables du SE/CNLS.  Le système de contrôle mis en place sera renforcé en vue d’optimiser l’utilisation des ressources disponibles.</w:t>
      </w:r>
    </w:p>
    <w:p w14:paraId="038FF909" w14:textId="77777777" w:rsidR="00787CCB" w:rsidRPr="005B52BA" w:rsidRDefault="00787CCB" w:rsidP="00C64BCC">
      <w:pPr>
        <w:rPr>
          <w:rFonts w:ascii="Calibri" w:hAnsi="Calibri"/>
        </w:rPr>
      </w:pPr>
    </w:p>
    <w:p w14:paraId="4551724F" w14:textId="77777777" w:rsidR="00787CCB" w:rsidRPr="005B52BA" w:rsidRDefault="00787CCB" w:rsidP="00C64BCC">
      <w:pPr>
        <w:jc w:val="both"/>
        <w:rPr>
          <w:rFonts w:ascii="Calibri" w:hAnsi="Calibri"/>
        </w:rPr>
      </w:pPr>
      <w:r w:rsidRPr="005B52BA">
        <w:rPr>
          <w:rFonts w:ascii="Calibri" w:hAnsi="Calibri"/>
        </w:rPr>
        <w:t xml:space="preserve"> Ce système comprend :</w:t>
      </w:r>
    </w:p>
    <w:p w14:paraId="609B28B3" w14:textId="77777777" w:rsidR="00787CCB" w:rsidRPr="005B52BA" w:rsidRDefault="00787CCB" w:rsidP="00C64BCC">
      <w:pPr>
        <w:numPr>
          <w:ilvl w:val="0"/>
          <w:numId w:val="13"/>
        </w:numPr>
        <w:tabs>
          <w:tab w:val="num" w:pos="426"/>
        </w:tabs>
        <w:autoSpaceDE w:val="0"/>
        <w:autoSpaceDN w:val="0"/>
        <w:adjustRightInd w:val="0"/>
        <w:ind w:left="426" w:hanging="284"/>
        <w:rPr>
          <w:rFonts w:ascii="Calibri" w:hAnsi="Calibri"/>
        </w:rPr>
      </w:pPr>
      <w:r w:rsidRPr="005B52BA">
        <w:rPr>
          <w:rFonts w:ascii="Calibri" w:hAnsi="Calibri"/>
        </w:rPr>
        <w:t>Le contrôle interne : les procédures de contrôle interne sont définies dans le manuel des procédures administratives, financières et comptables. Ce contrôle sera renforcé par des mécanismes supplémentaires selon les exigences du partenaire financier.</w:t>
      </w:r>
    </w:p>
    <w:p w14:paraId="1B267290" w14:textId="01C6C3AE" w:rsidR="00787CCB" w:rsidRPr="00106FD1" w:rsidRDefault="00787CCB" w:rsidP="00C64BCC">
      <w:pPr>
        <w:numPr>
          <w:ilvl w:val="0"/>
          <w:numId w:val="13"/>
        </w:numPr>
        <w:tabs>
          <w:tab w:val="num" w:pos="426"/>
        </w:tabs>
        <w:autoSpaceDE w:val="0"/>
        <w:autoSpaceDN w:val="0"/>
        <w:adjustRightInd w:val="0"/>
        <w:ind w:left="426" w:hanging="284"/>
        <w:rPr>
          <w:rFonts w:ascii="Calibri" w:hAnsi="Calibri"/>
        </w:rPr>
      </w:pPr>
      <w:r w:rsidRPr="005B52BA">
        <w:rPr>
          <w:rFonts w:ascii="Calibri" w:hAnsi="Calibri"/>
        </w:rPr>
        <w:t>Le contrôle externe : Il sera assuré au moyen des audits externes indépendants et des inspections d’</w:t>
      </w:r>
      <w:r w:rsidR="006C10BF" w:rsidRPr="005B52BA">
        <w:rPr>
          <w:rFonts w:ascii="Calibri" w:hAnsi="Calibri"/>
        </w:rPr>
        <w:t>État</w:t>
      </w:r>
      <w:r w:rsidRPr="005B52BA">
        <w:rPr>
          <w:rFonts w:ascii="Calibri" w:hAnsi="Calibri"/>
        </w:rPr>
        <w:t>.</w:t>
      </w:r>
    </w:p>
    <w:p w14:paraId="51A1801A" w14:textId="77777777" w:rsidR="00787CCB" w:rsidRPr="005B52BA" w:rsidRDefault="00787CCB" w:rsidP="00C64BCC">
      <w:pPr>
        <w:autoSpaceDE w:val="0"/>
        <w:autoSpaceDN w:val="0"/>
        <w:adjustRightInd w:val="0"/>
        <w:jc w:val="both"/>
        <w:rPr>
          <w:rFonts w:ascii="Calibri" w:hAnsi="Calibri"/>
        </w:rPr>
      </w:pPr>
    </w:p>
    <w:p w14:paraId="3BBC4415" w14:textId="6C8B6ECB" w:rsidR="00787CCB" w:rsidRPr="005B52BA" w:rsidRDefault="00787CCB" w:rsidP="00C64BCC">
      <w:pPr>
        <w:autoSpaceDE w:val="0"/>
        <w:autoSpaceDN w:val="0"/>
        <w:adjustRightInd w:val="0"/>
        <w:jc w:val="both"/>
        <w:rPr>
          <w:rFonts w:ascii="Calibri" w:hAnsi="Calibri"/>
        </w:rPr>
      </w:pPr>
      <w:r w:rsidRPr="005B52BA">
        <w:rPr>
          <w:rFonts w:ascii="Calibri" w:hAnsi="Calibri"/>
        </w:rPr>
        <w:t xml:space="preserve">Afin d’accroitre la performance et l’atteinte des résultats de la riposte, les stratégies du financement basé sur les performances seront mises en œuvre. Le mode de gestion financière de la stratégie nationale de riposte au </w:t>
      </w:r>
      <w:r w:rsidR="0036679F">
        <w:rPr>
          <w:rFonts w:ascii="Calibri" w:hAnsi="Calibri"/>
        </w:rPr>
        <w:t>sida</w:t>
      </w:r>
      <w:r w:rsidRPr="005B52BA">
        <w:rPr>
          <w:rFonts w:ascii="Calibri" w:hAnsi="Calibri"/>
        </w:rPr>
        <w:t>, obéira aux procédures nationales en vigueur ainsi que celles des partenaires impliqués.</w:t>
      </w:r>
    </w:p>
    <w:p w14:paraId="408C9CEA" w14:textId="77777777" w:rsidR="00787CCB" w:rsidRPr="005B52BA" w:rsidRDefault="00787CCB" w:rsidP="00C64BCC">
      <w:pPr>
        <w:autoSpaceDE w:val="0"/>
        <w:autoSpaceDN w:val="0"/>
        <w:adjustRightInd w:val="0"/>
        <w:jc w:val="both"/>
        <w:rPr>
          <w:rFonts w:ascii="Calibri" w:hAnsi="Calibri"/>
        </w:rPr>
      </w:pPr>
    </w:p>
    <w:p w14:paraId="6D6C9B31" w14:textId="77777777" w:rsidR="00787CCB" w:rsidRPr="005B52BA" w:rsidRDefault="00787CCB" w:rsidP="00C64BCC">
      <w:pPr>
        <w:autoSpaceDE w:val="0"/>
        <w:autoSpaceDN w:val="0"/>
        <w:adjustRightInd w:val="0"/>
        <w:jc w:val="both"/>
        <w:rPr>
          <w:rFonts w:ascii="Calibri" w:hAnsi="Calibri"/>
        </w:rPr>
      </w:pPr>
      <w:r w:rsidRPr="005B52BA">
        <w:rPr>
          <w:rFonts w:ascii="Calibri" w:hAnsi="Calibri"/>
        </w:rPr>
        <w:t>Le SE/CNLS assurera un suivi des ressources financières mobilisées à travers son Département des Affaires Administratives et Financières (DAAF) qui se chargera de centraliser les données sur les ressources financières mobilisées, engagées par tous les projets et programmes, quelle que soit la source de financement. Un plan de suivi des ressources sera élaboré à cet effet. Le Département établira la situation de l’exécution financière semestrielle et annuelle.</w:t>
      </w:r>
    </w:p>
    <w:p w14:paraId="7A8A8D00" w14:textId="77777777" w:rsidR="00787CCB" w:rsidRPr="005B52BA" w:rsidRDefault="00787CCB" w:rsidP="00C64BCC">
      <w:pPr>
        <w:autoSpaceDE w:val="0"/>
        <w:autoSpaceDN w:val="0"/>
        <w:adjustRightInd w:val="0"/>
        <w:jc w:val="both"/>
        <w:rPr>
          <w:rFonts w:ascii="Calibri" w:hAnsi="Calibri"/>
        </w:rPr>
      </w:pPr>
    </w:p>
    <w:p w14:paraId="30502FEA" w14:textId="65E14193" w:rsidR="00787CCB" w:rsidRDefault="00787CCB" w:rsidP="00C64BCC">
      <w:pPr>
        <w:autoSpaceDE w:val="0"/>
        <w:autoSpaceDN w:val="0"/>
        <w:adjustRightInd w:val="0"/>
        <w:jc w:val="both"/>
        <w:rPr>
          <w:rFonts w:ascii="Calibri" w:hAnsi="Calibri"/>
        </w:rPr>
      </w:pPr>
      <w:r w:rsidRPr="005B52BA">
        <w:rPr>
          <w:rFonts w:ascii="Calibri" w:hAnsi="Calibri"/>
        </w:rPr>
        <w:t xml:space="preserve">La décentralisation de la gestion financière sera mise en œuvre jusqu’au niveau local. Le contrôle de l’utilisation efficiente des fonds, de la qualité et de la transparence de l’information financière se fera à travers plusieurs mécanismes de suivi (rapportages périodiques, supervision/encadrement des bénéficiaires, audits financiers internes et </w:t>
      </w:r>
      <w:r w:rsidR="00106FD1" w:rsidRPr="005B52BA">
        <w:rPr>
          <w:rFonts w:ascii="Calibri" w:hAnsi="Calibri"/>
        </w:rPr>
        <w:t>externes…</w:t>
      </w:r>
      <w:r w:rsidRPr="005B52BA">
        <w:rPr>
          <w:rFonts w:ascii="Calibri" w:hAnsi="Calibri"/>
        </w:rPr>
        <w:t>).</w:t>
      </w:r>
    </w:p>
    <w:p w14:paraId="0D9D9D0A" w14:textId="77777777" w:rsidR="00C64BCC" w:rsidRPr="005B52BA" w:rsidRDefault="00C64BCC" w:rsidP="00C64BCC">
      <w:pPr>
        <w:autoSpaceDE w:val="0"/>
        <w:autoSpaceDN w:val="0"/>
        <w:adjustRightInd w:val="0"/>
        <w:jc w:val="both"/>
        <w:rPr>
          <w:rFonts w:ascii="Calibri" w:hAnsi="Calibri"/>
        </w:rPr>
      </w:pPr>
    </w:p>
    <w:p w14:paraId="0F4AE1AD" w14:textId="77777777" w:rsidR="00787CCB" w:rsidRPr="005B52BA" w:rsidRDefault="00787CCB" w:rsidP="00C64BCC">
      <w:pPr>
        <w:autoSpaceDE w:val="0"/>
        <w:autoSpaceDN w:val="0"/>
        <w:adjustRightInd w:val="0"/>
        <w:jc w:val="both"/>
        <w:rPr>
          <w:rFonts w:ascii="Calibri" w:hAnsi="Calibri"/>
        </w:rPr>
      </w:pPr>
      <w:r w:rsidRPr="005B52BA">
        <w:rPr>
          <w:rFonts w:ascii="Calibri" w:hAnsi="Calibri"/>
        </w:rPr>
        <w:t>Le suivi portera également sur les financements accordés par les partenaires techniques et financiers.</w:t>
      </w:r>
    </w:p>
    <w:p w14:paraId="46C07021" w14:textId="77777777" w:rsidR="00787CCB" w:rsidRPr="005B52BA" w:rsidRDefault="00787CCB" w:rsidP="00C64BCC">
      <w:pPr>
        <w:autoSpaceDE w:val="0"/>
        <w:autoSpaceDN w:val="0"/>
        <w:adjustRightInd w:val="0"/>
        <w:jc w:val="both"/>
        <w:rPr>
          <w:rFonts w:ascii="Calibri" w:hAnsi="Calibri"/>
        </w:rPr>
      </w:pPr>
    </w:p>
    <w:p w14:paraId="5F9A8A5D" w14:textId="5214DC84" w:rsidR="00787CCB" w:rsidRPr="005B52BA" w:rsidRDefault="00787CCB" w:rsidP="00C64BCC">
      <w:pPr>
        <w:autoSpaceDE w:val="0"/>
        <w:autoSpaceDN w:val="0"/>
        <w:adjustRightInd w:val="0"/>
        <w:jc w:val="both"/>
        <w:rPr>
          <w:rFonts w:ascii="Calibri" w:hAnsi="Calibri"/>
        </w:rPr>
      </w:pPr>
      <w:r w:rsidRPr="005B52BA">
        <w:rPr>
          <w:rFonts w:ascii="Calibri" w:hAnsi="Calibri"/>
        </w:rPr>
        <w:t xml:space="preserve">Pour renforcer ces mécanismes de gestion, plusieurs mesures d’accompagnement seront mises en œuvre, à </w:t>
      </w:r>
      <w:r w:rsidR="00106FD1" w:rsidRPr="005B52BA">
        <w:rPr>
          <w:rFonts w:ascii="Calibri" w:hAnsi="Calibri"/>
        </w:rPr>
        <w:t>savoir :</w:t>
      </w:r>
      <w:r w:rsidRPr="005B52BA">
        <w:rPr>
          <w:rFonts w:ascii="Calibri" w:hAnsi="Calibri"/>
        </w:rPr>
        <w:t xml:space="preserve"> la disponibilité d’une cartographie des </w:t>
      </w:r>
      <w:r w:rsidR="00106FD1" w:rsidRPr="005B52BA">
        <w:rPr>
          <w:rFonts w:ascii="Calibri" w:hAnsi="Calibri"/>
        </w:rPr>
        <w:t>risques ;</w:t>
      </w:r>
      <w:r w:rsidRPr="005B52BA">
        <w:rPr>
          <w:rFonts w:ascii="Calibri" w:hAnsi="Calibri"/>
        </w:rPr>
        <w:t xml:space="preserve"> l’opérationnalisation d’un plan de gestion des </w:t>
      </w:r>
      <w:r w:rsidR="007A7C07" w:rsidRPr="005B52BA">
        <w:rPr>
          <w:rFonts w:ascii="Calibri" w:hAnsi="Calibri"/>
        </w:rPr>
        <w:t>risques ;</w:t>
      </w:r>
      <w:r w:rsidRPr="005B52BA">
        <w:rPr>
          <w:rFonts w:ascii="Calibri" w:hAnsi="Calibri"/>
        </w:rPr>
        <w:t xml:space="preserve"> la performance des services d’audit </w:t>
      </w:r>
      <w:r w:rsidR="007A7C07" w:rsidRPr="005B52BA">
        <w:rPr>
          <w:rFonts w:ascii="Calibri" w:hAnsi="Calibri"/>
        </w:rPr>
        <w:t>interne ;</w:t>
      </w:r>
      <w:r w:rsidRPr="005B52BA">
        <w:rPr>
          <w:rFonts w:ascii="Calibri" w:hAnsi="Calibri"/>
        </w:rPr>
        <w:t xml:space="preserve"> l’effectivité et la régularité des études et recherche opérationnelle pour évaluer les résultats.</w:t>
      </w:r>
    </w:p>
    <w:p w14:paraId="46BAEC99" w14:textId="77777777" w:rsidR="00787CCB" w:rsidRPr="005B52BA" w:rsidRDefault="00787CCB" w:rsidP="00C64BCC">
      <w:pPr>
        <w:rPr>
          <w:rFonts w:ascii="Calibri" w:hAnsi="Calibri"/>
        </w:rPr>
      </w:pPr>
    </w:p>
    <w:p w14:paraId="41E58A3B" w14:textId="414BEFD9" w:rsidR="00EF20A4" w:rsidRPr="00A96CAD" w:rsidRDefault="00EF20A4" w:rsidP="00EF20A4">
      <w:pPr>
        <w:pStyle w:val="Titre1"/>
        <w:numPr>
          <w:ilvl w:val="0"/>
          <w:numId w:val="6"/>
        </w:numPr>
        <w:pBdr>
          <w:bottom w:val="single" w:sz="12" w:space="1" w:color="auto"/>
        </w:pBdr>
        <w:shd w:val="clear" w:color="auto" w:fill="92D050"/>
        <w:spacing w:after="0"/>
        <w:ind w:left="284" w:hanging="284"/>
        <w:rPr>
          <w:rFonts w:ascii="Calibri" w:eastAsiaTheme="majorEastAsia" w:hAnsi="Calibri"/>
          <w:sz w:val="28"/>
          <w:szCs w:val="28"/>
        </w:rPr>
      </w:pPr>
      <w:bookmarkStart w:id="145" w:name="_Toc520983543"/>
      <w:bookmarkStart w:id="146" w:name="_Toc492294068"/>
      <w:r>
        <w:rPr>
          <w:rFonts w:ascii="Calibri" w:eastAsiaTheme="majorEastAsia" w:hAnsi="Calibri"/>
          <w:sz w:val="28"/>
          <w:szCs w:val="28"/>
        </w:rPr>
        <w:t>CONDITIONS DE SUCCES ET MESURES D’ATTENUATION DES RISQUES</w:t>
      </w:r>
      <w:bookmarkEnd w:id="145"/>
    </w:p>
    <w:p w14:paraId="5309E381" w14:textId="63BA9F36" w:rsidR="00787CCB" w:rsidRPr="00FA1450" w:rsidRDefault="00787CCB" w:rsidP="00787CCB">
      <w:pPr>
        <w:pStyle w:val="Titre1"/>
        <w:numPr>
          <w:ilvl w:val="0"/>
          <w:numId w:val="0"/>
        </w:numPr>
        <w:spacing w:after="0"/>
        <w:rPr>
          <w:rFonts w:asciiTheme="minorHAnsi" w:hAnsiTheme="minorHAnsi"/>
        </w:rPr>
      </w:pPr>
    </w:p>
    <w:p w14:paraId="097AC7DE" w14:textId="0507DFF3" w:rsidR="00EF20A4" w:rsidRPr="00FA1450" w:rsidRDefault="00EF20A4" w:rsidP="00EF20A4">
      <w:pPr>
        <w:jc w:val="both"/>
        <w:rPr>
          <w:rFonts w:asciiTheme="minorHAnsi" w:hAnsiTheme="minorHAnsi"/>
        </w:rPr>
      </w:pPr>
      <w:r w:rsidRPr="00FA1450">
        <w:rPr>
          <w:rFonts w:asciiTheme="minorHAnsi" w:hAnsiTheme="minorHAnsi"/>
        </w:rPr>
        <w:t>Le succès de la mise en œuvre du CSN 2018-2022 reposera sur les effets combinés de facteurs favorables et des dispositions pertinentes qui favoriseront la mise en œuvre à tous les niveaux. Il s’agit entre autres :</w:t>
      </w:r>
    </w:p>
    <w:p w14:paraId="1A272B2C" w14:textId="56A478AE" w:rsidR="00EF20A4" w:rsidRPr="00FA1450" w:rsidRDefault="00EF20A4" w:rsidP="00EF20A4">
      <w:pPr>
        <w:pStyle w:val="Paragraphedeliste"/>
        <w:numPr>
          <w:ilvl w:val="0"/>
          <w:numId w:val="36"/>
        </w:numPr>
        <w:jc w:val="both"/>
        <w:rPr>
          <w:rFonts w:asciiTheme="minorHAnsi" w:hAnsiTheme="minorHAnsi"/>
        </w:rPr>
      </w:pPr>
      <w:r w:rsidRPr="00FA1450">
        <w:rPr>
          <w:rFonts w:asciiTheme="minorHAnsi" w:hAnsiTheme="minorHAnsi"/>
          <w:u w:val="single"/>
        </w:rPr>
        <w:t>De la poursuite et du renforcement du leadership au sommet de l’État</w:t>
      </w:r>
      <w:r w:rsidRPr="00FA1450">
        <w:rPr>
          <w:rFonts w:asciiTheme="minorHAnsi" w:hAnsiTheme="minorHAnsi"/>
        </w:rPr>
        <w:t xml:space="preserve">, ce qui va favoriser la multisectorialité, la mobilisation effective des ressources de l’État et l’environnement favorable pour la mise en place de facilités ou dispositions institutionnelles </w:t>
      </w:r>
    </w:p>
    <w:p w14:paraId="14C9A3AA" w14:textId="66D8DEBB" w:rsidR="00EF20A4" w:rsidRPr="00FA1450" w:rsidRDefault="00EF20A4" w:rsidP="00EF20A4">
      <w:pPr>
        <w:pStyle w:val="Paragraphedeliste"/>
        <w:numPr>
          <w:ilvl w:val="0"/>
          <w:numId w:val="36"/>
        </w:numPr>
        <w:jc w:val="both"/>
        <w:rPr>
          <w:rFonts w:asciiTheme="minorHAnsi" w:hAnsiTheme="minorHAnsi"/>
        </w:rPr>
      </w:pPr>
      <w:r w:rsidRPr="00FA1450">
        <w:rPr>
          <w:rFonts w:asciiTheme="minorHAnsi" w:hAnsiTheme="minorHAnsi"/>
          <w:u w:val="single"/>
        </w:rPr>
        <w:t>La gestion opérationnelle efficace</w:t>
      </w:r>
      <w:r w:rsidRPr="00FA1450">
        <w:rPr>
          <w:rFonts w:asciiTheme="minorHAnsi" w:hAnsiTheme="minorHAnsi"/>
        </w:rPr>
        <w:t>, qui va se traduire un leadership et une coordination renforcée du SE/CNLS et de ses démembrements sur la réponse nationale, ce qui devrait favoriser l’engagement des différents acteurs, chacun jouant son rôle et créant des synergies</w:t>
      </w:r>
    </w:p>
    <w:p w14:paraId="28E58A0C" w14:textId="714A5A8E" w:rsidR="00EF20A4" w:rsidRPr="00FA1450" w:rsidRDefault="00521FCF" w:rsidP="00EF20A4">
      <w:pPr>
        <w:pStyle w:val="Paragraphedeliste"/>
        <w:numPr>
          <w:ilvl w:val="0"/>
          <w:numId w:val="36"/>
        </w:numPr>
        <w:jc w:val="both"/>
        <w:rPr>
          <w:rFonts w:asciiTheme="minorHAnsi" w:hAnsiTheme="minorHAnsi"/>
        </w:rPr>
      </w:pPr>
      <w:r w:rsidRPr="00FA1450">
        <w:rPr>
          <w:rFonts w:asciiTheme="minorHAnsi" w:hAnsiTheme="minorHAnsi"/>
          <w:u w:val="single"/>
        </w:rPr>
        <w:t>Un niveau de financement adéquat</w:t>
      </w:r>
      <w:r w:rsidRPr="00FA1450">
        <w:rPr>
          <w:rFonts w:asciiTheme="minorHAnsi" w:hAnsiTheme="minorHAnsi"/>
        </w:rPr>
        <w:t xml:space="preserve"> permettant de mettre en œuvre les interventions prioritaires à tous les niveaux. Dans un </w:t>
      </w:r>
      <w:r w:rsidRPr="00FA1450">
        <w:rPr>
          <w:rFonts w:asciiTheme="minorHAnsi" w:hAnsiTheme="minorHAnsi"/>
          <w:bCs/>
        </w:rPr>
        <w:t>contexte national et international caractérisé par une diminution des ressources, la problématique du financement du CSN est crucial et devient un impératif critique pour l’atteinte des impacts espérés.  L’élaboration d’un plan clair de mobilisation des ressources impliquant des innovations dans le modèle de mobilisation des ressources et ayant l’adhésion de l’ensemble des partenaires et populations demeure essentielle.</w:t>
      </w:r>
    </w:p>
    <w:p w14:paraId="4C80DD9D" w14:textId="3CAA9725" w:rsidR="00521FCF" w:rsidRPr="00FA1450" w:rsidRDefault="00521FCF" w:rsidP="00EF20A4">
      <w:pPr>
        <w:pStyle w:val="Paragraphedeliste"/>
        <w:numPr>
          <w:ilvl w:val="0"/>
          <w:numId w:val="36"/>
        </w:numPr>
        <w:jc w:val="both"/>
        <w:rPr>
          <w:rFonts w:asciiTheme="minorHAnsi" w:hAnsiTheme="minorHAnsi"/>
        </w:rPr>
      </w:pPr>
      <w:r w:rsidRPr="00FA1450">
        <w:rPr>
          <w:rFonts w:asciiTheme="minorHAnsi" w:hAnsiTheme="minorHAnsi"/>
          <w:u w:val="single"/>
        </w:rPr>
        <w:t>Une mise en œuvre efficace du Plan de mise en œuvre opérationnelle,</w:t>
      </w:r>
      <w:r w:rsidRPr="00FA1450">
        <w:rPr>
          <w:rFonts w:asciiTheme="minorHAnsi" w:hAnsiTheme="minorHAnsi"/>
        </w:rPr>
        <w:t xml:space="preserve"> ce qui implique que le plan qui sera élaboré fasse l’objet d’alignement, de diffusion et d’appropriation par les différents acteurs</w:t>
      </w:r>
    </w:p>
    <w:p w14:paraId="7775315E" w14:textId="4D681C9E" w:rsidR="00D666D9" w:rsidRPr="00FA1450" w:rsidRDefault="00D666D9" w:rsidP="00EF20A4">
      <w:pPr>
        <w:pStyle w:val="Paragraphedeliste"/>
        <w:numPr>
          <w:ilvl w:val="0"/>
          <w:numId w:val="36"/>
        </w:numPr>
        <w:jc w:val="both"/>
        <w:rPr>
          <w:rFonts w:asciiTheme="minorHAnsi" w:hAnsiTheme="minorHAnsi"/>
        </w:rPr>
      </w:pPr>
      <w:r w:rsidRPr="00FA1450">
        <w:rPr>
          <w:rFonts w:asciiTheme="minorHAnsi" w:hAnsiTheme="minorHAnsi"/>
          <w:u w:val="single"/>
        </w:rPr>
        <w:t>Une synergie dans la mise en œuvre avec les politiques nationales de santé communautaire et de biologie médicale</w:t>
      </w:r>
      <w:r w:rsidR="007B1956" w:rsidRPr="00FA1450">
        <w:rPr>
          <w:rFonts w:asciiTheme="minorHAnsi" w:hAnsiTheme="minorHAnsi"/>
          <w:u w:val="single"/>
        </w:rPr>
        <w:t xml:space="preserve"> ainsi que les initiatives de renforcement du système de santé</w:t>
      </w:r>
    </w:p>
    <w:p w14:paraId="5E617ED6" w14:textId="3FD35068" w:rsidR="00521FCF" w:rsidRPr="00FA1450" w:rsidRDefault="00521FCF" w:rsidP="00EF20A4">
      <w:pPr>
        <w:pStyle w:val="Paragraphedeliste"/>
        <w:numPr>
          <w:ilvl w:val="0"/>
          <w:numId w:val="36"/>
        </w:numPr>
        <w:jc w:val="both"/>
        <w:rPr>
          <w:rFonts w:asciiTheme="minorHAnsi" w:hAnsiTheme="minorHAnsi"/>
        </w:rPr>
      </w:pPr>
      <w:r w:rsidRPr="00FA1450">
        <w:rPr>
          <w:rFonts w:asciiTheme="minorHAnsi" w:hAnsiTheme="minorHAnsi"/>
          <w:u w:val="single"/>
        </w:rPr>
        <w:t>Un focus sur la qualité des services</w:t>
      </w:r>
      <w:r w:rsidRPr="00FA1450">
        <w:rPr>
          <w:rFonts w:asciiTheme="minorHAnsi" w:hAnsiTheme="minorHAnsi"/>
        </w:rPr>
        <w:t>, tant au niveau du secteur santé qu’au niveau de celles fournies au niveau de la communauté</w:t>
      </w:r>
      <w:r w:rsidR="00D666D9" w:rsidRPr="00FA1450">
        <w:rPr>
          <w:rFonts w:asciiTheme="minorHAnsi" w:hAnsiTheme="minorHAnsi"/>
        </w:rPr>
        <w:t>. Cela évitera non seulement le gaspillage des ressources dans des processus et services non efficaces mais aussi de garantir leur impact attendu.</w:t>
      </w:r>
    </w:p>
    <w:p w14:paraId="28C0816C" w14:textId="16EECE5D" w:rsidR="00170385" w:rsidRPr="00FA1450" w:rsidRDefault="00170385" w:rsidP="00C73023">
      <w:pPr>
        <w:pStyle w:val="Paragraphedeliste"/>
        <w:numPr>
          <w:ilvl w:val="0"/>
          <w:numId w:val="36"/>
        </w:numPr>
        <w:jc w:val="both"/>
        <w:rPr>
          <w:rFonts w:asciiTheme="minorHAnsi" w:hAnsiTheme="minorHAnsi"/>
        </w:rPr>
      </w:pPr>
      <w:r w:rsidRPr="00FA1450">
        <w:rPr>
          <w:rFonts w:asciiTheme="minorHAnsi" w:hAnsiTheme="minorHAnsi"/>
          <w:u w:val="single"/>
        </w:rPr>
        <w:t>Le plan national de suivi évaluation du CSN 2018-2022,</w:t>
      </w:r>
      <w:r w:rsidRPr="00FA1450">
        <w:rPr>
          <w:rFonts w:asciiTheme="minorHAnsi" w:hAnsiTheme="minorHAnsi"/>
        </w:rPr>
        <w:t xml:space="preserve"> dont l’archite</w:t>
      </w:r>
      <w:r w:rsidR="00C73023" w:rsidRPr="00FA1450">
        <w:rPr>
          <w:rFonts w:asciiTheme="minorHAnsi" w:hAnsiTheme="minorHAnsi"/>
        </w:rPr>
        <w:t>cture et le fonctionnement devraient tenir</w:t>
      </w:r>
      <w:r w:rsidRPr="00FA1450">
        <w:rPr>
          <w:rFonts w:asciiTheme="minorHAnsi" w:hAnsiTheme="minorHAnsi"/>
        </w:rPr>
        <w:t xml:space="preserve"> compte des évolutions dans les systèmes de gestion des données au sein du ministère de la santé comme le DHIS2 et le SIGL.</w:t>
      </w:r>
      <w:r w:rsidR="00C73023" w:rsidRPr="00FA1450">
        <w:rPr>
          <w:rFonts w:asciiTheme="minorHAnsi" w:hAnsiTheme="minorHAnsi"/>
        </w:rPr>
        <w:t xml:space="preserve"> Le plan de suivi évaluation devrait fournir les données et l’information stratégique dans la meilleure qualité possible et dans le timing le plus adéquat afin de permettre aux acteurs et aux décideurs prendre les décisions appropriées pour maintenir le cap vers les objectifs fixés.</w:t>
      </w:r>
    </w:p>
    <w:p w14:paraId="1A0C504C" w14:textId="77777777" w:rsidR="00EF20A4" w:rsidRPr="00FA1450" w:rsidRDefault="00EF20A4" w:rsidP="00EF20A4">
      <w:pPr>
        <w:jc w:val="both"/>
        <w:rPr>
          <w:rFonts w:asciiTheme="minorHAnsi" w:hAnsiTheme="minorHAnsi"/>
        </w:rPr>
      </w:pPr>
    </w:p>
    <w:p w14:paraId="422E9A91" w14:textId="5A12E5A9" w:rsidR="00EF20A4" w:rsidRDefault="00C73023" w:rsidP="00C73023">
      <w:pPr>
        <w:jc w:val="both"/>
        <w:rPr>
          <w:rFonts w:asciiTheme="minorHAnsi" w:hAnsiTheme="minorHAnsi"/>
        </w:rPr>
      </w:pPr>
      <w:r w:rsidRPr="00FA1450">
        <w:rPr>
          <w:rFonts w:asciiTheme="minorHAnsi" w:hAnsiTheme="minorHAnsi"/>
        </w:rPr>
        <w:t>Au regard du contexte, la mise en œuvre du CSN 2018-2022 fera face à des risques dont leur atténuation sera essentielle pour l’atteinte des impacts visés. Le tableau suivant résume les risques et les mesures d’atténuation</w:t>
      </w:r>
      <w:r w:rsidR="00FA1450" w:rsidRPr="00FA1450">
        <w:rPr>
          <w:rFonts w:asciiTheme="minorHAnsi" w:hAnsiTheme="minorHAnsi"/>
        </w:rPr>
        <w:t> :</w:t>
      </w:r>
    </w:p>
    <w:p w14:paraId="22016774" w14:textId="2AEA8590" w:rsidR="001C4070" w:rsidRDefault="001C4070" w:rsidP="00C73023">
      <w:pPr>
        <w:jc w:val="both"/>
        <w:rPr>
          <w:rFonts w:asciiTheme="minorHAnsi" w:hAnsiTheme="minorHAnsi"/>
        </w:rPr>
      </w:pPr>
    </w:p>
    <w:p w14:paraId="0212B68A" w14:textId="3CE5F37C" w:rsidR="001C4070" w:rsidRPr="001C4070" w:rsidRDefault="001C4070" w:rsidP="001C4070">
      <w:pPr>
        <w:pStyle w:val="tab"/>
      </w:pPr>
      <w:bookmarkStart w:id="147" w:name="_Toc521064268"/>
      <w:r w:rsidRPr="00240456">
        <w:rPr>
          <w:b/>
          <w:sz w:val="22"/>
          <w:u w:val="single"/>
        </w:rPr>
        <w:t>Tableau 1</w:t>
      </w:r>
      <w:r w:rsidR="00240456">
        <w:rPr>
          <w:b/>
          <w:sz w:val="22"/>
          <w:u w:val="single"/>
        </w:rPr>
        <w:t>2</w:t>
      </w:r>
      <w:r w:rsidRPr="001C4070">
        <w:rPr>
          <w:sz w:val="22"/>
        </w:rPr>
        <w:t xml:space="preserve"> : </w:t>
      </w:r>
      <w:r>
        <w:rPr>
          <w:sz w:val="22"/>
        </w:rPr>
        <w:t>Tableau d’analyse des risques et mesures</w:t>
      </w:r>
      <w:bookmarkEnd w:id="147"/>
      <w:r>
        <w:rPr>
          <w:sz w:val="22"/>
        </w:rPr>
        <w:t xml:space="preserve"> </w:t>
      </w:r>
    </w:p>
    <w:p w14:paraId="5F34D098" w14:textId="083342E5" w:rsidR="00FA1450" w:rsidRPr="00FA1450" w:rsidRDefault="00FA1450" w:rsidP="00C73023">
      <w:pPr>
        <w:jc w:val="both"/>
        <w:rPr>
          <w:rFonts w:asciiTheme="minorHAnsi" w:hAnsiTheme="minorHAnsi"/>
        </w:rPr>
      </w:pPr>
    </w:p>
    <w:tbl>
      <w:tblPr>
        <w:tblStyle w:val="Grilledutableau"/>
        <w:tblW w:w="9493" w:type="dxa"/>
        <w:tblLook w:val="04A0" w:firstRow="1" w:lastRow="0" w:firstColumn="1" w:lastColumn="0" w:noHBand="0" w:noVBand="1"/>
      </w:tblPr>
      <w:tblGrid>
        <w:gridCol w:w="1838"/>
        <w:gridCol w:w="1247"/>
        <w:gridCol w:w="6408"/>
      </w:tblGrid>
      <w:tr w:rsidR="00FA1450" w:rsidRPr="00936FA2" w14:paraId="2C3B936A" w14:textId="77777777" w:rsidTr="00EB7A2C">
        <w:tc>
          <w:tcPr>
            <w:tcW w:w="1838" w:type="dxa"/>
            <w:shd w:val="clear" w:color="auto" w:fill="BDD6EE" w:themeFill="accent1" w:themeFillTint="66"/>
          </w:tcPr>
          <w:p w14:paraId="3CBA4842" w14:textId="0B2188DF" w:rsidR="00FA1450" w:rsidRPr="00936FA2" w:rsidRDefault="00FA1450" w:rsidP="00FA1450">
            <w:pPr>
              <w:jc w:val="center"/>
              <w:rPr>
                <w:rFonts w:asciiTheme="minorHAnsi" w:hAnsiTheme="minorHAnsi"/>
                <w:b/>
                <w:sz w:val="20"/>
                <w:szCs w:val="20"/>
              </w:rPr>
            </w:pPr>
            <w:r w:rsidRPr="00936FA2">
              <w:rPr>
                <w:rFonts w:asciiTheme="minorHAnsi" w:hAnsiTheme="minorHAnsi"/>
                <w:b/>
                <w:sz w:val="20"/>
                <w:szCs w:val="20"/>
              </w:rPr>
              <w:t>Type de risques</w:t>
            </w:r>
          </w:p>
        </w:tc>
        <w:tc>
          <w:tcPr>
            <w:tcW w:w="1247" w:type="dxa"/>
            <w:shd w:val="clear" w:color="auto" w:fill="BDD6EE" w:themeFill="accent1" w:themeFillTint="66"/>
          </w:tcPr>
          <w:p w14:paraId="5172E331" w14:textId="6806886E" w:rsidR="00FA1450" w:rsidRPr="00936FA2" w:rsidRDefault="006F5AD9" w:rsidP="00FA1450">
            <w:pPr>
              <w:jc w:val="center"/>
              <w:rPr>
                <w:rFonts w:asciiTheme="minorHAnsi" w:hAnsiTheme="minorHAnsi"/>
                <w:b/>
                <w:sz w:val="20"/>
                <w:szCs w:val="20"/>
              </w:rPr>
            </w:pPr>
            <w:r>
              <w:rPr>
                <w:rFonts w:asciiTheme="minorHAnsi" w:hAnsiTheme="minorHAnsi"/>
                <w:b/>
                <w:sz w:val="20"/>
                <w:szCs w:val="20"/>
              </w:rPr>
              <w:t>Niveau de risque</w:t>
            </w:r>
          </w:p>
        </w:tc>
        <w:tc>
          <w:tcPr>
            <w:tcW w:w="6408" w:type="dxa"/>
            <w:shd w:val="clear" w:color="auto" w:fill="BDD6EE" w:themeFill="accent1" w:themeFillTint="66"/>
          </w:tcPr>
          <w:p w14:paraId="1504D0CD" w14:textId="3C203AC7" w:rsidR="00FA1450" w:rsidRPr="00936FA2" w:rsidRDefault="00FA1450" w:rsidP="00FA1450">
            <w:pPr>
              <w:jc w:val="center"/>
              <w:rPr>
                <w:rFonts w:asciiTheme="minorHAnsi" w:hAnsiTheme="minorHAnsi"/>
                <w:b/>
                <w:sz w:val="20"/>
                <w:szCs w:val="20"/>
              </w:rPr>
            </w:pPr>
            <w:r w:rsidRPr="00936FA2">
              <w:rPr>
                <w:rFonts w:asciiTheme="minorHAnsi" w:hAnsiTheme="minorHAnsi"/>
                <w:b/>
                <w:sz w:val="20"/>
                <w:szCs w:val="20"/>
              </w:rPr>
              <w:t>Mesures d’atténuation</w:t>
            </w:r>
          </w:p>
        </w:tc>
      </w:tr>
      <w:tr w:rsidR="007B004C" w:rsidRPr="00936FA2" w14:paraId="4C765658" w14:textId="77777777" w:rsidTr="00EB7A2C">
        <w:tc>
          <w:tcPr>
            <w:tcW w:w="1838" w:type="dxa"/>
            <w:shd w:val="clear" w:color="auto" w:fill="E7E6E6" w:themeFill="background2"/>
          </w:tcPr>
          <w:p w14:paraId="5A71EB56" w14:textId="77777777" w:rsidR="007B004C" w:rsidRPr="00936FA2" w:rsidRDefault="007B004C" w:rsidP="00451654">
            <w:pPr>
              <w:jc w:val="both"/>
              <w:rPr>
                <w:rFonts w:asciiTheme="minorHAnsi" w:hAnsiTheme="minorHAnsi"/>
                <w:sz w:val="20"/>
                <w:szCs w:val="20"/>
              </w:rPr>
            </w:pPr>
            <w:r w:rsidRPr="00936FA2">
              <w:rPr>
                <w:rFonts w:asciiTheme="minorHAnsi" w:hAnsiTheme="minorHAnsi"/>
                <w:sz w:val="20"/>
                <w:szCs w:val="20"/>
              </w:rPr>
              <w:t>Faible mobilisation des ressources</w:t>
            </w:r>
            <w:r>
              <w:rPr>
                <w:rFonts w:asciiTheme="minorHAnsi" w:hAnsiTheme="minorHAnsi"/>
                <w:sz w:val="20"/>
                <w:szCs w:val="20"/>
              </w:rPr>
              <w:t xml:space="preserve"> financières</w:t>
            </w:r>
          </w:p>
        </w:tc>
        <w:tc>
          <w:tcPr>
            <w:tcW w:w="1247" w:type="dxa"/>
            <w:shd w:val="clear" w:color="auto" w:fill="C00000"/>
          </w:tcPr>
          <w:p w14:paraId="5F5E2D3D" w14:textId="77777777" w:rsidR="007B004C" w:rsidRPr="00936FA2" w:rsidRDefault="007B004C" w:rsidP="00451654">
            <w:pPr>
              <w:jc w:val="both"/>
              <w:rPr>
                <w:rFonts w:asciiTheme="minorHAnsi" w:hAnsiTheme="minorHAnsi"/>
                <w:sz w:val="20"/>
                <w:szCs w:val="20"/>
              </w:rPr>
            </w:pPr>
            <w:r w:rsidRPr="007B004C">
              <w:rPr>
                <w:rFonts w:asciiTheme="minorHAnsi" w:hAnsiTheme="minorHAnsi"/>
                <w:color w:val="FFFFFF" w:themeColor="background1"/>
                <w:sz w:val="20"/>
                <w:szCs w:val="20"/>
              </w:rPr>
              <w:t xml:space="preserve">Très élevé  </w:t>
            </w:r>
          </w:p>
        </w:tc>
        <w:tc>
          <w:tcPr>
            <w:tcW w:w="6408" w:type="dxa"/>
          </w:tcPr>
          <w:p w14:paraId="3AFA65B0" w14:textId="77777777" w:rsidR="007B004C" w:rsidRPr="006C10BF" w:rsidRDefault="007B004C" w:rsidP="00451654">
            <w:pPr>
              <w:pStyle w:val="Paragraphedeliste"/>
              <w:numPr>
                <w:ilvl w:val="0"/>
                <w:numId w:val="38"/>
              </w:numPr>
              <w:rPr>
                <w:rFonts w:asciiTheme="minorHAnsi" w:hAnsiTheme="minorHAnsi"/>
                <w:sz w:val="20"/>
                <w:szCs w:val="20"/>
              </w:rPr>
            </w:pPr>
            <w:r w:rsidRPr="006C10BF">
              <w:rPr>
                <w:rFonts w:asciiTheme="minorHAnsi" w:hAnsiTheme="minorHAnsi"/>
                <w:sz w:val="20"/>
                <w:szCs w:val="20"/>
              </w:rPr>
              <w:t>Renforcement du plaidoyer pour la mobilisation et suivi régulier du niveau de financement</w:t>
            </w:r>
          </w:p>
          <w:p w14:paraId="331BD353" w14:textId="77777777" w:rsidR="007B004C" w:rsidRPr="006C10BF" w:rsidRDefault="007B004C" w:rsidP="00451654">
            <w:pPr>
              <w:pStyle w:val="Paragraphedeliste"/>
              <w:numPr>
                <w:ilvl w:val="0"/>
                <w:numId w:val="38"/>
              </w:numPr>
              <w:rPr>
                <w:rFonts w:asciiTheme="minorHAnsi" w:hAnsiTheme="minorHAnsi"/>
                <w:sz w:val="20"/>
                <w:szCs w:val="20"/>
              </w:rPr>
            </w:pPr>
            <w:r w:rsidRPr="006C10BF">
              <w:rPr>
                <w:rFonts w:asciiTheme="minorHAnsi" w:hAnsiTheme="minorHAnsi"/>
                <w:sz w:val="20"/>
                <w:szCs w:val="20"/>
              </w:rPr>
              <w:t>Sécurisation des financements de l’État et des collectivités</w:t>
            </w:r>
          </w:p>
          <w:p w14:paraId="0102408D" w14:textId="77777777" w:rsidR="007B004C" w:rsidRDefault="007B004C" w:rsidP="00451654">
            <w:pPr>
              <w:pStyle w:val="Paragraphedeliste"/>
              <w:numPr>
                <w:ilvl w:val="0"/>
                <w:numId w:val="38"/>
              </w:numPr>
              <w:rPr>
                <w:rFonts w:asciiTheme="minorHAnsi" w:hAnsiTheme="minorHAnsi"/>
                <w:sz w:val="20"/>
                <w:szCs w:val="20"/>
              </w:rPr>
            </w:pPr>
            <w:r w:rsidRPr="006C10BF">
              <w:rPr>
                <w:rFonts w:asciiTheme="minorHAnsi" w:hAnsiTheme="minorHAnsi"/>
                <w:sz w:val="20"/>
                <w:szCs w:val="20"/>
              </w:rPr>
              <w:t>Organisation d’une rencontre d’urgence pour le financement</w:t>
            </w:r>
          </w:p>
          <w:p w14:paraId="745CC043" w14:textId="77777777" w:rsidR="00FB18C1" w:rsidRDefault="00FB18C1" w:rsidP="00451654">
            <w:pPr>
              <w:pStyle w:val="Paragraphedeliste"/>
              <w:numPr>
                <w:ilvl w:val="0"/>
                <w:numId w:val="38"/>
              </w:numPr>
              <w:rPr>
                <w:rFonts w:asciiTheme="minorHAnsi" w:hAnsiTheme="minorHAnsi"/>
                <w:sz w:val="20"/>
                <w:szCs w:val="20"/>
              </w:rPr>
            </w:pPr>
            <w:r>
              <w:rPr>
                <w:rFonts w:asciiTheme="minorHAnsi" w:hAnsiTheme="minorHAnsi"/>
                <w:sz w:val="20"/>
                <w:szCs w:val="20"/>
              </w:rPr>
              <w:t>Élaboration et mise en œuvre d’un Plan de mobilisation des ressources</w:t>
            </w:r>
          </w:p>
          <w:p w14:paraId="7D390BFF" w14:textId="77777777" w:rsidR="00FB18C1" w:rsidRDefault="00FB18C1" w:rsidP="00451654">
            <w:pPr>
              <w:pStyle w:val="Paragraphedeliste"/>
              <w:numPr>
                <w:ilvl w:val="0"/>
                <w:numId w:val="38"/>
              </w:numPr>
              <w:rPr>
                <w:rFonts w:asciiTheme="minorHAnsi" w:hAnsiTheme="minorHAnsi"/>
                <w:sz w:val="20"/>
                <w:szCs w:val="20"/>
              </w:rPr>
            </w:pPr>
            <w:r>
              <w:rPr>
                <w:rFonts w:asciiTheme="minorHAnsi" w:hAnsiTheme="minorHAnsi"/>
                <w:sz w:val="20"/>
                <w:szCs w:val="20"/>
              </w:rPr>
              <w:t>Élaboration et mise en œuvre d’une stratégie de financements innovants</w:t>
            </w:r>
          </w:p>
          <w:p w14:paraId="4D86EE71" w14:textId="068CF38B" w:rsidR="00FB18C1" w:rsidRPr="00936FA2" w:rsidRDefault="00FB18C1" w:rsidP="00451654">
            <w:pPr>
              <w:pStyle w:val="Paragraphedeliste"/>
              <w:numPr>
                <w:ilvl w:val="0"/>
                <w:numId w:val="38"/>
              </w:numPr>
              <w:rPr>
                <w:rFonts w:asciiTheme="minorHAnsi" w:hAnsiTheme="minorHAnsi"/>
                <w:sz w:val="20"/>
                <w:szCs w:val="20"/>
              </w:rPr>
            </w:pPr>
            <w:r>
              <w:rPr>
                <w:rFonts w:asciiTheme="minorHAnsi" w:hAnsiTheme="minorHAnsi"/>
                <w:sz w:val="20"/>
                <w:szCs w:val="20"/>
              </w:rPr>
              <w:t xml:space="preserve">Affiner le ciblage et les priorités d’intervention en fonction du niveau de mobilisation </w:t>
            </w:r>
            <w:r w:rsidR="00026B5C">
              <w:rPr>
                <w:rFonts w:asciiTheme="minorHAnsi" w:hAnsiTheme="minorHAnsi"/>
                <w:sz w:val="20"/>
                <w:szCs w:val="20"/>
              </w:rPr>
              <w:t xml:space="preserve">effective </w:t>
            </w:r>
            <w:r>
              <w:rPr>
                <w:rFonts w:asciiTheme="minorHAnsi" w:hAnsiTheme="minorHAnsi"/>
                <w:sz w:val="20"/>
                <w:szCs w:val="20"/>
              </w:rPr>
              <w:t>des ressources</w:t>
            </w:r>
          </w:p>
        </w:tc>
      </w:tr>
      <w:tr w:rsidR="007B004C" w:rsidRPr="00936FA2" w14:paraId="5333C308" w14:textId="77777777" w:rsidTr="00EB7A2C">
        <w:tc>
          <w:tcPr>
            <w:tcW w:w="1838" w:type="dxa"/>
            <w:shd w:val="clear" w:color="auto" w:fill="E7E6E6" w:themeFill="background2"/>
          </w:tcPr>
          <w:p w14:paraId="6677CDC7" w14:textId="77777777" w:rsidR="007B004C" w:rsidRPr="00936FA2" w:rsidRDefault="007B004C" w:rsidP="00451654">
            <w:pPr>
              <w:jc w:val="both"/>
              <w:rPr>
                <w:rFonts w:asciiTheme="minorHAnsi" w:hAnsiTheme="minorHAnsi"/>
                <w:sz w:val="20"/>
                <w:szCs w:val="20"/>
              </w:rPr>
            </w:pPr>
            <w:r>
              <w:rPr>
                <w:rFonts w:asciiTheme="minorHAnsi" w:hAnsiTheme="minorHAnsi"/>
                <w:sz w:val="20"/>
                <w:szCs w:val="20"/>
              </w:rPr>
              <w:t>Faible qualité des services</w:t>
            </w:r>
          </w:p>
        </w:tc>
        <w:tc>
          <w:tcPr>
            <w:tcW w:w="1247" w:type="dxa"/>
            <w:shd w:val="clear" w:color="auto" w:fill="FF0000"/>
          </w:tcPr>
          <w:p w14:paraId="1D1E39DA" w14:textId="77777777" w:rsidR="007B004C" w:rsidRDefault="007B004C" w:rsidP="00451654">
            <w:pPr>
              <w:jc w:val="both"/>
              <w:rPr>
                <w:rFonts w:asciiTheme="minorHAnsi" w:hAnsiTheme="minorHAnsi"/>
                <w:sz w:val="20"/>
                <w:szCs w:val="20"/>
              </w:rPr>
            </w:pPr>
            <w:r w:rsidRPr="007B004C">
              <w:rPr>
                <w:rFonts w:asciiTheme="minorHAnsi" w:hAnsiTheme="minorHAnsi"/>
                <w:color w:val="FFFFFF" w:themeColor="background1"/>
                <w:sz w:val="20"/>
                <w:szCs w:val="20"/>
              </w:rPr>
              <w:t xml:space="preserve">Élevé   </w:t>
            </w:r>
          </w:p>
        </w:tc>
        <w:tc>
          <w:tcPr>
            <w:tcW w:w="6408" w:type="dxa"/>
          </w:tcPr>
          <w:p w14:paraId="2B9E273B" w14:textId="750BB3B4" w:rsidR="007B004C" w:rsidRDefault="007B004C" w:rsidP="00451654">
            <w:pPr>
              <w:pStyle w:val="Paragraphedeliste"/>
              <w:numPr>
                <w:ilvl w:val="0"/>
                <w:numId w:val="38"/>
              </w:numPr>
              <w:rPr>
                <w:rFonts w:asciiTheme="minorHAnsi" w:hAnsiTheme="minorHAnsi"/>
                <w:sz w:val="20"/>
                <w:szCs w:val="20"/>
              </w:rPr>
            </w:pPr>
            <w:r>
              <w:rPr>
                <w:rFonts w:asciiTheme="minorHAnsi" w:hAnsiTheme="minorHAnsi"/>
                <w:sz w:val="20"/>
                <w:szCs w:val="20"/>
              </w:rPr>
              <w:t xml:space="preserve">Évaluation </w:t>
            </w:r>
            <w:r w:rsidR="005526F0">
              <w:rPr>
                <w:rFonts w:asciiTheme="minorHAnsi" w:hAnsiTheme="minorHAnsi"/>
                <w:sz w:val="20"/>
                <w:szCs w:val="20"/>
              </w:rPr>
              <w:t xml:space="preserve">rapide </w:t>
            </w:r>
            <w:r>
              <w:rPr>
                <w:rFonts w:asciiTheme="minorHAnsi" w:hAnsiTheme="minorHAnsi"/>
                <w:sz w:val="20"/>
                <w:szCs w:val="20"/>
              </w:rPr>
              <w:t>de la qualité des services (RSQA)</w:t>
            </w:r>
          </w:p>
          <w:p w14:paraId="6D53BD66" w14:textId="0885EBFD" w:rsidR="007B004C" w:rsidRDefault="007B004C" w:rsidP="00451654">
            <w:pPr>
              <w:pStyle w:val="Paragraphedeliste"/>
              <w:numPr>
                <w:ilvl w:val="0"/>
                <w:numId w:val="38"/>
              </w:numPr>
              <w:rPr>
                <w:rFonts w:asciiTheme="minorHAnsi" w:hAnsiTheme="minorHAnsi"/>
                <w:sz w:val="20"/>
                <w:szCs w:val="20"/>
              </w:rPr>
            </w:pPr>
            <w:r>
              <w:rPr>
                <w:rFonts w:asciiTheme="minorHAnsi" w:hAnsiTheme="minorHAnsi"/>
                <w:sz w:val="20"/>
                <w:szCs w:val="20"/>
              </w:rPr>
              <w:t>Enquête sur la satisfaction des utilisateurs des services</w:t>
            </w:r>
            <w:r w:rsidR="00010366">
              <w:rPr>
                <w:rFonts w:asciiTheme="minorHAnsi" w:hAnsiTheme="minorHAnsi"/>
                <w:sz w:val="20"/>
                <w:szCs w:val="20"/>
              </w:rPr>
              <w:t xml:space="preserve"> liés au VIH</w:t>
            </w:r>
          </w:p>
          <w:p w14:paraId="66AA5A07" w14:textId="1B738E48" w:rsidR="007B004C" w:rsidRDefault="0085343C" w:rsidP="00451654">
            <w:pPr>
              <w:pStyle w:val="Paragraphedeliste"/>
              <w:numPr>
                <w:ilvl w:val="0"/>
                <w:numId w:val="38"/>
              </w:numPr>
              <w:rPr>
                <w:rFonts w:asciiTheme="minorHAnsi" w:hAnsiTheme="minorHAnsi"/>
                <w:sz w:val="20"/>
                <w:szCs w:val="20"/>
              </w:rPr>
            </w:pPr>
            <w:r>
              <w:rPr>
                <w:rFonts w:asciiTheme="minorHAnsi" w:hAnsiTheme="minorHAnsi"/>
                <w:sz w:val="20"/>
                <w:szCs w:val="20"/>
              </w:rPr>
              <w:t xml:space="preserve">Renforcement des capacités du personnel : </w:t>
            </w:r>
            <w:r w:rsidR="007B004C">
              <w:rPr>
                <w:rFonts w:asciiTheme="minorHAnsi" w:hAnsiTheme="minorHAnsi"/>
                <w:sz w:val="20"/>
                <w:szCs w:val="20"/>
              </w:rPr>
              <w:t>Supervision post formation, supervisions formatives et supervisions conjointes</w:t>
            </w:r>
            <w:r>
              <w:rPr>
                <w:rFonts w:asciiTheme="minorHAnsi" w:hAnsiTheme="minorHAnsi"/>
                <w:sz w:val="20"/>
                <w:szCs w:val="20"/>
              </w:rPr>
              <w:t>/ intégrées</w:t>
            </w:r>
          </w:p>
          <w:p w14:paraId="6BF6C854" w14:textId="77777777" w:rsidR="00010366" w:rsidRDefault="00010366" w:rsidP="00451654">
            <w:pPr>
              <w:pStyle w:val="Paragraphedeliste"/>
              <w:numPr>
                <w:ilvl w:val="0"/>
                <w:numId w:val="38"/>
              </w:numPr>
              <w:rPr>
                <w:rFonts w:asciiTheme="minorHAnsi" w:hAnsiTheme="minorHAnsi"/>
                <w:sz w:val="20"/>
                <w:szCs w:val="20"/>
              </w:rPr>
            </w:pPr>
            <w:r>
              <w:rPr>
                <w:rFonts w:asciiTheme="minorHAnsi" w:hAnsiTheme="minorHAnsi"/>
                <w:sz w:val="20"/>
                <w:szCs w:val="20"/>
              </w:rPr>
              <w:t>Prise en compte d’indicateurs VIH dans les indicateurs du financement basé sur les résultats (FBR)</w:t>
            </w:r>
          </w:p>
          <w:p w14:paraId="4095F062" w14:textId="10BDEE0F" w:rsidR="00476397" w:rsidRDefault="00476397" w:rsidP="00451654">
            <w:pPr>
              <w:pStyle w:val="Paragraphedeliste"/>
              <w:numPr>
                <w:ilvl w:val="0"/>
                <w:numId w:val="38"/>
              </w:numPr>
              <w:rPr>
                <w:rFonts w:asciiTheme="minorHAnsi" w:hAnsiTheme="minorHAnsi"/>
                <w:sz w:val="20"/>
                <w:szCs w:val="20"/>
              </w:rPr>
            </w:pPr>
            <w:r>
              <w:rPr>
                <w:rFonts w:asciiTheme="minorHAnsi" w:hAnsiTheme="minorHAnsi"/>
                <w:sz w:val="20"/>
                <w:szCs w:val="20"/>
              </w:rPr>
              <w:t>Amélioration des plateaux techniques et maintenance des appareils biomédicaux</w:t>
            </w:r>
          </w:p>
        </w:tc>
      </w:tr>
      <w:tr w:rsidR="007B004C" w:rsidRPr="00936FA2" w14:paraId="3BC5A29D" w14:textId="77777777" w:rsidTr="00EB7A2C">
        <w:tc>
          <w:tcPr>
            <w:tcW w:w="1838" w:type="dxa"/>
            <w:shd w:val="clear" w:color="auto" w:fill="E7E6E6" w:themeFill="background2"/>
          </w:tcPr>
          <w:p w14:paraId="4F5D12A4" w14:textId="77777777" w:rsidR="007B004C" w:rsidRPr="00936FA2" w:rsidRDefault="007B004C" w:rsidP="00451654">
            <w:pPr>
              <w:jc w:val="both"/>
              <w:rPr>
                <w:rFonts w:asciiTheme="minorHAnsi" w:hAnsiTheme="minorHAnsi"/>
                <w:sz w:val="20"/>
                <w:szCs w:val="20"/>
              </w:rPr>
            </w:pPr>
            <w:r w:rsidRPr="00936FA2">
              <w:rPr>
                <w:rFonts w:asciiTheme="minorHAnsi" w:hAnsiTheme="minorHAnsi" w:cstheme="majorHAnsi"/>
                <w:sz w:val="20"/>
                <w:szCs w:val="20"/>
              </w:rPr>
              <w:t>Instabilité sociopolitique</w:t>
            </w:r>
          </w:p>
        </w:tc>
        <w:tc>
          <w:tcPr>
            <w:tcW w:w="1247" w:type="dxa"/>
            <w:shd w:val="clear" w:color="auto" w:fill="FF0000"/>
          </w:tcPr>
          <w:p w14:paraId="40A1080D" w14:textId="77777777" w:rsidR="007B004C" w:rsidRPr="00936FA2" w:rsidRDefault="007B004C" w:rsidP="00451654">
            <w:pPr>
              <w:jc w:val="both"/>
              <w:rPr>
                <w:rFonts w:asciiTheme="minorHAnsi" w:hAnsiTheme="minorHAnsi"/>
                <w:sz w:val="20"/>
                <w:szCs w:val="20"/>
              </w:rPr>
            </w:pPr>
            <w:r w:rsidRPr="007B004C">
              <w:rPr>
                <w:rFonts w:asciiTheme="minorHAnsi" w:hAnsiTheme="minorHAnsi"/>
                <w:color w:val="FFFFFF" w:themeColor="background1"/>
                <w:sz w:val="20"/>
                <w:szCs w:val="20"/>
              </w:rPr>
              <w:t xml:space="preserve">Élevé </w:t>
            </w:r>
            <w:r>
              <w:rPr>
                <w:rFonts w:asciiTheme="minorHAnsi" w:hAnsiTheme="minorHAnsi"/>
                <w:sz w:val="20"/>
                <w:szCs w:val="20"/>
              </w:rPr>
              <w:t xml:space="preserve"> </w:t>
            </w:r>
          </w:p>
        </w:tc>
        <w:tc>
          <w:tcPr>
            <w:tcW w:w="6408" w:type="dxa"/>
          </w:tcPr>
          <w:p w14:paraId="7CBEB8D4" w14:textId="48C3F385" w:rsidR="007B004C" w:rsidRPr="00936FA2" w:rsidRDefault="0085343C" w:rsidP="00451654">
            <w:pPr>
              <w:pStyle w:val="Paragraphedeliste"/>
              <w:numPr>
                <w:ilvl w:val="0"/>
                <w:numId w:val="38"/>
              </w:numPr>
              <w:rPr>
                <w:rFonts w:asciiTheme="minorHAnsi" w:hAnsiTheme="minorHAnsi"/>
                <w:sz w:val="20"/>
                <w:szCs w:val="20"/>
              </w:rPr>
            </w:pPr>
            <w:r>
              <w:rPr>
                <w:rFonts w:asciiTheme="minorHAnsi" w:hAnsiTheme="minorHAnsi"/>
                <w:sz w:val="20"/>
                <w:szCs w:val="20"/>
              </w:rPr>
              <w:t>Poursuivre le plaidoyer pour le financement et la</w:t>
            </w:r>
            <w:r w:rsidR="007B004C" w:rsidRPr="006C10BF">
              <w:rPr>
                <w:rFonts w:asciiTheme="minorHAnsi" w:hAnsiTheme="minorHAnsi"/>
                <w:sz w:val="20"/>
                <w:szCs w:val="20"/>
              </w:rPr>
              <w:t xml:space="preserve"> poursuite des activités de riposte au sida</w:t>
            </w:r>
          </w:p>
        </w:tc>
      </w:tr>
      <w:tr w:rsidR="00FA1450" w:rsidRPr="00936FA2" w14:paraId="53FBC56B" w14:textId="77777777" w:rsidTr="00EB7A2C">
        <w:tc>
          <w:tcPr>
            <w:tcW w:w="1838" w:type="dxa"/>
            <w:shd w:val="clear" w:color="auto" w:fill="E7E6E6" w:themeFill="background2"/>
          </w:tcPr>
          <w:p w14:paraId="04930DC5" w14:textId="7631A7E1" w:rsidR="00FA1450" w:rsidRPr="00936FA2" w:rsidRDefault="00FA1450" w:rsidP="00C73023">
            <w:pPr>
              <w:jc w:val="both"/>
              <w:rPr>
                <w:rFonts w:asciiTheme="minorHAnsi" w:hAnsiTheme="minorHAnsi"/>
                <w:sz w:val="20"/>
                <w:szCs w:val="20"/>
              </w:rPr>
            </w:pPr>
            <w:r w:rsidRPr="00936FA2">
              <w:rPr>
                <w:rFonts w:asciiTheme="minorHAnsi" w:hAnsiTheme="minorHAnsi"/>
                <w:sz w:val="20"/>
                <w:szCs w:val="20"/>
              </w:rPr>
              <w:t>Faible fonctionnalité des entités décentralisées du SE/CNLS</w:t>
            </w:r>
            <w:r w:rsidR="00A606CE">
              <w:rPr>
                <w:rFonts w:asciiTheme="minorHAnsi" w:hAnsiTheme="minorHAnsi"/>
                <w:sz w:val="20"/>
                <w:szCs w:val="20"/>
              </w:rPr>
              <w:t xml:space="preserve"> et comités sectoriels</w:t>
            </w:r>
          </w:p>
        </w:tc>
        <w:tc>
          <w:tcPr>
            <w:tcW w:w="1247" w:type="dxa"/>
            <w:shd w:val="clear" w:color="auto" w:fill="FFFF00"/>
          </w:tcPr>
          <w:p w14:paraId="18840441" w14:textId="5D7E3F21" w:rsidR="00FA1450" w:rsidRPr="00936FA2" w:rsidRDefault="006F5AD9" w:rsidP="00C73023">
            <w:pPr>
              <w:jc w:val="both"/>
              <w:rPr>
                <w:rFonts w:asciiTheme="minorHAnsi" w:hAnsiTheme="minorHAnsi"/>
                <w:sz w:val="20"/>
                <w:szCs w:val="20"/>
              </w:rPr>
            </w:pPr>
            <w:r>
              <w:rPr>
                <w:rFonts w:asciiTheme="minorHAnsi" w:hAnsiTheme="minorHAnsi"/>
                <w:sz w:val="20"/>
                <w:szCs w:val="20"/>
              </w:rPr>
              <w:t xml:space="preserve">Moyen </w:t>
            </w:r>
            <w:r w:rsidR="00936FA2">
              <w:rPr>
                <w:rFonts w:asciiTheme="minorHAnsi" w:hAnsiTheme="minorHAnsi"/>
                <w:sz w:val="20"/>
                <w:szCs w:val="20"/>
              </w:rPr>
              <w:t xml:space="preserve">  </w:t>
            </w:r>
          </w:p>
        </w:tc>
        <w:tc>
          <w:tcPr>
            <w:tcW w:w="6408" w:type="dxa"/>
          </w:tcPr>
          <w:p w14:paraId="077C0F72" w14:textId="77777777" w:rsidR="00936FA2" w:rsidRDefault="00936FA2" w:rsidP="006C10BF">
            <w:pPr>
              <w:pStyle w:val="Paragraphedeliste"/>
              <w:numPr>
                <w:ilvl w:val="0"/>
                <w:numId w:val="38"/>
              </w:numPr>
              <w:rPr>
                <w:rFonts w:asciiTheme="minorHAnsi" w:hAnsiTheme="minorHAnsi"/>
                <w:sz w:val="20"/>
                <w:szCs w:val="20"/>
              </w:rPr>
            </w:pPr>
            <w:r>
              <w:rPr>
                <w:rFonts w:asciiTheme="minorHAnsi" w:hAnsiTheme="minorHAnsi"/>
                <w:sz w:val="20"/>
                <w:szCs w:val="20"/>
              </w:rPr>
              <w:t>Sécurisation des ressources pour le fonctionnement</w:t>
            </w:r>
          </w:p>
          <w:p w14:paraId="4BB45E5E" w14:textId="3AACCDC9" w:rsidR="006C10BF" w:rsidRDefault="0060143F" w:rsidP="006C10BF">
            <w:pPr>
              <w:pStyle w:val="Paragraphedeliste"/>
              <w:numPr>
                <w:ilvl w:val="0"/>
                <w:numId w:val="38"/>
              </w:numPr>
              <w:rPr>
                <w:rFonts w:asciiTheme="minorHAnsi" w:hAnsiTheme="minorHAnsi"/>
                <w:sz w:val="20"/>
                <w:szCs w:val="20"/>
              </w:rPr>
            </w:pPr>
            <w:r>
              <w:rPr>
                <w:rFonts w:asciiTheme="minorHAnsi" w:hAnsiTheme="minorHAnsi"/>
                <w:sz w:val="20"/>
                <w:szCs w:val="20"/>
              </w:rPr>
              <w:t xml:space="preserve">Évaluation pour la </w:t>
            </w:r>
            <w:r w:rsidR="0085343C">
              <w:rPr>
                <w:rFonts w:asciiTheme="minorHAnsi" w:hAnsiTheme="minorHAnsi"/>
                <w:sz w:val="20"/>
                <w:szCs w:val="20"/>
              </w:rPr>
              <w:t xml:space="preserve">pertinence et </w:t>
            </w:r>
            <w:r>
              <w:rPr>
                <w:rFonts w:asciiTheme="minorHAnsi" w:hAnsiTheme="minorHAnsi"/>
                <w:sz w:val="20"/>
                <w:szCs w:val="20"/>
              </w:rPr>
              <w:t>rationalisation des structures</w:t>
            </w:r>
          </w:p>
          <w:p w14:paraId="792B39F0" w14:textId="2179EE7A" w:rsidR="0060143F" w:rsidRPr="00936FA2" w:rsidRDefault="0060143F" w:rsidP="006C10BF">
            <w:pPr>
              <w:pStyle w:val="Paragraphedeliste"/>
              <w:numPr>
                <w:ilvl w:val="0"/>
                <w:numId w:val="38"/>
              </w:numPr>
              <w:rPr>
                <w:rFonts w:asciiTheme="minorHAnsi" w:hAnsiTheme="minorHAnsi"/>
                <w:sz w:val="20"/>
                <w:szCs w:val="20"/>
              </w:rPr>
            </w:pPr>
            <w:r>
              <w:rPr>
                <w:rFonts w:asciiTheme="minorHAnsi" w:hAnsiTheme="minorHAnsi"/>
                <w:sz w:val="20"/>
                <w:szCs w:val="20"/>
              </w:rPr>
              <w:t>Prise en compte des opportunités locales pour maîtriser les coûts</w:t>
            </w:r>
          </w:p>
        </w:tc>
      </w:tr>
      <w:tr w:rsidR="00FA1450" w:rsidRPr="00936FA2" w14:paraId="5B4B4EAD" w14:textId="77777777" w:rsidTr="00EB7A2C">
        <w:tc>
          <w:tcPr>
            <w:tcW w:w="1838" w:type="dxa"/>
            <w:shd w:val="clear" w:color="auto" w:fill="E7E6E6" w:themeFill="background2"/>
          </w:tcPr>
          <w:p w14:paraId="3C0A6454" w14:textId="46A64A76" w:rsidR="00FA1450" w:rsidRPr="00936FA2" w:rsidRDefault="00FA1450" w:rsidP="00C73023">
            <w:pPr>
              <w:jc w:val="both"/>
              <w:rPr>
                <w:rFonts w:asciiTheme="minorHAnsi" w:hAnsiTheme="minorHAnsi"/>
                <w:sz w:val="20"/>
                <w:szCs w:val="20"/>
              </w:rPr>
            </w:pPr>
            <w:r w:rsidRPr="00936FA2">
              <w:rPr>
                <w:rFonts w:asciiTheme="minorHAnsi" w:hAnsiTheme="minorHAnsi" w:cstheme="majorHAnsi"/>
                <w:sz w:val="20"/>
                <w:szCs w:val="20"/>
              </w:rPr>
              <w:t xml:space="preserve">Faible disponibilité des ressources humaines au niveau local </w:t>
            </w:r>
            <w:r w:rsidR="006F5AD9">
              <w:rPr>
                <w:rFonts w:asciiTheme="minorHAnsi" w:hAnsiTheme="minorHAnsi" w:cstheme="majorHAnsi"/>
                <w:sz w:val="20"/>
                <w:szCs w:val="20"/>
              </w:rPr>
              <w:t>(</w:t>
            </w:r>
            <w:r w:rsidRPr="00936FA2">
              <w:rPr>
                <w:rFonts w:asciiTheme="minorHAnsi" w:hAnsiTheme="minorHAnsi" w:cstheme="majorHAnsi"/>
                <w:sz w:val="20"/>
                <w:szCs w:val="20"/>
              </w:rPr>
              <w:t>déperdition</w:t>
            </w:r>
            <w:r w:rsidR="006F5AD9">
              <w:rPr>
                <w:rFonts w:asciiTheme="minorHAnsi" w:hAnsiTheme="minorHAnsi" w:cstheme="majorHAnsi"/>
                <w:sz w:val="20"/>
                <w:szCs w:val="20"/>
              </w:rPr>
              <w:t>)</w:t>
            </w:r>
          </w:p>
        </w:tc>
        <w:tc>
          <w:tcPr>
            <w:tcW w:w="1247" w:type="dxa"/>
            <w:shd w:val="clear" w:color="auto" w:fill="FFFF00"/>
          </w:tcPr>
          <w:p w14:paraId="75B7CB65" w14:textId="3E7C8BFB" w:rsidR="00FA1450" w:rsidRPr="00936FA2" w:rsidRDefault="00D32F47" w:rsidP="00C73023">
            <w:pPr>
              <w:jc w:val="both"/>
              <w:rPr>
                <w:rFonts w:asciiTheme="minorHAnsi" w:hAnsiTheme="minorHAnsi"/>
                <w:sz w:val="20"/>
                <w:szCs w:val="20"/>
              </w:rPr>
            </w:pPr>
            <w:r>
              <w:rPr>
                <w:rFonts w:asciiTheme="minorHAnsi" w:hAnsiTheme="minorHAnsi"/>
                <w:sz w:val="20"/>
                <w:szCs w:val="20"/>
              </w:rPr>
              <w:t xml:space="preserve">Moyen  </w:t>
            </w:r>
          </w:p>
        </w:tc>
        <w:tc>
          <w:tcPr>
            <w:tcW w:w="6408" w:type="dxa"/>
          </w:tcPr>
          <w:p w14:paraId="7D18D31C" w14:textId="7C99E37E" w:rsidR="00FA1450" w:rsidRDefault="00FA1450" w:rsidP="006C10BF">
            <w:pPr>
              <w:pStyle w:val="Paragraphedeliste"/>
              <w:numPr>
                <w:ilvl w:val="0"/>
                <w:numId w:val="38"/>
              </w:numPr>
              <w:rPr>
                <w:rFonts w:asciiTheme="minorHAnsi" w:hAnsiTheme="minorHAnsi"/>
                <w:sz w:val="20"/>
                <w:szCs w:val="20"/>
              </w:rPr>
            </w:pPr>
            <w:r w:rsidRPr="006C10BF">
              <w:rPr>
                <w:rFonts w:asciiTheme="minorHAnsi" w:hAnsiTheme="minorHAnsi"/>
                <w:sz w:val="20"/>
                <w:szCs w:val="20"/>
              </w:rPr>
              <w:t>Mise en place d’un répertoire associé au S</w:t>
            </w:r>
            <w:r w:rsidR="00A54BE2">
              <w:rPr>
                <w:rFonts w:asciiTheme="minorHAnsi" w:hAnsiTheme="minorHAnsi"/>
                <w:sz w:val="20"/>
                <w:szCs w:val="20"/>
              </w:rPr>
              <w:t>ystème d’information géographique (S</w:t>
            </w:r>
            <w:r w:rsidRPr="006C10BF">
              <w:rPr>
                <w:rFonts w:asciiTheme="minorHAnsi" w:hAnsiTheme="minorHAnsi"/>
                <w:sz w:val="20"/>
                <w:szCs w:val="20"/>
              </w:rPr>
              <w:t>IG</w:t>
            </w:r>
            <w:r w:rsidR="00A54BE2">
              <w:rPr>
                <w:rFonts w:asciiTheme="minorHAnsi" w:hAnsiTheme="minorHAnsi"/>
                <w:sz w:val="20"/>
                <w:szCs w:val="20"/>
              </w:rPr>
              <w:t>)</w:t>
            </w:r>
            <w:r w:rsidRPr="006C10BF">
              <w:rPr>
                <w:rFonts w:asciiTheme="minorHAnsi" w:hAnsiTheme="minorHAnsi"/>
                <w:sz w:val="20"/>
                <w:szCs w:val="20"/>
              </w:rPr>
              <w:t xml:space="preserve"> avec </w:t>
            </w:r>
            <w:r w:rsidR="006F5AD9">
              <w:rPr>
                <w:rFonts w:asciiTheme="minorHAnsi" w:hAnsiTheme="minorHAnsi"/>
                <w:sz w:val="20"/>
                <w:szCs w:val="20"/>
              </w:rPr>
              <w:t xml:space="preserve">un </w:t>
            </w:r>
            <w:r w:rsidRPr="006C10BF">
              <w:rPr>
                <w:rFonts w:asciiTheme="minorHAnsi" w:hAnsiTheme="minorHAnsi"/>
                <w:sz w:val="20"/>
                <w:szCs w:val="20"/>
              </w:rPr>
              <w:t>mécanisme de surveillance</w:t>
            </w:r>
            <w:r w:rsidR="00C21C24">
              <w:rPr>
                <w:rFonts w:asciiTheme="minorHAnsi" w:hAnsiTheme="minorHAnsi"/>
                <w:sz w:val="20"/>
                <w:szCs w:val="20"/>
              </w:rPr>
              <w:t xml:space="preserve"> et de gestion de la rotation</w:t>
            </w:r>
          </w:p>
          <w:p w14:paraId="36B95AB3" w14:textId="19792C5F" w:rsidR="00C21C24" w:rsidRPr="006C10BF" w:rsidRDefault="00C21C24" w:rsidP="006C10BF">
            <w:pPr>
              <w:pStyle w:val="Paragraphedeliste"/>
              <w:numPr>
                <w:ilvl w:val="0"/>
                <w:numId w:val="38"/>
              </w:numPr>
              <w:rPr>
                <w:rFonts w:asciiTheme="minorHAnsi" w:hAnsiTheme="minorHAnsi"/>
                <w:sz w:val="20"/>
                <w:szCs w:val="20"/>
              </w:rPr>
            </w:pPr>
            <w:r>
              <w:rPr>
                <w:rFonts w:asciiTheme="minorHAnsi" w:hAnsiTheme="minorHAnsi"/>
                <w:sz w:val="20"/>
                <w:szCs w:val="20"/>
              </w:rPr>
              <w:t>Mise en œuvre de la fonction locale et du pipeline rural</w:t>
            </w:r>
          </w:p>
          <w:p w14:paraId="08CAAF69" w14:textId="08C530A7" w:rsidR="00FA1450" w:rsidRPr="006C10BF" w:rsidRDefault="00FA1450" w:rsidP="006C10BF">
            <w:pPr>
              <w:pStyle w:val="Paragraphedeliste"/>
              <w:numPr>
                <w:ilvl w:val="0"/>
                <w:numId w:val="38"/>
              </w:numPr>
              <w:rPr>
                <w:rFonts w:asciiTheme="minorHAnsi" w:hAnsiTheme="minorHAnsi"/>
                <w:sz w:val="20"/>
                <w:szCs w:val="20"/>
              </w:rPr>
            </w:pPr>
            <w:r w:rsidRPr="006C10BF">
              <w:rPr>
                <w:rFonts w:asciiTheme="minorHAnsi" w:hAnsiTheme="minorHAnsi"/>
                <w:sz w:val="20"/>
                <w:szCs w:val="20"/>
              </w:rPr>
              <w:t xml:space="preserve">Assurer le suivi de la présence effective </w:t>
            </w:r>
            <w:r w:rsidR="00936FA2" w:rsidRPr="006C10BF">
              <w:rPr>
                <w:rFonts w:asciiTheme="minorHAnsi" w:hAnsiTheme="minorHAnsi"/>
                <w:sz w:val="20"/>
                <w:szCs w:val="20"/>
              </w:rPr>
              <w:t>du personnel essentiel sur le terrain</w:t>
            </w:r>
          </w:p>
          <w:p w14:paraId="7DE1DF0C" w14:textId="77777777" w:rsidR="00FA1450" w:rsidRDefault="00936FA2" w:rsidP="006C10BF">
            <w:pPr>
              <w:pStyle w:val="Paragraphedeliste"/>
              <w:numPr>
                <w:ilvl w:val="0"/>
                <w:numId w:val="38"/>
              </w:numPr>
              <w:rPr>
                <w:rFonts w:asciiTheme="minorHAnsi" w:hAnsiTheme="minorHAnsi"/>
                <w:sz w:val="20"/>
                <w:szCs w:val="20"/>
              </w:rPr>
            </w:pPr>
            <w:r w:rsidRPr="006C10BF">
              <w:rPr>
                <w:rFonts w:asciiTheme="minorHAnsi" w:hAnsiTheme="minorHAnsi"/>
                <w:sz w:val="20"/>
                <w:szCs w:val="20"/>
              </w:rPr>
              <w:t>Organiser des actions de plaidoyer pour le remplacement ou mise à disposition du personnel</w:t>
            </w:r>
          </w:p>
          <w:p w14:paraId="33D4C90C" w14:textId="2EBA3A66" w:rsidR="00A54BE2" w:rsidRPr="00936FA2" w:rsidRDefault="00A54BE2" w:rsidP="006C10BF">
            <w:pPr>
              <w:pStyle w:val="Paragraphedeliste"/>
              <w:numPr>
                <w:ilvl w:val="0"/>
                <w:numId w:val="38"/>
              </w:numPr>
              <w:rPr>
                <w:rFonts w:asciiTheme="minorHAnsi" w:hAnsiTheme="minorHAnsi"/>
                <w:sz w:val="20"/>
                <w:szCs w:val="20"/>
              </w:rPr>
            </w:pPr>
            <w:r>
              <w:rPr>
                <w:rFonts w:asciiTheme="minorHAnsi" w:hAnsiTheme="minorHAnsi"/>
                <w:sz w:val="20"/>
                <w:szCs w:val="20"/>
              </w:rPr>
              <w:t>Formation de personnel complémentaire</w:t>
            </w:r>
          </w:p>
        </w:tc>
      </w:tr>
      <w:tr w:rsidR="0060143F" w:rsidRPr="00936FA2" w14:paraId="3ECD5551" w14:textId="77777777" w:rsidTr="00EB7A2C">
        <w:tc>
          <w:tcPr>
            <w:tcW w:w="1838" w:type="dxa"/>
            <w:shd w:val="clear" w:color="auto" w:fill="E7E6E6" w:themeFill="background2"/>
          </w:tcPr>
          <w:p w14:paraId="065769CD" w14:textId="085BA6D4" w:rsidR="0060143F" w:rsidRPr="00936FA2" w:rsidRDefault="0060143F" w:rsidP="00C73023">
            <w:pPr>
              <w:jc w:val="both"/>
              <w:rPr>
                <w:rFonts w:asciiTheme="minorHAnsi" w:hAnsiTheme="minorHAnsi" w:cstheme="majorHAnsi"/>
                <w:sz w:val="20"/>
                <w:szCs w:val="20"/>
              </w:rPr>
            </w:pPr>
            <w:r>
              <w:rPr>
                <w:rFonts w:asciiTheme="minorHAnsi" w:hAnsiTheme="minorHAnsi" w:cstheme="majorHAnsi"/>
                <w:sz w:val="20"/>
                <w:szCs w:val="20"/>
              </w:rPr>
              <w:t>Insuffisance dans la qualité des données</w:t>
            </w:r>
          </w:p>
        </w:tc>
        <w:tc>
          <w:tcPr>
            <w:tcW w:w="1247" w:type="dxa"/>
            <w:shd w:val="clear" w:color="auto" w:fill="FFFF00"/>
          </w:tcPr>
          <w:p w14:paraId="628286E8" w14:textId="36951F10" w:rsidR="0060143F" w:rsidRDefault="00D32F47" w:rsidP="00C73023">
            <w:pPr>
              <w:jc w:val="both"/>
              <w:rPr>
                <w:rFonts w:asciiTheme="minorHAnsi" w:hAnsiTheme="minorHAnsi"/>
                <w:sz w:val="20"/>
                <w:szCs w:val="20"/>
              </w:rPr>
            </w:pPr>
            <w:r>
              <w:rPr>
                <w:rFonts w:asciiTheme="minorHAnsi" w:hAnsiTheme="minorHAnsi"/>
                <w:sz w:val="20"/>
                <w:szCs w:val="20"/>
              </w:rPr>
              <w:t xml:space="preserve">Moyen  </w:t>
            </w:r>
          </w:p>
        </w:tc>
        <w:tc>
          <w:tcPr>
            <w:tcW w:w="6408" w:type="dxa"/>
          </w:tcPr>
          <w:p w14:paraId="5FE425F3" w14:textId="5FE0A3E5" w:rsidR="0060143F" w:rsidRDefault="0060143F" w:rsidP="006C10BF">
            <w:pPr>
              <w:pStyle w:val="Paragraphedeliste"/>
              <w:numPr>
                <w:ilvl w:val="0"/>
                <w:numId w:val="38"/>
              </w:numPr>
              <w:rPr>
                <w:rFonts w:asciiTheme="minorHAnsi" w:hAnsiTheme="minorHAnsi"/>
                <w:sz w:val="20"/>
                <w:szCs w:val="20"/>
              </w:rPr>
            </w:pPr>
            <w:r>
              <w:rPr>
                <w:rFonts w:asciiTheme="minorHAnsi" w:hAnsiTheme="minorHAnsi"/>
                <w:sz w:val="20"/>
                <w:szCs w:val="20"/>
              </w:rPr>
              <w:t>Audit de la qualité des données</w:t>
            </w:r>
            <w:r w:rsidR="00C21C24">
              <w:rPr>
                <w:rFonts w:asciiTheme="minorHAnsi" w:hAnsiTheme="minorHAnsi"/>
                <w:sz w:val="20"/>
                <w:szCs w:val="20"/>
              </w:rPr>
              <w:t xml:space="preserve"> (RDQA et OSDV)</w:t>
            </w:r>
          </w:p>
          <w:p w14:paraId="0A0F7A95" w14:textId="6B9B4F3B" w:rsidR="0060143F" w:rsidRDefault="0060143F" w:rsidP="006C10BF">
            <w:pPr>
              <w:pStyle w:val="Paragraphedeliste"/>
              <w:numPr>
                <w:ilvl w:val="0"/>
                <w:numId w:val="38"/>
              </w:numPr>
              <w:rPr>
                <w:rFonts w:asciiTheme="minorHAnsi" w:hAnsiTheme="minorHAnsi"/>
                <w:sz w:val="20"/>
                <w:szCs w:val="20"/>
              </w:rPr>
            </w:pPr>
            <w:r>
              <w:rPr>
                <w:rFonts w:asciiTheme="minorHAnsi" w:hAnsiTheme="minorHAnsi"/>
                <w:sz w:val="20"/>
                <w:szCs w:val="20"/>
              </w:rPr>
              <w:t xml:space="preserve">Renforcement des </w:t>
            </w:r>
            <w:r w:rsidR="00C21C24">
              <w:rPr>
                <w:rFonts w:asciiTheme="minorHAnsi" w:hAnsiTheme="minorHAnsi"/>
                <w:sz w:val="20"/>
                <w:szCs w:val="20"/>
              </w:rPr>
              <w:t>capacités des acteurs sur le remplissage des outils et la compréhension des indicateurs</w:t>
            </w:r>
          </w:p>
          <w:p w14:paraId="26AFEC7C" w14:textId="77777777" w:rsidR="0060143F" w:rsidRDefault="0060143F" w:rsidP="006C10BF">
            <w:pPr>
              <w:pStyle w:val="Paragraphedeliste"/>
              <w:numPr>
                <w:ilvl w:val="0"/>
                <w:numId w:val="38"/>
              </w:numPr>
              <w:rPr>
                <w:rFonts w:asciiTheme="minorHAnsi" w:hAnsiTheme="minorHAnsi"/>
                <w:sz w:val="20"/>
                <w:szCs w:val="20"/>
              </w:rPr>
            </w:pPr>
            <w:r>
              <w:rPr>
                <w:rFonts w:asciiTheme="minorHAnsi" w:hAnsiTheme="minorHAnsi"/>
                <w:sz w:val="20"/>
                <w:szCs w:val="20"/>
              </w:rPr>
              <w:t>Analyse périodique de la qualité des données du DHIS2 et SIGL</w:t>
            </w:r>
          </w:p>
          <w:p w14:paraId="447E5D47" w14:textId="45C57F64" w:rsidR="0060143F" w:rsidRPr="006C10BF" w:rsidRDefault="0060143F" w:rsidP="006C10BF">
            <w:pPr>
              <w:pStyle w:val="Paragraphedeliste"/>
              <w:numPr>
                <w:ilvl w:val="0"/>
                <w:numId w:val="38"/>
              </w:numPr>
              <w:rPr>
                <w:rFonts w:asciiTheme="minorHAnsi" w:hAnsiTheme="minorHAnsi"/>
                <w:sz w:val="20"/>
                <w:szCs w:val="20"/>
              </w:rPr>
            </w:pPr>
            <w:r>
              <w:rPr>
                <w:rFonts w:asciiTheme="minorHAnsi" w:hAnsiTheme="minorHAnsi"/>
                <w:sz w:val="20"/>
                <w:szCs w:val="20"/>
              </w:rPr>
              <w:t>Sorties de vérification et correction des données</w:t>
            </w:r>
          </w:p>
        </w:tc>
      </w:tr>
      <w:tr w:rsidR="0060143F" w:rsidRPr="00936FA2" w14:paraId="601BC481" w14:textId="77777777" w:rsidTr="00EB7A2C">
        <w:tc>
          <w:tcPr>
            <w:tcW w:w="1838" w:type="dxa"/>
            <w:shd w:val="clear" w:color="auto" w:fill="E7E6E6" w:themeFill="background2"/>
          </w:tcPr>
          <w:p w14:paraId="12278889" w14:textId="1D8F6BB7" w:rsidR="0060143F" w:rsidRPr="00936FA2" w:rsidRDefault="0060143F" w:rsidP="00C73023">
            <w:pPr>
              <w:jc w:val="both"/>
              <w:rPr>
                <w:rFonts w:asciiTheme="minorHAnsi" w:hAnsiTheme="minorHAnsi" w:cstheme="majorHAnsi"/>
                <w:sz w:val="20"/>
                <w:szCs w:val="20"/>
              </w:rPr>
            </w:pPr>
            <w:r>
              <w:rPr>
                <w:rFonts w:asciiTheme="minorHAnsi" w:hAnsiTheme="minorHAnsi" w:cstheme="majorHAnsi"/>
                <w:sz w:val="20"/>
                <w:szCs w:val="20"/>
              </w:rPr>
              <w:t>Faible promptitude et faible complétude des données</w:t>
            </w:r>
          </w:p>
        </w:tc>
        <w:tc>
          <w:tcPr>
            <w:tcW w:w="1247" w:type="dxa"/>
            <w:shd w:val="clear" w:color="auto" w:fill="FFFF00"/>
          </w:tcPr>
          <w:p w14:paraId="11AD9C48" w14:textId="4E697EB9" w:rsidR="0060143F" w:rsidRDefault="007B004C" w:rsidP="00C73023">
            <w:pPr>
              <w:jc w:val="both"/>
              <w:rPr>
                <w:rFonts w:asciiTheme="minorHAnsi" w:hAnsiTheme="minorHAnsi"/>
                <w:sz w:val="20"/>
                <w:szCs w:val="20"/>
              </w:rPr>
            </w:pPr>
            <w:r>
              <w:rPr>
                <w:rFonts w:asciiTheme="minorHAnsi" w:hAnsiTheme="minorHAnsi"/>
                <w:sz w:val="20"/>
                <w:szCs w:val="20"/>
              </w:rPr>
              <w:t xml:space="preserve">Moyen </w:t>
            </w:r>
            <w:r w:rsidR="0060143F">
              <w:rPr>
                <w:rFonts w:asciiTheme="minorHAnsi" w:hAnsiTheme="minorHAnsi"/>
                <w:sz w:val="20"/>
                <w:szCs w:val="20"/>
              </w:rPr>
              <w:t xml:space="preserve"> </w:t>
            </w:r>
          </w:p>
        </w:tc>
        <w:tc>
          <w:tcPr>
            <w:tcW w:w="6408" w:type="dxa"/>
          </w:tcPr>
          <w:p w14:paraId="0C7FD2EE" w14:textId="45374E2F" w:rsidR="00C21C24" w:rsidRDefault="00C21C24" w:rsidP="006C10BF">
            <w:pPr>
              <w:pStyle w:val="Paragraphedeliste"/>
              <w:numPr>
                <w:ilvl w:val="0"/>
                <w:numId w:val="38"/>
              </w:numPr>
              <w:rPr>
                <w:rFonts w:asciiTheme="minorHAnsi" w:hAnsiTheme="minorHAnsi"/>
                <w:sz w:val="20"/>
                <w:szCs w:val="20"/>
              </w:rPr>
            </w:pPr>
            <w:r>
              <w:rPr>
                <w:rFonts w:asciiTheme="minorHAnsi" w:hAnsiTheme="minorHAnsi"/>
                <w:sz w:val="20"/>
                <w:szCs w:val="20"/>
              </w:rPr>
              <w:t xml:space="preserve">Renforcement des capacités des acteurs sur </w:t>
            </w:r>
            <w:r w:rsidR="00FA2F17">
              <w:rPr>
                <w:rFonts w:asciiTheme="minorHAnsi" w:hAnsiTheme="minorHAnsi"/>
                <w:sz w:val="20"/>
                <w:szCs w:val="20"/>
              </w:rPr>
              <w:t>la production des rapports</w:t>
            </w:r>
          </w:p>
          <w:p w14:paraId="75BF3956" w14:textId="2D9388FB" w:rsidR="000360D3" w:rsidRDefault="000360D3" w:rsidP="006C10BF">
            <w:pPr>
              <w:pStyle w:val="Paragraphedeliste"/>
              <w:numPr>
                <w:ilvl w:val="0"/>
                <w:numId w:val="38"/>
              </w:numPr>
              <w:rPr>
                <w:rFonts w:asciiTheme="minorHAnsi" w:hAnsiTheme="minorHAnsi"/>
                <w:sz w:val="20"/>
                <w:szCs w:val="20"/>
              </w:rPr>
            </w:pPr>
            <w:r>
              <w:rPr>
                <w:rFonts w:asciiTheme="minorHAnsi" w:hAnsiTheme="minorHAnsi"/>
                <w:sz w:val="20"/>
                <w:szCs w:val="20"/>
              </w:rPr>
              <w:t>Diffusion du planning de transmission des données et rapports</w:t>
            </w:r>
          </w:p>
          <w:p w14:paraId="4C512596" w14:textId="0121E5F7" w:rsidR="0060143F" w:rsidRPr="006C10BF" w:rsidRDefault="0060143F" w:rsidP="006C10BF">
            <w:pPr>
              <w:pStyle w:val="Paragraphedeliste"/>
              <w:numPr>
                <w:ilvl w:val="0"/>
                <w:numId w:val="38"/>
              </w:numPr>
              <w:rPr>
                <w:rFonts w:asciiTheme="minorHAnsi" w:hAnsiTheme="minorHAnsi"/>
                <w:sz w:val="20"/>
                <w:szCs w:val="20"/>
              </w:rPr>
            </w:pPr>
            <w:r>
              <w:rPr>
                <w:rFonts w:asciiTheme="minorHAnsi" w:hAnsiTheme="minorHAnsi"/>
                <w:sz w:val="20"/>
                <w:szCs w:val="20"/>
              </w:rPr>
              <w:t xml:space="preserve">Sorties de collecte </w:t>
            </w:r>
            <w:r w:rsidR="00C21C24">
              <w:rPr>
                <w:rFonts w:asciiTheme="minorHAnsi" w:hAnsiTheme="minorHAnsi"/>
                <w:sz w:val="20"/>
                <w:szCs w:val="20"/>
              </w:rPr>
              <w:t xml:space="preserve">active </w:t>
            </w:r>
            <w:r>
              <w:rPr>
                <w:rFonts w:asciiTheme="minorHAnsi" w:hAnsiTheme="minorHAnsi"/>
                <w:sz w:val="20"/>
                <w:szCs w:val="20"/>
              </w:rPr>
              <w:t>des données non transmises ou manquantes</w:t>
            </w:r>
          </w:p>
        </w:tc>
      </w:tr>
    </w:tbl>
    <w:p w14:paraId="454ECE5D" w14:textId="47BF7627" w:rsidR="007B004C" w:rsidRPr="00AA7565" w:rsidRDefault="007B004C" w:rsidP="00C73023">
      <w:pPr>
        <w:jc w:val="both"/>
        <w:rPr>
          <w:rFonts w:asciiTheme="minorHAnsi" w:hAnsiTheme="minorHAnsi"/>
        </w:rPr>
      </w:pPr>
    </w:p>
    <w:p w14:paraId="13D78A14" w14:textId="1E5DEA70" w:rsidR="00AA7565" w:rsidRPr="00AA7565" w:rsidRDefault="00AA7565" w:rsidP="00C73023">
      <w:pPr>
        <w:jc w:val="both"/>
        <w:rPr>
          <w:rFonts w:asciiTheme="minorHAnsi" w:hAnsiTheme="minorHAnsi"/>
        </w:rPr>
      </w:pPr>
      <w:r w:rsidRPr="00AA7565">
        <w:rPr>
          <w:rFonts w:asciiTheme="minorHAnsi" w:hAnsiTheme="minorHAnsi"/>
        </w:rPr>
        <w:t>L’ensemble de ces mesures d’atténuation seront prises en compte prioritairement dans le Plan de mise en œuvre opérationnel (PMO)</w:t>
      </w:r>
      <w:r w:rsidR="00A20BA0">
        <w:rPr>
          <w:rFonts w:asciiTheme="minorHAnsi" w:hAnsiTheme="minorHAnsi"/>
        </w:rPr>
        <w:t xml:space="preserve"> et feront l’objet de suivi spécifique</w:t>
      </w:r>
      <w:r w:rsidRPr="00AA7565">
        <w:rPr>
          <w:rFonts w:asciiTheme="minorHAnsi" w:hAnsiTheme="minorHAnsi"/>
        </w:rPr>
        <w:t>.</w:t>
      </w:r>
    </w:p>
    <w:p w14:paraId="31D07927" w14:textId="77777777" w:rsidR="00FA1450" w:rsidRDefault="00FA1450" w:rsidP="00C73023">
      <w:pPr>
        <w:jc w:val="both"/>
      </w:pPr>
    </w:p>
    <w:p w14:paraId="5E8C5521" w14:textId="77777777" w:rsidR="00EF20A4" w:rsidRDefault="00EF20A4" w:rsidP="00EF20A4"/>
    <w:p w14:paraId="5A4FC92C" w14:textId="77777777" w:rsidR="00EF20A4" w:rsidRDefault="00EF20A4" w:rsidP="00EF20A4"/>
    <w:p w14:paraId="27BF9F6C" w14:textId="48AAC4E1" w:rsidR="00EF20A4" w:rsidRPr="00EF20A4" w:rsidRDefault="00EF20A4" w:rsidP="00EF20A4">
      <w:pPr>
        <w:sectPr w:rsidR="00EF20A4" w:rsidRPr="00EF20A4" w:rsidSect="00891515">
          <w:pgSz w:w="11906" w:h="16838"/>
          <w:pgMar w:top="1011" w:right="1133" w:bottom="1320" w:left="1275" w:header="708" w:footer="708" w:gutter="0"/>
          <w:cols w:space="708"/>
          <w:docGrid w:linePitch="360"/>
        </w:sectPr>
      </w:pPr>
    </w:p>
    <w:p w14:paraId="7D53C3FA" w14:textId="77777777" w:rsidR="00787CCB" w:rsidRPr="005B52BA" w:rsidRDefault="00787CCB" w:rsidP="00C34A61">
      <w:pPr>
        <w:pStyle w:val="Titre1"/>
        <w:numPr>
          <w:ilvl w:val="0"/>
          <w:numId w:val="6"/>
        </w:numPr>
        <w:pBdr>
          <w:bottom w:val="single" w:sz="12" w:space="1" w:color="auto"/>
        </w:pBdr>
        <w:shd w:val="clear" w:color="auto" w:fill="92D050"/>
        <w:spacing w:after="0"/>
        <w:ind w:left="284" w:hanging="284"/>
        <w:rPr>
          <w:rFonts w:ascii="Calibri" w:hAnsi="Calibri"/>
        </w:rPr>
      </w:pPr>
      <w:bookmarkStart w:id="148" w:name="_Toc500335888"/>
      <w:bookmarkStart w:id="149" w:name="_Toc500520948"/>
      <w:bookmarkStart w:id="150" w:name="_Toc520983544"/>
      <w:r w:rsidRPr="005B52BA">
        <w:rPr>
          <w:rFonts w:ascii="Calibri" w:hAnsi="Calibri"/>
        </w:rPr>
        <w:t>ANNEXES</w:t>
      </w:r>
      <w:bookmarkEnd w:id="146"/>
      <w:bookmarkEnd w:id="148"/>
      <w:bookmarkEnd w:id="149"/>
      <w:bookmarkEnd w:id="150"/>
    </w:p>
    <w:p w14:paraId="1192548B" w14:textId="77777777" w:rsidR="00787CCB" w:rsidRPr="005B52BA" w:rsidRDefault="00787CCB" w:rsidP="00787CCB">
      <w:pPr>
        <w:rPr>
          <w:rFonts w:ascii="Calibri" w:hAnsi="Calibri"/>
        </w:rPr>
      </w:pPr>
    </w:p>
    <w:p w14:paraId="35C222C0" w14:textId="77777777" w:rsidR="00787CCB" w:rsidRPr="005A0CA9" w:rsidRDefault="00787CCB" w:rsidP="00C34A61">
      <w:pPr>
        <w:pStyle w:val="Titre2"/>
        <w:numPr>
          <w:ilvl w:val="1"/>
          <w:numId w:val="6"/>
        </w:numPr>
        <w:spacing w:after="0"/>
        <w:ind w:left="567" w:hanging="567"/>
        <w:rPr>
          <w:rFonts w:ascii="Calibri" w:hAnsi="Calibri"/>
          <w:color w:val="2F5496" w:themeColor="accent5" w:themeShade="BF"/>
        </w:rPr>
      </w:pPr>
      <w:bookmarkStart w:id="151" w:name="_Toc500335889"/>
      <w:bookmarkStart w:id="152" w:name="_Toc500520949"/>
      <w:bookmarkStart w:id="153" w:name="_Toc520983545"/>
      <w:r w:rsidRPr="005A0CA9">
        <w:rPr>
          <w:rFonts w:ascii="Calibri" w:hAnsi="Calibri"/>
          <w:color w:val="2F5496" w:themeColor="accent5" w:themeShade="BF"/>
        </w:rPr>
        <w:t>CADRE DE PERFORMANCE DU CSN 2018-2022</w:t>
      </w:r>
      <w:bookmarkEnd w:id="151"/>
      <w:bookmarkEnd w:id="152"/>
      <w:bookmarkEnd w:id="153"/>
    </w:p>
    <w:p w14:paraId="73BBF9D0" w14:textId="62F04581" w:rsidR="00787CCB" w:rsidRDefault="00787CCB" w:rsidP="00787CCB">
      <w:pPr>
        <w:rPr>
          <w:rFonts w:ascii="Calibri" w:hAnsi="Calibri"/>
          <w:sz w:val="20"/>
          <w:szCs w:val="20"/>
        </w:rPr>
      </w:pPr>
    </w:p>
    <w:tbl>
      <w:tblPr>
        <w:tblW w:w="14449" w:type="dxa"/>
        <w:tblLayout w:type="fixed"/>
        <w:tblCellMar>
          <w:left w:w="70" w:type="dxa"/>
          <w:right w:w="70" w:type="dxa"/>
        </w:tblCellMar>
        <w:tblLook w:val="04A0" w:firstRow="1" w:lastRow="0" w:firstColumn="1" w:lastColumn="0" w:noHBand="0" w:noVBand="1"/>
      </w:tblPr>
      <w:tblGrid>
        <w:gridCol w:w="2117"/>
        <w:gridCol w:w="25"/>
        <w:gridCol w:w="4652"/>
        <w:gridCol w:w="1418"/>
        <w:gridCol w:w="1559"/>
        <w:gridCol w:w="992"/>
        <w:gridCol w:w="993"/>
        <w:gridCol w:w="850"/>
        <w:gridCol w:w="851"/>
        <w:gridCol w:w="992"/>
      </w:tblGrid>
      <w:tr w:rsidR="00974312" w:rsidRPr="00974312" w14:paraId="7139D240" w14:textId="77777777" w:rsidTr="00974312">
        <w:trPr>
          <w:trHeight w:val="340"/>
        </w:trPr>
        <w:tc>
          <w:tcPr>
            <w:tcW w:w="14449" w:type="dxa"/>
            <w:gridSpan w:val="10"/>
            <w:tcBorders>
              <w:top w:val="single" w:sz="8" w:space="0" w:color="auto"/>
              <w:left w:val="single" w:sz="8" w:space="0" w:color="auto"/>
              <w:bottom w:val="nil"/>
              <w:right w:val="single" w:sz="8" w:space="0" w:color="000000"/>
            </w:tcBorders>
            <w:shd w:val="clear" w:color="000000" w:fill="4472C4"/>
            <w:vAlign w:val="bottom"/>
            <w:hideMark/>
          </w:tcPr>
          <w:p w14:paraId="6968B6CD" w14:textId="61C58888" w:rsidR="00974312" w:rsidRPr="00974312" w:rsidRDefault="00974312">
            <w:pPr>
              <w:jc w:val="center"/>
              <w:rPr>
                <w:rFonts w:asciiTheme="minorHAnsi" w:hAnsiTheme="minorHAnsi"/>
                <w:color w:val="FFFFFF"/>
                <w:sz w:val="18"/>
                <w:szCs w:val="18"/>
              </w:rPr>
            </w:pPr>
            <w:r w:rsidRPr="00974312">
              <w:rPr>
                <w:rFonts w:asciiTheme="minorHAnsi" w:hAnsiTheme="minorHAnsi"/>
                <w:color w:val="FFFFFF"/>
                <w:sz w:val="18"/>
                <w:szCs w:val="18"/>
              </w:rPr>
              <w:t xml:space="preserve">CADRE DE PERFORMANCE DU CSN 2018-2022 </w:t>
            </w:r>
            <w:r w:rsidR="0062296C">
              <w:rPr>
                <w:rFonts w:asciiTheme="minorHAnsi" w:hAnsiTheme="minorHAnsi"/>
                <w:color w:val="FFFFFF"/>
                <w:sz w:val="18"/>
                <w:szCs w:val="18"/>
              </w:rPr>
              <w:t>(14</w:t>
            </w:r>
            <w:r w:rsidRPr="00974312">
              <w:rPr>
                <w:rFonts w:asciiTheme="minorHAnsi" w:hAnsiTheme="minorHAnsi"/>
                <w:color w:val="FFFFFF"/>
                <w:sz w:val="18"/>
                <w:szCs w:val="18"/>
              </w:rPr>
              <w:t xml:space="preserve"> indicateurs d'impacts et </w:t>
            </w:r>
            <w:r w:rsidR="0062296C">
              <w:rPr>
                <w:rFonts w:asciiTheme="minorHAnsi" w:hAnsiTheme="minorHAnsi"/>
                <w:color w:val="FFFFFF"/>
                <w:sz w:val="18"/>
                <w:szCs w:val="18"/>
              </w:rPr>
              <w:t>22</w:t>
            </w:r>
            <w:r w:rsidRPr="00974312">
              <w:rPr>
                <w:rFonts w:asciiTheme="minorHAnsi" w:hAnsiTheme="minorHAnsi"/>
                <w:color w:val="FFFFFF"/>
                <w:sz w:val="18"/>
                <w:szCs w:val="18"/>
              </w:rPr>
              <w:t xml:space="preserve"> indicateurs d'effets)</w:t>
            </w:r>
          </w:p>
        </w:tc>
      </w:tr>
      <w:tr w:rsidR="00974312" w:rsidRPr="00974312" w14:paraId="6561F13A" w14:textId="77777777" w:rsidTr="00974312">
        <w:trPr>
          <w:trHeight w:val="320"/>
        </w:trPr>
        <w:tc>
          <w:tcPr>
            <w:tcW w:w="2142" w:type="dxa"/>
            <w:gridSpan w:val="2"/>
            <w:tcBorders>
              <w:top w:val="single" w:sz="8" w:space="0" w:color="auto"/>
              <w:left w:val="single" w:sz="8" w:space="0" w:color="auto"/>
              <w:bottom w:val="single" w:sz="4" w:space="0" w:color="auto"/>
              <w:right w:val="single" w:sz="4" w:space="0" w:color="auto"/>
            </w:tcBorders>
            <w:shd w:val="clear" w:color="000000" w:fill="FFCC99"/>
            <w:vAlign w:val="center"/>
            <w:hideMark/>
          </w:tcPr>
          <w:p w14:paraId="5243E426" w14:textId="77777777" w:rsidR="00974312" w:rsidRPr="00974312" w:rsidRDefault="00974312">
            <w:pPr>
              <w:rPr>
                <w:rFonts w:asciiTheme="minorHAnsi" w:hAnsiTheme="minorHAnsi"/>
                <w:b/>
                <w:bCs/>
                <w:color w:val="3F3F76"/>
                <w:sz w:val="18"/>
                <w:szCs w:val="18"/>
              </w:rPr>
            </w:pPr>
            <w:r w:rsidRPr="00974312">
              <w:rPr>
                <w:rFonts w:asciiTheme="minorHAnsi" w:hAnsiTheme="minorHAnsi"/>
                <w:b/>
                <w:bCs/>
                <w:color w:val="3F3F76"/>
                <w:sz w:val="18"/>
                <w:szCs w:val="18"/>
              </w:rPr>
              <w:t>Niveau</w:t>
            </w:r>
          </w:p>
        </w:tc>
        <w:tc>
          <w:tcPr>
            <w:tcW w:w="4652" w:type="dxa"/>
            <w:tcBorders>
              <w:top w:val="single" w:sz="8" w:space="0" w:color="auto"/>
              <w:left w:val="nil"/>
              <w:bottom w:val="single" w:sz="4" w:space="0" w:color="auto"/>
              <w:right w:val="single" w:sz="4" w:space="0" w:color="auto"/>
            </w:tcBorders>
            <w:shd w:val="clear" w:color="000000" w:fill="FFCC99"/>
            <w:vAlign w:val="center"/>
            <w:hideMark/>
          </w:tcPr>
          <w:p w14:paraId="11946C3C" w14:textId="77777777" w:rsidR="00974312" w:rsidRPr="00974312" w:rsidRDefault="00974312">
            <w:pPr>
              <w:rPr>
                <w:rFonts w:asciiTheme="minorHAnsi" w:hAnsiTheme="minorHAnsi"/>
                <w:b/>
                <w:bCs/>
                <w:color w:val="3F3F76"/>
                <w:sz w:val="18"/>
                <w:szCs w:val="18"/>
              </w:rPr>
            </w:pPr>
            <w:r w:rsidRPr="00974312">
              <w:rPr>
                <w:rFonts w:asciiTheme="minorHAnsi" w:hAnsiTheme="minorHAnsi"/>
                <w:b/>
                <w:bCs/>
                <w:color w:val="3F3F76"/>
                <w:sz w:val="18"/>
                <w:szCs w:val="18"/>
              </w:rPr>
              <w:t>Indicateur</w:t>
            </w:r>
          </w:p>
        </w:tc>
        <w:tc>
          <w:tcPr>
            <w:tcW w:w="1418" w:type="dxa"/>
            <w:tcBorders>
              <w:top w:val="single" w:sz="8" w:space="0" w:color="auto"/>
              <w:left w:val="nil"/>
              <w:bottom w:val="single" w:sz="4" w:space="0" w:color="auto"/>
              <w:right w:val="single" w:sz="4" w:space="0" w:color="auto"/>
            </w:tcBorders>
            <w:shd w:val="clear" w:color="000000" w:fill="FFCC99"/>
            <w:vAlign w:val="center"/>
            <w:hideMark/>
          </w:tcPr>
          <w:p w14:paraId="0608F8E4" w14:textId="77777777" w:rsidR="00974312" w:rsidRPr="00974312" w:rsidRDefault="00974312">
            <w:pPr>
              <w:rPr>
                <w:rFonts w:asciiTheme="minorHAnsi" w:hAnsiTheme="minorHAnsi"/>
                <w:b/>
                <w:bCs/>
                <w:color w:val="3F3F76"/>
                <w:sz w:val="18"/>
                <w:szCs w:val="18"/>
              </w:rPr>
            </w:pPr>
            <w:r w:rsidRPr="00974312">
              <w:rPr>
                <w:rFonts w:asciiTheme="minorHAnsi" w:hAnsiTheme="minorHAnsi"/>
                <w:b/>
                <w:bCs/>
                <w:color w:val="3F3F76"/>
                <w:sz w:val="18"/>
                <w:szCs w:val="18"/>
              </w:rPr>
              <w:t>Données de base</w:t>
            </w:r>
          </w:p>
        </w:tc>
        <w:tc>
          <w:tcPr>
            <w:tcW w:w="1559" w:type="dxa"/>
            <w:tcBorders>
              <w:top w:val="single" w:sz="8" w:space="0" w:color="auto"/>
              <w:left w:val="nil"/>
              <w:bottom w:val="single" w:sz="4" w:space="0" w:color="auto"/>
              <w:right w:val="single" w:sz="4" w:space="0" w:color="auto"/>
            </w:tcBorders>
            <w:shd w:val="clear" w:color="000000" w:fill="FFCC99"/>
            <w:vAlign w:val="center"/>
            <w:hideMark/>
          </w:tcPr>
          <w:p w14:paraId="2140F40F" w14:textId="77777777" w:rsidR="00974312" w:rsidRPr="00974312" w:rsidRDefault="00974312">
            <w:pPr>
              <w:rPr>
                <w:rFonts w:asciiTheme="minorHAnsi" w:hAnsiTheme="minorHAnsi"/>
                <w:b/>
                <w:bCs/>
                <w:color w:val="3F3F76"/>
                <w:sz w:val="18"/>
                <w:szCs w:val="18"/>
              </w:rPr>
            </w:pPr>
            <w:r w:rsidRPr="00974312">
              <w:rPr>
                <w:rFonts w:asciiTheme="minorHAnsi" w:hAnsiTheme="minorHAnsi"/>
                <w:b/>
                <w:bCs/>
                <w:color w:val="3F3F76"/>
                <w:sz w:val="18"/>
                <w:szCs w:val="18"/>
              </w:rPr>
              <w:t>Source et Année</w:t>
            </w:r>
          </w:p>
        </w:tc>
        <w:tc>
          <w:tcPr>
            <w:tcW w:w="992" w:type="dxa"/>
            <w:tcBorders>
              <w:top w:val="single" w:sz="8" w:space="0" w:color="auto"/>
              <w:left w:val="nil"/>
              <w:bottom w:val="single" w:sz="4" w:space="0" w:color="auto"/>
              <w:right w:val="single" w:sz="4" w:space="0" w:color="auto"/>
            </w:tcBorders>
            <w:shd w:val="clear" w:color="000000" w:fill="FFCC99"/>
            <w:vAlign w:val="center"/>
            <w:hideMark/>
          </w:tcPr>
          <w:p w14:paraId="53DFA3E3" w14:textId="77777777" w:rsidR="00974312" w:rsidRPr="00974312" w:rsidRDefault="00974312">
            <w:pPr>
              <w:jc w:val="center"/>
              <w:rPr>
                <w:rFonts w:asciiTheme="minorHAnsi" w:hAnsiTheme="minorHAnsi"/>
                <w:b/>
                <w:bCs/>
                <w:color w:val="3F3F76"/>
                <w:sz w:val="18"/>
                <w:szCs w:val="18"/>
              </w:rPr>
            </w:pPr>
            <w:r w:rsidRPr="00974312">
              <w:rPr>
                <w:rFonts w:asciiTheme="minorHAnsi" w:hAnsiTheme="minorHAnsi"/>
                <w:b/>
                <w:bCs/>
                <w:color w:val="3F3F76"/>
                <w:sz w:val="18"/>
                <w:szCs w:val="18"/>
              </w:rPr>
              <w:t>2018</w:t>
            </w:r>
          </w:p>
        </w:tc>
        <w:tc>
          <w:tcPr>
            <w:tcW w:w="993" w:type="dxa"/>
            <w:tcBorders>
              <w:top w:val="single" w:sz="8" w:space="0" w:color="auto"/>
              <w:left w:val="nil"/>
              <w:bottom w:val="single" w:sz="4" w:space="0" w:color="auto"/>
              <w:right w:val="single" w:sz="4" w:space="0" w:color="auto"/>
            </w:tcBorders>
            <w:shd w:val="clear" w:color="000000" w:fill="FFCC99"/>
            <w:vAlign w:val="center"/>
            <w:hideMark/>
          </w:tcPr>
          <w:p w14:paraId="459F1D65" w14:textId="77777777" w:rsidR="00974312" w:rsidRPr="00974312" w:rsidRDefault="00974312">
            <w:pPr>
              <w:jc w:val="center"/>
              <w:rPr>
                <w:rFonts w:asciiTheme="minorHAnsi" w:hAnsiTheme="minorHAnsi"/>
                <w:b/>
                <w:bCs/>
                <w:color w:val="3F3F76"/>
                <w:sz w:val="18"/>
                <w:szCs w:val="18"/>
              </w:rPr>
            </w:pPr>
            <w:r w:rsidRPr="00974312">
              <w:rPr>
                <w:rFonts w:asciiTheme="minorHAnsi" w:hAnsiTheme="minorHAnsi"/>
                <w:b/>
                <w:bCs/>
                <w:color w:val="3F3F76"/>
                <w:sz w:val="18"/>
                <w:szCs w:val="18"/>
              </w:rPr>
              <w:t>2019</w:t>
            </w:r>
          </w:p>
        </w:tc>
        <w:tc>
          <w:tcPr>
            <w:tcW w:w="850" w:type="dxa"/>
            <w:tcBorders>
              <w:top w:val="single" w:sz="8" w:space="0" w:color="auto"/>
              <w:left w:val="nil"/>
              <w:bottom w:val="single" w:sz="4" w:space="0" w:color="auto"/>
              <w:right w:val="single" w:sz="4" w:space="0" w:color="auto"/>
            </w:tcBorders>
            <w:shd w:val="clear" w:color="000000" w:fill="FFCC99"/>
            <w:vAlign w:val="center"/>
            <w:hideMark/>
          </w:tcPr>
          <w:p w14:paraId="0437950B" w14:textId="77777777" w:rsidR="00974312" w:rsidRPr="00974312" w:rsidRDefault="00974312">
            <w:pPr>
              <w:jc w:val="center"/>
              <w:rPr>
                <w:rFonts w:asciiTheme="minorHAnsi" w:hAnsiTheme="minorHAnsi"/>
                <w:b/>
                <w:bCs/>
                <w:color w:val="3F3F76"/>
                <w:sz w:val="18"/>
                <w:szCs w:val="18"/>
              </w:rPr>
            </w:pPr>
            <w:r w:rsidRPr="00974312">
              <w:rPr>
                <w:rFonts w:asciiTheme="minorHAnsi" w:hAnsiTheme="minorHAnsi"/>
                <w:b/>
                <w:bCs/>
                <w:color w:val="3F3F76"/>
                <w:sz w:val="18"/>
                <w:szCs w:val="18"/>
              </w:rPr>
              <w:t>2020</w:t>
            </w:r>
          </w:p>
        </w:tc>
        <w:tc>
          <w:tcPr>
            <w:tcW w:w="851" w:type="dxa"/>
            <w:tcBorders>
              <w:top w:val="single" w:sz="8" w:space="0" w:color="auto"/>
              <w:left w:val="nil"/>
              <w:bottom w:val="single" w:sz="4" w:space="0" w:color="auto"/>
              <w:right w:val="single" w:sz="4" w:space="0" w:color="auto"/>
            </w:tcBorders>
            <w:shd w:val="clear" w:color="000000" w:fill="FFCC99"/>
            <w:vAlign w:val="center"/>
            <w:hideMark/>
          </w:tcPr>
          <w:p w14:paraId="635D894E" w14:textId="77777777" w:rsidR="00974312" w:rsidRPr="00974312" w:rsidRDefault="00974312">
            <w:pPr>
              <w:jc w:val="center"/>
              <w:rPr>
                <w:rFonts w:asciiTheme="minorHAnsi" w:hAnsiTheme="minorHAnsi"/>
                <w:b/>
                <w:bCs/>
                <w:color w:val="3F3F76"/>
                <w:sz w:val="18"/>
                <w:szCs w:val="18"/>
              </w:rPr>
            </w:pPr>
            <w:r w:rsidRPr="00974312">
              <w:rPr>
                <w:rFonts w:asciiTheme="minorHAnsi" w:hAnsiTheme="minorHAnsi"/>
                <w:b/>
                <w:bCs/>
                <w:color w:val="3F3F76"/>
                <w:sz w:val="18"/>
                <w:szCs w:val="18"/>
              </w:rPr>
              <w:t>2021</w:t>
            </w:r>
          </w:p>
        </w:tc>
        <w:tc>
          <w:tcPr>
            <w:tcW w:w="992" w:type="dxa"/>
            <w:tcBorders>
              <w:top w:val="single" w:sz="8" w:space="0" w:color="auto"/>
              <w:left w:val="nil"/>
              <w:bottom w:val="single" w:sz="4" w:space="0" w:color="auto"/>
              <w:right w:val="single" w:sz="8" w:space="0" w:color="auto"/>
            </w:tcBorders>
            <w:shd w:val="clear" w:color="000000" w:fill="FFCC99"/>
            <w:vAlign w:val="center"/>
            <w:hideMark/>
          </w:tcPr>
          <w:p w14:paraId="16696C06" w14:textId="77777777" w:rsidR="00974312" w:rsidRPr="00974312" w:rsidRDefault="00974312">
            <w:pPr>
              <w:jc w:val="center"/>
              <w:rPr>
                <w:rFonts w:asciiTheme="minorHAnsi" w:hAnsiTheme="minorHAnsi"/>
                <w:b/>
                <w:bCs/>
                <w:color w:val="3F3F76"/>
                <w:sz w:val="18"/>
                <w:szCs w:val="18"/>
              </w:rPr>
            </w:pPr>
            <w:r w:rsidRPr="00974312">
              <w:rPr>
                <w:rFonts w:asciiTheme="minorHAnsi" w:hAnsiTheme="minorHAnsi"/>
                <w:b/>
                <w:bCs/>
                <w:color w:val="3F3F76"/>
                <w:sz w:val="18"/>
                <w:szCs w:val="18"/>
              </w:rPr>
              <w:t>2022</w:t>
            </w:r>
          </w:p>
        </w:tc>
      </w:tr>
      <w:tr w:rsidR="00974312" w:rsidRPr="00974312" w14:paraId="5FF28D8B" w14:textId="77777777" w:rsidTr="00974312">
        <w:trPr>
          <w:trHeight w:val="320"/>
        </w:trPr>
        <w:tc>
          <w:tcPr>
            <w:tcW w:w="14449" w:type="dxa"/>
            <w:gridSpan w:val="10"/>
            <w:tcBorders>
              <w:top w:val="single" w:sz="4" w:space="0" w:color="auto"/>
              <w:left w:val="single" w:sz="8" w:space="0" w:color="auto"/>
              <w:bottom w:val="single" w:sz="4" w:space="0" w:color="auto"/>
              <w:right w:val="single" w:sz="8" w:space="0" w:color="000000"/>
            </w:tcBorders>
            <w:shd w:val="clear" w:color="000000" w:fill="C6E0B4"/>
            <w:noWrap/>
            <w:vAlign w:val="bottom"/>
            <w:hideMark/>
          </w:tcPr>
          <w:p w14:paraId="7970301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Indicateurs d'impact</w:t>
            </w:r>
          </w:p>
        </w:tc>
      </w:tr>
      <w:tr w:rsidR="00451654" w:rsidRPr="00974312" w14:paraId="332EAEDE" w14:textId="77777777" w:rsidTr="00A52305">
        <w:trPr>
          <w:trHeight w:val="483"/>
        </w:trPr>
        <w:tc>
          <w:tcPr>
            <w:tcW w:w="2117" w:type="dxa"/>
            <w:vMerge w:val="restart"/>
            <w:tcBorders>
              <w:top w:val="nil"/>
              <w:left w:val="single" w:sz="8" w:space="0" w:color="auto"/>
              <w:right w:val="single" w:sz="4" w:space="0" w:color="auto"/>
            </w:tcBorders>
            <w:shd w:val="clear" w:color="000000" w:fill="E7E6E6"/>
            <w:vAlign w:val="center"/>
            <w:hideMark/>
          </w:tcPr>
          <w:p w14:paraId="772CF292" w14:textId="77777777" w:rsidR="00451654" w:rsidRPr="00974312" w:rsidRDefault="00451654">
            <w:pPr>
              <w:rPr>
                <w:rFonts w:asciiTheme="minorHAnsi" w:hAnsiTheme="minorHAnsi"/>
                <w:b/>
                <w:bCs/>
                <w:color w:val="000000"/>
                <w:sz w:val="18"/>
                <w:szCs w:val="18"/>
              </w:rPr>
            </w:pPr>
            <w:r w:rsidRPr="00974312">
              <w:rPr>
                <w:rFonts w:asciiTheme="minorHAnsi" w:hAnsiTheme="minorHAnsi"/>
                <w:b/>
                <w:bCs/>
                <w:color w:val="000000"/>
                <w:sz w:val="18"/>
                <w:szCs w:val="18"/>
              </w:rPr>
              <w:t>Impact 1 : Les nouvelles infections sont réduites de 50% d’ici 2022</w:t>
            </w:r>
          </w:p>
        </w:tc>
        <w:tc>
          <w:tcPr>
            <w:tcW w:w="4677" w:type="dxa"/>
            <w:gridSpan w:val="2"/>
            <w:tcBorders>
              <w:top w:val="nil"/>
              <w:left w:val="nil"/>
              <w:bottom w:val="single" w:sz="4" w:space="0" w:color="auto"/>
              <w:right w:val="single" w:sz="4" w:space="0" w:color="auto"/>
            </w:tcBorders>
            <w:shd w:val="clear" w:color="auto" w:fill="auto"/>
            <w:vAlign w:val="center"/>
            <w:hideMark/>
          </w:tcPr>
          <w:p w14:paraId="1262CC85" w14:textId="77777777" w:rsidR="00451654" w:rsidRPr="00974312" w:rsidRDefault="00451654">
            <w:pPr>
              <w:rPr>
                <w:rFonts w:asciiTheme="minorHAnsi" w:hAnsiTheme="minorHAnsi"/>
                <w:color w:val="000000"/>
                <w:sz w:val="18"/>
                <w:szCs w:val="18"/>
              </w:rPr>
            </w:pPr>
            <w:r w:rsidRPr="00974312">
              <w:rPr>
                <w:rFonts w:asciiTheme="minorHAnsi" w:hAnsiTheme="minorHAnsi"/>
                <w:color w:val="000000"/>
                <w:sz w:val="18"/>
                <w:szCs w:val="18"/>
              </w:rPr>
              <w:t>Pourcentage d'hommes ayant des rapports sexuels avec des hommes vivant avec le VIH (HIV -I-9a (M))</w:t>
            </w:r>
          </w:p>
        </w:tc>
        <w:tc>
          <w:tcPr>
            <w:tcW w:w="1418" w:type="dxa"/>
            <w:tcBorders>
              <w:top w:val="nil"/>
              <w:left w:val="nil"/>
              <w:bottom w:val="single" w:sz="4" w:space="0" w:color="auto"/>
              <w:right w:val="single" w:sz="4" w:space="0" w:color="auto"/>
            </w:tcBorders>
            <w:shd w:val="clear" w:color="auto" w:fill="auto"/>
            <w:noWrap/>
            <w:vAlign w:val="center"/>
            <w:hideMark/>
          </w:tcPr>
          <w:p w14:paraId="734CB8FE"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11,40%</w:t>
            </w:r>
          </w:p>
        </w:tc>
        <w:tc>
          <w:tcPr>
            <w:tcW w:w="1559" w:type="dxa"/>
            <w:tcBorders>
              <w:top w:val="nil"/>
              <w:left w:val="nil"/>
              <w:bottom w:val="single" w:sz="4" w:space="0" w:color="auto"/>
              <w:right w:val="single" w:sz="4" w:space="0" w:color="auto"/>
            </w:tcBorders>
            <w:shd w:val="clear" w:color="auto" w:fill="auto"/>
            <w:vAlign w:val="center"/>
            <w:hideMark/>
          </w:tcPr>
          <w:p w14:paraId="6161EEB1" w14:textId="77777777" w:rsidR="00451654" w:rsidRPr="00974312" w:rsidRDefault="00451654">
            <w:pPr>
              <w:rPr>
                <w:rFonts w:asciiTheme="minorHAnsi" w:hAnsiTheme="minorHAnsi"/>
                <w:color w:val="000000"/>
                <w:sz w:val="18"/>
                <w:szCs w:val="18"/>
              </w:rPr>
            </w:pPr>
            <w:r w:rsidRPr="00974312">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auto" w:fill="auto"/>
            <w:noWrap/>
            <w:vAlign w:val="center"/>
            <w:hideMark/>
          </w:tcPr>
          <w:p w14:paraId="050EF769"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 </w:t>
            </w:r>
          </w:p>
        </w:tc>
        <w:tc>
          <w:tcPr>
            <w:tcW w:w="993" w:type="dxa"/>
            <w:tcBorders>
              <w:top w:val="nil"/>
              <w:left w:val="nil"/>
              <w:bottom w:val="single" w:sz="4" w:space="0" w:color="auto"/>
              <w:right w:val="single" w:sz="4" w:space="0" w:color="auto"/>
            </w:tcBorders>
            <w:shd w:val="clear" w:color="auto" w:fill="auto"/>
            <w:noWrap/>
            <w:vAlign w:val="center"/>
            <w:hideMark/>
          </w:tcPr>
          <w:p w14:paraId="2A363B55"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9,12%</w:t>
            </w:r>
          </w:p>
        </w:tc>
        <w:tc>
          <w:tcPr>
            <w:tcW w:w="850" w:type="dxa"/>
            <w:tcBorders>
              <w:top w:val="nil"/>
              <w:left w:val="nil"/>
              <w:bottom w:val="single" w:sz="4" w:space="0" w:color="auto"/>
              <w:right w:val="single" w:sz="4" w:space="0" w:color="auto"/>
            </w:tcBorders>
            <w:shd w:val="clear" w:color="auto" w:fill="auto"/>
            <w:noWrap/>
            <w:vAlign w:val="center"/>
            <w:hideMark/>
          </w:tcPr>
          <w:p w14:paraId="7D8EEA97"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6ECAA454"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 </w:t>
            </w:r>
          </w:p>
        </w:tc>
        <w:tc>
          <w:tcPr>
            <w:tcW w:w="992" w:type="dxa"/>
            <w:tcBorders>
              <w:top w:val="nil"/>
              <w:left w:val="nil"/>
              <w:bottom w:val="single" w:sz="4" w:space="0" w:color="auto"/>
              <w:right w:val="single" w:sz="8" w:space="0" w:color="auto"/>
            </w:tcBorders>
            <w:shd w:val="clear" w:color="auto" w:fill="auto"/>
            <w:noWrap/>
            <w:vAlign w:val="center"/>
            <w:hideMark/>
          </w:tcPr>
          <w:p w14:paraId="6F0F25EC"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5,70%</w:t>
            </w:r>
          </w:p>
        </w:tc>
      </w:tr>
      <w:tr w:rsidR="00A52305" w:rsidRPr="00974312" w14:paraId="2B00187D" w14:textId="77777777" w:rsidTr="00A52305">
        <w:trPr>
          <w:trHeight w:val="277"/>
        </w:trPr>
        <w:tc>
          <w:tcPr>
            <w:tcW w:w="2117" w:type="dxa"/>
            <w:vMerge/>
            <w:tcBorders>
              <w:top w:val="nil"/>
              <w:left w:val="single" w:sz="8" w:space="0" w:color="auto"/>
              <w:right w:val="single" w:sz="4" w:space="0" w:color="auto"/>
            </w:tcBorders>
            <w:shd w:val="clear" w:color="000000" w:fill="E7E6E6"/>
            <w:vAlign w:val="center"/>
          </w:tcPr>
          <w:p w14:paraId="153E3328" w14:textId="77777777" w:rsidR="00A52305" w:rsidRPr="00974312" w:rsidRDefault="00A52305" w:rsidP="00A52305">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auto" w:fill="auto"/>
            <w:vAlign w:val="center"/>
          </w:tcPr>
          <w:p w14:paraId="0E3D3FC1" w14:textId="1400665A" w:rsidR="00A52305" w:rsidRPr="00974312" w:rsidRDefault="00A52305" w:rsidP="00A52305">
            <w:pPr>
              <w:rPr>
                <w:rFonts w:asciiTheme="minorHAnsi" w:hAnsiTheme="minorHAnsi"/>
                <w:color w:val="000000"/>
                <w:sz w:val="18"/>
                <w:szCs w:val="18"/>
              </w:rPr>
            </w:pPr>
            <w:r w:rsidRPr="002C4B19">
              <w:rPr>
                <w:color w:val="000000"/>
                <w:sz w:val="18"/>
                <w:szCs w:val="18"/>
              </w:rPr>
              <w:t>Prévalence du VIH chez les femmes enceinte</w:t>
            </w:r>
            <w:r w:rsidR="00DF27C9">
              <w:rPr>
                <w:color w:val="000000"/>
                <w:sz w:val="18"/>
                <w:szCs w:val="18"/>
              </w:rPr>
              <w:t>s</w:t>
            </w:r>
          </w:p>
        </w:tc>
        <w:tc>
          <w:tcPr>
            <w:tcW w:w="1418" w:type="dxa"/>
            <w:tcBorders>
              <w:top w:val="nil"/>
              <w:left w:val="nil"/>
              <w:bottom w:val="single" w:sz="4" w:space="0" w:color="auto"/>
              <w:right w:val="single" w:sz="4" w:space="0" w:color="auto"/>
            </w:tcBorders>
            <w:shd w:val="clear" w:color="auto" w:fill="auto"/>
            <w:noWrap/>
            <w:vAlign w:val="center"/>
          </w:tcPr>
          <w:p w14:paraId="5EC387C2" w14:textId="1C69FF1E" w:rsidR="00A52305" w:rsidRPr="00974312" w:rsidRDefault="00A52305" w:rsidP="00A52305">
            <w:pPr>
              <w:jc w:val="center"/>
              <w:rPr>
                <w:rFonts w:asciiTheme="minorHAnsi" w:hAnsiTheme="minorHAnsi"/>
                <w:color w:val="000000"/>
                <w:sz w:val="18"/>
                <w:szCs w:val="18"/>
              </w:rPr>
            </w:pPr>
            <w:r w:rsidRPr="002C4B19">
              <w:rPr>
                <w:color w:val="000000"/>
                <w:sz w:val="18"/>
                <w:szCs w:val="18"/>
              </w:rPr>
              <w:t>3,56%</w:t>
            </w:r>
          </w:p>
        </w:tc>
        <w:tc>
          <w:tcPr>
            <w:tcW w:w="1559" w:type="dxa"/>
            <w:tcBorders>
              <w:top w:val="nil"/>
              <w:left w:val="nil"/>
              <w:bottom w:val="single" w:sz="4" w:space="0" w:color="auto"/>
              <w:right w:val="single" w:sz="4" w:space="0" w:color="auto"/>
            </w:tcBorders>
            <w:shd w:val="clear" w:color="auto" w:fill="auto"/>
            <w:vAlign w:val="center"/>
          </w:tcPr>
          <w:p w14:paraId="0E3C039B" w14:textId="296CE363" w:rsidR="00A52305" w:rsidRPr="00974312" w:rsidRDefault="00A52305" w:rsidP="00A52305">
            <w:pPr>
              <w:rPr>
                <w:rFonts w:asciiTheme="minorHAnsi" w:hAnsiTheme="minorHAnsi"/>
                <w:color w:val="000000"/>
                <w:sz w:val="18"/>
                <w:szCs w:val="18"/>
              </w:rPr>
            </w:pPr>
            <w:r w:rsidRPr="002C4B19">
              <w:rPr>
                <w:color w:val="000000"/>
                <w:sz w:val="18"/>
                <w:szCs w:val="18"/>
              </w:rPr>
              <w:t>ENSS 2015</w:t>
            </w:r>
          </w:p>
        </w:tc>
        <w:tc>
          <w:tcPr>
            <w:tcW w:w="992" w:type="dxa"/>
            <w:tcBorders>
              <w:top w:val="nil"/>
              <w:left w:val="nil"/>
              <w:bottom w:val="single" w:sz="4" w:space="0" w:color="auto"/>
              <w:right w:val="single" w:sz="4" w:space="0" w:color="auto"/>
            </w:tcBorders>
            <w:shd w:val="clear" w:color="auto" w:fill="auto"/>
            <w:noWrap/>
            <w:vAlign w:val="center"/>
          </w:tcPr>
          <w:p w14:paraId="2F631AE4" w14:textId="515C1D5D" w:rsidR="00A52305" w:rsidRPr="00974312" w:rsidRDefault="00A52305" w:rsidP="00A52305">
            <w:pPr>
              <w:jc w:val="center"/>
              <w:rPr>
                <w:rFonts w:asciiTheme="minorHAnsi" w:hAnsiTheme="minorHAnsi"/>
                <w:color w:val="000000"/>
                <w:sz w:val="18"/>
                <w:szCs w:val="18"/>
              </w:rPr>
            </w:pPr>
            <w:r w:rsidRPr="002C4B19">
              <w:rPr>
                <w:color w:val="000000"/>
                <w:sz w:val="18"/>
                <w:szCs w:val="18"/>
              </w:rPr>
              <w:t>3,20%</w:t>
            </w:r>
          </w:p>
        </w:tc>
        <w:tc>
          <w:tcPr>
            <w:tcW w:w="993" w:type="dxa"/>
            <w:tcBorders>
              <w:top w:val="nil"/>
              <w:left w:val="nil"/>
              <w:bottom w:val="single" w:sz="4" w:space="0" w:color="auto"/>
              <w:right w:val="single" w:sz="4" w:space="0" w:color="auto"/>
            </w:tcBorders>
            <w:shd w:val="clear" w:color="auto" w:fill="auto"/>
            <w:noWrap/>
            <w:vAlign w:val="center"/>
          </w:tcPr>
          <w:p w14:paraId="080B5E8B" w14:textId="55DF4ECD" w:rsidR="00A52305" w:rsidRPr="00974312" w:rsidRDefault="00A52305" w:rsidP="00A52305">
            <w:pPr>
              <w:jc w:val="center"/>
              <w:rPr>
                <w:rFonts w:asciiTheme="minorHAnsi" w:hAnsiTheme="minorHAnsi"/>
                <w:color w:val="000000"/>
                <w:sz w:val="18"/>
                <w:szCs w:val="18"/>
              </w:rPr>
            </w:pPr>
            <w:r w:rsidRPr="002C4B19">
              <w:rPr>
                <w:color w:val="000000"/>
                <w:sz w:val="18"/>
                <w:szCs w:val="18"/>
              </w:rPr>
              <w:t>2,85%</w:t>
            </w:r>
          </w:p>
        </w:tc>
        <w:tc>
          <w:tcPr>
            <w:tcW w:w="850" w:type="dxa"/>
            <w:tcBorders>
              <w:top w:val="nil"/>
              <w:left w:val="nil"/>
              <w:bottom w:val="single" w:sz="4" w:space="0" w:color="auto"/>
              <w:right w:val="single" w:sz="4" w:space="0" w:color="auto"/>
            </w:tcBorders>
            <w:shd w:val="clear" w:color="auto" w:fill="auto"/>
            <w:noWrap/>
            <w:vAlign w:val="center"/>
          </w:tcPr>
          <w:p w14:paraId="3736B970" w14:textId="72DEFC64" w:rsidR="00A52305" w:rsidRPr="00974312" w:rsidRDefault="00A52305" w:rsidP="00A52305">
            <w:pPr>
              <w:jc w:val="center"/>
              <w:rPr>
                <w:rFonts w:asciiTheme="minorHAnsi" w:hAnsiTheme="minorHAnsi"/>
                <w:color w:val="000000"/>
                <w:sz w:val="18"/>
                <w:szCs w:val="18"/>
              </w:rPr>
            </w:pPr>
            <w:r w:rsidRPr="002C4B19">
              <w:rPr>
                <w:color w:val="000000"/>
                <w:sz w:val="18"/>
                <w:szCs w:val="18"/>
              </w:rPr>
              <w:t>2,49%</w:t>
            </w:r>
          </w:p>
        </w:tc>
        <w:tc>
          <w:tcPr>
            <w:tcW w:w="851" w:type="dxa"/>
            <w:tcBorders>
              <w:top w:val="nil"/>
              <w:left w:val="nil"/>
              <w:bottom w:val="single" w:sz="4" w:space="0" w:color="auto"/>
              <w:right w:val="single" w:sz="4" w:space="0" w:color="auto"/>
            </w:tcBorders>
            <w:shd w:val="clear" w:color="auto" w:fill="auto"/>
            <w:noWrap/>
            <w:vAlign w:val="center"/>
          </w:tcPr>
          <w:p w14:paraId="4974C757" w14:textId="6F857413" w:rsidR="00A52305" w:rsidRPr="00974312" w:rsidRDefault="00A52305" w:rsidP="00A52305">
            <w:pPr>
              <w:jc w:val="center"/>
              <w:rPr>
                <w:rFonts w:asciiTheme="minorHAnsi" w:hAnsiTheme="minorHAnsi"/>
                <w:color w:val="000000"/>
                <w:sz w:val="18"/>
                <w:szCs w:val="18"/>
              </w:rPr>
            </w:pPr>
            <w:r w:rsidRPr="002C4B19">
              <w:rPr>
                <w:color w:val="000000"/>
                <w:sz w:val="18"/>
                <w:szCs w:val="18"/>
              </w:rPr>
              <w:t>2,14%</w:t>
            </w:r>
          </w:p>
        </w:tc>
        <w:tc>
          <w:tcPr>
            <w:tcW w:w="992" w:type="dxa"/>
            <w:tcBorders>
              <w:top w:val="nil"/>
              <w:left w:val="nil"/>
              <w:bottom w:val="single" w:sz="4" w:space="0" w:color="auto"/>
              <w:right w:val="single" w:sz="8" w:space="0" w:color="auto"/>
            </w:tcBorders>
            <w:shd w:val="clear" w:color="auto" w:fill="auto"/>
            <w:noWrap/>
            <w:vAlign w:val="center"/>
          </w:tcPr>
          <w:p w14:paraId="201043A7" w14:textId="6DC2DE88" w:rsidR="00A52305" w:rsidRPr="00974312" w:rsidRDefault="00A52305" w:rsidP="00A52305">
            <w:pPr>
              <w:jc w:val="center"/>
              <w:rPr>
                <w:rFonts w:asciiTheme="minorHAnsi" w:hAnsiTheme="minorHAnsi"/>
                <w:color w:val="000000"/>
                <w:sz w:val="18"/>
                <w:szCs w:val="18"/>
              </w:rPr>
            </w:pPr>
            <w:r w:rsidRPr="002C4B19">
              <w:rPr>
                <w:color w:val="000000"/>
                <w:sz w:val="18"/>
                <w:szCs w:val="18"/>
              </w:rPr>
              <w:t>1,78%</w:t>
            </w:r>
          </w:p>
        </w:tc>
      </w:tr>
      <w:tr w:rsidR="00451654" w:rsidRPr="00974312" w14:paraId="464B275F" w14:textId="77777777" w:rsidTr="00451654">
        <w:trPr>
          <w:trHeight w:val="320"/>
        </w:trPr>
        <w:tc>
          <w:tcPr>
            <w:tcW w:w="2117" w:type="dxa"/>
            <w:vMerge/>
            <w:tcBorders>
              <w:left w:val="single" w:sz="8" w:space="0" w:color="auto"/>
              <w:right w:val="single" w:sz="4" w:space="0" w:color="auto"/>
            </w:tcBorders>
            <w:vAlign w:val="center"/>
            <w:hideMark/>
          </w:tcPr>
          <w:p w14:paraId="20F7564A" w14:textId="77777777" w:rsidR="00451654" w:rsidRPr="00974312" w:rsidRDefault="00451654">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auto" w:fill="auto"/>
            <w:vAlign w:val="center"/>
            <w:hideMark/>
          </w:tcPr>
          <w:p w14:paraId="4BB60DFA" w14:textId="77777777" w:rsidR="00451654" w:rsidRPr="00974312" w:rsidRDefault="00451654">
            <w:pPr>
              <w:rPr>
                <w:rFonts w:asciiTheme="minorHAnsi" w:hAnsiTheme="minorHAnsi"/>
                <w:color w:val="000000"/>
                <w:sz w:val="18"/>
                <w:szCs w:val="18"/>
              </w:rPr>
            </w:pPr>
            <w:r w:rsidRPr="00974312">
              <w:rPr>
                <w:rFonts w:asciiTheme="minorHAnsi" w:hAnsiTheme="minorHAnsi"/>
                <w:color w:val="000000"/>
                <w:sz w:val="18"/>
                <w:szCs w:val="18"/>
              </w:rPr>
              <w:t>Pourcentage de Professionnels du sexe vivant avec le VIH (HIV- I-10 (M))</w:t>
            </w:r>
          </w:p>
        </w:tc>
        <w:tc>
          <w:tcPr>
            <w:tcW w:w="1418" w:type="dxa"/>
            <w:tcBorders>
              <w:top w:val="nil"/>
              <w:left w:val="nil"/>
              <w:bottom w:val="single" w:sz="4" w:space="0" w:color="auto"/>
              <w:right w:val="single" w:sz="4" w:space="0" w:color="auto"/>
            </w:tcBorders>
            <w:shd w:val="clear" w:color="auto" w:fill="auto"/>
            <w:noWrap/>
            <w:vAlign w:val="center"/>
            <w:hideMark/>
          </w:tcPr>
          <w:p w14:paraId="22431965"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14,20%</w:t>
            </w:r>
          </w:p>
        </w:tc>
        <w:tc>
          <w:tcPr>
            <w:tcW w:w="1559" w:type="dxa"/>
            <w:tcBorders>
              <w:top w:val="nil"/>
              <w:left w:val="nil"/>
              <w:bottom w:val="single" w:sz="4" w:space="0" w:color="auto"/>
              <w:right w:val="single" w:sz="4" w:space="0" w:color="auto"/>
            </w:tcBorders>
            <w:shd w:val="clear" w:color="auto" w:fill="auto"/>
            <w:vAlign w:val="center"/>
            <w:hideMark/>
          </w:tcPr>
          <w:p w14:paraId="03320EE9" w14:textId="77777777" w:rsidR="00451654" w:rsidRPr="00974312" w:rsidRDefault="00451654">
            <w:pPr>
              <w:rPr>
                <w:rFonts w:asciiTheme="minorHAnsi" w:hAnsiTheme="minorHAnsi"/>
                <w:color w:val="000000"/>
                <w:sz w:val="18"/>
                <w:szCs w:val="18"/>
              </w:rPr>
            </w:pPr>
            <w:r w:rsidRPr="00974312">
              <w:rPr>
                <w:rFonts w:asciiTheme="minorHAnsi" w:hAnsiTheme="minorHAnsi"/>
                <w:color w:val="000000"/>
                <w:sz w:val="18"/>
                <w:szCs w:val="18"/>
              </w:rPr>
              <w:t>ESCOMB, 2015</w:t>
            </w:r>
          </w:p>
        </w:tc>
        <w:tc>
          <w:tcPr>
            <w:tcW w:w="992" w:type="dxa"/>
            <w:tcBorders>
              <w:top w:val="nil"/>
              <w:left w:val="nil"/>
              <w:bottom w:val="single" w:sz="4" w:space="0" w:color="auto"/>
              <w:right w:val="single" w:sz="4" w:space="0" w:color="auto"/>
            </w:tcBorders>
            <w:shd w:val="clear" w:color="auto" w:fill="auto"/>
            <w:vAlign w:val="center"/>
            <w:hideMark/>
          </w:tcPr>
          <w:p w14:paraId="3272C49B"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 </w:t>
            </w:r>
          </w:p>
        </w:tc>
        <w:tc>
          <w:tcPr>
            <w:tcW w:w="993" w:type="dxa"/>
            <w:tcBorders>
              <w:top w:val="nil"/>
              <w:left w:val="nil"/>
              <w:bottom w:val="single" w:sz="4" w:space="0" w:color="auto"/>
              <w:right w:val="single" w:sz="4" w:space="0" w:color="auto"/>
            </w:tcBorders>
            <w:shd w:val="clear" w:color="auto" w:fill="auto"/>
            <w:vAlign w:val="center"/>
            <w:hideMark/>
          </w:tcPr>
          <w:p w14:paraId="77ED3E7B"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12,07%</w:t>
            </w:r>
          </w:p>
        </w:tc>
        <w:tc>
          <w:tcPr>
            <w:tcW w:w="850" w:type="dxa"/>
            <w:tcBorders>
              <w:top w:val="nil"/>
              <w:left w:val="nil"/>
              <w:bottom w:val="single" w:sz="4" w:space="0" w:color="auto"/>
              <w:right w:val="single" w:sz="4" w:space="0" w:color="auto"/>
            </w:tcBorders>
            <w:shd w:val="clear" w:color="auto" w:fill="auto"/>
            <w:vAlign w:val="center"/>
            <w:hideMark/>
          </w:tcPr>
          <w:p w14:paraId="6382F329"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31B75D1D"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 </w:t>
            </w:r>
          </w:p>
        </w:tc>
        <w:tc>
          <w:tcPr>
            <w:tcW w:w="992" w:type="dxa"/>
            <w:tcBorders>
              <w:top w:val="nil"/>
              <w:left w:val="nil"/>
              <w:bottom w:val="single" w:sz="4" w:space="0" w:color="auto"/>
              <w:right w:val="single" w:sz="8" w:space="0" w:color="auto"/>
            </w:tcBorders>
            <w:shd w:val="clear" w:color="auto" w:fill="auto"/>
            <w:vAlign w:val="center"/>
            <w:hideMark/>
          </w:tcPr>
          <w:p w14:paraId="627BE69E"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9,94%</w:t>
            </w:r>
          </w:p>
        </w:tc>
      </w:tr>
      <w:tr w:rsidR="00451654" w:rsidRPr="00974312" w14:paraId="3FA65B8C" w14:textId="77777777" w:rsidTr="00451654">
        <w:trPr>
          <w:trHeight w:val="320"/>
        </w:trPr>
        <w:tc>
          <w:tcPr>
            <w:tcW w:w="2117" w:type="dxa"/>
            <w:vMerge/>
            <w:tcBorders>
              <w:left w:val="single" w:sz="8" w:space="0" w:color="auto"/>
              <w:right w:val="single" w:sz="4" w:space="0" w:color="auto"/>
            </w:tcBorders>
            <w:vAlign w:val="center"/>
            <w:hideMark/>
          </w:tcPr>
          <w:p w14:paraId="4C323789" w14:textId="77777777" w:rsidR="00451654" w:rsidRPr="00974312" w:rsidRDefault="00451654">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auto" w:fill="auto"/>
            <w:vAlign w:val="center"/>
            <w:hideMark/>
          </w:tcPr>
          <w:p w14:paraId="3D895C4F" w14:textId="77777777" w:rsidR="00451654" w:rsidRPr="00974312" w:rsidRDefault="00451654">
            <w:pPr>
              <w:rPr>
                <w:rFonts w:asciiTheme="minorHAnsi" w:hAnsiTheme="minorHAnsi"/>
                <w:color w:val="000000"/>
                <w:sz w:val="18"/>
                <w:szCs w:val="18"/>
              </w:rPr>
            </w:pPr>
            <w:r w:rsidRPr="00974312">
              <w:rPr>
                <w:rFonts w:asciiTheme="minorHAnsi" w:hAnsiTheme="minorHAnsi"/>
                <w:color w:val="000000"/>
                <w:sz w:val="18"/>
                <w:szCs w:val="18"/>
              </w:rPr>
              <w:t>Prévalence du VIH chez les jeunes de 15-24 ans</w:t>
            </w:r>
          </w:p>
        </w:tc>
        <w:tc>
          <w:tcPr>
            <w:tcW w:w="1418" w:type="dxa"/>
            <w:tcBorders>
              <w:top w:val="nil"/>
              <w:left w:val="nil"/>
              <w:bottom w:val="single" w:sz="4" w:space="0" w:color="auto"/>
              <w:right w:val="single" w:sz="4" w:space="0" w:color="auto"/>
            </w:tcBorders>
            <w:shd w:val="clear" w:color="auto" w:fill="auto"/>
            <w:vAlign w:val="center"/>
            <w:hideMark/>
          </w:tcPr>
          <w:p w14:paraId="59A71EDC"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1,60%</w:t>
            </w:r>
          </w:p>
        </w:tc>
        <w:tc>
          <w:tcPr>
            <w:tcW w:w="1559" w:type="dxa"/>
            <w:tcBorders>
              <w:top w:val="nil"/>
              <w:left w:val="nil"/>
              <w:bottom w:val="single" w:sz="4" w:space="0" w:color="auto"/>
              <w:right w:val="single" w:sz="4" w:space="0" w:color="auto"/>
            </w:tcBorders>
            <w:shd w:val="clear" w:color="auto" w:fill="auto"/>
            <w:vAlign w:val="center"/>
            <w:hideMark/>
          </w:tcPr>
          <w:p w14:paraId="7B57C7CB" w14:textId="77777777" w:rsidR="00451654" w:rsidRPr="00974312" w:rsidRDefault="00451654">
            <w:pPr>
              <w:rPr>
                <w:rFonts w:asciiTheme="minorHAnsi" w:hAnsiTheme="minorHAnsi"/>
                <w:color w:val="000000"/>
                <w:sz w:val="18"/>
                <w:szCs w:val="18"/>
              </w:rPr>
            </w:pPr>
            <w:r w:rsidRPr="00974312">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auto" w:fill="auto"/>
            <w:vAlign w:val="center"/>
            <w:hideMark/>
          </w:tcPr>
          <w:p w14:paraId="7198A9D5"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0,59%</w:t>
            </w:r>
          </w:p>
        </w:tc>
        <w:tc>
          <w:tcPr>
            <w:tcW w:w="993" w:type="dxa"/>
            <w:tcBorders>
              <w:top w:val="nil"/>
              <w:left w:val="nil"/>
              <w:bottom w:val="single" w:sz="4" w:space="0" w:color="auto"/>
              <w:right w:val="single" w:sz="4" w:space="0" w:color="auto"/>
            </w:tcBorders>
            <w:shd w:val="clear" w:color="auto" w:fill="auto"/>
            <w:vAlign w:val="center"/>
            <w:hideMark/>
          </w:tcPr>
          <w:p w14:paraId="08B85096"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0,57%</w:t>
            </w:r>
          </w:p>
        </w:tc>
        <w:tc>
          <w:tcPr>
            <w:tcW w:w="850" w:type="dxa"/>
            <w:tcBorders>
              <w:top w:val="nil"/>
              <w:left w:val="nil"/>
              <w:bottom w:val="single" w:sz="4" w:space="0" w:color="auto"/>
              <w:right w:val="single" w:sz="4" w:space="0" w:color="auto"/>
            </w:tcBorders>
            <w:shd w:val="clear" w:color="auto" w:fill="auto"/>
            <w:vAlign w:val="center"/>
            <w:hideMark/>
          </w:tcPr>
          <w:p w14:paraId="21F835E1"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0,54%</w:t>
            </w:r>
          </w:p>
        </w:tc>
        <w:tc>
          <w:tcPr>
            <w:tcW w:w="851" w:type="dxa"/>
            <w:tcBorders>
              <w:top w:val="nil"/>
              <w:left w:val="nil"/>
              <w:bottom w:val="single" w:sz="4" w:space="0" w:color="auto"/>
              <w:right w:val="single" w:sz="4" w:space="0" w:color="auto"/>
            </w:tcBorders>
            <w:shd w:val="clear" w:color="auto" w:fill="auto"/>
            <w:vAlign w:val="center"/>
            <w:hideMark/>
          </w:tcPr>
          <w:p w14:paraId="4A37B2BC"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0,50%</w:t>
            </w:r>
          </w:p>
        </w:tc>
        <w:tc>
          <w:tcPr>
            <w:tcW w:w="992" w:type="dxa"/>
            <w:tcBorders>
              <w:top w:val="nil"/>
              <w:left w:val="nil"/>
              <w:bottom w:val="single" w:sz="4" w:space="0" w:color="auto"/>
              <w:right w:val="single" w:sz="8" w:space="0" w:color="auto"/>
            </w:tcBorders>
            <w:shd w:val="clear" w:color="auto" w:fill="auto"/>
            <w:vAlign w:val="center"/>
            <w:hideMark/>
          </w:tcPr>
          <w:p w14:paraId="55D0A066"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0,45%</w:t>
            </w:r>
          </w:p>
        </w:tc>
      </w:tr>
      <w:tr w:rsidR="00451654" w:rsidRPr="00974312" w14:paraId="2B68D6A1" w14:textId="77777777" w:rsidTr="00451654">
        <w:trPr>
          <w:trHeight w:val="640"/>
        </w:trPr>
        <w:tc>
          <w:tcPr>
            <w:tcW w:w="2117" w:type="dxa"/>
            <w:vMerge/>
            <w:tcBorders>
              <w:left w:val="single" w:sz="8" w:space="0" w:color="auto"/>
              <w:right w:val="single" w:sz="4" w:space="0" w:color="auto"/>
            </w:tcBorders>
            <w:vAlign w:val="center"/>
            <w:hideMark/>
          </w:tcPr>
          <w:p w14:paraId="6C12D250" w14:textId="77777777" w:rsidR="00451654" w:rsidRPr="00974312" w:rsidRDefault="00451654">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000000" w:fill="FFFFFF"/>
            <w:vAlign w:val="center"/>
            <w:hideMark/>
          </w:tcPr>
          <w:p w14:paraId="291B39B4" w14:textId="31397979" w:rsidR="00451654" w:rsidRPr="00974312" w:rsidRDefault="00451654">
            <w:pPr>
              <w:rPr>
                <w:rFonts w:asciiTheme="minorHAnsi" w:hAnsiTheme="minorHAnsi"/>
                <w:color w:val="000000"/>
                <w:sz w:val="18"/>
                <w:szCs w:val="18"/>
              </w:rPr>
            </w:pPr>
            <w:r w:rsidRPr="00974312">
              <w:rPr>
                <w:rFonts w:asciiTheme="minorHAnsi" w:hAnsiTheme="minorHAnsi"/>
                <w:color w:val="000000"/>
                <w:sz w:val="18"/>
                <w:szCs w:val="18"/>
              </w:rPr>
              <w:t>Pourcentage d'infection à VIH parmi les enfants nés de femmes séropositives au VH ayant accouché au cours des 12 derniers mois (HIV-I-6)</w:t>
            </w:r>
          </w:p>
        </w:tc>
        <w:tc>
          <w:tcPr>
            <w:tcW w:w="1418" w:type="dxa"/>
            <w:tcBorders>
              <w:top w:val="nil"/>
              <w:left w:val="nil"/>
              <w:bottom w:val="single" w:sz="4" w:space="0" w:color="auto"/>
              <w:right w:val="single" w:sz="4" w:space="0" w:color="auto"/>
            </w:tcBorders>
            <w:shd w:val="clear" w:color="auto" w:fill="auto"/>
            <w:vAlign w:val="center"/>
            <w:hideMark/>
          </w:tcPr>
          <w:p w14:paraId="148184F0"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20,90%</w:t>
            </w:r>
          </w:p>
        </w:tc>
        <w:tc>
          <w:tcPr>
            <w:tcW w:w="1559" w:type="dxa"/>
            <w:tcBorders>
              <w:top w:val="nil"/>
              <w:left w:val="nil"/>
              <w:bottom w:val="single" w:sz="4" w:space="0" w:color="auto"/>
              <w:right w:val="single" w:sz="4" w:space="0" w:color="auto"/>
            </w:tcBorders>
            <w:shd w:val="clear" w:color="auto" w:fill="auto"/>
            <w:vAlign w:val="center"/>
            <w:hideMark/>
          </w:tcPr>
          <w:p w14:paraId="47D596CC" w14:textId="77777777" w:rsidR="00451654" w:rsidRPr="00974312" w:rsidRDefault="00451654">
            <w:pPr>
              <w:rPr>
                <w:rFonts w:asciiTheme="minorHAnsi" w:hAnsiTheme="minorHAnsi"/>
                <w:color w:val="000000"/>
                <w:sz w:val="18"/>
                <w:szCs w:val="18"/>
              </w:rPr>
            </w:pPr>
            <w:r w:rsidRPr="00974312">
              <w:rPr>
                <w:rFonts w:asciiTheme="minorHAnsi" w:hAnsiTheme="minorHAnsi"/>
                <w:color w:val="000000"/>
                <w:sz w:val="18"/>
                <w:szCs w:val="18"/>
              </w:rPr>
              <w:t>Rapport GAM 2016</w:t>
            </w:r>
          </w:p>
        </w:tc>
        <w:tc>
          <w:tcPr>
            <w:tcW w:w="992" w:type="dxa"/>
            <w:tcBorders>
              <w:top w:val="nil"/>
              <w:left w:val="nil"/>
              <w:bottom w:val="single" w:sz="4" w:space="0" w:color="auto"/>
              <w:right w:val="single" w:sz="4" w:space="0" w:color="auto"/>
            </w:tcBorders>
            <w:shd w:val="clear" w:color="auto" w:fill="auto"/>
            <w:vAlign w:val="center"/>
            <w:hideMark/>
          </w:tcPr>
          <w:p w14:paraId="6806DF02"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13,28%</w:t>
            </w:r>
          </w:p>
        </w:tc>
        <w:tc>
          <w:tcPr>
            <w:tcW w:w="993" w:type="dxa"/>
            <w:tcBorders>
              <w:top w:val="nil"/>
              <w:left w:val="nil"/>
              <w:bottom w:val="single" w:sz="4" w:space="0" w:color="auto"/>
              <w:right w:val="single" w:sz="4" w:space="0" w:color="auto"/>
            </w:tcBorders>
            <w:shd w:val="clear" w:color="auto" w:fill="auto"/>
            <w:vAlign w:val="center"/>
            <w:hideMark/>
          </w:tcPr>
          <w:p w14:paraId="6AA633D4"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10,69%</w:t>
            </w:r>
          </w:p>
        </w:tc>
        <w:tc>
          <w:tcPr>
            <w:tcW w:w="850" w:type="dxa"/>
            <w:tcBorders>
              <w:top w:val="nil"/>
              <w:left w:val="nil"/>
              <w:bottom w:val="single" w:sz="4" w:space="0" w:color="auto"/>
              <w:right w:val="single" w:sz="4" w:space="0" w:color="auto"/>
            </w:tcBorders>
            <w:shd w:val="clear" w:color="auto" w:fill="auto"/>
            <w:vAlign w:val="center"/>
            <w:hideMark/>
          </w:tcPr>
          <w:p w14:paraId="051F3FA2"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8,15%</w:t>
            </w:r>
          </w:p>
        </w:tc>
        <w:tc>
          <w:tcPr>
            <w:tcW w:w="851" w:type="dxa"/>
            <w:tcBorders>
              <w:top w:val="nil"/>
              <w:left w:val="nil"/>
              <w:bottom w:val="single" w:sz="4" w:space="0" w:color="auto"/>
              <w:right w:val="single" w:sz="4" w:space="0" w:color="auto"/>
            </w:tcBorders>
            <w:shd w:val="clear" w:color="auto" w:fill="auto"/>
            <w:vAlign w:val="center"/>
            <w:hideMark/>
          </w:tcPr>
          <w:p w14:paraId="1AD8E7BF"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6,31%</w:t>
            </w:r>
          </w:p>
        </w:tc>
        <w:tc>
          <w:tcPr>
            <w:tcW w:w="992" w:type="dxa"/>
            <w:tcBorders>
              <w:top w:val="nil"/>
              <w:left w:val="nil"/>
              <w:bottom w:val="single" w:sz="4" w:space="0" w:color="auto"/>
              <w:right w:val="single" w:sz="8" w:space="0" w:color="auto"/>
            </w:tcBorders>
            <w:shd w:val="clear" w:color="auto" w:fill="auto"/>
            <w:vAlign w:val="center"/>
            <w:hideMark/>
          </w:tcPr>
          <w:p w14:paraId="0E3F3F37"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4,74%</w:t>
            </w:r>
          </w:p>
        </w:tc>
      </w:tr>
      <w:tr w:rsidR="00451654" w:rsidRPr="00974312" w14:paraId="7BB5ECD9" w14:textId="77777777" w:rsidTr="00451654">
        <w:trPr>
          <w:trHeight w:val="320"/>
        </w:trPr>
        <w:tc>
          <w:tcPr>
            <w:tcW w:w="2117" w:type="dxa"/>
            <w:vMerge/>
            <w:tcBorders>
              <w:left w:val="single" w:sz="8" w:space="0" w:color="auto"/>
              <w:right w:val="single" w:sz="4" w:space="0" w:color="auto"/>
            </w:tcBorders>
            <w:vAlign w:val="center"/>
            <w:hideMark/>
          </w:tcPr>
          <w:p w14:paraId="6FFEBA6C" w14:textId="77777777" w:rsidR="00451654" w:rsidRPr="00974312" w:rsidRDefault="00451654">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000000" w:fill="FFFFFF"/>
            <w:vAlign w:val="center"/>
            <w:hideMark/>
          </w:tcPr>
          <w:p w14:paraId="1A42BC92" w14:textId="77777777" w:rsidR="00451654" w:rsidRPr="00974312" w:rsidRDefault="00451654">
            <w:pPr>
              <w:rPr>
                <w:rFonts w:asciiTheme="minorHAnsi" w:hAnsiTheme="minorHAnsi"/>
                <w:color w:val="000000"/>
                <w:sz w:val="18"/>
                <w:szCs w:val="18"/>
              </w:rPr>
            </w:pPr>
            <w:r w:rsidRPr="00974312">
              <w:rPr>
                <w:rFonts w:asciiTheme="minorHAnsi" w:hAnsiTheme="minorHAnsi"/>
                <w:color w:val="000000"/>
                <w:sz w:val="18"/>
                <w:szCs w:val="18"/>
              </w:rPr>
              <w:t>Nombre de nouvelles infections à VIH</w:t>
            </w:r>
          </w:p>
        </w:tc>
        <w:tc>
          <w:tcPr>
            <w:tcW w:w="1418" w:type="dxa"/>
            <w:tcBorders>
              <w:top w:val="nil"/>
              <w:left w:val="nil"/>
              <w:bottom w:val="single" w:sz="4" w:space="0" w:color="auto"/>
              <w:right w:val="single" w:sz="4" w:space="0" w:color="auto"/>
            </w:tcBorders>
            <w:shd w:val="clear" w:color="auto" w:fill="auto"/>
            <w:vAlign w:val="center"/>
            <w:hideMark/>
          </w:tcPr>
          <w:p w14:paraId="0D48DFEB"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8951</w:t>
            </w:r>
          </w:p>
        </w:tc>
        <w:tc>
          <w:tcPr>
            <w:tcW w:w="1559" w:type="dxa"/>
            <w:tcBorders>
              <w:top w:val="nil"/>
              <w:left w:val="nil"/>
              <w:bottom w:val="single" w:sz="4" w:space="0" w:color="auto"/>
              <w:right w:val="single" w:sz="4" w:space="0" w:color="auto"/>
            </w:tcBorders>
            <w:shd w:val="clear" w:color="auto" w:fill="auto"/>
            <w:vAlign w:val="center"/>
            <w:hideMark/>
          </w:tcPr>
          <w:p w14:paraId="3FC2FAA9" w14:textId="77777777" w:rsidR="00451654" w:rsidRPr="00974312" w:rsidRDefault="00451654">
            <w:pPr>
              <w:rPr>
                <w:rFonts w:asciiTheme="minorHAnsi" w:hAnsiTheme="minorHAnsi"/>
                <w:color w:val="000000"/>
                <w:sz w:val="18"/>
                <w:szCs w:val="18"/>
              </w:rPr>
            </w:pPr>
            <w:r w:rsidRPr="00974312">
              <w:rPr>
                <w:rFonts w:asciiTheme="minorHAnsi" w:hAnsiTheme="minorHAnsi"/>
                <w:color w:val="000000"/>
                <w:sz w:val="18"/>
                <w:szCs w:val="18"/>
              </w:rPr>
              <w:t>Spectrum, 2017</w:t>
            </w:r>
          </w:p>
        </w:tc>
        <w:tc>
          <w:tcPr>
            <w:tcW w:w="992" w:type="dxa"/>
            <w:tcBorders>
              <w:top w:val="nil"/>
              <w:left w:val="nil"/>
              <w:bottom w:val="single" w:sz="4" w:space="0" w:color="auto"/>
              <w:right w:val="single" w:sz="4" w:space="0" w:color="auto"/>
            </w:tcBorders>
            <w:shd w:val="clear" w:color="auto" w:fill="auto"/>
            <w:vAlign w:val="center"/>
            <w:hideMark/>
          </w:tcPr>
          <w:p w14:paraId="3616F964"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8 143</w:t>
            </w:r>
          </w:p>
        </w:tc>
        <w:tc>
          <w:tcPr>
            <w:tcW w:w="993" w:type="dxa"/>
            <w:tcBorders>
              <w:top w:val="nil"/>
              <w:left w:val="nil"/>
              <w:bottom w:val="single" w:sz="4" w:space="0" w:color="auto"/>
              <w:right w:val="single" w:sz="4" w:space="0" w:color="auto"/>
            </w:tcBorders>
            <w:shd w:val="clear" w:color="auto" w:fill="auto"/>
            <w:vAlign w:val="center"/>
            <w:hideMark/>
          </w:tcPr>
          <w:p w14:paraId="2A6A3C8F"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7 664</w:t>
            </w:r>
          </w:p>
        </w:tc>
        <w:tc>
          <w:tcPr>
            <w:tcW w:w="850" w:type="dxa"/>
            <w:tcBorders>
              <w:top w:val="nil"/>
              <w:left w:val="nil"/>
              <w:bottom w:val="single" w:sz="4" w:space="0" w:color="auto"/>
              <w:right w:val="single" w:sz="4" w:space="0" w:color="auto"/>
            </w:tcBorders>
            <w:shd w:val="clear" w:color="auto" w:fill="auto"/>
            <w:vAlign w:val="center"/>
            <w:hideMark/>
          </w:tcPr>
          <w:p w14:paraId="48A1FB83"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6 213</w:t>
            </w:r>
          </w:p>
        </w:tc>
        <w:tc>
          <w:tcPr>
            <w:tcW w:w="851" w:type="dxa"/>
            <w:tcBorders>
              <w:top w:val="nil"/>
              <w:left w:val="nil"/>
              <w:bottom w:val="single" w:sz="4" w:space="0" w:color="auto"/>
              <w:right w:val="single" w:sz="4" w:space="0" w:color="auto"/>
            </w:tcBorders>
            <w:shd w:val="clear" w:color="auto" w:fill="auto"/>
            <w:vAlign w:val="center"/>
            <w:hideMark/>
          </w:tcPr>
          <w:p w14:paraId="093AA7F6"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4 634</w:t>
            </w:r>
          </w:p>
        </w:tc>
        <w:tc>
          <w:tcPr>
            <w:tcW w:w="992" w:type="dxa"/>
            <w:tcBorders>
              <w:top w:val="nil"/>
              <w:left w:val="nil"/>
              <w:bottom w:val="single" w:sz="4" w:space="0" w:color="auto"/>
              <w:right w:val="single" w:sz="8" w:space="0" w:color="auto"/>
            </w:tcBorders>
            <w:shd w:val="clear" w:color="auto" w:fill="auto"/>
            <w:vAlign w:val="center"/>
            <w:hideMark/>
          </w:tcPr>
          <w:p w14:paraId="2A4A33E7" w14:textId="77777777" w:rsidR="00451654" w:rsidRPr="00974312" w:rsidRDefault="00451654">
            <w:pPr>
              <w:jc w:val="center"/>
              <w:rPr>
                <w:rFonts w:asciiTheme="minorHAnsi" w:hAnsiTheme="minorHAnsi"/>
                <w:color w:val="000000"/>
                <w:sz w:val="18"/>
                <w:szCs w:val="18"/>
              </w:rPr>
            </w:pPr>
            <w:r w:rsidRPr="00974312">
              <w:rPr>
                <w:rFonts w:asciiTheme="minorHAnsi" w:hAnsiTheme="minorHAnsi"/>
                <w:color w:val="000000"/>
                <w:sz w:val="18"/>
                <w:szCs w:val="18"/>
              </w:rPr>
              <w:t>4 055</w:t>
            </w:r>
          </w:p>
        </w:tc>
      </w:tr>
      <w:tr w:rsidR="00195113" w:rsidRPr="00974312" w14:paraId="1580D648" w14:textId="77777777" w:rsidTr="00451654">
        <w:trPr>
          <w:trHeight w:val="320"/>
        </w:trPr>
        <w:tc>
          <w:tcPr>
            <w:tcW w:w="2117" w:type="dxa"/>
            <w:vMerge/>
            <w:tcBorders>
              <w:left w:val="single" w:sz="8" w:space="0" w:color="auto"/>
              <w:right w:val="single" w:sz="4" w:space="0" w:color="auto"/>
            </w:tcBorders>
            <w:vAlign w:val="center"/>
          </w:tcPr>
          <w:p w14:paraId="143580E8" w14:textId="77777777" w:rsidR="00195113" w:rsidRPr="00974312" w:rsidRDefault="00195113" w:rsidP="00195113">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000000" w:fill="FFFFFF"/>
            <w:vAlign w:val="center"/>
          </w:tcPr>
          <w:p w14:paraId="639EEF4A" w14:textId="796F0F72"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Nombre de nouvelles infections par le VIH pour 1000 habitants non- infectés</w:t>
            </w:r>
          </w:p>
        </w:tc>
        <w:tc>
          <w:tcPr>
            <w:tcW w:w="1418" w:type="dxa"/>
            <w:tcBorders>
              <w:top w:val="nil"/>
              <w:left w:val="nil"/>
              <w:bottom w:val="single" w:sz="4" w:space="0" w:color="auto"/>
              <w:right w:val="single" w:sz="4" w:space="0" w:color="auto"/>
            </w:tcBorders>
            <w:shd w:val="clear" w:color="auto" w:fill="auto"/>
            <w:vAlign w:val="center"/>
          </w:tcPr>
          <w:p w14:paraId="634ECDC3" w14:textId="0BEFCDB5"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0,711</w:t>
            </w:r>
          </w:p>
        </w:tc>
        <w:tc>
          <w:tcPr>
            <w:tcW w:w="1559" w:type="dxa"/>
            <w:tcBorders>
              <w:top w:val="nil"/>
              <w:left w:val="nil"/>
              <w:bottom w:val="single" w:sz="4" w:space="0" w:color="auto"/>
              <w:right w:val="single" w:sz="4" w:space="0" w:color="auto"/>
            </w:tcBorders>
            <w:shd w:val="clear" w:color="auto" w:fill="auto"/>
            <w:vAlign w:val="center"/>
          </w:tcPr>
          <w:p w14:paraId="6138908C" w14:textId="09B35141"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Spectrum, 2017, projection INSD</w:t>
            </w:r>
          </w:p>
        </w:tc>
        <w:tc>
          <w:tcPr>
            <w:tcW w:w="992" w:type="dxa"/>
            <w:tcBorders>
              <w:top w:val="nil"/>
              <w:left w:val="nil"/>
              <w:bottom w:val="single" w:sz="4" w:space="0" w:color="auto"/>
              <w:right w:val="single" w:sz="4" w:space="0" w:color="auto"/>
            </w:tcBorders>
            <w:shd w:val="clear" w:color="auto" w:fill="auto"/>
            <w:vAlign w:val="center"/>
          </w:tcPr>
          <w:p w14:paraId="520E3B7A" w14:textId="3F40DC71"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0,69</w:t>
            </w:r>
          </w:p>
        </w:tc>
        <w:tc>
          <w:tcPr>
            <w:tcW w:w="993" w:type="dxa"/>
            <w:tcBorders>
              <w:top w:val="nil"/>
              <w:left w:val="nil"/>
              <w:bottom w:val="single" w:sz="4" w:space="0" w:color="auto"/>
              <w:right w:val="single" w:sz="4" w:space="0" w:color="auto"/>
            </w:tcBorders>
            <w:shd w:val="clear" w:color="auto" w:fill="auto"/>
            <w:vAlign w:val="center"/>
          </w:tcPr>
          <w:p w14:paraId="070C9163" w14:textId="3655ACE0"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0,63</w:t>
            </w:r>
          </w:p>
        </w:tc>
        <w:tc>
          <w:tcPr>
            <w:tcW w:w="850" w:type="dxa"/>
            <w:tcBorders>
              <w:top w:val="nil"/>
              <w:left w:val="nil"/>
              <w:bottom w:val="single" w:sz="4" w:space="0" w:color="auto"/>
              <w:right w:val="single" w:sz="4" w:space="0" w:color="auto"/>
            </w:tcBorders>
            <w:shd w:val="clear" w:color="auto" w:fill="auto"/>
            <w:vAlign w:val="center"/>
          </w:tcPr>
          <w:p w14:paraId="0832432F" w14:textId="0FD5CE57"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0,50</w:t>
            </w:r>
          </w:p>
        </w:tc>
        <w:tc>
          <w:tcPr>
            <w:tcW w:w="851" w:type="dxa"/>
            <w:tcBorders>
              <w:top w:val="nil"/>
              <w:left w:val="nil"/>
              <w:bottom w:val="single" w:sz="4" w:space="0" w:color="auto"/>
              <w:right w:val="single" w:sz="4" w:space="0" w:color="auto"/>
            </w:tcBorders>
            <w:shd w:val="clear" w:color="auto" w:fill="auto"/>
            <w:vAlign w:val="center"/>
          </w:tcPr>
          <w:p w14:paraId="0B4808BE" w14:textId="1859A597"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0,36</w:t>
            </w:r>
          </w:p>
        </w:tc>
        <w:tc>
          <w:tcPr>
            <w:tcW w:w="992" w:type="dxa"/>
            <w:tcBorders>
              <w:top w:val="nil"/>
              <w:left w:val="nil"/>
              <w:bottom w:val="single" w:sz="4" w:space="0" w:color="auto"/>
              <w:right w:val="single" w:sz="8" w:space="0" w:color="auto"/>
            </w:tcBorders>
            <w:shd w:val="clear" w:color="auto" w:fill="auto"/>
            <w:vAlign w:val="center"/>
          </w:tcPr>
          <w:p w14:paraId="65840A02" w14:textId="42325E5C"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0,31</w:t>
            </w:r>
          </w:p>
        </w:tc>
      </w:tr>
      <w:tr w:rsidR="00195113" w:rsidRPr="00974312" w14:paraId="20DF6E5C" w14:textId="77777777" w:rsidTr="00451654">
        <w:trPr>
          <w:trHeight w:val="320"/>
        </w:trPr>
        <w:tc>
          <w:tcPr>
            <w:tcW w:w="2117" w:type="dxa"/>
            <w:vMerge/>
            <w:tcBorders>
              <w:left w:val="single" w:sz="8" w:space="0" w:color="auto"/>
              <w:right w:val="single" w:sz="4" w:space="0" w:color="auto"/>
            </w:tcBorders>
            <w:vAlign w:val="center"/>
          </w:tcPr>
          <w:p w14:paraId="2AAE13BE" w14:textId="77777777" w:rsidR="00195113" w:rsidRPr="00974312" w:rsidRDefault="00195113" w:rsidP="00195113">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000000" w:fill="FFFFFF"/>
            <w:vAlign w:val="center"/>
          </w:tcPr>
          <w:p w14:paraId="73381D16" w14:textId="215AB45C"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Prévalence du VIH chez les Miniers</w:t>
            </w:r>
          </w:p>
        </w:tc>
        <w:tc>
          <w:tcPr>
            <w:tcW w:w="1418" w:type="dxa"/>
            <w:tcBorders>
              <w:top w:val="nil"/>
              <w:left w:val="nil"/>
              <w:bottom w:val="single" w:sz="4" w:space="0" w:color="auto"/>
              <w:right w:val="single" w:sz="4" w:space="0" w:color="auto"/>
            </w:tcBorders>
            <w:shd w:val="clear" w:color="auto" w:fill="auto"/>
            <w:vAlign w:val="center"/>
          </w:tcPr>
          <w:p w14:paraId="4AC0D69E" w14:textId="2FC5E518"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1,40%</w:t>
            </w:r>
          </w:p>
        </w:tc>
        <w:tc>
          <w:tcPr>
            <w:tcW w:w="1559" w:type="dxa"/>
            <w:tcBorders>
              <w:top w:val="nil"/>
              <w:left w:val="nil"/>
              <w:bottom w:val="single" w:sz="4" w:space="0" w:color="auto"/>
              <w:right w:val="single" w:sz="4" w:space="0" w:color="auto"/>
            </w:tcBorders>
            <w:shd w:val="clear" w:color="auto" w:fill="auto"/>
            <w:vAlign w:val="center"/>
          </w:tcPr>
          <w:p w14:paraId="62F64E87" w14:textId="55F2A1FC"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auto" w:fill="auto"/>
            <w:vAlign w:val="center"/>
          </w:tcPr>
          <w:p w14:paraId="1E2F76CC" w14:textId="583D1956"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1,26%</w:t>
            </w:r>
          </w:p>
        </w:tc>
        <w:tc>
          <w:tcPr>
            <w:tcW w:w="993" w:type="dxa"/>
            <w:tcBorders>
              <w:top w:val="nil"/>
              <w:left w:val="nil"/>
              <w:bottom w:val="single" w:sz="4" w:space="0" w:color="auto"/>
              <w:right w:val="single" w:sz="4" w:space="0" w:color="auto"/>
            </w:tcBorders>
            <w:shd w:val="clear" w:color="auto" w:fill="auto"/>
            <w:vAlign w:val="center"/>
          </w:tcPr>
          <w:p w14:paraId="1DED3D37" w14:textId="3B01DB73"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1,13%</w:t>
            </w:r>
          </w:p>
        </w:tc>
        <w:tc>
          <w:tcPr>
            <w:tcW w:w="850" w:type="dxa"/>
            <w:tcBorders>
              <w:top w:val="nil"/>
              <w:left w:val="nil"/>
              <w:bottom w:val="single" w:sz="4" w:space="0" w:color="auto"/>
              <w:right w:val="single" w:sz="4" w:space="0" w:color="auto"/>
            </w:tcBorders>
            <w:shd w:val="clear" w:color="auto" w:fill="auto"/>
            <w:vAlign w:val="center"/>
          </w:tcPr>
          <w:p w14:paraId="315216F0" w14:textId="514C9122"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1,02%</w:t>
            </w:r>
          </w:p>
        </w:tc>
        <w:tc>
          <w:tcPr>
            <w:tcW w:w="851" w:type="dxa"/>
            <w:tcBorders>
              <w:top w:val="nil"/>
              <w:left w:val="nil"/>
              <w:bottom w:val="single" w:sz="4" w:space="0" w:color="auto"/>
              <w:right w:val="single" w:sz="4" w:space="0" w:color="auto"/>
            </w:tcBorders>
            <w:shd w:val="clear" w:color="auto" w:fill="auto"/>
            <w:vAlign w:val="center"/>
          </w:tcPr>
          <w:p w14:paraId="3546B241" w14:textId="0168B4B3"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0,92%</w:t>
            </w:r>
          </w:p>
        </w:tc>
        <w:tc>
          <w:tcPr>
            <w:tcW w:w="992" w:type="dxa"/>
            <w:tcBorders>
              <w:top w:val="nil"/>
              <w:left w:val="nil"/>
              <w:bottom w:val="single" w:sz="4" w:space="0" w:color="auto"/>
              <w:right w:val="single" w:sz="8" w:space="0" w:color="auto"/>
            </w:tcBorders>
            <w:shd w:val="clear" w:color="auto" w:fill="auto"/>
            <w:vAlign w:val="center"/>
          </w:tcPr>
          <w:p w14:paraId="743142E0" w14:textId="28E8E75C"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0,83%</w:t>
            </w:r>
          </w:p>
        </w:tc>
      </w:tr>
      <w:tr w:rsidR="00195113" w:rsidRPr="00974312" w14:paraId="3B8C3F37" w14:textId="77777777" w:rsidTr="00451654">
        <w:trPr>
          <w:trHeight w:val="320"/>
        </w:trPr>
        <w:tc>
          <w:tcPr>
            <w:tcW w:w="2117" w:type="dxa"/>
            <w:vMerge/>
            <w:tcBorders>
              <w:left w:val="single" w:sz="8" w:space="0" w:color="auto"/>
              <w:right w:val="single" w:sz="4" w:space="0" w:color="auto"/>
            </w:tcBorders>
            <w:vAlign w:val="center"/>
          </w:tcPr>
          <w:p w14:paraId="612A12CE" w14:textId="77777777" w:rsidR="00195113" w:rsidRPr="00974312" w:rsidRDefault="00195113" w:rsidP="00195113">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000000" w:fill="FFFFFF"/>
            <w:vAlign w:val="center"/>
          </w:tcPr>
          <w:p w14:paraId="2620430D" w14:textId="0A006DF9"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Prévalence du VIH chez les Pêcheurs</w:t>
            </w:r>
          </w:p>
        </w:tc>
        <w:tc>
          <w:tcPr>
            <w:tcW w:w="1418" w:type="dxa"/>
            <w:tcBorders>
              <w:top w:val="nil"/>
              <w:left w:val="nil"/>
              <w:bottom w:val="single" w:sz="4" w:space="0" w:color="auto"/>
              <w:right w:val="single" w:sz="4" w:space="0" w:color="auto"/>
            </w:tcBorders>
            <w:shd w:val="clear" w:color="auto" w:fill="auto"/>
            <w:vAlign w:val="center"/>
          </w:tcPr>
          <w:p w14:paraId="3EB917E0" w14:textId="4D879541"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3,80%</w:t>
            </w:r>
          </w:p>
        </w:tc>
        <w:tc>
          <w:tcPr>
            <w:tcW w:w="1559" w:type="dxa"/>
            <w:tcBorders>
              <w:top w:val="nil"/>
              <w:left w:val="nil"/>
              <w:bottom w:val="single" w:sz="4" w:space="0" w:color="auto"/>
              <w:right w:val="single" w:sz="4" w:space="0" w:color="auto"/>
            </w:tcBorders>
            <w:shd w:val="clear" w:color="auto" w:fill="auto"/>
            <w:vAlign w:val="center"/>
          </w:tcPr>
          <w:p w14:paraId="5DD5B128" w14:textId="6575ABC0"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auto" w:fill="auto"/>
            <w:vAlign w:val="center"/>
          </w:tcPr>
          <w:p w14:paraId="69FA41FE" w14:textId="6E4AD1B1"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3,42%</w:t>
            </w:r>
          </w:p>
        </w:tc>
        <w:tc>
          <w:tcPr>
            <w:tcW w:w="993" w:type="dxa"/>
            <w:tcBorders>
              <w:top w:val="nil"/>
              <w:left w:val="nil"/>
              <w:bottom w:val="single" w:sz="4" w:space="0" w:color="auto"/>
              <w:right w:val="single" w:sz="4" w:space="0" w:color="auto"/>
            </w:tcBorders>
            <w:shd w:val="clear" w:color="auto" w:fill="auto"/>
            <w:vAlign w:val="center"/>
          </w:tcPr>
          <w:p w14:paraId="40C28DC8" w14:textId="475B778D"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3,08%</w:t>
            </w:r>
          </w:p>
        </w:tc>
        <w:tc>
          <w:tcPr>
            <w:tcW w:w="850" w:type="dxa"/>
            <w:tcBorders>
              <w:top w:val="nil"/>
              <w:left w:val="nil"/>
              <w:bottom w:val="single" w:sz="4" w:space="0" w:color="auto"/>
              <w:right w:val="single" w:sz="4" w:space="0" w:color="auto"/>
            </w:tcBorders>
            <w:shd w:val="clear" w:color="auto" w:fill="auto"/>
            <w:vAlign w:val="center"/>
          </w:tcPr>
          <w:p w14:paraId="02C609B3" w14:textId="1B0626A1"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2,77%</w:t>
            </w:r>
          </w:p>
        </w:tc>
        <w:tc>
          <w:tcPr>
            <w:tcW w:w="851" w:type="dxa"/>
            <w:tcBorders>
              <w:top w:val="nil"/>
              <w:left w:val="nil"/>
              <w:bottom w:val="single" w:sz="4" w:space="0" w:color="auto"/>
              <w:right w:val="single" w:sz="4" w:space="0" w:color="auto"/>
            </w:tcBorders>
            <w:shd w:val="clear" w:color="auto" w:fill="auto"/>
            <w:vAlign w:val="center"/>
          </w:tcPr>
          <w:p w14:paraId="026EDBEB" w14:textId="5604B020"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2,49%</w:t>
            </w:r>
          </w:p>
        </w:tc>
        <w:tc>
          <w:tcPr>
            <w:tcW w:w="992" w:type="dxa"/>
            <w:tcBorders>
              <w:top w:val="nil"/>
              <w:left w:val="nil"/>
              <w:bottom w:val="single" w:sz="4" w:space="0" w:color="auto"/>
              <w:right w:val="single" w:sz="8" w:space="0" w:color="auto"/>
            </w:tcBorders>
            <w:shd w:val="clear" w:color="auto" w:fill="auto"/>
            <w:vAlign w:val="center"/>
          </w:tcPr>
          <w:p w14:paraId="71F76936" w14:textId="0CE599F7"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2,24%</w:t>
            </w:r>
          </w:p>
        </w:tc>
      </w:tr>
      <w:tr w:rsidR="00195113" w:rsidRPr="00974312" w14:paraId="43867C69" w14:textId="77777777" w:rsidTr="00451654">
        <w:trPr>
          <w:trHeight w:val="320"/>
        </w:trPr>
        <w:tc>
          <w:tcPr>
            <w:tcW w:w="2117" w:type="dxa"/>
            <w:vMerge/>
            <w:tcBorders>
              <w:left w:val="single" w:sz="8" w:space="0" w:color="auto"/>
              <w:right w:val="single" w:sz="4" w:space="0" w:color="auto"/>
            </w:tcBorders>
            <w:vAlign w:val="center"/>
          </w:tcPr>
          <w:p w14:paraId="2F7AC6CD" w14:textId="77777777" w:rsidR="00195113" w:rsidRPr="00974312" w:rsidRDefault="00195113" w:rsidP="00195113">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000000" w:fill="FFFFFF"/>
            <w:vAlign w:val="center"/>
          </w:tcPr>
          <w:p w14:paraId="14296112" w14:textId="5F504024"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Prévalence du VIH chez les Routiers</w:t>
            </w:r>
          </w:p>
        </w:tc>
        <w:tc>
          <w:tcPr>
            <w:tcW w:w="1418" w:type="dxa"/>
            <w:tcBorders>
              <w:top w:val="nil"/>
              <w:left w:val="nil"/>
              <w:bottom w:val="single" w:sz="4" w:space="0" w:color="auto"/>
              <w:right w:val="single" w:sz="4" w:space="0" w:color="auto"/>
            </w:tcBorders>
            <w:shd w:val="clear" w:color="auto" w:fill="auto"/>
            <w:vAlign w:val="center"/>
          </w:tcPr>
          <w:p w14:paraId="127DA4AB" w14:textId="24B993C0"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2,30%</w:t>
            </w:r>
          </w:p>
        </w:tc>
        <w:tc>
          <w:tcPr>
            <w:tcW w:w="1559" w:type="dxa"/>
            <w:tcBorders>
              <w:top w:val="nil"/>
              <w:left w:val="nil"/>
              <w:bottom w:val="single" w:sz="4" w:space="0" w:color="auto"/>
              <w:right w:val="single" w:sz="4" w:space="0" w:color="auto"/>
            </w:tcBorders>
            <w:shd w:val="clear" w:color="auto" w:fill="auto"/>
            <w:vAlign w:val="center"/>
          </w:tcPr>
          <w:p w14:paraId="7922DF47" w14:textId="7E65EB16"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auto" w:fill="auto"/>
            <w:vAlign w:val="center"/>
          </w:tcPr>
          <w:p w14:paraId="49DC989C" w14:textId="26F8AFFE"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2,07%</w:t>
            </w:r>
          </w:p>
        </w:tc>
        <w:tc>
          <w:tcPr>
            <w:tcW w:w="993" w:type="dxa"/>
            <w:tcBorders>
              <w:top w:val="nil"/>
              <w:left w:val="nil"/>
              <w:bottom w:val="single" w:sz="4" w:space="0" w:color="auto"/>
              <w:right w:val="single" w:sz="4" w:space="0" w:color="auto"/>
            </w:tcBorders>
            <w:shd w:val="clear" w:color="auto" w:fill="auto"/>
            <w:vAlign w:val="center"/>
          </w:tcPr>
          <w:p w14:paraId="2ED76F37" w14:textId="2D8466A3"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1,86%</w:t>
            </w:r>
          </w:p>
        </w:tc>
        <w:tc>
          <w:tcPr>
            <w:tcW w:w="850" w:type="dxa"/>
            <w:tcBorders>
              <w:top w:val="nil"/>
              <w:left w:val="nil"/>
              <w:bottom w:val="single" w:sz="4" w:space="0" w:color="auto"/>
              <w:right w:val="single" w:sz="4" w:space="0" w:color="auto"/>
            </w:tcBorders>
            <w:shd w:val="clear" w:color="auto" w:fill="auto"/>
            <w:vAlign w:val="center"/>
          </w:tcPr>
          <w:p w14:paraId="19D262F4" w14:textId="4B623A01"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1,68%</w:t>
            </w:r>
          </w:p>
        </w:tc>
        <w:tc>
          <w:tcPr>
            <w:tcW w:w="851" w:type="dxa"/>
            <w:tcBorders>
              <w:top w:val="nil"/>
              <w:left w:val="nil"/>
              <w:bottom w:val="single" w:sz="4" w:space="0" w:color="auto"/>
              <w:right w:val="single" w:sz="4" w:space="0" w:color="auto"/>
            </w:tcBorders>
            <w:shd w:val="clear" w:color="auto" w:fill="auto"/>
            <w:vAlign w:val="center"/>
          </w:tcPr>
          <w:p w14:paraId="372AF98A" w14:textId="12581A73"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1,51%</w:t>
            </w:r>
          </w:p>
        </w:tc>
        <w:tc>
          <w:tcPr>
            <w:tcW w:w="992" w:type="dxa"/>
            <w:tcBorders>
              <w:top w:val="nil"/>
              <w:left w:val="nil"/>
              <w:bottom w:val="single" w:sz="4" w:space="0" w:color="auto"/>
              <w:right w:val="single" w:sz="8" w:space="0" w:color="auto"/>
            </w:tcBorders>
            <w:shd w:val="clear" w:color="auto" w:fill="auto"/>
            <w:vAlign w:val="center"/>
          </w:tcPr>
          <w:p w14:paraId="06B4073E" w14:textId="58FB5856"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1,36%</w:t>
            </w:r>
          </w:p>
        </w:tc>
      </w:tr>
      <w:tr w:rsidR="00195113" w:rsidRPr="00974312" w14:paraId="291CC4BA" w14:textId="77777777" w:rsidTr="00451654">
        <w:trPr>
          <w:trHeight w:val="320"/>
        </w:trPr>
        <w:tc>
          <w:tcPr>
            <w:tcW w:w="2117" w:type="dxa"/>
            <w:vMerge/>
            <w:tcBorders>
              <w:left w:val="single" w:sz="8" w:space="0" w:color="auto"/>
              <w:right w:val="single" w:sz="4" w:space="0" w:color="auto"/>
            </w:tcBorders>
            <w:vAlign w:val="center"/>
          </w:tcPr>
          <w:p w14:paraId="5F524441" w14:textId="77777777" w:rsidR="00195113" w:rsidRPr="00974312" w:rsidRDefault="00195113" w:rsidP="00195113">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000000" w:fill="FFFFFF"/>
            <w:vAlign w:val="center"/>
          </w:tcPr>
          <w:p w14:paraId="721151F8" w14:textId="3D78BBAD"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Prévalence du VIH chez les personnels en uniforme</w:t>
            </w:r>
          </w:p>
        </w:tc>
        <w:tc>
          <w:tcPr>
            <w:tcW w:w="1418" w:type="dxa"/>
            <w:tcBorders>
              <w:top w:val="nil"/>
              <w:left w:val="nil"/>
              <w:bottom w:val="single" w:sz="4" w:space="0" w:color="auto"/>
              <w:right w:val="single" w:sz="4" w:space="0" w:color="auto"/>
            </w:tcBorders>
            <w:shd w:val="clear" w:color="auto" w:fill="auto"/>
            <w:vAlign w:val="center"/>
          </w:tcPr>
          <w:p w14:paraId="1D828790" w14:textId="5BC4ACEB"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3,50%</w:t>
            </w:r>
          </w:p>
        </w:tc>
        <w:tc>
          <w:tcPr>
            <w:tcW w:w="1559" w:type="dxa"/>
            <w:tcBorders>
              <w:top w:val="nil"/>
              <w:left w:val="nil"/>
              <w:bottom w:val="single" w:sz="4" w:space="0" w:color="auto"/>
              <w:right w:val="single" w:sz="4" w:space="0" w:color="auto"/>
            </w:tcBorders>
            <w:shd w:val="clear" w:color="auto" w:fill="auto"/>
            <w:vAlign w:val="center"/>
          </w:tcPr>
          <w:p w14:paraId="33976B84" w14:textId="232AA1BE"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auto" w:fill="auto"/>
            <w:vAlign w:val="center"/>
          </w:tcPr>
          <w:p w14:paraId="53047660" w14:textId="358BBEDB"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3,15%</w:t>
            </w:r>
          </w:p>
        </w:tc>
        <w:tc>
          <w:tcPr>
            <w:tcW w:w="993" w:type="dxa"/>
            <w:tcBorders>
              <w:top w:val="nil"/>
              <w:left w:val="nil"/>
              <w:bottom w:val="single" w:sz="4" w:space="0" w:color="auto"/>
              <w:right w:val="single" w:sz="4" w:space="0" w:color="auto"/>
            </w:tcBorders>
            <w:shd w:val="clear" w:color="auto" w:fill="auto"/>
            <w:vAlign w:val="center"/>
          </w:tcPr>
          <w:p w14:paraId="6D3E2F64" w14:textId="4D25A050"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2,84%</w:t>
            </w:r>
          </w:p>
        </w:tc>
        <w:tc>
          <w:tcPr>
            <w:tcW w:w="850" w:type="dxa"/>
            <w:tcBorders>
              <w:top w:val="nil"/>
              <w:left w:val="nil"/>
              <w:bottom w:val="single" w:sz="4" w:space="0" w:color="auto"/>
              <w:right w:val="single" w:sz="4" w:space="0" w:color="auto"/>
            </w:tcBorders>
            <w:shd w:val="clear" w:color="auto" w:fill="auto"/>
            <w:vAlign w:val="center"/>
          </w:tcPr>
          <w:p w14:paraId="05AD0C76" w14:textId="37840537"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2,55%</w:t>
            </w:r>
          </w:p>
        </w:tc>
        <w:tc>
          <w:tcPr>
            <w:tcW w:w="851" w:type="dxa"/>
            <w:tcBorders>
              <w:top w:val="nil"/>
              <w:left w:val="nil"/>
              <w:bottom w:val="single" w:sz="4" w:space="0" w:color="auto"/>
              <w:right w:val="single" w:sz="4" w:space="0" w:color="auto"/>
            </w:tcBorders>
            <w:shd w:val="clear" w:color="auto" w:fill="auto"/>
            <w:vAlign w:val="center"/>
          </w:tcPr>
          <w:p w14:paraId="5AC3CB87" w14:textId="5EC8D4E3"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2,30%</w:t>
            </w:r>
          </w:p>
        </w:tc>
        <w:tc>
          <w:tcPr>
            <w:tcW w:w="992" w:type="dxa"/>
            <w:tcBorders>
              <w:top w:val="nil"/>
              <w:left w:val="nil"/>
              <w:bottom w:val="single" w:sz="4" w:space="0" w:color="auto"/>
              <w:right w:val="single" w:sz="8" w:space="0" w:color="auto"/>
            </w:tcBorders>
            <w:shd w:val="clear" w:color="auto" w:fill="auto"/>
            <w:vAlign w:val="center"/>
          </w:tcPr>
          <w:p w14:paraId="2463F0E2" w14:textId="599BF45C"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2,07%</w:t>
            </w:r>
          </w:p>
        </w:tc>
      </w:tr>
      <w:tr w:rsidR="00195113" w:rsidRPr="00974312" w14:paraId="68EF6C6E" w14:textId="77777777" w:rsidTr="00451654">
        <w:trPr>
          <w:trHeight w:val="320"/>
        </w:trPr>
        <w:tc>
          <w:tcPr>
            <w:tcW w:w="2117" w:type="dxa"/>
            <w:vMerge/>
            <w:tcBorders>
              <w:left w:val="single" w:sz="8" w:space="0" w:color="auto"/>
              <w:bottom w:val="single" w:sz="4" w:space="0" w:color="auto"/>
              <w:right w:val="single" w:sz="4" w:space="0" w:color="auto"/>
            </w:tcBorders>
            <w:vAlign w:val="center"/>
          </w:tcPr>
          <w:p w14:paraId="193F945A" w14:textId="77777777" w:rsidR="00195113" w:rsidRPr="00974312" w:rsidRDefault="00195113" w:rsidP="00195113">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000000" w:fill="FFFFFF"/>
            <w:vAlign w:val="center"/>
          </w:tcPr>
          <w:p w14:paraId="372AFB84" w14:textId="4EFA5CD7"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 xml:space="preserve">Prévalence du VIH chez la population carcérale </w:t>
            </w:r>
          </w:p>
        </w:tc>
        <w:tc>
          <w:tcPr>
            <w:tcW w:w="1418" w:type="dxa"/>
            <w:tcBorders>
              <w:top w:val="nil"/>
              <w:left w:val="nil"/>
              <w:bottom w:val="single" w:sz="4" w:space="0" w:color="auto"/>
              <w:right w:val="single" w:sz="4" w:space="0" w:color="auto"/>
            </w:tcBorders>
            <w:shd w:val="clear" w:color="auto" w:fill="auto"/>
            <w:vAlign w:val="center"/>
          </w:tcPr>
          <w:p w14:paraId="06FFC0FC" w14:textId="75C881C3"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2,50%</w:t>
            </w:r>
          </w:p>
        </w:tc>
        <w:tc>
          <w:tcPr>
            <w:tcW w:w="1559" w:type="dxa"/>
            <w:tcBorders>
              <w:top w:val="nil"/>
              <w:left w:val="nil"/>
              <w:bottom w:val="single" w:sz="4" w:space="0" w:color="auto"/>
              <w:right w:val="single" w:sz="4" w:space="0" w:color="auto"/>
            </w:tcBorders>
            <w:shd w:val="clear" w:color="auto" w:fill="auto"/>
            <w:vAlign w:val="center"/>
          </w:tcPr>
          <w:p w14:paraId="1C9B48B5" w14:textId="282717FE" w:rsidR="00195113" w:rsidRPr="00974312" w:rsidRDefault="00195113" w:rsidP="00195113">
            <w:pPr>
              <w:rPr>
                <w:rFonts w:asciiTheme="minorHAnsi" w:hAnsiTheme="minorHAnsi"/>
                <w:color w:val="000000"/>
                <w:sz w:val="18"/>
                <w:szCs w:val="18"/>
              </w:rPr>
            </w:pPr>
            <w:r w:rsidRPr="00195113">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auto" w:fill="auto"/>
            <w:vAlign w:val="center"/>
          </w:tcPr>
          <w:p w14:paraId="0C411456" w14:textId="7ED03260"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2,25%</w:t>
            </w:r>
          </w:p>
        </w:tc>
        <w:tc>
          <w:tcPr>
            <w:tcW w:w="993" w:type="dxa"/>
            <w:tcBorders>
              <w:top w:val="nil"/>
              <w:left w:val="nil"/>
              <w:bottom w:val="single" w:sz="4" w:space="0" w:color="auto"/>
              <w:right w:val="single" w:sz="4" w:space="0" w:color="auto"/>
            </w:tcBorders>
            <w:shd w:val="clear" w:color="auto" w:fill="auto"/>
            <w:vAlign w:val="center"/>
          </w:tcPr>
          <w:p w14:paraId="37B5CCC8" w14:textId="14299B8B"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2,03%</w:t>
            </w:r>
          </w:p>
        </w:tc>
        <w:tc>
          <w:tcPr>
            <w:tcW w:w="850" w:type="dxa"/>
            <w:tcBorders>
              <w:top w:val="nil"/>
              <w:left w:val="nil"/>
              <w:bottom w:val="single" w:sz="4" w:space="0" w:color="auto"/>
              <w:right w:val="single" w:sz="4" w:space="0" w:color="auto"/>
            </w:tcBorders>
            <w:shd w:val="clear" w:color="auto" w:fill="auto"/>
            <w:vAlign w:val="center"/>
          </w:tcPr>
          <w:p w14:paraId="547DEE92" w14:textId="1B40D0FB"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1,82%</w:t>
            </w:r>
          </w:p>
        </w:tc>
        <w:tc>
          <w:tcPr>
            <w:tcW w:w="851" w:type="dxa"/>
            <w:tcBorders>
              <w:top w:val="nil"/>
              <w:left w:val="nil"/>
              <w:bottom w:val="single" w:sz="4" w:space="0" w:color="auto"/>
              <w:right w:val="single" w:sz="4" w:space="0" w:color="auto"/>
            </w:tcBorders>
            <w:shd w:val="clear" w:color="auto" w:fill="auto"/>
            <w:vAlign w:val="center"/>
          </w:tcPr>
          <w:p w14:paraId="7E362FAD" w14:textId="209DEA7A"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1,64%</w:t>
            </w:r>
          </w:p>
        </w:tc>
        <w:tc>
          <w:tcPr>
            <w:tcW w:w="992" w:type="dxa"/>
            <w:tcBorders>
              <w:top w:val="nil"/>
              <w:left w:val="nil"/>
              <w:bottom w:val="single" w:sz="4" w:space="0" w:color="auto"/>
              <w:right w:val="single" w:sz="8" w:space="0" w:color="auto"/>
            </w:tcBorders>
            <w:shd w:val="clear" w:color="auto" w:fill="auto"/>
            <w:vAlign w:val="center"/>
          </w:tcPr>
          <w:p w14:paraId="7FCFFB7A" w14:textId="6539141F" w:rsidR="00195113" w:rsidRPr="00974312" w:rsidRDefault="00195113" w:rsidP="00195113">
            <w:pPr>
              <w:jc w:val="center"/>
              <w:rPr>
                <w:rFonts w:asciiTheme="minorHAnsi" w:hAnsiTheme="minorHAnsi"/>
                <w:color w:val="000000"/>
                <w:sz w:val="18"/>
                <w:szCs w:val="18"/>
              </w:rPr>
            </w:pPr>
            <w:r w:rsidRPr="00195113">
              <w:rPr>
                <w:rFonts w:asciiTheme="minorHAnsi" w:hAnsiTheme="minorHAnsi"/>
                <w:color w:val="000000"/>
                <w:sz w:val="18"/>
                <w:szCs w:val="18"/>
              </w:rPr>
              <w:t>1,48%</w:t>
            </w:r>
          </w:p>
        </w:tc>
      </w:tr>
      <w:tr w:rsidR="00974312" w:rsidRPr="00974312" w14:paraId="0CB9EDAC" w14:textId="77777777" w:rsidTr="00974312">
        <w:trPr>
          <w:trHeight w:val="640"/>
        </w:trPr>
        <w:tc>
          <w:tcPr>
            <w:tcW w:w="2117" w:type="dxa"/>
            <w:vMerge w:val="restart"/>
            <w:tcBorders>
              <w:top w:val="nil"/>
              <w:left w:val="single" w:sz="8" w:space="0" w:color="auto"/>
              <w:bottom w:val="single" w:sz="4" w:space="0" w:color="auto"/>
              <w:right w:val="single" w:sz="4" w:space="0" w:color="auto"/>
            </w:tcBorders>
            <w:shd w:val="clear" w:color="000000" w:fill="E7E6E6"/>
            <w:vAlign w:val="center"/>
            <w:hideMark/>
          </w:tcPr>
          <w:p w14:paraId="0D4C2910" w14:textId="77777777" w:rsidR="00974312" w:rsidRPr="00974312" w:rsidRDefault="00974312">
            <w:pPr>
              <w:rPr>
                <w:rFonts w:asciiTheme="minorHAnsi" w:hAnsiTheme="minorHAnsi"/>
                <w:b/>
                <w:bCs/>
                <w:color w:val="000000"/>
                <w:sz w:val="18"/>
                <w:szCs w:val="18"/>
              </w:rPr>
            </w:pPr>
            <w:r w:rsidRPr="00974312">
              <w:rPr>
                <w:rFonts w:asciiTheme="minorHAnsi" w:hAnsiTheme="minorHAnsi"/>
                <w:b/>
                <w:bCs/>
                <w:color w:val="000000"/>
                <w:sz w:val="18"/>
                <w:szCs w:val="18"/>
              </w:rPr>
              <w:t>Impact 2. : D’ici à fin 2022, La mortalité liée au VIH/sida est réduite d'au moins 62%</w:t>
            </w:r>
          </w:p>
        </w:tc>
        <w:tc>
          <w:tcPr>
            <w:tcW w:w="4677" w:type="dxa"/>
            <w:gridSpan w:val="2"/>
            <w:tcBorders>
              <w:top w:val="nil"/>
              <w:left w:val="nil"/>
              <w:bottom w:val="single" w:sz="4" w:space="0" w:color="auto"/>
              <w:right w:val="single" w:sz="4" w:space="0" w:color="auto"/>
            </w:tcBorders>
            <w:shd w:val="clear" w:color="auto" w:fill="auto"/>
            <w:vAlign w:val="center"/>
            <w:hideMark/>
          </w:tcPr>
          <w:p w14:paraId="3DCFF167"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d'adultes et d'enfants vivant avec le VIH et sous traitement 12 mois après le début du traitement antirétroviral (HIV-O-1 (M))</w:t>
            </w:r>
          </w:p>
        </w:tc>
        <w:tc>
          <w:tcPr>
            <w:tcW w:w="1418" w:type="dxa"/>
            <w:tcBorders>
              <w:top w:val="nil"/>
              <w:left w:val="nil"/>
              <w:bottom w:val="single" w:sz="4" w:space="0" w:color="auto"/>
              <w:right w:val="single" w:sz="4" w:space="0" w:color="auto"/>
            </w:tcBorders>
            <w:shd w:val="clear" w:color="auto" w:fill="auto"/>
            <w:vAlign w:val="center"/>
            <w:hideMark/>
          </w:tcPr>
          <w:p w14:paraId="6D6CC4C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75%</w:t>
            </w:r>
          </w:p>
        </w:tc>
        <w:tc>
          <w:tcPr>
            <w:tcW w:w="1559" w:type="dxa"/>
            <w:tcBorders>
              <w:top w:val="nil"/>
              <w:left w:val="nil"/>
              <w:bottom w:val="single" w:sz="4" w:space="0" w:color="auto"/>
              <w:right w:val="single" w:sz="4" w:space="0" w:color="auto"/>
            </w:tcBorders>
            <w:shd w:val="clear" w:color="auto" w:fill="auto"/>
            <w:vAlign w:val="center"/>
            <w:hideMark/>
          </w:tcPr>
          <w:p w14:paraId="00C6B1C9"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Rapport de l'audit de la file active, 2016,</w:t>
            </w:r>
          </w:p>
        </w:tc>
        <w:tc>
          <w:tcPr>
            <w:tcW w:w="992" w:type="dxa"/>
            <w:tcBorders>
              <w:top w:val="nil"/>
              <w:left w:val="nil"/>
              <w:bottom w:val="single" w:sz="4" w:space="0" w:color="auto"/>
              <w:right w:val="single" w:sz="4" w:space="0" w:color="auto"/>
            </w:tcBorders>
            <w:shd w:val="clear" w:color="auto" w:fill="auto"/>
            <w:vAlign w:val="center"/>
            <w:hideMark/>
          </w:tcPr>
          <w:p w14:paraId="619F203E"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78%</w:t>
            </w:r>
          </w:p>
        </w:tc>
        <w:tc>
          <w:tcPr>
            <w:tcW w:w="993" w:type="dxa"/>
            <w:tcBorders>
              <w:top w:val="nil"/>
              <w:left w:val="nil"/>
              <w:bottom w:val="single" w:sz="4" w:space="0" w:color="auto"/>
              <w:right w:val="single" w:sz="4" w:space="0" w:color="auto"/>
            </w:tcBorders>
            <w:shd w:val="clear" w:color="auto" w:fill="auto"/>
            <w:vAlign w:val="center"/>
            <w:hideMark/>
          </w:tcPr>
          <w:p w14:paraId="30A4DB85"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79%</w:t>
            </w:r>
          </w:p>
        </w:tc>
        <w:tc>
          <w:tcPr>
            <w:tcW w:w="850" w:type="dxa"/>
            <w:tcBorders>
              <w:top w:val="nil"/>
              <w:left w:val="nil"/>
              <w:bottom w:val="single" w:sz="4" w:space="0" w:color="auto"/>
              <w:right w:val="single" w:sz="4" w:space="0" w:color="auto"/>
            </w:tcBorders>
            <w:shd w:val="clear" w:color="auto" w:fill="auto"/>
            <w:vAlign w:val="center"/>
            <w:hideMark/>
          </w:tcPr>
          <w:p w14:paraId="3F8638F6"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82%</w:t>
            </w:r>
          </w:p>
        </w:tc>
        <w:tc>
          <w:tcPr>
            <w:tcW w:w="851" w:type="dxa"/>
            <w:tcBorders>
              <w:top w:val="nil"/>
              <w:left w:val="nil"/>
              <w:bottom w:val="single" w:sz="4" w:space="0" w:color="auto"/>
              <w:right w:val="single" w:sz="4" w:space="0" w:color="auto"/>
            </w:tcBorders>
            <w:shd w:val="clear" w:color="auto" w:fill="auto"/>
            <w:vAlign w:val="center"/>
            <w:hideMark/>
          </w:tcPr>
          <w:p w14:paraId="1B43FF5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85%</w:t>
            </w:r>
          </w:p>
        </w:tc>
        <w:tc>
          <w:tcPr>
            <w:tcW w:w="992" w:type="dxa"/>
            <w:tcBorders>
              <w:top w:val="nil"/>
              <w:left w:val="nil"/>
              <w:bottom w:val="single" w:sz="4" w:space="0" w:color="auto"/>
              <w:right w:val="single" w:sz="8" w:space="0" w:color="auto"/>
            </w:tcBorders>
            <w:shd w:val="clear" w:color="auto" w:fill="auto"/>
            <w:vAlign w:val="center"/>
            <w:hideMark/>
          </w:tcPr>
          <w:p w14:paraId="1AA6D158"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r>
      <w:tr w:rsidR="00974312" w:rsidRPr="00974312" w14:paraId="380B9AA3" w14:textId="77777777" w:rsidTr="00974312">
        <w:trPr>
          <w:trHeight w:val="320"/>
        </w:trPr>
        <w:tc>
          <w:tcPr>
            <w:tcW w:w="2117" w:type="dxa"/>
            <w:vMerge/>
            <w:tcBorders>
              <w:top w:val="nil"/>
              <w:left w:val="single" w:sz="8" w:space="0" w:color="auto"/>
              <w:bottom w:val="single" w:sz="4" w:space="0" w:color="auto"/>
              <w:right w:val="single" w:sz="4" w:space="0" w:color="auto"/>
            </w:tcBorders>
            <w:vAlign w:val="center"/>
            <w:hideMark/>
          </w:tcPr>
          <w:p w14:paraId="53DF84A6" w14:textId="77777777" w:rsidR="00974312" w:rsidRPr="00974312" w:rsidRDefault="00974312">
            <w:pPr>
              <w:rPr>
                <w:rFonts w:asciiTheme="minorHAnsi" w:hAnsiTheme="minorHAnsi"/>
                <w:b/>
                <w:bCs/>
                <w:color w:val="000000"/>
                <w:sz w:val="18"/>
                <w:szCs w:val="18"/>
              </w:rPr>
            </w:pPr>
          </w:p>
        </w:tc>
        <w:tc>
          <w:tcPr>
            <w:tcW w:w="4677" w:type="dxa"/>
            <w:gridSpan w:val="2"/>
            <w:tcBorders>
              <w:top w:val="nil"/>
              <w:left w:val="nil"/>
              <w:bottom w:val="single" w:sz="4" w:space="0" w:color="auto"/>
              <w:right w:val="single" w:sz="4" w:space="0" w:color="auto"/>
            </w:tcBorders>
            <w:shd w:val="clear" w:color="auto" w:fill="auto"/>
            <w:vAlign w:val="center"/>
            <w:hideMark/>
          </w:tcPr>
          <w:p w14:paraId="40F0B1BE"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Nombre de décès liés au sida pour 100 000 habitants (HIV-I-4)</w:t>
            </w:r>
          </w:p>
        </w:tc>
        <w:tc>
          <w:tcPr>
            <w:tcW w:w="1418" w:type="dxa"/>
            <w:tcBorders>
              <w:top w:val="nil"/>
              <w:left w:val="nil"/>
              <w:bottom w:val="single" w:sz="4" w:space="0" w:color="auto"/>
              <w:right w:val="single" w:sz="4" w:space="0" w:color="auto"/>
            </w:tcBorders>
            <w:shd w:val="clear" w:color="auto" w:fill="auto"/>
            <w:vAlign w:val="center"/>
            <w:hideMark/>
          </w:tcPr>
          <w:p w14:paraId="6CDF8CE7"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4866</w:t>
            </w:r>
          </w:p>
        </w:tc>
        <w:tc>
          <w:tcPr>
            <w:tcW w:w="1559" w:type="dxa"/>
            <w:tcBorders>
              <w:top w:val="nil"/>
              <w:left w:val="nil"/>
              <w:bottom w:val="single" w:sz="4" w:space="0" w:color="auto"/>
              <w:right w:val="single" w:sz="4" w:space="0" w:color="auto"/>
            </w:tcBorders>
            <w:shd w:val="clear" w:color="auto" w:fill="auto"/>
            <w:vAlign w:val="center"/>
            <w:hideMark/>
          </w:tcPr>
          <w:p w14:paraId="572D73AD"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Spectrum, 2017</w:t>
            </w:r>
          </w:p>
        </w:tc>
        <w:tc>
          <w:tcPr>
            <w:tcW w:w="992" w:type="dxa"/>
            <w:tcBorders>
              <w:top w:val="nil"/>
              <w:left w:val="nil"/>
              <w:bottom w:val="single" w:sz="4" w:space="0" w:color="auto"/>
              <w:right w:val="single" w:sz="4" w:space="0" w:color="auto"/>
            </w:tcBorders>
            <w:shd w:val="clear" w:color="auto" w:fill="auto"/>
            <w:vAlign w:val="center"/>
            <w:hideMark/>
          </w:tcPr>
          <w:p w14:paraId="05BB9422"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4 943</w:t>
            </w:r>
          </w:p>
        </w:tc>
        <w:tc>
          <w:tcPr>
            <w:tcW w:w="993" w:type="dxa"/>
            <w:tcBorders>
              <w:top w:val="nil"/>
              <w:left w:val="nil"/>
              <w:bottom w:val="single" w:sz="4" w:space="0" w:color="auto"/>
              <w:right w:val="single" w:sz="4" w:space="0" w:color="auto"/>
            </w:tcBorders>
            <w:shd w:val="clear" w:color="auto" w:fill="auto"/>
            <w:vAlign w:val="center"/>
            <w:hideMark/>
          </w:tcPr>
          <w:p w14:paraId="082E9F7E"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3 924</w:t>
            </w:r>
          </w:p>
        </w:tc>
        <w:tc>
          <w:tcPr>
            <w:tcW w:w="850" w:type="dxa"/>
            <w:tcBorders>
              <w:top w:val="nil"/>
              <w:left w:val="nil"/>
              <w:bottom w:val="single" w:sz="4" w:space="0" w:color="auto"/>
              <w:right w:val="single" w:sz="4" w:space="0" w:color="auto"/>
            </w:tcBorders>
            <w:shd w:val="clear" w:color="auto" w:fill="auto"/>
            <w:vAlign w:val="center"/>
            <w:hideMark/>
          </w:tcPr>
          <w:p w14:paraId="7FA94EA8"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2 893</w:t>
            </w:r>
          </w:p>
        </w:tc>
        <w:tc>
          <w:tcPr>
            <w:tcW w:w="851" w:type="dxa"/>
            <w:tcBorders>
              <w:top w:val="nil"/>
              <w:left w:val="nil"/>
              <w:bottom w:val="single" w:sz="4" w:space="0" w:color="auto"/>
              <w:right w:val="single" w:sz="4" w:space="0" w:color="auto"/>
            </w:tcBorders>
            <w:shd w:val="clear" w:color="auto" w:fill="auto"/>
            <w:vAlign w:val="center"/>
            <w:hideMark/>
          </w:tcPr>
          <w:p w14:paraId="1D3B717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2 267</w:t>
            </w:r>
          </w:p>
        </w:tc>
        <w:tc>
          <w:tcPr>
            <w:tcW w:w="992" w:type="dxa"/>
            <w:tcBorders>
              <w:top w:val="nil"/>
              <w:left w:val="nil"/>
              <w:bottom w:val="single" w:sz="4" w:space="0" w:color="auto"/>
              <w:right w:val="single" w:sz="8" w:space="0" w:color="auto"/>
            </w:tcBorders>
            <w:shd w:val="clear" w:color="auto" w:fill="auto"/>
            <w:vAlign w:val="center"/>
            <w:hideMark/>
          </w:tcPr>
          <w:p w14:paraId="0C7D2546"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1 981</w:t>
            </w:r>
          </w:p>
        </w:tc>
      </w:tr>
      <w:tr w:rsidR="00974312" w:rsidRPr="00974312" w14:paraId="78E8D4A2" w14:textId="77777777" w:rsidTr="00974312">
        <w:trPr>
          <w:trHeight w:val="300"/>
        </w:trPr>
        <w:tc>
          <w:tcPr>
            <w:tcW w:w="14449" w:type="dxa"/>
            <w:gridSpan w:val="10"/>
            <w:tcBorders>
              <w:top w:val="single" w:sz="4" w:space="0" w:color="auto"/>
              <w:left w:val="single" w:sz="8" w:space="0" w:color="auto"/>
              <w:bottom w:val="single" w:sz="4" w:space="0" w:color="auto"/>
              <w:right w:val="single" w:sz="8" w:space="0" w:color="000000"/>
            </w:tcBorders>
            <w:shd w:val="clear" w:color="000000" w:fill="C6E0B4"/>
            <w:noWrap/>
            <w:vAlign w:val="bottom"/>
            <w:hideMark/>
          </w:tcPr>
          <w:p w14:paraId="30383F80"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Indicateurs d'effets</w:t>
            </w:r>
          </w:p>
        </w:tc>
      </w:tr>
      <w:tr w:rsidR="00974312" w:rsidRPr="00974312" w14:paraId="20F773C5" w14:textId="77777777" w:rsidTr="00974312">
        <w:trPr>
          <w:trHeight w:val="640"/>
        </w:trPr>
        <w:tc>
          <w:tcPr>
            <w:tcW w:w="2142" w:type="dxa"/>
            <w:gridSpan w:val="2"/>
            <w:vMerge w:val="restart"/>
            <w:tcBorders>
              <w:top w:val="nil"/>
              <w:left w:val="single" w:sz="8" w:space="0" w:color="auto"/>
              <w:bottom w:val="single" w:sz="4" w:space="0" w:color="auto"/>
              <w:right w:val="single" w:sz="4" w:space="0" w:color="auto"/>
            </w:tcBorders>
            <w:shd w:val="clear" w:color="000000" w:fill="E7E6E6"/>
            <w:vAlign w:val="center"/>
            <w:hideMark/>
          </w:tcPr>
          <w:p w14:paraId="17324177" w14:textId="77777777" w:rsidR="00974312" w:rsidRPr="00974312" w:rsidRDefault="00974312">
            <w:pPr>
              <w:rPr>
                <w:rFonts w:asciiTheme="minorHAnsi" w:hAnsiTheme="minorHAnsi"/>
                <w:b/>
                <w:bCs/>
                <w:color w:val="000000"/>
                <w:sz w:val="18"/>
                <w:szCs w:val="18"/>
              </w:rPr>
            </w:pPr>
            <w:r w:rsidRPr="00974312">
              <w:rPr>
                <w:rFonts w:asciiTheme="minorHAnsi" w:hAnsiTheme="minorHAnsi"/>
                <w:b/>
                <w:bCs/>
                <w:color w:val="000000"/>
                <w:sz w:val="18"/>
                <w:szCs w:val="18"/>
              </w:rPr>
              <w:t>Effet 1.</w:t>
            </w:r>
            <w:proofErr w:type="gramStart"/>
            <w:r w:rsidRPr="00974312">
              <w:rPr>
                <w:rFonts w:asciiTheme="minorHAnsi" w:hAnsiTheme="minorHAnsi"/>
                <w:b/>
                <w:bCs/>
                <w:color w:val="000000"/>
                <w:sz w:val="18"/>
                <w:szCs w:val="18"/>
              </w:rPr>
              <w:t>1.Au</w:t>
            </w:r>
            <w:proofErr w:type="gramEnd"/>
            <w:r w:rsidRPr="00974312">
              <w:rPr>
                <w:rFonts w:asciiTheme="minorHAnsi" w:hAnsiTheme="minorHAnsi"/>
                <w:b/>
                <w:bCs/>
                <w:color w:val="000000"/>
                <w:sz w:val="18"/>
                <w:szCs w:val="18"/>
              </w:rPr>
              <w:t xml:space="preserve"> moins 80% des populations clés (PS, UDI, HSH) et populations vulnérables (Miniers, routiers, hommes en uniforme, populations carcérales, pêcheurs, jeunes) ont des comportements à moindre risque d’ici 2022</w:t>
            </w:r>
          </w:p>
        </w:tc>
        <w:tc>
          <w:tcPr>
            <w:tcW w:w="4652" w:type="dxa"/>
            <w:tcBorders>
              <w:top w:val="nil"/>
              <w:left w:val="nil"/>
              <w:bottom w:val="single" w:sz="4" w:space="0" w:color="auto"/>
              <w:right w:val="single" w:sz="4" w:space="0" w:color="auto"/>
            </w:tcBorders>
            <w:shd w:val="clear" w:color="000000" w:fill="FFFFFF"/>
            <w:vAlign w:val="center"/>
            <w:hideMark/>
          </w:tcPr>
          <w:p w14:paraId="7E063A62"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des Professionnels de sexe (PS) ayant déclaré avoir utilisé des préservatifs avec le dernier client (HIV O-5 (M))</w:t>
            </w:r>
          </w:p>
        </w:tc>
        <w:tc>
          <w:tcPr>
            <w:tcW w:w="1418" w:type="dxa"/>
            <w:tcBorders>
              <w:top w:val="nil"/>
              <w:left w:val="nil"/>
              <w:bottom w:val="single" w:sz="4" w:space="0" w:color="auto"/>
              <w:right w:val="single" w:sz="4" w:space="0" w:color="auto"/>
            </w:tcBorders>
            <w:shd w:val="clear" w:color="000000" w:fill="FFFFFF"/>
            <w:noWrap/>
            <w:vAlign w:val="center"/>
            <w:hideMark/>
          </w:tcPr>
          <w:p w14:paraId="4FFABEBB"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88%</w:t>
            </w:r>
          </w:p>
        </w:tc>
        <w:tc>
          <w:tcPr>
            <w:tcW w:w="1559" w:type="dxa"/>
            <w:tcBorders>
              <w:top w:val="nil"/>
              <w:left w:val="nil"/>
              <w:bottom w:val="single" w:sz="4" w:space="0" w:color="auto"/>
              <w:right w:val="single" w:sz="4" w:space="0" w:color="auto"/>
            </w:tcBorders>
            <w:shd w:val="clear" w:color="000000" w:fill="FFFFFF"/>
            <w:noWrap/>
            <w:vAlign w:val="center"/>
            <w:hideMark/>
          </w:tcPr>
          <w:p w14:paraId="6173F2F5"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ESCOMB, 2015</w:t>
            </w:r>
          </w:p>
        </w:tc>
        <w:tc>
          <w:tcPr>
            <w:tcW w:w="992" w:type="dxa"/>
            <w:tcBorders>
              <w:top w:val="nil"/>
              <w:left w:val="nil"/>
              <w:bottom w:val="single" w:sz="4" w:space="0" w:color="auto"/>
              <w:right w:val="single" w:sz="4" w:space="0" w:color="auto"/>
            </w:tcBorders>
            <w:shd w:val="clear" w:color="000000" w:fill="FFFFFF"/>
            <w:noWrap/>
            <w:vAlign w:val="center"/>
            <w:hideMark/>
          </w:tcPr>
          <w:p w14:paraId="383C97D7"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c>
          <w:tcPr>
            <w:tcW w:w="993" w:type="dxa"/>
            <w:tcBorders>
              <w:top w:val="nil"/>
              <w:left w:val="nil"/>
              <w:bottom w:val="single" w:sz="4" w:space="0" w:color="auto"/>
              <w:right w:val="single" w:sz="4" w:space="0" w:color="auto"/>
            </w:tcBorders>
            <w:shd w:val="clear" w:color="000000" w:fill="FFFFFF"/>
            <w:noWrap/>
            <w:vAlign w:val="center"/>
            <w:hideMark/>
          </w:tcPr>
          <w:p w14:paraId="0799F018"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92%</w:t>
            </w:r>
          </w:p>
        </w:tc>
        <w:tc>
          <w:tcPr>
            <w:tcW w:w="850" w:type="dxa"/>
            <w:tcBorders>
              <w:top w:val="nil"/>
              <w:left w:val="nil"/>
              <w:bottom w:val="single" w:sz="4" w:space="0" w:color="auto"/>
              <w:right w:val="single" w:sz="4" w:space="0" w:color="auto"/>
            </w:tcBorders>
            <w:shd w:val="clear" w:color="000000" w:fill="FFFFFF"/>
            <w:noWrap/>
            <w:vAlign w:val="center"/>
            <w:hideMark/>
          </w:tcPr>
          <w:p w14:paraId="379C8C28"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95%</w:t>
            </w:r>
          </w:p>
        </w:tc>
        <w:tc>
          <w:tcPr>
            <w:tcW w:w="851" w:type="dxa"/>
            <w:tcBorders>
              <w:top w:val="nil"/>
              <w:left w:val="nil"/>
              <w:bottom w:val="single" w:sz="4" w:space="0" w:color="auto"/>
              <w:right w:val="single" w:sz="4" w:space="0" w:color="auto"/>
            </w:tcBorders>
            <w:shd w:val="clear" w:color="000000" w:fill="FFFFFF"/>
            <w:noWrap/>
            <w:vAlign w:val="center"/>
            <w:hideMark/>
          </w:tcPr>
          <w:p w14:paraId="0BB9A04B"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95%</w:t>
            </w:r>
          </w:p>
        </w:tc>
        <w:tc>
          <w:tcPr>
            <w:tcW w:w="992" w:type="dxa"/>
            <w:tcBorders>
              <w:top w:val="nil"/>
              <w:left w:val="nil"/>
              <w:bottom w:val="single" w:sz="4" w:space="0" w:color="auto"/>
              <w:right w:val="single" w:sz="8" w:space="0" w:color="auto"/>
            </w:tcBorders>
            <w:shd w:val="clear" w:color="000000" w:fill="FFFFFF"/>
            <w:noWrap/>
            <w:vAlign w:val="center"/>
            <w:hideMark/>
          </w:tcPr>
          <w:p w14:paraId="6B4714D7"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98%</w:t>
            </w:r>
          </w:p>
        </w:tc>
      </w:tr>
      <w:tr w:rsidR="00974312" w:rsidRPr="00974312" w14:paraId="49B5FE1F" w14:textId="77777777" w:rsidTr="00974312">
        <w:trPr>
          <w:trHeight w:val="640"/>
        </w:trPr>
        <w:tc>
          <w:tcPr>
            <w:tcW w:w="2142" w:type="dxa"/>
            <w:gridSpan w:val="2"/>
            <w:vMerge/>
            <w:tcBorders>
              <w:top w:val="nil"/>
              <w:left w:val="single" w:sz="8" w:space="0" w:color="auto"/>
              <w:bottom w:val="single" w:sz="4" w:space="0" w:color="auto"/>
              <w:right w:val="single" w:sz="4" w:space="0" w:color="auto"/>
            </w:tcBorders>
            <w:vAlign w:val="center"/>
            <w:hideMark/>
          </w:tcPr>
          <w:p w14:paraId="50210330"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1D84323D"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des HSH ayant déclaré avoir utilisé un préservatif lors de leur dernier rapport anal avec un partenaire de sexe masculin (HIV O-4a (M))</w:t>
            </w:r>
          </w:p>
        </w:tc>
        <w:tc>
          <w:tcPr>
            <w:tcW w:w="1418" w:type="dxa"/>
            <w:tcBorders>
              <w:top w:val="nil"/>
              <w:left w:val="nil"/>
              <w:bottom w:val="single" w:sz="4" w:space="0" w:color="auto"/>
              <w:right w:val="single" w:sz="4" w:space="0" w:color="auto"/>
            </w:tcBorders>
            <w:shd w:val="clear" w:color="000000" w:fill="FFFFFF"/>
            <w:vAlign w:val="center"/>
            <w:hideMark/>
          </w:tcPr>
          <w:p w14:paraId="738813E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38%</w:t>
            </w:r>
          </w:p>
        </w:tc>
        <w:tc>
          <w:tcPr>
            <w:tcW w:w="1559" w:type="dxa"/>
            <w:tcBorders>
              <w:top w:val="nil"/>
              <w:left w:val="nil"/>
              <w:bottom w:val="single" w:sz="4" w:space="0" w:color="auto"/>
              <w:right w:val="single" w:sz="4" w:space="0" w:color="auto"/>
            </w:tcBorders>
            <w:shd w:val="clear" w:color="000000" w:fill="FFFFFF"/>
            <w:vAlign w:val="center"/>
            <w:hideMark/>
          </w:tcPr>
          <w:p w14:paraId="4670FC55"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000000" w:fill="FFFFFF"/>
            <w:noWrap/>
            <w:vAlign w:val="center"/>
            <w:hideMark/>
          </w:tcPr>
          <w:p w14:paraId="778D1A5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60%</w:t>
            </w:r>
          </w:p>
        </w:tc>
        <w:tc>
          <w:tcPr>
            <w:tcW w:w="993" w:type="dxa"/>
            <w:tcBorders>
              <w:top w:val="nil"/>
              <w:left w:val="nil"/>
              <w:bottom w:val="single" w:sz="4" w:space="0" w:color="auto"/>
              <w:right w:val="single" w:sz="4" w:space="0" w:color="auto"/>
            </w:tcBorders>
            <w:shd w:val="clear" w:color="000000" w:fill="FFFFFF"/>
            <w:noWrap/>
            <w:vAlign w:val="center"/>
            <w:hideMark/>
          </w:tcPr>
          <w:p w14:paraId="7B37CCFF"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65%</w:t>
            </w:r>
          </w:p>
        </w:tc>
        <w:tc>
          <w:tcPr>
            <w:tcW w:w="850" w:type="dxa"/>
            <w:tcBorders>
              <w:top w:val="nil"/>
              <w:left w:val="nil"/>
              <w:bottom w:val="single" w:sz="4" w:space="0" w:color="auto"/>
              <w:right w:val="single" w:sz="4" w:space="0" w:color="auto"/>
            </w:tcBorders>
            <w:shd w:val="clear" w:color="000000" w:fill="FFFFFF"/>
            <w:noWrap/>
            <w:vAlign w:val="center"/>
            <w:hideMark/>
          </w:tcPr>
          <w:p w14:paraId="26C053B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70%</w:t>
            </w:r>
          </w:p>
        </w:tc>
        <w:tc>
          <w:tcPr>
            <w:tcW w:w="851" w:type="dxa"/>
            <w:tcBorders>
              <w:top w:val="nil"/>
              <w:left w:val="nil"/>
              <w:bottom w:val="single" w:sz="4" w:space="0" w:color="auto"/>
              <w:right w:val="single" w:sz="4" w:space="0" w:color="auto"/>
            </w:tcBorders>
            <w:shd w:val="clear" w:color="000000" w:fill="FFFFFF"/>
            <w:noWrap/>
            <w:vAlign w:val="center"/>
            <w:hideMark/>
          </w:tcPr>
          <w:p w14:paraId="3B59524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c>
          <w:tcPr>
            <w:tcW w:w="992" w:type="dxa"/>
            <w:tcBorders>
              <w:top w:val="nil"/>
              <w:left w:val="nil"/>
              <w:bottom w:val="single" w:sz="4" w:space="0" w:color="auto"/>
              <w:right w:val="single" w:sz="8" w:space="0" w:color="auto"/>
            </w:tcBorders>
            <w:shd w:val="clear" w:color="000000" w:fill="FFFFFF"/>
            <w:noWrap/>
            <w:vAlign w:val="center"/>
            <w:hideMark/>
          </w:tcPr>
          <w:p w14:paraId="6CB7293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r>
      <w:tr w:rsidR="00974312" w:rsidRPr="00974312" w14:paraId="192E0E8A" w14:textId="77777777" w:rsidTr="00974312">
        <w:trPr>
          <w:trHeight w:val="640"/>
        </w:trPr>
        <w:tc>
          <w:tcPr>
            <w:tcW w:w="2142" w:type="dxa"/>
            <w:gridSpan w:val="2"/>
            <w:vMerge/>
            <w:tcBorders>
              <w:top w:val="nil"/>
              <w:left w:val="single" w:sz="8" w:space="0" w:color="auto"/>
              <w:bottom w:val="single" w:sz="4" w:space="0" w:color="auto"/>
              <w:right w:val="single" w:sz="4" w:space="0" w:color="auto"/>
            </w:tcBorders>
            <w:vAlign w:val="center"/>
            <w:hideMark/>
          </w:tcPr>
          <w:p w14:paraId="65E2D9EE"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4ACF642A"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 xml:space="preserve">Pourcentage des Miniers ayant utilisés de préservatifs lors de dernière rapport sexuel </w:t>
            </w:r>
          </w:p>
        </w:tc>
        <w:tc>
          <w:tcPr>
            <w:tcW w:w="1418" w:type="dxa"/>
            <w:tcBorders>
              <w:top w:val="nil"/>
              <w:left w:val="nil"/>
              <w:bottom w:val="single" w:sz="4" w:space="0" w:color="auto"/>
              <w:right w:val="single" w:sz="4" w:space="0" w:color="auto"/>
            </w:tcBorders>
            <w:shd w:val="clear" w:color="000000" w:fill="FFFFFF"/>
            <w:vAlign w:val="center"/>
            <w:hideMark/>
          </w:tcPr>
          <w:p w14:paraId="11427DE5"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48%</w:t>
            </w:r>
          </w:p>
        </w:tc>
        <w:tc>
          <w:tcPr>
            <w:tcW w:w="1559" w:type="dxa"/>
            <w:tcBorders>
              <w:top w:val="nil"/>
              <w:left w:val="nil"/>
              <w:bottom w:val="single" w:sz="4" w:space="0" w:color="auto"/>
              <w:right w:val="single" w:sz="4" w:space="0" w:color="auto"/>
            </w:tcBorders>
            <w:shd w:val="clear" w:color="000000" w:fill="FFFFFF"/>
            <w:noWrap/>
            <w:vAlign w:val="center"/>
            <w:hideMark/>
          </w:tcPr>
          <w:p w14:paraId="3EE47D7A"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000000" w:fill="FFFFFF"/>
            <w:noWrap/>
            <w:vAlign w:val="center"/>
            <w:hideMark/>
          </w:tcPr>
          <w:p w14:paraId="5EAE8F81"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60%</w:t>
            </w:r>
          </w:p>
        </w:tc>
        <w:tc>
          <w:tcPr>
            <w:tcW w:w="993" w:type="dxa"/>
            <w:tcBorders>
              <w:top w:val="nil"/>
              <w:left w:val="nil"/>
              <w:bottom w:val="single" w:sz="4" w:space="0" w:color="auto"/>
              <w:right w:val="single" w:sz="4" w:space="0" w:color="auto"/>
            </w:tcBorders>
            <w:shd w:val="clear" w:color="000000" w:fill="FFFFFF"/>
            <w:noWrap/>
            <w:vAlign w:val="center"/>
            <w:hideMark/>
          </w:tcPr>
          <w:p w14:paraId="69C42E10"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70%</w:t>
            </w:r>
          </w:p>
        </w:tc>
        <w:tc>
          <w:tcPr>
            <w:tcW w:w="850" w:type="dxa"/>
            <w:tcBorders>
              <w:top w:val="nil"/>
              <w:left w:val="nil"/>
              <w:bottom w:val="single" w:sz="4" w:space="0" w:color="auto"/>
              <w:right w:val="single" w:sz="4" w:space="0" w:color="auto"/>
            </w:tcBorders>
            <w:shd w:val="clear" w:color="000000" w:fill="FFFFFF"/>
            <w:noWrap/>
            <w:vAlign w:val="center"/>
            <w:hideMark/>
          </w:tcPr>
          <w:p w14:paraId="262812B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c>
          <w:tcPr>
            <w:tcW w:w="851" w:type="dxa"/>
            <w:tcBorders>
              <w:top w:val="nil"/>
              <w:left w:val="nil"/>
              <w:bottom w:val="single" w:sz="4" w:space="0" w:color="auto"/>
              <w:right w:val="single" w:sz="4" w:space="0" w:color="auto"/>
            </w:tcBorders>
            <w:shd w:val="clear" w:color="000000" w:fill="FFFFFF"/>
            <w:noWrap/>
            <w:vAlign w:val="center"/>
            <w:hideMark/>
          </w:tcPr>
          <w:p w14:paraId="6A63272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85%</w:t>
            </w:r>
          </w:p>
        </w:tc>
        <w:tc>
          <w:tcPr>
            <w:tcW w:w="992" w:type="dxa"/>
            <w:tcBorders>
              <w:top w:val="nil"/>
              <w:left w:val="nil"/>
              <w:bottom w:val="single" w:sz="4" w:space="0" w:color="auto"/>
              <w:right w:val="single" w:sz="8" w:space="0" w:color="auto"/>
            </w:tcBorders>
            <w:shd w:val="clear" w:color="000000" w:fill="FFFFFF"/>
            <w:noWrap/>
            <w:vAlign w:val="center"/>
            <w:hideMark/>
          </w:tcPr>
          <w:p w14:paraId="78E23592"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r>
      <w:tr w:rsidR="00974312" w:rsidRPr="00974312" w14:paraId="5C1FBFA6" w14:textId="77777777" w:rsidTr="00974312">
        <w:trPr>
          <w:trHeight w:val="640"/>
        </w:trPr>
        <w:tc>
          <w:tcPr>
            <w:tcW w:w="2142" w:type="dxa"/>
            <w:gridSpan w:val="2"/>
            <w:vMerge/>
            <w:tcBorders>
              <w:top w:val="nil"/>
              <w:left w:val="single" w:sz="8" w:space="0" w:color="auto"/>
              <w:bottom w:val="single" w:sz="4" w:space="0" w:color="auto"/>
              <w:right w:val="single" w:sz="4" w:space="0" w:color="auto"/>
            </w:tcBorders>
            <w:vAlign w:val="center"/>
            <w:hideMark/>
          </w:tcPr>
          <w:p w14:paraId="16F07836"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22406C50"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 xml:space="preserve">Pourcentage des Pêcheurs ayant utilisés de préservatifs lors de dernière rapport sexuel </w:t>
            </w:r>
          </w:p>
        </w:tc>
        <w:tc>
          <w:tcPr>
            <w:tcW w:w="1418" w:type="dxa"/>
            <w:tcBorders>
              <w:top w:val="nil"/>
              <w:left w:val="nil"/>
              <w:bottom w:val="single" w:sz="4" w:space="0" w:color="auto"/>
              <w:right w:val="single" w:sz="4" w:space="0" w:color="auto"/>
            </w:tcBorders>
            <w:shd w:val="clear" w:color="000000" w:fill="FFFFFF"/>
            <w:vAlign w:val="center"/>
            <w:hideMark/>
          </w:tcPr>
          <w:p w14:paraId="1C87F17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64%</w:t>
            </w:r>
          </w:p>
        </w:tc>
        <w:tc>
          <w:tcPr>
            <w:tcW w:w="1559" w:type="dxa"/>
            <w:tcBorders>
              <w:top w:val="nil"/>
              <w:left w:val="nil"/>
              <w:bottom w:val="single" w:sz="4" w:space="0" w:color="auto"/>
              <w:right w:val="single" w:sz="4" w:space="0" w:color="auto"/>
            </w:tcBorders>
            <w:shd w:val="clear" w:color="000000" w:fill="FFFFFF"/>
            <w:noWrap/>
            <w:vAlign w:val="center"/>
            <w:hideMark/>
          </w:tcPr>
          <w:p w14:paraId="2647F345"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000000" w:fill="FFFFFF"/>
            <w:noWrap/>
            <w:vAlign w:val="center"/>
            <w:hideMark/>
          </w:tcPr>
          <w:p w14:paraId="314C740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70%</w:t>
            </w:r>
          </w:p>
        </w:tc>
        <w:tc>
          <w:tcPr>
            <w:tcW w:w="993" w:type="dxa"/>
            <w:tcBorders>
              <w:top w:val="nil"/>
              <w:left w:val="nil"/>
              <w:bottom w:val="single" w:sz="4" w:space="0" w:color="auto"/>
              <w:right w:val="single" w:sz="4" w:space="0" w:color="auto"/>
            </w:tcBorders>
            <w:shd w:val="clear" w:color="000000" w:fill="FFFFFF"/>
            <w:noWrap/>
            <w:vAlign w:val="center"/>
            <w:hideMark/>
          </w:tcPr>
          <w:p w14:paraId="5D0B57A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75%</w:t>
            </w:r>
          </w:p>
        </w:tc>
        <w:tc>
          <w:tcPr>
            <w:tcW w:w="850" w:type="dxa"/>
            <w:tcBorders>
              <w:top w:val="nil"/>
              <w:left w:val="nil"/>
              <w:bottom w:val="single" w:sz="4" w:space="0" w:color="auto"/>
              <w:right w:val="single" w:sz="4" w:space="0" w:color="auto"/>
            </w:tcBorders>
            <w:shd w:val="clear" w:color="000000" w:fill="FFFFFF"/>
            <w:noWrap/>
            <w:vAlign w:val="center"/>
            <w:hideMark/>
          </w:tcPr>
          <w:p w14:paraId="172F77B8"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c>
          <w:tcPr>
            <w:tcW w:w="851" w:type="dxa"/>
            <w:tcBorders>
              <w:top w:val="nil"/>
              <w:left w:val="nil"/>
              <w:bottom w:val="single" w:sz="4" w:space="0" w:color="auto"/>
              <w:right w:val="single" w:sz="4" w:space="0" w:color="auto"/>
            </w:tcBorders>
            <w:shd w:val="clear" w:color="000000" w:fill="FFFFFF"/>
            <w:noWrap/>
            <w:vAlign w:val="center"/>
            <w:hideMark/>
          </w:tcPr>
          <w:p w14:paraId="13108897"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85%</w:t>
            </w:r>
          </w:p>
        </w:tc>
        <w:tc>
          <w:tcPr>
            <w:tcW w:w="992" w:type="dxa"/>
            <w:tcBorders>
              <w:top w:val="nil"/>
              <w:left w:val="nil"/>
              <w:bottom w:val="single" w:sz="4" w:space="0" w:color="auto"/>
              <w:right w:val="single" w:sz="8" w:space="0" w:color="auto"/>
            </w:tcBorders>
            <w:shd w:val="clear" w:color="000000" w:fill="FFFFFF"/>
            <w:noWrap/>
            <w:vAlign w:val="center"/>
            <w:hideMark/>
          </w:tcPr>
          <w:p w14:paraId="7C54CBE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r>
      <w:tr w:rsidR="00974312" w:rsidRPr="00974312" w14:paraId="02C6B595" w14:textId="77777777" w:rsidTr="00974312">
        <w:trPr>
          <w:trHeight w:val="640"/>
        </w:trPr>
        <w:tc>
          <w:tcPr>
            <w:tcW w:w="2142" w:type="dxa"/>
            <w:gridSpan w:val="2"/>
            <w:vMerge/>
            <w:tcBorders>
              <w:top w:val="nil"/>
              <w:left w:val="single" w:sz="8" w:space="0" w:color="auto"/>
              <w:bottom w:val="single" w:sz="4" w:space="0" w:color="auto"/>
              <w:right w:val="single" w:sz="4" w:space="0" w:color="auto"/>
            </w:tcBorders>
            <w:vAlign w:val="center"/>
            <w:hideMark/>
          </w:tcPr>
          <w:p w14:paraId="49083605"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5B0D3B2D"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 xml:space="preserve">Pourcentage des Routiers ayant utilisés de préservatifs lors de dernière rapport sexuel </w:t>
            </w:r>
          </w:p>
        </w:tc>
        <w:tc>
          <w:tcPr>
            <w:tcW w:w="1418" w:type="dxa"/>
            <w:tcBorders>
              <w:top w:val="nil"/>
              <w:left w:val="nil"/>
              <w:bottom w:val="single" w:sz="4" w:space="0" w:color="auto"/>
              <w:right w:val="single" w:sz="4" w:space="0" w:color="auto"/>
            </w:tcBorders>
            <w:shd w:val="clear" w:color="000000" w:fill="FFFFFF"/>
            <w:vAlign w:val="center"/>
            <w:hideMark/>
          </w:tcPr>
          <w:p w14:paraId="25A413A0"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55%</w:t>
            </w:r>
          </w:p>
        </w:tc>
        <w:tc>
          <w:tcPr>
            <w:tcW w:w="1559" w:type="dxa"/>
            <w:tcBorders>
              <w:top w:val="nil"/>
              <w:left w:val="nil"/>
              <w:bottom w:val="single" w:sz="4" w:space="0" w:color="auto"/>
              <w:right w:val="single" w:sz="4" w:space="0" w:color="auto"/>
            </w:tcBorders>
            <w:shd w:val="clear" w:color="000000" w:fill="FFFFFF"/>
            <w:noWrap/>
            <w:vAlign w:val="center"/>
            <w:hideMark/>
          </w:tcPr>
          <w:p w14:paraId="2291B8A5"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000000" w:fill="FFFFFF"/>
            <w:noWrap/>
            <w:vAlign w:val="center"/>
            <w:hideMark/>
          </w:tcPr>
          <w:p w14:paraId="4B654B6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60%</w:t>
            </w:r>
          </w:p>
        </w:tc>
        <w:tc>
          <w:tcPr>
            <w:tcW w:w="993" w:type="dxa"/>
            <w:tcBorders>
              <w:top w:val="nil"/>
              <w:left w:val="nil"/>
              <w:bottom w:val="single" w:sz="4" w:space="0" w:color="auto"/>
              <w:right w:val="single" w:sz="4" w:space="0" w:color="auto"/>
            </w:tcBorders>
            <w:shd w:val="clear" w:color="000000" w:fill="FFFFFF"/>
            <w:noWrap/>
            <w:vAlign w:val="center"/>
            <w:hideMark/>
          </w:tcPr>
          <w:p w14:paraId="080AE13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70%</w:t>
            </w:r>
          </w:p>
        </w:tc>
        <w:tc>
          <w:tcPr>
            <w:tcW w:w="850" w:type="dxa"/>
            <w:tcBorders>
              <w:top w:val="nil"/>
              <w:left w:val="nil"/>
              <w:bottom w:val="single" w:sz="4" w:space="0" w:color="auto"/>
              <w:right w:val="single" w:sz="4" w:space="0" w:color="auto"/>
            </w:tcBorders>
            <w:shd w:val="clear" w:color="000000" w:fill="FFFFFF"/>
            <w:noWrap/>
            <w:vAlign w:val="center"/>
            <w:hideMark/>
          </w:tcPr>
          <w:p w14:paraId="246E2424"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c>
          <w:tcPr>
            <w:tcW w:w="851" w:type="dxa"/>
            <w:tcBorders>
              <w:top w:val="nil"/>
              <w:left w:val="nil"/>
              <w:bottom w:val="single" w:sz="4" w:space="0" w:color="auto"/>
              <w:right w:val="single" w:sz="4" w:space="0" w:color="auto"/>
            </w:tcBorders>
            <w:shd w:val="clear" w:color="000000" w:fill="FFFFFF"/>
            <w:noWrap/>
            <w:vAlign w:val="center"/>
            <w:hideMark/>
          </w:tcPr>
          <w:p w14:paraId="306D3EE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85%</w:t>
            </w:r>
          </w:p>
        </w:tc>
        <w:tc>
          <w:tcPr>
            <w:tcW w:w="992" w:type="dxa"/>
            <w:tcBorders>
              <w:top w:val="nil"/>
              <w:left w:val="nil"/>
              <w:bottom w:val="single" w:sz="4" w:space="0" w:color="auto"/>
              <w:right w:val="single" w:sz="8" w:space="0" w:color="auto"/>
            </w:tcBorders>
            <w:shd w:val="clear" w:color="000000" w:fill="FFFFFF"/>
            <w:noWrap/>
            <w:vAlign w:val="center"/>
            <w:hideMark/>
          </w:tcPr>
          <w:p w14:paraId="6A135592"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r>
      <w:tr w:rsidR="00974312" w:rsidRPr="00974312" w14:paraId="2AED1A6B" w14:textId="77777777" w:rsidTr="00974312">
        <w:trPr>
          <w:trHeight w:val="640"/>
        </w:trPr>
        <w:tc>
          <w:tcPr>
            <w:tcW w:w="2142" w:type="dxa"/>
            <w:gridSpan w:val="2"/>
            <w:vMerge/>
            <w:tcBorders>
              <w:top w:val="nil"/>
              <w:left w:val="single" w:sz="8" w:space="0" w:color="auto"/>
              <w:bottom w:val="single" w:sz="4" w:space="0" w:color="auto"/>
              <w:right w:val="single" w:sz="4" w:space="0" w:color="auto"/>
            </w:tcBorders>
            <w:vAlign w:val="center"/>
            <w:hideMark/>
          </w:tcPr>
          <w:p w14:paraId="1C30CC0E"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1710EE09"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 xml:space="preserve">Pourcentage des hommes en uniforme ayant utilisés de préservatifs lors de dernière rapport sexuel </w:t>
            </w:r>
          </w:p>
        </w:tc>
        <w:tc>
          <w:tcPr>
            <w:tcW w:w="1418" w:type="dxa"/>
            <w:tcBorders>
              <w:top w:val="nil"/>
              <w:left w:val="nil"/>
              <w:bottom w:val="single" w:sz="4" w:space="0" w:color="auto"/>
              <w:right w:val="single" w:sz="4" w:space="0" w:color="auto"/>
            </w:tcBorders>
            <w:shd w:val="clear" w:color="000000" w:fill="FFFFFF"/>
            <w:vAlign w:val="center"/>
            <w:hideMark/>
          </w:tcPr>
          <w:p w14:paraId="7F889B8B"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31%</w:t>
            </w:r>
          </w:p>
        </w:tc>
        <w:tc>
          <w:tcPr>
            <w:tcW w:w="1559" w:type="dxa"/>
            <w:tcBorders>
              <w:top w:val="nil"/>
              <w:left w:val="nil"/>
              <w:bottom w:val="single" w:sz="4" w:space="0" w:color="auto"/>
              <w:right w:val="single" w:sz="4" w:space="0" w:color="auto"/>
            </w:tcBorders>
            <w:shd w:val="clear" w:color="000000" w:fill="FFFFFF"/>
            <w:noWrap/>
            <w:vAlign w:val="center"/>
            <w:hideMark/>
          </w:tcPr>
          <w:p w14:paraId="36C42041"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000000" w:fill="FFFFFF"/>
            <w:noWrap/>
            <w:vAlign w:val="center"/>
            <w:hideMark/>
          </w:tcPr>
          <w:p w14:paraId="1D1621B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50%</w:t>
            </w:r>
          </w:p>
        </w:tc>
        <w:tc>
          <w:tcPr>
            <w:tcW w:w="993" w:type="dxa"/>
            <w:tcBorders>
              <w:top w:val="nil"/>
              <w:left w:val="nil"/>
              <w:bottom w:val="single" w:sz="4" w:space="0" w:color="auto"/>
              <w:right w:val="single" w:sz="4" w:space="0" w:color="auto"/>
            </w:tcBorders>
            <w:shd w:val="clear" w:color="000000" w:fill="FFFFFF"/>
            <w:noWrap/>
            <w:vAlign w:val="center"/>
            <w:hideMark/>
          </w:tcPr>
          <w:p w14:paraId="75189450"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70%</w:t>
            </w:r>
          </w:p>
        </w:tc>
        <w:tc>
          <w:tcPr>
            <w:tcW w:w="850" w:type="dxa"/>
            <w:tcBorders>
              <w:top w:val="nil"/>
              <w:left w:val="nil"/>
              <w:bottom w:val="single" w:sz="4" w:space="0" w:color="auto"/>
              <w:right w:val="single" w:sz="4" w:space="0" w:color="auto"/>
            </w:tcBorders>
            <w:shd w:val="clear" w:color="000000" w:fill="FFFFFF"/>
            <w:noWrap/>
            <w:vAlign w:val="center"/>
            <w:hideMark/>
          </w:tcPr>
          <w:p w14:paraId="4AFEC6A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c>
          <w:tcPr>
            <w:tcW w:w="851" w:type="dxa"/>
            <w:tcBorders>
              <w:top w:val="nil"/>
              <w:left w:val="nil"/>
              <w:bottom w:val="single" w:sz="4" w:space="0" w:color="auto"/>
              <w:right w:val="single" w:sz="4" w:space="0" w:color="auto"/>
            </w:tcBorders>
            <w:shd w:val="clear" w:color="000000" w:fill="FFFFFF"/>
            <w:noWrap/>
            <w:vAlign w:val="center"/>
            <w:hideMark/>
          </w:tcPr>
          <w:p w14:paraId="2B181624"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85%</w:t>
            </w:r>
          </w:p>
        </w:tc>
        <w:tc>
          <w:tcPr>
            <w:tcW w:w="992" w:type="dxa"/>
            <w:tcBorders>
              <w:top w:val="nil"/>
              <w:left w:val="nil"/>
              <w:bottom w:val="single" w:sz="4" w:space="0" w:color="auto"/>
              <w:right w:val="single" w:sz="8" w:space="0" w:color="auto"/>
            </w:tcBorders>
            <w:shd w:val="clear" w:color="000000" w:fill="FFFFFF"/>
            <w:noWrap/>
            <w:vAlign w:val="center"/>
            <w:hideMark/>
          </w:tcPr>
          <w:p w14:paraId="5616274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r>
      <w:tr w:rsidR="00974312" w:rsidRPr="00974312" w14:paraId="23139889" w14:textId="77777777" w:rsidTr="00974312">
        <w:trPr>
          <w:trHeight w:val="960"/>
        </w:trPr>
        <w:tc>
          <w:tcPr>
            <w:tcW w:w="2142" w:type="dxa"/>
            <w:gridSpan w:val="2"/>
            <w:vMerge/>
            <w:tcBorders>
              <w:top w:val="nil"/>
              <w:left w:val="single" w:sz="8" w:space="0" w:color="auto"/>
              <w:bottom w:val="single" w:sz="4" w:space="0" w:color="auto"/>
              <w:right w:val="single" w:sz="4" w:space="0" w:color="auto"/>
            </w:tcBorders>
            <w:vAlign w:val="center"/>
            <w:hideMark/>
          </w:tcPr>
          <w:p w14:paraId="651B55FB"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64BE7997"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de jeunes hommes de 15-24 ans ayant eu plus d’un partenaire sexuel au cours des 12 derniers mois et qui déclarent avoir utilisé un préservatif lors de leur dernier rapport sexuel</w:t>
            </w:r>
          </w:p>
        </w:tc>
        <w:tc>
          <w:tcPr>
            <w:tcW w:w="1418" w:type="dxa"/>
            <w:tcBorders>
              <w:top w:val="nil"/>
              <w:left w:val="nil"/>
              <w:bottom w:val="single" w:sz="4" w:space="0" w:color="auto"/>
              <w:right w:val="single" w:sz="4" w:space="0" w:color="auto"/>
            </w:tcBorders>
            <w:shd w:val="clear" w:color="000000" w:fill="FFFFFF"/>
            <w:vAlign w:val="center"/>
            <w:hideMark/>
          </w:tcPr>
          <w:p w14:paraId="7A4B75E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65%</w:t>
            </w:r>
          </w:p>
        </w:tc>
        <w:tc>
          <w:tcPr>
            <w:tcW w:w="1559" w:type="dxa"/>
            <w:tcBorders>
              <w:top w:val="nil"/>
              <w:left w:val="nil"/>
              <w:bottom w:val="single" w:sz="4" w:space="0" w:color="auto"/>
              <w:right w:val="single" w:sz="4" w:space="0" w:color="auto"/>
            </w:tcBorders>
            <w:shd w:val="clear" w:color="000000" w:fill="FFFFFF"/>
            <w:noWrap/>
            <w:vAlign w:val="center"/>
            <w:hideMark/>
          </w:tcPr>
          <w:p w14:paraId="3BF7669A"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ESCOMB, 2017</w:t>
            </w:r>
          </w:p>
        </w:tc>
        <w:tc>
          <w:tcPr>
            <w:tcW w:w="992" w:type="dxa"/>
            <w:tcBorders>
              <w:top w:val="nil"/>
              <w:left w:val="nil"/>
              <w:bottom w:val="single" w:sz="4" w:space="0" w:color="auto"/>
              <w:right w:val="single" w:sz="4" w:space="0" w:color="auto"/>
            </w:tcBorders>
            <w:shd w:val="clear" w:color="000000" w:fill="FFFFFF"/>
            <w:noWrap/>
            <w:vAlign w:val="center"/>
            <w:hideMark/>
          </w:tcPr>
          <w:p w14:paraId="1D27FEA2"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70%</w:t>
            </w:r>
          </w:p>
        </w:tc>
        <w:tc>
          <w:tcPr>
            <w:tcW w:w="993" w:type="dxa"/>
            <w:tcBorders>
              <w:top w:val="nil"/>
              <w:left w:val="nil"/>
              <w:bottom w:val="single" w:sz="4" w:space="0" w:color="auto"/>
              <w:right w:val="single" w:sz="4" w:space="0" w:color="auto"/>
            </w:tcBorders>
            <w:shd w:val="clear" w:color="000000" w:fill="FFFFFF"/>
            <w:noWrap/>
            <w:vAlign w:val="center"/>
            <w:hideMark/>
          </w:tcPr>
          <w:p w14:paraId="22605AC7"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c>
          <w:tcPr>
            <w:tcW w:w="850" w:type="dxa"/>
            <w:tcBorders>
              <w:top w:val="nil"/>
              <w:left w:val="nil"/>
              <w:bottom w:val="single" w:sz="4" w:space="0" w:color="auto"/>
              <w:right w:val="single" w:sz="4" w:space="0" w:color="auto"/>
            </w:tcBorders>
            <w:shd w:val="clear" w:color="000000" w:fill="FFFFFF"/>
            <w:noWrap/>
            <w:vAlign w:val="center"/>
            <w:hideMark/>
          </w:tcPr>
          <w:p w14:paraId="65875A8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85%</w:t>
            </w:r>
          </w:p>
        </w:tc>
        <w:tc>
          <w:tcPr>
            <w:tcW w:w="851" w:type="dxa"/>
            <w:tcBorders>
              <w:top w:val="nil"/>
              <w:left w:val="nil"/>
              <w:bottom w:val="single" w:sz="4" w:space="0" w:color="auto"/>
              <w:right w:val="single" w:sz="4" w:space="0" w:color="auto"/>
            </w:tcBorders>
            <w:shd w:val="clear" w:color="000000" w:fill="FFFFFF"/>
            <w:noWrap/>
            <w:vAlign w:val="center"/>
            <w:hideMark/>
          </w:tcPr>
          <w:p w14:paraId="14A9163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c>
          <w:tcPr>
            <w:tcW w:w="992" w:type="dxa"/>
            <w:tcBorders>
              <w:top w:val="nil"/>
              <w:left w:val="nil"/>
              <w:bottom w:val="single" w:sz="4" w:space="0" w:color="auto"/>
              <w:right w:val="single" w:sz="8" w:space="0" w:color="auto"/>
            </w:tcBorders>
            <w:shd w:val="clear" w:color="000000" w:fill="FFFFFF"/>
            <w:noWrap/>
            <w:vAlign w:val="center"/>
            <w:hideMark/>
          </w:tcPr>
          <w:p w14:paraId="35C6B4D1"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95%</w:t>
            </w:r>
          </w:p>
        </w:tc>
      </w:tr>
      <w:tr w:rsidR="00974312" w:rsidRPr="00974312" w14:paraId="33F7FBF2" w14:textId="77777777" w:rsidTr="00974312">
        <w:trPr>
          <w:trHeight w:val="320"/>
        </w:trPr>
        <w:tc>
          <w:tcPr>
            <w:tcW w:w="2142" w:type="dxa"/>
            <w:gridSpan w:val="2"/>
            <w:vMerge w:val="restart"/>
            <w:tcBorders>
              <w:top w:val="nil"/>
              <w:left w:val="single" w:sz="8" w:space="0" w:color="auto"/>
              <w:bottom w:val="single" w:sz="4" w:space="0" w:color="auto"/>
              <w:right w:val="single" w:sz="4" w:space="0" w:color="auto"/>
            </w:tcBorders>
            <w:shd w:val="clear" w:color="000000" w:fill="E7E6E6"/>
            <w:vAlign w:val="center"/>
            <w:hideMark/>
          </w:tcPr>
          <w:p w14:paraId="41CF74BE" w14:textId="77777777" w:rsidR="00974312" w:rsidRPr="00974312" w:rsidRDefault="00974312">
            <w:pPr>
              <w:rPr>
                <w:rFonts w:asciiTheme="minorHAnsi" w:hAnsiTheme="minorHAnsi"/>
                <w:b/>
                <w:bCs/>
                <w:color w:val="000000"/>
                <w:sz w:val="18"/>
                <w:szCs w:val="18"/>
              </w:rPr>
            </w:pPr>
            <w:r w:rsidRPr="00974312">
              <w:rPr>
                <w:rFonts w:asciiTheme="minorHAnsi" w:hAnsiTheme="minorHAnsi"/>
                <w:b/>
                <w:bCs/>
                <w:color w:val="000000"/>
                <w:sz w:val="18"/>
                <w:szCs w:val="18"/>
              </w:rPr>
              <w:t>Effet 1.3-la transmission sanguine du VIH est éliminée (risque=0%) pendant la période 2018-2022</w:t>
            </w:r>
          </w:p>
        </w:tc>
        <w:tc>
          <w:tcPr>
            <w:tcW w:w="4652" w:type="dxa"/>
            <w:tcBorders>
              <w:top w:val="nil"/>
              <w:left w:val="nil"/>
              <w:bottom w:val="single" w:sz="4" w:space="0" w:color="auto"/>
              <w:right w:val="single" w:sz="4" w:space="0" w:color="auto"/>
            </w:tcBorders>
            <w:shd w:val="clear" w:color="000000" w:fill="FFFFFF"/>
            <w:vAlign w:val="center"/>
            <w:hideMark/>
          </w:tcPr>
          <w:p w14:paraId="4EBE86F9"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de séropositivité au VIH parmi les donneurs de sang</w:t>
            </w:r>
          </w:p>
        </w:tc>
        <w:tc>
          <w:tcPr>
            <w:tcW w:w="1418" w:type="dxa"/>
            <w:tcBorders>
              <w:top w:val="nil"/>
              <w:left w:val="nil"/>
              <w:bottom w:val="single" w:sz="4" w:space="0" w:color="auto"/>
              <w:right w:val="single" w:sz="4" w:space="0" w:color="auto"/>
            </w:tcBorders>
            <w:shd w:val="clear" w:color="000000" w:fill="FFFFFF"/>
            <w:vAlign w:val="center"/>
            <w:hideMark/>
          </w:tcPr>
          <w:p w14:paraId="7E4CD226"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3,15%</w:t>
            </w:r>
          </w:p>
        </w:tc>
        <w:tc>
          <w:tcPr>
            <w:tcW w:w="1559" w:type="dxa"/>
            <w:tcBorders>
              <w:top w:val="nil"/>
              <w:left w:val="nil"/>
              <w:bottom w:val="single" w:sz="4" w:space="0" w:color="auto"/>
              <w:right w:val="single" w:sz="4" w:space="0" w:color="auto"/>
            </w:tcBorders>
            <w:shd w:val="clear" w:color="000000" w:fill="FFFFFF"/>
            <w:vAlign w:val="center"/>
            <w:hideMark/>
          </w:tcPr>
          <w:p w14:paraId="6426F7E2"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Données CNTS 2017</w:t>
            </w:r>
          </w:p>
        </w:tc>
        <w:tc>
          <w:tcPr>
            <w:tcW w:w="992" w:type="dxa"/>
            <w:tcBorders>
              <w:top w:val="nil"/>
              <w:left w:val="nil"/>
              <w:bottom w:val="single" w:sz="4" w:space="0" w:color="auto"/>
              <w:right w:val="single" w:sz="4" w:space="0" w:color="auto"/>
            </w:tcBorders>
            <w:shd w:val="clear" w:color="000000" w:fill="FFFFFF"/>
            <w:vAlign w:val="center"/>
            <w:hideMark/>
          </w:tcPr>
          <w:p w14:paraId="4600918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3%</w:t>
            </w:r>
          </w:p>
        </w:tc>
        <w:tc>
          <w:tcPr>
            <w:tcW w:w="993" w:type="dxa"/>
            <w:tcBorders>
              <w:top w:val="nil"/>
              <w:left w:val="nil"/>
              <w:bottom w:val="single" w:sz="4" w:space="0" w:color="auto"/>
              <w:right w:val="single" w:sz="4" w:space="0" w:color="auto"/>
            </w:tcBorders>
            <w:shd w:val="clear" w:color="000000" w:fill="FFFFFF"/>
            <w:vAlign w:val="center"/>
            <w:hideMark/>
          </w:tcPr>
          <w:p w14:paraId="1EDB2476"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w:t>
            </w:r>
          </w:p>
        </w:tc>
        <w:tc>
          <w:tcPr>
            <w:tcW w:w="850" w:type="dxa"/>
            <w:tcBorders>
              <w:top w:val="nil"/>
              <w:left w:val="nil"/>
              <w:bottom w:val="single" w:sz="4" w:space="0" w:color="auto"/>
              <w:right w:val="single" w:sz="4" w:space="0" w:color="auto"/>
            </w:tcBorders>
            <w:shd w:val="clear" w:color="000000" w:fill="FFFFFF"/>
            <w:vAlign w:val="center"/>
            <w:hideMark/>
          </w:tcPr>
          <w:p w14:paraId="58127C7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w:t>
            </w:r>
          </w:p>
        </w:tc>
        <w:tc>
          <w:tcPr>
            <w:tcW w:w="851" w:type="dxa"/>
            <w:tcBorders>
              <w:top w:val="nil"/>
              <w:left w:val="nil"/>
              <w:bottom w:val="single" w:sz="4" w:space="0" w:color="auto"/>
              <w:right w:val="single" w:sz="4" w:space="0" w:color="auto"/>
            </w:tcBorders>
            <w:shd w:val="clear" w:color="000000" w:fill="FFFFFF"/>
            <w:vAlign w:val="center"/>
            <w:hideMark/>
          </w:tcPr>
          <w:p w14:paraId="583E950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w:t>
            </w:r>
          </w:p>
        </w:tc>
        <w:tc>
          <w:tcPr>
            <w:tcW w:w="992" w:type="dxa"/>
            <w:tcBorders>
              <w:top w:val="nil"/>
              <w:left w:val="nil"/>
              <w:bottom w:val="single" w:sz="4" w:space="0" w:color="auto"/>
              <w:right w:val="single" w:sz="8" w:space="0" w:color="auto"/>
            </w:tcBorders>
            <w:shd w:val="clear" w:color="000000" w:fill="FFFFFF"/>
            <w:vAlign w:val="center"/>
            <w:hideMark/>
          </w:tcPr>
          <w:p w14:paraId="73E85B00"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w:t>
            </w:r>
          </w:p>
        </w:tc>
      </w:tr>
      <w:tr w:rsidR="00974312" w:rsidRPr="00974312" w14:paraId="3EEFE1B1" w14:textId="77777777" w:rsidTr="00974312">
        <w:trPr>
          <w:trHeight w:val="760"/>
        </w:trPr>
        <w:tc>
          <w:tcPr>
            <w:tcW w:w="2142" w:type="dxa"/>
            <w:gridSpan w:val="2"/>
            <w:vMerge/>
            <w:tcBorders>
              <w:top w:val="nil"/>
              <w:left w:val="single" w:sz="8" w:space="0" w:color="auto"/>
              <w:bottom w:val="single" w:sz="4" w:space="0" w:color="auto"/>
              <w:right w:val="single" w:sz="4" w:space="0" w:color="auto"/>
            </w:tcBorders>
            <w:vAlign w:val="center"/>
            <w:hideMark/>
          </w:tcPr>
          <w:p w14:paraId="4B8950F3"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6DF3528A"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de séropositivité à l'hépatite parmi les donneurs de sang</w:t>
            </w:r>
          </w:p>
        </w:tc>
        <w:tc>
          <w:tcPr>
            <w:tcW w:w="1418" w:type="dxa"/>
            <w:tcBorders>
              <w:top w:val="nil"/>
              <w:left w:val="nil"/>
              <w:bottom w:val="single" w:sz="4" w:space="0" w:color="auto"/>
              <w:right w:val="single" w:sz="4" w:space="0" w:color="auto"/>
            </w:tcBorders>
            <w:shd w:val="clear" w:color="000000" w:fill="FFFFFF"/>
            <w:vAlign w:val="center"/>
            <w:hideMark/>
          </w:tcPr>
          <w:p w14:paraId="2AB2774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w:t>
            </w:r>
          </w:p>
        </w:tc>
        <w:tc>
          <w:tcPr>
            <w:tcW w:w="1559" w:type="dxa"/>
            <w:tcBorders>
              <w:top w:val="nil"/>
              <w:left w:val="nil"/>
              <w:bottom w:val="single" w:sz="4" w:space="0" w:color="auto"/>
              <w:right w:val="single" w:sz="4" w:space="0" w:color="auto"/>
            </w:tcBorders>
            <w:shd w:val="clear" w:color="000000" w:fill="FFFFFF"/>
            <w:vAlign w:val="center"/>
            <w:hideMark/>
          </w:tcPr>
          <w:p w14:paraId="1B970ECD" w14:textId="16558887" w:rsidR="00974312" w:rsidRPr="00974312" w:rsidRDefault="006B057F">
            <w:pPr>
              <w:rPr>
                <w:rFonts w:asciiTheme="minorHAnsi" w:hAnsiTheme="minorHAnsi"/>
                <w:color w:val="000000"/>
                <w:sz w:val="18"/>
                <w:szCs w:val="18"/>
              </w:rPr>
            </w:pPr>
            <w:r>
              <w:rPr>
                <w:rFonts w:asciiTheme="minorHAnsi" w:hAnsiTheme="minorHAnsi"/>
                <w:color w:val="000000"/>
                <w:sz w:val="18"/>
                <w:szCs w:val="18"/>
              </w:rPr>
              <w:t xml:space="preserve">Rapport PNLSH </w:t>
            </w:r>
            <w:r w:rsidR="00974312" w:rsidRPr="00974312">
              <w:rPr>
                <w:rFonts w:asciiTheme="minorHAnsi" w:hAnsiTheme="minorHAnsi"/>
                <w:color w:val="000000"/>
                <w:sz w:val="18"/>
                <w:szCs w:val="18"/>
              </w:rPr>
              <w:t>2015</w:t>
            </w:r>
          </w:p>
        </w:tc>
        <w:tc>
          <w:tcPr>
            <w:tcW w:w="992" w:type="dxa"/>
            <w:tcBorders>
              <w:top w:val="nil"/>
              <w:left w:val="nil"/>
              <w:bottom w:val="single" w:sz="4" w:space="0" w:color="auto"/>
              <w:right w:val="single" w:sz="4" w:space="0" w:color="auto"/>
            </w:tcBorders>
            <w:shd w:val="clear" w:color="000000" w:fill="FFFFFF"/>
            <w:vAlign w:val="center"/>
            <w:hideMark/>
          </w:tcPr>
          <w:p w14:paraId="0D1F9BC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w:t>
            </w:r>
          </w:p>
        </w:tc>
        <w:tc>
          <w:tcPr>
            <w:tcW w:w="993" w:type="dxa"/>
            <w:tcBorders>
              <w:top w:val="nil"/>
              <w:left w:val="nil"/>
              <w:bottom w:val="single" w:sz="4" w:space="0" w:color="auto"/>
              <w:right w:val="single" w:sz="4" w:space="0" w:color="auto"/>
            </w:tcBorders>
            <w:shd w:val="clear" w:color="000000" w:fill="FFFFFF"/>
            <w:vAlign w:val="center"/>
            <w:hideMark/>
          </w:tcPr>
          <w:p w14:paraId="10A8CC56"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w:t>
            </w:r>
          </w:p>
        </w:tc>
        <w:tc>
          <w:tcPr>
            <w:tcW w:w="850" w:type="dxa"/>
            <w:tcBorders>
              <w:top w:val="nil"/>
              <w:left w:val="nil"/>
              <w:bottom w:val="single" w:sz="4" w:space="0" w:color="auto"/>
              <w:right w:val="single" w:sz="4" w:space="0" w:color="auto"/>
            </w:tcBorders>
            <w:shd w:val="clear" w:color="000000" w:fill="FFFFFF"/>
            <w:vAlign w:val="center"/>
            <w:hideMark/>
          </w:tcPr>
          <w:p w14:paraId="36B3AFF2"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w:t>
            </w:r>
          </w:p>
        </w:tc>
        <w:tc>
          <w:tcPr>
            <w:tcW w:w="851" w:type="dxa"/>
            <w:tcBorders>
              <w:top w:val="nil"/>
              <w:left w:val="nil"/>
              <w:bottom w:val="single" w:sz="4" w:space="0" w:color="auto"/>
              <w:right w:val="single" w:sz="4" w:space="0" w:color="auto"/>
            </w:tcBorders>
            <w:shd w:val="clear" w:color="000000" w:fill="FFFFFF"/>
            <w:vAlign w:val="center"/>
            <w:hideMark/>
          </w:tcPr>
          <w:p w14:paraId="2671B34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w:t>
            </w:r>
          </w:p>
        </w:tc>
        <w:tc>
          <w:tcPr>
            <w:tcW w:w="992" w:type="dxa"/>
            <w:tcBorders>
              <w:top w:val="nil"/>
              <w:left w:val="nil"/>
              <w:bottom w:val="single" w:sz="4" w:space="0" w:color="auto"/>
              <w:right w:val="single" w:sz="8" w:space="0" w:color="auto"/>
            </w:tcBorders>
            <w:shd w:val="clear" w:color="000000" w:fill="FFFFFF"/>
            <w:vAlign w:val="center"/>
            <w:hideMark/>
          </w:tcPr>
          <w:p w14:paraId="72F8696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5%</w:t>
            </w:r>
          </w:p>
        </w:tc>
      </w:tr>
      <w:tr w:rsidR="00974312" w:rsidRPr="00974312" w14:paraId="6AACB6EF" w14:textId="77777777" w:rsidTr="00974312">
        <w:trPr>
          <w:trHeight w:val="640"/>
        </w:trPr>
        <w:tc>
          <w:tcPr>
            <w:tcW w:w="2142" w:type="dxa"/>
            <w:gridSpan w:val="2"/>
            <w:vMerge w:val="restart"/>
            <w:tcBorders>
              <w:top w:val="nil"/>
              <w:left w:val="single" w:sz="8" w:space="0" w:color="auto"/>
              <w:bottom w:val="single" w:sz="4" w:space="0" w:color="auto"/>
              <w:right w:val="single" w:sz="4" w:space="0" w:color="auto"/>
            </w:tcBorders>
            <w:shd w:val="clear" w:color="000000" w:fill="E7E6E6"/>
            <w:vAlign w:val="center"/>
            <w:hideMark/>
          </w:tcPr>
          <w:p w14:paraId="13B21E57" w14:textId="77777777" w:rsidR="00974312" w:rsidRPr="00974312" w:rsidRDefault="00974312">
            <w:pPr>
              <w:rPr>
                <w:rFonts w:asciiTheme="minorHAnsi" w:hAnsiTheme="minorHAnsi"/>
                <w:b/>
                <w:bCs/>
                <w:color w:val="000000"/>
                <w:sz w:val="18"/>
                <w:szCs w:val="18"/>
              </w:rPr>
            </w:pPr>
            <w:r w:rsidRPr="00974312">
              <w:rPr>
                <w:rFonts w:asciiTheme="minorHAnsi" w:hAnsiTheme="minorHAnsi"/>
                <w:b/>
                <w:bCs/>
                <w:color w:val="000000"/>
                <w:sz w:val="18"/>
                <w:szCs w:val="18"/>
              </w:rPr>
              <w:t>Effet 1.4- Le taux de transmission du VIH de la mère à l’enfant est réduit à moins de 5%</w:t>
            </w:r>
          </w:p>
        </w:tc>
        <w:tc>
          <w:tcPr>
            <w:tcW w:w="4652" w:type="dxa"/>
            <w:tcBorders>
              <w:top w:val="nil"/>
              <w:left w:val="nil"/>
              <w:bottom w:val="single" w:sz="4" w:space="0" w:color="auto"/>
              <w:right w:val="single" w:sz="4" w:space="0" w:color="auto"/>
            </w:tcBorders>
            <w:shd w:val="clear" w:color="000000" w:fill="FFFFFF"/>
            <w:vAlign w:val="center"/>
            <w:hideMark/>
          </w:tcPr>
          <w:p w14:paraId="3342BDAF"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de femmes enceintes séropositives au VIH ayant reçues des ARV durant leur grossesse</w:t>
            </w:r>
          </w:p>
        </w:tc>
        <w:tc>
          <w:tcPr>
            <w:tcW w:w="1418" w:type="dxa"/>
            <w:tcBorders>
              <w:top w:val="nil"/>
              <w:left w:val="nil"/>
              <w:bottom w:val="single" w:sz="4" w:space="0" w:color="auto"/>
              <w:right w:val="single" w:sz="4" w:space="0" w:color="auto"/>
            </w:tcBorders>
            <w:shd w:val="clear" w:color="000000" w:fill="FFFFFF"/>
            <w:vAlign w:val="center"/>
            <w:hideMark/>
          </w:tcPr>
          <w:p w14:paraId="2273A064"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42,25%</w:t>
            </w:r>
          </w:p>
        </w:tc>
        <w:tc>
          <w:tcPr>
            <w:tcW w:w="1559" w:type="dxa"/>
            <w:tcBorders>
              <w:top w:val="nil"/>
              <w:left w:val="nil"/>
              <w:bottom w:val="single" w:sz="4" w:space="0" w:color="auto"/>
              <w:right w:val="single" w:sz="4" w:space="0" w:color="auto"/>
            </w:tcBorders>
            <w:shd w:val="clear" w:color="000000" w:fill="FFFFFF"/>
            <w:vAlign w:val="center"/>
            <w:hideMark/>
          </w:tcPr>
          <w:p w14:paraId="48DCF08C"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Données programme, fin 2017</w:t>
            </w:r>
          </w:p>
        </w:tc>
        <w:tc>
          <w:tcPr>
            <w:tcW w:w="992" w:type="dxa"/>
            <w:tcBorders>
              <w:top w:val="nil"/>
              <w:left w:val="nil"/>
              <w:bottom w:val="single" w:sz="4" w:space="0" w:color="auto"/>
              <w:right w:val="single" w:sz="4" w:space="0" w:color="auto"/>
            </w:tcBorders>
            <w:shd w:val="clear" w:color="000000" w:fill="FFFFFF"/>
            <w:vAlign w:val="center"/>
            <w:hideMark/>
          </w:tcPr>
          <w:p w14:paraId="5F050AFE"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60%</w:t>
            </w:r>
          </w:p>
        </w:tc>
        <w:tc>
          <w:tcPr>
            <w:tcW w:w="993" w:type="dxa"/>
            <w:tcBorders>
              <w:top w:val="nil"/>
              <w:left w:val="nil"/>
              <w:bottom w:val="single" w:sz="4" w:space="0" w:color="auto"/>
              <w:right w:val="single" w:sz="4" w:space="0" w:color="auto"/>
            </w:tcBorders>
            <w:shd w:val="clear" w:color="000000" w:fill="FFFFFF"/>
            <w:vAlign w:val="center"/>
            <w:hideMark/>
          </w:tcPr>
          <w:p w14:paraId="5F838DD6"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65%</w:t>
            </w:r>
          </w:p>
        </w:tc>
        <w:tc>
          <w:tcPr>
            <w:tcW w:w="850" w:type="dxa"/>
            <w:tcBorders>
              <w:top w:val="nil"/>
              <w:left w:val="nil"/>
              <w:bottom w:val="single" w:sz="4" w:space="0" w:color="auto"/>
              <w:right w:val="single" w:sz="4" w:space="0" w:color="auto"/>
            </w:tcBorders>
            <w:shd w:val="clear" w:color="000000" w:fill="FFFFFF"/>
            <w:vAlign w:val="center"/>
            <w:hideMark/>
          </w:tcPr>
          <w:p w14:paraId="54E5233B"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70%</w:t>
            </w:r>
          </w:p>
        </w:tc>
        <w:tc>
          <w:tcPr>
            <w:tcW w:w="851" w:type="dxa"/>
            <w:tcBorders>
              <w:top w:val="nil"/>
              <w:left w:val="nil"/>
              <w:bottom w:val="single" w:sz="4" w:space="0" w:color="auto"/>
              <w:right w:val="single" w:sz="4" w:space="0" w:color="auto"/>
            </w:tcBorders>
            <w:shd w:val="clear" w:color="000000" w:fill="FFFFFF"/>
            <w:vAlign w:val="center"/>
            <w:hideMark/>
          </w:tcPr>
          <w:p w14:paraId="75857C20"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c>
          <w:tcPr>
            <w:tcW w:w="992" w:type="dxa"/>
            <w:tcBorders>
              <w:top w:val="nil"/>
              <w:left w:val="nil"/>
              <w:bottom w:val="single" w:sz="4" w:space="0" w:color="auto"/>
              <w:right w:val="single" w:sz="8" w:space="0" w:color="auto"/>
            </w:tcBorders>
            <w:shd w:val="clear" w:color="000000" w:fill="FFFFFF"/>
            <w:vAlign w:val="center"/>
            <w:hideMark/>
          </w:tcPr>
          <w:p w14:paraId="1CF7D4D5"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r>
      <w:tr w:rsidR="00974312" w:rsidRPr="00974312" w14:paraId="19D3B98C" w14:textId="77777777" w:rsidTr="00974312">
        <w:trPr>
          <w:trHeight w:val="640"/>
        </w:trPr>
        <w:tc>
          <w:tcPr>
            <w:tcW w:w="2142" w:type="dxa"/>
            <w:gridSpan w:val="2"/>
            <w:vMerge/>
            <w:tcBorders>
              <w:top w:val="nil"/>
              <w:left w:val="single" w:sz="8" w:space="0" w:color="auto"/>
              <w:bottom w:val="single" w:sz="4" w:space="0" w:color="auto"/>
              <w:right w:val="single" w:sz="4" w:space="0" w:color="auto"/>
            </w:tcBorders>
            <w:vAlign w:val="center"/>
            <w:hideMark/>
          </w:tcPr>
          <w:p w14:paraId="7EF2DA91"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45B7F485"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de nourrissons exposés au VIH ayant bénéficié d'un dépistage du VIH dans les 2 mois qui ont suivi leur naissance</w:t>
            </w:r>
          </w:p>
        </w:tc>
        <w:tc>
          <w:tcPr>
            <w:tcW w:w="1418" w:type="dxa"/>
            <w:tcBorders>
              <w:top w:val="nil"/>
              <w:left w:val="nil"/>
              <w:bottom w:val="single" w:sz="4" w:space="0" w:color="auto"/>
              <w:right w:val="single" w:sz="4" w:space="0" w:color="auto"/>
            </w:tcBorders>
            <w:shd w:val="clear" w:color="000000" w:fill="FFFFFF"/>
            <w:vAlign w:val="center"/>
            <w:hideMark/>
          </w:tcPr>
          <w:p w14:paraId="3D2C784B"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12,81%</w:t>
            </w:r>
          </w:p>
        </w:tc>
        <w:tc>
          <w:tcPr>
            <w:tcW w:w="1559" w:type="dxa"/>
            <w:tcBorders>
              <w:top w:val="nil"/>
              <w:left w:val="nil"/>
              <w:bottom w:val="single" w:sz="4" w:space="0" w:color="auto"/>
              <w:right w:val="single" w:sz="4" w:space="0" w:color="auto"/>
            </w:tcBorders>
            <w:shd w:val="clear" w:color="000000" w:fill="FFFFFF"/>
            <w:vAlign w:val="center"/>
            <w:hideMark/>
          </w:tcPr>
          <w:p w14:paraId="6E0FB740"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Données programme, fin 2017</w:t>
            </w:r>
          </w:p>
        </w:tc>
        <w:tc>
          <w:tcPr>
            <w:tcW w:w="992" w:type="dxa"/>
            <w:tcBorders>
              <w:top w:val="nil"/>
              <w:left w:val="nil"/>
              <w:bottom w:val="single" w:sz="4" w:space="0" w:color="auto"/>
              <w:right w:val="single" w:sz="4" w:space="0" w:color="auto"/>
            </w:tcBorders>
            <w:shd w:val="clear" w:color="000000" w:fill="FFFFFF"/>
            <w:vAlign w:val="center"/>
            <w:hideMark/>
          </w:tcPr>
          <w:p w14:paraId="6BF60291"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30%</w:t>
            </w:r>
          </w:p>
        </w:tc>
        <w:tc>
          <w:tcPr>
            <w:tcW w:w="993" w:type="dxa"/>
            <w:tcBorders>
              <w:top w:val="nil"/>
              <w:left w:val="nil"/>
              <w:bottom w:val="single" w:sz="4" w:space="0" w:color="auto"/>
              <w:right w:val="single" w:sz="4" w:space="0" w:color="auto"/>
            </w:tcBorders>
            <w:shd w:val="clear" w:color="000000" w:fill="FFFFFF"/>
            <w:vAlign w:val="center"/>
            <w:hideMark/>
          </w:tcPr>
          <w:p w14:paraId="57CD594E"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50%</w:t>
            </w:r>
          </w:p>
        </w:tc>
        <w:tc>
          <w:tcPr>
            <w:tcW w:w="850" w:type="dxa"/>
            <w:tcBorders>
              <w:top w:val="nil"/>
              <w:left w:val="nil"/>
              <w:bottom w:val="single" w:sz="4" w:space="0" w:color="auto"/>
              <w:right w:val="single" w:sz="4" w:space="0" w:color="auto"/>
            </w:tcBorders>
            <w:shd w:val="clear" w:color="000000" w:fill="FFFFFF"/>
            <w:vAlign w:val="center"/>
            <w:hideMark/>
          </w:tcPr>
          <w:p w14:paraId="7BE7DD1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60%</w:t>
            </w:r>
          </w:p>
        </w:tc>
        <w:tc>
          <w:tcPr>
            <w:tcW w:w="851" w:type="dxa"/>
            <w:tcBorders>
              <w:top w:val="nil"/>
              <w:left w:val="nil"/>
              <w:bottom w:val="single" w:sz="4" w:space="0" w:color="auto"/>
              <w:right w:val="single" w:sz="4" w:space="0" w:color="auto"/>
            </w:tcBorders>
            <w:shd w:val="clear" w:color="000000" w:fill="FFFFFF"/>
            <w:vAlign w:val="center"/>
            <w:hideMark/>
          </w:tcPr>
          <w:p w14:paraId="091916A5"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70%</w:t>
            </w:r>
          </w:p>
        </w:tc>
        <w:tc>
          <w:tcPr>
            <w:tcW w:w="992" w:type="dxa"/>
            <w:tcBorders>
              <w:top w:val="nil"/>
              <w:left w:val="nil"/>
              <w:bottom w:val="single" w:sz="4" w:space="0" w:color="auto"/>
              <w:right w:val="single" w:sz="8" w:space="0" w:color="auto"/>
            </w:tcBorders>
            <w:shd w:val="clear" w:color="000000" w:fill="FFFFFF"/>
            <w:vAlign w:val="center"/>
            <w:hideMark/>
          </w:tcPr>
          <w:p w14:paraId="22866B6B"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r>
      <w:tr w:rsidR="00974312" w:rsidRPr="00974312" w14:paraId="6603131C" w14:textId="77777777" w:rsidTr="00974312">
        <w:trPr>
          <w:trHeight w:val="640"/>
        </w:trPr>
        <w:tc>
          <w:tcPr>
            <w:tcW w:w="2142" w:type="dxa"/>
            <w:gridSpan w:val="2"/>
            <w:vMerge/>
            <w:tcBorders>
              <w:top w:val="nil"/>
              <w:left w:val="single" w:sz="8" w:space="0" w:color="auto"/>
              <w:bottom w:val="single" w:sz="4" w:space="0" w:color="auto"/>
              <w:right w:val="single" w:sz="4" w:space="0" w:color="auto"/>
            </w:tcBorders>
            <w:vAlign w:val="center"/>
            <w:hideMark/>
          </w:tcPr>
          <w:p w14:paraId="6A81E2E2"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13E9ECB1"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Estimation du pourcentage d'infections à VIH parmi les enfants de femmes séropositives au VIH ayant accouché au cours des 12 derniers mois</w:t>
            </w:r>
          </w:p>
        </w:tc>
        <w:tc>
          <w:tcPr>
            <w:tcW w:w="1418" w:type="dxa"/>
            <w:tcBorders>
              <w:top w:val="nil"/>
              <w:left w:val="nil"/>
              <w:bottom w:val="single" w:sz="4" w:space="0" w:color="auto"/>
              <w:right w:val="single" w:sz="4" w:space="0" w:color="auto"/>
            </w:tcBorders>
            <w:shd w:val="clear" w:color="000000" w:fill="FFFFFF"/>
            <w:vAlign w:val="center"/>
            <w:hideMark/>
          </w:tcPr>
          <w:p w14:paraId="102A0E0E"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8,98%</w:t>
            </w:r>
          </w:p>
        </w:tc>
        <w:tc>
          <w:tcPr>
            <w:tcW w:w="1559" w:type="dxa"/>
            <w:tcBorders>
              <w:top w:val="nil"/>
              <w:left w:val="nil"/>
              <w:bottom w:val="single" w:sz="4" w:space="0" w:color="auto"/>
              <w:right w:val="single" w:sz="4" w:space="0" w:color="auto"/>
            </w:tcBorders>
            <w:shd w:val="clear" w:color="000000" w:fill="FFFFFF"/>
            <w:vAlign w:val="center"/>
            <w:hideMark/>
          </w:tcPr>
          <w:p w14:paraId="3869FB10"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Données programme, fin 2017</w:t>
            </w:r>
          </w:p>
        </w:tc>
        <w:tc>
          <w:tcPr>
            <w:tcW w:w="992" w:type="dxa"/>
            <w:tcBorders>
              <w:top w:val="nil"/>
              <w:left w:val="nil"/>
              <w:bottom w:val="single" w:sz="4" w:space="0" w:color="auto"/>
              <w:right w:val="single" w:sz="4" w:space="0" w:color="auto"/>
            </w:tcBorders>
            <w:shd w:val="clear" w:color="000000" w:fill="FFFFFF"/>
            <w:vAlign w:val="center"/>
            <w:hideMark/>
          </w:tcPr>
          <w:p w14:paraId="54D175B2"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11%</w:t>
            </w:r>
          </w:p>
        </w:tc>
        <w:tc>
          <w:tcPr>
            <w:tcW w:w="993" w:type="dxa"/>
            <w:tcBorders>
              <w:top w:val="nil"/>
              <w:left w:val="nil"/>
              <w:bottom w:val="single" w:sz="4" w:space="0" w:color="auto"/>
              <w:right w:val="single" w:sz="4" w:space="0" w:color="auto"/>
            </w:tcBorders>
            <w:shd w:val="clear" w:color="000000" w:fill="FFFFFF"/>
            <w:vAlign w:val="center"/>
            <w:hideMark/>
          </w:tcPr>
          <w:p w14:paraId="029D0230"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w:t>
            </w:r>
          </w:p>
        </w:tc>
        <w:tc>
          <w:tcPr>
            <w:tcW w:w="850" w:type="dxa"/>
            <w:tcBorders>
              <w:top w:val="nil"/>
              <w:left w:val="nil"/>
              <w:bottom w:val="single" w:sz="4" w:space="0" w:color="auto"/>
              <w:right w:val="single" w:sz="4" w:space="0" w:color="auto"/>
            </w:tcBorders>
            <w:shd w:val="clear" w:color="000000" w:fill="FFFFFF"/>
            <w:vAlign w:val="center"/>
            <w:hideMark/>
          </w:tcPr>
          <w:p w14:paraId="5C699AB7"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w:t>
            </w:r>
          </w:p>
        </w:tc>
        <w:tc>
          <w:tcPr>
            <w:tcW w:w="851" w:type="dxa"/>
            <w:tcBorders>
              <w:top w:val="nil"/>
              <w:left w:val="nil"/>
              <w:bottom w:val="single" w:sz="4" w:space="0" w:color="auto"/>
              <w:right w:val="single" w:sz="4" w:space="0" w:color="auto"/>
            </w:tcBorders>
            <w:shd w:val="clear" w:color="000000" w:fill="FFFFFF"/>
            <w:vAlign w:val="center"/>
            <w:hideMark/>
          </w:tcPr>
          <w:p w14:paraId="5A614FE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w:t>
            </w:r>
          </w:p>
        </w:tc>
        <w:tc>
          <w:tcPr>
            <w:tcW w:w="992" w:type="dxa"/>
            <w:tcBorders>
              <w:top w:val="nil"/>
              <w:left w:val="nil"/>
              <w:bottom w:val="single" w:sz="4" w:space="0" w:color="auto"/>
              <w:right w:val="single" w:sz="8" w:space="0" w:color="auto"/>
            </w:tcBorders>
            <w:shd w:val="clear" w:color="000000" w:fill="FFFFFF"/>
            <w:vAlign w:val="center"/>
            <w:hideMark/>
          </w:tcPr>
          <w:p w14:paraId="624401B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4%</w:t>
            </w:r>
          </w:p>
        </w:tc>
      </w:tr>
      <w:tr w:rsidR="00195113" w:rsidRPr="00974312" w14:paraId="42B1DAA3" w14:textId="77777777" w:rsidTr="00040E49">
        <w:trPr>
          <w:trHeight w:val="274"/>
        </w:trPr>
        <w:tc>
          <w:tcPr>
            <w:tcW w:w="2142" w:type="dxa"/>
            <w:gridSpan w:val="2"/>
            <w:vMerge w:val="restart"/>
            <w:tcBorders>
              <w:top w:val="nil"/>
              <w:left w:val="single" w:sz="8" w:space="0" w:color="auto"/>
              <w:right w:val="single" w:sz="4" w:space="0" w:color="auto"/>
            </w:tcBorders>
            <w:shd w:val="clear" w:color="000000" w:fill="E7E6E6"/>
            <w:vAlign w:val="center"/>
            <w:hideMark/>
          </w:tcPr>
          <w:p w14:paraId="1F011182" w14:textId="77777777" w:rsidR="00195113" w:rsidRPr="00974312" w:rsidRDefault="00195113">
            <w:pPr>
              <w:rPr>
                <w:rFonts w:asciiTheme="minorHAnsi" w:hAnsiTheme="minorHAnsi"/>
                <w:b/>
                <w:bCs/>
                <w:color w:val="000000"/>
                <w:sz w:val="18"/>
                <w:szCs w:val="18"/>
              </w:rPr>
            </w:pPr>
            <w:r w:rsidRPr="00974312">
              <w:rPr>
                <w:rFonts w:asciiTheme="minorHAnsi" w:hAnsiTheme="minorHAnsi"/>
                <w:b/>
                <w:bCs/>
                <w:color w:val="000000"/>
                <w:sz w:val="18"/>
                <w:szCs w:val="18"/>
              </w:rPr>
              <w:t>Effet 2.1-75% des adultes et enfants vivant avec le VIH bénéficient d’une prise en charge médicale, psychologique, sociale de qualité d’ici à 2022</w:t>
            </w:r>
          </w:p>
        </w:tc>
        <w:tc>
          <w:tcPr>
            <w:tcW w:w="4652" w:type="dxa"/>
            <w:tcBorders>
              <w:top w:val="nil"/>
              <w:left w:val="nil"/>
              <w:bottom w:val="single" w:sz="4" w:space="0" w:color="auto"/>
              <w:right w:val="single" w:sz="4" w:space="0" w:color="auto"/>
            </w:tcBorders>
            <w:shd w:val="clear" w:color="000000" w:fill="FFFFFF"/>
            <w:vAlign w:val="center"/>
            <w:hideMark/>
          </w:tcPr>
          <w:p w14:paraId="07097721" w14:textId="77777777" w:rsidR="00195113" w:rsidRPr="00974312" w:rsidRDefault="00195113">
            <w:pPr>
              <w:rPr>
                <w:rFonts w:asciiTheme="minorHAnsi" w:hAnsiTheme="minorHAnsi"/>
                <w:color w:val="000000"/>
                <w:sz w:val="18"/>
                <w:szCs w:val="18"/>
              </w:rPr>
            </w:pPr>
            <w:r w:rsidRPr="00974312">
              <w:rPr>
                <w:rFonts w:asciiTheme="minorHAnsi" w:hAnsiTheme="minorHAnsi"/>
                <w:color w:val="000000"/>
                <w:sz w:val="18"/>
                <w:szCs w:val="18"/>
              </w:rPr>
              <w:t>Pourcentage de personnes vivant avec le VIH bénéficiant actuellement d'un traitement antirétroviral</w:t>
            </w:r>
          </w:p>
        </w:tc>
        <w:tc>
          <w:tcPr>
            <w:tcW w:w="1418" w:type="dxa"/>
            <w:tcBorders>
              <w:top w:val="nil"/>
              <w:left w:val="nil"/>
              <w:bottom w:val="single" w:sz="4" w:space="0" w:color="auto"/>
              <w:right w:val="single" w:sz="4" w:space="0" w:color="auto"/>
            </w:tcBorders>
            <w:shd w:val="clear" w:color="000000" w:fill="FFFFFF"/>
            <w:vAlign w:val="center"/>
            <w:hideMark/>
          </w:tcPr>
          <w:p w14:paraId="112BEABB" w14:textId="77777777" w:rsidR="00195113" w:rsidRPr="00974312" w:rsidRDefault="00195113">
            <w:pPr>
              <w:jc w:val="center"/>
              <w:rPr>
                <w:rFonts w:asciiTheme="minorHAnsi" w:hAnsiTheme="minorHAnsi"/>
                <w:color w:val="000000"/>
                <w:sz w:val="18"/>
                <w:szCs w:val="18"/>
              </w:rPr>
            </w:pPr>
            <w:r w:rsidRPr="00974312">
              <w:rPr>
                <w:rFonts w:asciiTheme="minorHAnsi" w:hAnsiTheme="minorHAnsi"/>
                <w:color w:val="000000"/>
                <w:sz w:val="18"/>
                <w:szCs w:val="18"/>
              </w:rPr>
              <w:t>42,06%</w:t>
            </w:r>
          </w:p>
        </w:tc>
        <w:tc>
          <w:tcPr>
            <w:tcW w:w="1559" w:type="dxa"/>
            <w:tcBorders>
              <w:top w:val="nil"/>
              <w:left w:val="nil"/>
              <w:bottom w:val="single" w:sz="4" w:space="0" w:color="auto"/>
              <w:right w:val="single" w:sz="4" w:space="0" w:color="auto"/>
            </w:tcBorders>
            <w:shd w:val="clear" w:color="000000" w:fill="FFFFFF"/>
            <w:vAlign w:val="center"/>
            <w:hideMark/>
          </w:tcPr>
          <w:p w14:paraId="5CD8D52F" w14:textId="77777777" w:rsidR="00195113" w:rsidRPr="00974312" w:rsidRDefault="00195113">
            <w:pPr>
              <w:rPr>
                <w:rFonts w:asciiTheme="minorHAnsi" w:hAnsiTheme="minorHAnsi"/>
                <w:color w:val="000000"/>
                <w:sz w:val="18"/>
                <w:szCs w:val="18"/>
              </w:rPr>
            </w:pPr>
            <w:r w:rsidRPr="00974312">
              <w:rPr>
                <w:rFonts w:asciiTheme="minorHAnsi" w:hAnsiTheme="minorHAnsi"/>
                <w:color w:val="000000"/>
                <w:sz w:val="18"/>
                <w:szCs w:val="18"/>
              </w:rPr>
              <w:t>Données programme, fin 2017</w:t>
            </w:r>
          </w:p>
        </w:tc>
        <w:tc>
          <w:tcPr>
            <w:tcW w:w="992" w:type="dxa"/>
            <w:tcBorders>
              <w:top w:val="nil"/>
              <w:left w:val="nil"/>
              <w:bottom w:val="single" w:sz="4" w:space="0" w:color="auto"/>
              <w:right w:val="single" w:sz="4" w:space="0" w:color="auto"/>
            </w:tcBorders>
            <w:shd w:val="clear" w:color="000000" w:fill="FFFFFF"/>
            <w:vAlign w:val="center"/>
            <w:hideMark/>
          </w:tcPr>
          <w:p w14:paraId="05775055" w14:textId="77777777" w:rsidR="00195113" w:rsidRPr="00974312" w:rsidRDefault="00195113">
            <w:pPr>
              <w:jc w:val="center"/>
              <w:rPr>
                <w:rFonts w:asciiTheme="minorHAnsi" w:hAnsiTheme="minorHAnsi"/>
                <w:color w:val="000000"/>
                <w:sz w:val="18"/>
                <w:szCs w:val="18"/>
              </w:rPr>
            </w:pPr>
            <w:r w:rsidRPr="00974312">
              <w:rPr>
                <w:rFonts w:asciiTheme="minorHAnsi" w:hAnsiTheme="minorHAnsi"/>
                <w:color w:val="000000"/>
                <w:sz w:val="18"/>
                <w:szCs w:val="18"/>
              </w:rPr>
              <w:t>52%</w:t>
            </w:r>
          </w:p>
        </w:tc>
        <w:tc>
          <w:tcPr>
            <w:tcW w:w="993" w:type="dxa"/>
            <w:tcBorders>
              <w:top w:val="nil"/>
              <w:left w:val="nil"/>
              <w:bottom w:val="single" w:sz="4" w:space="0" w:color="auto"/>
              <w:right w:val="single" w:sz="4" w:space="0" w:color="auto"/>
            </w:tcBorders>
            <w:shd w:val="clear" w:color="000000" w:fill="FFFFFF"/>
            <w:vAlign w:val="center"/>
            <w:hideMark/>
          </w:tcPr>
          <w:p w14:paraId="4D5181B4" w14:textId="77777777" w:rsidR="00195113" w:rsidRPr="00974312" w:rsidRDefault="00195113">
            <w:pPr>
              <w:jc w:val="center"/>
              <w:rPr>
                <w:rFonts w:asciiTheme="minorHAnsi" w:hAnsiTheme="minorHAnsi"/>
                <w:color w:val="000000"/>
                <w:sz w:val="18"/>
                <w:szCs w:val="18"/>
              </w:rPr>
            </w:pPr>
            <w:r w:rsidRPr="00974312">
              <w:rPr>
                <w:rFonts w:asciiTheme="minorHAnsi" w:hAnsiTheme="minorHAnsi"/>
                <w:color w:val="000000"/>
                <w:sz w:val="18"/>
                <w:szCs w:val="18"/>
              </w:rPr>
              <w:t>58%</w:t>
            </w:r>
          </w:p>
        </w:tc>
        <w:tc>
          <w:tcPr>
            <w:tcW w:w="850" w:type="dxa"/>
            <w:tcBorders>
              <w:top w:val="nil"/>
              <w:left w:val="nil"/>
              <w:bottom w:val="single" w:sz="4" w:space="0" w:color="auto"/>
              <w:right w:val="single" w:sz="4" w:space="0" w:color="auto"/>
            </w:tcBorders>
            <w:shd w:val="clear" w:color="000000" w:fill="FFFFFF"/>
            <w:vAlign w:val="center"/>
            <w:hideMark/>
          </w:tcPr>
          <w:p w14:paraId="4AE9B267" w14:textId="77777777" w:rsidR="00195113" w:rsidRPr="00974312" w:rsidRDefault="00195113">
            <w:pPr>
              <w:jc w:val="center"/>
              <w:rPr>
                <w:rFonts w:asciiTheme="minorHAnsi" w:hAnsiTheme="minorHAnsi"/>
                <w:color w:val="000000"/>
                <w:sz w:val="18"/>
                <w:szCs w:val="18"/>
              </w:rPr>
            </w:pPr>
            <w:r w:rsidRPr="00974312">
              <w:rPr>
                <w:rFonts w:asciiTheme="minorHAnsi" w:hAnsiTheme="minorHAnsi"/>
                <w:color w:val="000000"/>
                <w:sz w:val="18"/>
                <w:szCs w:val="18"/>
              </w:rPr>
              <w:t>68%</w:t>
            </w:r>
          </w:p>
        </w:tc>
        <w:tc>
          <w:tcPr>
            <w:tcW w:w="851" w:type="dxa"/>
            <w:tcBorders>
              <w:top w:val="nil"/>
              <w:left w:val="nil"/>
              <w:bottom w:val="single" w:sz="4" w:space="0" w:color="auto"/>
              <w:right w:val="single" w:sz="4" w:space="0" w:color="auto"/>
            </w:tcBorders>
            <w:shd w:val="clear" w:color="000000" w:fill="FFFFFF"/>
            <w:vAlign w:val="center"/>
            <w:hideMark/>
          </w:tcPr>
          <w:p w14:paraId="026DF55C" w14:textId="77777777" w:rsidR="00195113" w:rsidRPr="00974312" w:rsidRDefault="00195113">
            <w:pPr>
              <w:jc w:val="center"/>
              <w:rPr>
                <w:rFonts w:asciiTheme="minorHAnsi" w:hAnsiTheme="minorHAnsi"/>
                <w:color w:val="000000"/>
                <w:sz w:val="18"/>
                <w:szCs w:val="18"/>
              </w:rPr>
            </w:pPr>
            <w:r w:rsidRPr="00974312">
              <w:rPr>
                <w:rFonts w:asciiTheme="minorHAnsi" w:hAnsiTheme="minorHAnsi"/>
                <w:color w:val="000000"/>
                <w:sz w:val="18"/>
                <w:szCs w:val="18"/>
              </w:rPr>
              <w:t>71%</w:t>
            </w:r>
          </w:p>
        </w:tc>
        <w:tc>
          <w:tcPr>
            <w:tcW w:w="992" w:type="dxa"/>
            <w:tcBorders>
              <w:top w:val="nil"/>
              <w:left w:val="nil"/>
              <w:bottom w:val="single" w:sz="4" w:space="0" w:color="auto"/>
              <w:right w:val="single" w:sz="8" w:space="0" w:color="auto"/>
            </w:tcBorders>
            <w:shd w:val="clear" w:color="000000" w:fill="FFFFFF"/>
            <w:vAlign w:val="center"/>
            <w:hideMark/>
          </w:tcPr>
          <w:p w14:paraId="4F6A7907" w14:textId="77777777" w:rsidR="00195113" w:rsidRPr="00974312" w:rsidRDefault="00195113">
            <w:pPr>
              <w:jc w:val="center"/>
              <w:rPr>
                <w:rFonts w:asciiTheme="minorHAnsi" w:hAnsiTheme="minorHAnsi"/>
                <w:color w:val="000000"/>
                <w:sz w:val="18"/>
                <w:szCs w:val="18"/>
              </w:rPr>
            </w:pPr>
            <w:r w:rsidRPr="00974312">
              <w:rPr>
                <w:rFonts w:asciiTheme="minorHAnsi" w:hAnsiTheme="minorHAnsi"/>
                <w:color w:val="000000"/>
                <w:sz w:val="18"/>
                <w:szCs w:val="18"/>
              </w:rPr>
              <w:t>75%</w:t>
            </w:r>
          </w:p>
        </w:tc>
      </w:tr>
      <w:tr w:rsidR="00040E49" w:rsidRPr="00974312" w14:paraId="612AC9D7" w14:textId="77777777" w:rsidTr="001044F4">
        <w:trPr>
          <w:trHeight w:val="820"/>
        </w:trPr>
        <w:tc>
          <w:tcPr>
            <w:tcW w:w="2142" w:type="dxa"/>
            <w:gridSpan w:val="2"/>
            <w:vMerge/>
            <w:tcBorders>
              <w:top w:val="nil"/>
              <w:left w:val="single" w:sz="8" w:space="0" w:color="auto"/>
              <w:right w:val="single" w:sz="4" w:space="0" w:color="auto"/>
            </w:tcBorders>
            <w:shd w:val="clear" w:color="000000" w:fill="E7E6E6"/>
            <w:vAlign w:val="center"/>
          </w:tcPr>
          <w:p w14:paraId="584919D9" w14:textId="77777777" w:rsidR="00040E49" w:rsidRPr="00974312" w:rsidRDefault="00040E49" w:rsidP="00040E49">
            <w:pPr>
              <w:rPr>
                <w:rFonts w:asciiTheme="minorHAnsi" w:hAnsiTheme="minorHAnsi"/>
                <w:b/>
                <w:bCs/>
                <w:color w:val="000000"/>
                <w:sz w:val="18"/>
                <w:szCs w:val="18"/>
              </w:rPr>
            </w:pPr>
          </w:p>
        </w:tc>
        <w:tc>
          <w:tcPr>
            <w:tcW w:w="4652" w:type="dxa"/>
            <w:vMerge w:val="restart"/>
            <w:tcBorders>
              <w:top w:val="nil"/>
              <w:left w:val="nil"/>
              <w:right w:val="single" w:sz="4" w:space="0" w:color="auto"/>
            </w:tcBorders>
            <w:shd w:val="clear" w:color="000000" w:fill="FFFFFF"/>
            <w:vAlign w:val="center"/>
          </w:tcPr>
          <w:p w14:paraId="0771721A" w14:textId="1E9DCC3B" w:rsidR="00040E49" w:rsidRPr="00974312" w:rsidRDefault="00040E49" w:rsidP="00040E49">
            <w:pPr>
              <w:rPr>
                <w:rFonts w:asciiTheme="minorHAnsi" w:hAnsiTheme="minorHAnsi"/>
                <w:color w:val="000000"/>
                <w:sz w:val="18"/>
                <w:szCs w:val="18"/>
              </w:rPr>
            </w:pPr>
            <w:r w:rsidRPr="00195113">
              <w:rPr>
                <w:rFonts w:asciiTheme="minorHAnsi" w:hAnsiTheme="minorHAnsi"/>
                <w:color w:val="000000"/>
                <w:sz w:val="18"/>
                <w:szCs w:val="18"/>
              </w:rPr>
              <w:t>Pourcentage d’adultes et d’enfants vivant avec le VIH et sous traitement 12 mois après le début du traitement antirétroviral (HIV 0-1)</w:t>
            </w:r>
          </w:p>
        </w:tc>
        <w:tc>
          <w:tcPr>
            <w:tcW w:w="1418" w:type="dxa"/>
            <w:tcBorders>
              <w:top w:val="nil"/>
              <w:left w:val="nil"/>
              <w:bottom w:val="single" w:sz="4" w:space="0" w:color="auto"/>
              <w:right w:val="single" w:sz="4" w:space="0" w:color="auto"/>
            </w:tcBorders>
            <w:shd w:val="clear" w:color="000000" w:fill="FFFFFF"/>
            <w:vAlign w:val="center"/>
          </w:tcPr>
          <w:p w14:paraId="263301E0" w14:textId="7434ABC0"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Adulte : (79%)</w:t>
            </w:r>
          </w:p>
        </w:tc>
        <w:tc>
          <w:tcPr>
            <w:tcW w:w="1559" w:type="dxa"/>
            <w:tcBorders>
              <w:top w:val="nil"/>
              <w:left w:val="nil"/>
              <w:bottom w:val="single" w:sz="4" w:space="0" w:color="auto"/>
              <w:right w:val="single" w:sz="4" w:space="0" w:color="auto"/>
            </w:tcBorders>
            <w:shd w:val="clear" w:color="000000" w:fill="FFFFFF"/>
            <w:vAlign w:val="center"/>
          </w:tcPr>
          <w:p w14:paraId="0DDBAB38" w14:textId="06B1175E"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Rapport GAM 2016</w:t>
            </w:r>
          </w:p>
        </w:tc>
        <w:tc>
          <w:tcPr>
            <w:tcW w:w="992" w:type="dxa"/>
            <w:tcBorders>
              <w:top w:val="nil"/>
              <w:left w:val="nil"/>
              <w:bottom w:val="single" w:sz="4" w:space="0" w:color="auto"/>
              <w:right w:val="single" w:sz="4" w:space="0" w:color="auto"/>
            </w:tcBorders>
            <w:shd w:val="clear" w:color="000000" w:fill="FFFFFF"/>
            <w:vAlign w:val="center"/>
          </w:tcPr>
          <w:p w14:paraId="3F4449B4" w14:textId="52DA1B8F"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80%</w:t>
            </w:r>
          </w:p>
        </w:tc>
        <w:tc>
          <w:tcPr>
            <w:tcW w:w="993" w:type="dxa"/>
            <w:tcBorders>
              <w:top w:val="nil"/>
              <w:left w:val="nil"/>
              <w:bottom w:val="single" w:sz="4" w:space="0" w:color="auto"/>
              <w:right w:val="single" w:sz="4" w:space="0" w:color="auto"/>
            </w:tcBorders>
            <w:shd w:val="clear" w:color="000000" w:fill="FFFFFF"/>
            <w:vAlign w:val="center"/>
          </w:tcPr>
          <w:p w14:paraId="39CC475F" w14:textId="14600F73"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85%</w:t>
            </w:r>
          </w:p>
        </w:tc>
        <w:tc>
          <w:tcPr>
            <w:tcW w:w="850" w:type="dxa"/>
            <w:tcBorders>
              <w:top w:val="nil"/>
              <w:left w:val="nil"/>
              <w:bottom w:val="single" w:sz="4" w:space="0" w:color="auto"/>
              <w:right w:val="single" w:sz="4" w:space="0" w:color="auto"/>
            </w:tcBorders>
            <w:shd w:val="clear" w:color="000000" w:fill="FFFFFF"/>
            <w:vAlign w:val="center"/>
          </w:tcPr>
          <w:p w14:paraId="6CDADE34" w14:textId="443D61BB"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90%</w:t>
            </w:r>
          </w:p>
        </w:tc>
        <w:tc>
          <w:tcPr>
            <w:tcW w:w="851" w:type="dxa"/>
            <w:tcBorders>
              <w:top w:val="nil"/>
              <w:left w:val="nil"/>
              <w:bottom w:val="single" w:sz="4" w:space="0" w:color="auto"/>
              <w:right w:val="single" w:sz="4" w:space="0" w:color="auto"/>
            </w:tcBorders>
            <w:shd w:val="clear" w:color="000000" w:fill="FFFFFF"/>
            <w:vAlign w:val="center"/>
          </w:tcPr>
          <w:p w14:paraId="238B50CD" w14:textId="01DB0A32"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95%</w:t>
            </w:r>
          </w:p>
        </w:tc>
        <w:tc>
          <w:tcPr>
            <w:tcW w:w="992" w:type="dxa"/>
            <w:tcBorders>
              <w:top w:val="nil"/>
              <w:left w:val="nil"/>
              <w:bottom w:val="single" w:sz="4" w:space="0" w:color="auto"/>
              <w:right w:val="single" w:sz="8" w:space="0" w:color="auto"/>
            </w:tcBorders>
            <w:shd w:val="clear" w:color="000000" w:fill="FFFFFF"/>
            <w:vAlign w:val="center"/>
          </w:tcPr>
          <w:p w14:paraId="32A78F22" w14:textId="4B22C9AD"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95%</w:t>
            </w:r>
          </w:p>
        </w:tc>
      </w:tr>
      <w:tr w:rsidR="00040E49" w:rsidRPr="00974312" w14:paraId="2F940649" w14:textId="77777777" w:rsidTr="001044F4">
        <w:trPr>
          <w:trHeight w:val="820"/>
        </w:trPr>
        <w:tc>
          <w:tcPr>
            <w:tcW w:w="2142" w:type="dxa"/>
            <w:gridSpan w:val="2"/>
            <w:vMerge/>
            <w:tcBorders>
              <w:left w:val="single" w:sz="8" w:space="0" w:color="auto"/>
              <w:bottom w:val="single" w:sz="4" w:space="0" w:color="auto"/>
              <w:right w:val="single" w:sz="4" w:space="0" w:color="auto"/>
            </w:tcBorders>
            <w:shd w:val="clear" w:color="000000" w:fill="E7E6E6"/>
            <w:vAlign w:val="center"/>
          </w:tcPr>
          <w:p w14:paraId="5A42FCCE" w14:textId="77777777" w:rsidR="00040E49" w:rsidRPr="00974312" w:rsidRDefault="00040E49" w:rsidP="00040E49">
            <w:pPr>
              <w:rPr>
                <w:rFonts w:asciiTheme="minorHAnsi" w:hAnsiTheme="minorHAnsi"/>
                <w:b/>
                <w:bCs/>
                <w:color w:val="000000"/>
                <w:sz w:val="18"/>
                <w:szCs w:val="18"/>
              </w:rPr>
            </w:pPr>
          </w:p>
        </w:tc>
        <w:tc>
          <w:tcPr>
            <w:tcW w:w="4652" w:type="dxa"/>
            <w:vMerge/>
            <w:tcBorders>
              <w:left w:val="nil"/>
              <w:bottom w:val="single" w:sz="4" w:space="0" w:color="auto"/>
              <w:right w:val="single" w:sz="4" w:space="0" w:color="auto"/>
            </w:tcBorders>
            <w:shd w:val="clear" w:color="000000" w:fill="FFFFFF"/>
            <w:vAlign w:val="center"/>
          </w:tcPr>
          <w:p w14:paraId="56E95E39" w14:textId="1BFB9C09" w:rsidR="00040E49" w:rsidRPr="00974312" w:rsidRDefault="00040E49" w:rsidP="00040E49">
            <w:pPr>
              <w:rPr>
                <w:rFonts w:asciiTheme="minorHAnsi" w:hAnsiTheme="minorHAnsi"/>
                <w:color w:val="000000"/>
                <w:sz w:val="18"/>
                <w:szCs w:val="18"/>
              </w:rPr>
            </w:pPr>
          </w:p>
        </w:tc>
        <w:tc>
          <w:tcPr>
            <w:tcW w:w="1418" w:type="dxa"/>
            <w:tcBorders>
              <w:top w:val="nil"/>
              <w:left w:val="nil"/>
              <w:bottom w:val="single" w:sz="4" w:space="0" w:color="auto"/>
              <w:right w:val="single" w:sz="4" w:space="0" w:color="auto"/>
            </w:tcBorders>
            <w:shd w:val="clear" w:color="000000" w:fill="FFFFFF"/>
            <w:vAlign w:val="center"/>
          </w:tcPr>
          <w:p w14:paraId="51D0A66B" w14:textId="109FBD75"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Enfants (71%)</w:t>
            </w:r>
          </w:p>
        </w:tc>
        <w:tc>
          <w:tcPr>
            <w:tcW w:w="1559" w:type="dxa"/>
            <w:tcBorders>
              <w:top w:val="nil"/>
              <w:left w:val="nil"/>
              <w:bottom w:val="single" w:sz="4" w:space="0" w:color="auto"/>
              <w:right w:val="single" w:sz="4" w:space="0" w:color="auto"/>
            </w:tcBorders>
            <w:shd w:val="clear" w:color="000000" w:fill="FFFFFF"/>
            <w:vAlign w:val="center"/>
          </w:tcPr>
          <w:p w14:paraId="4C8D3E6C" w14:textId="5B33E02F"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Rapport GAM 2016</w:t>
            </w:r>
          </w:p>
        </w:tc>
        <w:tc>
          <w:tcPr>
            <w:tcW w:w="992" w:type="dxa"/>
            <w:tcBorders>
              <w:top w:val="nil"/>
              <w:left w:val="nil"/>
              <w:bottom w:val="single" w:sz="4" w:space="0" w:color="auto"/>
              <w:right w:val="single" w:sz="4" w:space="0" w:color="auto"/>
            </w:tcBorders>
            <w:shd w:val="clear" w:color="000000" w:fill="FFFFFF"/>
            <w:vAlign w:val="center"/>
          </w:tcPr>
          <w:p w14:paraId="61A0901F" w14:textId="702C4B21"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75%</w:t>
            </w:r>
          </w:p>
        </w:tc>
        <w:tc>
          <w:tcPr>
            <w:tcW w:w="993" w:type="dxa"/>
            <w:tcBorders>
              <w:top w:val="nil"/>
              <w:left w:val="nil"/>
              <w:bottom w:val="single" w:sz="4" w:space="0" w:color="auto"/>
              <w:right w:val="single" w:sz="4" w:space="0" w:color="auto"/>
            </w:tcBorders>
            <w:shd w:val="clear" w:color="000000" w:fill="FFFFFF"/>
            <w:vAlign w:val="center"/>
          </w:tcPr>
          <w:p w14:paraId="67C5DBC3" w14:textId="6E4B2BF1"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78%</w:t>
            </w:r>
          </w:p>
        </w:tc>
        <w:tc>
          <w:tcPr>
            <w:tcW w:w="850" w:type="dxa"/>
            <w:tcBorders>
              <w:top w:val="nil"/>
              <w:left w:val="nil"/>
              <w:bottom w:val="single" w:sz="4" w:space="0" w:color="auto"/>
              <w:right w:val="single" w:sz="4" w:space="0" w:color="auto"/>
            </w:tcBorders>
            <w:shd w:val="clear" w:color="000000" w:fill="FFFFFF"/>
            <w:vAlign w:val="center"/>
          </w:tcPr>
          <w:p w14:paraId="2C8CB443" w14:textId="54E1BF99"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80%</w:t>
            </w:r>
          </w:p>
        </w:tc>
        <w:tc>
          <w:tcPr>
            <w:tcW w:w="851" w:type="dxa"/>
            <w:tcBorders>
              <w:top w:val="nil"/>
              <w:left w:val="nil"/>
              <w:bottom w:val="single" w:sz="4" w:space="0" w:color="auto"/>
              <w:right w:val="single" w:sz="4" w:space="0" w:color="auto"/>
            </w:tcBorders>
            <w:shd w:val="clear" w:color="000000" w:fill="FFFFFF"/>
            <w:vAlign w:val="center"/>
          </w:tcPr>
          <w:p w14:paraId="2CEC41D0" w14:textId="738044F1"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85%</w:t>
            </w:r>
          </w:p>
        </w:tc>
        <w:tc>
          <w:tcPr>
            <w:tcW w:w="992" w:type="dxa"/>
            <w:tcBorders>
              <w:top w:val="nil"/>
              <w:left w:val="nil"/>
              <w:bottom w:val="single" w:sz="4" w:space="0" w:color="auto"/>
              <w:right w:val="single" w:sz="8" w:space="0" w:color="auto"/>
            </w:tcBorders>
            <w:shd w:val="clear" w:color="000000" w:fill="FFFFFF"/>
            <w:vAlign w:val="center"/>
          </w:tcPr>
          <w:p w14:paraId="7EA5895F" w14:textId="1AE1D521" w:rsidR="00040E49" w:rsidRPr="00974312" w:rsidRDefault="00040E49" w:rsidP="00040E49">
            <w:pPr>
              <w:rPr>
                <w:rFonts w:asciiTheme="minorHAnsi" w:hAnsiTheme="minorHAnsi"/>
                <w:color w:val="000000"/>
                <w:sz w:val="18"/>
                <w:szCs w:val="18"/>
              </w:rPr>
            </w:pPr>
            <w:r w:rsidRPr="00040E49">
              <w:rPr>
                <w:rFonts w:asciiTheme="minorHAnsi" w:hAnsiTheme="minorHAnsi"/>
                <w:color w:val="000000"/>
                <w:sz w:val="18"/>
                <w:szCs w:val="18"/>
              </w:rPr>
              <w:t>90%</w:t>
            </w:r>
          </w:p>
        </w:tc>
      </w:tr>
      <w:tr w:rsidR="00974312" w:rsidRPr="00974312" w14:paraId="539907EC" w14:textId="77777777" w:rsidTr="00974312">
        <w:trPr>
          <w:trHeight w:val="320"/>
        </w:trPr>
        <w:tc>
          <w:tcPr>
            <w:tcW w:w="2142" w:type="dxa"/>
            <w:gridSpan w:val="2"/>
            <w:vMerge w:val="restart"/>
            <w:tcBorders>
              <w:top w:val="nil"/>
              <w:left w:val="single" w:sz="8" w:space="0" w:color="auto"/>
              <w:bottom w:val="single" w:sz="4" w:space="0" w:color="auto"/>
              <w:right w:val="single" w:sz="4" w:space="0" w:color="auto"/>
            </w:tcBorders>
            <w:shd w:val="clear" w:color="000000" w:fill="E7E6E6"/>
            <w:vAlign w:val="center"/>
            <w:hideMark/>
          </w:tcPr>
          <w:p w14:paraId="3C1D6892" w14:textId="77777777" w:rsidR="00974312" w:rsidRPr="00974312" w:rsidRDefault="00974312">
            <w:pPr>
              <w:rPr>
                <w:rFonts w:asciiTheme="minorHAnsi" w:hAnsiTheme="minorHAnsi"/>
                <w:b/>
                <w:bCs/>
                <w:color w:val="000000"/>
                <w:sz w:val="18"/>
                <w:szCs w:val="18"/>
              </w:rPr>
            </w:pPr>
            <w:r w:rsidRPr="00974312">
              <w:rPr>
                <w:rFonts w:asciiTheme="minorHAnsi" w:hAnsiTheme="minorHAnsi"/>
                <w:b/>
                <w:bCs/>
                <w:color w:val="000000"/>
                <w:sz w:val="18"/>
                <w:szCs w:val="18"/>
              </w:rPr>
              <w:t>Effet 2.2-Le taux de décès chez les patients coïnfectés TB/VIH est réduit de 70% d’ici à fin 2022</w:t>
            </w:r>
          </w:p>
        </w:tc>
        <w:tc>
          <w:tcPr>
            <w:tcW w:w="4652" w:type="dxa"/>
            <w:tcBorders>
              <w:top w:val="nil"/>
              <w:left w:val="nil"/>
              <w:bottom w:val="single" w:sz="4" w:space="0" w:color="auto"/>
              <w:right w:val="single" w:sz="4" w:space="0" w:color="auto"/>
            </w:tcBorders>
            <w:shd w:val="clear" w:color="000000" w:fill="FFFFFF"/>
            <w:vAlign w:val="center"/>
            <w:hideMark/>
          </w:tcPr>
          <w:p w14:paraId="4F417C35" w14:textId="664F5FE1"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Taux de mortalité des patients coïnfectés TB/VIH</w:t>
            </w:r>
          </w:p>
        </w:tc>
        <w:tc>
          <w:tcPr>
            <w:tcW w:w="1418" w:type="dxa"/>
            <w:tcBorders>
              <w:top w:val="nil"/>
              <w:left w:val="nil"/>
              <w:bottom w:val="single" w:sz="4" w:space="0" w:color="auto"/>
              <w:right w:val="single" w:sz="4" w:space="0" w:color="auto"/>
            </w:tcBorders>
            <w:shd w:val="clear" w:color="000000" w:fill="FFFFFF"/>
            <w:vAlign w:val="center"/>
            <w:hideMark/>
          </w:tcPr>
          <w:p w14:paraId="1E46EEE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22%</w:t>
            </w:r>
          </w:p>
        </w:tc>
        <w:tc>
          <w:tcPr>
            <w:tcW w:w="1559" w:type="dxa"/>
            <w:tcBorders>
              <w:top w:val="nil"/>
              <w:left w:val="nil"/>
              <w:bottom w:val="single" w:sz="4" w:space="0" w:color="auto"/>
              <w:right w:val="single" w:sz="4" w:space="0" w:color="auto"/>
            </w:tcBorders>
            <w:shd w:val="clear" w:color="000000" w:fill="FFFFFF"/>
            <w:vAlign w:val="center"/>
            <w:hideMark/>
          </w:tcPr>
          <w:p w14:paraId="22489C44"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UNAIDS, 2015</w:t>
            </w:r>
          </w:p>
        </w:tc>
        <w:tc>
          <w:tcPr>
            <w:tcW w:w="992" w:type="dxa"/>
            <w:tcBorders>
              <w:top w:val="nil"/>
              <w:left w:val="nil"/>
              <w:bottom w:val="single" w:sz="4" w:space="0" w:color="auto"/>
              <w:right w:val="single" w:sz="4" w:space="0" w:color="auto"/>
            </w:tcBorders>
            <w:shd w:val="clear" w:color="000000" w:fill="FFFFFF"/>
            <w:noWrap/>
            <w:vAlign w:val="center"/>
            <w:hideMark/>
          </w:tcPr>
          <w:p w14:paraId="569FAFF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18%</w:t>
            </w:r>
          </w:p>
        </w:tc>
        <w:tc>
          <w:tcPr>
            <w:tcW w:w="993" w:type="dxa"/>
            <w:tcBorders>
              <w:top w:val="nil"/>
              <w:left w:val="nil"/>
              <w:bottom w:val="single" w:sz="4" w:space="0" w:color="auto"/>
              <w:right w:val="single" w:sz="4" w:space="0" w:color="auto"/>
            </w:tcBorders>
            <w:shd w:val="clear" w:color="000000" w:fill="FFFFFF"/>
            <w:noWrap/>
            <w:vAlign w:val="center"/>
            <w:hideMark/>
          </w:tcPr>
          <w:p w14:paraId="472DCF8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15%</w:t>
            </w:r>
          </w:p>
        </w:tc>
        <w:tc>
          <w:tcPr>
            <w:tcW w:w="850" w:type="dxa"/>
            <w:tcBorders>
              <w:top w:val="nil"/>
              <w:left w:val="nil"/>
              <w:bottom w:val="single" w:sz="4" w:space="0" w:color="auto"/>
              <w:right w:val="single" w:sz="4" w:space="0" w:color="auto"/>
            </w:tcBorders>
            <w:shd w:val="clear" w:color="000000" w:fill="FFFFFF"/>
            <w:noWrap/>
            <w:vAlign w:val="center"/>
            <w:hideMark/>
          </w:tcPr>
          <w:p w14:paraId="438018A2"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10%</w:t>
            </w:r>
          </w:p>
        </w:tc>
        <w:tc>
          <w:tcPr>
            <w:tcW w:w="851" w:type="dxa"/>
            <w:tcBorders>
              <w:top w:val="nil"/>
              <w:left w:val="nil"/>
              <w:bottom w:val="single" w:sz="4" w:space="0" w:color="auto"/>
              <w:right w:val="single" w:sz="4" w:space="0" w:color="auto"/>
            </w:tcBorders>
            <w:shd w:val="clear" w:color="000000" w:fill="FFFFFF"/>
            <w:noWrap/>
            <w:vAlign w:val="center"/>
            <w:hideMark/>
          </w:tcPr>
          <w:p w14:paraId="243DD27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w:t>
            </w:r>
          </w:p>
        </w:tc>
        <w:tc>
          <w:tcPr>
            <w:tcW w:w="992" w:type="dxa"/>
            <w:tcBorders>
              <w:top w:val="nil"/>
              <w:left w:val="nil"/>
              <w:bottom w:val="single" w:sz="4" w:space="0" w:color="auto"/>
              <w:right w:val="single" w:sz="8" w:space="0" w:color="auto"/>
            </w:tcBorders>
            <w:shd w:val="clear" w:color="000000" w:fill="FFFFFF"/>
            <w:noWrap/>
            <w:vAlign w:val="center"/>
            <w:hideMark/>
          </w:tcPr>
          <w:p w14:paraId="72C03AB4"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5%</w:t>
            </w:r>
          </w:p>
        </w:tc>
      </w:tr>
      <w:tr w:rsidR="00974312" w:rsidRPr="00974312" w14:paraId="0108E6E5" w14:textId="77777777" w:rsidTr="00974312">
        <w:trPr>
          <w:trHeight w:val="960"/>
        </w:trPr>
        <w:tc>
          <w:tcPr>
            <w:tcW w:w="2142" w:type="dxa"/>
            <w:gridSpan w:val="2"/>
            <w:vMerge/>
            <w:tcBorders>
              <w:top w:val="nil"/>
              <w:left w:val="single" w:sz="8" w:space="0" w:color="auto"/>
              <w:bottom w:val="single" w:sz="4" w:space="0" w:color="auto"/>
              <w:right w:val="single" w:sz="4" w:space="0" w:color="auto"/>
            </w:tcBorders>
            <w:vAlign w:val="center"/>
            <w:hideMark/>
          </w:tcPr>
          <w:p w14:paraId="30D1BE61"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79815A50"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de PVVIH pris en charge (y compris soins PTME) chez qui les signes de la TB ont été recherchés au sein des structures de soins ou de traitement VIH (TB/VIH 3.1)</w:t>
            </w:r>
          </w:p>
        </w:tc>
        <w:tc>
          <w:tcPr>
            <w:tcW w:w="1418" w:type="dxa"/>
            <w:tcBorders>
              <w:top w:val="nil"/>
              <w:left w:val="nil"/>
              <w:bottom w:val="single" w:sz="4" w:space="0" w:color="auto"/>
              <w:right w:val="single" w:sz="4" w:space="0" w:color="auto"/>
            </w:tcBorders>
            <w:shd w:val="clear" w:color="000000" w:fill="FFFFFF"/>
            <w:vAlign w:val="center"/>
            <w:hideMark/>
          </w:tcPr>
          <w:p w14:paraId="7272AF6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c>
          <w:tcPr>
            <w:tcW w:w="1559" w:type="dxa"/>
            <w:tcBorders>
              <w:top w:val="nil"/>
              <w:left w:val="nil"/>
              <w:bottom w:val="single" w:sz="4" w:space="0" w:color="auto"/>
              <w:right w:val="single" w:sz="4" w:space="0" w:color="auto"/>
            </w:tcBorders>
            <w:shd w:val="clear" w:color="000000" w:fill="FFFFFF"/>
            <w:vAlign w:val="center"/>
            <w:hideMark/>
          </w:tcPr>
          <w:p w14:paraId="34C05531" w14:textId="5297E9B6" w:rsidR="00974312" w:rsidRPr="00974312" w:rsidRDefault="006B057F">
            <w:pPr>
              <w:rPr>
                <w:rFonts w:asciiTheme="minorHAnsi" w:hAnsiTheme="minorHAnsi"/>
                <w:color w:val="000000"/>
                <w:sz w:val="18"/>
                <w:szCs w:val="18"/>
              </w:rPr>
            </w:pPr>
            <w:r>
              <w:rPr>
                <w:rFonts w:asciiTheme="minorHAnsi" w:hAnsiTheme="minorHAnsi"/>
                <w:color w:val="000000"/>
                <w:sz w:val="18"/>
                <w:szCs w:val="18"/>
              </w:rPr>
              <w:t>Rapport PNLSH</w:t>
            </w:r>
            <w:r w:rsidR="00974312" w:rsidRPr="00974312">
              <w:rPr>
                <w:rFonts w:asciiTheme="minorHAnsi" w:hAnsiTheme="minorHAnsi"/>
                <w:color w:val="000000"/>
                <w:sz w:val="18"/>
                <w:szCs w:val="18"/>
              </w:rPr>
              <w:t xml:space="preserve"> 2016</w:t>
            </w:r>
          </w:p>
        </w:tc>
        <w:tc>
          <w:tcPr>
            <w:tcW w:w="992" w:type="dxa"/>
            <w:tcBorders>
              <w:top w:val="nil"/>
              <w:left w:val="nil"/>
              <w:bottom w:val="single" w:sz="4" w:space="0" w:color="auto"/>
              <w:right w:val="single" w:sz="4" w:space="0" w:color="auto"/>
            </w:tcBorders>
            <w:shd w:val="clear" w:color="000000" w:fill="FFFFFF"/>
            <w:noWrap/>
            <w:vAlign w:val="center"/>
            <w:hideMark/>
          </w:tcPr>
          <w:p w14:paraId="519110FE"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77%</w:t>
            </w:r>
          </w:p>
        </w:tc>
        <w:tc>
          <w:tcPr>
            <w:tcW w:w="993" w:type="dxa"/>
            <w:tcBorders>
              <w:top w:val="nil"/>
              <w:left w:val="nil"/>
              <w:bottom w:val="single" w:sz="4" w:space="0" w:color="auto"/>
              <w:right w:val="single" w:sz="4" w:space="0" w:color="auto"/>
            </w:tcBorders>
            <w:shd w:val="clear" w:color="000000" w:fill="FFFFFF"/>
            <w:noWrap/>
            <w:vAlign w:val="center"/>
            <w:hideMark/>
          </w:tcPr>
          <w:p w14:paraId="4545B218"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c>
          <w:tcPr>
            <w:tcW w:w="850" w:type="dxa"/>
            <w:tcBorders>
              <w:top w:val="nil"/>
              <w:left w:val="nil"/>
              <w:bottom w:val="single" w:sz="4" w:space="0" w:color="auto"/>
              <w:right w:val="single" w:sz="4" w:space="0" w:color="auto"/>
            </w:tcBorders>
            <w:shd w:val="clear" w:color="000000" w:fill="FFFFFF"/>
            <w:noWrap/>
            <w:vAlign w:val="center"/>
            <w:hideMark/>
          </w:tcPr>
          <w:p w14:paraId="1DCE2A0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95%</w:t>
            </w:r>
          </w:p>
        </w:tc>
        <w:tc>
          <w:tcPr>
            <w:tcW w:w="851" w:type="dxa"/>
            <w:tcBorders>
              <w:top w:val="nil"/>
              <w:left w:val="nil"/>
              <w:bottom w:val="single" w:sz="4" w:space="0" w:color="auto"/>
              <w:right w:val="single" w:sz="4" w:space="0" w:color="auto"/>
            </w:tcBorders>
            <w:shd w:val="clear" w:color="000000" w:fill="FFFFFF"/>
            <w:noWrap/>
            <w:vAlign w:val="center"/>
            <w:hideMark/>
          </w:tcPr>
          <w:p w14:paraId="092FD45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98%</w:t>
            </w:r>
          </w:p>
        </w:tc>
        <w:tc>
          <w:tcPr>
            <w:tcW w:w="992" w:type="dxa"/>
            <w:tcBorders>
              <w:top w:val="nil"/>
              <w:left w:val="nil"/>
              <w:bottom w:val="single" w:sz="4" w:space="0" w:color="auto"/>
              <w:right w:val="single" w:sz="8" w:space="0" w:color="auto"/>
            </w:tcBorders>
            <w:shd w:val="clear" w:color="000000" w:fill="FFFFFF"/>
            <w:noWrap/>
            <w:vAlign w:val="center"/>
            <w:hideMark/>
          </w:tcPr>
          <w:p w14:paraId="0AF2007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100%</w:t>
            </w:r>
          </w:p>
        </w:tc>
      </w:tr>
      <w:tr w:rsidR="00974312" w:rsidRPr="00974312" w14:paraId="3F09EE36" w14:textId="77777777" w:rsidTr="00974312">
        <w:trPr>
          <w:trHeight w:val="640"/>
        </w:trPr>
        <w:tc>
          <w:tcPr>
            <w:tcW w:w="2142" w:type="dxa"/>
            <w:gridSpan w:val="2"/>
            <w:vMerge/>
            <w:tcBorders>
              <w:top w:val="nil"/>
              <w:left w:val="single" w:sz="8" w:space="0" w:color="auto"/>
              <w:bottom w:val="single" w:sz="4" w:space="0" w:color="auto"/>
              <w:right w:val="single" w:sz="4" w:space="0" w:color="auto"/>
            </w:tcBorders>
            <w:vAlign w:val="center"/>
            <w:hideMark/>
          </w:tcPr>
          <w:p w14:paraId="4D8E96DD"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4" w:space="0" w:color="auto"/>
              <w:right w:val="single" w:sz="4" w:space="0" w:color="auto"/>
            </w:tcBorders>
            <w:shd w:val="clear" w:color="000000" w:fill="FFFFFF"/>
            <w:vAlign w:val="center"/>
            <w:hideMark/>
          </w:tcPr>
          <w:p w14:paraId="723E748D" w14:textId="00A4EDC2" w:rsidR="00974312" w:rsidRPr="00974312" w:rsidRDefault="001829CB">
            <w:pPr>
              <w:rPr>
                <w:rFonts w:asciiTheme="minorHAnsi" w:hAnsiTheme="minorHAnsi"/>
                <w:color w:val="000000"/>
                <w:sz w:val="18"/>
                <w:szCs w:val="18"/>
              </w:rPr>
            </w:pPr>
            <w:r w:rsidRPr="00974312">
              <w:rPr>
                <w:rFonts w:asciiTheme="minorHAnsi" w:hAnsiTheme="minorHAnsi"/>
                <w:color w:val="000000"/>
                <w:sz w:val="18"/>
                <w:szCs w:val="18"/>
              </w:rPr>
              <w:t>Pourcentages de PVVIH nouvellement enrôlés</w:t>
            </w:r>
            <w:r w:rsidR="00974312" w:rsidRPr="00974312">
              <w:rPr>
                <w:rFonts w:asciiTheme="minorHAnsi" w:hAnsiTheme="minorHAnsi"/>
                <w:color w:val="000000"/>
                <w:sz w:val="18"/>
                <w:szCs w:val="18"/>
              </w:rPr>
              <w:t xml:space="preserve"> dans les soins du VIH qui ont commencé le traitement préventif de la TB (TB/VIH 4.1)</w:t>
            </w:r>
          </w:p>
        </w:tc>
        <w:tc>
          <w:tcPr>
            <w:tcW w:w="1418" w:type="dxa"/>
            <w:tcBorders>
              <w:top w:val="nil"/>
              <w:left w:val="nil"/>
              <w:bottom w:val="single" w:sz="4" w:space="0" w:color="auto"/>
              <w:right w:val="single" w:sz="4" w:space="0" w:color="auto"/>
            </w:tcBorders>
            <w:shd w:val="clear" w:color="000000" w:fill="FFFFFF"/>
            <w:vAlign w:val="center"/>
            <w:hideMark/>
          </w:tcPr>
          <w:p w14:paraId="610A297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71%</w:t>
            </w:r>
          </w:p>
        </w:tc>
        <w:tc>
          <w:tcPr>
            <w:tcW w:w="1559" w:type="dxa"/>
            <w:tcBorders>
              <w:top w:val="nil"/>
              <w:left w:val="nil"/>
              <w:bottom w:val="single" w:sz="4" w:space="0" w:color="auto"/>
              <w:right w:val="single" w:sz="4" w:space="0" w:color="auto"/>
            </w:tcBorders>
            <w:shd w:val="clear" w:color="000000" w:fill="FFFFFF"/>
            <w:vAlign w:val="center"/>
            <w:hideMark/>
          </w:tcPr>
          <w:p w14:paraId="5DE608A8" w14:textId="1BE7D61E" w:rsidR="00974312" w:rsidRPr="00974312" w:rsidRDefault="006B057F">
            <w:pPr>
              <w:rPr>
                <w:rFonts w:asciiTheme="minorHAnsi" w:hAnsiTheme="minorHAnsi"/>
                <w:color w:val="000000"/>
                <w:sz w:val="18"/>
                <w:szCs w:val="18"/>
              </w:rPr>
            </w:pPr>
            <w:r>
              <w:rPr>
                <w:rFonts w:asciiTheme="minorHAnsi" w:hAnsiTheme="minorHAnsi"/>
                <w:color w:val="000000"/>
                <w:sz w:val="18"/>
                <w:szCs w:val="18"/>
              </w:rPr>
              <w:t>Rapport PNLSH</w:t>
            </w:r>
            <w:r w:rsidR="00974312" w:rsidRPr="00974312">
              <w:rPr>
                <w:rFonts w:asciiTheme="minorHAnsi" w:hAnsiTheme="minorHAnsi"/>
                <w:color w:val="000000"/>
                <w:sz w:val="18"/>
                <w:szCs w:val="18"/>
              </w:rPr>
              <w:t xml:space="preserve"> 2016</w:t>
            </w:r>
          </w:p>
        </w:tc>
        <w:tc>
          <w:tcPr>
            <w:tcW w:w="992" w:type="dxa"/>
            <w:tcBorders>
              <w:top w:val="nil"/>
              <w:left w:val="nil"/>
              <w:bottom w:val="single" w:sz="4" w:space="0" w:color="auto"/>
              <w:right w:val="single" w:sz="4" w:space="0" w:color="auto"/>
            </w:tcBorders>
            <w:shd w:val="clear" w:color="000000" w:fill="FFFFFF"/>
            <w:noWrap/>
            <w:vAlign w:val="center"/>
            <w:hideMark/>
          </w:tcPr>
          <w:p w14:paraId="5CE6FEF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76%</w:t>
            </w:r>
          </w:p>
        </w:tc>
        <w:tc>
          <w:tcPr>
            <w:tcW w:w="993" w:type="dxa"/>
            <w:tcBorders>
              <w:top w:val="nil"/>
              <w:left w:val="nil"/>
              <w:bottom w:val="single" w:sz="4" w:space="0" w:color="auto"/>
              <w:right w:val="single" w:sz="4" w:space="0" w:color="auto"/>
            </w:tcBorders>
            <w:shd w:val="clear" w:color="000000" w:fill="FFFFFF"/>
            <w:noWrap/>
            <w:vAlign w:val="center"/>
            <w:hideMark/>
          </w:tcPr>
          <w:p w14:paraId="24D0B6E1"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76%</w:t>
            </w:r>
          </w:p>
        </w:tc>
        <w:tc>
          <w:tcPr>
            <w:tcW w:w="850" w:type="dxa"/>
            <w:tcBorders>
              <w:top w:val="nil"/>
              <w:left w:val="nil"/>
              <w:bottom w:val="single" w:sz="4" w:space="0" w:color="auto"/>
              <w:right w:val="single" w:sz="4" w:space="0" w:color="auto"/>
            </w:tcBorders>
            <w:shd w:val="clear" w:color="000000" w:fill="FFFFFF"/>
            <w:noWrap/>
            <w:vAlign w:val="center"/>
            <w:hideMark/>
          </w:tcPr>
          <w:p w14:paraId="7604AB74"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76%</w:t>
            </w:r>
          </w:p>
        </w:tc>
        <w:tc>
          <w:tcPr>
            <w:tcW w:w="851" w:type="dxa"/>
            <w:tcBorders>
              <w:top w:val="nil"/>
              <w:left w:val="nil"/>
              <w:bottom w:val="single" w:sz="4" w:space="0" w:color="auto"/>
              <w:right w:val="single" w:sz="4" w:space="0" w:color="auto"/>
            </w:tcBorders>
            <w:shd w:val="clear" w:color="000000" w:fill="FFFFFF"/>
            <w:noWrap/>
            <w:vAlign w:val="center"/>
            <w:hideMark/>
          </w:tcPr>
          <w:p w14:paraId="2C32798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c>
          <w:tcPr>
            <w:tcW w:w="992" w:type="dxa"/>
            <w:tcBorders>
              <w:top w:val="nil"/>
              <w:left w:val="nil"/>
              <w:bottom w:val="single" w:sz="4" w:space="0" w:color="auto"/>
              <w:right w:val="single" w:sz="8" w:space="0" w:color="auto"/>
            </w:tcBorders>
            <w:shd w:val="clear" w:color="000000" w:fill="FFFFFF"/>
            <w:noWrap/>
            <w:vAlign w:val="center"/>
            <w:hideMark/>
          </w:tcPr>
          <w:p w14:paraId="276DEC2B"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85%</w:t>
            </w:r>
          </w:p>
        </w:tc>
      </w:tr>
      <w:tr w:rsidR="00974312" w:rsidRPr="00974312" w14:paraId="6564D130" w14:textId="77777777" w:rsidTr="00974312">
        <w:trPr>
          <w:trHeight w:val="960"/>
        </w:trPr>
        <w:tc>
          <w:tcPr>
            <w:tcW w:w="2142" w:type="dxa"/>
            <w:gridSpan w:val="2"/>
            <w:tcBorders>
              <w:top w:val="nil"/>
              <w:left w:val="single" w:sz="8" w:space="0" w:color="auto"/>
              <w:bottom w:val="single" w:sz="4" w:space="0" w:color="auto"/>
              <w:right w:val="single" w:sz="4" w:space="0" w:color="auto"/>
            </w:tcBorders>
            <w:shd w:val="clear" w:color="000000" w:fill="E7E6E6"/>
            <w:vAlign w:val="center"/>
            <w:hideMark/>
          </w:tcPr>
          <w:p w14:paraId="7B04571E" w14:textId="77777777" w:rsidR="00974312" w:rsidRPr="00974312" w:rsidRDefault="00974312">
            <w:pPr>
              <w:rPr>
                <w:rFonts w:asciiTheme="minorHAnsi" w:hAnsiTheme="minorHAnsi"/>
                <w:b/>
                <w:bCs/>
                <w:color w:val="000000"/>
                <w:sz w:val="18"/>
                <w:szCs w:val="18"/>
              </w:rPr>
            </w:pPr>
            <w:r w:rsidRPr="00974312">
              <w:rPr>
                <w:rFonts w:asciiTheme="minorHAnsi" w:hAnsiTheme="minorHAnsi"/>
                <w:b/>
                <w:bCs/>
                <w:color w:val="000000"/>
                <w:sz w:val="18"/>
                <w:szCs w:val="18"/>
              </w:rPr>
              <w:t>Effet 2.3-90% des PVVIH sous ARV ont une charge virale indétectable à 12 mois en 2022</w:t>
            </w:r>
          </w:p>
        </w:tc>
        <w:tc>
          <w:tcPr>
            <w:tcW w:w="4652" w:type="dxa"/>
            <w:tcBorders>
              <w:top w:val="nil"/>
              <w:left w:val="nil"/>
              <w:bottom w:val="single" w:sz="4" w:space="0" w:color="auto"/>
              <w:right w:val="single" w:sz="4" w:space="0" w:color="auto"/>
            </w:tcBorders>
            <w:shd w:val="clear" w:color="000000" w:fill="FFFFFF"/>
            <w:vAlign w:val="center"/>
            <w:hideMark/>
          </w:tcPr>
          <w:p w14:paraId="708F215E"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de personnes vivant avec le VIH qui ont commencé la thérapie antirétrovirale, qui ont une charge virale indétectable à 12 mois (&lt; 1000 copies/ml) (TCS 3.1)</w:t>
            </w:r>
          </w:p>
        </w:tc>
        <w:tc>
          <w:tcPr>
            <w:tcW w:w="1418" w:type="dxa"/>
            <w:tcBorders>
              <w:top w:val="nil"/>
              <w:left w:val="nil"/>
              <w:bottom w:val="single" w:sz="4" w:space="0" w:color="auto"/>
              <w:right w:val="single" w:sz="4" w:space="0" w:color="auto"/>
            </w:tcBorders>
            <w:shd w:val="clear" w:color="000000" w:fill="FFFFFF"/>
            <w:vAlign w:val="center"/>
            <w:hideMark/>
          </w:tcPr>
          <w:p w14:paraId="3DFFFC9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75%</w:t>
            </w:r>
          </w:p>
        </w:tc>
        <w:tc>
          <w:tcPr>
            <w:tcW w:w="1559" w:type="dxa"/>
            <w:tcBorders>
              <w:top w:val="nil"/>
              <w:left w:val="nil"/>
              <w:bottom w:val="single" w:sz="4" w:space="0" w:color="auto"/>
              <w:right w:val="single" w:sz="4" w:space="0" w:color="auto"/>
            </w:tcBorders>
            <w:shd w:val="clear" w:color="000000" w:fill="FFFFFF"/>
            <w:vAlign w:val="center"/>
            <w:hideMark/>
          </w:tcPr>
          <w:p w14:paraId="20895CC2"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Rapport GAM 2016</w:t>
            </w:r>
          </w:p>
        </w:tc>
        <w:tc>
          <w:tcPr>
            <w:tcW w:w="992" w:type="dxa"/>
            <w:tcBorders>
              <w:top w:val="nil"/>
              <w:left w:val="nil"/>
              <w:bottom w:val="single" w:sz="4" w:space="0" w:color="auto"/>
              <w:right w:val="single" w:sz="4" w:space="0" w:color="auto"/>
            </w:tcBorders>
            <w:shd w:val="clear" w:color="000000" w:fill="FFFFFF"/>
            <w:noWrap/>
            <w:vAlign w:val="center"/>
            <w:hideMark/>
          </w:tcPr>
          <w:p w14:paraId="50B851A5"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80%</w:t>
            </w:r>
          </w:p>
        </w:tc>
        <w:tc>
          <w:tcPr>
            <w:tcW w:w="993" w:type="dxa"/>
            <w:tcBorders>
              <w:top w:val="nil"/>
              <w:left w:val="nil"/>
              <w:bottom w:val="single" w:sz="4" w:space="0" w:color="auto"/>
              <w:right w:val="single" w:sz="4" w:space="0" w:color="auto"/>
            </w:tcBorders>
            <w:shd w:val="clear" w:color="000000" w:fill="FFFFFF"/>
            <w:noWrap/>
            <w:vAlign w:val="center"/>
            <w:hideMark/>
          </w:tcPr>
          <w:p w14:paraId="4A21189B"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85%</w:t>
            </w:r>
          </w:p>
        </w:tc>
        <w:tc>
          <w:tcPr>
            <w:tcW w:w="850" w:type="dxa"/>
            <w:tcBorders>
              <w:top w:val="nil"/>
              <w:left w:val="nil"/>
              <w:bottom w:val="single" w:sz="4" w:space="0" w:color="auto"/>
              <w:right w:val="single" w:sz="4" w:space="0" w:color="auto"/>
            </w:tcBorders>
            <w:shd w:val="clear" w:color="000000" w:fill="FFFFFF"/>
            <w:noWrap/>
            <w:vAlign w:val="center"/>
            <w:hideMark/>
          </w:tcPr>
          <w:p w14:paraId="72B9E13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90%</w:t>
            </w:r>
          </w:p>
        </w:tc>
        <w:tc>
          <w:tcPr>
            <w:tcW w:w="851" w:type="dxa"/>
            <w:tcBorders>
              <w:top w:val="nil"/>
              <w:left w:val="nil"/>
              <w:bottom w:val="single" w:sz="4" w:space="0" w:color="auto"/>
              <w:right w:val="single" w:sz="4" w:space="0" w:color="auto"/>
            </w:tcBorders>
            <w:shd w:val="clear" w:color="000000" w:fill="FFFFFF"/>
            <w:noWrap/>
            <w:vAlign w:val="center"/>
            <w:hideMark/>
          </w:tcPr>
          <w:p w14:paraId="60015B22"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95%</w:t>
            </w:r>
          </w:p>
        </w:tc>
        <w:tc>
          <w:tcPr>
            <w:tcW w:w="992" w:type="dxa"/>
            <w:tcBorders>
              <w:top w:val="nil"/>
              <w:left w:val="nil"/>
              <w:bottom w:val="single" w:sz="4" w:space="0" w:color="auto"/>
              <w:right w:val="single" w:sz="8" w:space="0" w:color="auto"/>
            </w:tcBorders>
            <w:shd w:val="clear" w:color="000000" w:fill="FFFFFF"/>
            <w:noWrap/>
            <w:vAlign w:val="center"/>
            <w:hideMark/>
          </w:tcPr>
          <w:p w14:paraId="2F122010"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95%</w:t>
            </w:r>
          </w:p>
        </w:tc>
      </w:tr>
      <w:tr w:rsidR="00974312" w:rsidRPr="00974312" w14:paraId="58614884" w14:textId="77777777" w:rsidTr="00974312">
        <w:trPr>
          <w:trHeight w:val="1680"/>
        </w:trPr>
        <w:tc>
          <w:tcPr>
            <w:tcW w:w="2142" w:type="dxa"/>
            <w:gridSpan w:val="2"/>
            <w:tcBorders>
              <w:top w:val="nil"/>
              <w:left w:val="single" w:sz="8" w:space="0" w:color="auto"/>
              <w:bottom w:val="single" w:sz="4" w:space="0" w:color="auto"/>
              <w:right w:val="single" w:sz="4" w:space="0" w:color="auto"/>
            </w:tcBorders>
            <w:shd w:val="clear" w:color="000000" w:fill="E7E6E6"/>
            <w:vAlign w:val="center"/>
            <w:hideMark/>
          </w:tcPr>
          <w:p w14:paraId="67BA144C" w14:textId="77777777" w:rsidR="00974312" w:rsidRPr="00974312" w:rsidRDefault="00974312">
            <w:pPr>
              <w:rPr>
                <w:rFonts w:asciiTheme="minorHAnsi" w:hAnsiTheme="minorHAnsi"/>
                <w:b/>
                <w:bCs/>
                <w:color w:val="000000"/>
                <w:sz w:val="18"/>
                <w:szCs w:val="18"/>
              </w:rPr>
            </w:pPr>
            <w:r w:rsidRPr="00974312">
              <w:rPr>
                <w:rFonts w:asciiTheme="minorHAnsi" w:hAnsiTheme="minorHAnsi"/>
                <w:b/>
                <w:bCs/>
                <w:color w:val="000000"/>
                <w:sz w:val="18"/>
                <w:szCs w:val="18"/>
              </w:rPr>
              <w:t>Effet 2.4-Au moins 90% des adultes de 15-49 ans, y compris les prestataires de soins et de services ont des attitudes de non- stigmatisation et non- discrimination à l’égard des PVVIH d’ici à fin 2022</w:t>
            </w:r>
          </w:p>
        </w:tc>
        <w:tc>
          <w:tcPr>
            <w:tcW w:w="4652" w:type="dxa"/>
            <w:tcBorders>
              <w:top w:val="nil"/>
              <w:left w:val="nil"/>
              <w:bottom w:val="single" w:sz="4" w:space="0" w:color="auto"/>
              <w:right w:val="single" w:sz="4" w:space="0" w:color="auto"/>
            </w:tcBorders>
            <w:shd w:val="clear" w:color="000000" w:fill="FFFFFF"/>
            <w:vAlign w:val="center"/>
            <w:hideMark/>
          </w:tcPr>
          <w:p w14:paraId="68A99D18"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 xml:space="preserve">Pourcentage d'adultes de 15-49 ans exprimant les quatre attitudes de tolérance à l’égard des personnes vivant avec le VIH </w:t>
            </w:r>
          </w:p>
        </w:tc>
        <w:tc>
          <w:tcPr>
            <w:tcW w:w="1418" w:type="dxa"/>
            <w:tcBorders>
              <w:top w:val="nil"/>
              <w:left w:val="nil"/>
              <w:bottom w:val="single" w:sz="4" w:space="0" w:color="auto"/>
              <w:right w:val="single" w:sz="4" w:space="0" w:color="auto"/>
            </w:tcBorders>
            <w:shd w:val="clear" w:color="000000" w:fill="FFFFFF"/>
            <w:vAlign w:val="center"/>
            <w:hideMark/>
          </w:tcPr>
          <w:p w14:paraId="4DFC9AB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2,80%</w:t>
            </w:r>
          </w:p>
        </w:tc>
        <w:tc>
          <w:tcPr>
            <w:tcW w:w="1559" w:type="dxa"/>
            <w:tcBorders>
              <w:top w:val="nil"/>
              <w:left w:val="nil"/>
              <w:bottom w:val="single" w:sz="4" w:space="0" w:color="auto"/>
              <w:right w:val="single" w:sz="4" w:space="0" w:color="auto"/>
            </w:tcBorders>
            <w:shd w:val="clear" w:color="000000" w:fill="FFFFFF"/>
            <w:vAlign w:val="center"/>
            <w:hideMark/>
          </w:tcPr>
          <w:p w14:paraId="6EC8B8D2"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Rapport EDS-MICS 2012</w:t>
            </w:r>
          </w:p>
        </w:tc>
        <w:tc>
          <w:tcPr>
            <w:tcW w:w="992" w:type="dxa"/>
            <w:tcBorders>
              <w:top w:val="nil"/>
              <w:left w:val="nil"/>
              <w:bottom w:val="single" w:sz="4" w:space="0" w:color="auto"/>
              <w:right w:val="single" w:sz="4" w:space="0" w:color="auto"/>
            </w:tcBorders>
            <w:shd w:val="clear" w:color="000000" w:fill="FFFFFF"/>
            <w:noWrap/>
            <w:vAlign w:val="center"/>
            <w:hideMark/>
          </w:tcPr>
          <w:p w14:paraId="256735AB"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w:t>
            </w:r>
          </w:p>
        </w:tc>
        <w:tc>
          <w:tcPr>
            <w:tcW w:w="993" w:type="dxa"/>
            <w:tcBorders>
              <w:top w:val="nil"/>
              <w:left w:val="nil"/>
              <w:bottom w:val="single" w:sz="4" w:space="0" w:color="auto"/>
              <w:right w:val="single" w:sz="4" w:space="0" w:color="auto"/>
            </w:tcBorders>
            <w:shd w:val="clear" w:color="000000" w:fill="FFFFFF"/>
            <w:noWrap/>
            <w:vAlign w:val="center"/>
            <w:hideMark/>
          </w:tcPr>
          <w:p w14:paraId="0382B1D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w:t>
            </w:r>
          </w:p>
        </w:tc>
        <w:tc>
          <w:tcPr>
            <w:tcW w:w="850" w:type="dxa"/>
            <w:tcBorders>
              <w:top w:val="nil"/>
              <w:left w:val="nil"/>
              <w:bottom w:val="single" w:sz="4" w:space="0" w:color="auto"/>
              <w:right w:val="single" w:sz="4" w:space="0" w:color="auto"/>
            </w:tcBorders>
            <w:shd w:val="clear" w:color="000000" w:fill="FFFFFF"/>
            <w:noWrap/>
            <w:vAlign w:val="center"/>
            <w:hideMark/>
          </w:tcPr>
          <w:p w14:paraId="47EC90D1"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w:t>
            </w:r>
          </w:p>
        </w:tc>
        <w:tc>
          <w:tcPr>
            <w:tcW w:w="851" w:type="dxa"/>
            <w:tcBorders>
              <w:top w:val="nil"/>
              <w:left w:val="nil"/>
              <w:bottom w:val="single" w:sz="4" w:space="0" w:color="auto"/>
              <w:right w:val="single" w:sz="4" w:space="0" w:color="auto"/>
            </w:tcBorders>
            <w:shd w:val="clear" w:color="000000" w:fill="FFFFFF"/>
            <w:noWrap/>
            <w:vAlign w:val="center"/>
            <w:hideMark/>
          </w:tcPr>
          <w:p w14:paraId="597C7F5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w:t>
            </w:r>
          </w:p>
        </w:tc>
        <w:tc>
          <w:tcPr>
            <w:tcW w:w="992" w:type="dxa"/>
            <w:tcBorders>
              <w:top w:val="nil"/>
              <w:left w:val="nil"/>
              <w:bottom w:val="single" w:sz="4" w:space="0" w:color="auto"/>
              <w:right w:val="single" w:sz="8" w:space="0" w:color="auto"/>
            </w:tcBorders>
            <w:shd w:val="clear" w:color="000000" w:fill="FFFFFF"/>
            <w:noWrap/>
            <w:vAlign w:val="center"/>
            <w:hideMark/>
          </w:tcPr>
          <w:p w14:paraId="182ED9A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w:t>
            </w:r>
          </w:p>
        </w:tc>
      </w:tr>
      <w:tr w:rsidR="00974312" w:rsidRPr="00974312" w14:paraId="0E9C996A" w14:textId="77777777" w:rsidTr="00974312">
        <w:trPr>
          <w:trHeight w:val="840"/>
        </w:trPr>
        <w:tc>
          <w:tcPr>
            <w:tcW w:w="2142" w:type="dxa"/>
            <w:gridSpan w:val="2"/>
            <w:tcBorders>
              <w:top w:val="nil"/>
              <w:left w:val="single" w:sz="8" w:space="0" w:color="auto"/>
              <w:bottom w:val="single" w:sz="4" w:space="0" w:color="auto"/>
              <w:right w:val="single" w:sz="4" w:space="0" w:color="auto"/>
            </w:tcBorders>
            <w:shd w:val="clear" w:color="000000" w:fill="E7E6E6"/>
            <w:vAlign w:val="center"/>
            <w:hideMark/>
          </w:tcPr>
          <w:p w14:paraId="2727D02A" w14:textId="77777777" w:rsidR="00974312" w:rsidRPr="00974312" w:rsidRDefault="00974312">
            <w:pPr>
              <w:rPr>
                <w:rFonts w:asciiTheme="minorHAnsi" w:hAnsiTheme="minorHAnsi"/>
                <w:b/>
                <w:bCs/>
                <w:color w:val="000000"/>
                <w:sz w:val="18"/>
                <w:szCs w:val="18"/>
              </w:rPr>
            </w:pPr>
            <w:r w:rsidRPr="00974312">
              <w:rPr>
                <w:rFonts w:asciiTheme="minorHAnsi" w:hAnsiTheme="minorHAnsi"/>
                <w:b/>
                <w:bCs/>
                <w:color w:val="000000"/>
                <w:sz w:val="18"/>
                <w:szCs w:val="18"/>
              </w:rPr>
              <w:t>Effet 3.1-D’ici à fin 2022, le taux d’exécution financière du PSN est supérieur à 80%</w:t>
            </w:r>
          </w:p>
        </w:tc>
        <w:tc>
          <w:tcPr>
            <w:tcW w:w="4652" w:type="dxa"/>
            <w:tcBorders>
              <w:top w:val="nil"/>
              <w:left w:val="nil"/>
              <w:bottom w:val="single" w:sz="4" w:space="0" w:color="auto"/>
              <w:right w:val="single" w:sz="4" w:space="0" w:color="auto"/>
            </w:tcBorders>
            <w:shd w:val="clear" w:color="000000" w:fill="FFFFFF"/>
            <w:vAlign w:val="center"/>
            <w:hideMark/>
          </w:tcPr>
          <w:p w14:paraId="3D69976D"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 xml:space="preserve">Pourcentage de financement de la lutte contre le VIH attribuable </w:t>
            </w:r>
            <w:proofErr w:type="spellStart"/>
            <w:r w:rsidRPr="00974312">
              <w:rPr>
                <w:rFonts w:asciiTheme="minorHAnsi" w:hAnsiTheme="minorHAnsi"/>
                <w:color w:val="000000"/>
                <w:sz w:val="18"/>
                <w:szCs w:val="18"/>
              </w:rPr>
              <w:t>a</w:t>
            </w:r>
            <w:proofErr w:type="spellEnd"/>
            <w:r w:rsidRPr="00974312">
              <w:rPr>
                <w:rFonts w:asciiTheme="minorHAnsi" w:hAnsiTheme="minorHAnsi"/>
                <w:color w:val="000000"/>
                <w:sz w:val="18"/>
                <w:szCs w:val="18"/>
              </w:rPr>
              <w:t xml:space="preserve"> l'état guinéen</w:t>
            </w:r>
          </w:p>
        </w:tc>
        <w:tc>
          <w:tcPr>
            <w:tcW w:w="1418" w:type="dxa"/>
            <w:tcBorders>
              <w:top w:val="nil"/>
              <w:left w:val="nil"/>
              <w:bottom w:val="single" w:sz="4" w:space="0" w:color="auto"/>
              <w:right w:val="single" w:sz="4" w:space="0" w:color="auto"/>
            </w:tcBorders>
            <w:shd w:val="clear" w:color="000000" w:fill="FFFFFF"/>
            <w:noWrap/>
            <w:vAlign w:val="bottom"/>
            <w:hideMark/>
          </w:tcPr>
          <w:p w14:paraId="16E304F8"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 </w:t>
            </w:r>
          </w:p>
        </w:tc>
        <w:tc>
          <w:tcPr>
            <w:tcW w:w="1559" w:type="dxa"/>
            <w:tcBorders>
              <w:top w:val="nil"/>
              <w:left w:val="nil"/>
              <w:bottom w:val="single" w:sz="4" w:space="0" w:color="auto"/>
              <w:right w:val="single" w:sz="4" w:space="0" w:color="auto"/>
            </w:tcBorders>
            <w:shd w:val="clear" w:color="000000" w:fill="FFFFFF"/>
            <w:noWrap/>
            <w:vAlign w:val="bottom"/>
            <w:hideMark/>
          </w:tcPr>
          <w:p w14:paraId="1E4265CD"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4483CCA"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10%</w:t>
            </w:r>
          </w:p>
        </w:tc>
        <w:tc>
          <w:tcPr>
            <w:tcW w:w="993" w:type="dxa"/>
            <w:tcBorders>
              <w:top w:val="nil"/>
              <w:left w:val="nil"/>
              <w:bottom w:val="single" w:sz="4" w:space="0" w:color="auto"/>
              <w:right w:val="single" w:sz="4" w:space="0" w:color="auto"/>
            </w:tcBorders>
            <w:shd w:val="clear" w:color="000000" w:fill="FFFFFF"/>
            <w:noWrap/>
            <w:vAlign w:val="center"/>
            <w:hideMark/>
          </w:tcPr>
          <w:p w14:paraId="125110F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15%</w:t>
            </w:r>
          </w:p>
        </w:tc>
        <w:tc>
          <w:tcPr>
            <w:tcW w:w="850" w:type="dxa"/>
            <w:tcBorders>
              <w:top w:val="nil"/>
              <w:left w:val="nil"/>
              <w:bottom w:val="single" w:sz="4" w:space="0" w:color="auto"/>
              <w:right w:val="single" w:sz="4" w:space="0" w:color="auto"/>
            </w:tcBorders>
            <w:shd w:val="clear" w:color="000000" w:fill="FFFFFF"/>
            <w:noWrap/>
            <w:vAlign w:val="center"/>
            <w:hideMark/>
          </w:tcPr>
          <w:p w14:paraId="4B057A46"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20%</w:t>
            </w:r>
          </w:p>
        </w:tc>
        <w:tc>
          <w:tcPr>
            <w:tcW w:w="851" w:type="dxa"/>
            <w:tcBorders>
              <w:top w:val="nil"/>
              <w:left w:val="nil"/>
              <w:bottom w:val="single" w:sz="4" w:space="0" w:color="auto"/>
              <w:right w:val="single" w:sz="4" w:space="0" w:color="auto"/>
            </w:tcBorders>
            <w:shd w:val="clear" w:color="000000" w:fill="FFFFFF"/>
            <w:noWrap/>
            <w:vAlign w:val="center"/>
            <w:hideMark/>
          </w:tcPr>
          <w:p w14:paraId="2C30AA65"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25%</w:t>
            </w:r>
          </w:p>
        </w:tc>
        <w:tc>
          <w:tcPr>
            <w:tcW w:w="992" w:type="dxa"/>
            <w:tcBorders>
              <w:top w:val="nil"/>
              <w:left w:val="nil"/>
              <w:bottom w:val="single" w:sz="4" w:space="0" w:color="auto"/>
              <w:right w:val="single" w:sz="8" w:space="0" w:color="auto"/>
            </w:tcBorders>
            <w:shd w:val="clear" w:color="000000" w:fill="FFFFFF"/>
            <w:noWrap/>
            <w:vAlign w:val="center"/>
            <w:hideMark/>
          </w:tcPr>
          <w:p w14:paraId="6205ABCC"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30%</w:t>
            </w:r>
          </w:p>
        </w:tc>
      </w:tr>
      <w:tr w:rsidR="00974312" w:rsidRPr="00974312" w14:paraId="30CFCBD8" w14:textId="77777777" w:rsidTr="00974312">
        <w:trPr>
          <w:trHeight w:val="960"/>
        </w:trPr>
        <w:tc>
          <w:tcPr>
            <w:tcW w:w="2142" w:type="dxa"/>
            <w:gridSpan w:val="2"/>
            <w:vMerge w:val="restart"/>
            <w:tcBorders>
              <w:top w:val="nil"/>
              <w:left w:val="single" w:sz="8" w:space="0" w:color="auto"/>
              <w:bottom w:val="single" w:sz="8" w:space="0" w:color="000000"/>
              <w:right w:val="single" w:sz="4" w:space="0" w:color="auto"/>
            </w:tcBorders>
            <w:shd w:val="clear" w:color="000000" w:fill="E7E6E6"/>
            <w:vAlign w:val="center"/>
            <w:hideMark/>
          </w:tcPr>
          <w:p w14:paraId="28B624FE" w14:textId="77777777" w:rsidR="00974312" w:rsidRPr="00974312" w:rsidRDefault="00974312">
            <w:pPr>
              <w:rPr>
                <w:rFonts w:asciiTheme="minorHAnsi" w:hAnsiTheme="minorHAnsi"/>
                <w:b/>
                <w:bCs/>
                <w:color w:val="000000"/>
                <w:sz w:val="18"/>
                <w:szCs w:val="18"/>
              </w:rPr>
            </w:pPr>
            <w:r w:rsidRPr="00974312">
              <w:rPr>
                <w:rFonts w:asciiTheme="minorHAnsi" w:hAnsiTheme="minorHAnsi"/>
                <w:b/>
                <w:bCs/>
                <w:color w:val="000000"/>
                <w:sz w:val="18"/>
                <w:szCs w:val="18"/>
              </w:rPr>
              <w:t>Effet 3.4-Entre 2018-2022, la gouvernance du CNLS assure une multisectorialité et une redevabilité optimales</w:t>
            </w:r>
          </w:p>
        </w:tc>
        <w:tc>
          <w:tcPr>
            <w:tcW w:w="4652" w:type="dxa"/>
            <w:tcBorders>
              <w:top w:val="nil"/>
              <w:left w:val="nil"/>
              <w:bottom w:val="single" w:sz="4" w:space="0" w:color="auto"/>
              <w:right w:val="single" w:sz="4" w:space="0" w:color="auto"/>
            </w:tcBorders>
            <w:shd w:val="clear" w:color="000000" w:fill="FFFFFF"/>
            <w:vAlign w:val="center"/>
            <w:hideMark/>
          </w:tcPr>
          <w:p w14:paraId="6EB5E190"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Les systèmes de gestion (réunions hebdomadaire, AG annuels, GTSE, etc.</w:t>
            </w:r>
            <w:proofErr w:type="gramStart"/>
            <w:r w:rsidRPr="00974312">
              <w:rPr>
                <w:rFonts w:asciiTheme="minorHAnsi" w:hAnsiTheme="minorHAnsi"/>
                <w:color w:val="000000"/>
                <w:sz w:val="18"/>
                <w:szCs w:val="18"/>
              </w:rPr>
              <w:t>. )</w:t>
            </w:r>
            <w:proofErr w:type="gramEnd"/>
            <w:r w:rsidRPr="00974312">
              <w:rPr>
                <w:rFonts w:asciiTheme="minorHAnsi" w:hAnsiTheme="minorHAnsi"/>
                <w:color w:val="000000"/>
                <w:sz w:val="18"/>
                <w:szCs w:val="18"/>
              </w:rPr>
              <w:t xml:space="preserve"> du SE/CNLS sont fonctionnels</w:t>
            </w:r>
          </w:p>
        </w:tc>
        <w:tc>
          <w:tcPr>
            <w:tcW w:w="1418" w:type="dxa"/>
            <w:tcBorders>
              <w:top w:val="nil"/>
              <w:left w:val="nil"/>
              <w:bottom w:val="single" w:sz="4" w:space="0" w:color="auto"/>
              <w:right w:val="single" w:sz="4" w:space="0" w:color="auto"/>
            </w:tcBorders>
            <w:shd w:val="clear" w:color="000000" w:fill="FFFFFF"/>
            <w:noWrap/>
            <w:vAlign w:val="center"/>
            <w:hideMark/>
          </w:tcPr>
          <w:p w14:paraId="529B417B"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N/A</w:t>
            </w:r>
          </w:p>
        </w:tc>
        <w:tc>
          <w:tcPr>
            <w:tcW w:w="1559" w:type="dxa"/>
            <w:tcBorders>
              <w:top w:val="nil"/>
              <w:left w:val="nil"/>
              <w:bottom w:val="single" w:sz="4" w:space="0" w:color="auto"/>
              <w:right w:val="single" w:sz="4" w:space="0" w:color="auto"/>
            </w:tcBorders>
            <w:shd w:val="clear" w:color="000000" w:fill="FFFFFF"/>
            <w:noWrap/>
            <w:vAlign w:val="bottom"/>
            <w:hideMark/>
          </w:tcPr>
          <w:p w14:paraId="292BE261"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13985CC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Oui</w:t>
            </w:r>
          </w:p>
        </w:tc>
        <w:tc>
          <w:tcPr>
            <w:tcW w:w="993" w:type="dxa"/>
            <w:tcBorders>
              <w:top w:val="nil"/>
              <w:left w:val="nil"/>
              <w:bottom w:val="single" w:sz="4" w:space="0" w:color="auto"/>
              <w:right w:val="single" w:sz="4" w:space="0" w:color="auto"/>
            </w:tcBorders>
            <w:shd w:val="clear" w:color="000000" w:fill="FFFFFF"/>
            <w:noWrap/>
            <w:vAlign w:val="center"/>
            <w:hideMark/>
          </w:tcPr>
          <w:p w14:paraId="572C51A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Oui</w:t>
            </w:r>
          </w:p>
        </w:tc>
        <w:tc>
          <w:tcPr>
            <w:tcW w:w="850" w:type="dxa"/>
            <w:tcBorders>
              <w:top w:val="nil"/>
              <w:left w:val="nil"/>
              <w:bottom w:val="single" w:sz="4" w:space="0" w:color="auto"/>
              <w:right w:val="single" w:sz="4" w:space="0" w:color="auto"/>
            </w:tcBorders>
            <w:shd w:val="clear" w:color="000000" w:fill="FFFFFF"/>
            <w:noWrap/>
            <w:vAlign w:val="center"/>
            <w:hideMark/>
          </w:tcPr>
          <w:p w14:paraId="5A463EB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Oui</w:t>
            </w:r>
          </w:p>
        </w:tc>
        <w:tc>
          <w:tcPr>
            <w:tcW w:w="851" w:type="dxa"/>
            <w:tcBorders>
              <w:top w:val="nil"/>
              <w:left w:val="nil"/>
              <w:bottom w:val="single" w:sz="4" w:space="0" w:color="auto"/>
              <w:right w:val="single" w:sz="4" w:space="0" w:color="auto"/>
            </w:tcBorders>
            <w:shd w:val="clear" w:color="000000" w:fill="FFFFFF"/>
            <w:noWrap/>
            <w:vAlign w:val="center"/>
            <w:hideMark/>
          </w:tcPr>
          <w:p w14:paraId="53E04599"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Oui</w:t>
            </w:r>
          </w:p>
        </w:tc>
        <w:tc>
          <w:tcPr>
            <w:tcW w:w="992" w:type="dxa"/>
            <w:tcBorders>
              <w:top w:val="nil"/>
              <w:left w:val="nil"/>
              <w:bottom w:val="single" w:sz="4" w:space="0" w:color="auto"/>
              <w:right w:val="single" w:sz="8" w:space="0" w:color="auto"/>
            </w:tcBorders>
            <w:shd w:val="clear" w:color="000000" w:fill="FFFFFF"/>
            <w:noWrap/>
            <w:vAlign w:val="center"/>
            <w:hideMark/>
          </w:tcPr>
          <w:p w14:paraId="5DDADFF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Oui</w:t>
            </w:r>
          </w:p>
        </w:tc>
      </w:tr>
      <w:tr w:rsidR="00974312" w:rsidRPr="00974312" w14:paraId="4727B401" w14:textId="77777777" w:rsidTr="00974312">
        <w:trPr>
          <w:trHeight w:val="1060"/>
        </w:trPr>
        <w:tc>
          <w:tcPr>
            <w:tcW w:w="2142" w:type="dxa"/>
            <w:gridSpan w:val="2"/>
            <w:vMerge/>
            <w:tcBorders>
              <w:top w:val="nil"/>
              <w:left w:val="single" w:sz="8" w:space="0" w:color="auto"/>
              <w:bottom w:val="single" w:sz="8" w:space="0" w:color="000000"/>
              <w:right w:val="single" w:sz="4" w:space="0" w:color="auto"/>
            </w:tcBorders>
            <w:vAlign w:val="center"/>
            <w:hideMark/>
          </w:tcPr>
          <w:p w14:paraId="2ECBFCA1" w14:textId="77777777" w:rsidR="00974312" w:rsidRPr="00974312" w:rsidRDefault="00974312">
            <w:pPr>
              <w:rPr>
                <w:rFonts w:asciiTheme="minorHAnsi" w:hAnsiTheme="minorHAnsi"/>
                <w:b/>
                <w:bCs/>
                <w:color w:val="000000"/>
                <w:sz w:val="18"/>
                <w:szCs w:val="18"/>
              </w:rPr>
            </w:pPr>
          </w:p>
        </w:tc>
        <w:tc>
          <w:tcPr>
            <w:tcW w:w="4652" w:type="dxa"/>
            <w:tcBorders>
              <w:top w:val="nil"/>
              <w:left w:val="nil"/>
              <w:bottom w:val="single" w:sz="8" w:space="0" w:color="auto"/>
              <w:right w:val="single" w:sz="4" w:space="0" w:color="auto"/>
            </w:tcBorders>
            <w:shd w:val="clear" w:color="000000" w:fill="FFFFFF"/>
            <w:vAlign w:val="center"/>
            <w:hideMark/>
          </w:tcPr>
          <w:p w14:paraId="62A77A30" w14:textId="77777777" w:rsidR="00974312" w:rsidRPr="00974312" w:rsidRDefault="00974312">
            <w:pPr>
              <w:rPr>
                <w:rFonts w:asciiTheme="minorHAnsi" w:hAnsiTheme="minorHAnsi"/>
                <w:color w:val="000000"/>
                <w:sz w:val="18"/>
                <w:szCs w:val="18"/>
              </w:rPr>
            </w:pPr>
            <w:r w:rsidRPr="00974312">
              <w:rPr>
                <w:rFonts w:asciiTheme="minorHAnsi" w:hAnsiTheme="minorHAnsi"/>
                <w:color w:val="000000"/>
                <w:sz w:val="18"/>
                <w:szCs w:val="18"/>
              </w:rPr>
              <w:t>Pourcentage des structures de soins ayant connu au moins une fois une rupture de stock d’ARV au cours de l'année</w:t>
            </w:r>
          </w:p>
        </w:tc>
        <w:tc>
          <w:tcPr>
            <w:tcW w:w="1418" w:type="dxa"/>
            <w:tcBorders>
              <w:top w:val="nil"/>
              <w:left w:val="nil"/>
              <w:bottom w:val="single" w:sz="8" w:space="0" w:color="auto"/>
              <w:right w:val="single" w:sz="4" w:space="0" w:color="auto"/>
            </w:tcBorders>
            <w:shd w:val="clear" w:color="000000" w:fill="FFFFFF"/>
            <w:vAlign w:val="center"/>
            <w:hideMark/>
          </w:tcPr>
          <w:p w14:paraId="4E076B23"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17,60%</w:t>
            </w:r>
          </w:p>
        </w:tc>
        <w:tc>
          <w:tcPr>
            <w:tcW w:w="1559" w:type="dxa"/>
            <w:tcBorders>
              <w:top w:val="nil"/>
              <w:left w:val="nil"/>
              <w:bottom w:val="single" w:sz="8" w:space="0" w:color="auto"/>
              <w:right w:val="single" w:sz="4" w:space="0" w:color="auto"/>
            </w:tcBorders>
            <w:shd w:val="clear" w:color="000000" w:fill="FFFFFF"/>
            <w:vAlign w:val="center"/>
            <w:hideMark/>
          </w:tcPr>
          <w:p w14:paraId="0DA6068B" w14:textId="77777777" w:rsidR="00974312" w:rsidRPr="00974312" w:rsidRDefault="00974312">
            <w:pPr>
              <w:rPr>
                <w:rFonts w:asciiTheme="minorHAnsi" w:hAnsiTheme="minorHAnsi"/>
                <w:color w:val="000000"/>
                <w:sz w:val="18"/>
                <w:szCs w:val="18"/>
                <w:lang w:val="en-US"/>
              </w:rPr>
            </w:pPr>
            <w:r w:rsidRPr="00974312">
              <w:rPr>
                <w:rFonts w:asciiTheme="minorHAnsi" w:hAnsiTheme="minorHAnsi"/>
                <w:color w:val="000000"/>
                <w:sz w:val="18"/>
                <w:szCs w:val="18"/>
                <w:lang w:val="en-US"/>
              </w:rPr>
              <w:t>Guinea National Pharmaceutical Supply System Assessment - SIAPS, February 2017</w:t>
            </w:r>
          </w:p>
        </w:tc>
        <w:tc>
          <w:tcPr>
            <w:tcW w:w="992" w:type="dxa"/>
            <w:tcBorders>
              <w:top w:val="nil"/>
              <w:left w:val="nil"/>
              <w:bottom w:val="single" w:sz="8" w:space="0" w:color="auto"/>
              <w:right w:val="single" w:sz="4" w:space="0" w:color="auto"/>
            </w:tcBorders>
            <w:shd w:val="clear" w:color="000000" w:fill="FFFFFF"/>
            <w:vAlign w:val="center"/>
            <w:hideMark/>
          </w:tcPr>
          <w:p w14:paraId="3555BA65"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10%</w:t>
            </w:r>
          </w:p>
        </w:tc>
        <w:tc>
          <w:tcPr>
            <w:tcW w:w="993" w:type="dxa"/>
            <w:tcBorders>
              <w:top w:val="nil"/>
              <w:left w:val="nil"/>
              <w:bottom w:val="single" w:sz="8" w:space="0" w:color="auto"/>
              <w:right w:val="single" w:sz="4" w:space="0" w:color="auto"/>
            </w:tcBorders>
            <w:shd w:val="clear" w:color="000000" w:fill="FFFFFF"/>
            <w:vAlign w:val="center"/>
            <w:hideMark/>
          </w:tcPr>
          <w:p w14:paraId="34DC7B80"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6%</w:t>
            </w:r>
          </w:p>
        </w:tc>
        <w:tc>
          <w:tcPr>
            <w:tcW w:w="850" w:type="dxa"/>
            <w:tcBorders>
              <w:top w:val="nil"/>
              <w:left w:val="nil"/>
              <w:bottom w:val="single" w:sz="8" w:space="0" w:color="auto"/>
              <w:right w:val="single" w:sz="4" w:space="0" w:color="auto"/>
            </w:tcBorders>
            <w:shd w:val="clear" w:color="000000" w:fill="FFFFFF"/>
            <w:vAlign w:val="center"/>
            <w:hideMark/>
          </w:tcPr>
          <w:p w14:paraId="097AA9EE"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w:t>
            </w:r>
          </w:p>
        </w:tc>
        <w:tc>
          <w:tcPr>
            <w:tcW w:w="851" w:type="dxa"/>
            <w:tcBorders>
              <w:top w:val="nil"/>
              <w:left w:val="nil"/>
              <w:bottom w:val="single" w:sz="8" w:space="0" w:color="auto"/>
              <w:right w:val="single" w:sz="4" w:space="0" w:color="auto"/>
            </w:tcBorders>
            <w:shd w:val="clear" w:color="000000" w:fill="FFFFFF"/>
            <w:vAlign w:val="center"/>
            <w:hideMark/>
          </w:tcPr>
          <w:p w14:paraId="41D5CD6D"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w:t>
            </w:r>
          </w:p>
        </w:tc>
        <w:tc>
          <w:tcPr>
            <w:tcW w:w="992" w:type="dxa"/>
            <w:tcBorders>
              <w:top w:val="nil"/>
              <w:left w:val="nil"/>
              <w:bottom w:val="single" w:sz="8" w:space="0" w:color="auto"/>
              <w:right w:val="single" w:sz="8" w:space="0" w:color="auto"/>
            </w:tcBorders>
            <w:shd w:val="clear" w:color="000000" w:fill="FFFFFF"/>
            <w:vAlign w:val="center"/>
            <w:hideMark/>
          </w:tcPr>
          <w:p w14:paraId="4236B0C1" w14:textId="77777777" w:rsidR="00974312" w:rsidRPr="00974312" w:rsidRDefault="00974312">
            <w:pPr>
              <w:jc w:val="center"/>
              <w:rPr>
                <w:rFonts w:asciiTheme="minorHAnsi" w:hAnsiTheme="minorHAnsi"/>
                <w:color w:val="000000"/>
                <w:sz w:val="18"/>
                <w:szCs w:val="18"/>
              </w:rPr>
            </w:pPr>
            <w:r w:rsidRPr="00974312">
              <w:rPr>
                <w:rFonts w:asciiTheme="minorHAnsi" w:hAnsiTheme="minorHAnsi"/>
                <w:color w:val="000000"/>
                <w:sz w:val="18"/>
                <w:szCs w:val="18"/>
              </w:rPr>
              <w:t>2%</w:t>
            </w:r>
          </w:p>
        </w:tc>
      </w:tr>
    </w:tbl>
    <w:p w14:paraId="36A759C7" w14:textId="4D2C010E" w:rsidR="00974312" w:rsidRDefault="00974312" w:rsidP="00787CCB">
      <w:pPr>
        <w:rPr>
          <w:rFonts w:ascii="Calibri" w:hAnsi="Calibri"/>
          <w:sz w:val="20"/>
          <w:szCs w:val="20"/>
        </w:rPr>
      </w:pPr>
    </w:p>
    <w:p w14:paraId="2C316727" w14:textId="77777777" w:rsidR="00974312" w:rsidRPr="00747BCE" w:rsidRDefault="00974312" w:rsidP="00787CCB">
      <w:pPr>
        <w:rPr>
          <w:rFonts w:ascii="Calibri" w:hAnsi="Calibri"/>
          <w:sz w:val="2"/>
          <w:szCs w:val="20"/>
        </w:rPr>
      </w:pPr>
    </w:p>
    <w:p w14:paraId="4FAABA86" w14:textId="63C28816" w:rsidR="00393201" w:rsidRPr="00747BCE" w:rsidRDefault="00393201" w:rsidP="00787CCB">
      <w:pPr>
        <w:rPr>
          <w:rFonts w:ascii="Calibri" w:hAnsi="Calibri"/>
          <w:sz w:val="8"/>
          <w:szCs w:val="20"/>
        </w:rPr>
      </w:pPr>
    </w:p>
    <w:p w14:paraId="6B1D1D64" w14:textId="19C9EBC9" w:rsidR="00B27F68" w:rsidRPr="005A0CA9" w:rsidRDefault="001C4070" w:rsidP="001C4070">
      <w:pPr>
        <w:pStyle w:val="Titre2"/>
        <w:spacing w:after="0"/>
        <w:rPr>
          <w:rFonts w:ascii="Calibri" w:hAnsi="Calibri"/>
          <w:color w:val="2F5496" w:themeColor="accent5" w:themeShade="BF"/>
        </w:rPr>
      </w:pPr>
      <w:bookmarkStart w:id="154" w:name="_Toc520983546"/>
      <w:r>
        <w:rPr>
          <w:rFonts w:ascii="Calibri" w:hAnsi="Calibri"/>
          <w:color w:val="2F5496" w:themeColor="accent5" w:themeShade="BF"/>
        </w:rPr>
        <w:t xml:space="preserve">8.2 </w:t>
      </w:r>
      <w:r w:rsidR="00B27F68">
        <w:rPr>
          <w:rFonts w:ascii="Calibri" w:hAnsi="Calibri"/>
          <w:color w:val="2F5496" w:themeColor="accent5" w:themeShade="BF"/>
        </w:rPr>
        <w:t xml:space="preserve">CADRE DES RESULTATS </w:t>
      </w:r>
      <w:r w:rsidR="00B27F68" w:rsidRPr="005A0CA9">
        <w:rPr>
          <w:rFonts w:ascii="Calibri" w:hAnsi="Calibri"/>
          <w:color w:val="2F5496" w:themeColor="accent5" w:themeShade="BF"/>
        </w:rPr>
        <w:t>DU CSN 2018-2022</w:t>
      </w:r>
      <w:bookmarkEnd w:id="154"/>
    </w:p>
    <w:p w14:paraId="38EB92ED" w14:textId="587B999C" w:rsidR="00393201" w:rsidRPr="00747BCE" w:rsidRDefault="00393201" w:rsidP="00787CCB">
      <w:pPr>
        <w:rPr>
          <w:rFonts w:ascii="Calibri" w:hAnsi="Calibri"/>
          <w:sz w:val="8"/>
          <w:szCs w:val="20"/>
          <w:lang w:val="fr-CH"/>
        </w:rPr>
      </w:pPr>
    </w:p>
    <w:tbl>
      <w:tblPr>
        <w:tblW w:w="14742" w:type="dxa"/>
        <w:tblLayout w:type="fixed"/>
        <w:tblCellMar>
          <w:left w:w="70" w:type="dxa"/>
          <w:right w:w="70" w:type="dxa"/>
        </w:tblCellMar>
        <w:tblLook w:val="04A0" w:firstRow="1" w:lastRow="0" w:firstColumn="1" w:lastColumn="0" w:noHBand="0" w:noVBand="1"/>
      </w:tblPr>
      <w:tblGrid>
        <w:gridCol w:w="426"/>
        <w:gridCol w:w="567"/>
        <w:gridCol w:w="567"/>
        <w:gridCol w:w="5528"/>
        <w:gridCol w:w="1038"/>
        <w:gridCol w:w="142"/>
        <w:gridCol w:w="1118"/>
        <w:gridCol w:w="142"/>
        <w:gridCol w:w="1198"/>
        <w:gridCol w:w="142"/>
        <w:gridCol w:w="1238"/>
        <w:gridCol w:w="142"/>
        <w:gridCol w:w="1360"/>
        <w:gridCol w:w="1134"/>
      </w:tblGrid>
      <w:tr w:rsidR="00747BCE" w:rsidRPr="00747BCE" w14:paraId="3DA47C29" w14:textId="77777777" w:rsidTr="00747BCE">
        <w:trPr>
          <w:trHeight w:val="84"/>
        </w:trPr>
        <w:tc>
          <w:tcPr>
            <w:tcW w:w="426" w:type="dxa"/>
            <w:tcBorders>
              <w:top w:val="nil"/>
              <w:left w:val="nil"/>
              <w:bottom w:val="nil"/>
              <w:right w:val="nil"/>
            </w:tcBorders>
            <w:shd w:val="clear" w:color="000000" w:fill="FFFFFF"/>
            <w:noWrap/>
            <w:vAlign w:val="bottom"/>
            <w:hideMark/>
          </w:tcPr>
          <w:p w14:paraId="4E108A3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c>
          <w:tcPr>
            <w:tcW w:w="567" w:type="dxa"/>
            <w:tcBorders>
              <w:top w:val="nil"/>
              <w:left w:val="nil"/>
              <w:bottom w:val="nil"/>
              <w:right w:val="nil"/>
            </w:tcBorders>
            <w:shd w:val="clear" w:color="000000" w:fill="FFFFFF"/>
            <w:noWrap/>
            <w:vAlign w:val="bottom"/>
            <w:hideMark/>
          </w:tcPr>
          <w:p w14:paraId="6B9391C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c>
          <w:tcPr>
            <w:tcW w:w="567" w:type="dxa"/>
            <w:tcBorders>
              <w:top w:val="nil"/>
              <w:left w:val="nil"/>
              <w:bottom w:val="nil"/>
              <w:right w:val="nil"/>
            </w:tcBorders>
            <w:shd w:val="clear" w:color="000000" w:fill="FFFFFF"/>
            <w:noWrap/>
            <w:vAlign w:val="bottom"/>
            <w:hideMark/>
          </w:tcPr>
          <w:p w14:paraId="174CA72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nil"/>
              <w:right w:val="nil"/>
            </w:tcBorders>
            <w:shd w:val="clear" w:color="000000" w:fill="FFFFFF"/>
            <w:vAlign w:val="bottom"/>
            <w:hideMark/>
          </w:tcPr>
          <w:p w14:paraId="72B4986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c>
          <w:tcPr>
            <w:tcW w:w="1180" w:type="dxa"/>
            <w:gridSpan w:val="2"/>
            <w:tcBorders>
              <w:top w:val="nil"/>
              <w:left w:val="nil"/>
              <w:bottom w:val="nil"/>
              <w:right w:val="nil"/>
            </w:tcBorders>
            <w:shd w:val="clear" w:color="000000" w:fill="F79646"/>
            <w:noWrap/>
            <w:vAlign w:val="bottom"/>
            <w:hideMark/>
          </w:tcPr>
          <w:p w14:paraId="15473AC1" w14:textId="77777777" w:rsidR="00747BCE" w:rsidRPr="00747BCE" w:rsidRDefault="00747BCE" w:rsidP="00747BCE">
            <w:pPr>
              <w:jc w:val="right"/>
              <w:rPr>
                <w:rFonts w:ascii="Calibri" w:hAnsi="Calibri" w:cs="Calibri"/>
                <w:color w:val="FFFFFF"/>
                <w:sz w:val="18"/>
                <w:szCs w:val="18"/>
              </w:rPr>
            </w:pPr>
            <w:r w:rsidRPr="00747BCE">
              <w:rPr>
                <w:rFonts w:ascii="Calibri" w:hAnsi="Calibri" w:cs="Calibri"/>
                <w:color w:val="FFFFFF"/>
                <w:sz w:val="18"/>
                <w:szCs w:val="18"/>
              </w:rPr>
              <w:t>2018</w:t>
            </w:r>
          </w:p>
        </w:tc>
        <w:tc>
          <w:tcPr>
            <w:tcW w:w="1260" w:type="dxa"/>
            <w:gridSpan w:val="2"/>
            <w:tcBorders>
              <w:top w:val="nil"/>
              <w:left w:val="nil"/>
              <w:bottom w:val="nil"/>
              <w:right w:val="nil"/>
            </w:tcBorders>
            <w:shd w:val="clear" w:color="000000" w:fill="F79646"/>
            <w:noWrap/>
            <w:vAlign w:val="bottom"/>
            <w:hideMark/>
          </w:tcPr>
          <w:p w14:paraId="68A5AC7E" w14:textId="77777777" w:rsidR="00747BCE" w:rsidRPr="00747BCE" w:rsidRDefault="00747BCE" w:rsidP="00747BCE">
            <w:pPr>
              <w:jc w:val="right"/>
              <w:rPr>
                <w:rFonts w:ascii="Calibri" w:hAnsi="Calibri" w:cs="Calibri"/>
                <w:color w:val="FFFFFF"/>
                <w:sz w:val="18"/>
                <w:szCs w:val="18"/>
              </w:rPr>
            </w:pPr>
            <w:r w:rsidRPr="00747BCE">
              <w:rPr>
                <w:rFonts w:ascii="Calibri" w:hAnsi="Calibri" w:cs="Calibri"/>
                <w:color w:val="FFFFFF"/>
                <w:sz w:val="18"/>
                <w:szCs w:val="18"/>
              </w:rPr>
              <w:t>2019</w:t>
            </w:r>
          </w:p>
        </w:tc>
        <w:tc>
          <w:tcPr>
            <w:tcW w:w="1340" w:type="dxa"/>
            <w:gridSpan w:val="2"/>
            <w:tcBorders>
              <w:top w:val="nil"/>
              <w:left w:val="nil"/>
              <w:bottom w:val="nil"/>
              <w:right w:val="nil"/>
            </w:tcBorders>
            <w:shd w:val="clear" w:color="000000" w:fill="F79646"/>
            <w:noWrap/>
            <w:vAlign w:val="bottom"/>
            <w:hideMark/>
          </w:tcPr>
          <w:p w14:paraId="36D74853" w14:textId="77777777" w:rsidR="00747BCE" w:rsidRPr="00747BCE" w:rsidRDefault="00747BCE" w:rsidP="00747BCE">
            <w:pPr>
              <w:jc w:val="right"/>
              <w:rPr>
                <w:rFonts w:ascii="Calibri" w:hAnsi="Calibri" w:cs="Calibri"/>
                <w:color w:val="FFFFFF"/>
                <w:sz w:val="18"/>
                <w:szCs w:val="18"/>
              </w:rPr>
            </w:pPr>
            <w:r w:rsidRPr="00747BCE">
              <w:rPr>
                <w:rFonts w:ascii="Calibri" w:hAnsi="Calibri" w:cs="Calibri"/>
                <w:color w:val="FFFFFF"/>
                <w:sz w:val="18"/>
                <w:szCs w:val="18"/>
              </w:rPr>
              <w:t>2020</w:t>
            </w:r>
          </w:p>
        </w:tc>
        <w:tc>
          <w:tcPr>
            <w:tcW w:w="1380" w:type="dxa"/>
            <w:gridSpan w:val="2"/>
            <w:tcBorders>
              <w:top w:val="nil"/>
              <w:left w:val="nil"/>
              <w:bottom w:val="nil"/>
              <w:right w:val="nil"/>
            </w:tcBorders>
            <w:shd w:val="clear" w:color="000000" w:fill="F79646"/>
            <w:noWrap/>
            <w:vAlign w:val="bottom"/>
            <w:hideMark/>
          </w:tcPr>
          <w:p w14:paraId="7BFE56DD" w14:textId="77777777" w:rsidR="00747BCE" w:rsidRPr="00747BCE" w:rsidRDefault="00747BCE" w:rsidP="00747BCE">
            <w:pPr>
              <w:jc w:val="right"/>
              <w:rPr>
                <w:rFonts w:ascii="Calibri" w:hAnsi="Calibri" w:cs="Calibri"/>
                <w:color w:val="FFFFFF"/>
                <w:sz w:val="18"/>
                <w:szCs w:val="18"/>
              </w:rPr>
            </w:pPr>
            <w:r w:rsidRPr="00747BCE">
              <w:rPr>
                <w:rFonts w:ascii="Calibri" w:hAnsi="Calibri" w:cs="Calibri"/>
                <w:color w:val="FFFFFF"/>
                <w:sz w:val="18"/>
                <w:szCs w:val="18"/>
              </w:rPr>
              <w:t>2021</w:t>
            </w:r>
          </w:p>
        </w:tc>
        <w:tc>
          <w:tcPr>
            <w:tcW w:w="1360" w:type="dxa"/>
            <w:tcBorders>
              <w:top w:val="nil"/>
              <w:left w:val="nil"/>
              <w:bottom w:val="nil"/>
              <w:right w:val="nil"/>
            </w:tcBorders>
            <w:shd w:val="clear" w:color="000000" w:fill="F79646"/>
            <w:noWrap/>
            <w:vAlign w:val="bottom"/>
            <w:hideMark/>
          </w:tcPr>
          <w:p w14:paraId="67575DC2" w14:textId="77777777" w:rsidR="00747BCE" w:rsidRPr="00747BCE" w:rsidRDefault="00747BCE" w:rsidP="00747BCE">
            <w:pPr>
              <w:jc w:val="right"/>
              <w:rPr>
                <w:rFonts w:ascii="Calibri" w:hAnsi="Calibri" w:cs="Calibri"/>
                <w:color w:val="FFFFFF"/>
                <w:sz w:val="18"/>
                <w:szCs w:val="18"/>
              </w:rPr>
            </w:pPr>
            <w:r w:rsidRPr="00747BCE">
              <w:rPr>
                <w:rFonts w:ascii="Calibri" w:hAnsi="Calibri" w:cs="Calibri"/>
                <w:color w:val="FFFFFF"/>
                <w:sz w:val="18"/>
                <w:szCs w:val="18"/>
              </w:rPr>
              <w:t>2022</w:t>
            </w:r>
          </w:p>
        </w:tc>
        <w:tc>
          <w:tcPr>
            <w:tcW w:w="1134" w:type="dxa"/>
            <w:tcBorders>
              <w:top w:val="nil"/>
              <w:left w:val="nil"/>
              <w:bottom w:val="nil"/>
              <w:right w:val="nil"/>
            </w:tcBorders>
            <w:shd w:val="clear" w:color="000000" w:fill="F79646"/>
            <w:noWrap/>
            <w:vAlign w:val="bottom"/>
            <w:hideMark/>
          </w:tcPr>
          <w:p w14:paraId="1DB4D6E3" w14:textId="77777777" w:rsidR="00747BCE" w:rsidRPr="00747BCE" w:rsidRDefault="00747BCE" w:rsidP="00747BCE">
            <w:pPr>
              <w:rPr>
                <w:rFonts w:ascii="Calibri" w:hAnsi="Calibri" w:cs="Calibri"/>
                <w:color w:val="FFFFFF"/>
                <w:sz w:val="18"/>
                <w:szCs w:val="18"/>
              </w:rPr>
            </w:pPr>
            <w:r w:rsidRPr="00747BCE">
              <w:rPr>
                <w:rFonts w:ascii="Calibri" w:hAnsi="Calibri" w:cs="Calibri"/>
                <w:color w:val="FFFFFF"/>
                <w:sz w:val="18"/>
                <w:szCs w:val="18"/>
              </w:rPr>
              <w:t>Total</w:t>
            </w:r>
          </w:p>
        </w:tc>
      </w:tr>
      <w:tr w:rsidR="00747BCE" w:rsidRPr="00747BCE" w14:paraId="1BAB6906" w14:textId="77777777" w:rsidTr="00747BCE">
        <w:trPr>
          <w:trHeight w:val="192"/>
        </w:trPr>
        <w:tc>
          <w:tcPr>
            <w:tcW w:w="14742" w:type="dxa"/>
            <w:gridSpan w:val="14"/>
            <w:tcBorders>
              <w:top w:val="single" w:sz="8" w:space="0" w:color="auto"/>
              <w:left w:val="single" w:sz="8" w:space="0" w:color="auto"/>
              <w:bottom w:val="nil"/>
              <w:right w:val="single" w:sz="8" w:space="0" w:color="000000"/>
            </w:tcBorders>
            <w:shd w:val="clear" w:color="000000" w:fill="D8E4BC"/>
            <w:noWrap/>
            <w:vAlign w:val="bottom"/>
            <w:hideMark/>
          </w:tcPr>
          <w:p w14:paraId="6A3C057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Prévention</w:t>
            </w:r>
          </w:p>
        </w:tc>
      </w:tr>
      <w:tr w:rsidR="00747BCE" w:rsidRPr="00747BCE" w14:paraId="092FD25B" w14:textId="77777777" w:rsidTr="00747BCE">
        <w:trPr>
          <w:trHeight w:val="64"/>
        </w:trPr>
        <w:tc>
          <w:tcPr>
            <w:tcW w:w="426"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bottom"/>
            <w:hideMark/>
          </w:tcPr>
          <w:p w14:paraId="19E8D224"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14316" w:type="dxa"/>
            <w:gridSpan w:val="13"/>
            <w:tcBorders>
              <w:top w:val="single" w:sz="8" w:space="0" w:color="auto"/>
              <w:left w:val="nil"/>
              <w:bottom w:val="single" w:sz="4" w:space="0" w:color="auto"/>
              <w:right w:val="single" w:sz="8" w:space="0" w:color="000000"/>
            </w:tcBorders>
            <w:shd w:val="clear" w:color="000000" w:fill="DDD9C4"/>
            <w:noWrap/>
            <w:vAlign w:val="bottom"/>
            <w:hideMark/>
          </w:tcPr>
          <w:p w14:paraId="13D2631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Populations clés</w:t>
            </w:r>
          </w:p>
        </w:tc>
      </w:tr>
      <w:tr w:rsidR="00747BCE" w:rsidRPr="00747BCE" w14:paraId="3CD14ED0" w14:textId="77777777" w:rsidTr="00747BCE">
        <w:trPr>
          <w:trHeight w:val="96"/>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0AA5A99B"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nil"/>
              <w:right w:val="single" w:sz="4" w:space="0" w:color="auto"/>
            </w:tcBorders>
            <w:shd w:val="clear" w:color="000000" w:fill="FFFFFF"/>
            <w:noWrap/>
            <w:vAlign w:val="bottom"/>
            <w:hideMark/>
          </w:tcPr>
          <w:p w14:paraId="106849CC"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0BE3CA3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Professionnelles du sexe</w:t>
            </w:r>
          </w:p>
        </w:tc>
      </w:tr>
      <w:tr w:rsidR="00747BCE" w:rsidRPr="00747BCE" w14:paraId="7B866A6F"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44C94932"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7909CF83"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086AD851"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05F95B7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Couverture</w:t>
            </w:r>
          </w:p>
        </w:tc>
        <w:tc>
          <w:tcPr>
            <w:tcW w:w="1038" w:type="dxa"/>
            <w:tcBorders>
              <w:top w:val="nil"/>
              <w:left w:val="nil"/>
              <w:bottom w:val="single" w:sz="4" w:space="0" w:color="auto"/>
              <w:right w:val="single" w:sz="4" w:space="0" w:color="auto"/>
            </w:tcBorders>
            <w:shd w:val="clear" w:color="000000" w:fill="FFFFFF"/>
            <w:noWrap/>
            <w:vAlign w:val="bottom"/>
            <w:hideMark/>
          </w:tcPr>
          <w:p w14:paraId="4A37AFDD"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556288E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4029E02D"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75%</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218A0048"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80%</w:t>
            </w:r>
          </w:p>
        </w:tc>
        <w:tc>
          <w:tcPr>
            <w:tcW w:w="1502" w:type="dxa"/>
            <w:gridSpan w:val="2"/>
            <w:tcBorders>
              <w:top w:val="nil"/>
              <w:left w:val="nil"/>
              <w:bottom w:val="single" w:sz="4" w:space="0" w:color="auto"/>
              <w:right w:val="single" w:sz="4" w:space="0" w:color="auto"/>
            </w:tcBorders>
            <w:shd w:val="clear" w:color="000000" w:fill="FFFFFF"/>
            <w:noWrap/>
            <w:vAlign w:val="bottom"/>
            <w:hideMark/>
          </w:tcPr>
          <w:p w14:paraId="46398D2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95%</w:t>
            </w:r>
          </w:p>
        </w:tc>
        <w:tc>
          <w:tcPr>
            <w:tcW w:w="1134" w:type="dxa"/>
            <w:tcBorders>
              <w:top w:val="nil"/>
              <w:left w:val="nil"/>
              <w:bottom w:val="single" w:sz="4" w:space="0" w:color="auto"/>
              <w:right w:val="single" w:sz="8" w:space="0" w:color="auto"/>
            </w:tcBorders>
            <w:shd w:val="clear" w:color="000000" w:fill="FFFFFF"/>
            <w:noWrap/>
            <w:vAlign w:val="bottom"/>
            <w:hideMark/>
          </w:tcPr>
          <w:p w14:paraId="28E886C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6F3B0C98" w14:textId="77777777" w:rsidTr="00747BCE">
        <w:trPr>
          <w:trHeight w:val="280"/>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EAE19BC"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281E336A"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29A73590"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0EBE96C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Nombre de PS touchés par le paquet de services</w:t>
            </w:r>
          </w:p>
        </w:tc>
        <w:tc>
          <w:tcPr>
            <w:tcW w:w="1038" w:type="dxa"/>
            <w:tcBorders>
              <w:top w:val="nil"/>
              <w:left w:val="nil"/>
              <w:bottom w:val="single" w:sz="4" w:space="0" w:color="auto"/>
              <w:right w:val="single" w:sz="4" w:space="0" w:color="auto"/>
            </w:tcBorders>
            <w:shd w:val="clear" w:color="000000" w:fill="FFFFFF"/>
            <w:noWrap/>
            <w:vAlign w:val="bottom"/>
            <w:hideMark/>
          </w:tcPr>
          <w:p w14:paraId="40AC06DF" w14:textId="79CD9DC0"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7 556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2906F0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9 303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1A004D7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11 931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18A8939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13 057 </w:t>
            </w:r>
          </w:p>
        </w:tc>
        <w:tc>
          <w:tcPr>
            <w:tcW w:w="1502" w:type="dxa"/>
            <w:gridSpan w:val="2"/>
            <w:tcBorders>
              <w:top w:val="nil"/>
              <w:left w:val="nil"/>
              <w:bottom w:val="single" w:sz="4" w:space="0" w:color="auto"/>
              <w:right w:val="single" w:sz="4" w:space="0" w:color="auto"/>
            </w:tcBorders>
            <w:shd w:val="clear" w:color="000000" w:fill="FFFFFF"/>
            <w:noWrap/>
            <w:vAlign w:val="bottom"/>
            <w:hideMark/>
          </w:tcPr>
          <w:p w14:paraId="1633CF8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15 908 </w:t>
            </w:r>
          </w:p>
        </w:tc>
        <w:tc>
          <w:tcPr>
            <w:tcW w:w="1134" w:type="dxa"/>
            <w:tcBorders>
              <w:top w:val="nil"/>
              <w:left w:val="nil"/>
              <w:bottom w:val="single" w:sz="4" w:space="0" w:color="auto"/>
              <w:right w:val="single" w:sz="8" w:space="0" w:color="auto"/>
            </w:tcBorders>
            <w:shd w:val="clear" w:color="000000" w:fill="FFFFFF"/>
            <w:noWrap/>
            <w:vAlign w:val="bottom"/>
            <w:hideMark/>
          </w:tcPr>
          <w:p w14:paraId="5CACE0DB"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57 755 </w:t>
            </w:r>
          </w:p>
        </w:tc>
      </w:tr>
      <w:tr w:rsidR="00747BCE" w:rsidRPr="00747BCE" w14:paraId="2778F0A9" w14:textId="77777777" w:rsidTr="00747BCE">
        <w:trPr>
          <w:trHeight w:val="196"/>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475F17A8"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261B6C5D"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0518E79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Hommes ayant des relations sexuelles avec d'autres hommes</w:t>
            </w:r>
          </w:p>
        </w:tc>
      </w:tr>
      <w:tr w:rsidR="00747BCE" w:rsidRPr="00747BCE" w14:paraId="2BE8935A" w14:textId="77777777" w:rsidTr="00747BCE">
        <w:trPr>
          <w:trHeight w:val="82"/>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5B53957"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7465B66A"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7D13EB5A"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0038DCC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Couverture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07B56C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36BBD905"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5F8171CD"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03F7AF47"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85%</w:t>
            </w:r>
          </w:p>
        </w:tc>
        <w:tc>
          <w:tcPr>
            <w:tcW w:w="1360" w:type="dxa"/>
            <w:tcBorders>
              <w:top w:val="nil"/>
              <w:left w:val="nil"/>
              <w:bottom w:val="single" w:sz="4" w:space="0" w:color="auto"/>
              <w:right w:val="single" w:sz="4" w:space="0" w:color="auto"/>
            </w:tcBorders>
            <w:shd w:val="clear" w:color="000000" w:fill="FFFFFF"/>
            <w:noWrap/>
            <w:vAlign w:val="bottom"/>
            <w:hideMark/>
          </w:tcPr>
          <w:p w14:paraId="500BD63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90%</w:t>
            </w:r>
          </w:p>
        </w:tc>
        <w:tc>
          <w:tcPr>
            <w:tcW w:w="1134" w:type="dxa"/>
            <w:tcBorders>
              <w:top w:val="nil"/>
              <w:left w:val="nil"/>
              <w:bottom w:val="single" w:sz="4" w:space="0" w:color="auto"/>
              <w:right w:val="single" w:sz="8" w:space="0" w:color="auto"/>
            </w:tcBorders>
            <w:shd w:val="clear" w:color="000000" w:fill="FFFFFF"/>
            <w:noWrap/>
            <w:vAlign w:val="bottom"/>
            <w:hideMark/>
          </w:tcPr>
          <w:p w14:paraId="7124CD6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01AFAD4A" w14:textId="77777777" w:rsidTr="00747BCE">
        <w:trPr>
          <w:trHeight w:val="131"/>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1469C0AF"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3811BD03"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1B8CE1DA"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06C11FCC" w14:textId="77777777" w:rsidR="00747BCE" w:rsidRPr="00747BCE" w:rsidRDefault="00747BCE" w:rsidP="00747BCE">
            <w:pPr>
              <w:rPr>
                <w:rFonts w:ascii="Calibri" w:hAnsi="Calibri" w:cs="Calibri"/>
                <w:sz w:val="18"/>
                <w:szCs w:val="18"/>
              </w:rPr>
            </w:pPr>
            <w:proofErr w:type="gramStart"/>
            <w:r w:rsidRPr="00747BCE">
              <w:rPr>
                <w:rFonts w:ascii="Calibri" w:hAnsi="Calibri" w:cs="Calibri"/>
                <w:sz w:val="18"/>
                <w:szCs w:val="18"/>
              </w:rPr>
              <w:t>Nombre de HSH touchés</w:t>
            </w:r>
            <w:proofErr w:type="gramEnd"/>
            <w:r w:rsidRPr="00747BCE">
              <w:rPr>
                <w:rFonts w:ascii="Calibri" w:hAnsi="Calibri" w:cs="Calibri"/>
                <w:sz w:val="18"/>
                <w:szCs w:val="18"/>
              </w:rPr>
              <w:t xml:space="preserve"> par le paquet de services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39ED800B"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769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675602E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1 104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69BA611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1 295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2E2C5F6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1 411 </w:t>
            </w:r>
          </w:p>
        </w:tc>
        <w:tc>
          <w:tcPr>
            <w:tcW w:w="1360" w:type="dxa"/>
            <w:tcBorders>
              <w:top w:val="nil"/>
              <w:left w:val="nil"/>
              <w:bottom w:val="single" w:sz="4" w:space="0" w:color="auto"/>
              <w:right w:val="single" w:sz="4" w:space="0" w:color="auto"/>
            </w:tcBorders>
            <w:shd w:val="clear" w:color="000000" w:fill="FFFFFF"/>
            <w:noWrap/>
            <w:vAlign w:val="bottom"/>
            <w:hideMark/>
          </w:tcPr>
          <w:p w14:paraId="7755431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1 533 </w:t>
            </w:r>
          </w:p>
        </w:tc>
        <w:tc>
          <w:tcPr>
            <w:tcW w:w="1134" w:type="dxa"/>
            <w:tcBorders>
              <w:top w:val="nil"/>
              <w:left w:val="nil"/>
              <w:bottom w:val="single" w:sz="4" w:space="0" w:color="auto"/>
              <w:right w:val="single" w:sz="8" w:space="0" w:color="auto"/>
            </w:tcBorders>
            <w:shd w:val="clear" w:color="000000" w:fill="FFFFFF"/>
            <w:noWrap/>
            <w:vAlign w:val="bottom"/>
            <w:hideMark/>
          </w:tcPr>
          <w:p w14:paraId="1CFBC48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6 112 </w:t>
            </w:r>
          </w:p>
        </w:tc>
      </w:tr>
      <w:tr w:rsidR="00747BCE" w:rsidRPr="00747BCE" w14:paraId="795B87F4" w14:textId="77777777" w:rsidTr="00747BCE">
        <w:trPr>
          <w:trHeight w:val="177"/>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4B97AA7A"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1473E5D0"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3D441EB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Population carcérale</w:t>
            </w:r>
          </w:p>
        </w:tc>
      </w:tr>
      <w:tr w:rsidR="00747BCE" w:rsidRPr="00747BCE" w14:paraId="5E7677EC" w14:textId="77777777" w:rsidTr="00747BCE">
        <w:trPr>
          <w:trHeight w:val="81"/>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477B994C"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6BB4C39C"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0C1310F"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5E83C9D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Couverture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00E227B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F19D085"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1C617DFF"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75%</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632B726E"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80%</w:t>
            </w:r>
          </w:p>
        </w:tc>
        <w:tc>
          <w:tcPr>
            <w:tcW w:w="1360" w:type="dxa"/>
            <w:tcBorders>
              <w:top w:val="nil"/>
              <w:left w:val="nil"/>
              <w:bottom w:val="single" w:sz="4" w:space="0" w:color="auto"/>
              <w:right w:val="single" w:sz="4" w:space="0" w:color="auto"/>
            </w:tcBorders>
            <w:shd w:val="clear" w:color="000000" w:fill="FFFFFF"/>
            <w:noWrap/>
            <w:vAlign w:val="bottom"/>
            <w:hideMark/>
          </w:tcPr>
          <w:p w14:paraId="14D1DB27"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85%</w:t>
            </w:r>
          </w:p>
        </w:tc>
        <w:tc>
          <w:tcPr>
            <w:tcW w:w="1134" w:type="dxa"/>
            <w:tcBorders>
              <w:top w:val="nil"/>
              <w:left w:val="nil"/>
              <w:bottom w:val="single" w:sz="4" w:space="0" w:color="auto"/>
              <w:right w:val="single" w:sz="8" w:space="0" w:color="auto"/>
            </w:tcBorders>
            <w:shd w:val="clear" w:color="000000" w:fill="FFFFFF"/>
            <w:noWrap/>
            <w:vAlign w:val="bottom"/>
            <w:hideMark/>
          </w:tcPr>
          <w:p w14:paraId="51D11DF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343C68C0" w14:textId="77777777" w:rsidTr="00747BCE">
        <w:trPr>
          <w:trHeight w:val="113"/>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01E37C9E"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0F3071BF"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508876A4"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1E3C62A6" w14:textId="77777777" w:rsidR="00747BCE" w:rsidRPr="00747BCE" w:rsidRDefault="00747BCE" w:rsidP="00747BCE">
            <w:pPr>
              <w:rPr>
                <w:rFonts w:ascii="Calibri" w:hAnsi="Calibri" w:cs="Calibri"/>
                <w:sz w:val="18"/>
                <w:szCs w:val="18"/>
              </w:rPr>
            </w:pPr>
            <w:proofErr w:type="gramStart"/>
            <w:r w:rsidRPr="00747BCE">
              <w:rPr>
                <w:rFonts w:ascii="Calibri" w:hAnsi="Calibri" w:cs="Calibri"/>
                <w:sz w:val="18"/>
                <w:szCs w:val="18"/>
              </w:rPr>
              <w:t>Nombre  touchés</w:t>
            </w:r>
            <w:proofErr w:type="gramEnd"/>
            <w:r w:rsidRPr="00747BCE">
              <w:rPr>
                <w:rFonts w:ascii="Calibri" w:hAnsi="Calibri" w:cs="Calibri"/>
                <w:sz w:val="18"/>
                <w:szCs w:val="18"/>
              </w:rPr>
              <w:t xml:space="preserve"> par le paquet de services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0DA1317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1 973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BF2FCF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2 429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33E06B8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3 115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438ABA9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3 409 </w:t>
            </w:r>
          </w:p>
        </w:tc>
        <w:tc>
          <w:tcPr>
            <w:tcW w:w="1360" w:type="dxa"/>
            <w:tcBorders>
              <w:top w:val="nil"/>
              <w:left w:val="nil"/>
              <w:bottom w:val="single" w:sz="4" w:space="0" w:color="auto"/>
              <w:right w:val="single" w:sz="4" w:space="0" w:color="auto"/>
            </w:tcBorders>
            <w:shd w:val="clear" w:color="000000" w:fill="FFFFFF"/>
            <w:noWrap/>
            <w:vAlign w:val="bottom"/>
            <w:hideMark/>
          </w:tcPr>
          <w:p w14:paraId="3C251FC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3 716 </w:t>
            </w:r>
          </w:p>
        </w:tc>
        <w:tc>
          <w:tcPr>
            <w:tcW w:w="1134" w:type="dxa"/>
            <w:tcBorders>
              <w:top w:val="nil"/>
              <w:left w:val="nil"/>
              <w:bottom w:val="single" w:sz="4" w:space="0" w:color="auto"/>
              <w:right w:val="single" w:sz="8" w:space="0" w:color="auto"/>
            </w:tcBorders>
            <w:shd w:val="clear" w:color="000000" w:fill="FFFFFF"/>
            <w:noWrap/>
            <w:vAlign w:val="bottom"/>
            <w:hideMark/>
          </w:tcPr>
          <w:p w14:paraId="7741D95B"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14 642 </w:t>
            </w:r>
          </w:p>
        </w:tc>
      </w:tr>
      <w:tr w:rsidR="00747BCE" w:rsidRPr="00747BCE" w14:paraId="2FE74D04" w14:textId="77777777" w:rsidTr="00747BCE">
        <w:trPr>
          <w:trHeight w:val="15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0C8B6EC9"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5C25D11C"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31D412F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Utilisateurs de drogue injectable (UDI)</w:t>
            </w:r>
          </w:p>
        </w:tc>
      </w:tr>
      <w:tr w:rsidR="00747BCE" w:rsidRPr="00747BCE" w14:paraId="6103C9FA"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57826566"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4078D6D1"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76D5E4D1"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06B81E6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Couverture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60737EFB"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49DB3F0C"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7B0E7D5B"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90%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75EC0FA1"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95%</w:t>
            </w:r>
          </w:p>
        </w:tc>
        <w:tc>
          <w:tcPr>
            <w:tcW w:w="1360" w:type="dxa"/>
            <w:tcBorders>
              <w:top w:val="nil"/>
              <w:left w:val="nil"/>
              <w:bottom w:val="single" w:sz="4" w:space="0" w:color="auto"/>
              <w:right w:val="single" w:sz="4" w:space="0" w:color="auto"/>
            </w:tcBorders>
            <w:shd w:val="clear" w:color="000000" w:fill="FFFFFF"/>
            <w:noWrap/>
            <w:vAlign w:val="bottom"/>
            <w:hideMark/>
          </w:tcPr>
          <w:p w14:paraId="7C20923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95%</w:t>
            </w:r>
          </w:p>
        </w:tc>
        <w:tc>
          <w:tcPr>
            <w:tcW w:w="1134" w:type="dxa"/>
            <w:tcBorders>
              <w:top w:val="nil"/>
              <w:left w:val="nil"/>
              <w:bottom w:val="single" w:sz="4" w:space="0" w:color="auto"/>
              <w:right w:val="single" w:sz="8" w:space="0" w:color="auto"/>
            </w:tcBorders>
            <w:shd w:val="clear" w:color="000000" w:fill="FFFFFF"/>
            <w:noWrap/>
            <w:vAlign w:val="bottom"/>
            <w:hideMark/>
          </w:tcPr>
          <w:p w14:paraId="089541A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794168F6" w14:textId="77777777" w:rsidTr="00747BCE">
        <w:trPr>
          <w:trHeight w:val="10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9686BC3"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nil"/>
              <w:right w:val="single" w:sz="4" w:space="0" w:color="auto"/>
            </w:tcBorders>
            <w:vAlign w:val="center"/>
            <w:hideMark/>
          </w:tcPr>
          <w:p w14:paraId="65FAFFEA"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6938994F"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3B5E5BB8" w14:textId="77777777" w:rsidR="00747BCE" w:rsidRPr="00747BCE" w:rsidRDefault="00747BCE" w:rsidP="00747BCE">
            <w:pPr>
              <w:rPr>
                <w:rFonts w:ascii="Calibri" w:hAnsi="Calibri" w:cs="Calibri"/>
                <w:sz w:val="18"/>
                <w:szCs w:val="18"/>
              </w:rPr>
            </w:pPr>
            <w:proofErr w:type="gramStart"/>
            <w:r w:rsidRPr="00747BCE">
              <w:rPr>
                <w:rFonts w:ascii="Calibri" w:hAnsi="Calibri" w:cs="Calibri"/>
                <w:sz w:val="18"/>
                <w:szCs w:val="18"/>
              </w:rPr>
              <w:t>Nombre de UDI touchés</w:t>
            </w:r>
            <w:proofErr w:type="gramEnd"/>
            <w:r w:rsidRPr="00747BCE">
              <w:rPr>
                <w:rFonts w:ascii="Calibri" w:hAnsi="Calibri" w:cs="Calibri"/>
                <w:sz w:val="18"/>
                <w:szCs w:val="18"/>
              </w:rPr>
              <w:t xml:space="preserve"> par le paquet de services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DF16A8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76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19077D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89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3E53235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103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167E9F9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111 </w:t>
            </w:r>
          </w:p>
        </w:tc>
        <w:tc>
          <w:tcPr>
            <w:tcW w:w="1360" w:type="dxa"/>
            <w:tcBorders>
              <w:top w:val="nil"/>
              <w:left w:val="nil"/>
              <w:bottom w:val="single" w:sz="4" w:space="0" w:color="auto"/>
              <w:right w:val="single" w:sz="4" w:space="0" w:color="auto"/>
            </w:tcBorders>
            <w:shd w:val="clear" w:color="000000" w:fill="FFFFFF"/>
            <w:noWrap/>
            <w:vAlign w:val="bottom"/>
            <w:hideMark/>
          </w:tcPr>
          <w:p w14:paraId="12BD0A12" w14:textId="54CBC886"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114 </w:t>
            </w:r>
          </w:p>
        </w:tc>
        <w:tc>
          <w:tcPr>
            <w:tcW w:w="1134" w:type="dxa"/>
            <w:tcBorders>
              <w:top w:val="nil"/>
              <w:left w:val="nil"/>
              <w:bottom w:val="single" w:sz="4" w:space="0" w:color="auto"/>
              <w:right w:val="single" w:sz="8" w:space="0" w:color="auto"/>
            </w:tcBorders>
            <w:shd w:val="clear" w:color="000000" w:fill="FFFFFF"/>
            <w:noWrap/>
            <w:vAlign w:val="bottom"/>
            <w:hideMark/>
          </w:tcPr>
          <w:p w14:paraId="7938207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493 </w:t>
            </w:r>
          </w:p>
        </w:tc>
      </w:tr>
      <w:tr w:rsidR="00747BCE" w:rsidRPr="00747BCE" w14:paraId="75A19820" w14:textId="77777777" w:rsidTr="00747BCE">
        <w:trPr>
          <w:trHeight w:val="155"/>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5D64A45F" w14:textId="77777777" w:rsidR="00747BCE" w:rsidRPr="00747BCE" w:rsidRDefault="00747BCE" w:rsidP="00747BCE">
            <w:pPr>
              <w:rPr>
                <w:rFonts w:ascii="Calibri" w:hAnsi="Calibri" w:cs="Calibri"/>
                <w:sz w:val="18"/>
                <w:szCs w:val="18"/>
              </w:rPr>
            </w:pPr>
          </w:p>
        </w:tc>
        <w:tc>
          <w:tcPr>
            <w:tcW w:w="14316" w:type="dxa"/>
            <w:gridSpan w:val="13"/>
            <w:tcBorders>
              <w:top w:val="single" w:sz="4" w:space="0" w:color="auto"/>
              <w:left w:val="nil"/>
              <w:bottom w:val="single" w:sz="4" w:space="0" w:color="auto"/>
              <w:right w:val="single" w:sz="8" w:space="0" w:color="000000"/>
            </w:tcBorders>
            <w:shd w:val="clear" w:color="000000" w:fill="DDD9C4"/>
            <w:noWrap/>
            <w:vAlign w:val="bottom"/>
            <w:hideMark/>
          </w:tcPr>
          <w:p w14:paraId="7902A5D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Populations vulnérables</w:t>
            </w:r>
          </w:p>
        </w:tc>
      </w:tr>
      <w:tr w:rsidR="00747BCE" w:rsidRPr="00747BCE" w14:paraId="7A011E3B" w14:textId="77777777" w:rsidTr="00747BCE">
        <w:trPr>
          <w:trHeight w:val="201"/>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5355EE3F"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2A1D303"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3528D1B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Jeunes</w:t>
            </w:r>
          </w:p>
        </w:tc>
      </w:tr>
      <w:tr w:rsidR="00747BCE" w:rsidRPr="00747BCE" w14:paraId="77748730" w14:textId="77777777" w:rsidTr="00747BCE">
        <w:trPr>
          <w:trHeight w:val="233"/>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17F1C0B6"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307AC296"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7087BE5E"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noWrap/>
            <w:vAlign w:val="bottom"/>
            <w:hideMark/>
          </w:tcPr>
          <w:p w14:paraId="229F201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élèves du primaire dont les enseignants ont été formés sur le SIDA</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4D9F33FA"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6F99CFF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7ACB2D62"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5F990AE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w:t>
            </w:r>
          </w:p>
        </w:tc>
        <w:tc>
          <w:tcPr>
            <w:tcW w:w="1360" w:type="dxa"/>
            <w:tcBorders>
              <w:top w:val="nil"/>
              <w:left w:val="nil"/>
              <w:bottom w:val="single" w:sz="4" w:space="0" w:color="auto"/>
              <w:right w:val="single" w:sz="4" w:space="0" w:color="auto"/>
            </w:tcBorders>
            <w:shd w:val="clear" w:color="000000" w:fill="FFFFFF"/>
            <w:noWrap/>
            <w:vAlign w:val="bottom"/>
            <w:hideMark/>
          </w:tcPr>
          <w:p w14:paraId="0D4414F7"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w:t>
            </w:r>
          </w:p>
        </w:tc>
        <w:tc>
          <w:tcPr>
            <w:tcW w:w="1134" w:type="dxa"/>
            <w:tcBorders>
              <w:top w:val="nil"/>
              <w:left w:val="nil"/>
              <w:bottom w:val="single" w:sz="4" w:space="0" w:color="auto"/>
              <w:right w:val="single" w:sz="8" w:space="0" w:color="auto"/>
            </w:tcBorders>
            <w:shd w:val="clear" w:color="000000" w:fill="FFFFFF"/>
            <w:noWrap/>
            <w:vAlign w:val="bottom"/>
            <w:hideMark/>
          </w:tcPr>
          <w:p w14:paraId="07E5016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5379586B"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4C733F69"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C548C76"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529D8B98"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noWrap/>
            <w:vAlign w:val="bottom"/>
            <w:hideMark/>
          </w:tcPr>
          <w:p w14:paraId="0101227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élèves du secondaire dont les enseignants ont été formés sur le SIDA</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393ACFC"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3600827"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4625A5E2"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2D59ABF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360" w:type="dxa"/>
            <w:tcBorders>
              <w:top w:val="nil"/>
              <w:left w:val="nil"/>
              <w:bottom w:val="single" w:sz="4" w:space="0" w:color="auto"/>
              <w:right w:val="single" w:sz="4" w:space="0" w:color="auto"/>
            </w:tcBorders>
            <w:shd w:val="clear" w:color="000000" w:fill="FFFFFF"/>
            <w:noWrap/>
            <w:vAlign w:val="bottom"/>
            <w:hideMark/>
          </w:tcPr>
          <w:p w14:paraId="6425F20C"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134" w:type="dxa"/>
            <w:tcBorders>
              <w:top w:val="nil"/>
              <w:left w:val="nil"/>
              <w:bottom w:val="single" w:sz="4" w:space="0" w:color="auto"/>
              <w:right w:val="single" w:sz="8" w:space="0" w:color="auto"/>
            </w:tcBorders>
            <w:shd w:val="clear" w:color="000000" w:fill="FFFFFF"/>
            <w:noWrap/>
            <w:vAlign w:val="bottom"/>
            <w:hideMark/>
          </w:tcPr>
          <w:p w14:paraId="1EC3AAB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60311944" w14:textId="77777777" w:rsidTr="00747BCE">
        <w:trPr>
          <w:trHeight w:val="9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7141D935"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0636CC61"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F4B5E1B"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noWrap/>
            <w:vAlign w:val="bottom"/>
            <w:hideMark/>
          </w:tcPr>
          <w:p w14:paraId="09662CD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jeunes non scolarisés bénéficiaires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FD317D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50463D8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31B2C373"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3200EC18"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360" w:type="dxa"/>
            <w:tcBorders>
              <w:top w:val="nil"/>
              <w:left w:val="nil"/>
              <w:bottom w:val="single" w:sz="4" w:space="0" w:color="auto"/>
              <w:right w:val="single" w:sz="4" w:space="0" w:color="auto"/>
            </w:tcBorders>
            <w:shd w:val="clear" w:color="000000" w:fill="FFFFFF"/>
            <w:noWrap/>
            <w:vAlign w:val="bottom"/>
            <w:hideMark/>
          </w:tcPr>
          <w:p w14:paraId="686E1BF9"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134" w:type="dxa"/>
            <w:tcBorders>
              <w:top w:val="nil"/>
              <w:left w:val="nil"/>
              <w:bottom w:val="single" w:sz="4" w:space="0" w:color="auto"/>
              <w:right w:val="single" w:sz="8" w:space="0" w:color="auto"/>
            </w:tcBorders>
            <w:shd w:val="clear" w:color="000000" w:fill="FFFFFF"/>
            <w:noWrap/>
            <w:vAlign w:val="bottom"/>
            <w:hideMark/>
          </w:tcPr>
          <w:p w14:paraId="633415B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71E4D21E"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56A32A1B"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4C9336EF"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46AF4298"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noWrap/>
            <w:vAlign w:val="bottom"/>
            <w:hideMark/>
          </w:tcPr>
          <w:p w14:paraId="4C9A9DE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Elèves </w:t>
            </w:r>
            <w:proofErr w:type="spellStart"/>
            <w:r w:rsidRPr="00747BCE">
              <w:rPr>
                <w:rFonts w:ascii="Calibri" w:hAnsi="Calibri" w:cs="Calibri"/>
                <w:sz w:val="18"/>
                <w:szCs w:val="18"/>
              </w:rPr>
              <w:t>tertiare</w:t>
            </w:r>
            <w:proofErr w:type="spellEnd"/>
            <w:r w:rsidRPr="00747BCE">
              <w:rPr>
                <w:rFonts w:ascii="Calibri" w:hAnsi="Calibri" w:cs="Calibri"/>
                <w:sz w:val="18"/>
                <w:szCs w:val="18"/>
              </w:rPr>
              <w:t xml:space="preserve"> bénéficiaires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62A89B3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957167E"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1D06E29A"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2C2FE71E"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20%</w:t>
            </w:r>
          </w:p>
        </w:tc>
        <w:tc>
          <w:tcPr>
            <w:tcW w:w="1360" w:type="dxa"/>
            <w:tcBorders>
              <w:top w:val="nil"/>
              <w:left w:val="nil"/>
              <w:bottom w:val="single" w:sz="4" w:space="0" w:color="auto"/>
              <w:right w:val="single" w:sz="4" w:space="0" w:color="auto"/>
            </w:tcBorders>
            <w:shd w:val="clear" w:color="000000" w:fill="FFFFFF"/>
            <w:noWrap/>
            <w:vAlign w:val="bottom"/>
            <w:hideMark/>
          </w:tcPr>
          <w:p w14:paraId="44C2341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20%</w:t>
            </w:r>
          </w:p>
        </w:tc>
        <w:tc>
          <w:tcPr>
            <w:tcW w:w="1134" w:type="dxa"/>
            <w:tcBorders>
              <w:top w:val="nil"/>
              <w:left w:val="nil"/>
              <w:bottom w:val="single" w:sz="4" w:space="0" w:color="auto"/>
              <w:right w:val="single" w:sz="8" w:space="0" w:color="auto"/>
            </w:tcBorders>
            <w:shd w:val="clear" w:color="000000" w:fill="FFFFFF"/>
            <w:noWrap/>
            <w:vAlign w:val="bottom"/>
            <w:hideMark/>
          </w:tcPr>
          <w:p w14:paraId="6954B65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4809825C" w14:textId="77777777" w:rsidTr="00747BCE">
        <w:trPr>
          <w:trHeight w:val="221"/>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725DBBE9"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10FED2F5"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1AEFB77B"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795E9F2E" w14:textId="77777777" w:rsidR="00747BCE" w:rsidRPr="00747BCE" w:rsidRDefault="00747BCE" w:rsidP="00747BCE">
            <w:pPr>
              <w:rPr>
                <w:rFonts w:ascii="Calibri" w:hAnsi="Calibri" w:cs="Calibri"/>
                <w:sz w:val="18"/>
                <w:szCs w:val="18"/>
              </w:rPr>
            </w:pPr>
            <w:proofErr w:type="gramStart"/>
            <w:r w:rsidRPr="00747BCE">
              <w:rPr>
                <w:rFonts w:ascii="Calibri" w:hAnsi="Calibri" w:cs="Calibri"/>
                <w:sz w:val="18"/>
                <w:szCs w:val="18"/>
              </w:rPr>
              <w:t>Nombre  touchés</w:t>
            </w:r>
            <w:proofErr w:type="gramEnd"/>
            <w:r w:rsidRPr="00747BCE">
              <w:rPr>
                <w:rFonts w:ascii="Calibri" w:hAnsi="Calibri" w:cs="Calibri"/>
                <w:sz w:val="18"/>
                <w:szCs w:val="18"/>
              </w:rPr>
              <w:t xml:space="preserve"> par le paquet de services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3E0D9C1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282 610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B29623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290 806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6DA8AAB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299 239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7AAB3D0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307 917 </w:t>
            </w:r>
          </w:p>
        </w:tc>
        <w:tc>
          <w:tcPr>
            <w:tcW w:w="1360" w:type="dxa"/>
            <w:tcBorders>
              <w:top w:val="nil"/>
              <w:left w:val="nil"/>
              <w:bottom w:val="single" w:sz="4" w:space="0" w:color="auto"/>
              <w:right w:val="single" w:sz="4" w:space="0" w:color="auto"/>
            </w:tcBorders>
            <w:shd w:val="clear" w:color="000000" w:fill="FFFFFF"/>
            <w:noWrap/>
            <w:vAlign w:val="bottom"/>
            <w:hideMark/>
          </w:tcPr>
          <w:p w14:paraId="1650EEB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316 847 </w:t>
            </w:r>
          </w:p>
        </w:tc>
        <w:tc>
          <w:tcPr>
            <w:tcW w:w="1134" w:type="dxa"/>
            <w:tcBorders>
              <w:top w:val="nil"/>
              <w:left w:val="nil"/>
              <w:bottom w:val="single" w:sz="4" w:space="0" w:color="auto"/>
              <w:right w:val="single" w:sz="8" w:space="0" w:color="auto"/>
            </w:tcBorders>
            <w:shd w:val="clear" w:color="000000" w:fill="FFFFFF"/>
            <w:noWrap/>
            <w:vAlign w:val="bottom"/>
            <w:hideMark/>
          </w:tcPr>
          <w:p w14:paraId="39E2ACB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1 497 419 </w:t>
            </w:r>
          </w:p>
        </w:tc>
      </w:tr>
      <w:tr w:rsidR="00747BCE" w:rsidRPr="00747BCE" w14:paraId="75362873" w14:textId="77777777" w:rsidTr="00747BCE">
        <w:trPr>
          <w:trHeight w:val="125"/>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2FDAEA00"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C4FCF06"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1CC60EE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Pêcheurs</w:t>
            </w:r>
          </w:p>
        </w:tc>
      </w:tr>
      <w:tr w:rsidR="00747BCE" w:rsidRPr="00747BCE" w14:paraId="467ABA65"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39BACBFF"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4E30D82B"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42E1BDFE"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694280F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Couverture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375AF081"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36C95E1B"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662BF218"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75%</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3EF37D1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80%</w:t>
            </w:r>
          </w:p>
        </w:tc>
        <w:tc>
          <w:tcPr>
            <w:tcW w:w="1360" w:type="dxa"/>
            <w:tcBorders>
              <w:top w:val="nil"/>
              <w:left w:val="nil"/>
              <w:bottom w:val="single" w:sz="4" w:space="0" w:color="auto"/>
              <w:right w:val="single" w:sz="4" w:space="0" w:color="auto"/>
            </w:tcBorders>
            <w:shd w:val="clear" w:color="000000" w:fill="FFFFFF"/>
            <w:noWrap/>
            <w:vAlign w:val="bottom"/>
            <w:hideMark/>
          </w:tcPr>
          <w:p w14:paraId="1E12337F"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85%</w:t>
            </w:r>
          </w:p>
        </w:tc>
        <w:tc>
          <w:tcPr>
            <w:tcW w:w="1134" w:type="dxa"/>
            <w:tcBorders>
              <w:top w:val="nil"/>
              <w:left w:val="nil"/>
              <w:bottom w:val="single" w:sz="4" w:space="0" w:color="auto"/>
              <w:right w:val="single" w:sz="8" w:space="0" w:color="auto"/>
            </w:tcBorders>
            <w:shd w:val="clear" w:color="000000" w:fill="FFFFFF"/>
            <w:noWrap/>
            <w:vAlign w:val="bottom"/>
            <w:hideMark/>
          </w:tcPr>
          <w:p w14:paraId="3B4E50B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70874E2B"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D4D8696"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523116C9"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4044053F"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0C8A0EC4" w14:textId="77777777" w:rsidR="00747BCE" w:rsidRPr="00747BCE" w:rsidRDefault="00747BCE" w:rsidP="00747BCE">
            <w:pPr>
              <w:rPr>
                <w:rFonts w:ascii="Calibri" w:hAnsi="Calibri" w:cs="Calibri"/>
                <w:sz w:val="18"/>
                <w:szCs w:val="18"/>
              </w:rPr>
            </w:pPr>
            <w:proofErr w:type="gramStart"/>
            <w:r w:rsidRPr="00747BCE">
              <w:rPr>
                <w:rFonts w:ascii="Calibri" w:hAnsi="Calibri" w:cs="Calibri"/>
                <w:sz w:val="18"/>
                <w:szCs w:val="18"/>
              </w:rPr>
              <w:t>Nombre  touchés</w:t>
            </w:r>
            <w:proofErr w:type="gramEnd"/>
            <w:r w:rsidRPr="00747BCE">
              <w:rPr>
                <w:rFonts w:ascii="Calibri" w:hAnsi="Calibri" w:cs="Calibri"/>
                <w:sz w:val="18"/>
                <w:szCs w:val="18"/>
              </w:rPr>
              <w:t xml:space="preserve"> par le paquet de services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765369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4 199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0ED14D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5 170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5244E32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6 631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37CB3CC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7 257 </w:t>
            </w:r>
          </w:p>
        </w:tc>
        <w:tc>
          <w:tcPr>
            <w:tcW w:w="1360" w:type="dxa"/>
            <w:tcBorders>
              <w:top w:val="nil"/>
              <w:left w:val="nil"/>
              <w:bottom w:val="single" w:sz="4" w:space="0" w:color="auto"/>
              <w:right w:val="single" w:sz="4" w:space="0" w:color="auto"/>
            </w:tcBorders>
            <w:shd w:val="clear" w:color="000000" w:fill="FFFFFF"/>
            <w:noWrap/>
            <w:vAlign w:val="bottom"/>
            <w:hideMark/>
          </w:tcPr>
          <w:p w14:paraId="0AE7E14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7 911 </w:t>
            </w:r>
          </w:p>
        </w:tc>
        <w:tc>
          <w:tcPr>
            <w:tcW w:w="1134" w:type="dxa"/>
            <w:tcBorders>
              <w:top w:val="nil"/>
              <w:left w:val="nil"/>
              <w:bottom w:val="single" w:sz="4" w:space="0" w:color="auto"/>
              <w:right w:val="single" w:sz="8" w:space="0" w:color="auto"/>
            </w:tcBorders>
            <w:shd w:val="clear" w:color="000000" w:fill="FFFFFF"/>
            <w:noWrap/>
            <w:vAlign w:val="bottom"/>
            <w:hideMark/>
          </w:tcPr>
          <w:p w14:paraId="7CB96C9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31 167 </w:t>
            </w:r>
          </w:p>
        </w:tc>
      </w:tr>
      <w:tr w:rsidR="00747BCE" w:rsidRPr="00747BCE" w14:paraId="48B2E629" w14:textId="77777777" w:rsidTr="00747BCE">
        <w:trPr>
          <w:trHeight w:val="123"/>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11CEB0C0"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415F633B"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036EB21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Hommes en uniforme</w:t>
            </w:r>
          </w:p>
        </w:tc>
      </w:tr>
      <w:tr w:rsidR="00747BCE" w:rsidRPr="00747BCE" w14:paraId="66582FF9"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12348984"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048C3F89"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36E0F30"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0049628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Couverture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1A56AB51"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09F7121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667D4E5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75%</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7032E055"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80%</w:t>
            </w:r>
          </w:p>
        </w:tc>
        <w:tc>
          <w:tcPr>
            <w:tcW w:w="1360" w:type="dxa"/>
            <w:tcBorders>
              <w:top w:val="nil"/>
              <w:left w:val="nil"/>
              <w:bottom w:val="single" w:sz="4" w:space="0" w:color="auto"/>
              <w:right w:val="single" w:sz="4" w:space="0" w:color="auto"/>
            </w:tcBorders>
            <w:shd w:val="clear" w:color="000000" w:fill="FFFFFF"/>
            <w:noWrap/>
            <w:vAlign w:val="bottom"/>
            <w:hideMark/>
          </w:tcPr>
          <w:p w14:paraId="6AD51DE7"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85%</w:t>
            </w:r>
          </w:p>
        </w:tc>
        <w:tc>
          <w:tcPr>
            <w:tcW w:w="1134" w:type="dxa"/>
            <w:tcBorders>
              <w:top w:val="nil"/>
              <w:left w:val="nil"/>
              <w:bottom w:val="single" w:sz="4" w:space="0" w:color="auto"/>
              <w:right w:val="single" w:sz="8" w:space="0" w:color="auto"/>
            </w:tcBorders>
            <w:shd w:val="clear" w:color="000000" w:fill="FFFFFF"/>
            <w:noWrap/>
            <w:vAlign w:val="bottom"/>
            <w:hideMark/>
          </w:tcPr>
          <w:p w14:paraId="0CE91F0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21CF6E53" w14:textId="77777777" w:rsidTr="00747BCE">
        <w:trPr>
          <w:trHeight w:val="82"/>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0355AE4"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9ECCB32"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0C3C2C5C"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7B7E8E2D" w14:textId="77777777" w:rsidR="00747BCE" w:rsidRPr="00747BCE" w:rsidRDefault="00747BCE" w:rsidP="00747BCE">
            <w:pPr>
              <w:rPr>
                <w:rFonts w:ascii="Calibri" w:hAnsi="Calibri" w:cs="Calibri"/>
                <w:sz w:val="18"/>
                <w:szCs w:val="18"/>
              </w:rPr>
            </w:pPr>
            <w:proofErr w:type="gramStart"/>
            <w:r w:rsidRPr="00747BCE">
              <w:rPr>
                <w:rFonts w:ascii="Calibri" w:hAnsi="Calibri" w:cs="Calibri"/>
                <w:sz w:val="18"/>
                <w:szCs w:val="18"/>
              </w:rPr>
              <w:t>Nombre  touchés</w:t>
            </w:r>
            <w:proofErr w:type="gramEnd"/>
            <w:r w:rsidRPr="00747BCE">
              <w:rPr>
                <w:rFonts w:ascii="Calibri" w:hAnsi="Calibri" w:cs="Calibri"/>
                <w:sz w:val="18"/>
                <w:szCs w:val="18"/>
              </w:rPr>
              <w:t xml:space="preserve"> par le paquet de services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41213C8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3 888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331AC08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4 787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245A016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6 139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2BF54D0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6 719 </w:t>
            </w:r>
          </w:p>
        </w:tc>
        <w:tc>
          <w:tcPr>
            <w:tcW w:w="1360" w:type="dxa"/>
            <w:tcBorders>
              <w:top w:val="nil"/>
              <w:left w:val="nil"/>
              <w:bottom w:val="single" w:sz="4" w:space="0" w:color="auto"/>
              <w:right w:val="single" w:sz="4" w:space="0" w:color="auto"/>
            </w:tcBorders>
            <w:shd w:val="clear" w:color="000000" w:fill="FFFFFF"/>
            <w:noWrap/>
            <w:vAlign w:val="bottom"/>
            <w:hideMark/>
          </w:tcPr>
          <w:p w14:paraId="7C99A3C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7 325 </w:t>
            </w:r>
          </w:p>
        </w:tc>
        <w:tc>
          <w:tcPr>
            <w:tcW w:w="1134" w:type="dxa"/>
            <w:tcBorders>
              <w:top w:val="nil"/>
              <w:left w:val="nil"/>
              <w:bottom w:val="single" w:sz="4" w:space="0" w:color="auto"/>
              <w:right w:val="single" w:sz="8" w:space="0" w:color="auto"/>
            </w:tcBorders>
            <w:shd w:val="clear" w:color="000000" w:fill="FFFFFF"/>
            <w:noWrap/>
            <w:vAlign w:val="bottom"/>
            <w:hideMark/>
          </w:tcPr>
          <w:p w14:paraId="2D2C915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28 858 </w:t>
            </w:r>
          </w:p>
        </w:tc>
      </w:tr>
      <w:tr w:rsidR="00747BCE" w:rsidRPr="00747BCE" w14:paraId="5C3EA504" w14:textId="77777777" w:rsidTr="00747BCE">
        <w:trPr>
          <w:trHeight w:val="103"/>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2DC82BD6"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34687BB"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73D20CB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Routiers</w:t>
            </w:r>
          </w:p>
        </w:tc>
      </w:tr>
      <w:tr w:rsidR="00747BCE" w:rsidRPr="00747BCE" w14:paraId="4FCF07A1"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A4D70E1"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37F04D31"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8CE2865"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37F06B2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Couverture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1D4AB2EC"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35%</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55BECAB8"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1373DD8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5F0607A3"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70%</w:t>
            </w:r>
          </w:p>
        </w:tc>
        <w:tc>
          <w:tcPr>
            <w:tcW w:w="1360" w:type="dxa"/>
            <w:tcBorders>
              <w:top w:val="nil"/>
              <w:left w:val="nil"/>
              <w:bottom w:val="single" w:sz="4" w:space="0" w:color="auto"/>
              <w:right w:val="single" w:sz="4" w:space="0" w:color="auto"/>
            </w:tcBorders>
            <w:shd w:val="clear" w:color="000000" w:fill="FFFFFF"/>
            <w:noWrap/>
            <w:vAlign w:val="bottom"/>
            <w:hideMark/>
          </w:tcPr>
          <w:p w14:paraId="055FEDA2"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75%</w:t>
            </w:r>
          </w:p>
        </w:tc>
        <w:tc>
          <w:tcPr>
            <w:tcW w:w="1134" w:type="dxa"/>
            <w:tcBorders>
              <w:top w:val="nil"/>
              <w:left w:val="nil"/>
              <w:bottom w:val="single" w:sz="4" w:space="0" w:color="auto"/>
              <w:right w:val="single" w:sz="8" w:space="0" w:color="auto"/>
            </w:tcBorders>
            <w:shd w:val="clear" w:color="000000" w:fill="FFFFFF"/>
            <w:noWrap/>
            <w:vAlign w:val="bottom"/>
            <w:hideMark/>
          </w:tcPr>
          <w:p w14:paraId="4C2C052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5975EE18" w14:textId="77777777" w:rsidTr="00747BCE">
        <w:trPr>
          <w:trHeight w:val="280"/>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5464907E"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310805EB"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1BD7E18A"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43F42474" w14:textId="77777777" w:rsidR="00747BCE" w:rsidRPr="00747BCE" w:rsidRDefault="00747BCE" w:rsidP="00747BCE">
            <w:pPr>
              <w:rPr>
                <w:rFonts w:ascii="Calibri" w:hAnsi="Calibri" w:cs="Calibri"/>
                <w:sz w:val="18"/>
                <w:szCs w:val="18"/>
              </w:rPr>
            </w:pPr>
            <w:proofErr w:type="gramStart"/>
            <w:r w:rsidRPr="00747BCE">
              <w:rPr>
                <w:rFonts w:ascii="Calibri" w:hAnsi="Calibri" w:cs="Calibri"/>
                <w:sz w:val="18"/>
                <w:szCs w:val="18"/>
              </w:rPr>
              <w:t>Nombre  touchés</w:t>
            </w:r>
            <w:proofErr w:type="gramEnd"/>
            <w:r w:rsidRPr="00747BCE">
              <w:rPr>
                <w:rFonts w:ascii="Calibri" w:hAnsi="Calibri" w:cs="Calibri"/>
                <w:sz w:val="18"/>
                <w:szCs w:val="18"/>
              </w:rPr>
              <w:t xml:space="preserve"> par le paquet de services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08274E4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2 939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66F204D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4 308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6DB0247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5 304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1973AED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6 349 </w:t>
            </w:r>
          </w:p>
        </w:tc>
        <w:tc>
          <w:tcPr>
            <w:tcW w:w="1360" w:type="dxa"/>
            <w:tcBorders>
              <w:top w:val="nil"/>
              <w:left w:val="nil"/>
              <w:bottom w:val="single" w:sz="4" w:space="0" w:color="auto"/>
              <w:right w:val="single" w:sz="4" w:space="0" w:color="auto"/>
            </w:tcBorders>
            <w:shd w:val="clear" w:color="000000" w:fill="FFFFFF"/>
            <w:noWrap/>
            <w:vAlign w:val="bottom"/>
            <w:hideMark/>
          </w:tcPr>
          <w:p w14:paraId="06073E3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6 980 </w:t>
            </w:r>
          </w:p>
        </w:tc>
        <w:tc>
          <w:tcPr>
            <w:tcW w:w="1134" w:type="dxa"/>
            <w:tcBorders>
              <w:top w:val="nil"/>
              <w:left w:val="nil"/>
              <w:bottom w:val="single" w:sz="4" w:space="0" w:color="auto"/>
              <w:right w:val="single" w:sz="8" w:space="0" w:color="auto"/>
            </w:tcBorders>
            <w:shd w:val="clear" w:color="000000" w:fill="FFFFFF"/>
            <w:noWrap/>
            <w:vAlign w:val="bottom"/>
            <w:hideMark/>
          </w:tcPr>
          <w:p w14:paraId="5EEA316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25 882 </w:t>
            </w:r>
          </w:p>
        </w:tc>
      </w:tr>
      <w:tr w:rsidR="00747BCE" w:rsidRPr="00747BCE" w14:paraId="652E1ACC"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1C3BF8F8"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43CB0B4C"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5F7D4E3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Miniers</w:t>
            </w:r>
          </w:p>
        </w:tc>
      </w:tr>
      <w:tr w:rsidR="00747BCE" w:rsidRPr="00747BCE" w14:paraId="4385352B" w14:textId="77777777" w:rsidTr="00747BCE">
        <w:trPr>
          <w:trHeight w:val="146"/>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34C6F241"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4F4881E7"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BAC500A"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0C87504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Couverture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3E204415"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6E0B69D"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25CA8ED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75%</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66D66D8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80%</w:t>
            </w:r>
          </w:p>
        </w:tc>
        <w:tc>
          <w:tcPr>
            <w:tcW w:w="1360" w:type="dxa"/>
            <w:tcBorders>
              <w:top w:val="nil"/>
              <w:left w:val="nil"/>
              <w:bottom w:val="single" w:sz="4" w:space="0" w:color="auto"/>
              <w:right w:val="single" w:sz="4" w:space="0" w:color="auto"/>
            </w:tcBorders>
            <w:shd w:val="clear" w:color="000000" w:fill="FFFFFF"/>
            <w:noWrap/>
            <w:vAlign w:val="bottom"/>
            <w:hideMark/>
          </w:tcPr>
          <w:p w14:paraId="4B33A57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85%</w:t>
            </w:r>
          </w:p>
        </w:tc>
        <w:tc>
          <w:tcPr>
            <w:tcW w:w="1134" w:type="dxa"/>
            <w:tcBorders>
              <w:top w:val="nil"/>
              <w:left w:val="nil"/>
              <w:bottom w:val="single" w:sz="4" w:space="0" w:color="auto"/>
              <w:right w:val="single" w:sz="8" w:space="0" w:color="auto"/>
            </w:tcBorders>
            <w:shd w:val="clear" w:color="000000" w:fill="FFFFFF"/>
            <w:noWrap/>
            <w:vAlign w:val="bottom"/>
            <w:hideMark/>
          </w:tcPr>
          <w:p w14:paraId="175F712B"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7C2FA1F8" w14:textId="77777777" w:rsidTr="00747BCE">
        <w:trPr>
          <w:trHeight w:val="67"/>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8559573"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36534D05"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34BE9667"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0E9CC23D" w14:textId="77777777" w:rsidR="00747BCE" w:rsidRPr="00747BCE" w:rsidRDefault="00747BCE" w:rsidP="00747BCE">
            <w:pPr>
              <w:rPr>
                <w:rFonts w:ascii="Calibri" w:hAnsi="Calibri" w:cs="Calibri"/>
                <w:sz w:val="18"/>
                <w:szCs w:val="18"/>
              </w:rPr>
            </w:pPr>
            <w:proofErr w:type="gramStart"/>
            <w:r w:rsidRPr="00747BCE">
              <w:rPr>
                <w:rFonts w:ascii="Calibri" w:hAnsi="Calibri" w:cs="Calibri"/>
                <w:sz w:val="18"/>
                <w:szCs w:val="18"/>
              </w:rPr>
              <w:t>Nombre  touchés</w:t>
            </w:r>
            <w:proofErr w:type="gramEnd"/>
            <w:r w:rsidRPr="00747BCE">
              <w:rPr>
                <w:rFonts w:ascii="Calibri" w:hAnsi="Calibri" w:cs="Calibri"/>
                <w:sz w:val="18"/>
                <w:szCs w:val="18"/>
              </w:rPr>
              <w:t xml:space="preserve"> par le paquet de services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ED4695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4 199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5D9030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5 170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1155B24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6 631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1FA62BD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7 257 </w:t>
            </w:r>
          </w:p>
        </w:tc>
        <w:tc>
          <w:tcPr>
            <w:tcW w:w="1360" w:type="dxa"/>
            <w:tcBorders>
              <w:top w:val="nil"/>
              <w:left w:val="nil"/>
              <w:bottom w:val="single" w:sz="4" w:space="0" w:color="auto"/>
              <w:right w:val="single" w:sz="4" w:space="0" w:color="auto"/>
            </w:tcBorders>
            <w:shd w:val="clear" w:color="000000" w:fill="FFFFFF"/>
            <w:noWrap/>
            <w:vAlign w:val="bottom"/>
            <w:hideMark/>
          </w:tcPr>
          <w:p w14:paraId="44ED626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7 911 </w:t>
            </w:r>
          </w:p>
        </w:tc>
        <w:tc>
          <w:tcPr>
            <w:tcW w:w="1134" w:type="dxa"/>
            <w:tcBorders>
              <w:top w:val="nil"/>
              <w:left w:val="nil"/>
              <w:bottom w:val="single" w:sz="4" w:space="0" w:color="auto"/>
              <w:right w:val="single" w:sz="8" w:space="0" w:color="auto"/>
            </w:tcBorders>
            <w:shd w:val="clear" w:color="000000" w:fill="FFFFFF"/>
            <w:noWrap/>
            <w:vAlign w:val="bottom"/>
            <w:hideMark/>
          </w:tcPr>
          <w:p w14:paraId="61E3D35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31 167 </w:t>
            </w:r>
          </w:p>
        </w:tc>
      </w:tr>
      <w:tr w:rsidR="00747BCE" w:rsidRPr="00747BCE" w14:paraId="66D45F7E"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4A65A07A" w14:textId="77777777" w:rsidR="00747BCE" w:rsidRPr="00747BCE" w:rsidRDefault="00747BCE" w:rsidP="00747BCE">
            <w:pPr>
              <w:rPr>
                <w:rFonts w:ascii="Calibri" w:hAnsi="Calibri" w:cs="Calibri"/>
                <w:sz w:val="18"/>
                <w:szCs w:val="18"/>
              </w:rPr>
            </w:pPr>
          </w:p>
        </w:tc>
        <w:tc>
          <w:tcPr>
            <w:tcW w:w="14316" w:type="dxa"/>
            <w:gridSpan w:val="13"/>
            <w:tcBorders>
              <w:top w:val="single" w:sz="4" w:space="0" w:color="auto"/>
              <w:left w:val="nil"/>
              <w:bottom w:val="single" w:sz="4" w:space="0" w:color="auto"/>
              <w:right w:val="single" w:sz="8" w:space="0" w:color="000000"/>
            </w:tcBorders>
            <w:shd w:val="clear" w:color="000000" w:fill="DDD9C4"/>
            <w:noWrap/>
            <w:vAlign w:val="bottom"/>
            <w:hideMark/>
          </w:tcPr>
          <w:p w14:paraId="37CA4C0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Prestations de services</w:t>
            </w:r>
          </w:p>
        </w:tc>
      </w:tr>
      <w:tr w:rsidR="00747BCE" w:rsidRPr="00747BCE" w14:paraId="41C9D09D" w14:textId="77777777" w:rsidTr="00747BCE">
        <w:trPr>
          <w:trHeight w:val="8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7C605DA1"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7F4E92B"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29A1DDE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Préservatifs </w:t>
            </w:r>
          </w:p>
        </w:tc>
      </w:tr>
      <w:tr w:rsidR="00747BCE" w:rsidRPr="00747BCE" w14:paraId="1302A78C"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7654E2A3"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31876B9F"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33387586"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1801697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Préservatifs masculins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09373D7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22 173 021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73DCC2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23 405 593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08CDF0C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24 836 886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5F9AB86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25 891 487 </w:t>
            </w:r>
          </w:p>
        </w:tc>
        <w:tc>
          <w:tcPr>
            <w:tcW w:w="1360" w:type="dxa"/>
            <w:tcBorders>
              <w:top w:val="nil"/>
              <w:left w:val="nil"/>
              <w:bottom w:val="single" w:sz="4" w:space="0" w:color="auto"/>
              <w:right w:val="single" w:sz="4" w:space="0" w:color="auto"/>
            </w:tcBorders>
            <w:shd w:val="clear" w:color="000000" w:fill="FFFFFF"/>
            <w:noWrap/>
            <w:vAlign w:val="bottom"/>
            <w:hideMark/>
          </w:tcPr>
          <w:p w14:paraId="4DA0B3B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26 917 822 </w:t>
            </w:r>
          </w:p>
        </w:tc>
        <w:tc>
          <w:tcPr>
            <w:tcW w:w="1134" w:type="dxa"/>
            <w:tcBorders>
              <w:top w:val="nil"/>
              <w:left w:val="nil"/>
              <w:bottom w:val="single" w:sz="4" w:space="0" w:color="auto"/>
              <w:right w:val="single" w:sz="8" w:space="0" w:color="auto"/>
            </w:tcBorders>
            <w:shd w:val="clear" w:color="000000" w:fill="FFFFFF"/>
            <w:noWrap/>
            <w:vAlign w:val="bottom"/>
            <w:hideMark/>
          </w:tcPr>
          <w:p w14:paraId="291B2FB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2959941B"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7E26971"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3F40E1B"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4CE1DE3"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225D85E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Préservatifs féminins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78E5B85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452 511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1FDCE26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477 665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77E56CE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506 875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378F55D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528 398 </w:t>
            </w:r>
          </w:p>
        </w:tc>
        <w:tc>
          <w:tcPr>
            <w:tcW w:w="1360" w:type="dxa"/>
            <w:tcBorders>
              <w:top w:val="nil"/>
              <w:left w:val="nil"/>
              <w:bottom w:val="single" w:sz="4" w:space="0" w:color="auto"/>
              <w:right w:val="single" w:sz="4" w:space="0" w:color="auto"/>
            </w:tcBorders>
            <w:shd w:val="clear" w:color="000000" w:fill="FFFFFF"/>
            <w:noWrap/>
            <w:vAlign w:val="bottom"/>
            <w:hideMark/>
          </w:tcPr>
          <w:p w14:paraId="10DE2D5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549 343 </w:t>
            </w:r>
          </w:p>
        </w:tc>
        <w:tc>
          <w:tcPr>
            <w:tcW w:w="1134" w:type="dxa"/>
            <w:tcBorders>
              <w:top w:val="nil"/>
              <w:left w:val="nil"/>
              <w:bottom w:val="single" w:sz="4" w:space="0" w:color="auto"/>
              <w:right w:val="single" w:sz="8" w:space="0" w:color="auto"/>
            </w:tcBorders>
            <w:shd w:val="clear" w:color="000000" w:fill="FFFFFF"/>
            <w:noWrap/>
            <w:vAlign w:val="bottom"/>
            <w:hideMark/>
          </w:tcPr>
          <w:p w14:paraId="367E60E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46A5C9ED" w14:textId="77777777" w:rsidTr="00747BCE">
        <w:trPr>
          <w:trHeight w:val="185"/>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C939D22"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6000C92"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7AEF3A8A" w14:textId="645ABCED" w:rsidR="00747BCE" w:rsidRPr="00747BCE" w:rsidRDefault="00747BCE" w:rsidP="00747BCE">
            <w:pPr>
              <w:rPr>
                <w:rFonts w:ascii="Calibri" w:hAnsi="Calibri" w:cs="Calibri"/>
                <w:sz w:val="18"/>
                <w:szCs w:val="18"/>
              </w:rPr>
            </w:pPr>
            <w:r w:rsidRPr="00747BCE">
              <w:rPr>
                <w:rFonts w:ascii="Calibri" w:hAnsi="Calibri" w:cs="Calibri"/>
                <w:sz w:val="18"/>
                <w:szCs w:val="18"/>
              </w:rPr>
              <w:t>Dépistage du VIH (adultes hors PTME, populations clés et vulnérables)</w:t>
            </w:r>
          </w:p>
        </w:tc>
      </w:tr>
      <w:tr w:rsidR="00747BCE" w:rsidRPr="00747BCE" w14:paraId="0E26B078" w14:textId="77777777" w:rsidTr="00747BCE">
        <w:trPr>
          <w:trHeight w:val="76"/>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140646F"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E59E045" w14:textId="77777777" w:rsidR="00747BCE" w:rsidRPr="00747BCE" w:rsidRDefault="00747BCE" w:rsidP="00747BCE">
            <w:pPr>
              <w:rPr>
                <w:rFonts w:ascii="Calibri" w:hAnsi="Calibri" w:cs="Calibri"/>
                <w:sz w:val="18"/>
                <w:szCs w:val="18"/>
              </w:rPr>
            </w:pPr>
          </w:p>
        </w:tc>
        <w:tc>
          <w:tcPr>
            <w:tcW w:w="567" w:type="dxa"/>
            <w:tcBorders>
              <w:top w:val="nil"/>
              <w:left w:val="nil"/>
              <w:bottom w:val="single" w:sz="4" w:space="0" w:color="auto"/>
              <w:right w:val="single" w:sz="4" w:space="0" w:color="auto"/>
            </w:tcBorders>
            <w:shd w:val="clear" w:color="000000" w:fill="FFFFFF"/>
            <w:noWrap/>
            <w:vAlign w:val="bottom"/>
            <w:hideMark/>
          </w:tcPr>
          <w:p w14:paraId="58FDB12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noWrap/>
            <w:vAlign w:val="bottom"/>
            <w:hideMark/>
          </w:tcPr>
          <w:p w14:paraId="1780EE6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population adulte recevant des services CTV chaque année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484757E3"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4,7%</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4037135"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431B04FA"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7,4%</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7E9AB512"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8,7%</w:t>
            </w:r>
          </w:p>
        </w:tc>
        <w:tc>
          <w:tcPr>
            <w:tcW w:w="1360" w:type="dxa"/>
            <w:tcBorders>
              <w:top w:val="nil"/>
              <w:left w:val="nil"/>
              <w:bottom w:val="single" w:sz="4" w:space="0" w:color="auto"/>
              <w:right w:val="single" w:sz="4" w:space="0" w:color="auto"/>
            </w:tcBorders>
            <w:shd w:val="clear" w:color="000000" w:fill="FFFFFF"/>
            <w:noWrap/>
            <w:vAlign w:val="bottom"/>
            <w:hideMark/>
          </w:tcPr>
          <w:p w14:paraId="102173F8"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10,0%</w:t>
            </w:r>
          </w:p>
        </w:tc>
        <w:tc>
          <w:tcPr>
            <w:tcW w:w="1134" w:type="dxa"/>
            <w:tcBorders>
              <w:top w:val="nil"/>
              <w:left w:val="nil"/>
              <w:bottom w:val="single" w:sz="4" w:space="0" w:color="auto"/>
              <w:right w:val="single" w:sz="8" w:space="0" w:color="auto"/>
            </w:tcBorders>
            <w:shd w:val="clear" w:color="000000" w:fill="FFFFFF"/>
            <w:noWrap/>
            <w:vAlign w:val="bottom"/>
            <w:hideMark/>
          </w:tcPr>
          <w:p w14:paraId="6E6AB17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4A92440F" w14:textId="77777777" w:rsidTr="00747BCE">
        <w:trPr>
          <w:trHeight w:val="65"/>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7D4CB2D9"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02762513" w14:textId="77777777" w:rsidR="00747BCE" w:rsidRPr="00747BCE" w:rsidRDefault="00747BCE" w:rsidP="00747BCE">
            <w:pPr>
              <w:rPr>
                <w:rFonts w:ascii="Calibri" w:hAnsi="Calibri" w:cs="Calibri"/>
                <w:sz w:val="18"/>
                <w:szCs w:val="18"/>
              </w:rPr>
            </w:pPr>
          </w:p>
        </w:tc>
        <w:tc>
          <w:tcPr>
            <w:tcW w:w="567" w:type="dxa"/>
            <w:tcBorders>
              <w:top w:val="nil"/>
              <w:left w:val="nil"/>
              <w:bottom w:val="single" w:sz="4" w:space="0" w:color="auto"/>
              <w:right w:val="single" w:sz="4" w:space="0" w:color="auto"/>
            </w:tcBorders>
            <w:shd w:val="clear" w:color="000000" w:fill="FFFFFF"/>
            <w:noWrap/>
            <w:vAlign w:val="bottom"/>
            <w:hideMark/>
          </w:tcPr>
          <w:p w14:paraId="0978EF4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7F80DC3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Nombre d'adultes dépistés par an</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0D8D6E9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49 707</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05D82CD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65 296</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513BE381"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82 867</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0193B1B2"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100 250</w:t>
            </w:r>
          </w:p>
        </w:tc>
        <w:tc>
          <w:tcPr>
            <w:tcW w:w="1360" w:type="dxa"/>
            <w:tcBorders>
              <w:top w:val="nil"/>
              <w:left w:val="nil"/>
              <w:bottom w:val="single" w:sz="4" w:space="0" w:color="auto"/>
              <w:right w:val="single" w:sz="4" w:space="0" w:color="auto"/>
            </w:tcBorders>
            <w:shd w:val="clear" w:color="000000" w:fill="FFFFFF"/>
            <w:noWrap/>
            <w:vAlign w:val="bottom"/>
            <w:hideMark/>
          </w:tcPr>
          <w:p w14:paraId="1A14A75F"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118 572</w:t>
            </w:r>
          </w:p>
        </w:tc>
        <w:tc>
          <w:tcPr>
            <w:tcW w:w="1134" w:type="dxa"/>
            <w:tcBorders>
              <w:top w:val="nil"/>
              <w:left w:val="nil"/>
              <w:bottom w:val="single" w:sz="4" w:space="0" w:color="auto"/>
              <w:right w:val="single" w:sz="8" w:space="0" w:color="auto"/>
            </w:tcBorders>
            <w:shd w:val="clear" w:color="000000" w:fill="FFFFFF"/>
            <w:noWrap/>
            <w:vAlign w:val="bottom"/>
            <w:hideMark/>
          </w:tcPr>
          <w:p w14:paraId="2565B9B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416 692 </w:t>
            </w:r>
          </w:p>
        </w:tc>
      </w:tr>
      <w:tr w:rsidR="00747BCE" w:rsidRPr="00747BCE" w14:paraId="538FBD07"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849D9D6"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436DBED"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77A0169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Soins des Infections sexuellement transmissibles (hors populations clés et vulnérables)</w:t>
            </w:r>
          </w:p>
        </w:tc>
      </w:tr>
      <w:tr w:rsidR="00747BCE" w:rsidRPr="00747BCE" w14:paraId="15EE656F" w14:textId="77777777" w:rsidTr="00747BCE">
        <w:trPr>
          <w:trHeight w:val="173"/>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4C53A077"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3F3FD6CA"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0F1FC9E5"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noWrap/>
            <w:vAlign w:val="bottom"/>
            <w:hideMark/>
          </w:tcPr>
          <w:p w14:paraId="519106B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hommes souffrant d'une IST et recevant un traitement</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43BC9BD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35B34167"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25%</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38E0CC08"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30%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230030EA"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35%</w:t>
            </w:r>
          </w:p>
        </w:tc>
        <w:tc>
          <w:tcPr>
            <w:tcW w:w="1360" w:type="dxa"/>
            <w:tcBorders>
              <w:top w:val="nil"/>
              <w:left w:val="nil"/>
              <w:bottom w:val="single" w:sz="4" w:space="0" w:color="auto"/>
              <w:right w:val="single" w:sz="4" w:space="0" w:color="auto"/>
            </w:tcBorders>
            <w:shd w:val="clear" w:color="000000" w:fill="FFFFFF"/>
            <w:noWrap/>
            <w:vAlign w:val="bottom"/>
            <w:hideMark/>
          </w:tcPr>
          <w:p w14:paraId="59614AF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40%</w:t>
            </w:r>
          </w:p>
        </w:tc>
        <w:tc>
          <w:tcPr>
            <w:tcW w:w="1134" w:type="dxa"/>
            <w:tcBorders>
              <w:top w:val="nil"/>
              <w:left w:val="nil"/>
              <w:bottom w:val="single" w:sz="4" w:space="0" w:color="auto"/>
              <w:right w:val="single" w:sz="8" w:space="0" w:color="auto"/>
            </w:tcBorders>
            <w:shd w:val="clear" w:color="000000" w:fill="FFFFFF"/>
            <w:noWrap/>
            <w:vAlign w:val="bottom"/>
            <w:hideMark/>
          </w:tcPr>
          <w:p w14:paraId="0485A3E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3AADFD33"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75B61ED9"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66CA6EA1"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F0303CE"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noWrap/>
            <w:vAlign w:val="bottom"/>
            <w:hideMark/>
          </w:tcPr>
          <w:p w14:paraId="31B5F69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femmes souffrant d'une IST et recevant un traitement</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CC0CE8D"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15%</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BC0C1B3"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19%</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2CD3DEFF"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23%</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571EB6ED"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27%</w:t>
            </w:r>
          </w:p>
        </w:tc>
        <w:tc>
          <w:tcPr>
            <w:tcW w:w="1360" w:type="dxa"/>
            <w:tcBorders>
              <w:top w:val="nil"/>
              <w:left w:val="nil"/>
              <w:bottom w:val="single" w:sz="4" w:space="0" w:color="auto"/>
              <w:right w:val="single" w:sz="4" w:space="0" w:color="auto"/>
            </w:tcBorders>
            <w:shd w:val="clear" w:color="000000" w:fill="FFFFFF"/>
            <w:noWrap/>
            <w:vAlign w:val="bottom"/>
            <w:hideMark/>
          </w:tcPr>
          <w:p w14:paraId="505C7737"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31%</w:t>
            </w:r>
          </w:p>
        </w:tc>
        <w:tc>
          <w:tcPr>
            <w:tcW w:w="1134" w:type="dxa"/>
            <w:tcBorders>
              <w:top w:val="nil"/>
              <w:left w:val="nil"/>
              <w:bottom w:val="single" w:sz="4" w:space="0" w:color="auto"/>
              <w:right w:val="single" w:sz="8" w:space="0" w:color="auto"/>
            </w:tcBorders>
            <w:shd w:val="clear" w:color="000000" w:fill="FFFFFF"/>
            <w:noWrap/>
            <w:vAlign w:val="bottom"/>
            <w:hideMark/>
          </w:tcPr>
          <w:p w14:paraId="0656600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7CDAA24C" w14:textId="77777777" w:rsidTr="00747BCE">
        <w:trPr>
          <w:trHeight w:val="13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3FD76A84"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461E0D63"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09F47B17"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0322D8F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Nombre de cas d'IST pris en charge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6AE9D9E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41 823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85AA91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53 850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39161DF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66 571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2089610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80 019 </w:t>
            </w:r>
          </w:p>
        </w:tc>
        <w:tc>
          <w:tcPr>
            <w:tcW w:w="1360" w:type="dxa"/>
            <w:tcBorders>
              <w:top w:val="nil"/>
              <w:left w:val="nil"/>
              <w:bottom w:val="single" w:sz="4" w:space="0" w:color="auto"/>
              <w:right w:val="single" w:sz="4" w:space="0" w:color="auto"/>
            </w:tcBorders>
            <w:shd w:val="clear" w:color="000000" w:fill="FFFFFF"/>
            <w:noWrap/>
            <w:vAlign w:val="bottom"/>
            <w:hideMark/>
          </w:tcPr>
          <w:p w14:paraId="515D3060" w14:textId="63247804"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94 231 </w:t>
            </w:r>
          </w:p>
        </w:tc>
        <w:tc>
          <w:tcPr>
            <w:tcW w:w="1134" w:type="dxa"/>
            <w:tcBorders>
              <w:top w:val="nil"/>
              <w:left w:val="nil"/>
              <w:bottom w:val="single" w:sz="4" w:space="0" w:color="auto"/>
              <w:right w:val="single" w:sz="8" w:space="0" w:color="auto"/>
            </w:tcBorders>
            <w:shd w:val="clear" w:color="000000" w:fill="FFFFFF"/>
            <w:noWrap/>
            <w:vAlign w:val="bottom"/>
            <w:hideMark/>
          </w:tcPr>
          <w:p w14:paraId="7F15A7F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336 495 </w:t>
            </w:r>
          </w:p>
        </w:tc>
      </w:tr>
      <w:tr w:rsidR="00747BCE" w:rsidRPr="00747BCE" w14:paraId="6B0D8168" w14:textId="77777777" w:rsidTr="00747BCE">
        <w:trPr>
          <w:trHeight w:val="7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A913485"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5F98B658"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00983A9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Sécurité sanguine</w:t>
            </w:r>
          </w:p>
        </w:tc>
      </w:tr>
      <w:tr w:rsidR="00747BCE" w:rsidRPr="00747BCE" w14:paraId="00211BE1" w14:textId="77777777" w:rsidTr="00747BCE">
        <w:trPr>
          <w:trHeight w:val="280"/>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002A73F7"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77AF6913"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1F5EED66"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17C62EB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d'unités de sang testé destiné aux transfusions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8FAA8A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3323D7EB"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40%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011F2B6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23D046B7"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360" w:type="dxa"/>
            <w:tcBorders>
              <w:top w:val="nil"/>
              <w:left w:val="nil"/>
              <w:bottom w:val="single" w:sz="4" w:space="0" w:color="auto"/>
              <w:right w:val="single" w:sz="4" w:space="0" w:color="auto"/>
            </w:tcBorders>
            <w:shd w:val="clear" w:color="000000" w:fill="FFFFFF"/>
            <w:noWrap/>
            <w:vAlign w:val="bottom"/>
            <w:hideMark/>
          </w:tcPr>
          <w:p w14:paraId="0835947B"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70%</w:t>
            </w:r>
          </w:p>
        </w:tc>
        <w:tc>
          <w:tcPr>
            <w:tcW w:w="1134" w:type="dxa"/>
            <w:tcBorders>
              <w:top w:val="nil"/>
              <w:left w:val="nil"/>
              <w:bottom w:val="single" w:sz="4" w:space="0" w:color="auto"/>
              <w:right w:val="single" w:sz="8" w:space="0" w:color="auto"/>
            </w:tcBorders>
            <w:shd w:val="clear" w:color="000000" w:fill="FFFFFF"/>
            <w:noWrap/>
            <w:vAlign w:val="bottom"/>
            <w:hideMark/>
          </w:tcPr>
          <w:p w14:paraId="0A8DE1E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38C48F62" w14:textId="77777777" w:rsidTr="00747BCE">
        <w:trPr>
          <w:trHeight w:val="16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1137293F"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0C360EF3"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10E83B31"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38338FF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Nombre de poches de sang testés et sécurisés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D263A0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23 788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E8E1E7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48 956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1D33FDA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62 969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6E9770AB"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77 754 </w:t>
            </w:r>
          </w:p>
        </w:tc>
        <w:tc>
          <w:tcPr>
            <w:tcW w:w="1360" w:type="dxa"/>
            <w:tcBorders>
              <w:top w:val="nil"/>
              <w:left w:val="nil"/>
              <w:bottom w:val="single" w:sz="4" w:space="0" w:color="auto"/>
              <w:right w:val="single" w:sz="4" w:space="0" w:color="auto"/>
            </w:tcBorders>
            <w:shd w:val="clear" w:color="000000" w:fill="FFFFFF"/>
            <w:noWrap/>
            <w:vAlign w:val="bottom"/>
            <w:hideMark/>
          </w:tcPr>
          <w:p w14:paraId="42CA515F" w14:textId="14142036"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93 344 </w:t>
            </w:r>
          </w:p>
        </w:tc>
        <w:tc>
          <w:tcPr>
            <w:tcW w:w="1134" w:type="dxa"/>
            <w:tcBorders>
              <w:top w:val="nil"/>
              <w:left w:val="nil"/>
              <w:bottom w:val="single" w:sz="4" w:space="0" w:color="auto"/>
              <w:right w:val="single" w:sz="8" w:space="0" w:color="auto"/>
            </w:tcBorders>
            <w:shd w:val="clear" w:color="000000" w:fill="FFFFFF"/>
            <w:noWrap/>
            <w:vAlign w:val="bottom"/>
            <w:hideMark/>
          </w:tcPr>
          <w:p w14:paraId="66A0901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306 812 </w:t>
            </w:r>
          </w:p>
        </w:tc>
      </w:tr>
      <w:tr w:rsidR="00747BCE" w:rsidRPr="00747BCE" w14:paraId="7580156B" w14:textId="77777777" w:rsidTr="00747BCE">
        <w:trPr>
          <w:trHeight w:val="133"/>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7BD71F3"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69C95ED3" w14:textId="77777777" w:rsidR="00747BCE" w:rsidRPr="00747BCE" w:rsidRDefault="00747BCE" w:rsidP="00747BCE">
            <w:pPr>
              <w:rPr>
                <w:rFonts w:ascii="Calibri" w:hAnsi="Calibri" w:cs="Calibri"/>
                <w:sz w:val="18"/>
                <w:szCs w:val="18"/>
              </w:rPr>
            </w:pPr>
          </w:p>
        </w:tc>
        <w:tc>
          <w:tcPr>
            <w:tcW w:w="13749" w:type="dxa"/>
            <w:gridSpan w:val="12"/>
            <w:tcBorders>
              <w:top w:val="single" w:sz="4" w:space="0" w:color="auto"/>
              <w:left w:val="nil"/>
              <w:bottom w:val="single" w:sz="4" w:space="0" w:color="auto"/>
              <w:right w:val="single" w:sz="8" w:space="0" w:color="000000"/>
            </w:tcBorders>
            <w:shd w:val="clear" w:color="000000" w:fill="FFFF00"/>
            <w:noWrap/>
            <w:vAlign w:val="bottom"/>
            <w:hideMark/>
          </w:tcPr>
          <w:p w14:paraId="6D47C5E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Prise en charge des cas d'exposition au sang (AES)</w:t>
            </w:r>
          </w:p>
        </w:tc>
      </w:tr>
      <w:tr w:rsidR="00747BCE" w:rsidRPr="00747BCE" w14:paraId="501B187C" w14:textId="77777777" w:rsidTr="00747BCE">
        <w:trPr>
          <w:trHeight w:val="101"/>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4DC2964B"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3D0C8ECB" w14:textId="77777777" w:rsidR="00747BCE" w:rsidRPr="00747BCE" w:rsidRDefault="00747BCE" w:rsidP="00747BCE">
            <w:pPr>
              <w:rPr>
                <w:rFonts w:ascii="Calibri" w:hAnsi="Calibri" w:cs="Calibri"/>
                <w:sz w:val="18"/>
                <w:szCs w:val="18"/>
              </w:rPr>
            </w:pPr>
          </w:p>
        </w:tc>
        <w:tc>
          <w:tcPr>
            <w:tcW w:w="567"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25CEC988"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09161A5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Pourcentage des besoins satisfaits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FFD040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188F34AA"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48E42E3B"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30%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74CE6A6B"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40%</w:t>
            </w:r>
          </w:p>
        </w:tc>
        <w:tc>
          <w:tcPr>
            <w:tcW w:w="1360" w:type="dxa"/>
            <w:tcBorders>
              <w:top w:val="nil"/>
              <w:left w:val="nil"/>
              <w:bottom w:val="single" w:sz="4" w:space="0" w:color="auto"/>
              <w:right w:val="single" w:sz="4" w:space="0" w:color="auto"/>
            </w:tcBorders>
            <w:shd w:val="clear" w:color="000000" w:fill="FFFFFF"/>
            <w:noWrap/>
            <w:vAlign w:val="bottom"/>
            <w:hideMark/>
          </w:tcPr>
          <w:p w14:paraId="2DD574AC"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50%</w:t>
            </w:r>
          </w:p>
        </w:tc>
        <w:tc>
          <w:tcPr>
            <w:tcW w:w="1134" w:type="dxa"/>
            <w:tcBorders>
              <w:top w:val="nil"/>
              <w:left w:val="nil"/>
              <w:bottom w:val="single" w:sz="4" w:space="0" w:color="auto"/>
              <w:right w:val="single" w:sz="8" w:space="0" w:color="auto"/>
            </w:tcBorders>
            <w:shd w:val="clear" w:color="000000" w:fill="FFFFFF"/>
            <w:noWrap/>
            <w:vAlign w:val="bottom"/>
            <w:hideMark/>
          </w:tcPr>
          <w:p w14:paraId="70E9B03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0B8A1E55" w14:textId="77777777" w:rsidTr="00747BCE">
        <w:trPr>
          <w:trHeight w:val="85"/>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3A871E7F"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6CA9B29E" w14:textId="77777777" w:rsidR="00747BCE" w:rsidRPr="00747BCE" w:rsidRDefault="00747BCE" w:rsidP="00747BCE">
            <w:pPr>
              <w:rPr>
                <w:rFonts w:ascii="Calibri" w:hAnsi="Calibri" w:cs="Calibri"/>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14:paraId="4536585A" w14:textId="77777777" w:rsidR="00747BCE" w:rsidRPr="00747BCE" w:rsidRDefault="00747BCE" w:rsidP="00747BCE">
            <w:pPr>
              <w:rPr>
                <w:rFonts w:ascii="Calibri" w:hAnsi="Calibri" w:cs="Calibri"/>
                <w:sz w:val="18"/>
                <w:szCs w:val="18"/>
              </w:rPr>
            </w:pPr>
          </w:p>
        </w:tc>
        <w:tc>
          <w:tcPr>
            <w:tcW w:w="5528" w:type="dxa"/>
            <w:tcBorders>
              <w:top w:val="nil"/>
              <w:left w:val="nil"/>
              <w:bottom w:val="single" w:sz="4" w:space="0" w:color="auto"/>
              <w:right w:val="single" w:sz="4" w:space="0" w:color="auto"/>
            </w:tcBorders>
            <w:shd w:val="clear" w:color="000000" w:fill="FFFFFF"/>
            <w:vAlign w:val="bottom"/>
            <w:hideMark/>
          </w:tcPr>
          <w:p w14:paraId="50E83F6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Nombre total de cas déclarés et pris en charge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78D5099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2 508</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1FDCCD87"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6 266</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74C5836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11 936</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584E7AE1"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17 406</w:t>
            </w:r>
          </w:p>
        </w:tc>
        <w:tc>
          <w:tcPr>
            <w:tcW w:w="1360" w:type="dxa"/>
            <w:tcBorders>
              <w:top w:val="nil"/>
              <w:left w:val="nil"/>
              <w:bottom w:val="single" w:sz="4" w:space="0" w:color="auto"/>
              <w:right w:val="single" w:sz="4" w:space="0" w:color="auto"/>
            </w:tcBorders>
            <w:shd w:val="clear" w:color="000000" w:fill="FFFFFF"/>
            <w:noWrap/>
            <w:vAlign w:val="bottom"/>
            <w:hideMark/>
          </w:tcPr>
          <w:p w14:paraId="55CCE4C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26 217</w:t>
            </w:r>
          </w:p>
        </w:tc>
        <w:tc>
          <w:tcPr>
            <w:tcW w:w="1134" w:type="dxa"/>
            <w:tcBorders>
              <w:top w:val="nil"/>
              <w:left w:val="nil"/>
              <w:bottom w:val="single" w:sz="4" w:space="0" w:color="auto"/>
              <w:right w:val="single" w:sz="8" w:space="0" w:color="auto"/>
            </w:tcBorders>
            <w:shd w:val="clear" w:color="000000" w:fill="FFFFFF"/>
            <w:noWrap/>
            <w:vAlign w:val="bottom"/>
            <w:hideMark/>
          </w:tcPr>
          <w:p w14:paraId="3071745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64 333 </w:t>
            </w:r>
          </w:p>
        </w:tc>
      </w:tr>
      <w:tr w:rsidR="00747BCE" w:rsidRPr="00747BCE" w14:paraId="0C278387" w14:textId="77777777" w:rsidTr="00747BCE">
        <w:trPr>
          <w:trHeight w:val="8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4CBA50BC" w14:textId="77777777" w:rsidR="00747BCE" w:rsidRPr="00747BCE" w:rsidRDefault="00747BCE" w:rsidP="00747BCE">
            <w:pPr>
              <w:rPr>
                <w:rFonts w:ascii="Calibri" w:hAnsi="Calibri" w:cs="Calibri"/>
                <w:sz w:val="18"/>
                <w:szCs w:val="18"/>
              </w:rPr>
            </w:pPr>
          </w:p>
        </w:tc>
        <w:tc>
          <w:tcPr>
            <w:tcW w:w="14316" w:type="dxa"/>
            <w:gridSpan w:val="13"/>
            <w:tcBorders>
              <w:top w:val="single" w:sz="4" w:space="0" w:color="auto"/>
              <w:left w:val="nil"/>
              <w:bottom w:val="single" w:sz="4" w:space="0" w:color="auto"/>
              <w:right w:val="single" w:sz="8" w:space="0" w:color="000000"/>
            </w:tcBorders>
            <w:shd w:val="clear" w:color="000000" w:fill="DDD9C4"/>
            <w:noWrap/>
            <w:vAlign w:val="bottom"/>
            <w:hideMark/>
          </w:tcPr>
          <w:p w14:paraId="22B81C6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Prévention de la transmission du VIH de la mère à l'enfant (PTME)</w:t>
            </w:r>
          </w:p>
        </w:tc>
      </w:tr>
      <w:tr w:rsidR="00747BCE" w:rsidRPr="00747BCE" w14:paraId="7B621E0E" w14:textId="77777777" w:rsidTr="00747BCE">
        <w:trPr>
          <w:trHeight w:val="181"/>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2ED842B" w14:textId="77777777" w:rsidR="00747BCE" w:rsidRPr="00747BCE" w:rsidRDefault="00747BCE" w:rsidP="00747BCE">
            <w:pPr>
              <w:rPr>
                <w:rFonts w:ascii="Calibri" w:hAnsi="Calibri" w:cs="Calibri"/>
                <w:sz w:val="18"/>
                <w:szCs w:val="18"/>
              </w:rPr>
            </w:pPr>
          </w:p>
        </w:tc>
        <w:tc>
          <w:tcPr>
            <w:tcW w:w="567" w:type="dxa"/>
            <w:vMerge w:val="restart"/>
            <w:tcBorders>
              <w:top w:val="single" w:sz="4" w:space="0" w:color="auto"/>
              <w:left w:val="single" w:sz="4" w:space="0" w:color="auto"/>
              <w:bottom w:val="single" w:sz="8" w:space="0" w:color="000000"/>
              <w:right w:val="single" w:sz="4" w:space="0" w:color="000000"/>
            </w:tcBorders>
            <w:shd w:val="clear" w:color="000000" w:fill="FFFFFF"/>
            <w:noWrap/>
            <w:vAlign w:val="bottom"/>
            <w:hideMark/>
          </w:tcPr>
          <w:p w14:paraId="4CF45351"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6095" w:type="dxa"/>
            <w:gridSpan w:val="2"/>
            <w:tcBorders>
              <w:top w:val="nil"/>
              <w:left w:val="nil"/>
              <w:bottom w:val="single" w:sz="4" w:space="0" w:color="auto"/>
              <w:right w:val="single" w:sz="4" w:space="0" w:color="auto"/>
            </w:tcBorders>
            <w:shd w:val="clear" w:color="000000" w:fill="FFFFFF"/>
            <w:vAlign w:val="bottom"/>
            <w:hideMark/>
          </w:tcPr>
          <w:p w14:paraId="542D2144" w14:textId="35AD299F" w:rsidR="00747BCE" w:rsidRPr="00747BCE" w:rsidRDefault="00747BCE" w:rsidP="00747BCE">
            <w:pPr>
              <w:rPr>
                <w:rFonts w:ascii="Calibri" w:hAnsi="Calibri" w:cs="Calibri"/>
                <w:sz w:val="18"/>
                <w:szCs w:val="18"/>
              </w:rPr>
            </w:pPr>
            <w:r w:rsidRPr="00747BCE">
              <w:rPr>
                <w:rFonts w:ascii="Calibri" w:hAnsi="Calibri" w:cs="Calibri"/>
                <w:sz w:val="18"/>
                <w:szCs w:val="18"/>
              </w:rPr>
              <w:t>% femmes enceintes recevant des services prénatals et testées pour le VIH</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62621B8C"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68C7AEA3"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4F8388D1"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04249F75"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90%</w:t>
            </w:r>
          </w:p>
        </w:tc>
        <w:tc>
          <w:tcPr>
            <w:tcW w:w="1360" w:type="dxa"/>
            <w:tcBorders>
              <w:top w:val="nil"/>
              <w:left w:val="nil"/>
              <w:bottom w:val="single" w:sz="4" w:space="0" w:color="auto"/>
              <w:right w:val="single" w:sz="4" w:space="0" w:color="auto"/>
            </w:tcBorders>
            <w:shd w:val="clear" w:color="000000" w:fill="FFFFFF"/>
            <w:noWrap/>
            <w:vAlign w:val="bottom"/>
            <w:hideMark/>
          </w:tcPr>
          <w:p w14:paraId="0C0603B4"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95%</w:t>
            </w:r>
          </w:p>
        </w:tc>
        <w:tc>
          <w:tcPr>
            <w:tcW w:w="1134" w:type="dxa"/>
            <w:tcBorders>
              <w:top w:val="nil"/>
              <w:left w:val="nil"/>
              <w:bottom w:val="single" w:sz="4" w:space="0" w:color="auto"/>
              <w:right w:val="single" w:sz="8" w:space="0" w:color="auto"/>
            </w:tcBorders>
            <w:shd w:val="clear" w:color="000000" w:fill="FFFFFF"/>
            <w:noWrap/>
            <w:vAlign w:val="bottom"/>
            <w:hideMark/>
          </w:tcPr>
          <w:p w14:paraId="5DC8CCB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445521F7" w14:textId="77777777" w:rsidTr="00747BCE">
        <w:trPr>
          <w:trHeight w:val="133"/>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7E280B46"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8" w:space="0" w:color="000000"/>
              <w:right w:val="single" w:sz="4" w:space="0" w:color="000000"/>
            </w:tcBorders>
            <w:vAlign w:val="center"/>
            <w:hideMark/>
          </w:tcPr>
          <w:p w14:paraId="614576F0"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4" w:space="0" w:color="auto"/>
              <w:right w:val="single" w:sz="4" w:space="0" w:color="auto"/>
            </w:tcBorders>
            <w:shd w:val="clear" w:color="000000" w:fill="FFFFFF"/>
            <w:vAlign w:val="bottom"/>
            <w:hideMark/>
          </w:tcPr>
          <w:p w14:paraId="40F0AE6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femmes enceintes séropositives traitées par ARV</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6C60723F"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4B0BD53F"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65%</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20009D31"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529B2955"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80%</w:t>
            </w:r>
          </w:p>
        </w:tc>
        <w:tc>
          <w:tcPr>
            <w:tcW w:w="1360" w:type="dxa"/>
            <w:tcBorders>
              <w:top w:val="nil"/>
              <w:left w:val="nil"/>
              <w:bottom w:val="single" w:sz="4" w:space="0" w:color="auto"/>
              <w:right w:val="single" w:sz="4" w:space="0" w:color="auto"/>
            </w:tcBorders>
            <w:shd w:val="clear" w:color="000000" w:fill="FFFFFF"/>
            <w:noWrap/>
            <w:vAlign w:val="bottom"/>
            <w:hideMark/>
          </w:tcPr>
          <w:p w14:paraId="258D752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90%</w:t>
            </w:r>
          </w:p>
        </w:tc>
        <w:tc>
          <w:tcPr>
            <w:tcW w:w="1134" w:type="dxa"/>
            <w:tcBorders>
              <w:top w:val="nil"/>
              <w:left w:val="nil"/>
              <w:bottom w:val="single" w:sz="4" w:space="0" w:color="auto"/>
              <w:right w:val="single" w:sz="8" w:space="0" w:color="auto"/>
            </w:tcBorders>
            <w:shd w:val="clear" w:color="000000" w:fill="FFFFFF"/>
            <w:noWrap/>
            <w:vAlign w:val="bottom"/>
            <w:hideMark/>
          </w:tcPr>
          <w:p w14:paraId="3ED31EE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68B0F501" w14:textId="77777777" w:rsidTr="00747BCE">
        <w:trPr>
          <w:trHeight w:val="123"/>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1104D45B"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8" w:space="0" w:color="000000"/>
              <w:right w:val="single" w:sz="4" w:space="0" w:color="000000"/>
            </w:tcBorders>
            <w:vAlign w:val="center"/>
            <w:hideMark/>
          </w:tcPr>
          <w:p w14:paraId="01534F73"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4" w:space="0" w:color="auto"/>
              <w:right w:val="single" w:sz="4" w:space="0" w:color="auto"/>
            </w:tcBorders>
            <w:shd w:val="clear" w:color="000000" w:fill="FFFFFF"/>
            <w:vAlign w:val="bottom"/>
            <w:hideMark/>
          </w:tcPr>
          <w:p w14:paraId="741B9E9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femme PTME recevant du Cotrimoxazole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629F8F9F"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1E55B5E2"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592F60E3"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09A4D0BD"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360" w:type="dxa"/>
            <w:tcBorders>
              <w:top w:val="nil"/>
              <w:left w:val="nil"/>
              <w:bottom w:val="single" w:sz="4" w:space="0" w:color="auto"/>
              <w:right w:val="single" w:sz="4" w:space="0" w:color="auto"/>
            </w:tcBorders>
            <w:shd w:val="clear" w:color="000000" w:fill="FFFFFF"/>
            <w:noWrap/>
            <w:vAlign w:val="bottom"/>
            <w:hideMark/>
          </w:tcPr>
          <w:p w14:paraId="12E8A832"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10%</w:t>
            </w:r>
          </w:p>
        </w:tc>
        <w:tc>
          <w:tcPr>
            <w:tcW w:w="1134" w:type="dxa"/>
            <w:tcBorders>
              <w:top w:val="nil"/>
              <w:left w:val="nil"/>
              <w:bottom w:val="single" w:sz="4" w:space="0" w:color="auto"/>
              <w:right w:val="single" w:sz="8" w:space="0" w:color="auto"/>
            </w:tcBorders>
            <w:shd w:val="clear" w:color="000000" w:fill="FFFFFF"/>
            <w:noWrap/>
            <w:vAlign w:val="bottom"/>
            <w:hideMark/>
          </w:tcPr>
          <w:p w14:paraId="02894F3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1C6D626E" w14:textId="77777777" w:rsidTr="00747BCE">
        <w:trPr>
          <w:trHeight w:val="64"/>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7B40327"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8" w:space="0" w:color="000000"/>
              <w:right w:val="single" w:sz="4" w:space="0" w:color="000000"/>
            </w:tcBorders>
            <w:vAlign w:val="center"/>
            <w:hideMark/>
          </w:tcPr>
          <w:p w14:paraId="7FE9CD33"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4" w:space="0" w:color="auto"/>
              <w:right w:val="single" w:sz="4" w:space="0" w:color="auto"/>
            </w:tcBorders>
            <w:shd w:val="clear" w:color="000000" w:fill="FFFFFF"/>
            <w:vAlign w:val="bottom"/>
            <w:hideMark/>
          </w:tcPr>
          <w:p w14:paraId="47721C2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d'enfants exposés dépistés à 2 moins de vie (PCR)</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7FAF0378"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30%</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782503BB"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50%</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3F0D27ED"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60%</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76C186D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70%</w:t>
            </w:r>
          </w:p>
        </w:tc>
        <w:tc>
          <w:tcPr>
            <w:tcW w:w="1360" w:type="dxa"/>
            <w:tcBorders>
              <w:top w:val="nil"/>
              <w:left w:val="nil"/>
              <w:bottom w:val="single" w:sz="4" w:space="0" w:color="auto"/>
              <w:right w:val="single" w:sz="4" w:space="0" w:color="auto"/>
            </w:tcBorders>
            <w:shd w:val="clear" w:color="000000" w:fill="FFFFFF"/>
            <w:noWrap/>
            <w:vAlign w:val="bottom"/>
            <w:hideMark/>
          </w:tcPr>
          <w:p w14:paraId="795EB47A"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80%</w:t>
            </w:r>
          </w:p>
        </w:tc>
        <w:tc>
          <w:tcPr>
            <w:tcW w:w="1134" w:type="dxa"/>
            <w:tcBorders>
              <w:top w:val="nil"/>
              <w:left w:val="nil"/>
              <w:bottom w:val="single" w:sz="4" w:space="0" w:color="auto"/>
              <w:right w:val="single" w:sz="8" w:space="0" w:color="auto"/>
            </w:tcBorders>
            <w:shd w:val="clear" w:color="000000" w:fill="FFFFFF"/>
            <w:noWrap/>
            <w:vAlign w:val="bottom"/>
            <w:hideMark/>
          </w:tcPr>
          <w:p w14:paraId="413EAC8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1CD0F402" w14:textId="77777777" w:rsidTr="00747BCE">
        <w:trPr>
          <w:trHeight w:val="232"/>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2B65CFF5"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8" w:space="0" w:color="000000"/>
              <w:right w:val="single" w:sz="4" w:space="0" w:color="000000"/>
            </w:tcBorders>
            <w:vAlign w:val="center"/>
            <w:hideMark/>
          </w:tcPr>
          <w:p w14:paraId="7BE7B41B"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4" w:space="0" w:color="auto"/>
              <w:right w:val="single" w:sz="4" w:space="0" w:color="auto"/>
            </w:tcBorders>
            <w:shd w:val="clear" w:color="000000" w:fill="FFFFFF"/>
            <w:vAlign w:val="bottom"/>
            <w:hideMark/>
          </w:tcPr>
          <w:p w14:paraId="02F5624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Nombre de femmes dépistées lors de la CPN</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1AC8EC6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321 138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923043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385 526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3F66858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453 379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5B1E79EB"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524 842 </w:t>
            </w:r>
          </w:p>
        </w:tc>
        <w:tc>
          <w:tcPr>
            <w:tcW w:w="1360" w:type="dxa"/>
            <w:tcBorders>
              <w:top w:val="nil"/>
              <w:left w:val="nil"/>
              <w:bottom w:val="single" w:sz="4" w:space="0" w:color="auto"/>
              <w:right w:val="single" w:sz="4" w:space="0" w:color="auto"/>
            </w:tcBorders>
            <w:shd w:val="clear" w:color="000000" w:fill="FFFFFF"/>
            <w:noWrap/>
            <w:vAlign w:val="bottom"/>
            <w:hideMark/>
          </w:tcPr>
          <w:p w14:paraId="3B38045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570 066 </w:t>
            </w:r>
          </w:p>
        </w:tc>
        <w:tc>
          <w:tcPr>
            <w:tcW w:w="1134" w:type="dxa"/>
            <w:tcBorders>
              <w:top w:val="nil"/>
              <w:left w:val="nil"/>
              <w:bottom w:val="single" w:sz="4" w:space="0" w:color="auto"/>
              <w:right w:val="single" w:sz="8" w:space="0" w:color="auto"/>
            </w:tcBorders>
            <w:shd w:val="clear" w:color="000000" w:fill="FFFFFF"/>
            <w:noWrap/>
            <w:vAlign w:val="bottom"/>
            <w:hideMark/>
          </w:tcPr>
          <w:p w14:paraId="6F0B3A8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2 254 951 </w:t>
            </w:r>
          </w:p>
        </w:tc>
      </w:tr>
      <w:tr w:rsidR="00747BCE" w:rsidRPr="00747BCE" w14:paraId="67EC50C4" w14:textId="77777777" w:rsidTr="00747BCE">
        <w:trPr>
          <w:trHeight w:val="207"/>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172DB597"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8" w:space="0" w:color="000000"/>
              <w:right w:val="single" w:sz="4" w:space="0" w:color="000000"/>
            </w:tcBorders>
            <w:vAlign w:val="center"/>
            <w:hideMark/>
          </w:tcPr>
          <w:p w14:paraId="4F9C128F"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4" w:space="0" w:color="auto"/>
              <w:right w:val="single" w:sz="4" w:space="0" w:color="auto"/>
            </w:tcBorders>
            <w:shd w:val="clear" w:color="000000" w:fill="FFFFFF"/>
            <w:vAlign w:val="bottom"/>
            <w:hideMark/>
          </w:tcPr>
          <w:p w14:paraId="3180D456" w14:textId="68734AB6" w:rsidR="00747BCE" w:rsidRPr="00747BCE" w:rsidRDefault="00747BCE" w:rsidP="00747BCE">
            <w:pPr>
              <w:rPr>
                <w:rFonts w:ascii="Calibri" w:hAnsi="Calibri" w:cs="Calibri"/>
                <w:sz w:val="18"/>
                <w:szCs w:val="18"/>
              </w:rPr>
            </w:pPr>
            <w:r w:rsidRPr="00747BCE">
              <w:rPr>
                <w:rFonts w:ascii="Calibri" w:hAnsi="Calibri" w:cs="Calibri"/>
                <w:sz w:val="18"/>
                <w:szCs w:val="18"/>
              </w:rPr>
              <w:t>Nombre de femmes séropositives recevant des soins prophylactiques ARV</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365EBFA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6 174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6BEB76C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7 137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4337CB7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7 909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4E84754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8 969 </w:t>
            </w:r>
          </w:p>
        </w:tc>
        <w:tc>
          <w:tcPr>
            <w:tcW w:w="1360" w:type="dxa"/>
            <w:tcBorders>
              <w:top w:val="nil"/>
              <w:left w:val="nil"/>
              <w:bottom w:val="single" w:sz="4" w:space="0" w:color="auto"/>
              <w:right w:val="single" w:sz="4" w:space="0" w:color="auto"/>
            </w:tcBorders>
            <w:shd w:val="clear" w:color="000000" w:fill="FFFFFF"/>
            <w:noWrap/>
            <w:vAlign w:val="bottom"/>
            <w:hideMark/>
          </w:tcPr>
          <w:p w14:paraId="4A95279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9 132 </w:t>
            </w:r>
          </w:p>
        </w:tc>
        <w:tc>
          <w:tcPr>
            <w:tcW w:w="1134" w:type="dxa"/>
            <w:tcBorders>
              <w:top w:val="nil"/>
              <w:left w:val="nil"/>
              <w:bottom w:val="single" w:sz="4" w:space="0" w:color="auto"/>
              <w:right w:val="single" w:sz="8" w:space="0" w:color="auto"/>
            </w:tcBorders>
            <w:shd w:val="clear" w:color="000000" w:fill="FFFFFF"/>
            <w:noWrap/>
            <w:vAlign w:val="bottom"/>
            <w:hideMark/>
          </w:tcPr>
          <w:p w14:paraId="571BFE0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39 320 </w:t>
            </w:r>
          </w:p>
        </w:tc>
      </w:tr>
      <w:tr w:rsidR="00747BCE" w:rsidRPr="00747BCE" w14:paraId="305A148D" w14:textId="77777777" w:rsidTr="00747BCE">
        <w:trPr>
          <w:trHeight w:val="153"/>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6FE35853"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8" w:space="0" w:color="000000"/>
              <w:right w:val="single" w:sz="4" w:space="0" w:color="000000"/>
            </w:tcBorders>
            <w:vAlign w:val="center"/>
            <w:hideMark/>
          </w:tcPr>
          <w:p w14:paraId="7FC06248"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4" w:space="0" w:color="auto"/>
              <w:right w:val="single" w:sz="4" w:space="0" w:color="auto"/>
            </w:tcBorders>
            <w:shd w:val="clear" w:color="000000" w:fill="FFFFFF"/>
            <w:vAlign w:val="bottom"/>
            <w:hideMark/>
          </w:tcPr>
          <w:p w14:paraId="1287675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Nombre de femmes recevant du Cotrimoxazole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6F94E9F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630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3EE1B09B"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728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7341038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807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2031F88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915 </w:t>
            </w:r>
          </w:p>
        </w:tc>
        <w:tc>
          <w:tcPr>
            <w:tcW w:w="1360" w:type="dxa"/>
            <w:tcBorders>
              <w:top w:val="nil"/>
              <w:left w:val="nil"/>
              <w:bottom w:val="single" w:sz="4" w:space="0" w:color="auto"/>
              <w:right w:val="single" w:sz="4" w:space="0" w:color="auto"/>
            </w:tcBorders>
            <w:shd w:val="clear" w:color="000000" w:fill="FFFFFF"/>
            <w:noWrap/>
            <w:vAlign w:val="bottom"/>
            <w:hideMark/>
          </w:tcPr>
          <w:p w14:paraId="38178DBC" w14:textId="616F80B6"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932 </w:t>
            </w:r>
          </w:p>
        </w:tc>
        <w:tc>
          <w:tcPr>
            <w:tcW w:w="1134" w:type="dxa"/>
            <w:tcBorders>
              <w:top w:val="nil"/>
              <w:left w:val="nil"/>
              <w:bottom w:val="single" w:sz="4" w:space="0" w:color="auto"/>
              <w:right w:val="single" w:sz="8" w:space="0" w:color="auto"/>
            </w:tcBorders>
            <w:shd w:val="clear" w:color="000000" w:fill="FFFFFF"/>
            <w:noWrap/>
            <w:vAlign w:val="bottom"/>
            <w:hideMark/>
          </w:tcPr>
          <w:p w14:paraId="7AA53E7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4 011 </w:t>
            </w:r>
          </w:p>
        </w:tc>
      </w:tr>
      <w:tr w:rsidR="00747BCE" w:rsidRPr="00747BCE" w14:paraId="61820D07" w14:textId="77777777" w:rsidTr="00747BCE">
        <w:trPr>
          <w:trHeight w:val="231"/>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0AD33D6B"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8" w:space="0" w:color="000000"/>
              <w:right w:val="single" w:sz="4" w:space="0" w:color="000000"/>
            </w:tcBorders>
            <w:vAlign w:val="center"/>
            <w:hideMark/>
          </w:tcPr>
          <w:p w14:paraId="64E7DD54"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8" w:space="0" w:color="auto"/>
              <w:right w:val="single" w:sz="4" w:space="0" w:color="auto"/>
            </w:tcBorders>
            <w:shd w:val="clear" w:color="000000" w:fill="FFFFFF"/>
            <w:vAlign w:val="bottom"/>
            <w:hideMark/>
          </w:tcPr>
          <w:p w14:paraId="2E22C6D8" w14:textId="4C0307DE" w:rsidR="00747BCE" w:rsidRPr="00747BCE" w:rsidRDefault="00747BCE" w:rsidP="00747BCE">
            <w:pPr>
              <w:rPr>
                <w:rFonts w:ascii="Calibri" w:hAnsi="Calibri" w:cs="Calibri"/>
                <w:sz w:val="18"/>
                <w:szCs w:val="18"/>
              </w:rPr>
            </w:pPr>
            <w:r w:rsidRPr="00747BCE">
              <w:rPr>
                <w:rFonts w:ascii="Calibri" w:hAnsi="Calibri" w:cs="Calibri"/>
                <w:sz w:val="18"/>
                <w:szCs w:val="18"/>
              </w:rPr>
              <w:t>Nombre d'enfants exposés</w:t>
            </w:r>
            <w:r>
              <w:rPr>
                <w:rFonts w:ascii="Calibri" w:hAnsi="Calibri" w:cs="Calibri"/>
                <w:sz w:val="18"/>
                <w:szCs w:val="18"/>
              </w:rPr>
              <w:t xml:space="preserve"> </w:t>
            </w:r>
            <w:r w:rsidRPr="00747BCE">
              <w:rPr>
                <w:rFonts w:ascii="Calibri" w:hAnsi="Calibri" w:cs="Calibri"/>
                <w:sz w:val="18"/>
                <w:szCs w:val="18"/>
              </w:rPr>
              <w:t>bénéficiaires de la PCR</w:t>
            </w:r>
          </w:p>
        </w:tc>
        <w:tc>
          <w:tcPr>
            <w:tcW w:w="1180" w:type="dxa"/>
            <w:gridSpan w:val="2"/>
            <w:tcBorders>
              <w:top w:val="nil"/>
              <w:left w:val="nil"/>
              <w:bottom w:val="single" w:sz="8" w:space="0" w:color="auto"/>
              <w:right w:val="single" w:sz="4" w:space="0" w:color="auto"/>
            </w:tcBorders>
            <w:shd w:val="clear" w:color="000000" w:fill="FFFFFF"/>
            <w:noWrap/>
            <w:vAlign w:val="bottom"/>
            <w:hideMark/>
          </w:tcPr>
          <w:p w14:paraId="07331275"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1 797 </w:t>
            </w:r>
          </w:p>
        </w:tc>
        <w:tc>
          <w:tcPr>
            <w:tcW w:w="1260" w:type="dxa"/>
            <w:gridSpan w:val="2"/>
            <w:tcBorders>
              <w:top w:val="nil"/>
              <w:left w:val="nil"/>
              <w:bottom w:val="single" w:sz="8" w:space="0" w:color="auto"/>
              <w:right w:val="single" w:sz="4" w:space="0" w:color="auto"/>
            </w:tcBorders>
            <w:shd w:val="clear" w:color="000000" w:fill="FFFFFF"/>
            <w:noWrap/>
            <w:vAlign w:val="bottom"/>
            <w:hideMark/>
          </w:tcPr>
          <w:p w14:paraId="4D57B8A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3 461 </w:t>
            </w:r>
          </w:p>
        </w:tc>
        <w:tc>
          <w:tcPr>
            <w:tcW w:w="1340" w:type="dxa"/>
            <w:gridSpan w:val="2"/>
            <w:tcBorders>
              <w:top w:val="nil"/>
              <w:left w:val="nil"/>
              <w:bottom w:val="single" w:sz="8" w:space="0" w:color="auto"/>
              <w:right w:val="single" w:sz="4" w:space="0" w:color="auto"/>
            </w:tcBorders>
            <w:shd w:val="clear" w:color="000000" w:fill="FFFFFF"/>
            <w:noWrap/>
            <w:vAlign w:val="bottom"/>
            <w:hideMark/>
          </w:tcPr>
          <w:p w14:paraId="395356E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4 603 </w:t>
            </w:r>
          </w:p>
        </w:tc>
        <w:tc>
          <w:tcPr>
            <w:tcW w:w="1380" w:type="dxa"/>
            <w:gridSpan w:val="2"/>
            <w:tcBorders>
              <w:top w:val="nil"/>
              <w:left w:val="nil"/>
              <w:bottom w:val="single" w:sz="8" w:space="0" w:color="auto"/>
              <w:right w:val="single" w:sz="4" w:space="0" w:color="auto"/>
            </w:tcBorders>
            <w:shd w:val="clear" w:color="000000" w:fill="FFFFFF"/>
            <w:noWrap/>
            <w:vAlign w:val="bottom"/>
            <w:hideMark/>
          </w:tcPr>
          <w:p w14:paraId="4D38AD6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6 090 </w:t>
            </w:r>
          </w:p>
        </w:tc>
        <w:tc>
          <w:tcPr>
            <w:tcW w:w="1360" w:type="dxa"/>
            <w:tcBorders>
              <w:top w:val="nil"/>
              <w:left w:val="nil"/>
              <w:bottom w:val="single" w:sz="8" w:space="0" w:color="auto"/>
              <w:right w:val="single" w:sz="4" w:space="0" w:color="auto"/>
            </w:tcBorders>
            <w:shd w:val="clear" w:color="000000" w:fill="FFFFFF"/>
            <w:noWrap/>
            <w:vAlign w:val="bottom"/>
            <w:hideMark/>
          </w:tcPr>
          <w:p w14:paraId="12616D6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7 087 </w:t>
            </w:r>
          </w:p>
        </w:tc>
        <w:tc>
          <w:tcPr>
            <w:tcW w:w="1134" w:type="dxa"/>
            <w:tcBorders>
              <w:top w:val="nil"/>
              <w:left w:val="nil"/>
              <w:bottom w:val="single" w:sz="8" w:space="0" w:color="auto"/>
              <w:right w:val="single" w:sz="8" w:space="0" w:color="auto"/>
            </w:tcBorders>
            <w:shd w:val="clear" w:color="000000" w:fill="FFFFFF"/>
            <w:noWrap/>
            <w:vAlign w:val="bottom"/>
            <w:hideMark/>
          </w:tcPr>
          <w:p w14:paraId="3EAF2DE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23 037 </w:t>
            </w:r>
          </w:p>
        </w:tc>
      </w:tr>
      <w:tr w:rsidR="00747BCE" w:rsidRPr="00747BCE" w14:paraId="47D5A3AF" w14:textId="77777777" w:rsidTr="00747BCE">
        <w:trPr>
          <w:trHeight w:val="82"/>
        </w:trPr>
        <w:tc>
          <w:tcPr>
            <w:tcW w:w="14742" w:type="dxa"/>
            <w:gridSpan w:val="14"/>
            <w:tcBorders>
              <w:top w:val="nil"/>
              <w:left w:val="single" w:sz="8" w:space="0" w:color="auto"/>
              <w:bottom w:val="single" w:sz="4" w:space="0" w:color="auto"/>
              <w:right w:val="single" w:sz="8" w:space="0" w:color="000000"/>
            </w:tcBorders>
            <w:shd w:val="clear" w:color="000000" w:fill="D8E4BC"/>
            <w:noWrap/>
            <w:vAlign w:val="bottom"/>
            <w:hideMark/>
          </w:tcPr>
          <w:p w14:paraId="553AB243"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Soins et traitement</w:t>
            </w:r>
          </w:p>
        </w:tc>
      </w:tr>
      <w:tr w:rsidR="00747BCE" w:rsidRPr="00747BCE" w14:paraId="1EE4DCB2" w14:textId="77777777" w:rsidTr="00747BCE">
        <w:trPr>
          <w:trHeight w:val="74"/>
        </w:trPr>
        <w:tc>
          <w:tcPr>
            <w:tcW w:w="426" w:type="dxa"/>
            <w:vMerge w:val="restart"/>
            <w:tcBorders>
              <w:top w:val="nil"/>
              <w:left w:val="single" w:sz="8" w:space="0" w:color="auto"/>
              <w:bottom w:val="single" w:sz="8" w:space="0" w:color="000000"/>
              <w:right w:val="single" w:sz="4" w:space="0" w:color="auto"/>
            </w:tcBorders>
            <w:shd w:val="clear" w:color="000000" w:fill="FFFFFF"/>
            <w:noWrap/>
            <w:vAlign w:val="bottom"/>
            <w:hideMark/>
          </w:tcPr>
          <w:p w14:paraId="69F54744"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14316" w:type="dxa"/>
            <w:gridSpan w:val="13"/>
            <w:tcBorders>
              <w:top w:val="single" w:sz="4" w:space="0" w:color="auto"/>
              <w:left w:val="nil"/>
              <w:bottom w:val="single" w:sz="4" w:space="0" w:color="auto"/>
              <w:right w:val="single" w:sz="8" w:space="0" w:color="000000"/>
            </w:tcBorders>
            <w:shd w:val="clear" w:color="000000" w:fill="DDD9C4"/>
            <w:noWrap/>
            <w:vAlign w:val="bottom"/>
            <w:hideMark/>
          </w:tcPr>
          <w:p w14:paraId="01BBDB9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Traitement ARV</w:t>
            </w:r>
          </w:p>
        </w:tc>
      </w:tr>
      <w:tr w:rsidR="00747BCE" w:rsidRPr="00747BCE" w14:paraId="6FEAB770" w14:textId="77777777" w:rsidTr="00747BCE">
        <w:trPr>
          <w:trHeight w:val="173"/>
        </w:trPr>
        <w:tc>
          <w:tcPr>
            <w:tcW w:w="426" w:type="dxa"/>
            <w:vMerge/>
            <w:tcBorders>
              <w:top w:val="nil"/>
              <w:left w:val="single" w:sz="8" w:space="0" w:color="auto"/>
              <w:bottom w:val="single" w:sz="8" w:space="0" w:color="000000"/>
              <w:right w:val="single" w:sz="4" w:space="0" w:color="auto"/>
            </w:tcBorders>
            <w:vAlign w:val="center"/>
            <w:hideMark/>
          </w:tcPr>
          <w:p w14:paraId="4CF35728" w14:textId="77777777" w:rsidR="00747BCE" w:rsidRPr="00747BCE" w:rsidRDefault="00747BCE" w:rsidP="00747BCE">
            <w:pPr>
              <w:rPr>
                <w:rFonts w:ascii="Calibri" w:hAnsi="Calibri" w:cs="Calibri"/>
                <w:sz w:val="18"/>
                <w:szCs w:val="18"/>
              </w:rPr>
            </w:pPr>
          </w:p>
        </w:tc>
        <w:tc>
          <w:tcPr>
            <w:tcW w:w="567"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2E6376BE"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6095" w:type="dxa"/>
            <w:gridSpan w:val="2"/>
            <w:tcBorders>
              <w:top w:val="nil"/>
              <w:left w:val="nil"/>
              <w:bottom w:val="single" w:sz="4" w:space="0" w:color="auto"/>
              <w:right w:val="single" w:sz="4" w:space="0" w:color="auto"/>
            </w:tcBorders>
            <w:shd w:val="clear" w:color="000000" w:fill="FFFFFF"/>
            <w:vAlign w:val="bottom"/>
            <w:hideMark/>
          </w:tcPr>
          <w:p w14:paraId="38CF2F5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Population dans le besoin recevant une thérapie ARV</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7F58E28A"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54%</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0FF7CD95"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64%</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309693F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74%</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1BB62A9E"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77%</w:t>
            </w:r>
          </w:p>
        </w:tc>
        <w:tc>
          <w:tcPr>
            <w:tcW w:w="1360" w:type="dxa"/>
            <w:tcBorders>
              <w:top w:val="nil"/>
              <w:left w:val="nil"/>
              <w:bottom w:val="single" w:sz="4" w:space="0" w:color="auto"/>
              <w:right w:val="single" w:sz="4" w:space="0" w:color="auto"/>
            </w:tcBorders>
            <w:shd w:val="clear" w:color="000000" w:fill="FFFFFF"/>
            <w:noWrap/>
            <w:vAlign w:val="bottom"/>
            <w:hideMark/>
          </w:tcPr>
          <w:p w14:paraId="368DAD5D"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82%</w:t>
            </w:r>
          </w:p>
        </w:tc>
        <w:tc>
          <w:tcPr>
            <w:tcW w:w="1134" w:type="dxa"/>
            <w:tcBorders>
              <w:top w:val="nil"/>
              <w:left w:val="nil"/>
              <w:bottom w:val="single" w:sz="4" w:space="0" w:color="auto"/>
              <w:right w:val="single" w:sz="8" w:space="0" w:color="auto"/>
            </w:tcBorders>
            <w:shd w:val="clear" w:color="000000" w:fill="FFFFFF"/>
            <w:noWrap/>
            <w:vAlign w:val="bottom"/>
            <w:hideMark/>
          </w:tcPr>
          <w:p w14:paraId="7440AAF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34985372" w14:textId="77777777" w:rsidTr="00747BCE">
        <w:trPr>
          <w:trHeight w:val="64"/>
        </w:trPr>
        <w:tc>
          <w:tcPr>
            <w:tcW w:w="426" w:type="dxa"/>
            <w:vMerge/>
            <w:tcBorders>
              <w:top w:val="nil"/>
              <w:left w:val="single" w:sz="8" w:space="0" w:color="auto"/>
              <w:bottom w:val="single" w:sz="8" w:space="0" w:color="000000"/>
              <w:right w:val="single" w:sz="4" w:space="0" w:color="auto"/>
            </w:tcBorders>
            <w:vAlign w:val="center"/>
            <w:hideMark/>
          </w:tcPr>
          <w:p w14:paraId="1A8C4671"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4" w:space="0" w:color="000000"/>
              <w:right w:val="single" w:sz="4" w:space="0" w:color="000000"/>
            </w:tcBorders>
            <w:vAlign w:val="center"/>
            <w:hideMark/>
          </w:tcPr>
          <w:p w14:paraId="12770F2E"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4" w:space="0" w:color="auto"/>
              <w:right w:val="single" w:sz="4" w:space="0" w:color="auto"/>
            </w:tcBorders>
            <w:shd w:val="clear" w:color="000000" w:fill="FFFFFF"/>
            <w:vAlign w:val="bottom"/>
            <w:hideMark/>
          </w:tcPr>
          <w:p w14:paraId="7C8E1F0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Proportion des enfants recevant des ARV</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7349BFD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29%</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6F5162A9"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42%</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2042D938"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51%</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3F93FB81"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59%</w:t>
            </w:r>
          </w:p>
        </w:tc>
        <w:tc>
          <w:tcPr>
            <w:tcW w:w="1360" w:type="dxa"/>
            <w:tcBorders>
              <w:top w:val="nil"/>
              <w:left w:val="nil"/>
              <w:bottom w:val="single" w:sz="4" w:space="0" w:color="auto"/>
              <w:right w:val="single" w:sz="4" w:space="0" w:color="auto"/>
            </w:tcBorders>
            <w:shd w:val="clear" w:color="000000" w:fill="FFFFFF"/>
            <w:noWrap/>
            <w:vAlign w:val="bottom"/>
            <w:hideMark/>
          </w:tcPr>
          <w:p w14:paraId="2B246C9D"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68%</w:t>
            </w:r>
          </w:p>
        </w:tc>
        <w:tc>
          <w:tcPr>
            <w:tcW w:w="1134" w:type="dxa"/>
            <w:tcBorders>
              <w:top w:val="nil"/>
              <w:left w:val="nil"/>
              <w:bottom w:val="single" w:sz="4" w:space="0" w:color="auto"/>
              <w:right w:val="single" w:sz="8" w:space="0" w:color="auto"/>
            </w:tcBorders>
            <w:shd w:val="clear" w:color="000000" w:fill="FFFFFF"/>
            <w:noWrap/>
            <w:vAlign w:val="bottom"/>
            <w:hideMark/>
          </w:tcPr>
          <w:p w14:paraId="2F679A54"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0E9DD2F1" w14:textId="77777777" w:rsidTr="00747BCE">
        <w:trPr>
          <w:trHeight w:val="64"/>
        </w:trPr>
        <w:tc>
          <w:tcPr>
            <w:tcW w:w="426" w:type="dxa"/>
            <w:vMerge/>
            <w:tcBorders>
              <w:top w:val="nil"/>
              <w:left w:val="single" w:sz="8" w:space="0" w:color="auto"/>
              <w:bottom w:val="single" w:sz="8" w:space="0" w:color="000000"/>
              <w:right w:val="single" w:sz="4" w:space="0" w:color="auto"/>
            </w:tcBorders>
            <w:vAlign w:val="center"/>
            <w:hideMark/>
          </w:tcPr>
          <w:p w14:paraId="52C60877"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4" w:space="0" w:color="000000"/>
              <w:right w:val="single" w:sz="4" w:space="0" w:color="000000"/>
            </w:tcBorders>
            <w:vAlign w:val="center"/>
            <w:hideMark/>
          </w:tcPr>
          <w:p w14:paraId="123FA516"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4" w:space="0" w:color="auto"/>
              <w:right w:val="single" w:sz="4" w:space="0" w:color="auto"/>
            </w:tcBorders>
            <w:shd w:val="clear" w:color="000000" w:fill="FFFFFF"/>
            <w:vAlign w:val="bottom"/>
            <w:hideMark/>
          </w:tcPr>
          <w:p w14:paraId="2EACE70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Nombre d'adultes recevant une thérapie ARV</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3A27CD9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59 904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405D4DF"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71 916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0EC4346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85 112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181AE82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90 657 </w:t>
            </w:r>
          </w:p>
        </w:tc>
        <w:tc>
          <w:tcPr>
            <w:tcW w:w="1360" w:type="dxa"/>
            <w:tcBorders>
              <w:top w:val="nil"/>
              <w:left w:val="nil"/>
              <w:bottom w:val="single" w:sz="4" w:space="0" w:color="auto"/>
              <w:right w:val="single" w:sz="4" w:space="0" w:color="auto"/>
            </w:tcBorders>
            <w:shd w:val="clear" w:color="000000" w:fill="FFFFFF"/>
            <w:noWrap/>
            <w:vAlign w:val="bottom"/>
            <w:hideMark/>
          </w:tcPr>
          <w:p w14:paraId="5B49C5E3" w14:textId="64FDB308"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96 724 </w:t>
            </w:r>
          </w:p>
        </w:tc>
        <w:tc>
          <w:tcPr>
            <w:tcW w:w="1134" w:type="dxa"/>
            <w:tcBorders>
              <w:top w:val="nil"/>
              <w:left w:val="nil"/>
              <w:bottom w:val="single" w:sz="4" w:space="0" w:color="auto"/>
              <w:right w:val="single" w:sz="8" w:space="0" w:color="auto"/>
            </w:tcBorders>
            <w:shd w:val="clear" w:color="000000" w:fill="FFFFFF"/>
            <w:noWrap/>
            <w:vAlign w:val="bottom"/>
            <w:hideMark/>
          </w:tcPr>
          <w:p w14:paraId="38397081"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3B4C6C12" w14:textId="77777777" w:rsidTr="00747BCE">
        <w:trPr>
          <w:trHeight w:val="142"/>
        </w:trPr>
        <w:tc>
          <w:tcPr>
            <w:tcW w:w="426" w:type="dxa"/>
            <w:vMerge/>
            <w:tcBorders>
              <w:top w:val="nil"/>
              <w:left w:val="single" w:sz="8" w:space="0" w:color="auto"/>
              <w:bottom w:val="single" w:sz="8" w:space="0" w:color="000000"/>
              <w:right w:val="single" w:sz="4" w:space="0" w:color="auto"/>
            </w:tcBorders>
            <w:vAlign w:val="center"/>
            <w:hideMark/>
          </w:tcPr>
          <w:p w14:paraId="57B2255E"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4" w:space="0" w:color="000000"/>
              <w:right w:val="single" w:sz="4" w:space="0" w:color="000000"/>
            </w:tcBorders>
            <w:vAlign w:val="center"/>
            <w:hideMark/>
          </w:tcPr>
          <w:p w14:paraId="68505B5E"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4" w:space="0" w:color="auto"/>
              <w:right w:val="single" w:sz="4" w:space="0" w:color="auto"/>
            </w:tcBorders>
            <w:shd w:val="clear" w:color="000000" w:fill="FFFFFF"/>
            <w:vAlign w:val="bottom"/>
            <w:hideMark/>
          </w:tcPr>
          <w:p w14:paraId="6DCE054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Nombre d'enfants recevant une thérapie ARV</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13AD76B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3 010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00B0497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4 304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05FFEF52"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5 150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468CC507"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6 024 </w:t>
            </w:r>
          </w:p>
        </w:tc>
        <w:tc>
          <w:tcPr>
            <w:tcW w:w="1360" w:type="dxa"/>
            <w:tcBorders>
              <w:top w:val="nil"/>
              <w:left w:val="nil"/>
              <w:bottom w:val="single" w:sz="4" w:space="0" w:color="auto"/>
              <w:right w:val="single" w:sz="4" w:space="0" w:color="auto"/>
            </w:tcBorders>
            <w:shd w:val="clear" w:color="000000" w:fill="FFFFFF"/>
            <w:noWrap/>
            <w:vAlign w:val="bottom"/>
            <w:hideMark/>
          </w:tcPr>
          <w:p w14:paraId="216F714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6 843 </w:t>
            </w:r>
          </w:p>
        </w:tc>
        <w:tc>
          <w:tcPr>
            <w:tcW w:w="1134" w:type="dxa"/>
            <w:tcBorders>
              <w:top w:val="nil"/>
              <w:left w:val="nil"/>
              <w:bottom w:val="single" w:sz="4" w:space="0" w:color="auto"/>
              <w:right w:val="single" w:sz="8" w:space="0" w:color="auto"/>
            </w:tcBorders>
            <w:shd w:val="clear" w:color="000000" w:fill="FFFFFF"/>
            <w:noWrap/>
            <w:vAlign w:val="bottom"/>
            <w:hideMark/>
          </w:tcPr>
          <w:p w14:paraId="4B5948D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44D30521" w14:textId="77777777" w:rsidTr="00747BCE">
        <w:trPr>
          <w:trHeight w:val="64"/>
        </w:trPr>
        <w:tc>
          <w:tcPr>
            <w:tcW w:w="426" w:type="dxa"/>
            <w:vMerge/>
            <w:tcBorders>
              <w:top w:val="nil"/>
              <w:left w:val="single" w:sz="8" w:space="0" w:color="auto"/>
              <w:bottom w:val="single" w:sz="8" w:space="0" w:color="000000"/>
              <w:right w:val="single" w:sz="4" w:space="0" w:color="auto"/>
            </w:tcBorders>
            <w:vAlign w:val="center"/>
            <w:hideMark/>
          </w:tcPr>
          <w:p w14:paraId="7DDAD410" w14:textId="77777777" w:rsidR="00747BCE" w:rsidRPr="00747BCE" w:rsidRDefault="00747BCE" w:rsidP="00747BCE">
            <w:pPr>
              <w:rPr>
                <w:rFonts w:ascii="Calibri" w:hAnsi="Calibri" w:cs="Calibri"/>
                <w:sz w:val="18"/>
                <w:szCs w:val="18"/>
              </w:rPr>
            </w:pPr>
          </w:p>
        </w:tc>
        <w:tc>
          <w:tcPr>
            <w:tcW w:w="14316" w:type="dxa"/>
            <w:gridSpan w:val="13"/>
            <w:tcBorders>
              <w:top w:val="single" w:sz="4" w:space="0" w:color="auto"/>
              <w:left w:val="nil"/>
              <w:bottom w:val="single" w:sz="4" w:space="0" w:color="auto"/>
              <w:right w:val="single" w:sz="8" w:space="0" w:color="000000"/>
            </w:tcBorders>
            <w:shd w:val="clear" w:color="000000" w:fill="DDD9C4"/>
            <w:noWrap/>
            <w:vAlign w:val="bottom"/>
            <w:hideMark/>
          </w:tcPr>
          <w:p w14:paraId="4F066EB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Soins et prophylaxie non ARV</w:t>
            </w:r>
          </w:p>
        </w:tc>
      </w:tr>
      <w:tr w:rsidR="00747BCE" w:rsidRPr="00747BCE" w14:paraId="416B53DA" w14:textId="77777777" w:rsidTr="00747BCE">
        <w:trPr>
          <w:trHeight w:val="64"/>
        </w:trPr>
        <w:tc>
          <w:tcPr>
            <w:tcW w:w="426" w:type="dxa"/>
            <w:vMerge/>
            <w:tcBorders>
              <w:top w:val="nil"/>
              <w:left w:val="single" w:sz="8" w:space="0" w:color="auto"/>
              <w:bottom w:val="single" w:sz="8" w:space="0" w:color="000000"/>
              <w:right w:val="single" w:sz="4" w:space="0" w:color="auto"/>
            </w:tcBorders>
            <w:vAlign w:val="center"/>
            <w:hideMark/>
          </w:tcPr>
          <w:p w14:paraId="6E788CDD" w14:textId="77777777" w:rsidR="00747BCE" w:rsidRPr="00747BCE" w:rsidRDefault="00747BCE" w:rsidP="00747BCE">
            <w:pPr>
              <w:rPr>
                <w:rFonts w:ascii="Calibri" w:hAnsi="Calibri" w:cs="Calibri"/>
                <w:sz w:val="18"/>
                <w:szCs w:val="18"/>
              </w:rPr>
            </w:pPr>
          </w:p>
        </w:tc>
        <w:tc>
          <w:tcPr>
            <w:tcW w:w="567"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bottom"/>
            <w:hideMark/>
          </w:tcPr>
          <w:p w14:paraId="21C0FE3C"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6095" w:type="dxa"/>
            <w:gridSpan w:val="2"/>
            <w:tcBorders>
              <w:top w:val="nil"/>
              <w:left w:val="nil"/>
              <w:bottom w:val="single" w:sz="4" w:space="0" w:color="auto"/>
              <w:right w:val="single" w:sz="4" w:space="0" w:color="auto"/>
            </w:tcBorders>
            <w:shd w:val="clear" w:color="000000" w:fill="FFFFFF"/>
            <w:vAlign w:val="bottom"/>
            <w:hideMark/>
          </w:tcPr>
          <w:p w14:paraId="03E618B2"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Couverture des personnes ayant besoin de soins</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2D4E106C"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73%</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26D8DC13"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81%</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687F7A66"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73%</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7D878F6A"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65%</w:t>
            </w:r>
          </w:p>
        </w:tc>
        <w:tc>
          <w:tcPr>
            <w:tcW w:w="1360" w:type="dxa"/>
            <w:tcBorders>
              <w:top w:val="nil"/>
              <w:left w:val="nil"/>
              <w:bottom w:val="single" w:sz="4" w:space="0" w:color="auto"/>
              <w:right w:val="single" w:sz="4" w:space="0" w:color="auto"/>
            </w:tcBorders>
            <w:shd w:val="clear" w:color="000000" w:fill="FFFFFF"/>
            <w:noWrap/>
            <w:vAlign w:val="bottom"/>
            <w:hideMark/>
          </w:tcPr>
          <w:p w14:paraId="5495D915"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57%</w:t>
            </w:r>
          </w:p>
        </w:tc>
        <w:tc>
          <w:tcPr>
            <w:tcW w:w="1134" w:type="dxa"/>
            <w:tcBorders>
              <w:top w:val="nil"/>
              <w:left w:val="nil"/>
              <w:bottom w:val="single" w:sz="4" w:space="0" w:color="auto"/>
              <w:right w:val="single" w:sz="8" w:space="0" w:color="auto"/>
            </w:tcBorders>
            <w:shd w:val="clear" w:color="000000" w:fill="FFFFFF"/>
            <w:noWrap/>
            <w:vAlign w:val="bottom"/>
            <w:hideMark/>
          </w:tcPr>
          <w:p w14:paraId="13B5D2F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44609659" w14:textId="77777777" w:rsidTr="00747BCE">
        <w:trPr>
          <w:trHeight w:val="280"/>
        </w:trPr>
        <w:tc>
          <w:tcPr>
            <w:tcW w:w="426" w:type="dxa"/>
            <w:vMerge/>
            <w:tcBorders>
              <w:top w:val="nil"/>
              <w:left w:val="single" w:sz="8" w:space="0" w:color="auto"/>
              <w:bottom w:val="single" w:sz="8" w:space="0" w:color="000000"/>
              <w:right w:val="single" w:sz="4" w:space="0" w:color="auto"/>
            </w:tcBorders>
            <w:vAlign w:val="center"/>
            <w:hideMark/>
          </w:tcPr>
          <w:p w14:paraId="4D7CB147" w14:textId="77777777" w:rsidR="00747BCE" w:rsidRPr="00747BCE" w:rsidRDefault="00747BCE" w:rsidP="00747BCE">
            <w:pPr>
              <w:rPr>
                <w:rFonts w:ascii="Calibri" w:hAnsi="Calibri" w:cs="Calibri"/>
                <w:sz w:val="18"/>
                <w:szCs w:val="18"/>
              </w:rPr>
            </w:pPr>
          </w:p>
        </w:tc>
        <w:tc>
          <w:tcPr>
            <w:tcW w:w="567" w:type="dxa"/>
            <w:vMerge/>
            <w:tcBorders>
              <w:top w:val="single" w:sz="4" w:space="0" w:color="auto"/>
              <w:left w:val="single" w:sz="4" w:space="0" w:color="auto"/>
              <w:bottom w:val="single" w:sz="4" w:space="0" w:color="000000"/>
              <w:right w:val="single" w:sz="4" w:space="0" w:color="000000"/>
            </w:tcBorders>
            <w:vAlign w:val="center"/>
            <w:hideMark/>
          </w:tcPr>
          <w:p w14:paraId="43A9DDE3" w14:textId="77777777" w:rsidR="00747BCE" w:rsidRPr="00747BCE" w:rsidRDefault="00747BCE" w:rsidP="00747BCE">
            <w:pPr>
              <w:rPr>
                <w:rFonts w:ascii="Calibri" w:hAnsi="Calibri" w:cs="Calibri"/>
                <w:sz w:val="18"/>
                <w:szCs w:val="18"/>
              </w:rPr>
            </w:pPr>
          </w:p>
        </w:tc>
        <w:tc>
          <w:tcPr>
            <w:tcW w:w="6095" w:type="dxa"/>
            <w:gridSpan w:val="2"/>
            <w:tcBorders>
              <w:top w:val="nil"/>
              <w:left w:val="nil"/>
              <w:bottom w:val="single" w:sz="4" w:space="0" w:color="auto"/>
              <w:right w:val="single" w:sz="4" w:space="0" w:color="auto"/>
            </w:tcBorders>
            <w:shd w:val="clear" w:color="000000" w:fill="FFFFFF"/>
            <w:vAlign w:val="bottom"/>
            <w:hideMark/>
          </w:tcPr>
          <w:p w14:paraId="66B2394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Soins en l'absence de thérapie ARV (par an)</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5E4C8DF8"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28 024 </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39EF44E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81 950 </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2B3220C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47 187 </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3D20AFF0"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42 306 </w:t>
            </w:r>
          </w:p>
        </w:tc>
        <w:tc>
          <w:tcPr>
            <w:tcW w:w="1360" w:type="dxa"/>
            <w:tcBorders>
              <w:top w:val="nil"/>
              <w:left w:val="nil"/>
              <w:bottom w:val="single" w:sz="4" w:space="0" w:color="auto"/>
              <w:right w:val="single" w:sz="4" w:space="0" w:color="auto"/>
            </w:tcBorders>
            <w:shd w:val="clear" w:color="000000" w:fill="FFFFFF"/>
            <w:noWrap/>
            <w:vAlign w:val="bottom"/>
            <w:hideMark/>
          </w:tcPr>
          <w:p w14:paraId="2A0A59C3" w14:textId="61C11DEA"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29 003 </w:t>
            </w:r>
          </w:p>
        </w:tc>
        <w:tc>
          <w:tcPr>
            <w:tcW w:w="1134" w:type="dxa"/>
            <w:tcBorders>
              <w:top w:val="nil"/>
              <w:left w:val="nil"/>
              <w:bottom w:val="single" w:sz="4" w:space="0" w:color="auto"/>
              <w:right w:val="single" w:sz="8" w:space="0" w:color="auto"/>
            </w:tcBorders>
            <w:shd w:val="clear" w:color="000000" w:fill="FFFFFF"/>
            <w:noWrap/>
            <w:vAlign w:val="bottom"/>
            <w:hideMark/>
          </w:tcPr>
          <w:p w14:paraId="6A2263EE"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6F77E54D" w14:textId="77777777" w:rsidTr="00747BCE">
        <w:trPr>
          <w:trHeight w:val="74"/>
        </w:trPr>
        <w:tc>
          <w:tcPr>
            <w:tcW w:w="426" w:type="dxa"/>
            <w:vMerge/>
            <w:tcBorders>
              <w:top w:val="nil"/>
              <w:left w:val="single" w:sz="8" w:space="0" w:color="auto"/>
              <w:bottom w:val="single" w:sz="8" w:space="0" w:color="000000"/>
              <w:right w:val="single" w:sz="4" w:space="0" w:color="auto"/>
            </w:tcBorders>
            <w:vAlign w:val="center"/>
            <w:hideMark/>
          </w:tcPr>
          <w:p w14:paraId="4874BBF5" w14:textId="77777777" w:rsidR="00747BCE" w:rsidRPr="00747BCE" w:rsidRDefault="00747BCE" w:rsidP="00747BCE">
            <w:pPr>
              <w:rPr>
                <w:rFonts w:ascii="Calibri" w:hAnsi="Calibri" w:cs="Calibri"/>
                <w:sz w:val="18"/>
                <w:szCs w:val="18"/>
              </w:rPr>
            </w:pPr>
          </w:p>
        </w:tc>
        <w:tc>
          <w:tcPr>
            <w:tcW w:w="14316" w:type="dxa"/>
            <w:gridSpan w:val="13"/>
            <w:tcBorders>
              <w:top w:val="single" w:sz="4" w:space="0" w:color="auto"/>
              <w:left w:val="nil"/>
              <w:bottom w:val="single" w:sz="4" w:space="0" w:color="auto"/>
              <w:right w:val="single" w:sz="8" w:space="0" w:color="000000"/>
            </w:tcBorders>
            <w:shd w:val="clear" w:color="000000" w:fill="DDD9C4"/>
            <w:noWrap/>
            <w:vAlign w:val="bottom"/>
            <w:hideMark/>
          </w:tcPr>
          <w:p w14:paraId="415B87DC"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Examen diagnostique</w:t>
            </w:r>
          </w:p>
        </w:tc>
      </w:tr>
      <w:tr w:rsidR="00747BCE" w:rsidRPr="00747BCE" w14:paraId="3F2912FA" w14:textId="77777777" w:rsidTr="00747BCE">
        <w:trPr>
          <w:trHeight w:val="211"/>
        </w:trPr>
        <w:tc>
          <w:tcPr>
            <w:tcW w:w="426" w:type="dxa"/>
            <w:vMerge/>
            <w:tcBorders>
              <w:top w:val="nil"/>
              <w:left w:val="single" w:sz="8" w:space="0" w:color="auto"/>
              <w:bottom w:val="single" w:sz="8" w:space="0" w:color="000000"/>
              <w:right w:val="single" w:sz="4" w:space="0" w:color="auto"/>
            </w:tcBorders>
            <w:vAlign w:val="center"/>
            <w:hideMark/>
          </w:tcPr>
          <w:p w14:paraId="65A4A7C4" w14:textId="77777777" w:rsidR="00747BCE" w:rsidRPr="00747BCE" w:rsidRDefault="00747BCE" w:rsidP="00747BCE">
            <w:pPr>
              <w:rPr>
                <w:rFonts w:ascii="Calibri" w:hAnsi="Calibri" w:cs="Calibri"/>
                <w:sz w:val="18"/>
                <w:szCs w:val="18"/>
              </w:rPr>
            </w:pPr>
          </w:p>
        </w:tc>
        <w:tc>
          <w:tcPr>
            <w:tcW w:w="1134" w:type="dxa"/>
            <w:gridSpan w:val="2"/>
            <w:vMerge w:val="restart"/>
            <w:tcBorders>
              <w:top w:val="single" w:sz="4" w:space="0" w:color="auto"/>
              <w:left w:val="single" w:sz="4" w:space="0" w:color="auto"/>
              <w:bottom w:val="single" w:sz="8" w:space="0" w:color="000000"/>
              <w:right w:val="single" w:sz="4" w:space="0" w:color="000000"/>
            </w:tcBorders>
            <w:shd w:val="clear" w:color="000000" w:fill="FFFFFF"/>
            <w:noWrap/>
            <w:vAlign w:val="bottom"/>
            <w:hideMark/>
          </w:tcPr>
          <w:p w14:paraId="78C50083" w14:textId="77777777" w:rsidR="00747BCE" w:rsidRPr="00747BCE" w:rsidRDefault="00747BCE" w:rsidP="00747BCE">
            <w:pPr>
              <w:jc w:val="center"/>
              <w:rPr>
                <w:rFonts w:ascii="Calibri" w:hAnsi="Calibri" w:cs="Calibri"/>
                <w:sz w:val="18"/>
                <w:szCs w:val="18"/>
              </w:rPr>
            </w:pPr>
            <w:r w:rsidRPr="00747BCE">
              <w:rPr>
                <w:rFonts w:ascii="Calibri" w:hAnsi="Calibri" w:cs="Calibri"/>
                <w:sz w:val="18"/>
                <w:szCs w:val="18"/>
              </w:rPr>
              <w:t> </w:t>
            </w:r>
          </w:p>
        </w:tc>
        <w:tc>
          <w:tcPr>
            <w:tcW w:w="5528" w:type="dxa"/>
            <w:tcBorders>
              <w:top w:val="nil"/>
              <w:left w:val="nil"/>
              <w:bottom w:val="single" w:sz="4" w:space="0" w:color="auto"/>
              <w:right w:val="single" w:sz="4" w:space="0" w:color="auto"/>
            </w:tcBorders>
            <w:shd w:val="clear" w:color="000000" w:fill="FFFFFF"/>
            <w:vAlign w:val="bottom"/>
            <w:hideMark/>
          </w:tcPr>
          <w:p w14:paraId="38B19A8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Pourcentage des patients médicaux subissant un examen diagnostique</w:t>
            </w:r>
          </w:p>
        </w:tc>
        <w:tc>
          <w:tcPr>
            <w:tcW w:w="1180" w:type="dxa"/>
            <w:gridSpan w:val="2"/>
            <w:tcBorders>
              <w:top w:val="nil"/>
              <w:left w:val="nil"/>
              <w:bottom w:val="single" w:sz="4" w:space="0" w:color="auto"/>
              <w:right w:val="single" w:sz="4" w:space="0" w:color="auto"/>
            </w:tcBorders>
            <w:shd w:val="clear" w:color="000000" w:fill="FFFFFF"/>
            <w:noWrap/>
            <w:vAlign w:val="bottom"/>
            <w:hideMark/>
          </w:tcPr>
          <w:p w14:paraId="1081E71E"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35%</w:t>
            </w:r>
          </w:p>
        </w:tc>
        <w:tc>
          <w:tcPr>
            <w:tcW w:w="1260" w:type="dxa"/>
            <w:gridSpan w:val="2"/>
            <w:tcBorders>
              <w:top w:val="nil"/>
              <w:left w:val="nil"/>
              <w:bottom w:val="single" w:sz="4" w:space="0" w:color="auto"/>
              <w:right w:val="single" w:sz="4" w:space="0" w:color="auto"/>
            </w:tcBorders>
            <w:shd w:val="clear" w:color="000000" w:fill="FFFFFF"/>
            <w:noWrap/>
            <w:vAlign w:val="bottom"/>
            <w:hideMark/>
          </w:tcPr>
          <w:p w14:paraId="628C149B"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49%</w:t>
            </w:r>
          </w:p>
        </w:tc>
        <w:tc>
          <w:tcPr>
            <w:tcW w:w="1340" w:type="dxa"/>
            <w:gridSpan w:val="2"/>
            <w:tcBorders>
              <w:top w:val="nil"/>
              <w:left w:val="nil"/>
              <w:bottom w:val="single" w:sz="4" w:space="0" w:color="auto"/>
              <w:right w:val="single" w:sz="4" w:space="0" w:color="auto"/>
            </w:tcBorders>
            <w:shd w:val="clear" w:color="000000" w:fill="FFFFFF"/>
            <w:noWrap/>
            <w:vAlign w:val="bottom"/>
            <w:hideMark/>
          </w:tcPr>
          <w:p w14:paraId="32FF6CAE"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63%</w:t>
            </w:r>
          </w:p>
        </w:tc>
        <w:tc>
          <w:tcPr>
            <w:tcW w:w="1380" w:type="dxa"/>
            <w:gridSpan w:val="2"/>
            <w:tcBorders>
              <w:top w:val="nil"/>
              <w:left w:val="nil"/>
              <w:bottom w:val="single" w:sz="4" w:space="0" w:color="auto"/>
              <w:right w:val="single" w:sz="4" w:space="0" w:color="auto"/>
            </w:tcBorders>
            <w:shd w:val="clear" w:color="000000" w:fill="FFFFFF"/>
            <w:noWrap/>
            <w:vAlign w:val="bottom"/>
            <w:hideMark/>
          </w:tcPr>
          <w:p w14:paraId="0BF9180B"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76%</w:t>
            </w:r>
          </w:p>
        </w:tc>
        <w:tc>
          <w:tcPr>
            <w:tcW w:w="1360" w:type="dxa"/>
            <w:tcBorders>
              <w:top w:val="nil"/>
              <w:left w:val="nil"/>
              <w:bottom w:val="single" w:sz="4" w:space="0" w:color="auto"/>
              <w:right w:val="single" w:sz="4" w:space="0" w:color="auto"/>
            </w:tcBorders>
            <w:shd w:val="clear" w:color="000000" w:fill="FFFFFF"/>
            <w:noWrap/>
            <w:vAlign w:val="bottom"/>
            <w:hideMark/>
          </w:tcPr>
          <w:p w14:paraId="6E1C26C0" w14:textId="77777777" w:rsidR="00747BCE" w:rsidRPr="00747BCE" w:rsidRDefault="00747BCE" w:rsidP="00747BCE">
            <w:pPr>
              <w:jc w:val="right"/>
              <w:rPr>
                <w:rFonts w:ascii="Calibri" w:hAnsi="Calibri" w:cs="Calibri"/>
                <w:sz w:val="18"/>
                <w:szCs w:val="18"/>
              </w:rPr>
            </w:pPr>
            <w:r w:rsidRPr="00747BCE">
              <w:rPr>
                <w:rFonts w:ascii="Calibri" w:hAnsi="Calibri" w:cs="Calibri"/>
                <w:sz w:val="18"/>
                <w:szCs w:val="18"/>
              </w:rPr>
              <w:t>90%</w:t>
            </w:r>
          </w:p>
        </w:tc>
        <w:tc>
          <w:tcPr>
            <w:tcW w:w="1134" w:type="dxa"/>
            <w:tcBorders>
              <w:top w:val="nil"/>
              <w:left w:val="nil"/>
              <w:bottom w:val="single" w:sz="4" w:space="0" w:color="auto"/>
              <w:right w:val="single" w:sz="8" w:space="0" w:color="auto"/>
            </w:tcBorders>
            <w:shd w:val="clear" w:color="000000" w:fill="FFFFFF"/>
            <w:noWrap/>
            <w:vAlign w:val="bottom"/>
            <w:hideMark/>
          </w:tcPr>
          <w:p w14:paraId="49077BE6"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r w:rsidR="00747BCE" w:rsidRPr="00747BCE" w14:paraId="1BD6DCFE" w14:textId="77777777" w:rsidTr="00747BCE">
        <w:trPr>
          <w:trHeight w:val="64"/>
        </w:trPr>
        <w:tc>
          <w:tcPr>
            <w:tcW w:w="426" w:type="dxa"/>
            <w:vMerge/>
            <w:tcBorders>
              <w:top w:val="nil"/>
              <w:left w:val="single" w:sz="8" w:space="0" w:color="auto"/>
              <w:bottom w:val="single" w:sz="8" w:space="0" w:color="000000"/>
              <w:right w:val="single" w:sz="4" w:space="0" w:color="auto"/>
            </w:tcBorders>
            <w:vAlign w:val="center"/>
            <w:hideMark/>
          </w:tcPr>
          <w:p w14:paraId="25C9D44B" w14:textId="77777777" w:rsidR="00747BCE" w:rsidRPr="00747BCE" w:rsidRDefault="00747BCE" w:rsidP="00747BCE">
            <w:pPr>
              <w:rPr>
                <w:rFonts w:ascii="Calibri" w:hAnsi="Calibri" w:cs="Calibri"/>
                <w:sz w:val="18"/>
                <w:szCs w:val="18"/>
              </w:rPr>
            </w:pPr>
          </w:p>
        </w:tc>
        <w:tc>
          <w:tcPr>
            <w:tcW w:w="1134" w:type="dxa"/>
            <w:gridSpan w:val="2"/>
            <w:vMerge/>
            <w:tcBorders>
              <w:top w:val="single" w:sz="4" w:space="0" w:color="auto"/>
              <w:left w:val="single" w:sz="4" w:space="0" w:color="auto"/>
              <w:bottom w:val="single" w:sz="8" w:space="0" w:color="000000"/>
              <w:right w:val="single" w:sz="4" w:space="0" w:color="000000"/>
            </w:tcBorders>
            <w:vAlign w:val="center"/>
            <w:hideMark/>
          </w:tcPr>
          <w:p w14:paraId="4AE2020F" w14:textId="77777777" w:rsidR="00747BCE" w:rsidRPr="00747BCE" w:rsidRDefault="00747BCE" w:rsidP="00747BCE">
            <w:pPr>
              <w:rPr>
                <w:rFonts w:ascii="Calibri" w:hAnsi="Calibri" w:cs="Calibri"/>
                <w:sz w:val="18"/>
                <w:szCs w:val="18"/>
              </w:rPr>
            </w:pPr>
          </w:p>
        </w:tc>
        <w:tc>
          <w:tcPr>
            <w:tcW w:w="5528" w:type="dxa"/>
            <w:tcBorders>
              <w:top w:val="nil"/>
              <w:left w:val="nil"/>
              <w:bottom w:val="single" w:sz="8" w:space="0" w:color="auto"/>
              <w:right w:val="single" w:sz="4" w:space="0" w:color="auto"/>
            </w:tcBorders>
            <w:shd w:val="clear" w:color="000000" w:fill="FFFFFF"/>
            <w:vAlign w:val="bottom"/>
            <w:hideMark/>
          </w:tcPr>
          <w:p w14:paraId="5B75D7DC" w14:textId="78C1CFD1" w:rsidR="00747BCE" w:rsidRPr="00747BCE" w:rsidRDefault="00747BCE" w:rsidP="00747BCE">
            <w:pPr>
              <w:rPr>
                <w:rFonts w:ascii="Calibri" w:hAnsi="Calibri" w:cs="Calibri"/>
                <w:sz w:val="18"/>
                <w:szCs w:val="18"/>
              </w:rPr>
            </w:pPr>
            <w:r>
              <w:rPr>
                <w:rFonts w:ascii="Calibri" w:hAnsi="Calibri" w:cs="Calibri"/>
                <w:sz w:val="18"/>
                <w:szCs w:val="18"/>
              </w:rPr>
              <w:t>Nom</w:t>
            </w:r>
            <w:r w:rsidRPr="00747BCE">
              <w:rPr>
                <w:rFonts w:ascii="Calibri" w:hAnsi="Calibri" w:cs="Calibri"/>
                <w:sz w:val="18"/>
                <w:szCs w:val="18"/>
              </w:rPr>
              <w:t>bre de bénéficiaires</w:t>
            </w:r>
          </w:p>
        </w:tc>
        <w:tc>
          <w:tcPr>
            <w:tcW w:w="1180" w:type="dxa"/>
            <w:gridSpan w:val="2"/>
            <w:tcBorders>
              <w:top w:val="nil"/>
              <w:left w:val="nil"/>
              <w:bottom w:val="single" w:sz="8" w:space="0" w:color="auto"/>
              <w:right w:val="single" w:sz="4" w:space="0" w:color="auto"/>
            </w:tcBorders>
            <w:shd w:val="clear" w:color="000000" w:fill="FFFFFF"/>
            <w:noWrap/>
            <w:vAlign w:val="bottom"/>
            <w:hideMark/>
          </w:tcPr>
          <w:p w14:paraId="52E6E7AA"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22 146 </w:t>
            </w:r>
          </w:p>
        </w:tc>
        <w:tc>
          <w:tcPr>
            <w:tcW w:w="1260" w:type="dxa"/>
            <w:gridSpan w:val="2"/>
            <w:tcBorders>
              <w:top w:val="nil"/>
              <w:left w:val="nil"/>
              <w:bottom w:val="single" w:sz="8" w:space="0" w:color="auto"/>
              <w:right w:val="single" w:sz="4" w:space="0" w:color="auto"/>
            </w:tcBorders>
            <w:shd w:val="clear" w:color="000000" w:fill="FFFFFF"/>
            <w:noWrap/>
            <w:vAlign w:val="bottom"/>
            <w:hideMark/>
          </w:tcPr>
          <w:p w14:paraId="7F524F4D"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37 272 </w:t>
            </w:r>
          </w:p>
        </w:tc>
        <w:tc>
          <w:tcPr>
            <w:tcW w:w="1340" w:type="dxa"/>
            <w:gridSpan w:val="2"/>
            <w:tcBorders>
              <w:top w:val="nil"/>
              <w:left w:val="nil"/>
              <w:bottom w:val="single" w:sz="8" w:space="0" w:color="auto"/>
              <w:right w:val="single" w:sz="4" w:space="0" w:color="auto"/>
            </w:tcBorders>
            <w:shd w:val="clear" w:color="000000" w:fill="FFFFFF"/>
            <w:noWrap/>
            <w:vAlign w:val="bottom"/>
            <w:hideMark/>
          </w:tcPr>
          <w:p w14:paraId="13B9486B"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56 504 </w:t>
            </w:r>
          </w:p>
        </w:tc>
        <w:tc>
          <w:tcPr>
            <w:tcW w:w="1380" w:type="dxa"/>
            <w:gridSpan w:val="2"/>
            <w:tcBorders>
              <w:top w:val="nil"/>
              <w:left w:val="nil"/>
              <w:bottom w:val="single" w:sz="8" w:space="0" w:color="auto"/>
              <w:right w:val="single" w:sz="4" w:space="0" w:color="auto"/>
            </w:tcBorders>
            <w:shd w:val="clear" w:color="000000" w:fill="FFFFFF"/>
            <w:noWrap/>
            <w:vAlign w:val="bottom"/>
            <w:hideMark/>
          </w:tcPr>
          <w:p w14:paraId="461BE5B2"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                 73 768 </w:t>
            </w:r>
          </w:p>
        </w:tc>
        <w:tc>
          <w:tcPr>
            <w:tcW w:w="1360" w:type="dxa"/>
            <w:tcBorders>
              <w:top w:val="nil"/>
              <w:left w:val="nil"/>
              <w:bottom w:val="single" w:sz="8" w:space="0" w:color="auto"/>
              <w:right w:val="single" w:sz="4" w:space="0" w:color="auto"/>
            </w:tcBorders>
            <w:shd w:val="clear" w:color="000000" w:fill="FFFFFF"/>
            <w:noWrap/>
            <w:vAlign w:val="bottom"/>
            <w:hideMark/>
          </w:tcPr>
          <w:p w14:paraId="3747B9AD" w14:textId="3E4E6D3A" w:rsidR="00747BCE" w:rsidRPr="00747BCE" w:rsidRDefault="00747BCE" w:rsidP="00747BCE">
            <w:pPr>
              <w:rPr>
                <w:rFonts w:ascii="Calibri" w:hAnsi="Calibri" w:cs="Calibri"/>
                <w:sz w:val="18"/>
                <w:szCs w:val="18"/>
              </w:rPr>
            </w:pPr>
            <w:r w:rsidRPr="00747BCE">
              <w:rPr>
                <w:rFonts w:ascii="Calibri" w:hAnsi="Calibri" w:cs="Calibri"/>
                <w:sz w:val="18"/>
                <w:szCs w:val="18"/>
              </w:rPr>
              <w:t xml:space="preserve">93 210 </w:t>
            </w:r>
          </w:p>
        </w:tc>
        <w:tc>
          <w:tcPr>
            <w:tcW w:w="1134" w:type="dxa"/>
            <w:tcBorders>
              <w:top w:val="nil"/>
              <w:left w:val="nil"/>
              <w:bottom w:val="single" w:sz="8" w:space="0" w:color="auto"/>
              <w:right w:val="single" w:sz="8" w:space="0" w:color="auto"/>
            </w:tcBorders>
            <w:shd w:val="clear" w:color="000000" w:fill="FFFFFF"/>
            <w:noWrap/>
            <w:vAlign w:val="bottom"/>
            <w:hideMark/>
          </w:tcPr>
          <w:p w14:paraId="55AAFDC9" w14:textId="77777777" w:rsidR="00747BCE" w:rsidRPr="00747BCE" w:rsidRDefault="00747BCE" w:rsidP="00747BCE">
            <w:pPr>
              <w:rPr>
                <w:rFonts w:ascii="Calibri" w:hAnsi="Calibri" w:cs="Calibri"/>
                <w:sz w:val="18"/>
                <w:szCs w:val="18"/>
              </w:rPr>
            </w:pPr>
            <w:r w:rsidRPr="00747BCE">
              <w:rPr>
                <w:rFonts w:ascii="Calibri" w:hAnsi="Calibri" w:cs="Calibri"/>
                <w:sz w:val="18"/>
                <w:szCs w:val="18"/>
              </w:rPr>
              <w:t> </w:t>
            </w:r>
          </w:p>
        </w:tc>
      </w:tr>
    </w:tbl>
    <w:p w14:paraId="18C0CCF7" w14:textId="3783EAA9" w:rsidR="00747BCE" w:rsidRDefault="00747BCE" w:rsidP="00787CCB">
      <w:pPr>
        <w:rPr>
          <w:rFonts w:ascii="Calibri" w:hAnsi="Calibri"/>
          <w:sz w:val="20"/>
          <w:szCs w:val="20"/>
          <w:lang w:val="fr-CH"/>
        </w:rPr>
      </w:pPr>
    </w:p>
    <w:p w14:paraId="43D23CFA" w14:textId="77777777" w:rsidR="00BE7E71" w:rsidRDefault="00BE7E71" w:rsidP="00586661"/>
    <w:p w14:paraId="6D9A5A6D" w14:textId="58F196CB" w:rsidR="00135103" w:rsidRPr="001C1B9A" w:rsidRDefault="00B27F68" w:rsidP="00586661">
      <w:pPr>
        <w:pStyle w:val="Titre2"/>
        <w:numPr>
          <w:ilvl w:val="1"/>
          <w:numId w:val="6"/>
        </w:numPr>
        <w:spacing w:after="0"/>
        <w:ind w:left="567" w:hanging="567"/>
        <w:rPr>
          <w:rFonts w:ascii="Calibri" w:hAnsi="Calibri"/>
          <w:color w:val="2F5496" w:themeColor="accent5" w:themeShade="BF"/>
        </w:rPr>
      </w:pPr>
      <w:bookmarkStart w:id="155" w:name="_Toc520983547"/>
      <w:r>
        <w:rPr>
          <w:rFonts w:ascii="Calibri" w:hAnsi="Calibri"/>
          <w:color w:val="2F5496" w:themeColor="accent5" w:themeShade="BF"/>
        </w:rPr>
        <w:t xml:space="preserve">REPARTITION DU BUDGET </w:t>
      </w:r>
      <w:r w:rsidRPr="005A0CA9">
        <w:rPr>
          <w:rFonts w:ascii="Calibri" w:hAnsi="Calibri"/>
          <w:color w:val="2F5496" w:themeColor="accent5" w:themeShade="BF"/>
        </w:rPr>
        <w:t>CSN 2018-2022</w:t>
      </w:r>
      <w:bookmarkEnd w:id="155"/>
    </w:p>
    <w:p w14:paraId="77F47690" w14:textId="053F18C0" w:rsidR="00135103" w:rsidRPr="00F2004E" w:rsidRDefault="00135103" w:rsidP="00586661">
      <w:pPr>
        <w:rPr>
          <w:sz w:val="6"/>
        </w:rPr>
      </w:pPr>
    </w:p>
    <w:p w14:paraId="263D8B17" w14:textId="2BFEAEEF" w:rsidR="00586661" w:rsidRDefault="00F8534C" w:rsidP="00586661">
      <w:r>
        <w:t>Le budget est exprimé en US$</w:t>
      </w:r>
    </w:p>
    <w:p w14:paraId="6489DE0A" w14:textId="74BBBD3E" w:rsidR="00F2004E" w:rsidRPr="00F2004E" w:rsidRDefault="00F2004E" w:rsidP="00586661">
      <w:pPr>
        <w:rPr>
          <w:sz w:val="10"/>
        </w:rPr>
      </w:pPr>
    </w:p>
    <w:tbl>
      <w:tblPr>
        <w:tblW w:w="14317" w:type="dxa"/>
        <w:tblCellMar>
          <w:left w:w="70" w:type="dxa"/>
          <w:right w:w="70" w:type="dxa"/>
        </w:tblCellMar>
        <w:tblLook w:val="04A0" w:firstRow="1" w:lastRow="0" w:firstColumn="1" w:lastColumn="0" w:noHBand="0" w:noVBand="1"/>
      </w:tblPr>
      <w:tblGrid>
        <w:gridCol w:w="4673"/>
        <w:gridCol w:w="1375"/>
        <w:gridCol w:w="1601"/>
        <w:gridCol w:w="1445"/>
        <w:gridCol w:w="1445"/>
        <w:gridCol w:w="1358"/>
        <w:gridCol w:w="1462"/>
        <w:gridCol w:w="958"/>
      </w:tblGrid>
      <w:tr w:rsidR="00F2004E" w:rsidRPr="00F2004E" w14:paraId="238C3397" w14:textId="77777777" w:rsidTr="00F2004E">
        <w:trPr>
          <w:trHeight w:val="268"/>
        </w:trPr>
        <w:tc>
          <w:tcPr>
            <w:tcW w:w="4673"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75C10208" w14:textId="77777777" w:rsidR="00F2004E" w:rsidRPr="00F2004E" w:rsidRDefault="00F2004E" w:rsidP="00F2004E">
            <w:pPr>
              <w:jc w:val="center"/>
              <w:rPr>
                <w:rFonts w:asciiTheme="minorHAnsi" w:hAnsiTheme="minorHAnsi" w:cstheme="minorHAnsi"/>
                <w:color w:val="FFFFFF"/>
                <w:sz w:val="18"/>
                <w:szCs w:val="18"/>
              </w:rPr>
            </w:pPr>
            <w:r w:rsidRPr="00F2004E">
              <w:rPr>
                <w:rFonts w:asciiTheme="minorHAnsi" w:hAnsiTheme="minorHAnsi" w:cstheme="minorHAnsi"/>
                <w:color w:val="FFFFFF"/>
                <w:sz w:val="18"/>
                <w:szCs w:val="18"/>
              </w:rPr>
              <w:t> </w:t>
            </w:r>
          </w:p>
        </w:tc>
        <w:tc>
          <w:tcPr>
            <w:tcW w:w="1375" w:type="dxa"/>
            <w:tcBorders>
              <w:top w:val="single" w:sz="4" w:space="0" w:color="auto"/>
              <w:left w:val="nil"/>
              <w:bottom w:val="single" w:sz="4" w:space="0" w:color="auto"/>
              <w:right w:val="single" w:sz="4" w:space="0" w:color="auto"/>
            </w:tcBorders>
            <w:shd w:val="clear" w:color="000000" w:fill="4472C4"/>
            <w:noWrap/>
            <w:vAlign w:val="center"/>
            <w:hideMark/>
          </w:tcPr>
          <w:p w14:paraId="0877DD87" w14:textId="77777777" w:rsidR="00F2004E" w:rsidRPr="00F2004E" w:rsidRDefault="00F2004E" w:rsidP="00F2004E">
            <w:pPr>
              <w:jc w:val="center"/>
              <w:rPr>
                <w:rFonts w:asciiTheme="minorHAnsi" w:hAnsiTheme="minorHAnsi" w:cstheme="minorHAnsi"/>
                <w:color w:val="FFFFFF"/>
                <w:sz w:val="18"/>
                <w:szCs w:val="18"/>
              </w:rPr>
            </w:pPr>
            <w:r w:rsidRPr="00F2004E">
              <w:rPr>
                <w:rFonts w:asciiTheme="minorHAnsi" w:hAnsiTheme="minorHAnsi" w:cstheme="minorHAnsi"/>
                <w:color w:val="FFFFFF"/>
                <w:sz w:val="18"/>
                <w:szCs w:val="18"/>
              </w:rPr>
              <w:t>2018</w:t>
            </w:r>
          </w:p>
        </w:tc>
        <w:tc>
          <w:tcPr>
            <w:tcW w:w="1601" w:type="dxa"/>
            <w:tcBorders>
              <w:top w:val="single" w:sz="4" w:space="0" w:color="auto"/>
              <w:left w:val="nil"/>
              <w:bottom w:val="single" w:sz="4" w:space="0" w:color="auto"/>
              <w:right w:val="single" w:sz="4" w:space="0" w:color="auto"/>
            </w:tcBorders>
            <w:shd w:val="clear" w:color="000000" w:fill="4472C4"/>
            <w:noWrap/>
            <w:vAlign w:val="center"/>
            <w:hideMark/>
          </w:tcPr>
          <w:p w14:paraId="797A37D1" w14:textId="77777777" w:rsidR="00F2004E" w:rsidRPr="00F2004E" w:rsidRDefault="00F2004E" w:rsidP="00F2004E">
            <w:pPr>
              <w:jc w:val="right"/>
              <w:rPr>
                <w:rFonts w:asciiTheme="minorHAnsi" w:hAnsiTheme="minorHAnsi" w:cstheme="minorHAnsi"/>
                <w:color w:val="FFFFFF"/>
                <w:sz w:val="18"/>
                <w:szCs w:val="18"/>
              </w:rPr>
            </w:pPr>
            <w:r w:rsidRPr="00F2004E">
              <w:rPr>
                <w:rFonts w:asciiTheme="minorHAnsi" w:hAnsiTheme="minorHAnsi" w:cstheme="minorHAnsi"/>
                <w:color w:val="FFFFFF"/>
                <w:sz w:val="18"/>
                <w:szCs w:val="18"/>
              </w:rPr>
              <w:t>2019</w:t>
            </w:r>
          </w:p>
        </w:tc>
        <w:tc>
          <w:tcPr>
            <w:tcW w:w="1445" w:type="dxa"/>
            <w:tcBorders>
              <w:top w:val="single" w:sz="4" w:space="0" w:color="auto"/>
              <w:left w:val="nil"/>
              <w:bottom w:val="single" w:sz="4" w:space="0" w:color="auto"/>
              <w:right w:val="single" w:sz="4" w:space="0" w:color="auto"/>
            </w:tcBorders>
            <w:shd w:val="clear" w:color="000000" w:fill="4472C4"/>
            <w:noWrap/>
            <w:vAlign w:val="center"/>
            <w:hideMark/>
          </w:tcPr>
          <w:p w14:paraId="60BC3A78" w14:textId="77777777" w:rsidR="00F2004E" w:rsidRPr="00F2004E" w:rsidRDefault="00F2004E" w:rsidP="00F2004E">
            <w:pPr>
              <w:jc w:val="right"/>
              <w:rPr>
                <w:rFonts w:asciiTheme="minorHAnsi" w:hAnsiTheme="minorHAnsi" w:cstheme="minorHAnsi"/>
                <w:color w:val="FFFFFF"/>
                <w:sz w:val="18"/>
                <w:szCs w:val="18"/>
              </w:rPr>
            </w:pPr>
            <w:r w:rsidRPr="00F2004E">
              <w:rPr>
                <w:rFonts w:asciiTheme="minorHAnsi" w:hAnsiTheme="minorHAnsi" w:cstheme="minorHAnsi"/>
                <w:color w:val="FFFFFF"/>
                <w:sz w:val="18"/>
                <w:szCs w:val="18"/>
              </w:rPr>
              <w:t>2020</w:t>
            </w:r>
          </w:p>
        </w:tc>
        <w:tc>
          <w:tcPr>
            <w:tcW w:w="1445" w:type="dxa"/>
            <w:tcBorders>
              <w:top w:val="single" w:sz="4" w:space="0" w:color="auto"/>
              <w:left w:val="nil"/>
              <w:bottom w:val="single" w:sz="4" w:space="0" w:color="auto"/>
              <w:right w:val="single" w:sz="4" w:space="0" w:color="auto"/>
            </w:tcBorders>
            <w:shd w:val="clear" w:color="000000" w:fill="4472C4"/>
            <w:noWrap/>
            <w:vAlign w:val="center"/>
            <w:hideMark/>
          </w:tcPr>
          <w:p w14:paraId="301BFD03" w14:textId="77777777" w:rsidR="00F2004E" w:rsidRPr="00F2004E" w:rsidRDefault="00F2004E" w:rsidP="00F2004E">
            <w:pPr>
              <w:jc w:val="right"/>
              <w:rPr>
                <w:rFonts w:asciiTheme="minorHAnsi" w:hAnsiTheme="minorHAnsi" w:cstheme="minorHAnsi"/>
                <w:color w:val="FFFFFF"/>
                <w:sz w:val="18"/>
                <w:szCs w:val="18"/>
              </w:rPr>
            </w:pPr>
            <w:r w:rsidRPr="00F2004E">
              <w:rPr>
                <w:rFonts w:asciiTheme="minorHAnsi" w:hAnsiTheme="minorHAnsi" w:cstheme="minorHAnsi"/>
                <w:color w:val="FFFFFF"/>
                <w:sz w:val="18"/>
                <w:szCs w:val="18"/>
              </w:rPr>
              <w:t>2021</w:t>
            </w:r>
          </w:p>
        </w:tc>
        <w:tc>
          <w:tcPr>
            <w:tcW w:w="1358" w:type="dxa"/>
            <w:tcBorders>
              <w:top w:val="single" w:sz="4" w:space="0" w:color="auto"/>
              <w:left w:val="nil"/>
              <w:bottom w:val="single" w:sz="4" w:space="0" w:color="auto"/>
              <w:right w:val="single" w:sz="4" w:space="0" w:color="auto"/>
            </w:tcBorders>
            <w:shd w:val="clear" w:color="000000" w:fill="4472C4"/>
            <w:noWrap/>
            <w:vAlign w:val="center"/>
            <w:hideMark/>
          </w:tcPr>
          <w:p w14:paraId="3CC639C0" w14:textId="77777777" w:rsidR="00F2004E" w:rsidRPr="00F2004E" w:rsidRDefault="00F2004E" w:rsidP="00F2004E">
            <w:pPr>
              <w:jc w:val="right"/>
              <w:rPr>
                <w:rFonts w:asciiTheme="minorHAnsi" w:hAnsiTheme="minorHAnsi" w:cstheme="minorHAnsi"/>
                <w:color w:val="FFFFFF"/>
                <w:sz w:val="18"/>
                <w:szCs w:val="18"/>
              </w:rPr>
            </w:pPr>
            <w:r w:rsidRPr="00F2004E">
              <w:rPr>
                <w:rFonts w:asciiTheme="minorHAnsi" w:hAnsiTheme="minorHAnsi" w:cstheme="minorHAnsi"/>
                <w:color w:val="FFFFFF"/>
                <w:sz w:val="18"/>
                <w:szCs w:val="18"/>
              </w:rPr>
              <w:t>2022</w:t>
            </w:r>
          </w:p>
        </w:tc>
        <w:tc>
          <w:tcPr>
            <w:tcW w:w="1462" w:type="dxa"/>
            <w:tcBorders>
              <w:top w:val="single" w:sz="4" w:space="0" w:color="auto"/>
              <w:left w:val="nil"/>
              <w:bottom w:val="single" w:sz="4" w:space="0" w:color="auto"/>
              <w:right w:val="single" w:sz="4" w:space="0" w:color="auto"/>
            </w:tcBorders>
            <w:shd w:val="clear" w:color="000000" w:fill="4472C4"/>
            <w:noWrap/>
            <w:vAlign w:val="center"/>
            <w:hideMark/>
          </w:tcPr>
          <w:p w14:paraId="1BA2568A" w14:textId="77777777" w:rsidR="00F2004E" w:rsidRPr="00F2004E" w:rsidRDefault="00F2004E" w:rsidP="00F2004E">
            <w:pPr>
              <w:jc w:val="center"/>
              <w:rPr>
                <w:rFonts w:asciiTheme="minorHAnsi" w:hAnsiTheme="minorHAnsi" w:cstheme="minorHAnsi"/>
                <w:color w:val="FFFFFF"/>
                <w:sz w:val="18"/>
                <w:szCs w:val="18"/>
              </w:rPr>
            </w:pPr>
            <w:r w:rsidRPr="00F2004E">
              <w:rPr>
                <w:rFonts w:asciiTheme="minorHAnsi" w:hAnsiTheme="minorHAnsi" w:cstheme="minorHAnsi"/>
                <w:color w:val="FFFFFF"/>
                <w:sz w:val="18"/>
                <w:szCs w:val="18"/>
              </w:rPr>
              <w:t>2018-2022</w:t>
            </w:r>
          </w:p>
        </w:tc>
        <w:tc>
          <w:tcPr>
            <w:tcW w:w="958" w:type="dxa"/>
            <w:tcBorders>
              <w:top w:val="single" w:sz="4" w:space="0" w:color="auto"/>
              <w:left w:val="nil"/>
              <w:bottom w:val="single" w:sz="4" w:space="0" w:color="auto"/>
              <w:right w:val="single" w:sz="4" w:space="0" w:color="auto"/>
            </w:tcBorders>
            <w:shd w:val="clear" w:color="000000" w:fill="4472C4"/>
            <w:noWrap/>
            <w:vAlign w:val="center"/>
            <w:hideMark/>
          </w:tcPr>
          <w:p w14:paraId="3DDEB32A" w14:textId="77777777" w:rsidR="00F2004E" w:rsidRPr="00F2004E" w:rsidRDefault="00F2004E" w:rsidP="00F2004E">
            <w:pPr>
              <w:jc w:val="center"/>
              <w:rPr>
                <w:rFonts w:asciiTheme="minorHAnsi" w:hAnsiTheme="minorHAnsi" w:cstheme="minorHAnsi"/>
                <w:color w:val="FFFFFF"/>
                <w:sz w:val="18"/>
                <w:szCs w:val="18"/>
              </w:rPr>
            </w:pPr>
            <w:r w:rsidRPr="00F2004E">
              <w:rPr>
                <w:rFonts w:asciiTheme="minorHAnsi" w:hAnsiTheme="minorHAnsi" w:cstheme="minorHAnsi"/>
                <w:color w:val="FFFFFF"/>
                <w:sz w:val="18"/>
                <w:szCs w:val="18"/>
              </w:rPr>
              <w:t>%</w:t>
            </w:r>
          </w:p>
        </w:tc>
      </w:tr>
      <w:tr w:rsidR="00F2004E" w:rsidRPr="00F2004E" w14:paraId="4E6D946C" w14:textId="77777777" w:rsidTr="00F2004E">
        <w:trPr>
          <w:trHeight w:val="260"/>
        </w:trPr>
        <w:tc>
          <w:tcPr>
            <w:tcW w:w="4673" w:type="dxa"/>
            <w:tcBorders>
              <w:top w:val="nil"/>
              <w:left w:val="single" w:sz="4" w:space="0" w:color="auto"/>
              <w:bottom w:val="single" w:sz="4" w:space="0" w:color="auto"/>
              <w:right w:val="single" w:sz="4" w:space="0" w:color="auto"/>
            </w:tcBorders>
            <w:shd w:val="clear" w:color="000000" w:fill="F8CBAD"/>
            <w:noWrap/>
            <w:vAlign w:val="center"/>
            <w:hideMark/>
          </w:tcPr>
          <w:p w14:paraId="54A3FFD2" w14:textId="77777777" w:rsidR="00F2004E" w:rsidRPr="00F2004E" w:rsidRDefault="00F2004E" w:rsidP="00F2004E">
            <w:pPr>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Prévention</w:t>
            </w:r>
          </w:p>
        </w:tc>
        <w:tc>
          <w:tcPr>
            <w:tcW w:w="1375" w:type="dxa"/>
            <w:tcBorders>
              <w:top w:val="nil"/>
              <w:left w:val="nil"/>
              <w:bottom w:val="single" w:sz="4" w:space="0" w:color="auto"/>
              <w:right w:val="single" w:sz="4" w:space="0" w:color="auto"/>
            </w:tcBorders>
            <w:shd w:val="clear" w:color="000000" w:fill="F8CBAD"/>
            <w:noWrap/>
            <w:vAlign w:val="center"/>
            <w:hideMark/>
          </w:tcPr>
          <w:p w14:paraId="3299FE92" w14:textId="05EB0A8A"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12 493 170 </w:t>
            </w:r>
          </w:p>
        </w:tc>
        <w:tc>
          <w:tcPr>
            <w:tcW w:w="1601" w:type="dxa"/>
            <w:tcBorders>
              <w:top w:val="nil"/>
              <w:left w:val="nil"/>
              <w:bottom w:val="single" w:sz="4" w:space="0" w:color="auto"/>
              <w:right w:val="single" w:sz="4" w:space="0" w:color="auto"/>
            </w:tcBorders>
            <w:shd w:val="clear" w:color="000000" w:fill="F8CBAD"/>
            <w:noWrap/>
            <w:vAlign w:val="center"/>
            <w:hideMark/>
          </w:tcPr>
          <w:p w14:paraId="58C7F45D" w14:textId="0C55C69C"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13 254 178 </w:t>
            </w:r>
          </w:p>
        </w:tc>
        <w:tc>
          <w:tcPr>
            <w:tcW w:w="1445" w:type="dxa"/>
            <w:tcBorders>
              <w:top w:val="nil"/>
              <w:left w:val="nil"/>
              <w:bottom w:val="single" w:sz="4" w:space="0" w:color="auto"/>
              <w:right w:val="single" w:sz="4" w:space="0" w:color="auto"/>
            </w:tcBorders>
            <w:shd w:val="clear" w:color="000000" w:fill="F8CBAD"/>
            <w:noWrap/>
            <w:vAlign w:val="center"/>
            <w:hideMark/>
          </w:tcPr>
          <w:p w14:paraId="09F67F03" w14:textId="51B0F449"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15 162 300 </w:t>
            </w:r>
          </w:p>
        </w:tc>
        <w:tc>
          <w:tcPr>
            <w:tcW w:w="1445" w:type="dxa"/>
            <w:tcBorders>
              <w:top w:val="nil"/>
              <w:left w:val="nil"/>
              <w:bottom w:val="single" w:sz="4" w:space="0" w:color="auto"/>
              <w:right w:val="single" w:sz="4" w:space="0" w:color="auto"/>
            </w:tcBorders>
            <w:shd w:val="clear" w:color="000000" w:fill="F8CBAD"/>
            <w:noWrap/>
            <w:vAlign w:val="center"/>
            <w:hideMark/>
          </w:tcPr>
          <w:p w14:paraId="507346CB" w14:textId="0C987568"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17 144 710 </w:t>
            </w:r>
          </w:p>
        </w:tc>
        <w:tc>
          <w:tcPr>
            <w:tcW w:w="1358" w:type="dxa"/>
            <w:tcBorders>
              <w:top w:val="nil"/>
              <w:left w:val="nil"/>
              <w:bottom w:val="single" w:sz="4" w:space="0" w:color="auto"/>
              <w:right w:val="single" w:sz="4" w:space="0" w:color="auto"/>
            </w:tcBorders>
            <w:shd w:val="clear" w:color="000000" w:fill="F8CBAD"/>
            <w:noWrap/>
            <w:vAlign w:val="center"/>
            <w:hideMark/>
          </w:tcPr>
          <w:p w14:paraId="716FB621" w14:textId="2738B675"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19 245 675 </w:t>
            </w:r>
          </w:p>
        </w:tc>
        <w:tc>
          <w:tcPr>
            <w:tcW w:w="1462" w:type="dxa"/>
            <w:tcBorders>
              <w:top w:val="nil"/>
              <w:left w:val="nil"/>
              <w:bottom w:val="single" w:sz="4" w:space="0" w:color="auto"/>
              <w:right w:val="single" w:sz="4" w:space="0" w:color="auto"/>
            </w:tcBorders>
            <w:shd w:val="clear" w:color="000000" w:fill="F8CBAD"/>
            <w:noWrap/>
            <w:vAlign w:val="center"/>
            <w:hideMark/>
          </w:tcPr>
          <w:p w14:paraId="65AB0EC4" w14:textId="45BC807E"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77 300 033 </w:t>
            </w:r>
          </w:p>
        </w:tc>
        <w:tc>
          <w:tcPr>
            <w:tcW w:w="958" w:type="dxa"/>
            <w:tcBorders>
              <w:top w:val="nil"/>
              <w:left w:val="nil"/>
              <w:bottom w:val="single" w:sz="4" w:space="0" w:color="auto"/>
              <w:right w:val="single" w:sz="4" w:space="0" w:color="auto"/>
            </w:tcBorders>
            <w:shd w:val="clear" w:color="000000" w:fill="F8CBAD"/>
            <w:noWrap/>
            <w:vAlign w:val="center"/>
            <w:hideMark/>
          </w:tcPr>
          <w:p w14:paraId="6E625BED"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29,4%</w:t>
            </w:r>
          </w:p>
        </w:tc>
      </w:tr>
      <w:tr w:rsidR="00F2004E" w:rsidRPr="00F2004E" w14:paraId="4A0B1047" w14:textId="77777777" w:rsidTr="00F2004E">
        <w:trPr>
          <w:trHeight w:val="260"/>
        </w:trPr>
        <w:tc>
          <w:tcPr>
            <w:tcW w:w="4673" w:type="dxa"/>
            <w:tcBorders>
              <w:top w:val="nil"/>
              <w:left w:val="single" w:sz="4" w:space="0" w:color="auto"/>
              <w:bottom w:val="single" w:sz="4" w:space="0" w:color="auto"/>
              <w:right w:val="single" w:sz="4" w:space="0" w:color="auto"/>
            </w:tcBorders>
            <w:shd w:val="clear" w:color="000000" w:fill="E2EFDA"/>
            <w:noWrap/>
            <w:vAlign w:val="center"/>
            <w:hideMark/>
          </w:tcPr>
          <w:p w14:paraId="5CE3E0DA" w14:textId="77777777" w:rsidR="00F2004E" w:rsidRPr="00F2004E" w:rsidRDefault="00F2004E" w:rsidP="00F2004E">
            <w:pPr>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Populations clés</w:t>
            </w:r>
          </w:p>
        </w:tc>
        <w:tc>
          <w:tcPr>
            <w:tcW w:w="1375" w:type="dxa"/>
            <w:tcBorders>
              <w:top w:val="nil"/>
              <w:left w:val="nil"/>
              <w:bottom w:val="single" w:sz="4" w:space="0" w:color="auto"/>
              <w:right w:val="single" w:sz="4" w:space="0" w:color="auto"/>
            </w:tcBorders>
            <w:shd w:val="clear" w:color="000000" w:fill="E2EFDA"/>
            <w:noWrap/>
            <w:vAlign w:val="center"/>
            <w:hideMark/>
          </w:tcPr>
          <w:p w14:paraId="2D36016F" w14:textId="2500003D"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397 135 </w:t>
            </w:r>
          </w:p>
        </w:tc>
        <w:tc>
          <w:tcPr>
            <w:tcW w:w="1601" w:type="dxa"/>
            <w:tcBorders>
              <w:top w:val="nil"/>
              <w:left w:val="nil"/>
              <w:bottom w:val="single" w:sz="4" w:space="0" w:color="auto"/>
              <w:right w:val="single" w:sz="4" w:space="0" w:color="auto"/>
            </w:tcBorders>
            <w:shd w:val="clear" w:color="000000" w:fill="E2EFDA"/>
            <w:noWrap/>
            <w:vAlign w:val="center"/>
            <w:hideMark/>
          </w:tcPr>
          <w:p w14:paraId="0BE1CAEE" w14:textId="130044A2"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533 468 </w:t>
            </w:r>
          </w:p>
        </w:tc>
        <w:tc>
          <w:tcPr>
            <w:tcW w:w="1445" w:type="dxa"/>
            <w:tcBorders>
              <w:top w:val="nil"/>
              <w:left w:val="nil"/>
              <w:bottom w:val="single" w:sz="4" w:space="0" w:color="auto"/>
              <w:right w:val="single" w:sz="4" w:space="0" w:color="auto"/>
            </w:tcBorders>
            <w:shd w:val="clear" w:color="000000" w:fill="E2EFDA"/>
            <w:noWrap/>
            <w:vAlign w:val="center"/>
            <w:hideMark/>
          </w:tcPr>
          <w:p w14:paraId="7032CA80" w14:textId="637C00D4"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729 977 </w:t>
            </w:r>
          </w:p>
        </w:tc>
        <w:tc>
          <w:tcPr>
            <w:tcW w:w="1445" w:type="dxa"/>
            <w:tcBorders>
              <w:top w:val="nil"/>
              <w:left w:val="nil"/>
              <w:bottom w:val="single" w:sz="4" w:space="0" w:color="auto"/>
              <w:right w:val="single" w:sz="4" w:space="0" w:color="auto"/>
            </w:tcBorders>
            <w:shd w:val="clear" w:color="000000" w:fill="E2EFDA"/>
            <w:noWrap/>
            <w:vAlign w:val="center"/>
            <w:hideMark/>
          </w:tcPr>
          <w:p w14:paraId="678F799F" w14:textId="4FDCC4F0"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863 359 </w:t>
            </w:r>
          </w:p>
        </w:tc>
        <w:tc>
          <w:tcPr>
            <w:tcW w:w="1358" w:type="dxa"/>
            <w:tcBorders>
              <w:top w:val="nil"/>
              <w:left w:val="nil"/>
              <w:bottom w:val="single" w:sz="4" w:space="0" w:color="auto"/>
              <w:right w:val="single" w:sz="4" w:space="0" w:color="auto"/>
            </w:tcBorders>
            <w:shd w:val="clear" w:color="000000" w:fill="E2EFDA"/>
            <w:noWrap/>
            <w:vAlign w:val="center"/>
            <w:hideMark/>
          </w:tcPr>
          <w:p w14:paraId="0639C2F9" w14:textId="17CB1DC0"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1 095 117 </w:t>
            </w:r>
          </w:p>
        </w:tc>
        <w:tc>
          <w:tcPr>
            <w:tcW w:w="1462" w:type="dxa"/>
            <w:tcBorders>
              <w:top w:val="nil"/>
              <w:left w:val="nil"/>
              <w:bottom w:val="single" w:sz="4" w:space="0" w:color="auto"/>
              <w:right w:val="single" w:sz="4" w:space="0" w:color="auto"/>
            </w:tcBorders>
            <w:shd w:val="clear" w:color="000000" w:fill="E2EFDA"/>
            <w:noWrap/>
            <w:vAlign w:val="center"/>
            <w:hideMark/>
          </w:tcPr>
          <w:p w14:paraId="70F987BF" w14:textId="6B9A4161"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3 619 055 </w:t>
            </w:r>
          </w:p>
        </w:tc>
        <w:tc>
          <w:tcPr>
            <w:tcW w:w="958" w:type="dxa"/>
            <w:tcBorders>
              <w:top w:val="nil"/>
              <w:left w:val="nil"/>
              <w:bottom w:val="single" w:sz="4" w:space="0" w:color="auto"/>
              <w:right w:val="single" w:sz="4" w:space="0" w:color="auto"/>
            </w:tcBorders>
            <w:shd w:val="clear" w:color="000000" w:fill="E2EFDA"/>
            <w:noWrap/>
            <w:vAlign w:val="center"/>
            <w:hideMark/>
          </w:tcPr>
          <w:p w14:paraId="2FD99A8E"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1,4%</w:t>
            </w:r>
          </w:p>
        </w:tc>
      </w:tr>
      <w:tr w:rsidR="00F2004E" w:rsidRPr="00F2004E" w14:paraId="336EFCEF" w14:textId="77777777" w:rsidTr="00F2004E">
        <w:trPr>
          <w:trHeight w:val="26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57C53B4"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Professionnel(le)s de sexe</w:t>
            </w:r>
          </w:p>
        </w:tc>
        <w:tc>
          <w:tcPr>
            <w:tcW w:w="1375" w:type="dxa"/>
            <w:tcBorders>
              <w:top w:val="nil"/>
              <w:left w:val="nil"/>
              <w:bottom w:val="single" w:sz="4" w:space="0" w:color="auto"/>
              <w:right w:val="single" w:sz="4" w:space="0" w:color="auto"/>
            </w:tcBorders>
            <w:shd w:val="clear" w:color="auto" w:fill="auto"/>
            <w:noWrap/>
            <w:vAlign w:val="center"/>
            <w:hideMark/>
          </w:tcPr>
          <w:p w14:paraId="2DA3E70D" w14:textId="0C15EF2B"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266 500 </w:t>
            </w:r>
          </w:p>
        </w:tc>
        <w:tc>
          <w:tcPr>
            <w:tcW w:w="1601" w:type="dxa"/>
            <w:tcBorders>
              <w:top w:val="nil"/>
              <w:left w:val="nil"/>
              <w:bottom w:val="single" w:sz="4" w:space="0" w:color="auto"/>
              <w:right w:val="single" w:sz="4" w:space="0" w:color="auto"/>
            </w:tcBorders>
            <w:shd w:val="clear" w:color="auto" w:fill="auto"/>
            <w:noWrap/>
            <w:vAlign w:val="center"/>
            <w:hideMark/>
          </w:tcPr>
          <w:p w14:paraId="03E39C38" w14:textId="7C4C37A9"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354 922 </w:t>
            </w:r>
          </w:p>
        </w:tc>
        <w:tc>
          <w:tcPr>
            <w:tcW w:w="1445" w:type="dxa"/>
            <w:tcBorders>
              <w:top w:val="nil"/>
              <w:left w:val="nil"/>
              <w:bottom w:val="single" w:sz="4" w:space="0" w:color="auto"/>
              <w:right w:val="single" w:sz="4" w:space="0" w:color="auto"/>
            </w:tcBorders>
            <w:shd w:val="clear" w:color="auto" w:fill="auto"/>
            <w:noWrap/>
            <w:vAlign w:val="center"/>
            <w:hideMark/>
          </w:tcPr>
          <w:p w14:paraId="4DECB030" w14:textId="6B210D26"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492 376 </w:t>
            </w:r>
          </w:p>
        </w:tc>
        <w:tc>
          <w:tcPr>
            <w:tcW w:w="1445" w:type="dxa"/>
            <w:tcBorders>
              <w:top w:val="nil"/>
              <w:left w:val="nil"/>
              <w:bottom w:val="single" w:sz="4" w:space="0" w:color="auto"/>
              <w:right w:val="single" w:sz="4" w:space="0" w:color="auto"/>
            </w:tcBorders>
            <w:shd w:val="clear" w:color="auto" w:fill="auto"/>
            <w:noWrap/>
            <w:vAlign w:val="center"/>
            <w:hideMark/>
          </w:tcPr>
          <w:p w14:paraId="0C3002D9" w14:textId="66411DCC"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582 881 </w:t>
            </w:r>
          </w:p>
        </w:tc>
        <w:tc>
          <w:tcPr>
            <w:tcW w:w="1358" w:type="dxa"/>
            <w:tcBorders>
              <w:top w:val="nil"/>
              <w:left w:val="nil"/>
              <w:bottom w:val="single" w:sz="4" w:space="0" w:color="auto"/>
              <w:right w:val="single" w:sz="4" w:space="0" w:color="auto"/>
            </w:tcBorders>
            <w:shd w:val="clear" w:color="auto" w:fill="auto"/>
            <w:noWrap/>
            <w:vAlign w:val="center"/>
            <w:hideMark/>
          </w:tcPr>
          <w:p w14:paraId="28E9F768" w14:textId="6E02562D"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768 188 </w:t>
            </w:r>
          </w:p>
        </w:tc>
        <w:tc>
          <w:tcPr>
            <w:tcW w:w="1462" w:type="dxa"/>
            <w:tcBorders>
              <w:top w:val="nil"/>
              <w:left w:val="nil"/>
              <w:bottom w:val="single" w:sz="4" w:space="0" w:color="auto"/>
              <w:right w:val="single" w:sz="4" w:space="0" w:color="auto"/>
            </w:tcBorders>
            <w:shd w:val="clear" w:color="auto" w:fill="auto"/>
            <w:noWrap/>
            <w:vAlign w:val="center"/>
            <w:hideMark/>
          </w:tcPr>
          <w:p w14:paraId="32C50994" w14:textId="6AB0E16C"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2 464 867 </w:t>
            </w:r>
          </w:p>
        </w:tc>
        <w:tc>
          <w:tcPr>
            <w:tcW w:w="958" w:type="dxa"/>
            <w:tcBorders>
              <w:top w:val="nil"/>
              <w:left w:val="nil"/>
              <w:bottom w:val="single" w:sz="4" w:space="0" w:color="auto"/>
              <w:right w:val="single" w:sz="4" w:space="0" w:color="auto"/>
            </w:tcBorders>
            <w:shd w:val="clear" w:color="auto" w:fill="auto"/>
            <w:noWrap/>
            <w:vAlign w:val="center"/>
            <w:hideMark/>
          </w:tcPr>
          <w:p w14:paraId="4C0D4077"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0,9%</w:t>
            </w:r>
          </w:p>
        </w:tc>
      </w:tr>
      <w:tr w:rsidR="00F2004E" w:rsidRPr="00F2004E" w14:paraId="2858846B" w14:textId="77777777" w:rsidTr="00F2004E">
        <w:trPr>
          <w:trHeight w:val="183"/>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3EA1F49"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Hommes ayant des rapports sexuels avec d'autres hommes</w:t>
            </w:r>
          </w:p>
        </w:tc>
        <w:tc>
          <w:tcPr>
            <w:tcW w:w="1375" w:type="dxa"/>
            <w:tcBorders>
              <w:top w:val="nil"/>
              <w:left w:val="nil"/>
              <w:bottom w:val="single" w:sz="4" w:space="0" w:color="auto"/>
              <w:right w:val="single" w:sz="4" w:space="0" w:color="auto"/>
            </w:tcBorders>
            <w:shd w:val="clear" w:color="auto" w:fill="auto"/>
            <w:noWrap/>
            <w:vAlign w:val="center"/>
            <w:hideMark/>
          </w:tcPr>
          <w:p w14:paraId="07BF11C8" w14:textId="4084F147"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28 436 </w:t>
            </w:r>
          </w:p>
        </w:tc>
        <w:tc>
          <w:tcPr>
            <w:tcW w:w="1601" w:type="dxa"/>
            <w:tcBorders>
              <w:top w:val="nil"/>
              <w:left w:val="nil"/>
              <w:bottom w:val="single" w:sz="4" w:space="0" w:color="auto"/>
              <w:right w:val="single" w:sz="4" w:space="0" w:color="auto"/>
            </w:tcBorders>
            <w:shd w:val="clear" w:color="auto" w:fill="auto"/>
            <w:noWrap/>
            <w:vAlign w:val="center"/>
            <w:hideMark/>
          </w:tcPr>
          <w:p w14:paraId="4819EC77" w14:textId="59285B87"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44 183 </w:t>
            </w:r>
          </w:p>
        </w:tc>
        <w:tc>
          <w:tcPr>
            <w:tcW w:w="1445" w:type="dxa"/>
            <w:tcBorders>
              <w:top w:val="nil"/>
              <w:left w:val="nil"/>
              <w:bottom w:val="single" w:sz="4" w:space="0" w:color="auto"/>
              <w:right w:val="single" w:sz="4" w:space="0" w:color="auto"/>
            </w:tcBorders>
            <w:shd w:val="clear" w:color="auto" w:fill="auto"/>
            <w:noWrap/>
            <w:vAlign w:val="center"/>
            <w:hideMark/>
          </w:tcPr>
          <w:p w14:paraId="25915DA9" w14:textId="1EC4EDCA"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56 041 </w:t>
            </w:r>
          </w:p>
        </w:tc>
        <w:tc>
          <w:tcPr>
            <w:tcW w:w="1445" w:type="dxa"/>
            <w:tcBorders>
              <w:top w:val="nil"/>
              <w:left w:val="nil"/>
              <w:bottom w:val="single" w:sz="4" w:space="0" w:color="auto"/>
              <w:right w:val="single" w:sz="4" w:space="0" w:color="auto"/>
            </w:tcBorders>
            <w:shd w:val="clear" w:color="auto" w:fill="auto"/>
            <w:noWrap/>
            <w:vAlign w:val="center"/>
            <w:hideMark/>
          </w:tcPr>
          <w:p w14:paraId="54C2DA5C" w14:textId="03E31409"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66 082 </w:t>
            </w:r>
          </w:p>
        </w:tc>
        <w:tc>
          <w:tcPr>
            <w:tcW w:w="1358" w:type="dxa"/>
            <w:tcBorders>
              <w:top w:val="nil"/>
              <w:left w:val="nil"/>
              <w:bottom w:val="single" w:sz="4" w:space="0" w:color="auto"/>
              <w:right w:val="single" w:sz="4" w:space="0" w:color="auto"/>
            </w:tcBorders>
            <w:shd w:val="clear" w:color="auto" w:fill="auto"/>
            <w:noWrap/>
            <w:vAlign w:val="center"/>
            <w:hideMark/>
          </w:tcPr>
          <w:p w14:paraId="523FDD94" w14:textId="398452D8"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77 654 </w:t>
            </w:r>
          </w:p>
        </w:tc>
        <w:tc>
          <w:tcPr>
            <w:tcW w:w="1462" w:type="dxa"/>
            <w:tcBorders>
              <w:top w:val="nil"/>
              <w:left w:val="nil"/>
              <w:bottom w:val="single" w:sz="4" w:space="0" w:color="auto"/>
              <w:right w:val="single" w:sz="4" w:space="0" w:color="auto"/>
            </w:tcBorders>
            <w:shd w:val="clear" w:color="auto" w:fill="auto"/>
            <w:noWrap/>
            <w:vAlign w:val="center"/>
            <w:hideMark/>
          </w:tcPr>
          <w:p w14:paraId="77244EA7" w14:textId="246AFD70"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272 397 </w:t>
            </w:r>
          </w:p>
        </w:tc>
        <w:tc>
          <w:tcPr>
            <w:tcW w:w="958" w:type="dxa"/>
            <w:tcBorders>
              <w:top w:val="nil"/>
              <w:left w:val="nil"/>
              <w:bottom w:val="single" w:sz="4" w:space="0" w:color="auto"/>
              <w:right w:val="single" w:sz="4" w:space="0" w:color="auto"/>
            </w:tcBorders>
            <w:shd w:val="clear" w:color="auto" w:fill="auto"/>
            <w:noWrap/>
            <w:vAlign w:val="center"/>
            <w:hideMark/>
          </w:tcPr>
          <w:p w14:paraId="46EA5F58"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0,1%</w:t>
            </w:r>
          </w:p>
        </w:tc>
      </w:tr>
      <w:tr w:rsidR="00F2004E" w:rsidRPr="00F2004E" w14:paraId="03F18882" w14:textId="77777777" w:rsidTr="00F2004E">
        <w:trPr>
          <w:trHeight w:val="189"/>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6DCC15A"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Population carcérale</w:t>
            </w:r>
          </w:p>
        </w:tc>
        <w:tc>
          <w:tcPr>
            <w:tcW w:w="1375" w:type="dxa"/>
            <w:tcBorders>
              <w:top w:val="nil"/>
              <w:left w:val="nil"/>
              <w:bottom w:val="single" w:sz="4" w:space="0" w:color="auto"/>
              <w:right w:val="single" w:sz="4" w:space="0" w:color="auto"/>
            </w:tcBorders>
            <w:shd w:val="clear" w:color="auto" w:fill="auto"/>
            <w:noWrap/>
            <w:vAlign w:val="center"/>
            <w:hideMark/>
          </w:tcPr>
          <w:p w14:paraId="3DF29AA6" w14:textId="47291486"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74 700 </w:t>
            </w:r>
          </w:p>
        </w:tc>
        <w:tc>
          <w:tcPr>
            <w:tcW w:w="1601" w:type="dxa"/>
            <w:tcBorders>
              <w:top w:val="nil"/>
              <w:left w:val="nil"/>
              <w:bottom w:val="single" w:sz="4" w:space="0" w:color="auto"/>
              <w:right w:val="single" w:sz="4" w:space="0" w:color="auto"/>
            </w:tcBorders>
            <w:shd w:val="clear" w:color="auto" w:fill="auto"/>
            <w:noWrap/>
            <w:vAlign w:val="center"/>
            <w:hideMark/>
          </w:tcPr>
          <w:p w14:paraId="1F239CF0" w14:textId="771419A2"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99 484 </w:t>
            </w:r>
          </w:p>
        </w:tc>
        <w:tc>
          <w:tcPr>
            <w:tcW w:w="1445" w:type="dxa"/>
            <w:tcBorders>
              <w:top w:val="nil"/>
              <w:left w:val="nil"/>
              <w:bottom w:val="single" w:sz="4" w:space="0" w:color="auto"/>
              <w:right w:val="single" w:sz="4" w:space="0" w:color="auto"/>
            </w:tcBorders>
            <w:shd w:val="clear" w:color="auto" w:fill="auto"/>
            <w:noWrap/>
            <w:vAlign w:val="center"/>
            <w:hideMark/>
          </w:tcPr>
          <w:p w14:paraId="3448535E" w14:textId="37898AC7"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138 013 </w:t>
            </w:r>
          </w:p>
        </w:tc>
        <w:tc>
          <w:tcPr>
            <w:tcW w:w="1445" w:type="dxa"/>
            <w:tcBorders>
              <w:top w:val="nil"/>
              <w:left w:val="nil"/>
              <w:bottom w:val="single" w:sz="4" w:space="0" w:color="auto"/>
              <w:right w:val="single" w:sz="4" w:space="0" w:color="auto"/>
            </w:tcBorders>
            <w:shd w:val="clear" w:color="auto" w:fill="auto"/>
            <w:noWrap/>
            <w:vAlign w:val="center"/>
            <w:hideMark/>
          </w:tcPr>
          <w:p w14:paraId="55B30F1E" w14:textId="5DD52116"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163 381 </w:t>
            </w:r>
          </w:p>
        </w:tc>
        <w:tc>
          <w:tcPr>
            <w:tcW w:w="1358" w:type="dxa"/>
            <w:tcBorders>
              <w:top w:val="nil"/>
              <w:left w:val="nil"/>
              <w:bottom w:val="single" w:sz="4" w:space="0" w:color="auto"/>
              <w:right w:val="single" w:sz="4" w:space="0" w:color="auto"/>
            </w:tcBorders>
            <w:shd w:val="clear" w:color="auto" w:fill="auto"/>
            <w:noWrap/>
            <w:vAlign w:val="center"/>
            <w:hideMark/>
          </w:tcPr>
          <w:p w14:paraId="5157E729" w14:textId="546326A7"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192 657 </w:t>
            </w:r>
          </w:p>
        </w:tc>
        <w:tc>
          <w:tcPr>
            <w:tcW w:w="1462" w:type="dxa"/>
            <w:tcBorders>
              <w:top w:val="nil"/>
              <w:left w:val="nil"/>
              <w:bottom w:val="single" w:sz="4" w:space="0" w:color="auto"/>
              <w:right w:val="single" w:sz="4" w:space="0" w:color="auto"/>
            </w:tcBorders>
            <w:shd w:val="clear" w:color="auto" w:fill="auto"/>
            <w:noWrap/>
            <w:vAlign w:val="center"/>
            <w:hideMark/>
          </w:tcPr>
          <w:p w14:paraId="344BF400" w14:textId="7ACEB074"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668 235 </w:t>
            </w:r>
          </w:p>
        </w:tc>
        <w:tc>
          <w:tcPr>
            <w:tcW w:w="958" w:type="dxa"/>
            <w:tcBorders>
              <w:top w:val="nil"/>
              <w:left w:val="nil"/>
              <w:bottom w:val="single" w:sz="4" w:space="0" w:color="auto"/>
              <w:right w:val="single" w:sz="4" w:space="0" w:color="auto"/>
            </w:tcBorders>
            <w:shd w:val="clear" w:color="auto" w:fill="auto"/>
            <w:noWrap/>
            <w:vAlign w:val="center"/>
            <w:hideMark/>
          </w:tcPr>
          <w:p w14:paraId="60DC7140"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0,3%</w:t>
            </w:r>
          </w:p>
        </w:tc>
      </w:tr>
      <w:tr w:rsidR="00F2004E" w:rsidRPr="00F2004E" w14:paraId="117E73DD" w14:textId="77777777" w:rsidTr="00F2004E">
        <w:trPr>
          <w:trHeight w:val="79"/>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40E980D"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UDI</w:t>
            </w:r>
          </w:p>
        </w:tc>
        <w:tc>
          <w:tcPr>
            <w:tcW w:w="1375" w:type="dxa"/>
            <w:tcBorders>
              <w:top w:val="nil"/>
              <w:left w:val="nil"/>
              <w:bottom w:val="single" w:sz="4" w:space="0" w:color="auto"/>
              <w:right w:val="single" w:sz="4" w:space="0" w:color="auto"/>
            </w:tcBorders>
            <w:shd w:val="clear" w:color="auto" w:fill="auto"/>
            <w:noWrap/>
            <w:vAlign w:val="center"/>
            <w:hideMark/>
          </w:tcPr>
          <w:p w14:paraId="1EEC06BD" w14:textId="0E052975"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27 498 </w:t>
            </w:r>
          </w:p>
        </w:tc>
        <w:tc>
          <w:tcPr>
            <w:tcW w:w="1601" w:type="dxa"/>
            <w:tcBorders>
              <w:top w:val="nil"/>
              <w:left w:val="nil"/>
              <w:bottom w:val="single" w:sz="4" w:space="0" w:color="auto"/>
              <w:right w:val="single" w:sz="4" w:space="0" w:color="auto"/>
            </w:tcBorders>
            <w:shd w:val="clear" w:color="auto" w:fill="auto"/>
            <w:noWrap/>
            <w:vAlign w:val="center"/>
            <w:hideMark/>
          </w:tcPr>
          <w:p w14:paraId="5FCB363B" w14:textId="4F99C6FF"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34 878 </w:t>
            </w:r>
          </w:p>
        </w:tc>
        <w:tc>
          <w:tcPr>
            <w:tcW w:w="1445" w:type="dxa"/>
            <w:tcBorders>
              <w:top w:val="nil"/>
              <w:left w:val="nil"/>
              <w:bottom w:val="single" w:sz="4" w:space="0" w:color="auto"/>
              <w:right w:val="single" w:sz="4" w:space="0" w:color="auto"/>
            </w:tcBorders>
            <w:shd w:val="clear" w:color="auto" w:fill="auto"/>
            <w:noWrap/>
            <w:vAlign w:val="center"/>
            <w:hideMark/>
          </w:tcPr>
          <w:p w14:paraId="11EC70C5" w14:textId="78DCF46C"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43 547 </w:t>
            </w:r>
          </w:p>
        </w:tc>
        <w:tc>
          <w:tcPr>
            <w:tcW w:w="1445" w:type="dxa"/>
            <w:tcBorders>
              <w:top w:val="nil"/>
              <w:left w:val="nil"/>
              <w:bottom w:val="single" w:sz="4" w:space="0" w:color="auto"/>
              <w:right w:val="single" w:sz="4" w:space="0" w:color="auto"/>
            </w:tcBorders>
            <w:shd w:val="clear" w:color="auto" w:fill="auto"/>
            <w:noWrap/>
            <w:vAlign w:val="center"/>
            <w:hideMark/>
          </w:tcPr>
          <w:p w14:paraId="36AEE84B" w14:textId="77725968"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51 015 </w:t>
            </w:r>
          </w:p>
        </w:tc>
        <w:tc>
          <w:tcPr>
            <w:tcW w:w="1358" w:type="dxa"/>
            <w:tcBorders>
              <w:top w:val="nil"/>
              <w:left w:val="nil"/>
              <w:bottom w:val="single" w:sz="4" w:space="0" w:color="auto"/>
              <w:right w:val="single" w:sz="4" w:space="0" w:color="auto"/>
            </w:tcBorders>
            <w:shd w:val="clear" w:color="auto" w:fill="auto"/>
            <w:noWrap/>
            <w:vAlign w:val="center"/>
            <w:hideMark/>
          </w:tcPr>
          <w:p w14:paraId="6F125DF5" w14:textId="49164C1A"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56 617 </w:t>
            </w:r>
          </w:p>
        </w:tc>
        <w:tc>
          <w:tcPr>
            <w:tcW w:w="1462" w:type="dxa"/>
            <w:tcBorders>
              <w:top w:val="nil"/>
              <w:left w:val="nil"/>
              <w:bottom w:val="single" w:sz="4" w:space="0" w:color="auto"/>
              <w:right w:val="single" w:sz="4" w:space="0" w:color="auto"/>
            </w:tcBorders>
            <w:shd w:val="clear" w:color="auto" w:fill="auto"/>
            <w:noWrap/>
            <w:vAlign w:val="center"/>
            <w:hideMark/>
          </w:tcPr>
          <w:p w14:paraId="2EAB829B" w14:textId="66543F89"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213 556 </w:t>
            </w:r>
          </w:p>
        </w:tc>
        <w:tc>
          <w:tcPr>
            <w:tcW w:w="958" w:type="dxa"/>
            <w:tcBorders>
              <w:top w:val="nil"/>
              <w:left w:val="nil"/>
              <w:bottom w:val="single" w:sz="4" w:space="0" w:color="auto"/>
              <w:right w:val="single" w:sz="4" w:space="0" w:color="auto"/>
            </w:tcBorders>
            <w:shd w:val="clear" w:color="auto" w:fill="auto"/>
            <w:noWrap/>
            <w:vAlign w:val="center"/>
            <w:hideMark/>
          </w:tcPr>
          <w:p w14:paraId="04BE3EDE"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0,1%</w:t>
            </w:r>
          </w:p>
        </w:tc>
      </w:tr>
      <w:tr w:rsidR="00F2004E" w:rsidRPr="00F2004E" w14:paraId="46847D2B" w14:textId="77777777" w:rsidTr="00F2004E">
        <w:trPr>
          <w:trHeight w:val="260"/>
        </w:trPr>
        <w:tc>
          <w:tcPr>
            <w:tcW w:w="4673" w:type="dxa"/>
            <w:tcBorders>
              <w:top w:val="nil"/>
              <w:left w:val="single" w:sz="4" w:space="0" w:color="auto"/>
              <w:bottom w:val="single" w:sz="4" w:space="0" w:color="auto"/>
              <w:right w:val="single" w:sz="4" w:space="0" w:color="auto"/>
            </w:tcBorders>
            <w:shd w:val="clear" w:color="000000" w:fill="E2EFDA"/>
            <w:noWrap/>
            <w:vAlign w:val="center"/>
            <w:hideMark/>
          </w:tcPr>
          <w:p w14:paraId="3B2F9504" w14:textId="77777777" w:rsidR="00F2004E" w:rsidRPr="00F2004E" w:rsidRDefault="00F2004E" w:rsidP="00F2004E">
            <w:pPr>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Populations vulnérables</w:t>
            </w:r>
          </w:p>
        </w:tc>
        <w:tc>
          <w:tcPr>
            <w:tcW w:w="1375" w:type="dxa"/>
            <w:tcBorders>
              <w:top w:val="nil"/>
              <w:left w:val="nil"/>
              <w:bottom w:val="single" w:sz="4" w:space="0" w:color="auto"/>
              <w:right w:val="single" w:sz="4" w:space="0" w:color="auto"/>
            </w:tcBorders>
            <w:shd w:val="clear" w:color="000000" w:fill="E2EFDA"/>
            <w:noWrap/>
            <w:vAlign w:val="center"/>
            <w:hideMark/>
          </w:tcPr>
          <w:p w14:paraId="2B7488FB" w14:textId="597416E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1 579 927 </w:t>
            </w:r>
          </w:p>
        </w:tc>
        <w:tc>
          <w:tcPr>
            <w:tcW w:w="1601" w:type="dxa"/>
            <w:tcBorders>
              <w:top w:val="nil"/>
              <w:left w:val="nil"/>
              <w:bottom w:val="single" w:sz="4" w:space="0" w:color="auto"/>
              <w:right w:val="single" w:sz="4" w:space="0" w:color="auto"/>
            </w:tcBorders>
            <w:shd w:val="clear" w:color="000000" w:fill="E2EFDA"/>
            <w:noWrap/>
            <w:vAlign w:val="center"/>
            <w:hideMark/>
          </w:tcPr>
          <w:p w14:paraId="30B7C673" w14:textId="559F75D5"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1 801 379 </w:t>
            </w:r>
          </w:p>
        </w:tc>
        <w:tc>
          <w:tcPr>
            <w:tcW w:w="1445" w:type="dxa"/>
            <w:tcBorders>
              <w:top w:val="nil"/>
              <w:left w:val="nil"/>
              <w:bottom w:val="single" w:sz="4" w:space="0" w:color="auto"/>
              <w:right w:val="single" w:sz="4" w:space="0" w:color="auto"/>
            </w:tcBorders>
            <w:shd w:val="clear" w:color="000000" w:fill="E2EFDA"/>
            <w:noWrap/>
            <w:vAlign w:val="center"/>
            <w:hideMark/>
          </w:tcPr>
          <w:p w14:paraId="1544E546" w14:textId="61784504"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2 061 204 </w:t>
            </w:r>
          </w:p>
        </w:tc>
        <w:tc>
          <w:tcPr>
            <w:tcW w:w="1445" w:type="dxa"/>
            <w:tcBorders>
              <w:top w:val="nil"/>
              <w:left w:val="nil"/>
              <w:bottom w:val="single" w:sz="4" w:space="0" w:color="auto"/>
              <w:right w:val="single" w:sz="4" w:space="0" w:color="auto"/>
            </w:tcBorders>
            <w:shd w:val="clear" w:color="000000" w:fill="E2EFDA"/>
            <w:noWrap/>
            <w:vAlign w:val="center"/>
            <w:hideMark/>
          </w:tcPr>
          <w:p w14:paraId="0F1C6A73" w14:textId="32239670"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2 317 168 </w:t>
            </w:r>
          </w:p>
        </w:tc>
        <w:tc>
          <w:tcPr>
            <w:tcW w:w="1358" w:type="dxa"/>
            <w:tcBorders>
              <w:top w:val="nil"/>
              <w:left w:val="nil"/>
              <w:bottom w:val="single" w:sz="4" w:space="0" w:color="auto"/>
              <w:right w:val="single" w:sz="4" w:space="0" w:color="auto"/>
            </w:tcBorders>
            <w:shd w:val="clear" w:color="000000" w:fill="E2EFDA"/>
            <w:noWrap/>
            <w:vAlign w:val="center"/>
            <w:hideMark/>
          </w:tcPr>
          <w:p w14:paraId="502C8436" w14:textId="5D76D058"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2 595 768 </w:t>
            </w:r>
          </w:p>
        </w:tc>
        <w:tc>
          <w:tcPr>
            <w:tcW w:w="1462" w:type="dxa"/>
            <w:tcBorders>
              <w:top w:val="nil"/>
              <w:left w:val="nil"/>
              <w:bottom w:val="single" w:sz="4" w:space="0" w:color="auto"/>
              <w:right w:val="single" w:sz="4" w:space="0" w:color="auto"/>
            </w:tcBorders>
            <w:shd w:val="clear" w:color="000000" w:fill="E2EFDA"/>
            <w:noWrap/>
            <w:vAlign w:val="center"/>
            <w:hideMark/>
          </w:tcPr>
          <w:p w14:paraId="56D8DB91" w14:textId="1A4F11B1"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10 355 446 </w:t>
            </w:r>
          </w:p>
        </w:tc>
        <w:tc>
          <w:tcPr>
            <w:tcW w:w="958" w:type="dxa"/>
            <w:tcBorders>
              <w:top w:val="nil"/>
              <w:left w:val="nil"/>
              <w:bottom w:val="single" w:sz="4" w:space="0" w:color="auto"/>
              <w:right w:val="single" w:sz="4" w:space="0" w:color="auto"/>
            </w:tcBorders>
            <w:shd w:val="clear" w:color="000000" w:fill="E2EFDA"/>
            <w:noWrap/>
            <w:vAlign w:val="center"/>
            <w:hideMark/>
          </w:tcPr>
          <w:p w14:paraId="586C1C3F"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3,9%</w:t>
            </w:r>
          </w:p>
        </w:tc>
      </w:tr>
      <w:tr w:rsidR="00F2004E" w:rsidRPr="00F2004E" w14:paraId="5EA52E1F" w14:textId="77777777" w:rsidTr="00F2004E">
        <w:trPr>
          <w:trHeight w:val="26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3C2C41E"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Pêcheurs</w:t>
            </w:r>
          </w:p>
        </w:tc>
        <w:tc>
          <w:tcPr>
            <w:tcW w:w="1375" w:type="dxa"/>
            <w:tcBorders>
              <w:top w:val="nil"/>
              <w:left w:val="nil"/>
              <w:bottom w:val="single" w:sz="4" w:space="0" w:color="auto"/>
              <w:right w:val="single" w:sz="4" w:space="0" w:color="auto"/>
            </w:tcBorders>
            <w:shd w:val="clear" w:color="auto" w:fill="auto"/>
            <w:noWrap/>
            <w:vAlign w:val="center"/>
            <w:hideMark/>
          </w:tcPr>
          <w:p w14:paraId="41EAA983" w14:textId="7FC55772"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44 092 </w:t>
            </w:r>
          </w:p>
        </w:tc>
        <w:tc>
          <w:tcPr>
            <w:tcW w:w="1601" w:type="dxa"/>
            <w:tcBorders>
              <w:top w:val="nil"/>
              <w:left w:val="nil"/>
              <w:bottom w:val="single" w:sz="4" w:space="0" w:color="auto"/>
              <w:right w:val="single" w:sz="4" w:space="0" w:color="auto"/>
            </w:tcBorders>
            <w:shd w:val="clear" w:color="auto" w:fill="auto"/>
            <w:noWrap/>
            <w:vAlign w:val="center"/>
            <w:hideMark/>
          </w:tcPr>
          <w:p w14:paraId="6275CEAB" w14:textId="407C6898"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54 286 </w:t>
            </w:r>
          </w:p>
        </w:tc>
        <w:tc>
          <w:tcPr>
            <w:tcW w:w="1445" w:type="dxa"/>
            <w:tcBorders>
              <w:top w:val="nil"/>
              <w:left w:val="nil"/>
              <w:bottom w:val="single" w:sz="4" w:space="0" w:color="auto"/>
              <w:right w:val="single" w:sz="4" w:space="0" w:color="auto"/>
            </w:tcBorders>
            <w:shd w:val="clear" w:color="auto" w:fill="auto"/>
            <w:noWrap/>
            <w:vAlign w:val="center"/>
            <w:hideMark/>
          </w:tcPr>
          <w:p w14:paraId="5C866C48" w14:textId="5DFCA615"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69 622 </w:t>
            </w:r>
          </w:p>
        </w:tc>
        <w:tc>
          <w:tcPr>
            <w:tcW w:w="1445" w:type="dxa"/>
            <w:tcBorders>
              <w:top w:val="nil"/>
              <w:left w:val="nil"/>
              <w:bottom w:val="single" w:sz="4" w:space="0" w:color="auto"/>
              <w:right w:val="single" w:sz="4" w:space="0" w:color="auto"/>
            </w:tcBorders>
            <w:shd w:val="clear" w:color="auto" w:fill="auto"/>
            <w:noWrap/>
            <w:vAlign w:val="center"/>
            <w:hideMark/>
          </w:tcPr>
          <w:p w14:paraId="2BF4F128" w14:textId="47C4D31F"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76 194 </w:t>
            </w:r>
          </w:p>
        </w:tc>
        <w:tc>
          <w:tcPr>
            <w:tcW w:w="1358" w:type="dxa"/>
            <w:tcBorders>
              <w:top w:val="nil"/>
              <w:left w:val="nil"/>
              <w:bottom w:val="single" w:sz="4" w:space="0" w:color="auto"/>
              <w:right w:val="single" w:sz="4" w:space="0" w:color="auto"/>
            </w:tcBorders>
            <w:shd w:val="clear" w:color="auto" w:fill="auto"/>
            <w:noWrap/>
            <w:vAlign w:val="center"/>
            <w:hideMark/>
          </w:tcPr>
          <w:p w14:paraId="6ED44DB1" w14:textId="4E13823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83 061 </w:t>
            </w:r>
          </w:p>
        </w:tc>
        <w:tc>
          <w:tcPr>
            <w:tcW w:w="1462" w:type="dxa"/>
            <w:tcBorders>
              <w:top w:val="nil"/>
              <w:left w:val="nil"/>
              <w:bottom w:val="single" w:sz="4" w:space="0" w:color="auto"/>
              <w:right w:val="single" w:sz="4" w:space="0" w:color="auto"/>
            </w:tcBorders>
            <w:shd w:val="clear" w:color="auto" w:fill="auto"/>
            <w:noWrap/>
            <w:vAlign w:val="center"/>
            <w:hideMark/>
          </w:tcPr>
          <w:p w14:paraId="61B5680C" w14:textId="4EDB4C86"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327 254 </w:t>
            </w:r>
          </w:p>
        </w:tc>
        <w:tc>
          <w:tcPr>
            <w:tcW w:w="958" w:type="dxa"/>
            <w:tcBorders>
              <w:top w:val="nil"/>
              <w:left w:val="nil"/>
              <w:bottom w:val="single" w:sz="4" w:space="0" w:color="auto"/>
              <w:right w:val="single" w:sz="4" w:space="0" w:color="auto"/>
            </w:tcBorders>
            <w:shd w:val="clear" w:color="auto" w:fill="auto"/>
            <w:noWrap/>
            <w:vAlign w:val="center"/>
            <w:hideMark/>
          </w:tcPr>
          <w:p w14:paraId="0765922B"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0,1%</w:t>
            </w:r>
          </w:p>
        </w:tc>
      </w:tr>
      <w:tr w:rsidR="00F2004E" w:rsidRPr="00F2004E" w14:paraId="514F86DF" w14:textId="77777777" w:rsidTr="00F2004E">
        <w:trPr>
          <w:trHeight w:val="26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1E74570"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Miniers</w:t>
            </w:r>
          </w:p>
        </w:tc>
        <w:tc>
          <w:tcPr>
            <w:tcW w:w="1375" w:type="dxa"/>
            <w:tcBorders>
              <w:top w:val="nil"/>
              <w:left w:val="nil"/>
              <w:bottom w:val="single" w:sz="4" w:space="0" w:color="auto"/>
              <w:right w:val="single" w:sz="4" w:space="0" w:color="auto"/>
            </w:tcBorders>
            <w:shd w:val="clear" w:color="auto" w:fill="auto"/>
            <w:noWrap/>
            <w:vAlign w:val="center"/>
            <w:hideMark/>
          </w:tcPr>
          <w:p w14:paraId="205F9BED" w14:textId="50B8B48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51 591 </w:t>
            </w:r>
          </w:p>
        </w:tc>
        <w:tc>
          <w:tcPr>
            <w:tcW w:w="1601" w:type="dxa"/>
            <w:tcBorders>
              <w:top w:val="nil"/>
              <w:left w:val="nil"/>
              <w:bottom w:val="single" w:sz="4" w:space="0" w:color="auto"/>
              <w:right w:val="single" w:sz="4" w:space="0" w:color="auto"/>
            </w:tcBorders>
            <w:shd w:val="clear" w:color="auto" w:fill="auto"/>
            <w:noWrap/>
            <w:vAlign w:val="center"/>
            <w:hideMark/>
          </w:tcPr>
          <w:p w14:paraId="0EED9C75" w14:textId="58F1E86B"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68 708 </w:t>
            </w:r>
          </w:p>
        </w:tc>
        <w:tc>
          <w:tcPr>
            <w:tcW w:w="1445" w:type="dxa"/>
            <w:tcBorders>
              <w:top w:val="nil"/>
              <w:left w:val="nil"/>
              <w:bottom w:val="single" w:sz="4" w:space="0" w:color="auto"/>
              <w:right w:val="single" w:sz="4" w:space="0" w:color="auto"/>
            </w:tcBorders>
            <w:shd w:val="clear" w:color="auto" w:fill="auto"/>
            <w:noWrap/>
            <w:vAlign w:val="center"/>
            <w:hideMark/>
          </w:tcPr>
          <w:p w14:paraId="4C97F850" w14:textId="536E411D"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95 317 </w:t>
            </w:r>
          </w:p>
        </w:tc>
        <w:tc>
          <w:tcPr>
            <w:tcW w:w="1445" w:type="dxa"/>
            <w:tcBorders>
              <w:top w:val="nil"/>
              <w:left w:val="nil"/>
              <w:bottom w:val="single" w:sz="4" w:space="0" w:color="auto"/>
              <w:right w:val="single" w:sz="4" w:space="0" w:color="auto"/>
            </w:tcBorders>
            <w:shd w:val="clear" w:color="auto" w:fill="auto"/>
            <w:noWrap/>
            <w:vAlign w:val="center"/>
            <w:hideMark/>
          </w:tcPr>
          <w:p w14:paraId="7D1DFDA9" w14:textId="64E42114"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112 838 </w:t>
            </w:r>
          </w:p>
        </w:tc>
        <w:tc>
          <w:tcPr>
            <w:tcW w:w="1358" w:type="dxa"/>
            <w:tcBorders>
              <w:top w:val="nil"/>
              <w:left w:val="nil"/>
              <w:bottom w:val="single" w:sz="4" w:space="0" w:color="auto"/>
              <w:right w:val="single" w:sz="4" w:space="0" w:color="auto"/>
            </w:tcBorders>
            <w:shd w:val="clear" w:color="auto" w:fill="auto"/>
            <w:noWrap/>
            <w:vAlign w:val="center"/>
            <w:hideMark/>
          </w:tcPr>
          <w:p w14:paraId="02992C1E" w14:textId="1ED5EDC9"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133 057 </w:t>
            </w:r>
          </w:p>
        </w:tc>
        <w:tc>
          <w:tcPr>
            <w:tcW w:w="1462" w:type="dxa"/>
            <w:tcBorders>
              <w:top w:val="nil"/>
              <w:left w:val="nil"/>
              <w:bottom w:val="single" w:sz="4" w:space="0" w:color="auto"/>
              <w:right w:val="single" w:sz="4" w:space="0" w:color="auto"/>
            </w:tcBorders>
            <w:shd w:val="clear" w:color="auto" w:fill="auto"/>
            <w:noWrap/>
            <w:vAlign w:val="center"/>
            <w:hideMark/>
          </w:tcPr>
          <w:p w14:paraId="493E27C8" w14:textId="100FF29E"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461 510 </w:t>
            </w:r>
          </w:p>
        </w:tc>
        <w:tc>
          <w:tcPr>
            <w:tcW w:w="958" w:type="dxa"/>
            <w:tcBorders>
              <w:top w:val="nil"/>
              <w:left w:val="nil"/>
              <w:bottom w:val="single" w:sz="4" w:space="0" w:color="auto"/>
              <w:right w:val="single" w:sz="4" w:space="0" w:color="auto"/>
            </w:tcBorders>
            <w:shd w:val="clear" w:color="auto" w:fill="auto"/>
            <w:noWrap/>
            <w:vAlign w:val="center"/>
            <w:hideMark/>
          </w:tcPr>
          <w:p w14:paraId="7088F5ED"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0,2%</w:t>
            </w:r>
          </w:p>
        </w:tc>
      </w:tr>
      <w:tr w:rsidR="00F2004E" w:rsidRPr="00F2004E" w14:paraId="595B496F" w14:textId="77777777" w:rsidTr="00F2004E">
        <w:trPr>
          <w:trHeight w:val="26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2F609ED"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FDS</w:t>
            </w:r>
          </w:p>
        </w:tc>
        <w:tc>
          <w:tcPr>
            <w:tcW w:w="1375" w:type="dxa"/>
            <w:tcBorders>
              <w:top w:val="nil"/>
              <w:left w:val="nil"/>
              <w:bottom w:val="single" w:sz="4" w:space="0" w:color="auto"/>
              <w:right w:val="single" w:sz="4" w:space="0" w:color="auto"/>
            </w:tcBorders>
            <w:shd w:val="clear" w:color="auto" w:fill="auto"/>
            <w:noWrap/>
            <w:vAlign w:val="center"/>
            <w:hideMark/>
          </w:tcPr>
          <w:p w14:paraId="63E7BF08" w14:textId="7839FDAE"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47 769 </w:t>
            </w:r>
          </w:p>
        </w:tc>
        <w:tc>
          <w:tcPr>
            <w:tcW w:w="1601" w:type="dxa"/>
            <w:tcBorders>
              <w:top w:val="nil"/>
              <w:left w:val="nil"/>
              <w:bottom w:val="single" w:sz="4" w:space="0" w:color="auto"/>
              <w:right w:val="single" w:sz="4" w:space="0" w:color="auto"/>
            </w:tcBorders>
            <w:shd w:val="clear" w:color="auto" w:fill="auto"/>
            <w:noWrap/>
            <w:vAlign w:val="center"/>
            <w:hideMark/>
          </w:tcPr>
          <w:p w14:paraId="4C989283" w14:textId="4ECBB70B"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63 618 </w:t>
            </w:r>
          </w:p>
        </w:tc>
        <w:tc>
          <w:tcPr>
            <w:tcW w:w="1445" w:type="dxa"/>
            <w:tcBorders>
              <w:top w:val="nil"/>
              <w:left w:val="nil"/>
              <w:bottom w:val="single" w:sz="4" w:space="0" w:color="auto"/>
              <w:right w:val="single" w:sz="4" w:space="0" w:color="auto"/>
            </w:tcBorders>
            <w:shd w:val="clear" w:color="auto" w:fill="auto"/>
            <w:noWrap/>
            <w:vAlign w:val="center"/>
            <w:hideMark/>
          </w:tcPr>
          <w:p w14:paraId="1439880E" w14:textId="4268EFFE"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88 257 </w:t>
            </w:r>
          </w:p>
        </w:tc>
        <w:tc>
          <w:tcPr>
            <w:tcW w:w="1445" w:type="dxa"/>
            <w:tcBorders>
              <w:top w:val="nil"/>
              <w:left w:val="nil"/>
              <w:bottom w:val="single" w:sz="4" w:space="0" w:color="auto"/>
              <w:right w:val="single" w:sz="4" w:space="0" w:color="auto"/>
            </w:tcBorders>
            <w:shd w:val="clear" w:color="auto" w:fill="auto"/>
            <w:noWrap/>
            <w:vAlign w:val="center"/>
            <w:hideMark/>
          </w:tcPr>
          <w:p w14:paraId="7E253A1A" w14:textId="201E3877"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104 479 </w:t>
            </w:r>
          </w:p>
        </w:tc>
        <w:tc>
          <w:tcPr>
            <w:tcW w:w="1358" w:type="dxa"/>
            <w:tcBorders>
              <w:top w:val="nil"/>
              <w:left w:val="nil"/>
              <w:bottom w:val="single" w:sz="4" w:space="0" w:color="auto"/>
              <w:right w:val="single" w:sz="4" w:space="0" w:color="auto"/>
            </w:tcBorders>
            <w:shd w:val="clear" w:color="auto" w:fill="auto"/>
            <w:noWrap/>
            <w:vAlign w:val="center"/>
            <w:hideMark/>
          </w:tcPr>
          <w:p w14:paraId="75330069" w14:textId="4CFD9ADA"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123 201 </w:t>
            </w:r>
          </w:p>
        </w:tc>
        <w:tc>
          <w:tcPr>
            <w:tcW w:w="1462" w:type="dxa"/>
            <w:tcBorders>
              <w:top w:val="nil"/>
              <w:left w:val="nil"/>
              <w:bottom w:val="single" w:sz="4" w:space="0" w:color="auto"/>
              <w:right w:val="single" w:sz="4" w:space="0" w:color="auto"/>
            </w:tcBorders>
            <w:shd w:val="clear" w:color="auto" w:fill="auto"/>
            <w:noWrap/>
            <w:vAlign w:val="center"/>
            <w:hideMark/>
          </w:tcPr>
          <w:p w14:paraId="40A3BDD8" w14:textId="66668652"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427 324 </w:t>
            </w:r>
          </w:p>
        </w:tc>
        <w:tc>
          <w:tcPr>
            <w:tcW w:w="958" w:type="dxa"/>
            <w:tcBorders>
              <w:top w:val="nil"/>
              <w:left w:val="nil"/>
              <w:bottom w:val="single" w:sz="4" w:space="0" w:color="auto"/>
              <w:right w:val="single" w:sz="4" w:space="0" w:color="auto"/>
            </w:tcBorders>
            <w:shd w:val="clear" w:color="auto" w:fill="auto"/>
            <w:noWrap/>
            <w:vAlign w:val="center"/>
            <w:hideMark/>
          </w:tcPr>
          <w:p w14:paraId="64B6F17E"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0,2%</w:t>
            </w:r>
          </w:p>
        </w:tc>
      </w:tr>
      <w:tr w:rsidR="00F2004E" w:rsidRPr="00F2004E" w14:paraId="16BECA91" w14:textId="77777777" w:rsidTr="00F2004E">
        <w:trPr>
          <w:trHeight w:val="225"/>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E1D1F49"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Routiers</w:t>
            </w:r>
          </w:p>
        </w:tc>
        <w:tc>
          <w:tcPr>
            <w:tcW w:w="1375" w:type="dxa"/>
            <w:tcBorders>
              <w:top w:val="nil"/>
              <w:left w:val="nil"/>
              <w:bottom w:val="single" w:sz="4" w:space="0" w:color="auto"/>
              <w:right w:val="single" w:sz="4" w:space="0" w:color="auto"/>
            </w:tcBorders>
            <w:shd w:val="clear" w:color="auto" w:fill="auto"/>
            <w:noWrap/>
            <w:vAlign w:val="center"/>
            <w:hideMark/>
          </w:tcPr>
          <w:p w14:paraId="5E4605F0" w14:textId="63C5F07F"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36 113 </w:t>
            </w:r>
          </w:p>
        </w:tc>
        <w:tc>
          <w:tcPr>
            <w:tcW w:w="1601" w:type="dxa"/>
            <w:tcBorders>
              <w:top w:val="nil"/>
              <w:left w:val="nil"/>
              <w:bottom w:val="single" w:sz="4" w:space="0" w:color="auto"/>
              <w:right w:val="single" w:sz="4" w:space="0" w:color="auto"/>
            </w:tcBorders>
            <w:shd w:val="clear" w:color="auto" w:fill="auto"/>
            <w:noWrap/>
            <w:vAlign w:val="center"/>
            <w:hideMark/>
          </w:tcPr>
          <w:p w14:paraId="3F5EC0E6" w14:textId="3BA834BE"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57 257 </w:t>
            </w:r>
          </w:p>
        </w:tc>
        <w:tc>
          <w:tcPr>
            <w:tcW w:w="1445" w:type="dxa"/>
            <w:tcBorders>
              <w:top w:val="nil"/>
              <w:left w:val="nil"/>
              <w:bottom w:val="single" w:sz="4" w:space="0" w:color="auto"/>
              <w:right w:val="single" w:sz="4" w:space="0" w:color="auto"/>
            </w:tcBorders>
            <w:shd w:val="clear" w:color="auto" w:fill="auto"/>
            <w:noWrap/>
            <w:vAlign w:val="center"/>
            <w:hideMark/>
          </w:tcPr>
          <w:p w14:paraId="311B02EF" w14:textId="4C5DF898"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76 254 </w:t>
            </w:r>
          </w:p>
        </w:tc>
        <w:tc>
          <w:tcPr>
            <w:tcW w:w="1445" w:type="dxa"/>
            <w:tcBorders>
              <w:top w:val="nil"/>
              <w:left w:val="nil"/>
              <w:bottom w:val="single" w:sz="4" w:space="0" w:color="auto"/>
              <w:right w:val="single" w:sz="4" w:space="0" w:color="auto"/>
            </w:tcBorders>
            <w:shd w:val="clear" w:color="auto" w:fill="auto"/>
            <w:noWrap/>
            <w:vAlign w:val="center"/>
            <w:hideMark/>
          </w:tcPr>
          <w:p w14:paraId="744C5A52" w14:textId="703664B6"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98 733 </w:t>
            </w:r>
          </w:p>
        </w:tc>
        <w:tc>
          <w:tcPr>
            <w:tcW w:w="1358" w:type="dxa"/>
            <w:tcBorders>
              <w:top w:val="nil"/>
              <w:left w:val="nil"/>
              <w:bottom w:val="single" w:sz="4" w:space="0" w:color="auto"/>
              <w:right w:val="single" w:sz="4" w:space="0" w:color="auto"/>
            </w:tcBorders>
            <w:shd w:val="clear" w:color="auto" w:fill="auto"/>
            <w:noWrap/>
            <w:vAlign w:val="center"/>
            <w:hideMark/>
          </w:tcPr>
          <w:p w14:paraId="3031F147" w14:textId="382A768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117 403 </w:t>
            </w:r>
          </w:p>
        </w:tc>
        <w:tc>
          <w:tcPr>
            <w:tcW w:w="1462" w:type="dxa"/>
            <w:tcBorders>
              <w:top w:val="nil"/>
              <w:left w:val="nil"/>
              <w:bottom w:val="single" w:sz="4" w:space="0" w:color="auto"/>
              <w:right w:val="single" w:sz="4" w:space="0" w:color="auto"/>
            </w:tcBorders>
            <w:shd w:val="clear" w:color="auto" w:fill="auto"/>
            <w:noWrap/>
            <w:vAlign w:val="center"/>
            <w:hideMark/>
          </w:tcPr>
          <w:p w14:paraId="07020371" w14:textId="063BDB86"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385 760 </w:t>
            </w:r>
          </w:p>
        </w:tc>
        <w:tc>
          <w:tcPr>
            <w:tcW w:w="958" w:type="dxa"/>
            <w:tcBorders>
              <w:top w:val="nil"/>
              <w:left w:val="nil"/>
              <w:bottom w:val="single" w:sz="4" w:space="0" w:color="auto"/>
              <w:right w:val="single" w:sz="4" w:space="0" w:color="auto"/>
            </w:tcBorders>
            <w:shd w:val="clear" w:color="auto" w:fill="auto"/>
            <w:noWrap/>
            <w:vAlign w:val="center"/>
            <w:hideMark/>
          </w:tcPr>
          <w:p w14:paraId="734AC6F0"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0,1%</w:t>
            </w:r>
          </w:p>
        </w:tc>
      </w:tr>
      <w:tr w:rsidR="00F2004E" w:rsidRPr="00F2004E" w14:paraId="4F5EA90C" w14:textId="77777777" w:rsidTr="00F2004E">
        <w:trPr>
          <w:trHeight w:val="23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06DED60"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Jeunes</w:t>
            </w:r>
          </w:p>
        </w:tc>
        <w:tc>
          <w:tcPr>
            <w:tcW w:w="1375" w:type="dxa"/>
            <w:tcBorders>
              <w:top w:val="nil"/>
              <w:left w:val="nil"/>
              <w:bottom w:val="single" w:sz="4" w:space="0" w:color="auto"/>
              <w:right w:val="single" w:sz="4" w:space="0" w:color="auto"/>
            </w:tcBorders>
            <w:shd w:val="clear" w:color="auto" w:fill="auto"/>
            <w:noWrap/>
            <w:vAlign w:val="center"/>
            <w:hideMark/>
          </w:tcPr>
          <w:p w14:paraId="04384768" w14:textId="6D36296E"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1 400 362 </w:t>
            </w:r>
          </w:p>
        </w:tc>
        <w:tc>
          <w:tcPr>
            <w:tcW w:w="1601" w:type="dxa"/>
            <w:tcBorders>
              <w:top w:val="nil"/>
              <w:left w:val="nil"/>
              <w:bottom w:val="single" w:sz="4" w:space="0" w:color="auto"/>
              <w:right w:val="single" w:sz="4" w:space="0" w:color="auto"/>
            </w:tcBorders>
            <w:shd w:val="clear" w:color="auto" w:fill="auto"/>
            <w:noWrap/>
            <w:vAlign w:val="center"/>
            <w:hideMark/>
          </w:tcPr>
          <w:p w14:paraId="7E1817DA" w14:textId="3EFC397C"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1 557 510 </w:t>
            </w:r>
          </w:p>
        </w:tc>
        <w:tc>
          <w:tcPr>
            <w:tcW w:w="1445" w:type="dxa"/>
            <w:tcBorders>
              <w:top w:val="nil"/>
              <w:left w:val="nil"/>
              <w:bottom w:val="single" w:sz="4" w:space="0" w:color="auto"/>
              <w:right w:val="single" w:sz="4" w:space="0" w:color="auto"/>
            </w:tcBorders>
            <w:shd w:val="clear" w:color="auto" w:fill="auto"/>
            <w:noWrap/>
            <w:vAlign w:val="center"/>
            <w:hideMark/>
          </w:tcPr>
          <w:p w14:paraId="7D57F370" w14:textId="4C16C3D9"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1 731 755 </w:t>
            </w:r>
          </w:p>
        </w:tc>
        <w:tc>
          <w:tcPr>
            <w:tcW w:w="1445" w:type="dxa"/>
            <w:tcBorders>
              <w:top w:val="nil"/>
              <w:left w:val="nil"/>
              <w:bottom w:val="single" w:sz="4" w:space="0" w:color="auto"/>
              <w:right w:val="single" w:sz="4" w:space="0" w:color="auto"/>
            </w:tcBorders>
            <w:shd w:val="clear" w:color="auto" w:fill="auto"/>
            <w:noWrap/>
            <w:vAlign w:val="center"/>
            <w:hideMark/>
          </w:tcPr>
          <w:p w14:paraId="32230999" w14:textId="2FAF394F"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1 924 925 </w:t>
            </w:r>
          </w:p>
        </w:tc>
        <w:tc>
          <w:tcPr>
            <w:tcW w:w="1358" w:type="dxa"/>
            <w:tcBorders>
              <w:top w:val="nil"/>
              <w:left w:val="nil"/>
              <w:bottom w:val="single" w:sz="4" w:space="0" w:color="auto"/>
              <w:right w:val="single" w:sz="4" w:space="0" w:color="auto"/>
            </w:tcBorders>
            <w:shd w:val="clear" w:color="auto" w:fill="auto"/>
            <w:noWrap/>
            <w:vAlign w:val="center"/>
            <w:hideMark/>
          </w:tcPr>
          <w:p w14:paraId="0533FA71" w14:textId="501146D9"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2 139 047 </w:t>
            </w:r>
          </w:p>
        </w:tc>
        <w:tc>
          <w:tcPr>
            <w:tcW w:w="1462" w:type="dxa"/>
            <w:tcBorders>
              <w:top w:val="nil"/>
              <w:left w:val="nil"/>
              <w:bottom w:val="single" w:sz="4" w:space="0" w:color="auto"/>
              <w:right w:val="single" w:sz="4" w:space="0" w:color="auto"/>
            </w:tcBorders>
            <w:shd w:val="clear" w:color="auto" w:fill="auto"/>
            <w:noWrap/>
            <w:vAlign w:val="center"/>
            <w:hideMark/>
          </w:tcPr>
          <w:p w14:paraId="361B7BF2" w14:textId="41614E1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8 753 598 </w:t>
            </w:r>
          </w:p>
        </w:tc>
        <w:tc>
          <w:tcPr>
            <w:tcW w:w="958" w:type="dxa"/>
            <w:tcBorders>
              <w:top w:val="nil"/>
              <w:left w:val="nil"/>
              <w:bottom w:val="single" w:sz="4" w:space="0" w:color="auto"/>
              <w:right w:val="single" w:sz="4" w:space="0" w:color="auto"/>
            </w:tcBorders>
            <w:shd w:val="clear" w:color="auto" w:fill="auto"/>
            <w:noWrap/>
            <w:vAlign w:val="center"/>
            <w:hideMark/>
          </w:tcPr>
          <w:p w14:paraId="576EC3E9"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3,3%</w:t>
            </w:r>
          </w:p>
        </w:tc>
      </w:tr>
      <w:tr w:rsidR="00F2004E" w:rsidRPr="00F2004E" w14:paraId="56D342C8" w14:textId="77777777" w:rsidTr="00F2004E">
        <w:trPr>
          <w:trHeight w:val="260"/>
        </w:trPr>
        <w:tc>
          <w:tcPr>
            <w:tcW w:w="4673" w:type="dxa"/>
            <w:tcBorders>
              <w:top w:val="nil"/>
              <w:left w:val="single" w:sz="4" w:space="0" w:color="auto"/>
              <w:bottom w:val="single" w:sz="4" w:space="0" w:color="auto"/>
              <w:right w:val="single" w:sz="4" w:space="0" w:color="auto"/>
            </w:tcBorders>
            <w:shd w:val="clear" w:color="000000" w:fill="E2EFDA"/>
            <w:noWrap/>
            <w:vAlign w:val="center"/>
            <w:hideMark/>
          </w:tcPr>
          <w:p w14:paraId="7D87FE4F" w14:textId="77777777" w:rsidR="00F2004E" w:rsidRPr="00F2004E" w:rsidRDefault="00F2004E" w:rsidP="00F2004E">
            <w:pPr>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Prestation de services</w:t>
            </w:r>
          </w:p>
        </w:tc>
        <w:tc>
          <w:tcPr>
            <w:tcW w:w="1375" w:type="dxa"/>
            <w:tcBorders>
              <w:top w:val="nil"/>
              <w:left w:val="nil"/>
              <w:bottom w:val="single" w:sz="4" w:space="0" w:color="auto"/>
              <w:right w:val="single" w:sz="4" w:space="0" w:color="auto"/>
            </w:tcBorders>
            <w:shd w:val="clear" w:color="000000" w:fill="E2EFDA"/>
            <w:noWrap/>
            <w:vAlign w:val="center"/>
            <w:hideMark/>
          </w:tcPr>
          <w:p w14:paraId="65340B71" w14:textId="51E04391" w:rsidR="00F2004E" w:rsidRPr="00F2004E" w:rsidRDefault="00F2004E" w:rsidP="00F2004E">
            <w:pPr>
              <w:jc w:val="right"/>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 xml:space="preserve">10 246 125 </w:t>
            </w:r>
          </w:p>
        </w:tc>
        <w:tc>
          <w:tcPr>
            <w:tcW w:w="1601" w:type="dxa"/>
            <w:tcBorders>
              <w:top w:val="nil"/>
              <w:left w:val="nil"/>
              <w:bottom w:val="single" w:sz="4" w:space="0" w:color="auto"/>
              <w:right w:val="single" w:sz="4" w:space="0" w:color="auto"/>
            </w:tcBorders>
            <w:shd w:val="clear" w:color="000000" w:fill="E2EFDA"/>
            <w:noWrap/>
            <w:vAlign w:val="center"/>
            <w:hideMark/>
          </w:tcPr>
          <w:p w14:paraId="18A7D9E0" w14:textId="238CED04" w:rsidR="00F2004E" w:rsidRPr="00F2004E" w:rsidRDefault="00F2004E" w:rsidP="00F2004E">
            <w:pPr>
              <w:jc w:val="right"/>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 xml:space="preserve">11 568 036 </w:t>
            </w:r>
          </w:p>
        </w:tc>
        <w:tc>
          <w:tcPr>
            <w:tcW w:w="1445" w:type="dxa"/>
            <w:tcBorders>
              <w:top w:val="nil"/>
              <w:left w:val="nil"/>
              <w:bottom w:val="single" w:sz="4" w:space="0" w:color="auto"/>
              <w:right w:val="single" w:sz="4" w:space="0" w:color="auto"/>
            </w:tcBorders>
            <w:shd w:val="clear" w:color="000000" w:fill="E2EFDA"/>
            <w:noWrap/>
            <w:vAlign w:val="center"/>
            <w:hideMark/>
          </w:tcPr>
          <w:p w14:paraId="7A5E2875" w14:textId="706D7609" w:rsidR="00F2004E" w:rsidRPr="00F2004E" w:rsidRDefault="00F2004E" w:rsidP="00F2004E">
            <w:pPr>
              <w:jc w:val="right"/>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 xml:space="preserve">12 909 633 </w:t>
            </w:r>
          </w:p>
        </w:tc>
        <w:tc>
          <w:tcPr>
            <w:tcW w:w="1445" w:type="dxa"/>
            <w:tcBorders>
              <w:top w:val="nil"/>
              <w:left w:val="nil"/>
              <w:bottom w:val="single" w:sz="4" w:space="0" w:color="auto"/>
              <w:right w:val="single" w:sz="4" w:space="0" w:color="auto"/>
            </w:tcBorders>
            <w:shd w:val="clear" w:color="000000" w:fill="E2EFDA"/>
            <w:noWrap/>
            <w:vAlign w:val="center"/>
            <w:hideMark/>
          </w:tcPr>
          <w:p w14:paraId="094318A7" w14:textId="32563154" w:rsidR="00F2004E" w:rsidRPr="00F2004E" w:rsidRDefault="00F2004E" w:rsidP="00F2004E">
            <w:pPr>
              <w:jc w:val="right"/>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 xml:space="preserve">14 427 116 </w:t>
            </w:r>
          </w:p>
        </w:tc>
        <w:tc>
          <w:tcPr>
            <w:tcW w:w="1358" w:type="dxa"/>
            <w:tcBorders>
              <w:top w:val="nil"/>
              <w:left w:val="nil"/>
              <w:bottom w:val="single" w:sz="4" w:space="0" w:color="auto"/>
              <w:right w:val="single" w:sz="4" w:space="0" w:color="auto"/>
            </w:tcBorders>
            <w:shd w:val="clear" w:color="000000" w:fill="E2EFDA"/>
            <w:noWrap/>
            <w:vAlign w:val="center"/>
            <w:hideMark/>
          </w:tcPr>
          <w:p w14:paraId="6E1573CA" w14:textId="0D55655C" w:rsidR="00F2004E" w:rsidRPr="00F2004E" w:rsidRDefault="00F2004E" w:rsidP="00F2004E">
            <w:pPr>
              <w:jc w:val="right"/>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 xml:space="preserve">15 476 261 </w:t>
            </w:r>
          </w:p>
        </w:tc>
        <w:tc>
          <w:tcPr>
            <w:tcW w:w="1462" w:type="dxa"/>
            <w:tcBorders>
              <w:top w:val="nil"/>
              <w:left w:val="nil"/>
              <w:bottom w:val="single" w:sz="4" w:space="0" w:color="auto"/>
              <w:right w:val="single" w:sz="4" w:space="0" w:color="auto"/>
            </w:tcBorders>
            <w:shd w:val="clear" w:color="000000" w:fill="E2EFDA"/>
            <w:noWrap/>
            <w:vAlign w:val="center"/>
            <w:hideMark/>
          </w:tcPr>
          <w:p w14:paraId="48080445" w14:textId="41D7C2B5"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64 627 172 </w:t>
            </w:r>
          </w:p>
        </w:tc>
        <w:tc>
          <w:tcPr>
            <w:tcW w:w="958" w:type="dxa"/>
            <w:tcBorders>
              <w:top w:val="nil"/>
              <w:left w:val="nil"/>
              <w:bottom w:val="single" w:sz="4" w:space="0" w:color="auto"/>
              <w:right w:val="single" w:sz="4" w:space="0" w:color="auto"/>
            </w:tcBorders>
            <w:shd w:val="clear" w:color="000000" w:fill="E2EFDA"/>
            <w:noWrap/>
            <w:vAlign w:val="center"/>
            <w:hideMark/>
          </w:tcPr>
          <w:p w14:paraId="76989684"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24,6%</w:t>
            </w:r>
          </w:p>
        </w:tc>
      </w:tr>
      <w:tr w:rsidR="00F2004E" w:rsidRPr="00F2004E" w14:paraId="4AF90D17" w14:textId="77777777" w:rsidTr="00F2004E">
        <w:trPr>
          <w:trHeight w:val="97"/>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1B5E42D"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Fourniture de préservatifs</w:t>
            </w:r>
          </w:p>
        </w:tc>
        <w:tc>
          <w:tcPr>
            <w:tcW w:w="1375" w:type="dxa"/>
            <w:tcBorders>
              <w:top w:val="nil"/>
              <w:left w:val="nil"/>
              <w:bottom w:val="single" w:sz="4" w:space="0" w:color="auto"/>
              <w:right w:val="single" w:sz="4" w:space="0" w:color="auto"/>
            </w:tcBorders>
            <w:shd w:val="clear" w:color="auto" w:fill="auto"/>
            <w:noWrap/>
            <w:vAlign w:val="center"/>
            <w:hideMark/>
          </w:tcPr>
          <w:p w14:paraId="39FF4CF1" w14:textId="2F2F9215"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5 294 374 </w:t>
            </w:r>
          </w:p>
        </w:tc>
        <w:tc>
          <w:tcPr>
            <w:tcW w:w="1601" w:type="dxa"/>
            <w:tcBorders>
              <w:top w:val="nil"/>
              <w:left w:val="nil"/>
              <w:bottom w:val="single" w:sz="4" w:space="0" w:color="auto"/>
              <w:right w:val="single" w:sz="4" w:space="0" w:color="auto"/>
            </w:tcBorders>
            <w:shd w:val="clear" w:color="auto" w:fill="auto"/>
            <w:noWrap/>
            <w:vAlign w:val="center"/>
            <w:hideMark/>
          </w:tcPr>
          <w:p w14:paraId="1237950B" w14:textId="297CAE18"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5 588 683 </w:t>
            </w:r>
          </w:p>
        </w:tc>
        <w:tc>
          <w:tcPr>
            <w:tcW w:w="1445" w:type="dxa"/>
            <w:tcBorders>
              <w:top w:val="nil"/>
              <w:left w:val="nil"/>
              <w:bottom w:val="single" w:sz="4" w:space="0" w:color="auto"/>
              <w:right w:val="single" w:sz="4" w:space="0" w:color="auto"/>
            </w:tcBorders>
            <w:shd w:val="clear" w:color="auto" w:fill="auto"/>
            <w:noWrap/>
            <w:vAlign w:val="center"/>
            <w:hideMark/>
          </w:tcPr>
          <w:p w14:paraId="795D8928" w14:textId="3F187CE8"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5 930 440 </w:t>
            </w:r>
          </w:p>
        </w:tc>
        <w:tc>
          <w:tcPr>
            <w:tcW w:w="1445" w:type="dxa"/>
            <w:tcBorders>
              <w:top w:val="nil"/>
              <w:left w:val="nil"/>
              <w:bottom w:val="single" w:sz="4" w:space="0" w:color="auto"/>
              <w:right w:val="single" w:sz="4" w:space="0" w:color="auto"/>
            </w:tcBorders>
            <w:shd w:val="clear" w:color="auto" w:fill="auto"/>
            <w:noWrap/>
            <w:vAlign w:val="center"/>
            <w:hideMark/>
          </w:tcPr>
          <w:p w14:paraId="1463AC49" w14:textId="20643380"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6 182 253 </w:t>
            </w:r>
          </w:p>
        </w:tc>
        <w:tc>
          <w:tcPr>
            <w:tcW w:w="1358" w:type="dxa"/>
            <w:tcBorders>
              <w:top w:val="nil"/>
              <w:left w:val="nil"/>
              <w:bottom w:val="single" w:sz="4" w:space="0" w:color="auto"/>
              <w:right w:val="single" w:sz="4" w:space="0" w:color="auto"/>
            </w:tcBorders>
            <w:shd w:val="clear" w:color="auto" w:fill="auto"/>
            <w:noWrap/>
            <w:vAlign w:val="center"/>
            <w:hideMark/>
          </w:tcPr>
          <w:p w14:paraId="4ED51D99" w14:textId="76CE637F"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6 427 317 </w:t>
            </w:r>
          </w:p>
        </w:tc>
        <w:tc>
          <w:tcPr>
            <w:tcW w:w="1462" w:type="dxa"/>
            <w:tcBorders>
              <w:top w:val="nil"/>
              <w:left w:val="nil"/>
              <w:bottom w:val="single" w:sz="4" w:space="0" w:color="auto"/>
              <w:right w:val="single" w:sz="4" w:space="0" w:color="auto"/>
            </w:tcBorders>
            <w:shd w:val="clear" w:color="auto" w:fill="auto"/>
            <w:noWrap/>
            <w:vAlign w:val="center"/>
            <w:hideMark/>
          </w:tcPr>
          <w:p w14:paraId="60DD4F72" w14:textId="66CBF166"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29 423 067 </w:t>
            </w:r>
          </w:p>
        </w:tc>
        <w:tc>
          <w:tcPr>
            <w:tcW w:w="958" w:type="dxa"/>
            <w:tcBorders>
              <w:top w:val="nil"/>
              <w:left w:val="nil"/>
              <w:bottom w:val="single" w:sz="4" w:space="0" w:color="auto"/>
              <w:right w:val="single" w:sz="4" w:space="0" w:color="auto"/>
            </w:tcBorders>
            <w:shd w:val="clear" w:color="auto" w:fill="auto"/>
            <w:noWrap/>
            <w:vAlign w:val="center"/>
            <w:hideMark/>
          </w:tcPr>
          <w:p w14:paraId="253DB297"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11,2%</w:t>
            </w:r>
          </w:p>
        </w:tc>
      </w:tr>
      <w:tr w:rsidR="00F2004E" w:rsidRPr="00F2004E" w14:paraId="534055D6" w14:textId="77777777" w:rsidTr="00F2004E">
        <w:trPr>
          <w:trHeight w:val="260"/>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4F781B13"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Traitement des IST</w:t>
            </w:r>
          </w:p>
        </w:tc>
        <w:tc>
          <w:tcPr>
            <w:tcW w:w="1375" w:type="dxa"/>
            <w:tcBorders>
              <w:top w:val="nil"/>
              <w:left w:val="nil"/>
              <w:bottom w:val="single" w:sz="4" w:space="0" w:color="auto"/>
              <w:right w:val="single" w:sz="4" w:space="0" w:color="auto"/>
            </w:tcBorders>
            <w:shd w:val="clear" w:color="auto" w:fill="auto"/>
            <w:noWrap/>
            <w:vAlign w:val="center"/>
            <w:hideMark/>
          </w:tcPr>
          <w:p w14:paraId="4DB37B12" w14:textId="4F03EE6B"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513 827 </w:t>
            </w:r>
          </w:p>
        </w:tc>
        <w:tc>
          <w:tcPr>
            <w:tcW w:w="1601" w:type="dxa"/>
            <w:tcBorders>
              <w:top w:val="nil"/>
              <w:left w:val="nil"/>
              <w:bottom w:val="single" w:sz="4" w:space="0" w:color="auto"/>
              <w:right w:val="single" w:sz="4" w:space="0" w:color="auto"/>
            </w:tcBorders>
            <w:shd w:val="clear" w:color="auto" w:fill="auto"/>
            <w:noWrap/>
            <w:vAlign w:val="center"/>
            <w:hideMark/>
          </w:tcPr>
          <w:p w14:paraId="79855334" w14:textId="423A4190"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715 648 </w:t>
            </w:r>
          </w:p>
        </w:tc>
        <w:tc>
          <w:tcPr>
            <w:tcW w:w="1445" w:type="dxa"/>
            <w:tcBorders>
              <w:top w:val="nil"/>
              <w:left w:val="nil"/>
              <w:bottom w:val="single" w:sz="4" w:space="0" w:color="auto"/>
              <w:right w:val="single" w:sz="4" w:space="0" w:color="auto"/>
            </w:tcBorders>
            <w:shd w:val="clear" w:color="auto" w:fill="auto"/>
            <w:noWrap/>
            <w:vAlign w:val="center"/>
            <w:hideMark/>
          </w:tcPr>
          <w:p w14:paraId="0AD5E0CA" w14:textId="25FE7D35"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956 978 </w:t>
            </w:r>
          </w:p>
        </w:tc>
        <w:tc>
          <w:tcPr>
            <w:tcW w:w="1445" w:type="dxa"/>
            <w:tcBorders>
              <w:top w:val="nil"/>
              <w:left w:val="nil"/>
              <w:bottom w:val="single" w:sz="4" w:space="0" w:color="auto"/>
              <w:right w:val="single" w:sz="4" w:space="0" w:color="auto"/>
            </w:tcBorders>
            <w:shd w:val="clear" w:color="auto" w:fill="auto"/>
            <w:noWrap/>
            <w:vAlign w:val="center"/>
            <w:hideMark/>
          </w:tcPr>
          <w:p w14:paraId="4A1D5244" w14:textId="2F16230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1 244 278 </w:t>
            </w:r>
          </w:p>
        </w:tc>
        <w:tc>
          <w:tcPr>
            <w:tcW w:w="1358" w:type="dxa"/>
            <w:tcBorders>
              <w:top w:val="nil"/>
              <w:left w:val="nil"/>
              <w:bottom w:val="single" w:sz="4" w:space="0" w:color="auto"/>
              <w:right w:val="single" w:sz="4" w:space="0" w:color="auto"/>
            </w:tcBorders>
            <w:shd w:val="clear" w:color="auto" w:fill="auto"/>
            <w:noWrap/>
            <w:vAlign w:val="center"/>
            <w:hideMark/>
          </w:tcPr>
          <w:p w14:paraId="61E9CCF9" w14:textId="7F49EBE0"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1 584 984 </w:t>
            </w:r>
          </w:p>
        </w:tc>
        <w:tc>
          <w:tcPr>
            <w:tcW w:w="1462" w:type="dxa"/>
            <w:tcBorders>
              <w:top w:val="nil"/>
              <w:left w:val="nil"/>
              <w:bottom w:val="single" w:sz="4" w:space="0" w:color="auto"/>
              <w:right w:val="single" w:sz="4" w:space="0" w:color="auto"/>
            </w:tcBorders>
            <w:shd w:val="clear" w:color="auto" w:fill="auto"/>
            <w:noWrap/>
            <w:vAlign w:val="center"/>
            <w:hideMark/>
          </w:tcPr>
          <w:p w14:paraId="6169573A" w14:textId="51EADCA5"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5 015 714 </w:t>
            </w:r>
          </w:p>
        </w:tc>
        <w:tc>
          <w:tcPr>
            <w:tcW w:w="958" w:type="dxa"/>
            <w:tcBorders>
              <w:top w:val="nil"/>
              <w:left w:val="nil"/>
              <w:bottom w:val="single" w:sz="4" w:space="0" w:color="auto"/>
              <w:right w:val="single" w:sz="4" w:space="0" w:color="auto"/>
            </w:tcBorders>
            <w:shd w:val="clear" w:color="auto" w:fill="auto"/>
            <w:noWrap/>
            <w:vAlign w:val="center"/>
            <w:hideMark/>
          </w:tcPr>
          <w:p w14:paraId="2144460E"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1,9%</w:t>
            </w:r>
          </w:p>
        </w:tc>
      </w:tr>
      <w:tr w:rsidR="00F2004E" w:rsidRPr="00F2004E" w14:paraId="7A8FCA71" w14:textId="77777777" w:rsidTr="00F2004E">
        <w:trPr>
          <w:trHeight w:val="218"/>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629C8E8"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Conseil dépistage</w:t>
            </w:r>
          </w:p>
        </w:tc>
        <w:tc>
          <w:tcPr>
            <w:tcW w:w="1375" w:type="dxa"/>
            <w:tcBorders>
              <w:top w:val="nil"/>
              <w:left w:val="nil"/>
              <w:bottom w:val="single" w:sz="4" w:space="0" w:color="auto"/>
              <w:right w:val="single" w:sz="4" w:space="0" w:color="auto"/>
            </w:tcBorders>
            <w:shd w:val="clear" w:color="auto" w:fill="auto"/>
            <w:noWrap/>
            <w:vAlign w:val="center"/>
            <w:hideMark/>
          </w:tcPr>
          <w:p w14:paraId="6C0D6823" w14:textId="64DE60F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503 209 </w:t>
            </w:r>
          </w:p>
        </w:tc>
        <w:tc>
          <w:tcPr>
            <w:tcW w:w="1601" w:type="dxa"/>
            <w:tcBorders>
              <w:top w:val="nil"/>
              <w:left w:val="nil"/>
              <w:bottom w:val="single" w:sz="4" w:space="0" w:color="auto"/>
              <w:right w:val="single" w:sz="4" w:space="0" w:color="auto"/>
            </w:tcBorders>
            <w:shd w:val="clear" w:color="auto" w:fill="auto"/>
            <w:noWrap/>
            <w:vAlign w:val="center"/>
            <w:hideMark/>
          </w:tcPr>
          <w:p w14:paraId="5960EA38" w14:textId="4FF211BF"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715 029 </w:t>
            </w:r>
          </w:p>
        </w:tc>
        <w:tc>
          <w:tcPr>
            <w:tcW w:w="1445" w:type="dxa"/>
            <w:tcBorders>
              <w:top w:val="nil"/>
              <w:left w:val="nil"/>
              <w:bottom w:val="single" w:sz="4" w:space="0" w:color="auto"/>
              <w:right w:val="single" w:sz="4" w:space="0" w:color="auto"/>
            </w:tcBorders>
            <w:shd w:val="clear" w:color="auto" w:fill="auto"/>
            <w:noWrap/>
            <w:vAlign w:val="center"/>
            <w:hideMark/>
          </w:tcPr>
          <w:p w14:paraId="76064892" w14:textId="37C5D834"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981 582 </w:t>
            </w:r>
          </w:p>
        </w:tc>
        <w:tc>
          <w:tcPr>
            <w:tcW w:w="1445" w:type="dxa"/>
            <w:tcBorders>
              <w:top w:val="nil"/>
              <w:left w:val="nil"/>
              <w:bottom w:val="single" w:sz="4" w:space="0" w:color="auto"/>
              <w:right w:val="single" w:sz="4" w:space="0" w:color="auto"/>
            </w:tcBorders>
            <w:shd w:val="clear" w:color="auto" w:fill="auto"/>
            <w:noWrap/>
            <w:vAlign w:val="center"/>
            <w:hideMark/>
          </w:tcPr>
          <w:p w14:paraId="6A1B0E42" w14:textId="36AEA272"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1 284 506 </w:t>
            </w:r>
          </w:p>
        </w:tc>
        <w:tc>
          <w:tcPr>
            <w:tcW w:w="1358" w:type="dxa"/>
            <w:tcBorders>
              <w:top w:val="nil"/>
              <w:left w:val="nil"/>
              <w:bottom w:val="single" w:sz="4" w:space="0" w:color="auto"/>
              <w:right w:val="single" w:sz="4" w:space="0" w:color="auto"/>
            </w:tcBorders>
            <w:shd w:val="clear" w:color="auto" w:fill="auto"/>
            <w:noWrap/>
            <w:vAlign w:val="center"/>
            <w:hideMark/>
          </w:tcPr>
          <w:p w14:paraId="2AFEF8AF" w14:textId="682D8E07"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1 643 384 </w:t>
            </w:r>
          </w:p>
        </w:tc>
        <w:tc>
          <w:tcPr>
            <w:tcW w:w="1462" w:type="dxa"/>
            <w:tcBorders>
              <w:top w:val="nil"/>
              <w:left w:val="nil"/>
              <w:bottom w:val="single" w:sz="4" w:space="0" w:color="auto"/>
              <w:right w:val="single" w:sz="4" w:space="0" w:color="auto"/>
            </w:tcBorders>
            <w:shd w:val="clear" w:color="auto" w:fill="auto"/>
            <w:noWrap/>
            <w:vAlign w:val="center"/>
            <w:hideMark/>
          </w:tcPr>
          <w:p w14:paraId="12970AF9" w14:textId="3A1F91EA"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5 127 710 </w:t>
            </w:r>
          </w:p>
        </w:tc>
        <w:tc>
          <w:tcPr>
            <w:tcW w:w="958" w:type="dxa"/>
            <w:tcBorders>
              <w:top w:val="nil"/>
              <w:left w:val="nil"/>
              <w:bottom w:val="single" w:sz="4" w:space="0" w:color="auto"/>
              <w:right w:val="single" w:sz="4" w:space="0" w:color="auto"/>
            </w:tcBorders>
            <w:shd w:val="clear" w:color="auto" w:fill="auto"/>
            <w:noWrap/>
            <w:vAlign w:val="center"/>
            <w:hideMark/>
          </w:tcPr>
          <w:p w14:paraId="478CAB2D"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2,0%</w:t>
            </w:r>
          </w:p>
        </w:tc>
      </w:tr>
      <w:tr w:rsidR="00F2004E" w:rsidRPr="00F2004E" w14:paraId="5C523D47" w14:textId="77777777" w:rsidTr="00F2004E">
        <w:trPr>
          <w:trHeight w:val="79"/>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9563CDF"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PTME</w:t>
            </w:r>
          </w:p>
        </w:tc>
        <w:tc>
          <w:tcPr>
            <w:tcW w:w="1375" w:type="dxa"/>
            <w:tcBorders>
              <w:top w:val="nil"/>
              <w:left w:val="nil"/>
              <w:bottom w:val="single" w:sz="4" w:space="0" w:color="auto"/>
              <w:right w:val="single" w:sz="4" w:space="0" w:color="auto"/>
            </w:tcBorders>
            <w:shd w:val="clear" w:color="auto" w:fill="auto"/>
            <w:noWrap/>
            <w:vAlign w:val="center"/>
            <w:hideMark/>
          </w:tcPr>
          <w:p w14:paraId="7C6A1F89" w14:textId="4A687FDF"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3 934 716 </w:t>
            </w:r>
          </w:p>
        </w:tc>
        <w:tc>
          <w:tcPr>
            <w:tcW w:w="1601" w:type="dxa"/>
            <w:tcBorders>
              <w:top w:val="nil"/>
              <w:left w:val="nil"/>
              <w:bottom w:val="single" w:sz="4" w:space="0" w:color="auto"/>
              <w:right w:val="single" w:sz="4" w:space="0" w:color="auto"/>
            </w:tcBorders>
            <w:shd w:val="clear" w:color="auto" w:fill="auto"/>
            <w:noWrap/>
            <w:vAlign w:val="center"/>
            <w:hideMark/>
          </w:tcPr>
          <w:p w14:paraId="0E48B399" w14:textId="149F9D76"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4 548 677 </w:t>
            </w:r>
          </w:p>
        </w:tc>
        <w:tc>
          <w:tcPr>
            <w:tcW w:w="1445" w:type="dxa"/>
            <w:tcBorders>
              <w:top w:val="nil"/>
              <w:left w:val="nil"/>
              <w:bottom w:val="single" w:sz="4" w:space="0" w:color="auto"/>
              <w:right w:val="single" w:sz="4" w:space="0" w:color="auto"/>
            </w:tcBorders>
            <w:shd w:val="clear" w:color="auto" w:fill="auto"/>
            <w:noWrap/>
            <w:vAlign w:val="center"/>
            <w:hideMark/>
          </w:tcPr>
          <w:p w14:paraId="161EAC8E" w14:textId="0D3EA829"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5 040 634 </w:t>
            </w:r>
          </w:p>
        </w:tc>
        <w:tc>
          <w:tcPr>
            <w:tcW w:w="1445" w:type="dxa"/>
            <w:tcBorders>
              <w:top w:val="nil"/>
              <w:left w:val="nil"/>
              <w:bottom w:val="single" w:sz="4" w:space="0" w:color="auto"/>
              <w:right w:val="single" w:sz="4" w:space="0" w:color="auto"/>
            </w:tcBorders>
            <w:shd w:val="clear" w:color="auto" w:fill="auto"/>
            <w:noWrap/>
            <w:vAlign w:val="center"/>
            <w:hideMark/>
          </w:tcPr>
          <w:p w14:paraId="31CE915D" w14:textId="649ACB9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5 716 079 </w:t>
            </w:r>
          </w:p>
        </w:tc>
        <w:tc>
          <w:tcPr>
            <w:tcW w:w="1358" w:type="dxa"/>
            <w:tcBorders>
              <w:top w:val="nil"/>
              <w:left w:val="nil"/>
              <w:bottom w:val="single" w:sz="4" w:space="0" w:color="auto"/>
              <w:right w:val="single" w:sz="4" w:space="0" w:color="auto"/>
            </w:tcBorders>
            <w:shd w:val="clear" w:color="auto" w:fill="auto"/>
            <w:noWrap/>
            <w:vAlign w:val="center"/>
            <w:hideMark/>
          </w:tcPr>
          <w:p w14:paraId="5CAB6517" w14:textId="2180B047"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5 820 576 </w:t>
            </w:r>
          </w:p>
        </w:tc>
        <w:tc>
          <w:tcPr>
            <w:tcW w:w="1462" w:type="dxa"/>
            <w:tcBorders>
              <w:top w:val="nil"/>
              <w:left w:val="nil"/>
              <w:bottom w:val="single" w:sz="4" w:space="0" w:color="auto"/>
              <w:right w:val="single" w:sz="4" w:space="0" w:color="auto"/>
            </w:tcBorders>
            <w:shd w:val="clear" w:color="auto" w:fill="auto"/>
            <w:noWrap/>
            <w:vAlign w:val="center"/>
            <w:hideMark/>
          </w:tcPr>
          <w:p w14:paraId="3652080F" w14:textId="60F76085"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25 060 680 </w:t>
            </w:r>
          </w:p>
        </w:tc>
        <w:tc>
          <w:tcPr>
            <w:tcW w:w="958" w:type="dxa"/>
            <w:tcBorders>
              <w:top w:val="nil"/>
              <w:left w:val="nil"/>
              <w:bottom w:val="single" w:sz="4" w:space="0" w:color="auto"/>
              <w:right w:val="single" w:sz="4" w:space="0" w:color="auto"/>
            </w:tcBorders>
            <w:shd w:val="clear" w:color="auto" w:fill="auto"/>
            <w:noWrap/>
            <w:vAlign w:val="center"/>
            <w:hideMark/>
          </w:tcPr>
          <w:p w14:paraId="040C0616"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9,5%</w:t>
            </w:r>
          </w:p>
        </w:tc>
      </w:tr>
      <w:tr w:rsidR="00F2004E" w:rsidRPr="00F2004E" w14:paraId="618F5094" w14:textId="77777777" w:rsidTr="00F2004E">
        <w:trPr>
          <w:trHeight w:val="123"/>
        </w:trPr>
        <w:tc>
          <w:tcPr>
            <w:tcW w:w="4673" w:type="dxa"/>
            <w:tcBorders>
              <w:top w:val="nil"/>
              <w:left w:val="single" w:sz="4" w:space="0" w:color="auto"/>
              <w:bottom w:val="single" w:sz="4" w:space="0" w:color="auto"/>
              <w:right w:val="single" w:sz="4" w:space="0" w:color="auto"/>
            </w:tcBorders>
            <w:shd w:val="clear" w:color="000000" w:fill="E2EFDA"/>
            <w:noWrap/>
            <w:vAlign w:val="center"/>
            <w:hideMark/>
          </w:tcPr>
          <w:p w14:paraId="5A05AAFA" w14:textId="77777777" w:rsidR="00F2004E" w:rsidRPr="00F2004E" w:rsidRDefault="00F2004E" w:rsidP="00F2004E">
            <w:pPr>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Soins de santé</w:t>
            </w:r>
          </w:p>
        </w:tc>
        <w:tc>
          <w:tcPr>
            <w:tcW w:w="1375" w:type="dxa"/>
            <w:tcBorders>
              <w:top w:val="nil"/>
              <w:left w:val="nil"/>
              <w:bottom w:val="single" w:sz="4" w:space="0" w:color="auto"/>
              <w:right w:val="single" w:sz="4" w:space="0" w:color="auto"/>
            </w:tcBorders>
            <w:shd w:val="clear" w:color="000000" w:fill="E2EFDA"/>
            <w:noWrap/>
            <w:vAlign w:val="center"/>
            <w:hideMark/>
          </w:tcPr>
          <w:p w14:paraId="267D1F06" w14:textId="3C041C48" w:rsidR="00F2004E" w:rsidRPr="00F2004E" w:rsidRDefault="00F2004E" w:rsidP="00F2004E">
            <w:pPr>
              <w:jc w:val="right"/>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 xml:space="preserve">269 984 </w:t>
            </w:r>
          </w:p>
        </w:tc>
        <w:tc>
          <w:tcPr>
            <w:tcW w:w="1601" w:type="dxa"/>
            <w:tcBorders>
              <w:top w:val="nil"/>
              <w:left w:val="nil"/>
              <w:bottom w:val="single" w:sz="4" w:space="0" w:color="auto"/>
              <w:right w:val="single" w:sz="4" w:space="0" w:color="auto"/>
            </w:tcBorders>
            <w:shd w:val="clear" w:color="000000" w:fill="E2EFDA"/>
            <w:noWrap/>
            <w:vAlign w:val="center"/>
            <w:hideMark/>
          </w:tcPr>
          <w:p w14:paraId="291BF9BB" w14:textId="04BDC463" w:rsidR="00F2004E" w:rsidRPr="00F2004E" w:rsidRDefault="00F2004E" w:rsidP="00F2004E">
            <w:pPr>
              <w:jc w:val="right"/>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 xml:space="preserve">659 977 </w:t>
            </w:r>
          </w:p>
        </w:tc>
        <w:tc>
          <w:tcPr>
            <w:tcW w:w="1445" w:type="dxa"/>
            <w:tcBorders>
              <w:top w:val="nil"/>
              <w:left w:val="nil"/>
              <w:bottom w:val="single" w:sz="4" w:space="0" w:color="auto"/>
              <w:right w:val="single" w:sz="4" w:space="0" w:color="auto"/>
            </w:tcBorders>
            <w:shd w:val="clear" w:color="000000" w:fill="E2EFDA"/>
            <w:noWrap/>
            <w:vAlign w:val="center"/>
            <w:hideMark/>
          </w:tcPr>
          <w:p w14:paraId="31483887" w14:textId="7F23AF5A" w:rsidR="00F2004E" w:rsidRPr="00F2004E" w:rsidRDefault="00F2004E" w:rsidP="00F2004E">
            <w:pPr>
              <w:jc w:val="right"/>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 xml:space="preserve">1 142 179 </w:t>
            </w:r>
          </w:p>
        </w:tc>
        <w:tc>
          <w:tcPr>
            <w:tcW w:w="1445" w:type="dxa"/>
            <w:tcBorders>
              <w:top w:val="nil"/>
              <w:left w:val="nil"/>
              <w:bottom w:val="single" w:sz="4" w:space="0" w:color="auto"/>
              <w:right w:val="single" w:sz="4" w:space="0" w:color="auto"/>
            </w:tcBorders>
            <w:shd w:val="clear" w:color="000000" w:fill="E2EFDA"/>
            <w:noWrap/>
            <w:vAlign w:val="center"/>
            <w:hideMark/>
          </w:tcPr>
          <w:p w14:paraId="3AAD525C" w14:textId="170B020A" w:rsidR="00F2004E" w:rsidRPr="00F2004E" w:rsidRDefault="00F2004E" w:rsidP="00F2004E">
            <w:pPr>
              <w:jc w:val="right"/>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 xml:space="preserve">1 692 293 </w:t>
            </w:r>
          </w:p>
        </w:tc>
        <w:tc>
          <w:tcPr>
            <w:tcW w:w="1358" w:type="dxa"/>
            <w:tcBorders>
              <w:top w:val="nil"/>
              <w:left w:val="nil"/>
              <w:bottom w:val="single" w:sz="4" w:space="0" w:color="auto"/>
              <w:right w:val="single" w:sz="4" w:space="0" w:color="auto"/>
            </w:tcBorders>
            <w:shd w:val="clear" w:color="000000" w:fill="E2EFDA"/>
            <w:noWrap/>
            <w:vAlign w:val="center"/>
            <w:hideMark/>
          </w:tcPr>
          <w:p w14:paraId="263D598F" w14:textId="1C59F44E" w:rsidR="00F2004E" w:rsidRPr="00F2004E" w:rsidRDefault="00F2004E" w:rsidP="00F2004E">
            <w:pPr>
              <w:jc w:val="right"/>
              <w:rPr>
                <w:rFonts w:asciiTheme="minorHAnsi" w:hAnsiTheme="minorHAnsi" w:cstheme="minorHAnsi"/>
                <w:b/>
                <w:bCs/>
                <w:i/>
                <w:iCs/>
                <w:color w:val="000000"/>
                <w:sz w:val="18"/>
                <w:szCs w:val="18"/>
              </w:rPr>
            </w:pPr>
            <w:r w:rsidRPr="00F2004E">
              <w:rPr>
                <w:rFonts w:asciiTheme="minorHAnsi" w:hAnsiTheme="minorHAnsi" w:cstheme="minorHAnsi"/>
                <w:b/>
                <w:bCs/>
                <w:i/>
                <w:iCs/>
                <w:color w:val="000000"/>
                <w:sz w:val="18"/>
                <w:szCs w:val="18"/>
              </w:rPr>
              <w:t xml:space="preserve">2 557 288 </w:t>
            </w:r>
          </w:p>
        </w:tc>
        <w:tc>
          <w:tcPr>
            <w:tcW w:w="1462" w:type="dxa"/>
            <w:tcBorders>
              <w:top w:val="nil"/>
              <w:left w:val="nil"/>
              <w:bottom w:val="single" w:sz="4" w:space="0" w:color="auto"/>
              <w:right w:val="single" w:sz="4" w:space="0" w:color="auto"/>
            </w:tcBorders>
            <w:shd w:val="clear" w:color="000000" w:fill="E2EFDA"/>
            <w:noWrap/>
            <w:vAlign w:val="center"/>
            <w:hideMark/>
          </w:tcPr>
          <w:p w14:paraId="1AA17707" w14:textId="41FE106E"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6 321 720 </w:t>
            </w:r>
          </w:p>
        </w:tc>
        <w:tc>
          <w:tcPr>
            <w:tcW w:w="958" w:type="dxa"/>
            <w:tcBorders>
              <w:top w:val="nil"/>
              <w:left w:val="nil"/>
              <w:bottom w:val="single" w:sz="4" w:space="0" w:color="auto"/>
              <w:right w:val="single" w:sz="4" w:space="0" w:color="auto"/>
            </w:tcBorders>
            <w:shd w:val="clear" w:color="000000" w:fill="E2EFDA"/>
            <w:noWrap/>
            <w:vAlign w:val="center"/>
            <w:hideMark/>
          </w:tcPr>
          <w:p w14:paraId="3F60043C"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2,4%</w:t>
            </w:r>
          </w:p>
        </w:tc>
      </w:tr>
      <w:tr w:rsidR="00F2004E" w:rsidRPr="00F2004E" w14:paraId="69EAC2A4" w14:textId="77777777" w:rsidTr="00F2004E">
        <w:trPr>
          <w:trHeight w:val="129"/>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213355A"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Sécurité du sang</w:t>
            </w:r>
          </w:p>
        </w:tc>
        <w:tc>
          <w:tcPr>
            <w:tcW w:w="1375" w:type="dxa"/>
            <w:tcBorders>
              <w:top w:val="nil"/>
              <w:left w:val="nil"/>
              <w:bottom w:val="single" w:sz="4" w:space="0" w:color="auto"/>
              <w:right w:val="single" w:sz="4" w:space="0" w:color="auto"/>
            </w:tcBorders>
            <w:shd w:val="clear" w:color="auto" w:fill="auto"/>
            <w:noWrap/>
            <w:vAlign w:val="center"/>
            <w:hideMark/>
          </w:tcPr>
          <w:p w14:paraId="45F293A3" w14:textId="4AC9195D"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146 127 </w:t>
            </w:r>
          </w:p>
        </w:tc>
        <w:tc>
          <w:tcPr>
            <w:tcW w:w="1601" w:type="dxa"/>
            <w:tcBorders>
              <w:top w:val="nil"/>
              <w:left w:val="nil"/>
              <w:bottom w:val="single" w:sz="4" w:space="0" w:color="auto"/>
              <w:right w:val="single" w:sz="4" w:space="0" w:color="auto"/>
            </w:tcBorders>
            <w:shd w:val="clear" w:color="auto" w:fill="auto"/>
            <w:noWrap/>
            <w:vAlign w:val="center"/>
            <w:hideMark/>
          </w:tcPr>
          <w:p w14:paraId="0616BB2C" w14:textId="1FDED09D"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325 299 </w:t>
            </w:r>
          </w:p>
        </w:tc>
        <w:tc>
          <w:tcPr>
            <w:tcW w:w="1445" w:type="dxa"/>
            <w:tcBorders>
              <w:top w:val="nil"/>
              <w:left w:val="nil"/>
              <w:bottom w:val="single" w:sz="4" w:space="0" w:color="auto"/>
              <w:right w:val="single" w:sz="4" w:space="0" w:color="auto"/>
            </w:tcBorders>
            <w:shd w:val="clear" w:color="auto" w:fill="auto"/>
            <w:noWrap/>
            <w:vAlign w:val="center"/>
            <w:hideMark/>
          </w:tcPr>
          <w:p w14:paraId="31172A21" w14:textId="6CB69A04"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452 601 </w:t>
            </w:r>
          </w:p>
        </w:tc>
        <w:tc>
          <w:tcPr>
            <w:tcW w:w="1445" w:type="dxa"/>
            <w:tcBorders>
              <w:top w:val="nil"/>
              <w:left w:val="nil"/>
              <w:bottom w:val="single" w:sz="4" w:space="0" w:color="auto"/>
              <w:right w:val="single" w:sz="4" w:space="0" w:color="auto"/>
            </w:tcBorders>
            <w:shd w:val="clear" w:color="auto" w:fill="auto"/>
            <w:noWrap/>
            <w:vAlign w:val="center"/>
            <w:hideMark/>
          </w:tcPr>
          <w:p w14:paraId="60B7EEBB" w14:textId="343F746E"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604 531 </w:t>
            </w:r>
          </w:p>
        </w:tc>
        <w:tc>
          <w:tcPr>
            <w:tcW w:w="1358" w:type="dxa"/>
            <w:tcBorders>
              <w:top w:val="nil"/>
              <w:left w:val="nil"/>
              <w:bottom w:val="single" w:sz="4" w:space="0" w:color="auto"/>
              <w:right w:val="single" w:sz="4" w:space="0" w:color="auto"/>
            </w:tcBorders>
            <w:shd w:val="clear" w:color="auto" w:fill="auto"/>
            <w:noWrap/>
            <w:vAlign w:val="center"/>
            <w:hideMark/>
          </w:tcPr>
          <w:p w14:paraId="0B4E655C" w14:textId="36EAE18C"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785 032 </w:t>
            </w:r>
          </w:p>
        </w:tc>
        <w:tc>
          <w:tcPr>
            <w:tcW w:w="1462" w:type="dxa"/>
            <w:tcBorders>
              <w:top w:val="nil"/>
              <w:left w:val="nil"/>
              <w:bottom w:val="single" w:sz="4" w:space="0" w:color="auto"/>
              <w:right w:val="single" w:sz="4" w:space="0" w:color="auto"/>
            </w:tcBorders>
            <w:shd w:val="clear" w:color="auto" w:fill="auto"/>
            <w:noWrap/>
            <w:vAlign w:val="center"/>
            <w:hideMark/>
          </w:tcPr>
          <w:p w14:paraId="599343B3" w14:textId="5EED7A21"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2 313 591 </w:t>
            </w:r>
          </w:p>
        </w:tc>
        <w:tc>
          <w:tcPr>
            <w:tcW w:w="958" w:type="dxa"/>
            <w:tcBorders>
              <w:top w:val="nil"/>
              <w:left w:val="nil"/>
              <w:bottom w:val="single" w:sz="4" w:space="0" w:color="auto"/>
              <w:right w:val="single" w:sz="4" w:space="0" w:color="auto"/>
            </w:tcBorders>
            <w:shd w:val="clear" w:color="auto" w:fill="auto"/>
            <w:noWrap/>
            <w:vAlign w:val="center"/>
            <w:hideMark/>
          </w:tcPr>
          <w:p w14:paraId="01991C99"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0,9%</w:t>
            </w:r>
          </w:p>
        </w:tc>
      </w:tr>
      <w:tr w:rsidR="00F2004E" w:rsidRPr="00F2004E" w14:paraId="23D1C096" w14:textId="77777777" w:rsidTr="00F2004E">
        <w:trPr>
          <w:trHeight w:val="133"/>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E39FC19"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Prophylaxie post exposition</w:t>
            </w:r>
          </w:p>
        </w:tc>
        <w:tc>
          <w:tcPr>
            <w:tcW w:w="1375" w:type="dxa"/>
            <w:tcBorders>
              <w:top w:val="nil"/>
              <w:left w:val="nil"/>
              <w:bottom w:val="single" w:sz="4" w:space="0" w:color="auto"/>
              <w:right w:val="single" w:sz="4" w:space="0" w:color="auto"/>
            </w:tcBorders>
            <w:shd w:val="clear" w:color="auto" w:fill="auto"/>
            <w:noWrap/>
            <w:vAlign w:val="center"/>
            <w:hideMark/>
          </w:tcPr>
          <w:p w14:paraId="41892D50" w14:textId="121E1EF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123 857 </w:t>
            </w:r>
          </w:p>
        </w:tc>
        <w:tc>
          <w:tcPr>
            <w:tcW w:w="1601" w:type="dxa"/>
            <w:tcBorders>
              <w:top w:val="nil"/>
              <w:left w:val="nil"/>
              <w:bottom w:val="single" w:sz="4" w:space="0" w:color="auto"/>
              <w:right w:val="single" w:sz="4" w:space="0" w:color="auto"/>
            </w:tcBorders>
            <w:shd w:val="clear" w:color="auto" w:fill="auto"/>
            <w:noWrap/>
            <w:vAlign w:val="center"/>
            <w:hideMark/>
          </w:tcPr>
          <w:p w14:paraId="469C34FF" w14:textId="41F5E9FB"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334 678 </w:t>
            </w:r>
          </w:p>
        </w:tc>
        <w:tc>
          <w:tcPr>
            <w:tcW w:w="1445" w:type="dxa"/>
            <w:tcBorders>
              <w:top w:val="nil"/>
              <w:left w:val="nil"/>
              <w:bottom w:val="single" w:sz="4" w:space="0" w:color="auto"/>
              <w:right w:val="single" w:sz="4" w:space="0" w:color="auto"/>
            </w:tcBorders>
            <w:shd w:val="clear" w:color="auto" w:fill="auto"/>
            <w:noWrap/>
            <w:vAlign w:val="center"/>
            <w:hideMark/>
          </w:tcPr>
          <w:p w14:paraId="71A9F9CB" w14:textId="68DC766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689 578 </w:t>
            </w:r>
          </w:p>
        </w:tc>
        <w:tc>
          <w:tcPr>
            <w:tcW w:w="1445" w:type="dxa"/>
            <w:tcBorders>
              <w:top w:val="nil"/>
              <w:left w:val="nil"/>
              <w:bottom w:val="single" w:sz="4" w:space="0" w:color="auto"/>
              <w:right w:val="single" w:sz="4" w:space="0" w:color="auto"/>
            </w:tcBorders>
            <w:shd w:val="clear" w:color="auto" w:fill="auto"/>
            <w:noWrap/>
            <w:vAlign w:val="center"/>
            <w:hideMark/>
          </w:tcPr>
          <w:p w14:paraId="20E0D4D0" w14:textId="016265E0"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1 087 761 </w:t>
            </w:r>
          </w:p>
        </w:tc>
        <w:tc>
          <w:tcPr>
            <w:tcW w:w="1358" w:type="dxa"/>
            <w:tcBorders>
              <w:top w:val="nil"/>
              <w:left w:val="nil"/>
              <w:bottom w:val="single" w:sz="4" w:space="0" w:color="auto"/>
              <w:right w:val="single" w:sz="4" w:space="0" w:color="auto"/>
            </w:tcBorders>
            <w:shd w:val="clear" w:color="auto" w:fill="auto"/>
            <w:noWrap/>
            <w:vAlign w:val="center"/>
            <w:hideMark/>
          </w:tcPr>
          <w:p w14:paraId="6C50F0F9" w14:textId="6BDB80EA"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1 772 256 </w:t>
            </w:r>
          </w:p>
        </w:tc>
        <w:tc>
          <w:tcPr>
            <w:tcW w:w="1462" w:type="dxa"/>
            <w:tcBorders>
              <w:top w:val="nil"/>
              <w:left w:val="nil"/>
              <w:bottom w:val="single" w:sz="4" w:space="0" w:color="auto"/>
              <w:right w:val="single" w:sz="4" w:space="0" w:color="auto"/>
            </w:tcBorders>
            <w:shd w:val="clear" w:color="auto" w:fill="auto"/>
            <w:noWrap/>
            <w:vAlign w:val="center"/>
            <w:hideMark/>
          </w:tcPr>
          <w:p w14:paraId="7839703F" w14:textId="57733E32"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4 008 129 </w:t>
            </w:r>
          </w:p>
        </w:tc>
        <w:tc>
          <w:tcPr>
            <w:tcW w:w="958" w:type="dxa"/>
            <w:tcBorders>
              <w:top w:val="nil"/>
              <w:left w:val="nil"/>
              <w:bottom w:val="single" w:sz="4" w:space="0" w:color="auto"/>
              <w:right w:val="single" w:sz="4" w:space="0" w:color="auto"/>
            </w:tcBorders>
            <w:shd w:val="clear" w:color="auto" w:fill="auto"/>
            <w:noWrap/>
            <w:vAlign w:val="center"/>
            <w:hideMark/>
          </w:tcPr>
          <w:p w14:paraId="4E942163"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1,5%</w:t>
            </w:r>
          </w:p>
        </w:tc>
      </w:tr>
      <w:tr w:rsidR="00F2004E" w:rsidRPr="00F2004E" w14:paraId="78654CA8" w14:textId="77777777" w:rsidTr="00F2004E">
        <w:trPr>
          <w:trHeight w:val="79"/>
        </w:trPr>
        <w:tc>
          <w:tcPr>
            <w:tcW w:w="4673" w:type="dxa"/>
            <w:tcBorders>
              <w:top w:val="nil"/>
              <w:left w:val="single" w:sz="4" w:space="0" w:color="auto"/>
              <w:bottom w:val="single" w:sz="4" w:space="0" w:color="auto"/>
              <w:right w:val="single" w:sz="4" w:space="0" w:color="auto"/>
            </w:tcBorders>
            <w:shd w:val="clear" w:color="000000" w:fill="F8CBAD"/>
            <w:noWrap/>
            <w:vAlign w:val="center"/>
            <w:hideMark/>
          </w:tcPr>
          <w:p w14:paraId="40D60A5E" w14:textId="77777777" w:rsidR="00F2004E" w:rsidRPr="00F2004E" w:rsidRDefault="00F2004E" w:rsidP="00F2004E">
            <w:pPr>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Services de soin et de traitement</w:t>
            </w:r>
          </w:p>
        </w:tc>
        <w:tc>
          <w:tcPr>
            <w:tcW w:w="1375" w:type="dxa"/>
            <w:tcBorders>
              <w:top w:val="nil"/>
              <w:left w:val="nil"/>
              <w:bottom w:val="single" w:sz="4" w:space="0" w:color="auto"/>
              <w:right w:val="single" w:sz="4" w:space="0" w:color="auto"/>
            </w:tcBorders>
            <w:shd w:val="clear" w:color="000000" w:fill="F8CBAD"/>
            <w:noWrap/>
            <w:vAlign w:val="center"/>
            <w:hideMark/>
          </w:tcPr>
          <w:p w14:paraId="6E5883C0" w14:textId="2895FECF"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18 540 157 </w:t>
            </w:r>
          </w:p>
        </w:tc>
        <w:tc>
          <w:tcPr>
            <w:tcW w:w="1601" w:type="dxa"/>
            <w:tcBorders>
              <w:top w:val="nil"/>
              <w:left w:val="nil"/>
              <w:bottom w:val="single" w:sz="4" w:space="0" w:color="auto"/>
              <w:right w:val="single" w:sz="4" w:space="0" w:color="auto"/>
            </w:tcBorders>
            <w:shd w:val="clear" w:color="000000" w:fill="F8CBAD"/>
            <w:noWrap/>
            <w:vAlign w:val="center"/>
            <w:hideMark/>
          </w:tcPr>
          <w:p w14:paraId="54C34127" w14:textId="1D5D1D53"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22 183 237 </w:t>
            </w:r>
          </w:p>
        </w:tc>
        <w:tc>
          <w:tcPr>
            <w:tcW w:w="1445" w:type="dxa"/>
            <w:tcBorders>
              <w:top w:val="nil"/>
              <w:left w:val="nil"/>
              <w:bottom w:val="single" w:sz="4" w:space="0" w:color="auto"/>
              <w:right w:val="single" w:sz="4" w:space="0" w:color="auto"/>
            </w:tcBorders>
            <w:shd w:val="clear" w:color="000000" w:fill="F8CBAD"/>
            <w:noWrap/>
            <w:vAlign w:val="center"/>
            <w:hideMark/>
          </w:tcPr>
          <w:p w14:paraId="61A75E4A" w14:textId="0A3E4422"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25 807 503 </w:t>
            </w:r>
          </w:p>
        </w:tc>
        <w:tc>
          <w:tcPr>
            <w:tcW w:w="1445" w:type="dxa"/>
            <w:tcBorders>
              <w:top w:val="nil"/>
              <w:left w:val="nil"/>
              <w:bottom w:val="single" w:sz="4" w:space="0" w:color="auto"/>
              <w:right w:val="single" w:sz="4" w:space="0" w:color="auto"/>
            </w:tcBorders>
            <w:shd w:val="clear" w:color="000000" w:fill="F8CBAD"/>
            <w:noWrap/>
            <w:vAlign w:val="center"/>
            <w:hideMark/>
          </w:tcPr>
          <w:p w14:paraId="6CD93703" w14:textId="113DC86A"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28 145 943 </w:t>
            </w:r>
          </w:p>
        </w:tc>
        <w:tc>
          <w:tcPr>
            <w:tcW w:w="1358" w:type="dxa"/>
            <w:tcBorders>
              <w:top w:val="nil"/>
              <w:left w:val="nil"/>
              <w:bottom w:val="single" w:sz="4" w:space="0" w:color="auto"/>
              <w:right w:val="single" w:sz="4" w:space="0" w:color="auto"/>
            </w:tcBorders>
            <w:shd w:val="clear" w:color="000000" w:fill="F8CBAD"/>
            <w:noWrap/>
            <w:vAlign w:val="center"/>
            <w:hideMark/>
          </w:tcPr>
          <w:p w14:paraId="64207123" w14:textId="783B2D1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31 106 302 </w:t>
            </w:r>
          </w:p>
        </w:tc>
        <w:tc>
          <w:tcPr>
            <w:tcW w:w="1462" w:type="dxa"/>
            <w:tcBorders>
              <w:top w:val="nil"/>
              <w:left w:val="nil"/>
              <w:bottom w:val="single" w:sz="4" w:space="0" w:color="auto"/>
              <w:right w:val="single" w:sz="4" w:space="0" w:color="auto"/>
            </w:tcBorders>
            <w:shd w:val="clear" w:color="000000" w:fill="F8CBAD"/>
            <w:noWrap/>
            <w:vAlign w:val="center"/>
            <w:hideMark/>
          </w:tcPr>
          <w:p w14:paraId="4BA14014" w14:textId="7B25E7D1"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125 783 141 </w:t>
            </w:r>
          </w:p>
        </w:tc>
        <w:tc>
          <w:tcPr>
            <w:tcW w:w="958" w:type="dxa"/>
            <w:tcBorders>
              <w:top w:val="nil"/>
              <w:left w:val="nil"/>
              <w:bottom w:val="single" w:sz="4" w:space="0" w:color="auto"/>
              <w:right w:val="single" w:sz="4" w:space="0" w:color="auto"/>
            </w:tcBorders>
            <w:shd w:val="clear" w:color="000000" w:fill="F8CBAD"/>
            <w:noWrap/>
            <w:vAlign w:val="center"/>
            <w:hideMark/>
          </w:tcPr>
          <w:p w14:paraId="04241C7B"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47,9%</w:t>
            </w:r>
          </w:p>
        </w:tc>
      </w:tr>
      <w:tr w:rsidR="00F2004E" w:rsidRPr="00F2004E" w14:paraId="0917EE47" w14:textId="77777777" w:rsidTr="00F2004E">
        <w:trPr>
          <w:trHeight w:val="79"/>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13ACF27"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 Thérapie ARV</w:t>
            </w:r>
          </w:p>
        </w:tc>
        <w:tc>
          <w:tcPr>
            <w:tcW w:w="1375" w:type="dxa"/>
            <w:tcBorders>
              <w:top w:val="nil"/>
              <w:left w:val="nil"/>
              <w:bottom w:val="single" w:sz="4" w:space="0" w:color="auto"/>
              <w:right w:val="single" w:sz="4" w:space="0" w:color="auto"/>
            </w:tcBorders>
            <w:shd w:val="clear" w:color="auto" w:fill="auto"/>
            <w:noWrap/>
            <w:vAlign w:val="center"/>
            <w:hideMark/>
          </w:tcPr>
          <w:p w14:paraId="2829EA67" w14:textId="183AAFA1"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14 502 935 </w:t>
            </w:r>
          </w:p>
        </w:tc>
        <w:tc>
          <w:tcPr>
            <w:tcW w:w="1601" w:type="dxa"/>
            <w:tcBorders>
              <w:top w:val="nil"/>
              <w:left w:val="nil"/>
              <w:bottom w:val="single" w:sz="4" w:space="0" w:color="auto"/>
              <w:right w:val="single" w:sz="4" w:space="0" w:color="auto"/>
            </w:tcBorders>
            <w:shd w:val="clear" w:color="auto" w:fill="auto"/>
            <w:noWrap/>
            <w:vAlign w:val="center"/>
            <w:hideMark/>
          </w:tcPr>
          <w:p w14:paraId="6B124616" w14:textId="1E7068FD"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17 333 952 </w:t>
            </w:r>
          </w:p>
        </w:tc>
        <w:tc>
          <w:tcPr>
            <w:tcW w:w="1445" w:type="dxa"/>
            <w:tcBorders>
              <w:top w:val="nil"/>
              <w:left w:val="nil"/>
              <w:bottom w:val="single" w:sz="4" w:space="0" w:color="auto"/>
              <w:right w:val="single" w:sz="4" w:space="0" w:color="auto"/>
            </w:tcBorders>
            <w:shd w:val="clear" w:color="auto" w:fill="auto"/>
            <w:noWrap/>
            <w:vAlign w:val="center"/>
            <w:hideMark/>
          </w:tcPr>
          <w:p w14:paraId="37179D93" w14:textId="0971ABE7"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20 246 669 </w:t>
            </w:r>
          </w:p>
        </w:tc>
        <w:tc>
          <w:tcPr>
            <w:tcW w:w="1445" w:type="dxa"/>
            <w:tcBorders>
              <w:top w:val="nil"/>
              <w:left w:val="nil"/>
              <w:bottom w:val="single" w:sz="4" w:space="0" w:color="auto"/>
              <w:right w:val="single" w:sz="4" w:space="0" w:color="auto"/>
            </w:tcBorders>
            <w:shd w:val="clear" w:color="auto" w:fill="auto"/>
            <w:noWrap/>
            <w:vAlign w:val="center"/>
            <w:hideMark/>
          </w:tcPr>
          <w:p w14:paraId="2004D351" w14:textId="11C8739E"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21 385 837 </w:t>
            </w:r>
          </w:p>
        </w:tc>
        <w:tc>
          <w:tcPr>
            <w:tcW w:w="1358" w:type="dxa"/>
            <w:tcBorders>
              <w:top w:val="nil"/>
              <w:left w:val="nil"/>
              <w:bottom w:val="single" w:sz="4" w:space="0" w:color="auto"/>
              <w:right w:val="single" w:sz="4" w:space="0" w:color="auto"/>
            </w:tcBorders>
            <w:shd w:val="clear" w:color="auto" w:fill="auto"/>
            <w:noWrap/>
            <w:vAlign w:val="center"/>
            <w:hideMark/>
          </w:tcPr>
          <w:p w14:paraId="742B85C4" w14:textId="52082EC4"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22 714 314 </w:t>
            </w:r>
          </w:p>
        </w:tc>
        <w:tc>
          <w:tcPr>
            <w:tcW w:w="1462" w:type="dxa"/>
            <w:tcBorders>
              <w:top w:val="nil"/>
              <w:left w:val="nil"/>
              <w:bottom w:val="single" w:sz="4" w:space="0" w:color="auto"/>
              <w:right w:val="single" w:sz="4" w:space="0" w:color="auto"/>
            </w:tcBorders>
            <w:shd w:val="clear" w:color="auto" w:fill="auto"/>
            <w:noWrap/>
            <w:vAlign w:val="center"/>
            <w:hideMark/>
          </w:tcPr>
          <w:p w14:paraId="44B7AB03" w14:textId="1EF7022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96 183 709 </w:t>
            </w:r>
          </w:p>
        </w:tc>
        <w:tc>
          <w:tcPr>
            <w:tcW w:w="958" w:type="dxa"/>
            <w:tcBorders>
              <w:top w:val="nil"/>
              <w:left w:val="nil"/>
              <w:bottom w:val="single" w:sz="4" w:space="0" w:color="auto"/>
              <w:right w:val="single" w:sz="4" w:space="0" w:color="auto"/>
            </w:tcBorders>
            <w:shd w:val="clear" w:color="auto" w:fill="auto"/>
            <w:noWrap/>
            <w:vAlign w:val="center"/>
            <w:hideMark/>
          </w:tcPr>
          <w:p w14:paraId="552860D7"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36,6%</w:t>
            </w:r>
          </w:p>
        </w:tc>
      </w:tr>
      <w:tr w:rsidR="00F2004E" w:rsidRPr="00F2004E" w14:paraId="364DE46B" w14:textId="77777777" w:rsidTr="00F2004E">
        <w:trPr>
          <w:trHeight w:val="79"/>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61CC8EB"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 Soin et prophylaxie en l'absence de thérapie ARV</w:t>
            </w:r>
          </w:p>
        </w:tc>
        <w:tc>
          <w:tcPr>
            <w:tcW w:w="1375" w:type="dxa"/>
            <w:tcBorders>
              <w:top w:val="nil"/>
              <w:left w:val="nil"/>
              <w:bottom w:val="single" w:sz="4" w:space="0" w:color="auto"/>
              <w:right w:val="single" w:sz="4" w:space="0" w:color="auto"/>
            </w:tcBorders>
            <w:shd w:val="clear" w:color="auto" w:fill="auto"/>
            <w:noWrap/>
            <w:vAlign w:val="center"/>
            <w:hideMark/>
          </w:tcPr>
          <w:p w14:paraId="4954E93D" w14:textId="7ECFEADA"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2 741 614 </w:t>
            </w:r>
          </w:p>
        </w:tc>
        <w:tc>
          <w:tcPr>
            <w:tcW w:w="1601" w:type="dxa"/>
            <w:tcBorders>
              <w:top w:val="nil"/>
              <w:left w:val="nil"/>
              <w:bottom w:val="single" w:sz="4" w:space="0" w:color="auto"/>
              <w:right w:val="single" w:sz="4" w:space="0" w:color="auto"/>
            </w:tcBorders>
            <w:shd w:val="clear" w:color="auto" w:fill="auto"/>
            <w:noWrap/>
            <w:vAlign w:val="center"/>
            <w:hideMark/>
          </w:tcPr>
          <w:p w14:paraId="5984AB64" w14:textId="59787FE9"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2 490 608 </w:t>
            </w:r>
          </w:p>
        </w:tc>
        <w:tc>
          <w:tcPr>
            <w:tcW w:w="1445" w:type="dxa"/>
            <w:tcBorders>
              <w:top w:val="nil"/>
              <w:left w:val="nil"/>
              <w:bottom w:val="single" w:sz="4" w:space="0" w:color="auto"/>
              <w:right w:val="single" w:sz="4" w:space="0" w:color="auto"/>
            </w:tcBorders>
            <w:shd w:val="clear" w:color="auto" w:fill="auto"/>
            <w:noWrap/>
            <w:vAlign w:val="center"/>
            <w:hideMark/>
          </w:tcPr>
          <w:p w14:paraId="51AFFA30" w14:textId="25136DB4"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1 692 921 </w:t>
            </w:r>
          </w:p>
        </w:tc>
        <w:tc>
          <w:tcPr>
            <w:tcW w:w="1445" w:type="dxa"/>
            <w:tcBorders>
              <w:top w:val="nil"/>
              <w:left w:val="nil"/>
              <w:bottom w:val="single" w:sz="4" w:space="0" w:color="auto"/>
              <w:right w:val="single" w:sz="4" w:space="0" w:color="auto"/>
            </w:tcBorders>
            <w:shd w:val="clear" w:color="auto" w:fill="auto"/>
            <w:noWrap/>
            <w:vAlign w:val="center"/>
            <w:hideMark/>
          </w:tcPr>
          <w:p w14:paraId="671DDBA0" w14:textId="41D9FB55"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1 297 878 </w:t>
            </w:r>
          </w:p>
        </w:tc>
        <w:tc>
          <w:tcPr>
            <w:tcW w:w="1358" w:type="dxa"/>
            <w:tcBorders>
              <w:top w:val="nil"/>
              <w:left w:val="nil"/>
              <w:bottom w:val="single" w:sz="4" w:space="0" w:color="auto"/>
              <w:right w:val="single" w:sz="4" w:space="0" w:color="auto"/>
            </w:tcBorders>
            <w:shd w:val="clear" w:color="auto" w:fill="auto"/>
            <w:noWrap/>
            <w:vAlign w:val="center"/>
            <w:hideMark/>
          </w:tcPr>
          <w:p w14:paraId="7F7F814E" w14:textId="2ED56286"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926 213 </w:t>
            </w:r>
          </w:p>
        </w:tc>
        <w:tc>
          <w:tcPr>
            <w:tcW w:w="1462" w:type="dxa"/>
            <w:tcBorders>
              <w:top w:val="nil"/>
              <w:left w:val="nil"/>
              <w:bottom w:val="single" w:sz="4" w:space="0" w:color="auto"/>
              <w:right w:val="single" w:sz="4" w:space="0" w:color="auto"/>
            </w:tcBorders>
            <w:shd w:val="clear" w:color="auto" w:fill="auto"/>
            <w:noWrap/>
            <w:vAlign w:val="center"/>
            <w:hideMark/>
          </w:tcPr>
          <w:p w14:paraId="59909B06" w14:textId="051A49B2"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9 149 234 </w:t>
            </w:r>
          </w:p>
        </w:tc>
        <w:tc>
          <w:tcPr>
            <w:tcW w:w="958" w:type="dxa"/>
            <w:tcBorders>
              <w:top w:val="nil"/>
              <w:left w:val="nil"/>
              <w:bottom w:val="single" w:sz="4" w:space="0" w:color="auto"/>
              <w:right w:val="single" w:sz="4" w:space="0" w:color="auto"/>
            </w:tcBorders>
            <w:shd w:val="clear" w:color="auto" w:fill="auto"/>
            <w:noWrap/>
            <w:vAlign w:val="center"/>
            <w:hideMark/>
          </w:tcPr>
          <w:p w14:paraId="1B98219A"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3,5%</w:t>
            </w:r>
          </w:p>
        </w:tc>
      </w:tr>
      <w:tr w:rsidR="00F2004E" w:rsidRPr="00F2004E" w14:paraId="32A8F914" w14:textId="77777777" w:rsidTr="00F2004E">
        <w:trPr>
          <w:trHeight w:val="79"/>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5409DAF"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Examen diagnostique</w:t>
            </w:r>
          </w:p>
        </w:tc>
        <w:tc>
          <w:tcPr>
            <w:tcW w:w="1375" w:type="dxa"/>
            <w:tcBorders>
              <w:top w:val="nil"/>
              <w:left w:val="nil"/>
              <w:bottom w:val="single" w:sz="4" w:space="0" w:color="auto"/>
              <w:right w:val="single" w:sz="4" w:space="0" w:color="auto"/>
            </w:tcBorders>
            <w:shd w:val="clear" w:color="auto" w:fill="auto"/>
            <w:noWrap/>
            <w:vAlign w:val="center"/>
            <w:hideMark/>
          </w:tcPr>
          <w:p w14:paraId="7AEE20FB" w14:textId="756448C9"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1 295 608 </w:t>
            </w:r>
          </w:p>
        </w:tc>
        <w:tc>
          <w:tcPr>
            <w:tcW w:w="1601" w:type="dxa"/>
            <w:tcBorders>
              <w:top w:val="nil"/>
              <w:left w:val="nil"/>
              <w:bottom w:val="single" w:sz="4" w:space="0" w:color="auto"/>
              <w:right w:val="single" w:sz="4" w:space="0" w:color="auto"/>
            </w:tcBorders>
            <w:shd w:val="clear" w:color="auto" w:fill="auto"/>
            <w:noWrap/>
            <w:vAlign w:val="center"/>
            <w:hideMark/>
          </w:tcPr>
          <w:p w14:paraId="1C74384B" w14:textId="23494247"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2 358 676 </w:t>
            </w:r>
          </w:p>
        </w:tc>
        <w:tc>
          <w:tcPr>
            <w:tcW w:w="1445" w:type="dxa"/>
            <w:tcBorders>
              <w:top w:val="nil"/>
              <w:left w:val="nil"/>
              <w:bottom w:val="single" w:sz="4" w:space="0" w:color="auto"/>
              <w:right w:val="single" w:sz="4" w:space="0" w:color="auto"/>
            </w:tcBorders>
            <w:shd w:val="clear" w:color="auto" w:fill="auto"/>
            <w:noWrap/>
            <w:vAlign w:val="center"/>
            <w:hideMark/>
          </w:tcPr>
          <w:p w14:paraId="31A05982" w14:textId="4C806FFD"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3 867 912 </w:t>
            </w:r>
          </w:p>
        </w:tc>
        <w:tc>
          <w:tcPr>
            <w:tcW w:w="1445" w:type="dxa"/>
            <w:tcBorders>
              <w:top w:val="nil"/>
              <w:left w:val="nil"/>
              <w:bottom w:val="single" w:sz="4" w:space="0" w:color="auto"/>
              <w:right w:val="single" w:sz="4" w:space="0" w:color="auto"/>
            </w:tcBorders>
            <w:shd w:val="clear" w:color="auto" w:fill="auto"/>
            <w:noWrap/>
            <w:vAlign w:val="center"/>
            <w:hideMark/>
          </w:tcPr>
          <w:p w14:paraId="6F9695E8" w14:textId="628BB7B4"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5 462 228 </w:t>
            </w:r>
          </w:p>
        </w:tc>
        <w:tc>
          <w:tcPr>
            <w:tcW w:w="1358" w:type="dxa"/>
            <w:tcBorders>
              <w:top w:val="nil"/>
              <w:left w:val="nil"/>
              <w:bottom w:val="single" w:sz="4" w:space="0" w:color="auto"/>
              <w:right w:val="single" w:sz="4" w:space="0" w:color="auto"/>
            </w:tcBorders>
            <w:shd w:val="clear" w:color="auto" w:fill="auto"/>
            <w:noWrap/>
            <w:vAlign w:val="center"/>
            <w:hideMark/>
          </w:tcPr>
          <w:p w14:paraId="7F01E2A2" w14:textId="4B316AC6"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7 465 775 </w:t>
            </w:r>
          </w:p>
        </w:tc>
        <w:tc>
          <w:tcPr>
            <w:tcW w:w="1462" w:type="dxa"/>
            <w:tcBorders>
              <w:top w:val="nil"/>
              <w:left w:val="nil"/>
              <w:bottom w:val="single" w:sz="4" w:space="0" w:color="auto"/>
              <w:right w:val="single" w:sz="4" w:space="0" w:color="auto"/>
            </w:tcBorders>
            <w:shd w:val="clear" w:color="auto" w:fill="auto"/>
            <w:noWrap/>
            <w:vAlign w:val="center"/>
            <w:hideMark/>
          </w:tcPr>
          <w:p w14:paraId="06605CB6" w14:textId="5C89D5A1"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20 450 199 </w:t>
            </w:r>
          </w:p>
        </w:tc>
        <w:tc>
          <w:tcPr>
            <w:tcW w:w="958" w:type="dxa"/>
            <w:tcBorders>
              <w:top w:val="nil"/>
              <w:left w:val="nil"/>
              <w:bottom w:val="single" w:sz="4" w:space="0" w:color="auto"/>
              <w:right w:val="single" w:sz="4" w:space="0" w:color="auto"/>
            </w:tcBorders>
            <w:shd w:val="clear" w:color="auto" w:fill="auto"/>
            <w:noWrap/>
            <w:vAlign w:val="center"/>
            <w:hideMark/>
          </w:tcPr>
          <w:p w14:paraId="39D16F56"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7,8%</w:t>
            </w:r>
          </w:p>
        </w:tc>
      </w:tr>
      <w:tr w:rsidR="00F2004E" w:rsidRPr="00F2004E" w14:paraId="394B50DA" w14:textId="77777777" w:rsidTr="00F2004E">
        <w:trPr>
          <w:trHeight w:val="79"/>
        </w:trPr>
        <w:tc>
          <w:tcPr>
            <w:tcW w:w="4673" w:type="dxa"/>
            <w:tcBorders>
              <w:top w:val="nil"/>
              <w:left w:val="single" w:sz="4" w:space="0" w:color="auto"/>
              <w:bottom w:val="single" w:sz="4" w:space="0" w:color="auto"/>
              <w:right w:val="single" w:sz="4" w:space="0" w:color="auto"/>
            </w:tcBorders>
            <w:shd w:val="clear" w:color="000000" w:fill="F8CBAD"/>
            <w:noWrap/>
            <w:vAlign w:val="center"/>
            <w:hideMark/>
          </w:tcPr>
          <w:p w14:paraId="17684F02" w14:textId="77777777" w:rsidR="00F2004E" w:rsidRPr="00F2004E" w:rsidRDefault="00F2004E" w:rsidP="00F2004E">
            <w:pPr>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Politique, admin., recherche, suivi et évaluation</w:t>
            </w:r>
          </w:p>
        </w:tc>
        <w:tc>
          <w:tcPr>
            <w:tcW w:w="1375" w:type="dxa"/>
            <w:tcBorders>
              <w:top w:val="nil"/>
              <w:left w:val="nil"/>
              <w:bottom w:val="single" w:sz="4" w:space="0" w:color="auto"/>
              <w:right w:val="single" w:sz="4" w:space="0" w:color="auto"/>
            </w:tcBorders>
            <w:shd w:val="clear" w:color="000000" w:fill="F8CBAD"/>
            <w:noWrap/>
            <w:vAlign w:val="center"/>
            <w:hideMark/>
          </w:tcPr>
          <w:p w14:paraId="17ABB1EE" w14:textId="16853831"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7 665 232 </w:t>
            </w:r>
          </w:p>
        </w:tc>
        <w:tc>
          <w:tcPr>
            <w:tcW w:w="1601" w:type="dxa"/>
            <w:tcBorders>
              <w:top w:val="nil"/>
              <w:left w:val="nil"/>
              <w:bottom w:val="single" w:sz="4" w:space="0" w:color="auto"/>
              <w:right w:val="single" w:sz="4" w:space="0" w:color="auto"/>
            </w:tcBorders>
            <w:shd w:val="clear" w:color="000000" w:fill="F8CBAD"/>
            <w:noWrap/>
            <w:vAlign w:val="center"/>
            <w:hideMark/>
          </w:tcPr>
          <w:p w14:paraId="30D5C5C3" w14:textId="14442D29"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7 853 201 </w:t>
            </w:r>
          </w:p>
        </w:tc>
        <w:tc>
          <w:tcPr>
            <w:tcW w:w="1445" w:type="dxa"/>
            <w:tcBorders>
              <w:top w:val="nil"/>
              <w:left w:val="nil"/>
              <w:bottom w:val="single" w:sz="4" w:space="0" w:color="auto"/>
              <w:right w:val="single" w:sz="4" w:space="0" w:color="auto"/>
            </w:tcBorders>
            <w:shd w:val="clear" w:color="000000" w:fill="F8CBAD"/>
            <w:noWrap/>
            <w:vAlign w:val="center"/>
            <w:hideMark/>
          </w:tcPr>
          <w:p w14:paraId="14109C90" w14:textId="3AD4E439"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9 224 348 </w:t>
            </w:r>
          </w:p>
        </w:tc>
        <w:tc>
          <w:tcPr>
            <w:tcW w:w="1445" w:type="dxa"/>
            <w:tcBorders>
              <w:top w:val="nil"/>
              <w:left w:val="nil"/>
              <w:bottom w:val="single" w:sz="4" w:space="0" w:color="auto"/>
              <w:right w:val="single" w:sz="4" w:space="0" w:color="auto"/>
            </w:tcBorders>
            <w:shd w:val="clear" w:color="000000" w:fill="F8CBAD"/>
            <w:noWrap/>
            <w:vAlign w:val="center"/>
            <w:hideMark/>
          </w:tcPr>
          <w:p w14:paraId="5C53082B" w14:textId="765520B6"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10 609 196 </w:t>
            </w:r>
          </w:p>
        </w:tc>
        <w:tc>
          <w:tcPr>
            <w:tcW w:w="1358" w:type="dxa"/>
            <w:tcBorders>
              <w:top w:val="nil"/>
              <w:left w:val="nil"/>
              <w:bottom w:val="single" w:sz="4" w:space="0" w:color="auto"/>
              <w:right w:val="single" w:sz="4" w:space="0" w:color="auto"/>
            </w:tcBorders>
            <w:shd w:val="clear" w:color="000000" w:fill="F8CBAD"/>
            <w:noWrap/>
            <w:vAlign w:val="center"/>
            <w:hideMark/>
          </w:tcPr>
          <w:p w14:paraId="786D3AE0" w14:textId="0FC96F6B"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11 705 730 </w:t>
            </w:r>
          </w:p>
        </w:tc>
        <w:tc>
          <w:tcPr>
            <w:tcW w:w="1462" w:type="dxa"/>
            <w:tcBorders>
              <w:top w:val="nil"/>
              <w:left w:val="nil"/>
              <w:bottom w:val="single" w:sz="4" w:space="0" w:color="auto"/>
              <w:right w:val="single" w:sz="4" w:space="0" w:color="auto"/>
            </w:tcBorders>
            <w:shd w:val="clear" w:color="000000" w:fill="F8CBAD"/>
            <w:noWrap/>
            <w:vAlign w:val="center"/>
            <w:hideMark/>
          </w:tcPr>
          <w:p w14:paraId="11789ABD" w14:textId="3DC41784"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47 057 706 </w:t>
            </w:r>
          </w:p>
        </w:tc>
        <w:tc>
          <w:tcPr>
            <w:tcW w:w="958" w:type="dxa"/>
            <w:tcBorders>
              <w:top w:val="nil"/>
              <w:left w:val="nil"/>
              <w:bottom w:val="single" w:sz="4" w:space="0" w:color="auto"/>
              <w:right w:val="single" w:sz="4" w:space="0" w:color="auto"/>
            </w:tcBorders>
            <w:shd w:val="clear" w:color="000000" w:fill="F8CBAD"/>
            <w:noWrap/>
            <w:vAlign w:val="center"/>
            <w:hideMark/>
          </w:tcPr>
          <w:p w14:paraId="5AD505C6"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17,9%</w:t>
            </w:r>
          </w:p>
        </w:tc>
      </w:tr>
      <w:tr w:rsidR="00F2004E" w:rsidRPr="00F2004E" w14:paraId="463B93F5" w14:textId="77777777" w:rsidTr="00F2004E">
        <w:trPr>
          <w:trHeight w:val="89"/>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9697F75"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Facteurs déterminants</w:t>
            </w:r>
          </w:p>
        </w:tc>
        <w:tc>
          <w:tcPr>
            <w:tcW w:w="1375" w:type="dxa"/>
            <w:tcBorders>
              <w:top w:val="nil"/>
              <w:left w:val="nil"/>
              <w:bottom w:val="single" w:sz="4" w:space="0" w:color="auto"/>
              <w:right w:val="single" w:sz="4" w:space="0" w:color="auto"/>
            </w:tcBorders>
            <w:shd w:val="clear" w:color="auto" w:fill="auto"/>
            <w:noWrap/>
            <w:vAlign w:val="center"/>
            <w:hideMark/>
          </w:tcPr>
          <w:p w14:paraId="7F4B712F" w14:textId="4D83A8C6"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613 219 </w:t>
            </w:r>
          </w:p>
        </w:tc>
        <w:tc>
          <w:tcPr>
            <w:tcW w:w="1601" w:type="dxa"/>
            <w:tcBorders>
              <w:top w:val="nil"/>
              <w:left w:val="nil"/>
              <w:bottom w:val="single" w:sz="4" w:space="0" w:color="auto"/>
              <w:right w:val="single" w:sz="4" w:space="0" w:color="auto"/>
            </w:tcBorders>
            <w:shd w:val="clear" w:color="auto" w:fill="auto"/>
            <w:noWrap/>
            <w:vAlign w:val="center"/>
            <w:hideMark/>
          </w:tcPr>
          <w:p w14:paraId="0C42156F" w14:textId="622C033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628 256 </w:t>
            </w:r>
          </w:p>
        </w:tc>
        <w:tc>
          <w:tcPr>
            <w:tcW w:w="1445" w:type="dxa"/>
            <w:tcBorders>
              <w:top w:val="nil"/>
              <w:left w:val="nil"/>
              <w:bottom w:val="single" w:sz="4" w:space="0" w:color="auto"/>
              <w:right w:val="single" w:sz="4" w:space="0" w:color="auto"/>
            </w:tcBorders>
            <w:shd w:val="clear" w:color="auto" w:fill="auto"/>
            <w:noWrap/>
            <w:vAlign w:val="center"/>
            <w:hideMark/>
          </w:tcPr>
          <w:p w14:paraId="5E3CF274" w14:textId="31AD5894"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737 948 </w:t>
            </w:r>
          </w:p>
        </w:tc>
        <w:tc>
          <w:tcPr>
            <w:tcW w:w="1445" w:type="dxa"/>
            <w:tcBorders>
              <w:top w:val="nil"/>
              <w:left w:val="nil"/>
              <w:bottom w:val="single" w:sz="4" w:space="0" w:color="auto"/>
              <w:right w:val="single" w:sz="4" w:space="0" w:color="auto"/>
            </w:tcBorders>
            <w:shd w:val="clear" w:color="auto" w:fill="auto"/>
            <w:noWrap/>
            <w:vAlign w:val="center"/>
            <w:hideMark/>
          </w:tcPr>
          <w:p w14:paraId="632E2FA5" w14:textId="70D83670"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848 736 </w:t>
            </w:r>
          </w:p>
        </w:tc>
        <w:tc>
          <w:tcPr>
            <w:tcW w:w="1358" w:type="dxa"/>
            <w:tcBorders>
              <w:top w:val="nil"/>
              <w:left w:val="nil"/>
              <w:bottom w:val="single" w:sz="4" w:space="0" w:color="auto"/>
              <w:right w:val="single" w:sz="4" w:space="0" w:color="auto"/>
            </w:tcBorders>
            <w:shd w:val="clear" w:color="auto" w:fill="auto"/>
            <w:noWrap/>
            <w:vAlign w:val="center"/>
            <w:hideMark/>
          </w:tcPr>
          <w:p w14:paraId="7DE6AF2B" w14:textId="387B64D6"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936 458 </w:t>
            </w:r>
          </w:p>
        </w:tc>
        <w:tc>
          <w:tcPr>
            <w:tcW w:w="1462" w:type="dxa"/>
            <w:tcBorders>
              <w:top w:val="nil"/>
              <w:left w:val="nil"/>
              <w:bottom w:val="single" w:sz="4" w:space="0" w:color="auto"/>
              <w:right w:val="single" w:sz="4" w:space="0" w:color="auto"/>
            </w:tcBorders>
            <w:shd w:val="clear" w:color="auto" w:fill="auto"/>
            <w:noWrap/>
            <w:vAlign w:val="center"/>
            <w:hideMark/>
          </w:tcPr>
          <w:p w14:paraId="15DB09D9" w14:textId="26C6ECE9"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3 764 616 </w:t>
            </w:r>
          </w:p>
        </w:tc>
        <w:tc>
          <w:tcPr>
            <w:tcW w:w="958" w:type="dxa"/>
            <w:tcBorders>
              <w:top w:val="nil"/>
              <w:left w:val="nil"/>
              <w:bottom w:val="single" w:sz="4" w:space="0" w:color="auto"/>
              <w:right w:val="single" w:sz="4" w:space="0" w:color="auto"/>
            </w:tcBorders>
            <w:shd w:val="clear" w:color="auto" w:fill="auto"/>
            <w:noWrap/>
            <w:vAlign w:val="center"/>
            <w:hideMark/>
          </w:tcPr>
          <w:p w14:paraId="0F157BD0"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1,4%</w:t>
            </w:r>
          </w:p>
        </w:tc>
      </w:tr>
      <w:tr w:rsidR="00F2004E" w:rsidRPr="00F2004E" w14:paraId="424AB91E" w14:textId="77777777" w:rsidTr="00F2004E">
        <w:trPr>
          <w:trHeight w:val="10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6A7FD16"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Appui communautaire</w:t>
            </w:r>
          </w:p>
        </w:tc>
        <w:tc>
          <w:tcPr>
            <w:tcW w:w="1375" w:type="dxa"/>
            <w:tcBorders>
              <w:top w:val="nil"/>
              <w:left w:val="nil"/>
              <w:bottom w:val="single" w:sz="4" w:space="0" w:color="auto"/>
              <w:right w:val="single" w:sz="4" w:space="0" w:color="auto"/>
            </w:tcBorders>
            <w:shd w:val="clear" w:color="auto" w:fill="auto"/>
            <w:noWrap/>
            <w:vAlign w:val="center"/>
            <w:hideMark/>
          </w:tcPr>
          <w:p w14:paraId="25A52217" w14:textId="4EEE875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383 262 </w:t>
            </w:r>
          </w:p>
        </w:tc>
        <w:tc>
          <w:tcPr>
            <w:tcW w:w="1601" w:type="dxa"/>
            <w:tcBorders>
              <w:top w:val="nil"/>
              <w:left w:val="nil"/>
              <w:bottom w:val="single" w:sz="4" w:space="0" w:color="auto"/>
              <w:right w:val="single" w:sz="4" w:space="0" w:color="auto"/>
            </w:tcBorders>
            <w:shd w:val="clear" w:color="auto" w:fill="auto"/>
            <w:noWrap/>
            <w:vAlign w:val="center"/>
            <w:hideMark/>
          </w:tcPr>
          <w:p w14:paraId="4B1991D0" w14:textId="2FCA5B5D"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392 660 </w:t>
            </w:r>
          </w:p>
        </w:tc>
        <w:tc>
          <w:tcPr>
            <w:tcW w:w="1445" w:type="dxa"/>
            <w:tcBorders>
              <w:top w:val="nil"/>
              <w:left w:val="nil"/>
              <w:bottom w:val="single" w:sz="4" w:space="0" w:color="auto"/>
              <w:right w:val="single" w:sz="4" w:space="0" w:color="auto"/>
            </w:tcBorders>
            <w:shd w:val="clear" w:color="auto" w:fill="auto"/>
            <w:noWrap/>
            <w:vAlign w:val="center"/>
            <w:hideMark/>
          </w:tcPr>
          <w:p w14:paraId="2EFBC104" w14:textId="4793E1BB"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461 217 </w:t>
            </w:r>
          </w:p>
        </w:tc>
        <w:tc>
          <w:tcPr>
            <w:tcW w:w="1445" w:type="dxa"/>
            <w:tcBorders>
              <w:top w:val="nil"/>
              <w:left w:val="nil"/>
              <w:bottom w:val="single" w:sz="4" w:space="0" w:color="auto"/>
              <w:right w:val="single" w:sz="4" w:space="0" w:color="auto"/>
            </w:tcBorders>
            <w:shd w:val="clear" w:color="auto" w:fill="auto"/>
            <w:noWrap/>
            <w:vAlign w:val="center"/>
            <w:hideMark/>
          </w:tcPr>
          <w:p w14:paraId="0B2871E0" w14:textId="0F479ACF"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530 460 </w:t>
            </w:r>
          </w:p>
        </w:tc>
        <w:tc>
          <w:tcPr>
            <w:tcW w:w="1358" w:type="dxa"/>
            <w:tcBorders>
              <w:top w:val="nil"/>
              <w:left w:val="nil"/>
              <w:bottom w:val="single" w:sz="4" w:space="0" w:color="auto"/>
              <w:right w:val="single" w:sz="4" w:space="0" w:color="auto"/>
            </w:tcBorders>
            <w:shd w:val="clear" w:color="auto" w:fill="auto"/>
            <w:noWrap/>
            <w:vAlign w:val="center"/>
            <w:hideMark/>
          </w:tcPr>
          <w:p w14:paraId="29A5536D" w14:textId="3ACF2EAC"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585 286 </w:t>
            </w:r>
          </w:p>
        </w:tc>
        <w:tc>
          <w:tcPr>
            <w:tcW w:w="1462" w:type="dxa"/>
            <w:tcBorders>
              <w:top w:val="nil"/>
              <w:left w:val="nil"/>
              <w:bottom w:val="single" w:sz="4" w:space="0" w:color="auto"/>
              <w:right w:val="single" w:sz="4" w:space="0" w:color="auto"/>
            </w:tcBorders>
            <w:shd w:val="clear" w:color="auto" w:fill="auto"/>
            <w:noWrap/>
            <w:vAlign w:val="center"/>
            <w:hideMark/>
          </w:tcPr>
          <w:p w14:paraId="467E4727" w14:textId="490AB504"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2 352 885 </w:t>
            </w:r>
          </w:p>
        </w:tc>
        <w:tc>
          <w:tcPr>
            <w:tcW w:w="958" w:type="dxa"/>
            <w:tcBorders>
              <w:top w:val="nil"/>
              <w:left w:val="nil"/>
              <w:bottom w:val="single" w:sz="4" w:space="0" w:color="auto"/>
              <w:right w:val="single" w:sz="4" w:space="0" w:color="auto"/>
            </w:tcBorders>
            <w:shd w:val="clear" w:color="auto" w:fill="auto"/>
            <w:noWrap/>
            <w:vAlign w:val="center"/>
            <w:hideMark/>
          </w:tcPr>
          <w:p w14:paraId="757C72BD"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0,9%</w:t>
            </w:r>
          </w:p>
        </w:tc>
      </w:tr>
      <w:tr w:rsidR="00F2004E" w:rsidRPr="00F2004E" w14:paraId="7C6DBAC2" w14:textId="77777777" w:rsidTr="00F2004E">
        <w:trPr>
          <w:trHeight w:val="79"/>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7AC8280"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Système de santé</w:t>
            </w:r>
          </w:p>
        </w:tc>
        <w:tc>
          <w:tcPr>
            <w:tcW w:w="1375" w:type="dxa"/>
            <w:tcBorders>
              <w:top w:val="nil"/>
              <w:left w:val="nil"/>
              <w:bottom w:val="single" w:sz="4" w:space="0" w:color="auto"/>
              <w:right w:val="single" w:sz="4" w:space="0" w:color="auto"/>
            </w:tcBorders>
            <w:shd w:val="clear" w:color="auto" w:fill="auto"/>
            <w:noWrap/>
            <w:vAlign w:val="center"/>
            <w:hideMark/>
          </w:tcPr>
          <w:p w14:paraId="401730BB" w14:textId="3953F703"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536 566 </w:t>
            </w:r>
          </w:p>
        </w:tc>
        <w:tc>
          <w:tcPr>
            <w:tcW w:w="1601" w:type="dxa"/>
            <w:tcBorders>
              <w:top w:val="nil"/>
              <w:left w:val="nil"/>
              <w:bottom w:val="single" w:sz="4" w:space="0" w:color="auto"/>
              <w:right w:val="single" w:sz="4" w:space="0" w:color="auto"/>
            </w:tcBorders>
            <w:shd w:val="clear" w:color="auto" w:fill="auto"/>
            <w:noWrap/>
            <w:vAlign w:val="center"/>
            <w:hideMark/>
          </w:tcPr>
          <w:p w14:paraId="54B553AB" w14:textId="011FBAF5"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549 724 </w:t>
            </w:r>
          </w:p>
        </w:tc>
        <w:tc>
          <w:tcPr>
            <w:tcW w:w="1445" w:type="dxa"/>
            <w:tcBorders>
              <w:top w:val="nil"/>
              <w:left w:val="nil"/>
              <w:bottom w:val="single" w:sz="4" w:space="0" w:color="auto"/>
              <w:right w:val="single" w:sz="4" w:space="0" w:color="auto"/>
            </w:tcBorders>
            <w:shd w:val="clear" w:color="auto" w:fill="auto"/>
            <w:noWrap/>
            <w:vAlign w:val="center"/>
            <w:hideMark/>
          </w:tcPr>
          <w:p w14:paraId="4B57A9E0" w14:textId="1192CB74"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645 704 </w:t>
            </w:r>
          </w:p>
        </w:tc>
        <w:tc>
          <w:tcPr>
            <w:tcW w:w="1445" w:type="dxa"/>
            <w:tcBorders>
              <w:top w:val="nil"/>
              <w:left w:val="nil"/>
              <w:bottom w:val="single" w:sz="4" w:space="0" w:color="auto"/>
              <w:right w:val="single" w:sz="4" w:space="0" w:color="auto"/>
            </w:tcBorders>
            <w:shd w:val="clear" w:color="auto" w:fill="auto"/>
            <w:noWrap/>
            <w:vAlign w:val="center"/>
            <w:hideMark/>
          </w:tcPr>
          <w:p w14:paraId="7D1CDFA5" w14:textId="038959DD"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742 644 </w:t>
            </w:r>
          </w:p>
        </w:tc>
        <w:tc>
          <w:tcPr>
            <w:tcW w:w="1358" w:type="dxa"/>
            <w:tcBorders>
              <w:top w:val="nil"/>
              <w:left w:val="nil"/>
              <w:bottom w:val="single" w:sz="4" w:space="0" w:color="auto"/>
              <w:right w:val="single" w:sz="4" w:space="0" w:color="auto"/>
            </w:tcBorders>
            <w:shd w:val="clear" w:color="auto" w:fill="auto"/>
            <w:noWrap/>
            <w:vAlign w:val="center"/>
            <w:hideMark/>
          </w:tcPr>
          <w:p w14:paraId="57BCC503" w14:textId="393E5C9E"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819 401 </w:t>
            </w:r>
          </w:p>
        </w:tc>
        <w:tc>
          <w:tcPr>
            <w:tcW w:w="1462" w:type="dxa"/>
            <w:tcBorders>
              <w:top w:val="nil"/>
              <w:left w:val="nil"/>
              <w:bottom w:val="single" w:sz="4" w:space="0" w:color="auto"/>
              <w:right w:val="single" w:sz="4" w:space="0" w:color="auto"/>
            </w:tcBorders>
            <w:shd w:val="clear" w:color="auto" w:fill="auto"/>
            <w:noWrap/>
            <w:vAlign w:val="center"/>
            <w:hideMark/>
          </w:tcPr>
          <w:p w14:paraId="7FDED888" w14:textId="2873F4F6"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3 294 039 </w:t>
            </w:r>
          </w:p>
        </w:tc>
        <w:tc>
          <w:tcPr>
            <w:tcW w:w="958" w:type="dxa"/>
            <w:tcBorders>
              <w:top w:val="nil"/>
              <w:left w:val="nil"/>
              <w:bottom w:val="single" w:sz="4" w:space="0" w:color="auto"/>
              <w:right w:val="single" w:sz="4" w:space="0" w:color="auto"/>
            </w:tcBorders>
            <w:shd w:val="clear" w:color="auto" w:fill="auto"/>
            <w:noWrap/>
            <w:vAlign w:val="center"/>
            <w:hideMark/>
          </w:tcPr>
          <w:p w14:paraId="2325CE72"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1,3%</w:t>
            </w:r>
          </w:p>
        </w:tc>
      </w:tr>
      <w:tr w:rsidR="00F2004E" w:rsidRPr="00F2004E" w14:paraId="7A4CC4C6" w14:textId="77777777" w:rsidTr="00F2004E">
        <w:trPr>
          <w:trHeight w:val="79"/>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8A2B265" w14:textId="77777777" w:rsidR="00F2004E" w:rsidRPr="00F2004E" w:rsidRDefault="00F2004E" w:rsidP="00F2004E">
            <w:pPr>
              <w:ind w:firstLineChars="200" w:firstLine="360"/>
              <w:rPr>
                <w:rFonts w:asciiTheme="minorHAnsi" w:hAnsiTheme="minorHAnsi" w:cstheme="minorHAnsi"/>
                <w:color w:val="000000"/>
                <w:sz w:val="18"/>
                <w:szCs w:val="18"/>
              </w:rPr>
            </w:pPr>
            <w:r w:rsidRPr="00F2004E">
              <w:rPr>
                <w:rFonts w:asciiTheme="minorHAnsi" w:hAnsiTheme="minorHAnsi" w:cstheme="minorHAnsi"/>
                <w:color w:val="000000"/>
                <w:sz w:val="18"/>
                <w:szCs w:val="18"/>
              </w:rPr>
              <w:t>Renforcement des capacités</w:t>
            </w:r>
          </w:p>
        </w:tc>
        <w:tc>
          <w:tcPr>
            <w:tcW w:w="1375" w:type="dxa"/>
            <w:tcBorders>
              <w:top w:val="nil"/>
              <w:left w:val="nil"/>
              <w:bottom w:val="single" w:sz="4" w:space="0" w:color="auto"/>
              <w:right w:val="single" w:sz="4" w:space="0" w:color="auto"/>
            </w:tcBorders>
            <w:shd w:val="clear" w:color="auto" w:fill="auto"/>
            <w:noWrap/>
            <w:vAlign w:val="center"/>
            <w:hideMark/>
          </w:tcPr>
          <w:p w14:paraId="34A2815E" w14:textId="2EDD71E5"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360 266 </w:t>
            </w:r>
          </w:p>
        </w:tc>
        <w:tc>
          <w:tcPr>
            <w:tcW w:w="1601" w:type="dxa"/>
            <w:tcBorders>
              <w:top w:val="nil"/>
              <w:left w:val="nil"/>
              <w:bottom w:val="single" w:sz="4" w:space="0" w:color="auto"/>
              <w:right w:val="single" w:sz="4" w:space="0" w:color="auto"/>
            </w:tcBorders>
            <w:shd w:val="clear" w:color="auto" w:fill="auto"/>
            <w:noWrap/>
            <w:vAlign w:val="center"/>
            <w:hideMark/>
          </w:tcPr>
          <w:p w14:paraId="5949C139" w14:textId="6537F5CC"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369 100 </w:t>
            </w:r>
          </w:p>
        </w:tc>
        <w:tc>
          <w:tcPr>
            <w:tcW w:w="1445" w:type="dxa"/>
            <w:tcBorders>
              <w:top w:val="nil"/>
              <w:left w:val="nil"/>
              <w:bottom w:val="single" w:sz="4" w:space="0" w:color="auto"/>
              <w:right w:val="single" w:sz="4" w:space="0" w:color="auto"/>
            </w:tcBorders>
            <w:shd w:val="clear" w:color="auto" w:fill="auto"/>
            <w:noWrap/>
            <w:vAlign w:val="center"/>
            <w:hideMark/>
          </w:tcPr>
          <w:p w14:paraId="7D868BE2" w14:textId="00672F6B"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433 544 </w:t>
            </w:r>
          </w:p>
        </w:tc>
        <w:tc>
          <w:tcPr>
            <w:tcW w:w="1445" w:type="dxa"/>
            <w:tcBorders>
              <w:top w:val="nil"/>
              <w:left w:val="nil"/>
              <w:bottom w:val="single" w:sz="4" w:space="0" w:color="auto"/>
              <w:right w:val="single" w:sz="4" w:space="0" w:color="auto"/>
            </w:tcBorders>
            <w:shd w:val="clear" w:color="auto" w:fill="auto"/>
            <w:noWrap/>
            <w:vAlign w:val="center"/>
            <w:hideMark/>
          </w:tcPr>
          <w:p w14:paraId="2DB157B0" w14:textId="47491441"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498 632 </w:t>
            </w:r>
          </w:p>
        </w:tc>
        <w:tc>
          <w:tcPr>
            <w:tcW w:w="1358" w:type="dxa"/>
            <w:tcBorders>
              <w:top w:val="nil"/>
              <w:left w:val="nil"/>
              <w:bottom w:val="single" w:sz="4" w:space="0" w:color="auto"/>
              <w:right w:val="single" w:sz="4" w:space="0" w:color="auto"/>
            </w:tcBorders>
            <w:shd w:val="clear" w:color="auto" w:fill="auto"/>
            <w:noWrap/>
            <w:vAlign w:val="center"/>
            <w:hideMark/>
          </w:tcPr>
          <w:p w14:paraId="077DB4B6" w14:textId="599AD874" w:rsidR="00F2004E" w:rsidRPr="00F2004E" w:rsidRDefault="00F2004E" w:rsidP="00F2004E">
            <w:pPr>
              <w:jc w:val="right"/>
              <w:rPr>
                <w:rFonts w:asciiTheme="minorHAnsi" w:hAnsiTheme="minorHAnsi" w:cstheme="minorHAnsi"/>
                <w:color w:val="000000"/>
                <w:sz w:val="18"/>
                <w:szCs w:val="18"/>
              </w:rPr>
            </w:pPr>
            <w:r w:rsidRPr="00F2004E">
              <w:rPr>
                <w:rFonts w:asciiTheme="minorHAnsi" w:hAnsiTheme="minorHAnsi" w:cstheme="minorHAnsi"/>
                <w:color w:val="000000"/>
                <w:sz w:val="18"/>
                <w:szCs w:val="18"/>
              </w:rPr>
              <w:t xml:space="preserve">550 169 </w:t>
            </w:r>
          </w:p>
        </w:tc>
        <w:tc>
          <w:tcPr>
            <w:tcW w:w="1462" w:type="dxa"/>
            <w:tcBorders>
              <w:top w:val="nil"/>
              <w:left w:val="nil"/>
              <w:bottom w:val="single" w:sz="4" w:space="0" w:color="auto"/>
              <w:right w:val="single" w:sz="4" w:space="0" w:color="auto"/>
            </w:tcBorders>
            <w:shd w:val="clear" w:color="auto" w:fill="auto"/>
            <w:noWrap/>
            <w:vAlign w:val="center"/>
            <w:hideMark/>
          </w:tcPr>
          <w:p w14:paraId="7C8A5F50" w14:textId="246EC7FD"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 xml:space="preserve">2 211 712 </w:t>
            </w:r>
          </w:p>
        </w:tc>
        <w:tc>
          <w:tcPr>
            <w:tcW w:w="958" w:type="dxa"/>
            <w:tcBorders>
              <w:top w:val="nil"/>
              <w:left w:val="nil"/>
              <w:bottom w:val="single" w:sz="4" w:space="0" w:color="auto"/>
              <w:right w:val="single" w:sz="4" w:space="0" w:color="auto"/>
            </w:tcBorders>
            <w:shd w:val="clear" w:color="auto" w:fill="auto"/>
            <w:noWrap/>
            <w:vAlign w:val="center"/>
            <w:hideMark/>
          </w:tcPr>
          <w:p w14:paraId="63777EEA" w14:textId="77777777" w:rsidR="00F2004E" w:rsidRPr="00F2004E" w:rsidRDefault="00F2004E" w:rsidP="00F2004E">
            <w:pPr>
              <w:jc w:val="right"/>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0,8%</w:t>
            </w:r>
          </w:p>
        </w:tc>
      </w:tr>
      <w:tr w:rsidR="00F2004E" w:rsidRPr="00F2004E" w14:paraId="0C473217" w14:textId="77777777" w:rsidTr="00F2004E">
        <w:trPr>
          <w:trHeight w:val="117"/>
        </w:trPr>
        <w:tc>
          <w:tcPr>
            <w:tcW w:w="4673" w:type="dxa"/>
            <w:tcBorders>
              <w:top w:val="nil"/>
              <w:left w:val="single" w:sz="4" w:space="0" w:color="auto"/>
              <w:bottom w:val="single" w:sz="4" w:space="0" w:color="auto"/>
              <w:right w:val="single" w:sz="4" w:space="0" w:color="auto"/>
            </w:tcBorders>
            <w:shd w:val="clear" w:color="000000" w:fill="E7E6E6"/>
            <w:noWrap/>
            <w:vAlign w:val="center"/>
            <w:hideMark/>
          </w:tcPr>
          <w:p w14:paraId="7FFC8DD8" w14:textId="77777777" w:rsidR="00F2004E" w:rsidRPr="00F2004E" w:rsidRDefault="00F2004E" w:rsidP="00F2004E">
            <w:pPr>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Total Unité de Francs guinéen</w:t>
            </w:r>
          </w:p>
        </w:tc>
        <w:tc>
          <w:tcPr>
            <w:tcW w:w="1375" w:type="dxa"/>
            <w:tcBorders>
              <w:top w:val="nil"/>
              <w:left w:val="nil"/>
              <w:bottom w:val="single" w:sz="4" w:space="0" w:color="auto"/>
              <w:right w:val="single" w:sz="4" w:space="0" w:color="auto"/>
            </w:tcBorders>
            <w:shd w:val="clear" w:color="000000" w:fill="E7E6E6"/>
            <w:noWrap/>
            <w:vAlign w:val="center"/>
            <w:hideMark/>
          </w:tcPr>
          <w:p w14:paraId="16DAA6E2"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347 232 496 023 </w:t>
            </w:r>
          </w:p>
        </w:tc>
        <w:tc>
          <w:tcPr>
            <w:tcW w:w="1601" w:type="dxa"/>
            <w:tcBorders>
              <w:top w:val="nil"/>
              <w:left w:val="nil"/>
              <w:bottom w:val="single" w:sz="4" w:space="0" w:color="auto"/>
              <w:right w:val="single" w:sz="4" w:space="0" w:color="auto"/>
            </w:tcBorders>
            <w:shd w:val="clear" w:color="000000" w:fill="E7E6E6"/>
            <w:noWrap/>
            <w:vAlign w:val="center"/>
            <w:hideMark/>
          </w:tcPr>
          <w:p w14:paraId="5D40F90D"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411 152 782 339 </w:t>
            </w:r>
          </w:p>
        </w:tc>
        <w:tc>
          <w:tcPr>
            <w:tcW w:w="1445" w:type="dxa"/>
            <w:tcBorders>
              <w:top w:val="nil"/>
              <w:left w:val="nil"/>
              <w:bottom w:val="single" w:sz="4" w:space="0" w:color="auto"/>
              <w:right w:val="single" w:sz="4" w:space="0" w:color="auto"/>
            </w:tcBorders>
            <w:shd w:val="clear" w:color="000000" w:fill="E7E6E6"/>
            <w:noWrap/>
            <w:vAlign w:val="center"/>
            <w:hideMark/>
          </w:tcPr>
          <w:p w14:paraId="209F5678"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477 217 207 792 </w:t>
            </w:r>
          </w:p>
        </w:tc>
        <w:tc>
          <w:tcPr>
            <w:tcW w:w="1445" w:type="dxa"/>
            <w:tcBorders>
              <w:top w:val="nil"/>
              <w:left w:val="nil"/>
              <w:bottom w:val="single" w:sz="4" w:space="0" w:color="auto"/>
              <w:right w:val="single" w:sz="4" w:space="0" w:color="auto"/>
            </w:tcBorders>
            <w:shd w:val="clear" w:color="000000" w:fill="E7E6E6"/>
            <w:noWrap/>
            <w:vAlign w:val="center"/>
            <w:hideMark/>
          </w:tcPr>
          <w:p w14:paraId="1BC4FEE8"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530 872 854 650 </w:t>
            </w:r>
          </w:p>
        </w:tc>
        <w:tc>
          <w:tcPr>
            <w:tcW w:w="1358" w:type="dxa"/>
            <w:tcBorders>
              <w:top w:val="nil"/>
              <w:left w:val="nil"/>
              <w:bottom w:val="single" w:sz="4" w:space="0" w:color="auto"/>
              <w:right w:val="single" w:sz="4" w:space="0" w:color="auto"/>
            </w:tcBorders>
            <w:shd w:val="clear" w:color="000000" w:fill="E7E6E6"/>
            <w:noWrap/>
            <w:vAlign w:val="center"/>
            <w:hideMark/>
          </w:tcPr>
          <w:p w14:paraId="6F73BE6E"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591 124 126 738 </w:t>
            </w:r>
          </w:p>
        </w:tc>
        <w:tc>
          <w:tcPr>
            <w:tcW w:w="1462" w:type="dxa"/>
            <w:tcBorders>
              <w:top w:val="nil"/>
              <w:left w:val="nil"/>
              <w:bottom w:val="single" w:sz="4" w:space="0" w:color="auto"/>
              <w:right w:val="single" w:sz="4" w:space="0" w:color="auto"/>
            </w:tcBorders>
            <w:shd w:val="clear" w:color="000000" w:fill="E7E6E6"/>
            <w:noWrap/>
            <w:vAlign w:val="center"/>
            <w:hideMark/>
          </w:tcPr>
          <w:p w14:paraId="465D6BFC"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2 357 599 467 542 </w:t>
            </w:r>
          </w:p>
        </w:tc>
        <w:tc>
          <w:tcPr>
            <w:tcW w:w="958" w:type="dxa"/>
            <w:tcBorders>
              <w:top w:val="nil"/>
              <w:left w:val="nil"/>
              <w:bottom w:val="single" w:sz="4" w:space="0" w:color="auto"/>
              <w:right w:val="single" w:sz="4" w:space="0" w:color="auto"/>
            </w:tcBorders>
            <w:shd w:val="clear" w:color="000000" w:fill="E7E6E6"/>
            <w:noWrap/>
            <w:vAlign w:val="center"/>
            <w:hideMark/>
          </w:tcPr>
          <w:p w14:paraId="09047D4A" w14:textId="77777777" w:rsidR="00F2004E" w:rsidRPr="00F2004E" w:rsidRDefault="00F2004E" w:rsidP="00F2004E">
            <w:pPr>
              <w:rPr>
                <w:rFonts w:asciiTheme="minorHAnsi" w:hAnsiTheme="minorHAnsi" w:cstheme="minorHAnsi"/>
                <w:color w:val="000000"/>
                <w:sz w:val="18"/>
                <w:szCs w:val="18"/>
              </w:rPr>
            </w:pPr>
            <w:r w:rsidRPr="00F2004E">
              <w:rPr>
                <w:rFonts w:asciiTheme="minorHAnsi" w:hAnsiTheme="minorHAnsi" w:cstheme="minorHAnsi"/>
                <w:color w:val="000000"/>
                <w:sz w:val="18"/>
                <w:szCs w:val="18"/>
              </w:rPr>
              <w:t> </w:t>
            </w:r>
          </w:p>
        </w:tc>
      </w:tr>
      <w:tr w:rsidR="00F2004E" w:rsidRPr="00F2004E" w14:paraId="47BC7484" w14:textId="77777777" w:rsidTr="00F2004E">
        <w:trPr>
          <w:trHeight w:val="79"/>
        </w:trPr>
        <w:tc>
          <w:tcPr>
            <w:tcW w:w="4673" w:type="dxa"/>
            <w:tcBorders>
              <w:top w:val="nil"/>
              <w:left w:val="single" w:sz="4" w:space="0" w:color="auto"/>
              <w:bottom w:val="single" w:sz="4" w:space="0" w:color="auto"/>
              <w:right w:val="single" w:sz="4" w:space="0" w:color="auto"/>
            </w:tcBorders>
            <w:shd w:val="clear" w:color="000000" w:fill="E7E6E6"/>
            <w:noWrap/>
            <w:vAlign w:val="center"/>
            <w:hideMark/>
          </w:tcPr>
          <w:p w14:paraId="2259444B" w14:textId="77777777" w:rsidR="00F2004E" w:rsidRPr="00F2004E" w:rsidRDefault="00F2004E" w:rsidP="00F2004E">
            <w:pPr>
              <w:rPr>
                <w:rFonts w:asciiTheme="minorHAnsi" w:hAnsiTheme="minorHAnsi" w:cstheme="minorHAnsi"/>
                <w:b/>
                <w:bCs/>
                <w:color w:val="000000"/>
                <w:sz w:val="18"/>
                <w:szCs w:val="18"/>
              </w:rPr>
            </w:pPr>
            <w:r w:rsidRPr="00F2004E">
              <w:rPr>
                <w:rFonts w:asciiTheme="minorHAnsi" w:hAnsiTheme="minorHAnsi" w:cstheme="minorHAnsi"/>
                <w:b/>
                <w:bCs/>
                <w:color w:val="000000"/>
                <w:sz w:val="18"/>
                <w:szCs w:val="18"/>
              </w:rPr>
              <w:t>Total Unité de USD</w:t>
            </w:r>
          </w:p>
        </w:tc>
        <w:tc>
          <w:tcPr>
            <w:tcW w:w="1375" w:type="dxa"/>
            <w:tcBorders>
              <w:top w:val="nil"/>
              <w:left w:val="nil"/>
              <w:bottom w:val="single" w:sz="4" w:space="0" w:color="auto"/>
              <w:right w:val="single" w:sz="4" w:space="0" w:color="auto"/>
            </w:tcBorders>
            <w:shd w:val="clear" w:color="000000" w:fill="E7E6E6"/>
            <w:noWrap/>
            <w:vAlign w:val="center"/>
            <w:hideMark/>
          </w:tcPr>
          <w:p w14:paraId="559DC3F7"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38 698 559 </w:t>
            </w:r>
          </w:p>
        </w:tc>
        <w:tc>
          <w:tcPr>
            <w:tcW w:w="1601" w:type="dxa"/>
            <w:tcBorders>
              <w:top w:val="nil"/>
              <w:left w:val="nil"/>
              <w:bottom w:val="single" w:sz="4" w:space="0" w:color="auto"/>
              <w:right w:val="single" w:sz="4" w:space="0" w:color="auto"/>
            </w:tcBorders>
            <w:shd w:val="clear" w:color="000000" w:fill="E7E6E6"/>
            <w:noWrap/>
            <w:vAlign w:val="center"/>
            <w:hideMark/>
          </w:tcPr>
          <w:p w14:paraId="2073C8F4"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45 822 382 </w:t>
            </w:r>
          </w:p>
        </w:tc>
        <w:tc>
          <w:tcPr>
            <w:tcW w:w="1445" w:type="dxa"/>
            <w:tcBorders>
              <w:top w:val="nil"/>
              <w:left w:val="nil"/>
              <w:bottom w:val="single" w:sz="4" w:space="0" w:color="auto"/>
              <w:right w:val="single" w:sz="4" w:space="0" w:color="auto"/>
            </w:tcBorders>
            <w:shd w:val="clear" w:color="000000" w:fill="E7E6E6"/>
            <w:noWrap/>
            <w:vAlign w:val="center"/>
            <w:hideMark/>
          </w:tcPr>
          <w:p w14:paraId="14F0F38A"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53 185 167 </w:t>
            </w:r>
          </w:p>
        </w:tc>
        <w:tc>
          <w:tcPr>
            <w:tcW w:w="1445" w:type="dxa"/>
            <w:tcBorders>
              <w:top w:val="nil"/>
              <w:left w:val="nil"/>
              <w:bottom w:val="single" w:sz="4" w:space="0" w:color="auto"/>
              <w:right w:val="single" w:sz="4" w:space="0" w:color="auto"/>
            </w:tcBorders>
            <w:shd w:val="clear" w:color="000000" w:fill="E7E6E6"/>
            <w:noWrap/>
            <w:vAlign w:val="center"/>
            <w:hideMark/>
          </w:tcPr>
          <w:p w14:paraId="7ABB9FC4"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59 165 011 </w:t>
            </w:r>
          </w:p>
        </w:tc>
        <w:tc>
          <w:tcPr>
            <w:tcW w:w="1358" w:type="dxa"/>
            <w:tcBorders>
              <w:top w:val="nil"/>
              <w:left w:val="nil"/>
              <w:bottom w:val="single" w:sz="4" w:space="0" w:color="auto"/>
              <w:right w:val="single" w:sz="4" w:space="0" w:color="auto"/>
            </w:tcBorders>
            <w:shd w:val="clear" w:color="000000" w:fill="E7E6E6"/>
            <w:noWrap/>
            <w:vAlign w:val="center"/>
            <w:hideMark/>
          </w:tcPr>
          <w:p w14:paraId="0AED099C"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65 879 928 </w:t>
            </w:r>
          </w:p>
        </w:tc>
        <w:tc>
          <w:tcPr>
            <w:tcW w:w="1462" w:type="dxa"/>
            <w:tcBorders>
              <w:top w:val="nil"/>
              <w:left w:val="nil"/>
              <w:bottom w:val="single" w:sz="4" w:space="0" w:color="auto"/>
              <w:right w:val="single" w:sz="4" w:space="0" w:color="auto"/>
            </w:tcBorders>
            <w:shd w:val="clear" w:color="000000" w:fill="E7E6E6"/>
            <w:noWrap/>
            <w:vAlign w:val="center"/>
            <w:hideMark/>
          </w:tcPr>
          <w:p w14:paraId="42964C43" w14:textId="77777777" w:rsidR="00F2004E" w:rsidRPr="00F2004E" w:rsidRDefault="00F2004E" w:rsidP="00F2004E">
            <w:pPr>
              <w:jc w:val="right"/>
              <w:rPr>
                <w:rFonts w:asciiTheme="minorHAnsi" w:hAnsiTheme="minorHAnsi" w:cstheme="minorHAnsi"/>
                <w:b/>
                <w:bCs/>
                <w:color w:val="000000"/>
                <w:sz w:val="16"/>
                <w:szCs w:val="16"/>
              </w:rPr>
            </w:pPr>
            <w:r w:rsidRPr="00F2004E">
              <w:rPr>
                <w:rFonts w:asciiTheme="minorHAnsi" w:hAnsiTheme="minorHAnsi" w:cstheme="minorHAnsi"/>
                <w:b/>
                <w:bCs/>
                <w:color w:val="000000"/>
                <w:sz w:val="16"/>
                <w:szCs w:val="16"/>
              </w:rPr>
              <w:t xml:space="preserve">              262 751 048 </w:t>
            </w:r>
          </w:p>
        </w:tc>
        <w:tc>
          <w:tcPr>
            <w:tcW w:w="958" w:type="dxa"/>
            <w:tcBorders>
              <w:top w:val="nil"/>
              <w:left w:val="nil"/>
              <w:bottom w:val="single" w:sz="4" w:space="0" w:color="auto"/>
              <w:right w:val="single" w:sz="4" w:space="0" w:color="auto"/>
            </w:tcBorders>
            <w:shd w:val="clear" w:color="000000" w:fill="E7E6E6"/>
            <w:noWrap/>
            <w:vAlign w:val="center"/>
            <w:hideMark/>
          </w:tcPr>
          <w:p w14:paraId="1AF86EB9" w14:textId="77777777" w:rsidR="00F2004E" w:rsidRPr="00F2004E" w:rsidRDefault="00F2004E" w:rsidP="00F2004E">
            <w:pPr>
              <w:rPr>
                <w:rFonts w:asciiTheme="minorHAnsi" w:hAnsiTheme="minorHAnsi" w:cstheme="minorHAnsi"/>
                <w:color w:val="000000"/>
                <w:sz w:val="18"/>
                <w:szCs w:val="18"/>
              </w:rPr>
            </w:pPr>
            <w:r w:rsidRPr="00F2004E">
              <w:rPr>
                <w:rFonts w:asciiTheme="minorHAnsi" w:hAnsiTheme="minorHAnsi" w:cstheme="minorHAnsi"/>
                <w:color w:val="000000"/>
                <w:sz w:val="18"/>
                <w:szCs w:val="18"/>
              </w:rPr>
              <w:t> </w:t>
            </w:r>
          </w:p>
        </w:tc>
      </w:tr>
    </w:tbl>
    <w:p w14:paraId="15F62263" w14:textId="77777777" w:rsidR="00F8534C" w:rsidRPr="00BE7E71" w:rsidRDefault="00F8534C" w:rsidP="00586661">
      <w:pPr>
        <w:rPr>
          <w:sz w:val="11"/>
        </w:rPr>
      </w:pPr>
    </w:p>
    <w:p w14:paraId="049727C4" w14:textId="1BB42EBD" w:rsidR="00586661" w:rsidRPr="009F1C8A" w:rsidRDefault="00085A26" w:rsidP="00085A26">
      <w:pPr>
        <w:pStyle w:val="tab"/>
        <w:rPr>
          <w:b/>
        </w:rPr>
      </w:pPr>
      <w:bookmarkStart w:id="156" w:name="_Toc521064269"/>
      <w:r w:rsidRPr="009F1C8A">
        <w:rPr>
          <w:b/>
        </w:rPr>
        <w:t>Ventilation du budget du CSN 2018-2022 par impacts et effets</w:t>
      </w:r>
      <w:bookmarkEnd w:id="156"/>
    </w:p>
    <w:p w14:paraId="050F8850" w14:textId="77777777" w:rsidR="00B2086D" w:rsidRDefault="00B2086D" w:rsidP="00586661"/>
    <w:tbl>
      <w:tblPr>
        <w:tblW w:w="14596" w:type="dxa"/>
        <w:tblLayout w:type="fixed"/>
        <w:tblCellMar>
          <w:left w:w="70" w:type="dxa"/>
          <w:right w:w="70" w:type="dxa"/>
        </w:tblCellMar>
        <w:tblLook w:val="04A0" w:firstRow="1" w:lastRow="0" w:firstColumn="1" w:lastColumn="0" w:noHBand="0" w:noVBand="1"/>
      </w:tblPr>
      <w:tblGrid>
        <w:gridCol w:w="562"/>
        <w:gridCol w:w="851"/>
        <w:gridCol w:w="517"/>
        <w:gridCol w:w="3877"/>
        <w:gridCol w:w="160"/>
        <w:gridCol w:w="23"/>
        <w:gridCol w:w="1093"/>
        <w:gridCol w:w="1417"/>
        <w:gridCol w:w="298"/>
        <w:gridCol w:w="836"/>
        <w:gridCol w:w="1418"/>
        <w:gridCol w:w="1417"/>
        <w:gridCol w:w="1276"/>
        <w:gridCol w:w="851"/>
      </w:tblGrid>
      <w:tr w:rsidR="00B2086D" w:rsidRPr="00B2086D" w14:paraId="39D70BF6" w14:textId="77777777" w:rsidTr="00B2086D">
        <w:trPr>
          <w:trHeight w:val="300"/>
        </w:trPr>
        <w:tc>
          <w:tcPr>
            <w:tcW w:w="5807" w:type="dxa"/>
            <w:gridSpan w:val="4"/>
            <w:vMerge w:val="restart"/>
            <w:tcBorders>
              <w:top w:val="single" w:sz="4" w:space="0" w:color="7F7F7F"/>
              <w:left w:val="single" w:sz="4" w:space="0" w:color="7F7F7F"/>
              <w:bottom w:val="single" w:sz="4" w:space="0" w:color="7F7F7F"/>
              <w:right w:val="single" w:sz="4" w:space="0" w:color="7F7F7F"/>
            </w:tcBorders>
            <w:shd w:val="clear" w:color="000000" w:fill="F2F2F2"/>
            <w:noWrap/>
            <w:vAlign w:val="center"/>
            <w:hideMark/>
          </w:tcPr>
          <w:p w14:paraId="52B7178E" w14:textId="77777777" w:rsidR="00B2086D" w:rsidRPr="00B2086D" w:rsidRDefault="00B2086D" w:rsidP="00B2086D">
            <w:pPr>
              <w:jc w:val="center"/>
              <w:rPr>
                <w:rFonts w:ascii="Calibri" w:hAnsi="Calibri" w:cs="Calibri"/>
                <w:b/>
                <w:bCs/>
                <w:color w:val="FA7D00"/>
                <w:sz w:val="16"/>
                <w:szCs w:val="16"/>
              </w:rPr>
            </w:pPr>
            <w:r w:rsidRPr="00B2086D">
              <w:rPr>
                <w:rFonts w:ascii="Calibri" w:hAnsi="Calibri" w:cs="Calibri"/>
                <w:b/>
                <w:bCs/>
                <w:color w:val="FA7D00"/>
                <w:sz w:val="16"/>
                <w:szCs w:val="16"/>
              </w:rPr>
              <w:t>Budget par impact et effets</w:t>
            </w:r>
          </w:p>
        </w:tc>
        <w:tc>
          <w:tcPr>
            <w:tcW w:w="160" w:type="dxa"/>
            <w:tcBorders>
              <w:top w:val="single" w:sz="8" w:space="0" w:color="auto"/>
              <w:left w:val="nil"/>
              <w:bottom w:val="nil"/>
              <w:right w:val="nil"/>
            </w:tcBorders>
            <w:shd w:val="clear" w:color="000000" w:fill="FFFFFF"/>
            <w:noWrap/>
            <w:vAlign w:val="bottom"/>
            <w:hideMark/>
          </w:tcPr>
          <w:p w14:paraId="550F7DB3"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6502" w:type="dxa"/>
            <w:gridSpan w:val="7"/>
            <w:tcBorders>
              <w:top w:val="single" w:sz="4" w:space="0" w:color="7F7F7F"/>
              <w:left w:val="single" w:sz="4" w:space="0" w:color="7F7F7F"/>
              <w:bottom w:val="single" w:sz="4" w:space="0" w:color="7F7F7F"/>
              <w:right w:val="single" w:sz="4" w:space="0" w:color="auto"/>
            </w:tcBorders>
            <w:shd w:val="clear" w:color="000000" w:fill="F2F2F2"/>
            <w:noWrap/>
            <w:vAlign w:val="bottom"/>
            <w:hideMark/>
          </w:tcPr>
          <w:p w14:paraId="4E561112" w14:textId="77777777" w:rsidR="00B2086D" w:rsidRPr="00B2086D" w:rsidRDefault="00B2086D" w:rsidP="00B2086D">
            <w:pPr>
              <w:jc w:val="center"/>
              <w:rPr>
                <w:rFonts w:ascii="Calibri" w:hAnsi="Calibri" w:cs="Calibri"/>
                <w:b/>
                <w:bCs/>
                <w:color w:val="FA7D00"/>
                <w:sz w:val="16"/>
                <w:szCs w:val="16"/>
              </w:rPr>
            </w:pPr>
            <w:r w:rsidRPr="00B2086D">
              <w:rPr>
                <w:rFonts w:ascii="Calibri" w:hAnsi="Calibri" w:cs="Calibri"/>
                <w:b/>
                <w:bCs/>
                <w:color w:val="FA7D00"/>
                <w:sz w:val="16"/>
                <w:szCs w:val="16"/>
              </w:rPr>
              <w:t>Budget annuel</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D9BF99" w14:textId="07393C42" w:rsidR="00B2086D" w:rsidRPr="00B2086D" w:rsidRDefault="00B2086D" w:rsidP="00B2086D">
            <w:pPr>
              <w:jc w:val="center"/>
              <w:rPr>
                <w:rFonts w:ascii="Calibri" w:hAnsi="Calibri" w:cs="Calibri"/>
                <w:b/>
                <w:bCs/>
                <w:color w:val="FA7D00"/>
                <w:sz w:val="16"/>
                <w:szCs w:val="16"/>
              </w:rPr>
            </w:pPr>
            <w:r w:rsidRPr="00B2086D">
              <w:rPr>
                <w:rFonts w:ascii="Calibri" w:hAnsi="Calibri" w:cs="Calibri"/>
                <w:b/>
                <w:bCs/>
                <w:color w:val="FA7D00"/>
                <w:sz w:val="16"/>
                <w:szCs w:val="16"/>
              </w:rPr>
              <w:t xml:space="preserve">Budget </w:t>
            </w:r>
            <w:proofErr w:type="gramStart"/>
            <w:r w:rsidRPr="00B2086D">
              <w:rPr>
                <w:rFonts w:ascii="Calibri" w:hAnsi="Calibri" w:cs="Calibri"/>
                <w:b/>
                <w:bCs/>
                <w:color w:val="FA7D00"/>
                <w:sz w:val="16"/>
                <w:szCs w:val="16"/>
              </w:rPr>
              <w:t xml:space="preserve">Total </w:t>
            </w:r>
            <w:r>
              <w:rPr>
                <w:rFonts w:ascii="Calibri" w:hAnsi="Calibri" w:cs="Calibri"/>
                <w:b/>
                <w:bCs/>
                <w:color w:val="FA7D00"/>
                <w:sz w:val="16"/>
                <w:szCs w:val="16"/>
              </w:rPr>
              <w:t xml:space="preserve"> 2018</w:t>
            </w:r>
            <w:proofErr w:type="gramEnd"/>
            <w:r>
              <w:rPr>
                <w:rFonts w:ascii="Calibri" w:hAnsi="Calibri" w:cs="Calibri"/>
                <w:b/>
                <w:bCs/>
                <w:color w:val="FA7D00"/>
                <w:sz w:val="16"/>
                <w:szCs w:val="16"/>
              </w:rPr>
              <w:t>-2022</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8252C" w14:textId="77777777" w:rsidR="00B2086D" w:rsidRPr="00B2086D" w:rsidRDefault="00B2086D" w:rsidP="00B2086D">
            <w:pPr>
              <w:jc w:val="center"/>
              <w:rPr>
                <w:rFonts w:ascii="Calibri" w:hAnsi="Calibri" w:cs="Calibri"/>
                <w:b/>
                <w:bCs/>
                <w:color w:val="FA7D00"/>
                <w:sz w:val="16"/>
                <w:szCs w:val="16"/>
              </w:rPr>
            </w:pPr>
            <w:r w:rsidRPr="00B2086D">
              <w:rPr>
                <w:rFonts w:ascii="Calibri" w:hAnsi="Calibri" w:cs="Calibri"/>
                <w:b/>
                <w:bCs/>
                <w:color w:val="FA7D00"/>
                <w:sz w:val="16"/>
                <w:szCs w:val="16"/>
              </w:rPr>
              <w:t>%</w:t>
            </w:r>
          </w:p>
        </w:tc>
      </w:tr>
      <w:tr w:rsidR="00B2086D" w:rsidRPr="00B2086D" w14:paraId="227A7CC1" w14:textId="77777777" w:rsidTr="00B2086D">
        <w:trPr>
          <w:trHeight w:val="320"/>
        </w:trPr>
        <w:tc>
          <w:tcPr>
            <w:tcW w:w="5807" w:type="dxa"/>
            <w:gridSpan w:val="4"/>
            <w:vMerge/>
            <w:tcBorders>
              <w:top w:val="single" w:sz="4" w:space="0" w:color="7F7F7F"/>
              <w:left w:val="single" w:sz="4" w:space="0" w:color="7F7F7F"/>
              <w:bottom w:val="single" w:sz="4" w:space="0" w:color="7F7F7F"/>
              <w:right w:val="single" w:sz="4" w:space="0" w:color="7F7F7F"/>
            </w:tcBorders>
            <w:vAlign w:val="center"/>
            <w:hideMark/>
          </w:tcPr>
          <w:p w14:paraId="09F2A354" w14:textId="77777777" w:rsidR="00B2086D" w:rsidRPr="00B2086D" w:rsidRDefault="00B2086D" w:rsidP="00B2086D">
            <w:pPr>
              <w:rPr>
                <w:rFonts w:ascii="Calibri" w:hAnsi="Calibri" w:cs="Calibri"/>
                <w:b/>
                <w:bCs/>
                <w:color w:val="FA7D00"/>
                <w:sz w:val="16"/>
                <w:szCs w:val="16"/>
              </w:rPr>
            </w:pPr>
          </w:p>
        </w:tc>
        <w:tc>
          <w:tcPr>
            <w:tcW w:w="160" w:type="dxa"/>
            <w:tcBorders>
              <w:top w:val="nil"/>
              <w:left w:val="nil"/>
              <w:bottom w:val="nil"/>
              <w:right w:val="nil"/>
            </w:tcBorders>
            <w:shd w:val="clear" w:color="000000" w:fill="FFFFFF"/>
            <w:noWrap/>
            <w:vAlign w:val="bottom"/>
            <w:hideMark/>
          </w:tcPr>
          <w:p w14:paraId="3C708184"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single" w:sz="4" w:space="0" w:color="7F7F7F"/>
              <w:bottom w:val="nil"/>
              <w:right w:val="single" w:sz="4" w:space="0" w:color="7F7F7F"/>
            </w:tcBorders>
            <w:shd w:val="clear" w:color="000000" w:fill="FFFF00"/>
            <w:noWrap/>
            <w:vAlign w:val="bottom"/>
            <w:hideMark/>
          </w:tcPr>
          <w:p w14:paraId="4325810A" w14:textId="77777777" w:rsidR="00B2086D" w:rsidRPr="00B2086D" w:rsidRDefault="00B2086D" w:rsidP="00B2086D">
            <w:pPr>
              <w:jc w:val="right"/>
              <w:rPr>
                <w:rFonts w:ascii="Calibri" w:hAnsi="Calibri" w:cs="Calibri"/>
                <w:b/>
                <w:bCs/>
                <w:color w:val="000000"/>
                <w:sz w:val="16"/>
                <w:szCs w:val="16"/>
              </w:rPr>
            </w:pPr>
            <w:r w:rsidRPr="00B2086D">
              <w:rPr>
                <w:rFonts w:ascii="Calibri" w:hAnsi="Calibri" w:cs="Calibri"/>
                <w:b/>
                <w:bCs/>
                <w:color w:val="000000"/>
                <w:sz w:val="16"/>
                <w:szCs w:val="16"/>
              </w:rPr>
              <w:t>2018</w:t>
            </w:r>
          </w:p>
        </w:tc>
        <w:tc>
          <w:tcPr>
            <w:tcW w:w="1417" w:type="dxa"/>
            <w:tcBorders>
              <w:top w:val="nil"/>
              <w:left w:val="nil"/>
              <w:bottom w:val="nil"/>
              <w:right w:val="single" w:sz="4" w:space="0" w:color="7F7F7F"/>
            </w:tcBorders>
            <w:shd w:val="clear" w:color="000000" w:fill="FFFF00"/>
            <w:noWrap/>
            <w:vAlign w:val="bottom"/>
            <w:hideMark/>
          </w:tcPr>
          <w:p w14:paraId="10D43F8B" w14:textId="77777777" w:rsidR="00B2086D" w:rsidRPr="00B2086D" w:rsidRDefault="00B2086D" w:rsidP="00B2086D">
            <w:pPr>
              <w:jc w:val="right"/>
              <w:rPr>
                <w:rFonts w:ascii="Calibri" w:hAnsi="Calibri" w:cs="Calibri"/>
                <w:b/>
                <w:bCs/>
                <w:color w:val="000000"/>
                <w:sz w:val="16"/>
                <w:szCs w:val="16"/>
              </w:rPr>
            </w:pPr>
            <w:r w:rsidRPr="00B2086D">
              <w:rPr>
                <w:rFonts w:ascii="Calibri" w:hAnsi="Calibri" w:cs="Calibri"/>
                <w:b/>
                <w:bCs/>
                <w:color w:val="000000"/>
                <w:sz w:val="16"/>
                <w:szCs w:val="16"/>
              </w:rPr>
              <w:t>2019</w:t>
            </w:r>
          </w:p>
        </w:tc>
        <w:tc>
          <w:tcPr>
            <w:tcW w:w="1134" w:type="dxa"/>
            <w:gridSpan w:val="2"/>
            <w:tcBorders>
              <w:top w:val="nil"/>
              <w:left w:val="nil"/>
              <w:bottom w:val="nil"/>
              <w:right w:val="single" w:sz="4" w:space="0" w:color="7F7F7F"/>
            </w:tcBorders>
            <w:shd w:val="clear" w:color="000000" w:fill="FFFF00"/>
            <w:noWrap/>
            <w:vAlign w:val="bottom"/>
            <w:hideMark/>
          </w:tcPr>
          <w:p w14:paraId="399661FB" w14:textId="77777777" w:rsidR="00B2086D" w:rsidRPr="00B2086D" w:rsidRDefault="00B2086D" w:rsidP="00B2086D">
            <w:pPr>
              <w:jc w:val="right"/>
              <w:rPr>
                <w:rFonts w:ascii="Calibri" w:hAnsi="Calibri" w:cs="Calibri"/>
                <w:b/>
                <w:bCs/>
                <w:color w:val="000000"/>
                <w:sz w:val="16"/>
                <w:szCs w:val="16"/>
              </w:rPr>
            </w:pPr>
            <w:r w:rsidRPr="00B2086D">
              <w:rPr>
                <w:rFonts w:ascii="Calibri" w:hAnsi="Calibri" w:cs="Calibri"/>
                <w:b/>
                <w:bCs/>
                <w:color w:val="000000"/>
                <w:sz w:val="16"/>
                <w:szCs w:val="16"/>
              </w:rPr>
              <w:t>2020</w:t>
            </w:r>
          </w:p>
        </w:tc>
        <w:tc>
          <w:tcPr>
            <w:tcW w:w="1418" w:type="dxa"/>
            <w:tcBorders>
              <w:top w:val="nil"/>
              <w:left w:val="nil"/>
              <w:bottom w:val="nil"/>
              <w:right w:val="single" w:sz="4" w:space="0" w:color="7F7F7F"/>
            </w:tcBorders>
            <w:shd w:val="clear" w:color="000000" w:fill="FFFF00"/>
            <w:noWrap/>
            <w:vAlign w:val="bottom"/>
            <w:hideMark/>
          </w:tcPr>
          <w:p w14:paraId="5939B3A6" w14:textId="77777777" w:rsidR="00B2086D" w:rsidRPr="00B2086D" w:rsidRDefault="00B2086D" w:rsidP="00B2086D">
            <w:pPr>
              <w:jc w:val="right"/>
              <w:rPr>
                <w:rFonts w:ascii="Calibri" w:hAnsi="Calibri" w:cs="Calibri"/>
                <w:b/>
                <w:bCs/>
                <w:color w:val="000000"/>
                <w:sz w:val="16"/>
                <w:szCs w:val="16"/>
              </w:rPr>
            </w:pPr>
            <w:r w:rsidRPr="00B2086D">
              <w:rPr>
                <w:rFonts w:ascii="Calibri" w:hAnsi="Calibri" w:cs="Calibri"/>
                <w:b/>
                <w:bCs/>
                <w:color w:val="000000"/>
                <w:sz w:val="16"/>
                <w:szCs w:val="16"/>
              </w:rPr>
              <w:t>2021</w:t>
            </w:r>
          </w:p>
        </w:tc>
        <w:tc>
          <w:tcPr>
            <w:tcW w:w="1417" w:type="dxa"/>
            <w:tcBorders>
              <w:top w:val="nil"/>
              <w:left w:val="nil"/>
              <w:bottom w:val="nil"/>
              <w:right w:val="single" w:sz="4" w:space="0" w:color="auto"/>
            </w:tcBorders>
            <w:shd w:val="clear" w:color="000000" w:fill="FFFF00"/>
            <w:noWrap/>
            <w:vAlign w:val="bottom"/>
            <w:hideMark/>
          </w:tcPr>
          <w:p w14:paraId="15ADBC80" w14:textId="77777777" w:rsidR="00B2086D" w:rsidRPr="00B2086D" w:rsidRDefault="00B2086D" w:rsidP="00B2086D">
            <w:pPr>
              <w:jc w:val="right"/>
              <w:rPr>
                <w:rFonts w:ascii="Calibri" w:hAnsi="Calibri" w:cs="Calibri"/>
                <w:b/>
                <w:bCs/>
                <w:color w:val="000000"/>
                <w:sz w:val="16"/>
                <w:szCs w:val="16"/>
              </w:rPr>
            </w:pPr>
            <w:r w:rsidRPr="00B2086D">
              <w:rPr>
                <w:rFonts w:ascii="Calibri" w:hAnsi="Calibri" w:cs="Calibri"/>
                <w:b/>
                <w:bCs/>
                <w:color w:val="000000"/>
                <w:sz w:val="16"/>
                <w:szCs w:val="16"/>
              </w:rPr>
              <w:t>2022</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5254222" w14:textId="77777777" w:rsidR="00B2086D" w:rsidRPr="00B2086D" w:rsidRDefault="00B2086D" w:rsidP="00B2086D">
            <w:pPr>
              <w:rPr>
                <w:rFonts w:ascii="Calibri" w:hAnsi="Calibri" w:cs="Calibri"/>
                <w:b/>
                <w:bCs/>
                <w:color w:val="FA7D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166DEB4" w14:textId="77777777" w:rsidR="00B2086D" w:rsidRPr="00B2086D" w:rsidRDefault="00B2086D" w:rsidP="00B2086D">
            <w:pPr>
              <w:rPr>
                <w:rFonts w:ascii="Calibri" w:hAnsi="Calibri" w:cs="Calibri"/>
                <w:b/>
                <w:bCs/>
                <w:color w:val="FA7D00"/>
                <w:sz w:val="16"/>
                <w:szCs w:val="16"/>
              </w:rPr>
            </w:pPr>
          </w:p>
        </w:tc>
      </w:tr>
      <w:tr w:rsidR="00B2086D" w:rsidRPr="00B2086D" w14:paraId="7BEB6B47" w14:textId="77777777" w:rsidTr="00B2086D">
        <w:trPr>
          <w:trHeight w:val="360"/>
        </w:trPr>
        <w:tc>
          <w:tcPr>
            <w:tcW w:w="1413" w:type="dxa"/>
            <w:gridSpan w:val="2"/>
            <w:tcBorders>
              <w:top w:val="single" w:sz="8" w:space="0" w:color="auto"/>
              <w:left w:val="single" w:sz="8" w:space="0" w:color="auto"/>
              <w:bottom w:val="single" w:sz="8" w:space="0" w:color="auto"/>
              <w:right w:val="single" w:sz="4" w:space="0" w:color="auto"/>
            </w:tcBorders>
            <w:shd w:val="clear" w:color="000000" w:fill="FF0000"/>
            <w:vAlign w:val="center"/>
            <w:hideMark/>
          </w:tcPr>
          <w:p w14:paraId="5010B807" w14:textId="77777777" w:rsidR="00B2086D" w:rsidRPr="00B2086D" w:rsidRDefault="00B2086D" w:rsidP="00B2086D">
            <w:pPr>
              <w:rPr>
                <w:b/>
                <w:bCs/>
                <w:color w:val="FFFFFF"/>
                <w:sz w:val="16"/>
                <w:szCs w:val="16"/>
              </w:rPr>
            </w:pPr>
            <w:r w:rsidRPr="00B2086D">
              <w:rPr>
                <w:b/>
                <w:bCs/>
                <w:color w:val="FFFFFF"/>
                <w:sz w:val="16"/>
                <w:szCs w:val="16"/>
              </w:rPr>
              <w:t>Priorité -1</w:t>
            </w:r>
          </w:p>
        </w:tc>
        <w:tc>
          <w:tcPr>
            <w:tcW w:w="13183" w:type="dxa"/>
            <w:gridSpan w:val="12"/>
            <w:tcBorders>
              <w:top w:val="single" w:sz="8" w:space="0" w:color="auto"/>
              <w:left w:val="nil"/>
              <w:bottom w:val="single" w:sz="8" w:space="0" w:color="auto"/>
              <w:right w:val="single" w:sz="8" w:space="0" w:color="000000"/>
            </w:tcBorders>
            <w:shd w:val="clear" w:color="000000" w:fill="E7E6E6"/>
            <w:vAlign w:val="center"/>
            <w:hideMark/>
          </w:tcPr>
          <w:p w14:paraId="2C70BC10" w14:textId="77777777" w:rsidR="00B2086D" w:rsidRPr="00B2086D" w:rsidRDefault="00B2086D" w:rsidP="00B2086D">
            <w:pPr>
              <w:rPr>
                <w:color w:val="000000"/>
                <w:sz w:val="16"/>
                <w:szCs w:val="16"/>
              </w:rPr>
            </w:pPr>
            <w:r w:rsidRPr="00B2086D">
              <w:rPr>
                <w:color w:val="000000"/>
                <w:sz w:val="16"/>
                <w:szCs w:val="16"/>
              </w:rPr>
              <w:t>Réduire très significativement les nouvelles infections parmi les populations vulnérables (en l’occurrence les jeunes filles, les jeunes femmes), les populations clés et éliminer celle chez les enfants</w:t>
            </w:r>
          </w:p>
        </w:tc>
      </w:tr>
      <w:tr w:rsidR="00B2086D" w:rsidRPr="00B2086D" w14:paraId="2439F7EF" w14:textId="77777777" w:rsidTr="00B2086D">
        <w:trPr>
          <w:trHeight w:val="580"/>
        </w:trPr>
        <w:tc>
          <w:tcPr>
            <w:tcW w:w="562" w:type="dxa"/>
            <w:vMerge w:val="restart"/>
            <w:tcBorders>
              <w:top w:val="nil"/>
              <w:left w:val="single" w:sz="8" w:space="0" w:color="auto"/>
              <w:bottom w:val="single" w:sz="8" w:space="0" w:color="000000"/>
              <w:right w:val="single" w:sz="4" w:space="0" w:color="auto"/>
            </w:tcBorders>
            <w:shd w:val="clear" w:color="auto" w:fill="auto"/>
            <w:vAlign w:val="center"/>
            <w:hideMark/>
          </w:tcPr>
          <w:p w14:paraId="117F8F36" w14:textId="77777777" w:rsidR="00B2086D" w:rsidRPr="00B2086D" w:rsidRDefault="00B2086D" w:rsidP="00B2086D">
            <w:pPr>
              <w:jc w:val="center"/>
              <w:rPr>
                <w:sz w:val="16"/>
                <w:szCs w:val="16"/>
              </w:rPr>
            </w:pPr>
            <w:r w:rsidRPr="00B2086D">
              <w:rPr>
                <w:sz w:val="16"/>
                <w:szCs w:val="16"/>
              </w:rPr>
              <w:t> </w:t>
            </w:r>
          </w:p>
        </w:tc>
        <w:tc>
          <w:tcPr>
            <w:tcW w:w="851" w:type="dxa"/>
            <w:tcBorders>
              <w:top w:val="nil"/>
              <w:left w:val="nil"/>
              <w:bottom w:val="single" w:sz="4" w:space="0" w:color="auto"/>
              <w:right w:val="single" w:sz="4" w:space="0" w:color="auto"/>
            </w:tcBorders>
            <w:shd w:val="clear" w:color="000000" w:fill="00B0F0"/>
            <w:vAlign w:val="center"/>
            <w:hideMark/>
          </w:tcPr>
          <w:p w14:paraId="65A5CD60" w14:textId="77777777" w:rsidR="00B2086D" w:rsidRPr="00B2086D" w:rsidRDefault="00B2086D" w:rsidP="00B2086D">
            <w:pPr>
              <w:rPr>
                <w:color w:val="FFFFFF"/>
                <w:sz w:val="16"/>
                <w:szCs w:val="16"/>
              </w:rPr>
            </w:pPr>
            <w:r w:rsidRPr="00B2086D">
              <w:rPr>
                <w:color w:val="FFFFFF"/>
                <w:sz w:val="16"/>
                <w:szCs w:val="16"/>
              </w:rPr>
              <w:t>Impact-1</w:t>
            </w:r>
          </w:p>
        </w:tc>
        <w:tc>
          <w:tcPr>
            <w:tcW w:w="4394" w:type="dxa"/>
            <w:gridSpan w:val="2"/>
            <w:tcBorders>
              <w:top w:val="single" w:sz="8" w:space="0" w:color="auto"/>
              <w:left w:val="nil"/>
              <w:bottom w:val="single" w:sz="4" w:space="0" w:color="auto"/>
              <w:right w:val="single" w:sz="4" w:space="0" w:color="auto"/>
            </w:tcBorders>
            <w:shd w:val="clear" w:color="000000" w:fill="EBF1DE"/>
            <w:vAlign w:val="center"/>
            <w:hideMark/>
          </w:tcPr>
          <w:p w14:paraId="24C4D603" w14:textId="77777777" w:rsidR="00B2086D" w:rsidRPr="00B2086D" w:rsidRDefault="00B2086D" w:rsidP="00B2086D">
            <w:pPr>
              <w:jc w:val="both"/>
              <w:rPr>
                <w:color w:val="000000"/>
                <w:sz w:val="16"/>
                <w:szCs w:val="16"/>
              </w:rPr>
            </w:pPr>
            <w:r w:rsidRPr="00B2086D">
              <w:rPr>
                <w:color w:val="000000"/>
                <w:sz w:val="16"/>
                <w:szCs w:val="16"/>
              </w:rPr>
              <w:t>Les nouvelles infections sont réduites de 50% d’ici à fin 2022</w:t>
            </w:r>
          </w:p>
        </w:tc>
        <w:tc>
          <w:tcPr>
            <w:tcW w:w="183" w:type="dxa"/>
            <w:gridSpan w:val="2"/>
            <w:tcBorders>
              <w:top w:val="nil"/>
              <w:left w:val="nil"/>
              <w:bottom w:val="nil"/>
              <w:right w:val="nil"/>
            </w:tcBorders>
            <w:shd w:val="clear" w:color="000000" w:fill="FFFFFF"/>
            <w:noWrap/>
            <w:vAlign w:val="bottom"/>
            <w:hideMark/>
          </w:tcPr>
          <w:p w14:paraId="2E52E76A"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093" w:type="dxa"/>
            <w:tcBorders>
              <w:top w:val="nil"/>
              <w:left w:val="single" w:sz="4" w:space="0" w:color="auto"/>
              <w:bottom w:val="single" w:sz="4" w:space="0" w:color="auto"/>
              <w:right w:val="single" w:sz="4" w:space="0" w:color="auto"/>
            </w:tcBorders>
            <w:shd w:val="clear" w:color="000000" w:fill="EBF1DE"/>
            <w:noWrap/>
            <w:vAlign w:val="center"/>
            <w:hideMark/>
          </w:tcPr>
          <w:p w14:paraId="3D849B6F"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$12 725 920</w:t>
            </w:r>
          </w:p>
        </w:tc>
        <w:tc>
          <w:tcPr>
            <w:tcW w:w="1715" w:type="dxa"/>
            <w:gridSpan w:val="2"/>
            <w:tcBorders>
              <w:top w:val="nil"/>
              <w:left w:val="nil"/>
              <w:bottom w:val="single" w:sz="4" w:space="0" w:color="auto"/>
              <w:right w:val="single" w:sz="4" w:space="0" w:color="auto"/>
            </w:tcBorders>
            <w:shd w:val="clear" w:color="000000" w:fill="EBF1DE"/>
            <w:noWrap/>
            <w:vAlign w:val="center"/>
            <w:hideMark/>
          </w:tcPr>
          <w:p w14:paraId="234BC792"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$14 838 456</w:t>
            </w:r>
          </w:p>
        </w:tc>
        <w:tc>
          <w:tcPr>
            <w:tcW w:w="836" w:type="dxa"/>
            <w:tcBorders>
              <w:top w:val="nil"/>
              <w:left w:val="nil"/>
              <w:bottom w:val="single" w:sz="4" w:space="0" w:color="auto"/>
              <w:right w:val="single" w:sz="4" w:space="0" w:color="auto"/>
            </w:tcBorders>
            <w:shd w:val="clear" w:color="000000" w:fill="EBF1DE"/>
            <w:noWrap/>
            <w:vAlign w:val="center"/>
            <w:hideMark/>
          </w:tcPr>
          <w:p w14:paraId="2D33E224"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$17 162 871</w:t>
            </w:r>
          </w:p>
        </w:tc>
        <w:tc>
          <w:tcPr>
            <w:tcW w:w="1418" w:type="dxa"/>
            <w:tcBorders>
              <w:top w:val="nil"/>
              <w:left w:val="nil"/>
              <w:bottom w:val="single" w:sz="4" w:space="0" w:color="auto"/>
              <w:right w:val="single" w:sz="4" w:space="0" w:color="auto"/>
            </w:tcBorders>
            <w:shd w:val="clear" w:color="000000" w:fill="EBF1DE"/>
            <w:noWrap/>
            <w:vAlign w:val="center"/>
            <w:hideMark/>
          </w:tcPr>
          <w:p w14:paraId="3A773819"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$19 655 780</w:t>
            </w:r>
          </w:p>
        </w:tc>
        <w:tc>
          <w:tcPr>
            <w:tcW w:w="1417" w:type="dxa"/>
            <w:tcBorders>
              <w:top w:val="nil"/>
              <w:left w:val="nil"/>
              <w:bottom w:val="single" w:sz="4" w:space="0" w:color="auto"/>
              <w:right w:val="single" w:sz="4" w:space="0" w:color="auto"/>
            </w:tcBorders>
            <w:shd w:val="clear" w:color="000000" w:fill="EBF1DE"/>
            <w:noWrap/>
            <w:vAlign w:val="center"/>
            <w:hideMark/>
          </w:tcPr>
          <w:p w14:paraId="0AAFF9B1"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$22 120 665</w:t>
            </w:r>
          </w:p>
        </w:tc>
        <w:tc>
          <w:tcPr>
            <w:tcW w:w="1276" w:type="dxa"/>
            <w:tcBorders>
              <w:top w:val="nil"/>
              <w:left w:val="nil"/>
              <w:bottom w:val="single" w:sz="4" w:space="0" w:color="auto"/>
              <w:right w:val="single" w:sz="4" w:space="0" w:color="auto"/>
            </w:tcBorders>
            <w:shd w:val="clear" w:color="000000" w:fill="EBF1DE"/>
            <w:noWrap/>
            <w:vAlign w:val="center"/>
            <w:hideMark/>
          </w:tcPr>
          <w:p w14:paraId="1C0AB047"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$86 503 692</w:t>
            </w:r>
          </w:p>
        </w:tc>
        <w:tc>
          <w:tcPr>
            <w:tcW w:w="851" w:type="dxa"/>
            <w:tcBorders>
              <w:top w:val="nil"/>
              <w:left w:val="nil"/>
              <w:bottom w:val="single" w:sz="4" w:space="0" w:color="auto"/>
              <w:right w:val="single" w:sz="8" w:space="0" w:color="auto"/>
            </w:tcBorders>
            <w:shd w:val="clear" w:color="000000" w:fill="EBF1DE"/>
            <w:noWrap/>
            <w:vAlign w:val="center"/>
            <w:hideMark/>
          </w:tcPr>
          <w:p w14:paraId="61195760"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32,9%</w:t>
            </w:r>
          </w:p>
        </w:tc>
      </w:tr>
      <w:tr w:rsidR="00B2086D" w:rsidRPr="00B2086D" w14:paraId="0F33A728" w14:textId="77777777" w:rsidTr="00B2086D">
        <w:trPr>
          <w:trHeight w:val="580"/>
        </w:trPr>
        <w:tc>
          <w:tcPr>
            <w:tcW w:w="562" w:type="dxa"/>
            <w:vMerge/>
            <w:tcBorders>
              <w:top w:val="nil"/>
              <w:left w:val="single" w:sz="8" w:space="0" w:color="auto"/>
              <w:bottom w:val="single" w:sz="8" w:space="0" w:color="000000"/>
              <w:right w:val="single" w:sz="4" w:space="0" w:color="auto"/>
            </w:tcBorders>
            <w:vAlign w:val="center"/>
            <w:hideMark/>
          </w:tcPr>
          <w:p w14:paraId="5EE9618A" w14:textId="77777777" w:rsidR="00B2086D" w:rsidRPr="00B2086D" w:rsidRDefault="00B2086D" w:rsidP="00B2086D">
            <w:pPr>
              <w:rPr>
                <w:sz w:val="16"/>
                <w:szCs w:val="16"/>
              </w:rPr>
            </w:pPr>
          </w:p>
        </w:tc>
        <w:tc>
          <w:tcPr>
            <w:tcW w:w="85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3A4FE38B" w14:textId="77777777" w:rsidR="00B2086D" w:rsidRPr="00B2086D" w:rsidRDefault="00B2086D" w:rsidP="00B2086D">
            <w:pPr>
              <w:jc w:val="center"/>
              <w:rPr>
                <w:color w:val="000000"/>
                <w:sz w:val="16"/>
                <w:szCs w:val="16"/>
              </w:rPr>
            </w:pPr>
            <w:r w:rsidRPr="00B2086D">
              <w:rPr>
                <w:color w:val="000000"/>
                <w:sz w:val="16"/>
                <w:szCs w:val="16"/>
              </w:rPr>
              <w:t> </w:t>
            </w:r>
          </w:p>
        </w:tc>
        <w:tc>
          <w:tcPr>
            <w:tcW w:w="517" w:type="dxa"/>
            <w:vMerge w:val="restart"/>
            <w:tcBorders>
              <w:top w:val="nil"/>
              <w:left w:val="single" w:sz="4" w:space="0" w:color="auto"/>
              <w:bottom w:val="single" w:sz="8" w:space="0" w:color="000000"/>
              <w:right w:val="single" w:sz="4" w:space="0" w:color="auto"/>
            </w:tcBorders>
            <w:shd w:val="clear" w:color="000000" w:fill="FFFFFF"/>
            <w:noWrap/>
            <w:textDirection w:val="btLr"/>
            <w:vAlign w:val="center"/>
            <w:hideMark/>
          </w:tcPr>
          <w:p w14:paraId="25D9215E" w14:textId="77777777" w:rsidR="00B2086D" w:rsidRPr="00B2086D" w:rsidRDefault="00B2086D" w:rsidP="00B2086D">
            <w:pPr>
              <w:jc w:val="center"/>
              <w:rPr>
                <w:color w:val="000000"/>
                <w:sz w:val="16"/>
                <w:szCs w:val="16"/>
              </w:rPr>
            </w:pPr>
            <w:r w:rsidRPr="00B2086D">
              <w:rPr>
                <w:color w:val="000000"/>
                <w:sz w:val="16"/>
                <w:szCs w:val="16"/>
              </w:rPr>
              <w:t>Effets</w:t>
            </w:r>
          </w:p>
        </w:tc>
        <w:tc>
          <w:tcPr>
            <w:tcW w:w="3877" w:type="dxa"/>
            <w:tcBorders>
              <w:top w:val="nil"/>
              <w:left w:val="nil"/>
              <w:bottom w:val="single" w:sz="4" w:space="0" w:color="auto"/>
              <w:right w:val="single" w:sz="4" w:space="0" w:color="auto"/>
            </w:tcBorders>
            <w:shd w:val="clear" w:color="000000" w:fill="FFFFFF"/>
            <w:vAlign w:val="center"/>
            <w:hideMark/>
          </w:tcPr>
          <w:p w14:paraId="15E1CCC5" w14:textId="77777777" w:rsidR="00B2086D" w:rsidRPr="00B2086D" w:rsidRDefault="00B2086D" w:rsidP="00B2086D">
            <w:pPr>
              <w:rPr>
                <w:color w:val="000000"/>
                <w:sz w:val="16"/>
                <w:szCs w:val="16"/>
              </w:rPr>
            </w:pPr>
            <w:r w:rsidRPr="00B2086D">
              <w:rPr>
                <w:color w:val="000000"/>
                <w:sz w:val="16"/>
                <w:szCs w:val="16"/>
              </w:rPr>
              <w:t>1.1-Au moins 80% des populations clés (PS, UDI, HSH) et populations vulnérables (Miniers, routiers, hommes en uniforme, populations carcérales, pêcheurs) ont des comportements à moindre risque d’ici 2022</w:t>
            </w:r>
          </w:p>
        </w:tc>
        <w:tc>
          <w:tcPr>
            <w:tcW w:w="183" w:type="dxa"/>
            <w:gridSpan w:val="2"/>
            <w:tcBorders>
              <w:top w:val="nil"/>
              <w:left w:val="nil"/>
              <w:bottom w:val="nil"/>
              <w:right w:val="nil"/>
            </w:tcBorders>
            <w:shd w:val="clear" w:color="000000" w:fill="FFFFFF"/>
            <w:noWrap/>
            <w:vAlign w:val="bottom"/>
            <w:hideMark/>
          </w:tcPr>
          <w:p w14:paraId="12796F32"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093" w:type="dxa"/>
            <w:tcBorders>
              <w:top w:val="nil"/>
              <w:left w:val="single" w:sz="4" w:space="0" w:color="auto"/>
              <w:bottom w:val="single" w:sz="4" w:space="0" w:color="auto"/>
              <w:right w:val="single" w:sz="4" w:space="0" w:color="auto"/>
            </w:tcBorders>
            <w:shd w:val="clear" w:color="000000" w:fill="FFFFFF"/>
            <w:noWrap/>
            <w:vAlign w:val="center"/>
            <w:hideMark/>
          </w:tcPr>
          <w:p w14:paraId="57AB8B88"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$7 909 119</w:t>
            </w:r>
          </w:p>
        </w:tc>
        <w:tc>
          <w:tcPr>
            <w:tcW w:w="1715" w:type="dxa"/>
            <w:gridSpan w:val="2"/>
            <w:tcBorders>
              <w:top w:val="nil"/>
              <w:left w:val="nil"/>
              <w:bottom w:val="single" w:sz="4" w:space="0" w:color="auto"/>
              <w:right w:val="single" w:sz="4" w:space="0" w:color="auto"/>
            </w:tcBorders>
            <w:shd w:val="clear" w:color="000000" w:fill="FFFFFF"/>
            <w:noWrap/>
            <w:vAlign w:val="center"/>
            <w:hideMark/>
          </w:tcPr>
          <w:p w14:paraId="6B14CD5A"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$8 973 855</w:t>
            </w:r>
          </w:p>
        </w:tc>
        <w:tc>
          <w:tcPr>
            <w:tcW w:w="836" w:type="dxa"/>
            <w:tcBorders>
              <w:top w:val="nil"/>
              <w:left w:val="nil"/>
              <w:bottom w:val="single" w:sz="4" w:space="0" w:color="auto"/>
              <w:right w:val="single" w:sz="4" w:space="0" w:color="auto"/>
            </w:tcBorders>
            <w:shd w:val="clear" w:color="000000" w:fill="FFFFFF"/>
            <w:noWrap/>
            <w:vAlign w:val="center"/>
            <w:hideMark/>
          </w:tcPr>
          <w:p w14:paraId="1816D395"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$10 368 176</w:t>
            </w:r>
          </w:p>
        </w:tc>
        <w:tc>
          <w:tcPr>
            <w:tcW w:w="1418" w:type="dxa"/>
            <w:tcBorders>
              <w:top w:val="nil"/>
              <w:left w:val="nil"/>
              <w:bottom w:val="single" w:sz="4" w:space="0" w:color="auto"/>
              <w:right w:val="single" w:sz="4" w:space="0" w:color="auto"/>
            </w:tcBorders>
            <w:shd w:val="clear" w:color="000000" w:fill="FFFFFF"/>
            <w:noWrap/>
            <w:vAlign w:val="center"/>
            <w:hideMark/>
          </w:tcPr>
          <w:p w14:paraId="3EBFC588"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$11 694 820</w:t>
            </w:r>
          </w:p>
        </w:tc>
        <w:tc>
          <w:tcPr>
            <w:tcW w:w="1417" w:type="dxa"/>
            <w:tcBorders>
              <w:top w:val="nil"/>
              <w:left w:val="nil"/>
              <w:bottom w:val="single" w:sz="4" w:space="0" w:color="auto"/>
              <w:right w:val="single" w:sz="4" w:space="0" w:color="auto"/>
            </w:tcBorders>
            <w:shd w:val="clear" w:color="000000" w:fill="FFFFFF"/>
            <w:noWrap/>
            <w:vAlign w:val="center"/>
            <w:hideMark/>
          </w:tcPr>
          <w:p w14:paraId="5E09DA68"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$13 475 442</w:t>
            </w:r>
          </w:p>
        </w:tc>
        <w:tc>
          <w:tcPr>
            <w:tcW w:w="1276" w:type="dxa"/>
            <w:tcBorders>
              <w:top w:val="nil"/>
              <w:left w:val="nil"/>
              <w:bottom w:val="single" w:sz="4" w:space="0" w:color="auto"/>
              <w:right w:val="single" w:sz="4" w:space="0" w:color="auto"/>
            </w:tcBorders>
            <w:shd w:val="clear" w:color="000000" w:fill="FFFFFF"/>
            <w:noWrap/>
            <w:vAlign w:val="center"/>
            <w:hideMark/>
          </w:tcPr>
          <w:p w14:paraId="3B0CA61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$52 421 412</w:t>
            </w:r>
          </w:p>
        </w:tc>
        <w:tc>
          <w:tcPr>
            <w:tcW w:w="851" w:type="dxa"/>
            <w:tcBorders>
              <w:top w:val="nil"/>
              <w:left w:val="nil"/>
              <w:bottom w:val="single" w:sz="4" w:space="0" w:color="auto"/>
              <w:right w:val="single" w:sz="8" w:space="0" w:color="auto"/>
            </w:tcBorders>
            <w:shd w:val="clear" w:color="000000" w:fill="FFFFFF"/>
            <w:noWrap/>
            <w:vAlign w:val="center"/>
            <w:hideMark/>
          </w:tcPr>
          <w:p w14:paraId="6F4D9AAC"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20,0%</w:t>
            </w:r>
          </w:p>
        </w:tc>
      </w:tr>
      <w:tr w:rsidR="00B2086D" w:rsidRPr="00B2086D" w14:paraId="42E044F6" w14:textId="77777777" w:rsidTr="00B2086D">
        <w:trPr>
          <w:trHeight w:val="580"/>
        </w:trPr>
        <w:tc>
          <w:tcPr>
            <w:tcW w:w="562" w:type="dxa"/>
            <w:vMerge/>
            <w:tcBorders>
              <w:top w:val="nil"/>
              <w:left w:val="single" w:sz="8" w:space="0" w:color="auto"/>
              <w:bottom w:val="single" w:sz="8" w:space="0" w:color="000000"/>
              <w:right w:val="single" w:sz="4" w:space="0" w:color="auto"/>
            </w:tcBorders>
            <w:vAlign w:val="center"/>
            <w:hideMark/>
          </w:tcPr>
          <w:p w14:paraId="4BA067F2" w14:textId="77777777" w:rsidR="00B2086D" w:rsidRPr="00B2086D" w:rsidRDefault="00B2086D" w:rsidP="00B2086D">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63C09484" w14:textId="77777777" w:rsidR="00B2086D" w:rsidRPr="00B2086D" w:rsidRDefault="00B2086D" w:rsidP="00B2086D">
            <w:pPr>
              <w:rPr>
                <w:color w:val="000000"/>
                <w:sz w:val="16"/>
                <w:szCs w:val="16"/>
              </w:rPr>
            </w:pPr>
          </w:p>
        </w:tc>
        <w:tc>
          <w:tcPr>
            <w:tcW w:w="517" w:type="dxa"/>
            <w:vMerge/>
            <w:tcBorders>
              <w:top w:val="nil"/>
              <w:left w:val="single" w:sz="4" w:space="0" w:color="auto"/>
              <w:bottom w:val="single" w:sz="8" w:space="0" w:color="000000"/>
              <w:right w:val="single" w:sz="4" w:space="0" w:color="auto"/>
            </w:tcBorders>
            <w:vAlign w:val="center"/>
            <w:hideMark/>
          </w:tcPr>
          <w:p w14:paraId="6E0E717A" w14:textId="77777777" w:rsidR="00B2086D" w:rsidRPr="00B2086D" w:rsidRDefault="00B2086D" w:rsidP="00B2086D">
            <w:pPr>
              <w:rPr>
                <w:color w:val="000000"/>
                <w:sz w:val="16"/>
                <w:szCs w:val="16"/>
              </w:rPr>
            </w:pPr>
          </w:p>
        </w:tc>
        <w:tc>
          <w:tcPr>
            <w:tcW w:w="3877" w:type="dxa"/>
            <w:tcBorders>
              <w:top w:val="nil"/>
              <w:left w:val="nil"/>
              <w:bottom w:val="single" w:sz="4" w:space="0" w:color="auto"/>
              <w:right w:val="single" w:sz="4" w:space="0" w:color="auto"/>
            </w:tcBorders>
            <w:shd w:val="clear" w:color="000000" w:fill="FFFFFF"/>
            <w:vAlign w:val="center"/>
            <w:hideMark/>
          </w:tcPr>
          <w:p w14:paraId="3B245A3E" w14:textId="77777777" w:rsidR="00B2086D" w:rsidRPr="00B2086D" w:rsidRDefault="00B2086D" w:rsidP="00B2086D">
            <w:pPr>
              <w:rPr>
                <w:color w:val="000000"/>
                <w:sz w:val="16"/>
                <w:szCs w:val="16"/>
              </w:rPr>
            </w:pPr>
            <w:r w:rsidRPr="00B2086D">
              <w:rPr>
                <w:color w:val="000000"/>
                <w:sz w:val="16"/>
                <w:szCs w:val="16"/>
              </w:rPr>
              <w:t>1.2-90% des PVVIH connaissent leur statut sérologique et sont référés vers les services de soins/traitement</w:t>
            </w:r>
          </w:p>
        </w:tc>
        <w:tc>
          <w:tcPr>
            <w:tcW w:w="183" w:type="dxa"/>
            <w:gridSpan w:val="2"/>
            <w:tcBorders>
              <w:top w:val="nil"/>
              <w:left w:val="nil"/>
              <w:bottom w:val="nil"/>
              <w:right w:val="nil"/>
            </w:tcBorders>
            <w:shd w:val="clear" w:color="000000" w:fill="FFFFFF"/>
            <w:noWrap/>
            <w:vAlign w:val="bottom"/>
            <w:hideMark/>
          </w:tcPr>
          <w:p w14:paraId="7CA6DF5A"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093" w:type="dxa"/>
            <w:tcBorders>
              <w:top w:val="nil"/>
              <w:left w:val="single" w:sz="4" w:space="0" w:color="auto"/>
              <w:bottom w:val="single" w:sz="4" w:space="0" w:color="auto"/>
              <w:right w:val="single" w:sz="4" w:space="0" w:color="auto"/>
            </w:tcBorders>
            <w:shd w:val="clear" w:color="000000" w:fill="FFFFFF"/>
            <w:noWrap/>
            <w:vAlign w:val="center"/>
            <w:hideMark/>
          </w:tcPr>
          <w:p w14:paraId="28D36FF1"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$503 209</w:t>
            </w:r>
          </w:p>
        </w:tc>
        <w:tc>
          <w:tcPr>
            <w:tcW w:w="1715" w:type="dxa"/>
            <w:gridSpan w:val="2"/>
            <w:tcBorders>
              <w:top w:val="nil"/>
              <w:left w:val="nil"/>
              <w:bottom w:val="single" w:sz="4" w:space="0" w:color="auto"/>
              <w:right w:val="single" w:sz="4" w:space="0" w:color="auto"/>
            </w:tcBorders>
            <w:shd w:val="clear" w:color="000000" w:fill="FFFFFF"/>
            <w:noWrap/>
            <w:vAlign w:val="center"/>
            <w:hideMark/>
          </w:tcPr>
          <w:p w14:paraId="527A27EC"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$715 029</w:t>
            </w:r>
          </w:p>
        </w:tc>
        <w:tc>
          <w:tcPr>
            <w:tcW w:w="836" w:type="dxa"/>
            <w:tcBorders>
              <w:top w:val="nil"/>
              <w:left w:val="nil"/>
              <w:bottom w:val="single" w:sz="4" w:space="0" w:color="auto"/>
              <w:right w:val="single" w:sz="4" w:space="0" w:color="auto"/>
            </w:tcBorders>
            <w:shd w:val="clear" w:color="000000" w:fill="FFFFFF"/>
            <w:noWrap/>
            <w:vAlign w:val="center"/>
            <w:hideMark/>
          </w:tcPr>
          <w:p w14:paraId="335A6B7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$981 582</w:t>
            </w:r>
          </w:p>
        </w:tc>
        <w:tc>
          <w:tcPr>
            <w:tcW w:w="1418" w:type="dxa"/>
            <w:tcBorders>
              <w:top w:val="nil"/>
              <w:left w:val="nil"/>
              <w:bottom w:val="single" w:sz="4" w:space="0" w:color="auto"/>
              <w:right w:val="single" w:sz="4" w:space="0" w:color="auto"/>
            </w:tcBorders>
            <w:shd w:val="clear" w:color="000000" w:fill="FFFFFF"/>
            <w:noWrap/>
            <w:vAlign w:val="center"/>
            <w:hideMark/>
          </w:tcPr>
          <w:p w14:paraId="2EDA83B0"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$1 284 506</w:t>
            </w:r>
          </w:p>
        </w:tc>
        <w:tc>
          <w:tcPr>
            <w:tcW w:w="1417" w:type="dxa"/>
            <w:tcBorders>
              <w:top w:val="nil"/>
              <w:left w:val="nil"/>
              <w:bottom w:val="single" w:sz="4" w:space="0" w:color="auto"/>
              <w:right w:val="single" w:sz="4" w:space="0" w:color="auto"/>
            </w:tcBorders>
            <w:shd w:val="clear" w:color="000000" w:fill="FFFFFF"/>
            <w:noWrap/>
            <w:vAlign w:val="center"/>
            <w:hideMark/>
          </w:tcPr>
          <w:p w14:paraId="0FFAB249"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$1 643 384</w:t>
            </w:r>
          </w:p>
        </w:tc>
        <w:tc>
          <w:tcPr>
            <w:tcW w:w="1276" w:type="dxa"/>
            <w:tcBorders>
              <w:top w:val="nil"/>
              <w:left w:val="nil"/>
              <w:bottom w:val="single" w:sz="4" w:space="0" w:color="auto"/>
              <w:right w:val="single" w:sz="4" w:space="0" w:color="auto"/>
            </w:tcBorders>
            <w:shd w:val="clear" w:color="000000" w:fill="FFFFFF"/>
            <w:noWrap/>
            <w:vAlign w:val="center"/>
            <w:hideMark/>
          </w:tcPr>
          <w:p w14:paraId="1F96489A"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$5 127 710</w:t>
            </w:r>
          </w:p>
        </w:tc>
        <w:tc>
          <w:tcPr>
            <w:tcW w:w="851" w:type="dxa"/>
            <w:tcBorders>
              <w:top w:val="nil"/>
              <w:left w:val="nil"/>
              <w:bottom w:val="single" w:sz="4" w:space="0" w:color="auto"/>
              <w:right w:val="single" w:sz="8" w:space="0" w:color="auto"/>
            </w:tcBorders>
            <w:shd w:val="clear" w:color="000000" w:fill="FFFFFF"/>
            <w:noWrap/>
            <w:vAlign w:val="center"/>
            <w:hideMark/>
          </w:tcPr>
          <w:p w14:paraId="636C0A9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2,0%</w:t>
            </w:r>
          </w:p>
        </w:tc>
      </w:tr>
      <w:tr w:rsidR="00B2086D" w:rsidRPr="00B2086D" w14:paraId="478E46A2" w14:textId="77777777" w:rsidTr="00B2086D">
        <w:trPr>
          <w:trHeight w:val="580"/>
        </w:trPr>
        <w:tc>
          <w:tcPr>
            <w:tcW w:w="562" w:type="dxa"/>
            <w:vMerge/>
            <w:tcBorders>
              <w:top w:val="nil"/>
              <w:left w:val="single" w:sz="8" w:space="0" w:color="auto"/>
              <w:bottom w:val="single" w:sz="8" w:space="0" w:color="000000"/>
              <w:right w:val="single" w:sz="4" w:space="0" w:color="auto"/>
            </w:tcBorders>
            <w:vAlign w:val="center"/>
            <w:hideMark/>
          </w:tcPr>
          <w:p w14:paraId="30C26AFC" w14:textId="77777777" w:rsidR="00B2086D" w:rsidRPr="00B2086D" w:rsidRDefault="00B2086D" w:rsidP="00B2086D">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2D8F0251" w14:textId="77777777" w:rsidR="00B2086D" w:rsidRPr="00B2086D" w:rsidRDefault="00B2086D" w:rsidP="00B2086D">
            <w:pPr>
              <w:rPr>
                <w:color w:val="000000"/>
                <w:sz w:val="16"/>
                <w:szCs w:val="16"/>
              </w:rPr>
            </w:pPr>
          </w:p>
        </w:tc>
        <w:tc>
          <w:tcPr>
            <w:tcW w:w="517" w:type="dxa"/>
            <w:vMerge/>
            <w:tcBorders>
              <w:top w:val="nil"/>
              <w:left w:val="single" w:sz="4" w:space="0" w:color="auto"/>
              <w:bottom w:val="single" w:sz="8" w:space="0" w:color="000000"/>
              <w:right w:val="single" w:sz="4" w:space="0" w:color="auto"/>
            </w:tcBorders>
            <w:vAlign w:val="center"/>
            <w:hideMark/>
          </w:tcPr>
          <w:p w14:paraId="62589CD0" w14:textId="77777777" w:rsidR="00B2086D" w:rsidRPr="00B2086D" w:rsidRDefault="00B2086D" w:rsidP="00B2086D">
            <w:pPr>
              <w:rPr>
                <w:color w:val="000000"/>
                <w:sz w:val="16"/>
                <w:szCs w:val="16"/>
              </w:rPr>
            </w:pPr>
          </w:p>
        </w:tc>
        <w:tc>
          <w:tcPr>
            <w:tcW w:w="3877" w:type="dxa"/>
            <w:tcBorders>
              <w:top w:val="nil"/>
              <w:left w:val="nil"/>
              <w:bottom w:val="single" w:sz="4" w:space="0" w:color="auto"/>
              <w:right w:val="single" w:sz="4" w:space="0" w:color="auto"/>
            </w:tcBorders>
            <w:shd w:val="clear" w:color="000000" w:fill="FFFFFF"/>
            <w:vAlign w:val="center"/>
            <w:hideMark/>
          </w:tcPr>
          <w:p w14:paraId="7C84CB06" w14:textId="77777777" w:rsidR="00B2086D" w:rsidRPr="00B2086D" w:rsidRDefault="00B2086D" w:rsidP="00B2086D">
            <w:pPr>
              <w:rPr>
                <w:color w:val="000000"/>
                <w:sz w:val="16"/>
                <w:szCs w:val="16"/>
              </w:rPr>
            </w:pPr>
            <w:r w:rsidRPr="00B2086D">
              <w:rPr>
                <w:color w:val="000000"/>
                <w:sz w:val="16"/>
                <w:szCs w:val="16"/>
              </w:rPr>
              <w:t>1.3-la transmission sanguine du VIH est éliminée (risque=0%) pendant la période 2018-2022</w:t>
            </w:r>
          </w:p>
        </w:tc>
        <w:tc>
          <w:tcPr>
            <w:tcW w:w="183" w:type="dxa"/>
            <w:gridSpan w:val="2"/>
            <w:tcBorders>
              <w:top w:val="nil"/>
              <w:left w:val="nil"/>
              <w:bottom w:val="nil"/>
              <w:right w:val="nil"/>
            </w:tcBorders>
            <w:shd w:val="clear" w:color="000000" w:fill="FFFFFF"/>
            <w:noWrap/>
            <w:vAlign w:val="bottom"/>
            <w:hideMark/>
          </w:tcPr>
          <w:p w14:paraId="0D6DA1DD"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093" w:type="dxa"/>
            <w:tcBorders>
              <w:top w:val="nil"/>
              <w:left w:val="single" w:sz="4" w:space="0" w:color="auto"/>
              <w:bottom w:val="single" w:sz="4" w:space="0" w:color="auto"/>
              <w:right w:val="single" w:sz="4" w:space="0" w:color="auto"/>
            </w:tcBorders>
            <w:shd w:val="clear" w:color="000000" w:fill="FFFFFF"/>
            <w:noWrap/>
            <w:vAlign w:val="center"/>
            <w:hideMark/>
          </w:tcPr>
          <w:p w14:paraId="41E7585A"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$146 127</w:t>
            </w:r>
          </w:p>
        </w:tc>
        <w:tc>
          <w:tcPr>
            <w:tcW w:w="1715" w:type="dxa"/>
            <w:gridSpan w:val="2"/>
            <w:tcBorders>
              <w:top w:val="nil"/>
              <w:left w:val="nil"/>
              <w:bottom w:val="single" w:sz="4" w:space="0" w:color="auto"/>
              <w:right w:val="single" w:sz="4" w:space="0" w:color="auto"/>
            </w:tcBorders>
            <w:shd w:val="clear" w:color="000000" w:fill="FFFFFF"/>
            <w:noWrap/>
            <w:vAlign w:val="center"/>
            <w:hideMark/>
          </w:tcPr>
          <w:p w14:paraId="63354FF5"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$325 299</w:t>
            </w:r>
          </w:p>
        </w:tc>
        <w:tc>
          <w:tcPr>
            <w:tcW w:w="836" w:type="dxa"/>
            <w:tcBorders>
              <w:top w:val="nil"/>
              <w:left w:val="nil"/>
              <w:bottom w:val="single" w:sz="4" w:space="0" w:color="auto"/>
              <w:right w:val="single" w:sz="4" w:space="0" w:color="auto"/>
            </w:tcBorders>
            <w:shd w:val="clear" w:color="000000" w:fill="FFFFFF"/>
            <w:noWrap/>
            <w:vAlign w:val="center"/>
            <w:hideMark/>
          </w:tcPr>
          <w:p w14:paraId="0F494CFD"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$452 601</w:t>
            </w:r>
          </w:p>
        </w:tc>
        <w:tc>
          <w:tcPr>
            <w:tcW w:w="1418" w:type="dxa"/>
            <w:tcBorders>
              <w:top w:val="nil"/>
              <w:left w:val="nil"/>
              <w:bottom w:val="single" w:sz="4" w:space="0" w:color="auto"/>
              <w:right w:val="single" w:sz="4" w:space="0" w:color="auto"/>
            </w:tcBorders>
            <w:shd w:val="clear" w:color="000000" w:fill="FFFFFF"/>
            <w:noWrap/>
            <w:vAlign w:val="center"/>
            <w:hideMark/>
          </w:tcPr>
          <w:p w14:paraId="0A1B375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$604 531</w:t>
            </w:r>
          </w:p>
        </w:tc>
        <w:tc>
          <w:tcPr>
            <w:tcW w:w="1417" w:type="dxa"/>
            <w:tcBorders>
              <w:top w:val="nil"/>
              <w:left w:val="nil"/>
              <w:bottom w:val="single" w:sz="4" w:space="0" w:color="auto"/>
              <w:right w:val="single" w:sz="4" w:space="0" w:color="auto"/>
            </w:tcBorders>
            <w:shd w:val="clear" w:color="000000" w:fill="FFFFFF"/>
            <w:noWrap/>
            <w:vAlign w:val="center"/>
            <w:hideMark/>
          </w:tcPr>
          <w:p w14:paraId="5127C021"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$785 032</w:t>
            </w:r>
          </w:p>
        </w:tc>
        <w:tc>
          <w:tcPr>
            <w:tcW w:w="1276" w:type="dxa"/>
            <w:tcBorders>
              <w:top w:val="nil"/>
              <w:left w:val="nil"/>
              <w:bottom w:val="single" w:sz="4" w:space="0" w:color="auto"/>
              <w:right w:val="single" w:sz="4" w:space="0" w:color="auto"/>
            </w:tcBorders>
            <w:shd w:val="clear" w:color="000000" w:fill="FFFFFF"/>
            <w:noWrap/>
            <w:vAlign w:val="center"/>
            <w:hideMark/>
          </w:tcPr>
          <w:p w14:paraId="7D02878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$2 313 591</w:t>
            </w:r>
          </w:p>
        </w:tc>
        <w:tc>
          <w:tcPr>
            <w:tcW w:w="851" w:type="dxa"/>
            <w:tcBorders>
              <w:top w:val="nil"/>
              <w:left w:val="nil"/>
              <w:bottom w:val="single" w:sz="4" w:space="0" w:color="auto"/>
              <w:right w:val="single" w:sz="8" w:space="0" w:color="auto"/>
            </w:tcBorders>
            <w:shd w:val="clear" w:color="000000" w:fill="FFFFFF"/>
            <w:noWrap/>
            <w:vAlign w:val="center"/>
            <w:hideMark/>
          </w:tcPr>
          <w:p w14:paraId="65173D0F"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0,9%</w:t>
            </w:r>
          </w:p>
        </w:tc>
      </w:tr>
      <w:tr w:rsidR="00B2086D" w:rsidRPr="00B2086D" w14:paraId="71BE5736" w14:textId="77777777" w:rsidTr="00B2086D">
        <w:trPr>
          <w:trHeight w:val="580"/>
        </w:trPr>
        <w:tc>
          <w:tcPr>
            <w:tcW w:w="562" w:type="dxa"/>
            <w:vMerge/>
            <w:tcBorders>
              <w:top w:val="nil"/>
              <w:left w:val="single" w:sz="8" w:space="0" w:color="auto"/>
              <w:bottom w:val="single" w:sz="8" w:space="0" w:color="000000"/>
              <w:right w:val="single" w:sz="4" w:space="0" w:color="auto"/>
            </w:tcBorders>
            <w:vAlign w:val="center"/>
            <w:hideMark/>
          </w:tcPr>
          <w:p w14:paraId="38389B0E" w14:textId="77777777" w:rsidR="00B2086D" w:rsidRPr="00B2086D" w:rsidRDefault="00B2086D" w:rsidP="00B2086D">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6EA138A2" w14:textId="77777777" w:rsidR="00B2086D" w:rsidRPr="00B2086D" w:rsidRDefault="00B2086D" w:rsidP="00B2086D">
            <w:pPr>
              <w:rPr>
                <w:color w:val="000000"/>
                <w:sz w:val="16"/>
                <w:szCs w:val="16"/>
              </w:rPr>
            </w:pPr>
          </w:p>
        </w:tc>
        <w:tc>
          <w:tcPr>
            <w:tcW w:w="517" w:type="dxa"/>
            <w:vMerge/>
            <w:tcBorders>
              <w:top w:val="nil"/>
              <w:left w:val="single" w:sz="4" w:space="0" w:color="auto"/>
              <w:bottom w:val="single" w:sz="8" w:space="0" w:color="000000"/>
              <w:right w:val="single" w:sz="4" w:space="0" w:color="auto"/>
            </w:tcBorders>
            <w:vAlign w:val="center"/>
            <w:hideMark/>
          </w:tcPr>
          <w:p w14:paraId="3A0682CE" w14:textId="77777777" w:rsidR="00B2086D" w:rsidRPr="00B2086D" w:rsidRDefault="00B2086D" w:rsidP="00B2086D">
            <w:pPr>
              <w:rPr>
                <w:color w:val="000000"/>
                <w:sz w:val="16"/>
                <w:szCs w:val="16"/>
              </w:rPr>
            </w:pPr>
          </w:p>
        </w:tc>
        <w:tc>
          <w:tcPr>
            <w:tcW w:w="3877" w:type="dxa"/>
            <w:tcBorders>
              <w:top w:val="nil"/>
              <w:left w:val="nil"/>
              <w:bottom w:val="single" w:sz="4" w:space="0" w:color="auto"/>
              <w:right w:val="single" w:sz="4" w:space="0" w:color="auto"/>
            </w:tcBorders>
            <w:shd w:val="clear" w:color="000000" w:fill="FFFFFF"/>
            <w:vAlign w:val="center"/>
            <w:hideMark/>
          </w:tcPr>
          <w:p w14:paraId="26D4FEAA" w14:textId="77777777" w:rsidR="00B2086D" w:rsidRPr="00B2086D" w:rsidRDefault="00B2086D" w:rsidP="00B2086D">
            <w:pPr>
              <w:rPr>
                <w:color w:val="000000"/>
                <w:sz w:val="16"/>
                <w:szCs w:val="16"/>
              </w:rPr>
            </w:pPr>
            <w:r w:rsidRPr="00B2086D">
              <w:rPr>
                <w:color w:val="000000"/>
                <w:sz w:val="16"/>
                <w:szCs w:val="16"/>
              </w:rPr>
              <w:t>1.4-</w:t>
            </w:r>
            <w:r w:rsidRPr="00B2086D">
              <w:rPr>
                <w:sz w:val="16"/>
                <w:szCs w:val="16"/>
              </w:rPr>
              <w:t xml:space="preserve"> </w:t>
            </w:r>
            <w:r w:rsidRPr="00B2086D">
              <w:rPr>
                <w:color w:val="000000"/>
                <w:sz w:val="16"/>
                <w:szCs w:val="16"/>
              </w:rPr>
              <w:t>Le taux de transmission du VIH de la mère à l’enfant est réduit à moins de 5%</w:t>
            </w:r>
          </w:p>
        </w:tc>
        <w:tc>
          <w:tcPr>
            <w:tcW w:w="183" w:type="dxa"/>
            <w:gridSpan w:val="2"/>
            <w:tcBorders>
              <w:top w:val="nil"/>
              <w:left w:val="nil"/>
              <w:bottom w:val="nil"/>
              <w:right w:val="nil"/>
            </w:tcBorders>
            <w:shd w:val="clear" w:color="000000" w:fill="FFFFFF"/>
            <w:noWrap/>
            <w:vAlign w:val="bottom"/>
            <w:hideMark/>
          </w:tcPr>
          <w:p w14:paraId="543A93D4"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093" w:type="dxa"/>
            <w:tcBorders>
              <w:top w:val="nil"/>
              <w:left w:val="single" w:sz="4" w:space="0" w:color="auto"/>
              <w:bottom w:val="single" w:sz="4" w:space="0" w:color="auto"/>
              <w:right w:val="single" w:sz="4" w:space="0" w:color="auto"/>
            </w:tcBorders>
            <w:shd w:val="clear" w:color="000000" w:fill="FFFFFF"/>
            <w:noWrap/>
            <w:vAlign w:val="center"/>
            <w:hideMark/>
          </w:tcPr>
          <w:p w14:paraId="6645FE36"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$3 934 716</w:t>
            </w:r>
          </w:p>
        </w:tc>
        <w:tc>
          <w:tcPr>
            <w:tcW w:w="1715" w:type="dxa"/>
            <w:gridSpan w:val="2"/>
            <w:tcBorders>
              <w:top w:val="nil"/>
              <w:left w:val="nil"/>
              <w:bottom w:val="single" w:sz="4" w:space="0" w:color="auto"/>
              <w:right w:val="single" w:sz="4" w:space="0" w:color="auto"/>
            </w:tcBorders>
            <w:shd w:val="clear" w:color="000000" w:fill="FFFFFF"/>
            <w:noWrap/>
            <w:vAlign w:val="center"/>
            <w:hideMark/>
          </w:tcPr>
          <w:p w14:paraId="2636416C"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$4 548 677</w:t>
            </w:r>
          </w:p>
        </w:tc>
        <w:tc>
          <w:tcPr>
            <w:tcW w:w="836" w:type="dxa"/>
            <w:tcBorders>
              <w:top w:val="nil"/>
              <w:left w:val="nil"/>
              <w:bottom w:val="single" w:sz="4" w:space="0" w:color="auto"/>
              <w:right w:val="single" w:sz="4" w:space="0" w:color="auto"/>
            </w:tcBorders>
            <w:shd w:val="clear" w:color="000000" w:fill="FFFFFF"/>
            <w:noWrap/>
            <w:vAlign w:val="center"/>
            <w:hideMark/>
          </w:tcPr>
          <w:p w14:paraId="0A78A3FB"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$5 040 634</w:t>
            </w:r>
          </w:p>
        </w:tc>
        <w:tc>
          <w:tcPr>
            <w:tcW w:w="1418" w:type="dxa"/>
            <w:tcBorders>
              <w:top w:val="nil"/>
              <w:left w:val="nil"/>
              <w:bottom w:val="single" w:sz="4" w:space="0" w:color="auto"/>
              <w:right w:val="single" w:sz="4" w:space="0" w:color="auto"/>
            </w:tcBorders>
            <w:shd w:val="clear" w:color="000000" w:fill="FFFFFF"/>
            <w:noWrap/>
            <w:vAlign w:val="center"/>
            <w:hideMark/>
          </w:tcPr>
          <w:p w14:paraId="51377C32"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$5 716 079</w:t>
            </w:r>
          </w:p>
        </w:tc>
        <w:tc>
          <w:tcPr>
            <w:tcW w:w="1417" w:type="dxa"/>
            <w:tcBorders>
              <w:top w:val="nil"/>
              <w:left w:val="nil"/>
              <w:bottom w:val="single" w:sz="4" w:space="0" w:color="auto"/>
              <w:right w:val="single" w:sz="4" w:space="0" w:color="auto"/>
            </w:tcBorders>
            <w:shd w:val="clear" w:color="000000" w:fill="FFFFFF"/>
            <w:noWrap/>
            <w:vAlign w:val="center"/>
            <w:hideMark/>
          </w:tcPr>
          <w:p w14:paraId="58A463DA"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$5 820 576</w:t>
            </w:r>
          </w:p>
        </w:tc>
        <w:tc>
          <w:tcPr>
            <w:tcW w:w="1276" w:type="dxa"/>
            <w:tcBorders>
              <w:top w:val="nil"/>
              <w:left w:val="nil"/>
              <w:bottom w:val="single" w:sz="4" w:space="0" w:color="auto"/>
              <w:right w:val="single" w:sz="4" w:space="0" w:color="auto"/>
            </w:tcBorders>
            <w:shd w:val="clear" w:color="000000" w:fill="FFFFFF"/>
            <w:noWrap/>
            <w:vAlign w:val="center"/>
            <w:hideMark/>
          </w:tcPr>
          <w:p w14:paraId="35978C4B"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$25 060 680</w:t>
            </w:r>
          </w:p>
        </w:tc>
        <w:tc>
          <w:tcPr>
            <w:tcW w:w="851" w:type="dxa"/>
            <w:tcBorders>
              <w:top w:val="nil"/>
              <w:left w:val="nil"/>
              <w:bottom w:val="single" w:sz="4" w:space="0" w:color="auto"/>
              <w:right w:val="single" w:sz="8" w:space="0" w:color="auto"/>
            </w:tcBorders>
            <w:shd w:val="clear" w:color="000000" w:fill="FFFFFF"/>
            <w:noWrap/>
            <w:vAlign w:val="center"/>
            <w:hideMark/>
          </w:tcPr>
          <w:p w14:paraId="11EDFAE1"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9,5%</w:t>
            </w:r>
          </w:p>
        </w:tc>
      </w:tr>
      <w:tr w:rsidR="00B2086D" w:rsidRPr="00B2086D" w14:paraId="00F51518" w14:textId="77777777" w:rsidTr="00B2086D">
        <w:trPr>
          <w:trHeight w:val="580"/>
        </w:trPr>
        <w:tc>
          <w:tcPr>
            <w:tcW w:w="562" w:type="dxa"/>
            <w:vMerge/>
            <w:tcBorders>
              <w:top w:val="nil"/>
              <w:left w:val="single" w:sz="8" w:space="0" w:color="auto"/>
              <w:bottom w:val="single" w:sz="8" w:space="0" w:color="000000"/>
              <w:right w:val="single" w:sz="4" w:space="0" w:color="auto"/>
            </w:tcBorders>
            <w:vAlign w:val="center"/>
            <w:hideMark/>
          </w:tcPr>
          <w:p w14:paraId="2E24ABC7" w14:textId="77777777" w:rsidR="00B2086D" w:rsidRPr="00B2086D" w:rsidRDefault="00B2086D" w:rsidP="00B2086D">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4FDEC031" w14:textId="77777777" w:rsidR="00B2086D" w:rsidRPr="00B2086D" w:rsidRDefault="00B2086D" w:rsidP="00B2086D">
            <w:pPr>
              <w:rPr>
                <w:color w:val="000000"/>
                <w:sz w:val="16"/>
                <w:szCs w:val="16"/>
              </w:rPr>
            </w:pPr>
          </w:p>
        </w:tc>
        <w:tc>
          <w:tcPr>
            <w:tcW w:w="517" w:type="dxa"/>
            <w:vMerge/>
            <w:tcBorders>
              <w:top w:val="nil"/>
              <w:left w:val="single" w:sz="4" w:space="0" w:color="auto"/>
              <w:bottom w:val="single" w:sz="8" w:space="0" w:color="000000"/>
              <w:right w:val="single" w:sz="4" w:space="0" w:color="auto"/>
            </w:tcBorders>
            <w:vAlign w:val="center"/>
            <w:hideMark/>
          </w:tcPr>
          <w:p w14:paraId="2F7FFBE8" w14:textId="77777777" w:rsidR="00B2086D" w:rsidRPr="00B2086D" w:rsidRDefault="00B2086D" w:rsidP="00B2086D">
            <w:pPr>
              <w:rPr>
                <w:color w:val="000000"/>
                <w:sz w:val="16"/>
                <w:szCs w:val="16"/>
              </w:rPr>
            </w:pPr>
          </w:p>
        </w:tc>
        <w:tc>
          <w:tcPr>
            <w:tcW w:w="3877" w:type="dxa"/>
            <w:tcBorders>
              <w:top w:val="nil"/>
              <w:left w:val="nil"/>
              <w:bottom w:val="single" w:sz="8" w:space="0" w:color="auto"/>
              <w:right w:val="single" w:sz="4" w:space="0" w:color="auto"/>
            </w:tcBorders>
            <w:shd w:val="clear" w:color="000000" w:fill="FFFFFF"/>
            <w:vAlign w:val="center"/>
            <w:hideMark/>
          </w:tcPr>
          <w:p w14:paraId="5BEFC088" w14:textId="77777777" w:rsidR="00B2086D" w:rsidRPr="00B2086D" w:rsidRDefault="00B2086D" w:rsidP="00B2086D">
            <w:pPr>
              <w:rPr>
                <w:sz w:val="16"/>
                <w:szCs w:val="16"/>
              </w:rPr>
            </w:pPr>
            <w:r w:rsidRPr="00B2086D">
              <w:rPr>
                <w:sz w:val="16"/>
                <w:szCs w:val="16"/>
              </w:rPr>
              <w:t>1.5-70% des femmes et jeunes filles victimes de VSBG pendant la période 2018-2022 ont bénéficié d’une prise en charge holistique (santé, juridique et psychologique)</w:t>
            </w:r>
          </w:p>
        </w:tc>
        <w:tc>
          <w:tcPr>
            <w:tcW w:w="183" w:type="dxa"/>
            <w:gridSpan w:val="2"/>
            <w:tcBorders>
              <w:top w:val="nil"/>
              <w:left w:val="nil"/>
              <w:bottom w:val="single" w:sz="8" w:space="0" w:color="auto"/>
              <w:right w:val="nil"/>
            </w:tcBorders>
            <w:shd w:val="clear" w:color="000000" w:fill="FFFFFF"/>
            <w:noWrap/>
            <w:vAlign w:val="bottom"/>
            <w:hideMark/>
          </w:tcPr>
          <w:p w14:paraId="17BA05AA"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093" w:type="dxa"/>
            <w:tcBorders>
              <w:top w:val="nil"/>
              <w:left w:val="single" w:sz="4" w:space="0" w:color="auto"/>
              <w:bottom w:val="single" w:sz="8" w:space="0" w:color="auto"/>
              <w:right w:val="single" w:sz="4" w:space="0" w:color="auto"/>
            </w:tcBorders>
            <w:shd w:val="clear" w:color="000000" w:fill="FFFFFF"/>
            <w:noWrap/>
            <w:vAlign w:val="center"/>
            <w:hideMark/>
          </w:tcPr>
          <w:p w14:paraId="5677FF95"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$232 750</w:t>
            </w:r>
          </w:p>
        </w:tc>
        <w:tc>
          <w:tcPr>
            <w:tcW w:w="1715" w:type="dxa"/>
            <w:gridSpan w:val="2"/>
            <w:tcBorders>
              <w:top w:val="nil"/>
              <w:left w:val="nil"/>
              <w:bottom w:val="single" w:sz="8" w:space="0" w:color="auto"/>
              <w:right w:val="single" w:sz="4" w:space="0" w:color="auto"/>
            </w:tcBorders>
            <w:shd w:val="clear" w:color="000000" w:fill="FFFFFF"/>
            <w:noWrap/>
            <w:vAlign w:val="center"/>
            <w:hideMark/>
          </w:tcPr>
          <w:p w14:paraId="5494D324"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$275 596</w:t>
            </w:r>
          </w:p>
        </w:tc>
        <w:tc>
          <w:tcPr>
            <w:tcW w:w="836" w:type="dxa"/>
            <w:tcBorders>
              <w:top w:val="nil"/>
              <w:left w:val="nil"/>
              <w:bottom w:val="single" w:sz="8" w:space="0" w:color="auto"/>
              <w:right w:val="single" w:sz="4" w:space="0" w:color="auto"/>
            </w:tcBorders>
            <w:shd w:val="clear" w:color="000000" w:fill="FFFFFF"/>
            <w:noWrap/>
            <w:vAlign w:val="center"/>
            <w:hideMark/>
          </w:tcPr>
          <w:p w14:paraId="6C74E803"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$319 879</w:t>
            </w:r>
          </w:p>
        </w:tc>
        <w:tc>
          <w:tcPr>
            <w:tcW w:w="1418" w:type="dxa"/>
            <w:tcBorders>
              <w:top w:val="nil"/>
              <w:left w:val="nil"/>
              <w:bottom w:val="single" w:sz="8" w:space="0" w:color="auto"/>
              <w:right w:val="single" w:sz="4" w:space="0" w:color="auto"/>
            </w:tcBorders>
            <w:shd w:val="clear" w:color="000000" w:fill="FFFFFF"/>
            <w:noWrap/>
            <w:vAlign w:val="center"/>
            <w:hideMark/>
          </w:tcPr>
          <w:p w14:paraId="5BF5B66C"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$355 844</w:t>
            </w:r>
          </w:p>
        </w:tc>
        <w:tc>
          <w:tcPr>
            <w:tcW w:w="1417" w:type="dxa"/>
            <w:tcBorders>
              <w:top w:val="nil"/>
              <w:left w:val="nil"/>
              <w:bottom w:val="single" w:sz="8" w:space="0" w:color="auto"/>
              <w:right w:val="single" w:sz="4" w:space="0" w:color="auto"/>
            </w:tcBorders>
            <w:shd w:val="clear" w:color="000000" w:fill="FFFFFF"/>
            <w:noWrap/>
            <w:vAlign w:val="center"/>
            <w:hideMark/>
          </w:tcPr>
          <w:p w14:paraId="7C642678"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$396 231</w:t>
            </w:r>
          </w:p>
        </w:tc>
        <w:tc>
          <w:tcPr>
            <w:tcW w:w="1276" w:type="dxa"/>
            <w:tcBorders>
              <w:top w:val="nil"/>
              <w:left w:val="nil"/>
              <w:bottom w:val="single" w:sz="8" w:space="0" w:color="auto"/>
              <w:right w:val="single" w:sz="4" w:space="0" w:color="auto"/>
            </w:tcBorders>
            <w:shd w:val="clear" w:color="000000" w:fill="FFFFFF"/>
            <w:noWrap/>
            <w:vAlign w:val="center"/>
            <w:hideMark/>
          </w:tcPr>
          <w:p w14:paraId="2924D69C"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$1 580 299</w:t>
            </w:r>
          </w:p>
        </w:tc>
        <w:tc>
          <w:tcPr>
            <w:tcW w:w="851" w:type="dxa"/>
            <w:tcBorders>
              <w:top w:val="nil"/>
              <w:left w:val="nil"/>
              <w:bottom w:val="single" w:sz="8" w:space="0" w:color="auto"/>
              <w:right w:val="single" w:sz="8" w:space="0" w:color="auto"/>
            </w:tcBorders>
            <w:shd w:val="clear" w:color="000000" w:fill="FFFFFF"/>
            <w:noWrap/>
            <w:vAlign w:val="center"/>
            <w:hideMark/>
          </w:tcPr>
          <w:p w14:paraId="0549F2D2"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0,6%</w:t>
            </w:r>
          </w:p>
        </w:tc>
      </w:tr>
      <w:tr w:rsidR="00B2086D" w:rsidRPr="00B2086D" w14:paraId="56D50211" w14:textId="77777777" w:rsidTr="00B2086D">
        <w:trPr>
          <w:trHeight w:val="580"/>
        </w:trPr>
        <w:tc>
          <w:tcPr>
            <w:tcW w:w="1413" w:type="dxa"/>
            <w:gridSpan w:val="2"/>
            <w:tcBorders>
              <w:top w:val="single" w:sz="8" w:space="0" w:color="auto"/>
              <w:left w:val="single" w:sz="8" w:space="0" w:color="auto"/>
              <w:bottom w:val="single" w:sz="8" w:space="0" w:color="auto"/>
              <w:right w:val="single" w:sz="4" w:space="0" w:color="auto"/>
            </w:tcBorders>
            <w:shd w:val="clear" w:color="000000" w:fill="FF0000"/>
            <w:vAlign w:val="center"/>
            <w:hideMark/>
          </w:tcPr>
          <w:p w14:paraId="5536F30A" w14:textId="77777777" w:rsidR="00B2086D" w:rsidRPr="00B2086D" w:rsidRDefault="00B2086D" w:rsidP="00B2086D">
            <w:pPr>
              <w:rPr>
                <w:b/>
                <w:bCs/>
                <w:color w:val="FFFFFF"/>
                <w:sz w:val="16"/>
                <w:szCs w:val="16"/>
              </w:rPr>
            </w:pPr>
            <w:r w:rsidRPr="00B2086D">
              <w:rPr>
                <w:b/>
                <w:bCs/>
                <w:color w:val="FFFFFF"/>
                <w:sz w:val="16"/>
                <w:szCs w:val="16"/>
              </w:rPr>
              <w:t>Priorité -2</w:t>
            </w:r>
          </w:p>
        </w:tc>
        <w:tc>
          <w:tcPr>
            <w:tcW w:w="13183" w:type="dxa"/>
            <w:gridSpan w:val="12"/>
            <w:tcBorders>
              <w:top w:val="single" w:sz="8" w:space="0" w:color="auto"/>
              <w:left w:val="nil"/>
              <w:bottom w:val="single" w:sz="8" w:space="0" w:color="auto"/>
              <w:right w:val="single" w:sz="8" w:space="0" w:color="000000"/>
            </w:tcBorders>
            <w:shd w:val="clear" w:color="000000" w:fill="E7E6E6"/>
            <w:vAlign w:val="center"/>
            <w:hideMark/>
          </w:tcPr>
          <w:p w14:paraId="38169EC0" w14:textId="77777777" w:rsidR="00B2086D" w:rsidRPr="00B2086D" w:rsidRDefault="00B2086D" w:rsidP="00B2086D">
            <w:pPr>
              <w:rPr>
                <w:color w:val="000000"/>
                <w:sz w:val="16"/>
                <w:szCs w:val="16"/>
              </w:rPr>
            </w:pPr>
            <w:r w:rsidRPr="00B2086D">
              <w:rPr>
                <w:color w:val="000000"/>
                <w:sz w:val="16"/>
                <w:szCs w:val="16"/>
              </w:rPr>
              <w:t>Réduire de manière très significative la mortalité chez les PVVIH</w:t>
            </w:r>
          </w:p>
        </w:tc>
      </w:tr>
      <w:tr w:rsidR="00B2086D" w:rsidRPr="00B2086D" w14:paraId="6FC12889" w14:textId="77777777" w:rsidTr="00B2086D">
        <w:trPr>
          <w:trHeight w:val="580"/>
        </w:trPr>
        <w:tc>
          <w:tcPr>
            <w:tcW w:w="562" w:type="dxa"/>
            <w:vMerge w:val="restart"/>
            <w:tcBorders>
              <w:top w:val="nil"/>
              <w:left w:val="single" w:sz="8" w:space="0" w:color="auto"/>
              <w:bottom w:val="single" w:sz="8" w:space="0" w:color="000000"/>
              <w:right w:val="single" w:sz="4" w:space="0" w:color="auto"/>
            </w:tcBorders>
            <w:shd w:val="clear" w:color="auto" w:fill="auto"/>
            <w:vAlign w:val="center"/>
            <w:hideMark/>
          </w:tcPr>
          <w:p w14:paraId="44BD299B" w14:textId="77777777" w:rsidR="00B2086D" w:rsidRPr="00B2086D" w:rsidRDefault="00B2086D" w:rsidP="00B2086D">
            <w:pPr>
              <w:jc w:val="center"/>
              <w:rPr>
                <w:sz w:val="16"/>
                <w:szCs w:val="16"/>
              </w:rPr>
            </w:pPr>
            <w:r w:rsidRPr="00B2086D">
              <w:rPr>
                <w:sz w:val="16"/>
                <w:szCs w:val="16"/>
              </w:rPr>
              <w:t> </w:t>
            </w:r>
          </w:p>
        </w:tc>
        <w:tc>
          <w:tcPr>
            <w:tcW w:w="851" w:type="dxa"/>
            <w:tcBorders>
              <w:top w:val="nil"/>
              <w:left w:val="nil"/>
              <w:bottom w:val="single" w:sz="4" w:space="0" w:color="auto"/>
              <w:right w:val="single" w:sz="4" w:space="0" w:color="auto"/>
            </w:tcBorders>
            <w:shd w:val="clear" w:color="000000" w:fill="00B0F0"/>
            <w:vAlign w:val="center"/>
            <w:hideMark/>
          </w:tcPr>
          <w:p w14:paraId="27F1FA93" w14:textId="77777777" w:rsidR="00B2086D" w:rsidRPr="00B2086D" w:rsidRDefault="00B2086D" w:rsidP="00B2086D">
            <w:pPr>
              <w:rPr>
                <w:color w:val="FFFFFF"/>
                <w:sz w:val="16"/>
                <w:szCs w:val="16"/>
              </w:rPr>
            </w:pPr>
            <w:r w:rsidRPr="00B2086D">
              <w:rPr>
                <w:color w:val="FFFFFF"/>
                <w:sz w:val="16"/>
                <w:szCs w:val="16"/>
              </w:rPr>
              <w:t>Impact-2</w:t>
            </w:r>
          </w:p>
        </w:tc>
        <w:tc>
          <w:tcPr>
            <w:tcW w:w="4394" w:type="dxa"/>
            <w:gridSpan w:val="2"/>
            <w:tcBorders>
              <w:top w:val="nil"/>
              <w:left w:val="nil"/>
              <w:bottom w:val="single" w:sz="4" w:space="0" w:color="auto"/>
              <w:right w:val="single" w:sz="4" w:space="0" w:color="auto"/>
            </w:tcBorders>
            <w:shd w:val="clear" w:color="000000" w:fill="EBF1DE"/>
            <w:vAlign w:val="center"/>
            <w:hideMark/>
          </w:tcPr>
          <w:p w14:paraId="09269606" w14:textId="77777777" w:rsidR="00B2086D" w:rsidRPr="00B2086D" w:rsidRDefault="00B2086D" w:rsidP="00B2086D">
            <w:pPr>
              <w:jc w:val="both"/>
              <w:rPr>
                <w:color w:val="000000"/>
                <w:sz w:val="16"/>
                <w:szCs w:val="16"/>
              </w:rPr>
            </w:pPr>
            <w:r w:rsidRPr="00B2086D">
              <w:rPr>
                <w:color w:val="000000"/>
                <w:sz w:val="16"/>
                <w:szCs w:val="16"/>
              </w:rPr>
              <w:t>D’ici à fin 2022, La mortalité liée au VIH/sida est réduite d'au moins 62%</w:t>
            </w:r>
          </w:p>
        </w:tc>
        <w:tc>
          <w:tcPr>
            <w:tcW w:w="160" w:type="dxa"/>
            <w:tcBorders>
              <w:top w:val="nil"/>
              <w:left w:val="nil"/>
              <w:bottom w:val="single" w:sz="4" w:space="0" w:color="auto"/>
              <w:right w:val="single" w:sz="4" w:space="0" w:color="auto"/>
            </w:tcBorders>
            <w:shd w:val="clear" w:color="000000" w:fill="FFFFFF"/>
            <w:noWrap/>
            <w:vAlign w:val="bottom"/>
            <w:hideMark/>
          </w:tcPr>
          <w:p w14:paraId="285615A2"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nil"/>
              <w:bottom w:val="single" w:sz="4" w:space="0" w:color="auto"/>
              <w:right w:val="single" w:sz="4" w:space="0" w:color="auto"/>
            </w:tcBorders>
            <w:shd w:val="clear" w:color="000000" w:fill="EBF1DE"/>
            <w:noWrap/>
            <w:vAlign w:val="center"/>
            <w:hideMark/>
          </w:tcPr>
          <w:p w14:paraId="0988BD33"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$18 928 073</w:t>
            </w:r>
          </w:p>
        </w:tc>
        <w:tc>
          <w:tcPr>
            <w:tcW w:w="1417" w:type="dxa"/>
            <w:tcBorders>
              <w:top w:val="nil"/>
              <w:left w:val="nil"/>
              <w:bottom w:val="single" w:sz="4" w:space="0" w:color="auto"/>
              <w:right w:val="single" w:sz="4" w:space="0" w:color="auto"/>
            </w:tcBorders>
            <w:shd w:val="clear" w:color="000000" w:fill="EBF1DE"/>
            <w:noWrap/>
            <w:vAlign w:val="center"/>
            <w:hideMark/>
          </w:tcPr>
          <w:p w14:paraId="5DCEFCBB"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$22 642 563</w:t>
            </w:r>
          </w:p>
        </w:tc>
        <w:tc>
          <w:tcPr>
            <w:tcW w:w="1134" w:type="dxa"/>
            <w:gridSpan w:val="2"/>
            <w:tcBorders>
              <w:top w:val="nil"/>
              <w:left w:val="nil"/>
              <w:bottom w:val="single" w:sz="4" w:space="0" w:color="auto"/>
              <w:right w:val="single" w:sz="4" w:space="0" w:color="auto"/>
            </w:tcBorders>
            <w:shd w:val="clear" w:color="000000" w:fill="EBF1DE"/>
            <w:noWrap/>
            <w:vAlign w:val="center"/>
            <w:hideMark/>
          </w:tcPr>
          <w:p w14:paraId="68C27C68"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$26 340 634</w:t>
            </w:r>
          </w:p>
        </w:tc>
        <w:tc>
          <w:tcPr>
            <w:tcW w:w="1418" w:type="dxa"/>
            <w:tcBorders>
              <w:top w:val="nil"/>
              <w:left w:val="nil"/>
              <w:bottom w:val="single" w:sz="4" w:space="0" w:color="auto"/>
              <w:right w:val="single" w:sz="4" w:space="0" w:color="auto"/>
            </w:tcBorders>
            <w:shd w:val="clear" w:color="000000" w:fill="EBF1DE"/>
            <w:noWrap/>
            <w:vAlign w:val="center"/>
            <w:hideMark/>
          </w:tcPr>
          <w:p w14:paraId="082B7FE5"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$28 739 016</w:t>
            </w:r>
          </w:p>
        </w:tc>
        <w:tc>
          <w:tcPr>
            <w:tcW w:w="1417" w:type="dxa"/>
            <w:tcBorders>
              <w:top w:val="nil"/>
              <w:left w:val="nil"/>
              <w:bottom w:val="single" w:sz="4" w:space="0" w:color="auto"/>
              <w:right w:val="single" w:sz="4" w:space="0" w:color="auto"/>
            </w:tcBorders>
            <w:shd w:val="clear" w:color="000000" w:fill="EBF1DE"/>
            <w:noWrap/>
            <w:vAlign w:val="center"/>
            <w:hideMark/>
          </w:tcPr>
          <w:p w14:paraId="07D62D11"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$31 766 686</w:t>
            </w:r>
          </w:p>
        </w:tc>
        <w:tc>
          <w:tcPr>
            <w:tcW w:w="1276" w:type="dxa"/>
            <w:tcBorders>
              <w:top w:val="nil"/>
              <w:left w:val="nil"/>
              <w:bottom w:val="single" w:sz="4" w:space="0" w:color="auto"/>
              <w:right w:val="single" w:sz="4" w:space="0" w:color="auto"/>
            </w:tcBorders>
            <w:shd w:val="clear" w:color="000000" w:fill="EBF1DE"/>
            <w:noWrap/>
            <w:vAlign w:val="center"/>
            <w:hideMark/>
          </w:tcPr>
          <w:p w14:paraId="3E8B937B"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$128 416 973</w:t>
            </w:r>
          </w:p>
        </w:tc>
        <w:tc>
          <w:tcPr>
            <w:tcW w:w="851" w:type="dxa"/>
            <w:tcBorders>
              <w:top w:val="nil"/>
              <w:left w:val="nil"/>
              <w:bottom w:val="single" w:sz="4" w:space="0" w:color="auto"/>
              <w:right w:val="single" w:sz="8" w:space="0" w:color="auto"/>
            </w:tcBorders>
            <w:shd w:val="clear" w:color="000000" w:fill="EBF1DE"/>
            <w:noWrap/>
            <w:vAlign w:val="center"/>
            <w:hideMark/>
          </w:tcPr>
          <w:p w14:paraId="0BA5B944"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48,9%</w:t>
            </w:r>
          </w:p>
        </w:tc>
      </w:tr>
      <w:tr w:rsidR="00B2086D" w:rsidRPr="00B2086D" w14:paraId="407185C8" w14:textId="77777777" w:rsidTr="00B2086D">
        <w:trPr>
          <w:trHeight w:val="580"/>
        </w:trPr>
        <w:tc>
          <w:tcPr>
            <w:tcW w:w="562" w:type="dxa"/>
            <w:vMerge/>
            <w:tcBorders>
              <w:top w:val="nil"/>
              <w:left w:val="single" w:sz="8" w:space="0" w:color="auto"/>
              <w:bottom w:val="single" w:sz="8" w:space="0" w:color="000000"/>
              <w:right w:val="single" w:sz="4" w:space="0" w:color="auto"/>
            </w:tcBorders>
            <w:vAlign w:val="center"/>
            <w:hideMark/>
          </w:tcPr>
          <w:p w14:paraId="603D10DF" w14:textId="77777777" w:rsidR="00B2086D" w:rsidRPr="00B2086D" w:rsidRDefault="00B2086D" w:rsidP="00B2086D">
            <w:pPr>
              <w:rPr>
                <w:sz w:val="16"/>
                <w:szCs w:val="16"/>
              </w:rPr>
            </w:pPr>
          </w:p>
        </w:tc>
        <w:tc>
          <w:tcPr>
            <w:tcW w:w="85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21BD13A7" w14:textId="77777777" w:rsidR="00B2086D" w:rsidRPr="00B2086D" w:rsidRDefault="00B2086D" w:rsidP="00B2086D">
            <w:pPr>
              <w:jc w:val="center"/>
              <w:rPr>
                <w:color w:val="000000"/>
                <w:sz w:val="16"/>
                <w:szCs w:val="16"/>
              </w:rPr>
            </w:pPr>
            <w:r w:rsidRPr="00B2086D">
              <w:rPr>
                <w:color w:val="000000"/>
                <w:sz w:val="16"/>
                <w:szCs w:val="16"/>
              </w:rPr>
              <w:t> </w:t>
            </w:r>
          </w:p>
        </w:tc>
        <w:tc>
          <w:tcPr>
            <w:tcW w:w="517" w:type="dxa"/>
            <w:vMerge w:val="restart"/>
            <w:tcBorders>
              <w:top w:val="nil"/>
              <w:left w:val="single" w:sz="4" w:space="0" w:color="auto"/>
              <w:bottom w:val="single" w:sz="8" w:space="0" w:color="000000"/>
              <w:right w:val="single" w:sz="4" w:space="0" w:color="auto"/>
            </w:tcBorders>
            <w:shd w:val="clear" w:color="000000" w:fill="FFFFFF"/>
            <w:noWrap/>
            <w:textDirection w:val="btLr"/>
            <w:vAlign w:val="center"/>
            <w:hideMark/>
          </w:tcPr>
          <w:p w14:paraId="6DA7C2EF" w14:textId="77777777" w:rsidR="00B2086D" w:rsidRPr="00B2086D" w:rsidRDefault="00B2086D" w:rsidP="00B2086D">
            <w:pPr>
              <w:jc w:val="center"/>
              <w:rPr>
                <w:color w:val="000000"/>
                <w:sz w:val="16"/>
                <w:szCs w:val="16"/>
              </w:rPr>
            </w:pPr>
            <w:r w:rsidRPr="00B2086D">
              <w:rPr>
                <w:color w:val="000000"/>
                <w:sz w:val="16"/>
                <w:szCs w:val="16"/>
              </w:rPr>
              <w:t>Effets</w:t>
            </w:r>
          </w:p>
        </w:tc>
        <w:tc>
          <w:tcPr>
            <w:tcW w:w="3877" w:type="dxa"/>
            <w:tcBorders>
              <w:top w:val="nil"/>
              <w:left w:val="nil"/>
              <w:bottom w:val="single" w:sz="4" w:space="0" w:color="auto"/>
              <w:right w:val="single" w:sz="4" w:space="0" w:color="auto"/>
            </w:tcBorders>
            <w:shd w:val="clear" w:color="000000" w:fill="FFFFFF"/>
            <w:vAlign w:val="center"/>
            <w:hideMark/>
          </w:tcPr>
          <w:p w14:paraId="57EE3FC9" w14:textId="77777777" w:rsidR="00B2086D" w:rsidRPr="00B2086D" w:rsidRDefault="00B2086D" w:rsidP="00B2086D">
            <w:pPr>
              <w:jc w:val="both"/>
              <w:rPr>
                <w:color w:val="000000"/>
                <w:sz w:val="16"/>
                <w:szCs w:val="16"/>
              </w:rPr>
            </w:pPr>
            <w:r w:rsidRPr="00B2086D">
              <w:rPr>
                <w:color w:val="000000"/>
                <w:sz w:val="16"/>
                <w:szCs w:val="16"/>
              </w:rPr>
              <w:t>2.1-75% des adultes et enfants vivant avec le VIH bénéficient d’une prise en charge médicale, psychologique, sociale de qualité d’ici à 2022</w:t>
            </w:r>
          </w:p>
        </w:tc>
        <w:tc>
          <w:tcPr>
            <w:tcW w:w="160" w:type="dxa"/>
            <w:tcBorders>
              <w:top w:val="nil"/>
              <w:left w:val="nil"/>
              <w:bottom w:val="single" w:sz="4" w:space="0" w:color="auto"/>
              <w:right w:val="single" w:sz="4" w:space="0" w:color="auto"/>
            </w:tcBorders>
            <w:shd w:val="clear" w:color="000000" w:fill="FFFFFF"/>
            <w:noWrap/>
            <w:vAlign w:val="bottom"/>
            <w:hideMark/>
          </w:tcPr>
          <w:p w14:paraId="6A11F0B0"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14:paraId="4D4B74A4"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$17 244 549</w:t>
            </w:r>
          </w:p>
        </w:tc>
        <w:tc>
          <w:tcPr>
            <w:tcW w:w="1417" w:type="dxa"/>
            <w:tcBorders>
              <w:top w:val="nil"/>
              <w:left w:val="nil"/>
              <w:bottom w:val="single" w:sz="4" w:space="0" w:color="auto"/>
              <w:right w:val="single" w:sz="4" w:space="0" w:color="auto"/>
            </w:tcBorders>
            <w:shd w:val="clear" w:color="000000" w:fill="FFFFFF"/>
            <w:noWrap/>
            <w:vAlign w:val="center"/>
            <w:hideMark/>
          </w:tcPr>
          <w:p w14:paraId="62C69636"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$19 824 561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14:paraId="777D7F43"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$21 939 590</w:t>
            </w:r>
          </w:p>
        </w:tc>
        <w:tc>
          <w:tcPr>
            <w:tcW w:w="1418" w:type="dxa"/>
            <w:tcBorders>
              <w:top w:val="nil"/>
              <w:left w:val="nil"/>
              <w:bottom w:val="single" w:sz="4" w:space="0" w:color="auto"/>
              <w:right w:val="single" w:sz="4" w:space="0" w:color="auto"/>
            </w:tcBorders>
            <w:shd w:val="clear" w:color="000000" w:fill="FFFFFF"/>
            <w:noWrap/>
            <w:vAlign w:val="center"/>
            <w:hideMark/>
          </w:tcPr>
          <w:p w14:paraId="248831E4"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$22 683 715</w:t>
            </w:r>
          </w:p>
        </w:tc>
        <w:tc>
          <w:tcPr>
            <w:tcW w:w="1417" w:type="dxa"/>
            <w:tcBorders>
              <w:top w:val="nil"/>
              <w:left w:val="nil"/>
              <w:bottom w:val="single" w:sz="4" w:space="0" w:color="auto"/>
              <w:right w:val="single" w:sz="4" w:space="0" w:color="auto"/>
            </w:tcBorders>
            <w:shd w:val="clear" w:color="000000" w:fill="FFFFFF"/>
            <w:noWrap/>
            <w:vAlign w:val="center"/>
            <w:hideMark/>
          </w:tcPr>
          <w:p w14:paraId="17EEB7BF"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$23 640 527</w:t>
            </w:r>
          </w:p>
        </w:tc>
        <w:tc>
          <w:tcPr>
            <w:tcW w:w="1276" w:type="dxa"/>
            <w:tcBorders>
              <w:top w:val="nil"/>
              <w:left w:val="nil"/>
              <w:bottom w:val="single" w:sz="4" w:space="0" w:color="auto"/>
              <w:right w:val="single" w:sz="4" w:space="0" w:color="auto"/>
            </w:tcBorders>
            <w:shd w:val="clear" w:color="000000" w:fill="FFFFFF"/>
            <w:noWrap/>
            <w:vAlign w:val="center"/>
            <w:hideMark/>
          </w:tcPr>
          <w:p w14:paraId="3C0BCB8A"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$105 332 942</w:t>
            </w:r>
          </w:p>
        </w:tc>
        <w:tc>
          <w:tcPr>
            <w:tcW w:w="851" w:type="dxa"/>
            <w:tcBorders>
              <w:top w:val="nil"/>
              <w:left w:val="nil"/>
              <w:bottom w:val="single" w:sz="4" w:space="0" w:color="auto"/>
              <w:right w:val="single" w:sz="8" w:space="0" w:color="auto"/>
            </w:tcBorders>
            <w:shd w:val="clear" w:color="000000" w:fill="FFFFFF"/>
            <w:noWrap/>
            <w:vAlign w:val="center"/>
            <w:hideMark/>
          </w:tcPr>
          <w:p w14:paraId="2B8C4CF8"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40,1%</w:t>
            </w:r>
          </w:p>
        </w:tc>
      </w:tr>
      <w:tr w:rsidR="00B2086D" w:rsidRPr="00B2086D" w14:paraId="4391EEB3" w14:textId="77777777" w:rsidTr="00B2086D">
        <w:trPr>
          <w:trHeight w:val="580"/>
        </w:trPr>
        <w:tc>
          <w:tcPr>
            <w:tcW w:w="562" w:type="dxa"/>
            <w:vMerge/>
            <w:tcBorders>
              <w:top w:val="nil"/>
              <w:left w:val="single" w:sz="8" w:space="0" w:color="auto"/>
              <w:bottom w:val="single" w:sz="8" w:space="0" w:color="000000"/>
              <w:right w:val="single" w:sz="4" w:space="0" w:color="auto"/>
            </w:tcBorders>
            <w:vAlign w:val="center"/>
            <w:hideMark/>
          </w:tcPr>
          <w:p w14:paraId="5E2632A1" w14:textId="77777777" w:rsidR="00B2086D" w:rsidRPr="00B2086D" w:rsidRDefault="00B2086D" w:rsidP="00B2086D">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7A7136AE" w14:textId="77777777" w:rsidR="00B2086D" w:rsidRPr="00B2086D" w:rsidRDefault="00B2086D" w:rsidP="00B2086D">
            <w:pPr>
              <w:rPr>
                <w:color w:val="000000"/>
                <w:sz w:val="16"/>
                <w:szCs w:val="16"/>
              </w:rPr>
            </w:pPr>
          </w:p>
        </w:tc>
        <w:tc>
          <w:tcPr>
            <w:tcW w:w="517" w:type="dxa"/>
            <w:vMerge/>
            <w:tcBorders>
              <w:top w:val="nil"/>
              <w:left w:val="single" w:sz="4" w:space="0" w:color="auto"/>
              <w:bottom w:val="single" w:sz="8" w:space="0" w:color="000000"/>
              <w:right w:val="single" w:sz="4" w:space="0" w:color="auto"/>
            </w:tcBorders>
            <w:vAlign w:val="center"/>
            <w:hideMark/>
          </w:tcPr>
          <w:p w14:paraId="644BBC80" w14:textId="77777777" w:rsidR="00B2086D" w:rsidRPr="00B2086D" w:rsidRDefault="00B2086D" w:rsidP="00B2086D">
            <w:pPr>
              <w:rPr>
                <w:color w:val="000000"/>
                <w:sz w:val="16"/>
                <w:szCs w:val="16"/>
              </w:rPr>
            </w:pPr>
          </w:p>
        </w:tc>
        <w:tc>
          <w:tcPr>
            <w:tcW w:w="3877" w:type="dxa"/>
            <w:tcBorders>
              <w:top w:val="nil"/>
              <w:left w:val="nil"/>
              <w:bottom w:val="single" w:sz="4" w:space="0" w:color="auto"/>
              <w:right w:val="single" w:sz="4" w:space="0" w:color="auto"/>
            </w:tcBorders>
            <w:shd w:val="clear" w:color="000000" w:fill="FFFFFF"/>
            <w:vAlign w:val="center"/>
            <w:hideMark/>
          </w:tcPr>
          <w:p w14:paraId="488B6E1D" w14:textId="77777777" w:rsidR="00B2086D" w:rsidRPr="00B2086D" w:rsidRDefault="00B2086D" w:rsidP="00B2086D">
            <w:pPr>
              <w:jc w:val="both"/>
              <w:rPr>
                <w:color w:val="000000"/>
                <w:sz w:val="16"/>
                <w:szCs w:val="16"/>
              </w:rPr>
            </w:pPr>
            <w:r w:rsidRPr="00B2086D">
              <w:rPr>
                <w:color w:val="000000"/>
                <w:sz w:val="16"/>
                <w:szCs w:val="16"/>
              </w:rPr>
              <w:t>2.2-Le taux de décès chez les patients coïnfectés TB/VIH est réduit de 70% d’ici à fin 2022</w:t>
            </w:r>
          </w:p>
        </w:tc>
        <w:tc>
          <w:tcPr>
            <w:tcW w:w="160" w:type="dxa"/>
            <w:tcBorders>
              <w:top w:val="nil"/>
              <w:left w:val="nil"/>
              <w:bottom w:val="single" w:sz="4" w:space="0" w:color="auto"/>
              <w:right w:val="single" w:sz="4" w:space="0" w:color="auto"/>
            </w:tcBorders>
            <w:shd w:val="clear" w:color="000000" w:fill="FFFFFF"/>
            <w:noWrap/>
            <w:vAlign w:val="bottom"/>
            <w:hideMark/>
          </w:tcPr>
          <w:p w14:paraId="280C32CA"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14:paraId="77054A91"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$323 902</w:t>
            </w:r>
          </w:p>
        </w:tc>
        <w:tc>
          <w:tcPr>
            <w:tcW w:w="1417" w:type="dxa"/>
            <w:tcBorders>
              <w:top w:val="nil"/>
              <w:left w:val="nil"/>
              <w:bottom w:val="single" w:sz="4" w:space="0" w:color="auto"/>
              <w:right w:val="single" w:sz="4" w:space="0" w:color="auto"/>
            </w:tcBorders>
            <w:shd w:val="clear" w:color="000000" w:fill="FFFFFF"/>
            <w:noWrap/>
            <w:vAlign w:val="center"/>
            <w:hideMark/>
          </w:tcPr>
          <w:p w14:paraId="210A9F0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$589 669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14:paraId="2F8491A9"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$966 978</w:t>
            </w:r>
          </w:p>
        </w:tc>
        <w:tc>
          <w:tcPr>
            <w:tcW w:w="1418" w:type="dxa"/>
            <w:tcBorders>
              <w:top w:val="nil"/>
              <w:left w:val="nil"/>
              <w:bottom w:val="single" w:sz="4" w:space="0" w:color="auto"/>
              <w:right w:val="single" w:sz="4" w:space="0" w:color="auto"/>
            </w:tcBorders>
            <w:shd w:val="clear" w:color="000000" w:fill="FFFFFF"/>
            <w:noWrap/>
            <w:vAlign w:val="center"/>
            <w:hideMark/>
          </w:tcPr>
          <w:p w14:paraId="0BD4D55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$1 365 557</w:t>
            </w:r>
          </w:p>
        </w:tc>
        <w:tc>
          <w:tcPr>
            <w:tcW w:w="1417" w:type="dxa"/>
            <w:tcBorders>
              <w:top w:val="nil"/>
              <w:left w:val="nil"/>
              <w:bottom w:val="single" w:sz="4" w:space="0" w:color="auto"/>
              <w:right w:val="single" w:sz="4" w:space="0" w:color="auto"/>
            </w:tcBorders>
            <w:shd w:val="clear" w:color="000000" w:fill="FFFFFF"/>
            <w:noWrap/>
            <w:vAlign w:val="center"/>
            <w:hideMark/>
          </w:tcPr>
          <w:p w14:paraId="7F0A29DF"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$1 866 444</w:t>
            </w:r>
          </w:p>
        </w:tc>
        <w:tc>
          <w:tcPr>
            <w:tcW w:w="1276" w:type="dxa"/>
            <w:tcBorders>
              <w:top w:val="nil"/>
              <w:left w:val="nil"/>
              <w:bottom w:val="single" w:sz="4" w:space="0" w:color="auto"/>
              <w:right w:val="single" w:sz="4" w:space="0" w:color="auto"/>
            </w:tcBorders>
            <w:shd w:val="clear" w:color="000000" w:fill="FFFFFF"/>
            <w:noWrap/>
            <w:vAlign w:val="center"/>
            <w:hideMark/>
          </w:tcPr>
          <w:p w14:paraId="43F54F17"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$5 112 550</w:t>
            </w:r>
          </w:p>
        </w:tc>
        <w:tc>
          <w:tcPr>
            <w:tcW w:w="851" w:type="dxa"/>
            <w:tcBorders>
              <w:top w:val="nil"/>
              <w:left w:val="nil"/>
              <w:bottom w:val="single" w:sz="4" w:space="0" w:color="auto"/>
              <w:right w:val="single" w:sz="8" w:space="0" w:color="auto"/>
            </w:tcBorders>
            <w:shd w:val="clear" w:color="000000" w:fill="FFFFFF"/>
            <w:noWrap/>
            <w:vAlign w:val="center"/>
            <w:hideMark/>
          </w:tcPr>
          <w:p w14:paraId="34E80198"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1,9%</w:t>
            </w:r>
          </w:p>
        </w:tc>
      </w:tr>
      <w:tr w:rsidR="00B2086D" w:rsidRPr="00B2086D" w14:paraId="1F78F785" w14:textId="77777777" w:rsidTr="00B2086D">
        <w:trPr>
          <w:trHeight w:val="580"/>
        </w:trPr>
        <w:tc>
          <w:tcPr>
            <w:tcW w:w="562" w:type="dxa"/>
            <w:vMerge/>
            <w:tcBorders>
              <w:top w:val="nil"/>
              <w:left w:val="single" w:sz="8" w:space="0" w:color="auto"/>
              <w:bottom w:val="single" w:sz="8" w:space="0" w:color="000000"/>
              <w:right w:val="single" w:sz="4" w:space="0" w:color="auto"/>
            </w:tcBorders>
            <w:vAlign w:val="center"/>
            <w:hideMark/>
          </w:tcPr>
          <w:p w14:paraId="507F11A2" w14:textId="77777777" w:rsidR="00B2086D" w:rsidRPr="00B2086D" w:rsidRDefault="00B2086D" w:rsidP="00B2086D">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35D44E11" w14:textId="77777777" w:rsidR="00B2086D" w:rsidRPr="00B2086D" w:rsidRDefault="00B2086D" w:rsidP="00B2086D">
            <w:pPr>
              <w:rPr>
                <w:color w:val="000000"/>
                <w:sz w:val="16"/>
                <w:szCs w:val="16"/>
              </w:rPr>
            </w:pPr>
          </w:p>
        </w:tc>
        <w:tc>
          <w:tcPr>
            <w:tcW w:w="517" w:type="dxa"/>
            <w:vMerge/>
            <w:tcBorders>
              <w:top w:val="nil"/>
              <w:left w:val="single" w:sz="4" w:space="0" w:color="auto"/>
              <w:bottom w:val="single" w:sz="8" w:space="0" w:color="000000"/>
              <w:right w:val="single" w:sz="4" w:space="0" w:color="auto"/>
            </w:tcBorders>
            <w:vAlign w:val="center"/>
            <w:hideMark/>
          </w:tcPr>
          <w:p w14:paraId="2CC3B054" w14:textId="77777777" w:rsidR="00B2086D" w:rsidRPr="00B2086D" w:rsidRDefault="00B2086D" w:rsidP="00B2086D">
            <w:pPr>
              <w:rPr>
                <w:color w:val="000000"/>
                <w:sz w:val="16"/>
                <w:szCs w:val="16"/>
              </w:rPr>
            </w:pPr>
          </w:p>
        </w:tc>
        <w:tc>
          <w:tcPr>
            <w:tcW w:w="3877" w:type="dxa"/>
            <w:tcBorders>
              <w:top w:val="nil"/>
              <w:left w:val="nil"/>
              <w:bottom w:val="single" w:sz="4" w:space="0" w:color="auto"/>
              <w:right w:val="single" w:sz="4" w:space="0" w:color="auto"/>
            </w:tcBorders>
            <w:shd w:val="clear" w:color="000000" w:fill="FFFFFF"/>
            <w:vAlign w:val="center"/>
            <w:hideMark/>
          </w:tcPr>
          <w:p w14:paraId="6A504B4C" w14:textId="77777777" w:rsidR="00B2086D" w:rsidRPr="00B2086D" w:rsidRDefault="00B2086D" w:rsidP="00B2086D">
            <w:pPr>
              <w:jc w:val="both"/>
              <w:rPr>
                <w:color w:val="000000"/>
                <w:sz w:val="16"/>
                <w:szCs w:val="16"/>
              </w:rPr>
            </w:pPr>
            <w:r w:rsidRPr="00B2086D">
              <w:rPr>
                <w:color w:val="000000"/>
                <w:sz w:val="16"/>
                <w:szCs w:val="16"/>
              </w:rPr>
              <w:t>2.3-90% des PVVIH sous ARV ont une charge virale indétectable à 12 mois en 2022</w:t>
            </w:r>
          </w:p>
        </w:tc>
        <w:tc>
          <w:tcPr>
            <w:tcW w:w="160" w:type="dxa"/>
            <w:tcBorders>
              <w:top w:val="nil"/>
              <w:left w:val="nil"/>
              <w:bottom w:val="single" w:sz="4" w:space="0" w:color="auto"/>
              <w:right w:val="single" w:sz="4" w:space="0" w:color="auto"/>
            </w:tcBorders>
            <w:shd w:val="clear" w:color="000000" w:fill="FFFFFF"/>
            <w:noWrap/>
            <w:vAlign w:val="bottom"/>
            <w:hideMark/>
          </w:tcPr>
          <w:p w14:paraId="25659913"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nil"/>
              <w:bottom w:val="single" w:sz="4" w:space="0" w:color="auto"/>
              <w:right w:val="single" w:sz="4" w:space="0" w:color="auto"/>
            </w:tcBorders>
            <w:shd w:val="clear" w:color="000000" w:fill="FFFFFF"/>
            <w:noWrap/>
            <w:vAlign w:val="center"/>
            <w:hideMark/>
          </w:tcPr>
          <w:p w14:paraId="45AE280C"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$971 706</w:t>
            </w:r>
          </w:p>
        </w:tc>
        <w:tc>
          <w:tcPr>
            <w:tcW w:w="1417" w:type="dxa"/>
            <w:tcBorders>
              <w:top w:val="nil"/>
              <w:left w:val="nil"/>
              <w:bottom w:val="single" w:sz="4" w:space="0" w:color="auto"/>
              <w:right w:val="single" w:sz="4" w:space="0" w:color="auto"/>
            </w:tcBorders>
            <w:shd w:val="clear" w:color="000000" w:fill="FFFFFF"/>
            <w:noWrap/>
            <w:vAlign w:val="center"/>
            <w:hideMark/>
          </w:tcPr>
          <w:p w14:paraId="45432C66"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$1 769 007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14:paraId="3D0B2F4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$2 900 934</w:t>
            </w:r>
          </w:p>
        </w:tc>
        <w:tc>
          <w:tcPr>
            <w:tcW w:w="1418" w:type="dxa"/>
            <w:tcBorders>
              <w:top w:val="nil"/>
              <w:left w:val="nil"/>
              <w:bottom w:val="single" w:sz="4" w:space="0" w:color="auto"/>
              <w:right w:val="single" w:sz="4" w:space="0" w:color="auto"/>
            </w:tcBorders>
            <w:shd w:val="clear" w:color="000000" w:fill="FFFFFF"/>
            <w:noWrap/>
            <w:vAlign w:val="center"/>
            <w:hideMark/>
          </w:tcPr>
          <w:p w14:paraId="71228C8A"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$4 096 671</w:t>
            </w:r>
          </w:p>
        </w:tc>
        <w:tc>
          <w:tcPr>
            <w:tcW w:w="1417" w:type="dxa"/>
            <w:tcBorders>
              <w:top w:val="nil"/>
              <w:left w:val="nil"/>
              <w:bottom w:val="single" w:sz="4" w:space="0" w:color="auto"/>
              <w:right w:val="single" w:sz="4" w:space="0" w:color="auto"/>
            </w:tcBorders>
            <w:shd w:val="clear" w:color="000000" w:fill="FFFFFF"/>
            <w:noWrap/>
            <w:vAlign w:val="center"/>
            <w:hideMark/>
          </w:tcPr>
          <w:p w14:paraId="557675BB"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$5 599 331</w:t>
            </w:r>
          </w:p>
        </w:tc>
        <w:tc>
          <w:tcPr>
            <w:tcW w:w="1276" w:type="dxa"/>
            <w:tcBorders>
              <w:top w:val="nil"/>
              <w:left w:val="nil"/>
              <w:bottom w:val="single" w:sz="4" w:space="0" w:color="auto"/>
              <w:right w:val="single" w:sz="4" w:space="0" w:color="auto"/>
            </w:tcBorders>
            <w:shd w:val="clear" w:color="000000" w:fill="FFFFFF"/>
            <w:noWrap/>
            <w:vAlign w:val="center"/>
            <w:hideMark/>
          </w:tcPr>
          <w:p w14:paraId="3C8F5A7B"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$15 337 649</w:t>
            </w:r>
          </w:p>
        </w:tc>
        <w:tc>
          <w:tcPr>
            <w:tcW w:w="851" w:type="dxa"/>
            <w:tcBorders>
              <w:top w:val="nil"/>
              <w:left w:val="nil"/>
              <w:bottom w:val="single" w:sz="4" w:space="0" w:color="auto"/>
              <w:right w:val="single" w:sz="8" w:space="0" w:color="auto"/>
            </w:tcBorders>
            <w:shd w:val="clear" w:color="000000" w:fill="FFFFFF"/>
            <w:noWrap/>
            <w:vAlign w:val="center"/>
            <w:hideMark/>
          </w:tcPr>
          <w:p w14:paraId="628EE877"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5,8%</w:t>
            </w:r>
          </w:p>
        </w:tc>
      </w:tr>
      <w:tr w:rsidR="00B2086D" w:rsidRPr="00B2086D" w14:paraId="561ED101" w14:textId="77777777" w:rsidTr="00B2086D">
        <w:trPr>
          <w:trHeight w:val="580"/>
        </w:trPr>
        <w:tc>
          <w:tcPr>
            <w:tcW w:w="562" w:type="dxa"/>
            <w:vMerge/>
            <w:tcBorders>
              <w:top w:val="nil"/>
              <w:left w:val="single" w:sz="8" w:space="0" w:color="auto"/>
              <w:bottom w:val="single" w:sz="8" w:space="0" w:color="000000"/>
              <w:right w:val="single" w:sz="4" w:space="0" w:color="auto"/>
            </w:tcBorders>
            <w:vAlign w:val="center"/>
            <w:hideMark/>
          </w:tcPr>
          <w:p w14:paraId="7EBC7E6E" w14:textId="77777777" w:rsidR="00B2086D" w:rsidRPr="00B2086D" w:rsidRDefault="00B2086D" w:rsidP="00B2086D">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204B4F5A" w14:textId="77777777" w:rsidR="00B2086D" w:rsidRPr="00B2086D" w:rsidRDefault="00B2086D" w:rsidP="00B2086D">
            <w:pPr>
              <w:rPr>
                <w:color w:val="000000"/>
                <w:sz w:val="16"/>
                <w:szCs w:val="16"/>
              </w:rPr>
            </w:pPr>
          </w:p>
        </w:tc>
        <w:tc>
          <w:tcPr>
            <w:tcW w:w="517" w:type="dxa"/>
            <w:vMerge/>
            <w:tcBorders>
              <w:top w:val="nil"/>
              <w:left w:val="single" w:sz="4" w:space="0" w:color="auto"/>
              <w:bottom w:val="single" w:sz="8" w:space="0" w:color="000000"/>
              <w:right w:val="single" w:sz="4" w:space="0" w:color="auto"/>
            </w:tcBorders>
            <w:vAlign w:val="center"/>
            <w:hideMark/>
          </w:tcPr>
          <w:p w14:paraId="0430003F" w14:textId="77777777" w:rsidR="00B2086D" w:rsidRPr="00B2086D" w:rsidRDefault="00B2086D" w:rsidP="00B2086D">
            <w:pPr>
              <w:rPr>
                <w:color w:val="000000"/>
                <w:sz w:val="16"/>
                <w:szCs w:val="16"/>
              </w:rPr>
            </w:pPr>
          </w:p>
        </w:tc>
        <w:tc>
          <w:tcPr>
            <w:tcW w:w="3877" w:type="dxa"/>
            <w:tcBorders>
              <w:top w:val="nil"/>
              <w:left w:val="nil"/>
              <w:bottom w:val="single" w:sz="8" w:space="0" w:color="auto"/>
              <w:right w:val="single" w:sz="4" w:space="0" w:color="auto"/>
            </w:tcBorders>
            <w:shd w:val="clear" w:color="000000" w:fill="FFFFFF"/>
            <w:vAlign w:val="center"/>
            <w:hideMark/>
          </w:tcPr>
          <w:p w14:paraId="40862E7A" w14:textId="77777777" w:rsidR="00B2086D" w:rsidRPr="00B2086D" w:rsidRDefault="00B2086D" w:rsidP="00B2086D">
            <w:pPr>
              <w:jc w:val="both"/>
              <w:rPr>
                <w:color w:val="000000"/>
                <w:sz w:val="16"/>
                <w:szCs w:val="16"/>
              </w:rPr>
            </w:pPr>
            <w:r w:rsidRPr="00B2086D">
              <w:rPr>
                <w:color w:val="000000"/>
                <w:sz w:val="16"/>
                <w:szCs w:val="16"/>
              </w:rPr>
              <w:t>2.4-Au moins 90% des adultes de 15-49 ans, y compris les prestataires de soins et de services ont des attitudes de non- stigmatisation et non- discrimination à l’égard des PVVIH d’ici à fin 2022</w:t>
            </w:r>
          </w:p>
        </w:tc>
        <w:tc>
          <w:tcPr>
            <w:tcW w:w="160" w:type="dxa"/>
            <w:tcBorders>
              <w:top w:val="nil"/>
              <w:left w:val="nil"/>
              <w:bottom w:val="single" w:sz="8" w:space="0" w:color="auto"/>
              <w:right w:val="single" w:sz="4" w:space="0" w:color="auto"/>
            </w:tcBorders>
            <w:shd w:val="clear" w:color="000000" w:fill="FFFFFF"/>
            <w:noWrap/>
            <w:vAlign w:val="bottom"/>
            <w:hideMark/>
          </w:tcPr>
          <w:p w14:paraId="76B1E3FF"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nil"/>
              <w:bottom w:val="single" w:sz="8" w:space="0" w:color="auto"/>
              <w:right w:val="single" w:sz="4" w:space="0" w:color="auto"/>
            </w:tcBorders>
            <w:shd w:val="clear" w:color="000000" w:fill="FFFFFF"/>
            <w:noWrap/>
            <w:vAlign w:val="center"/>
            <w:hideMark/>
          </w:tcPr>
          <w:p w14:paraId="21849A23"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$387 917</w:t>
            </w:r>
          </w:p>
        </w:tc>
        <w:tc>
          <w:tcPr>
            <w:tcW w:w="1417" w:type="dxa"/>
            <w:tcBorders>
              <w:top w:val="nil"/>
              <w:left w:val="nil"/>
              <w:bottom w:val="single" w:sz="8" w:space="0" w:color="auto"/>
              <w:right w:val="single" w:sz="4" w:space="0" w:color="auto"/>
            </w:tcBorders>
            <w:shd w:val="clear" w:color="000000" w:fill="FFFFFF"/>
            <w:noWrap/>
            <w:vAlign w:val="center"/>
            <w:hideMark/>
          </w:tcPr>
          <w:p w14:paraId="7719E4C9"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$459 326</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14:paraId="376AFC70"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$533 131</w:t>
            </w:r>
          </w:p>
        </w:tc>
        <w:tc>
          <w:tcPr>
            <w:tcW w:w="1418" w:type="dxa"/>
            <w:tcBorders>
              <w:top w:val="nil"/>
              <w:left w:val="nil"/>
              <w:bottom w:val="single" w:sz="8" w:space="0" w:color="auto"/>
              <w:right w:val="single" w:sz="4" w:space="0" w:color="auto"/>
            </w:tcBorders>
            <w:shd w:val="clear" w:color="000000" w:fill="FFFFFF"/>
            <w:noWrap/>
            <w:vAlign w:val="center"/>
            <w:hideMark/>
          </w:tcPr>
          <w:p w14:paraId="1E6333A0"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$593 073</w:t>
            </w:r>
          </w:p>
        </w:tc>
        <w:tc>
          <w:tcPr>
            <w:tcW w:w="1417" w:type="dxa"/>
            <w:tcBorders>
              <w:top w:val="nil"/>
              <w:left w:val="nil"/>
              <w:bottom w:val="single" w:sz="8" w:space="0" w:color="auto"/>
              <w:right w:val="single" w:sz="4" w:space="0" w:color="auto"/>
            </w:tcBorders>
            <w:shd w:val="clear" w:color="000000" w:fill="FFFFFF"/>
            <w:noWrap/>
            <w:vAlign w:val="center"/>
            <w:hideMark/>
          </w:tcPr>
          <w:p w14:paraId="5EC039EB"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$660 384</w:t>
            </w:r>
          </w:p>
        </w:tc>
        <w:tc>
          <w:tcPr>
            <w:tcW w:w="1276" w:type="dxa"/>
            <w:tcBorders>
              <w:top w:val="nil"/>
              <w:left w:val="nil"/>
              <w:bottom w:val="single" w:sz="8" w:space="0" w:color="auto"/>
              <w:right w:val="single" w:sz="4" w:space="0" w:color="auto"/>
            </w:tcBorders>
            <w:shd w:val="clear" w:color="000000" w:fill="FFFFFF"/>
            <w:noWrap/>
            <w:vAlign w:val="center"/>
            <w:hideMark/>
          </w:tcPr>
          <w:p w14:paraId="0F7AE070"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$2 633 832</w:t>
            </w:r>
          </w:p>
        </w:tc>
        <w:tc>
          <w:tcPr>
            <w:tcW w:w="851" w:type="dxa"/>
            <w:tcBorders>
              <w:top w:val="nil"/>
              <w:left w:val="nil"/>
              <w:bottom w:val="single" w:sz="8" w:space="0" w:color="auto"/>
              <w:right w:val="single" w:sz="8" w:space="0" w:color="auto"/>
            </w:tcBorders>
            <w:shd w:val="clear" w:color="000000" w:fill="FFFFFF"/>
            <w:noWrap/>
            <w:vAlign w:val="center"/>
            <w:hideMark/>
          </w:tcPr>
          <w:p w14:paraId="7800EA06"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1,0%</w:t>
            </w:r>
          </w:p>
        </w:tc>
      </w:tr>
      <w:tr w:rsidR="00B2086D" w:rsidRPr="00B2086D" w14:paraId="345F004B" w14:textId="77777777" w:rsidTr="00B2086D">
        <w:trPr>
          <w:trHeight w:val="580"/>
        </w:trPr>
        <w:tc>
          <w:tcPr>
            <w:tcW w:w="1413" w:type="dxa"/>
            <w:gridSpan w:val="2"/>
            <w:tcBorders>
              <w:top w:val="single" w:sz="8" w:space="0" w:color="auto"/>
              <w:left w:val="single" w:sz="8" w:space="0" w:color="auto"/>
              <w:bottom w:val="single" w:sz="8" w:space="0" w:color="auto"/>
              <w:right w:val="single" w:sz="4" w:space="0" w:color="auto"/>
            </w:tcBorders>
            <w:shd w:val="clear" w:color="000000" w:fill="FF0000"/>
            <w:vAlign w:val="center"/>
            <w:hideMark/>
          </w:tcPr>
          <w:p w14:paraId="7744F1B2" w14:textId="77777777" w:rsidR="00B2086D" w:rsidRPr="00B2086D" w:rsidRDefault="00B2086D" w:rsidP="00B2086D">
            <w:pPr>
              <w:rPr>
                <w:b/>
                <w:bCs/>
                <w:color w:val="FFFFFF"/>
                <w:sz w:val="16"/>
                <w:szCs w:val="16"/>
              </w:rPr>
            </w:pPr>
            <w:r w:rsidRPr="00B2086D">
              <w:rPr>
                <w:b/>
                <w:bCs/>
                <w:color w:val="FFFFFF"/>
                <w:sz w:val="16"/>
                <w:szCs w:val="16"/>
              </w:rPr>
              <w:t>Priorité -3</w:t>
            </w:r>
          </w:p>
        </w:tc>
        <w:tc>
          <w:tcPr>
            <w:tcW w:w="13183" w:type="dxa"/>
            <w:gridSpan w:val="12"/>
            <w:tcBorders>
              <w:top w:val="single" w:sz="8" w:space="0" w:color="auto"/>
              <w:left w:val="nil"/>
              <w:bottom w:val="single" w:sz="8" w:space="0" w:color="auto"/>
              <w:right w:val="single" w:sz="8" w:space="0" w:color="000000"/>
            </w:tcBorders>
            <w:shd w:val="clear" w:color="000000" w:fill="E7E6E6"/>
            <w:vAlign w:val="center"/>
            <w:hideMark/>
          </w:tcPr>
          <w:p w14:paraId="2AF92DCE" w14:textId="77777777" w:rsidR="00B2086D" w:rsidRPr="00B2086D" w:rsidRDefault="00B2086D" w:rsidP="00B2086D">
            <w:pPr>
              <w:rPr>
                <w:color w:val="000000"/>
                <w:sz w:val="16"/>
                <w:szCs w:val="16"/>
              </w:rPr>
            </w:pPr>
            <w:r w:rsidRPr="00B2086D">
              <w:rPr>
                <w:color w:val="000000"/>
                <w:sz w:val="16"/>
                <w:szCs w:val="16"/>
              </w:rPr>
              <w:t>Renforcer la gouvernance et la résilience de la riposte au sida pour des meilleures réponses locales et pour la disponibilité de l’information stratégique</w:t>
            </w:r>
          </w:p>
        </w:tc>
      </w:tr>
      <w:tr w:rsidR="00B2086D" w:rsidRPr="00B2086D" w14:paraId="7E6D6E43" w14:textId="77777777" w:rsidTr="00B2086D">
        <w:trPr>
          <w:trHeight w:val="500"/>
        </w:trPr>
        <w:tc>
          <w:tcPr>
            <w:tcW w:w="562" w:type="dxa"/>
            <w:vMerge w:val="restart"/>
            <w:tcBorders>
              <w:top w:val="nil"/>
              <w:left w:val="single" w:sz="8" w:space="0" w:color="auto"/>
              <w:bottom w:val="single" w:sz="8" w:space="0" w:color="000000"/>
              <w:right w:val="single" w:sz="4" w:space="0" w:color="auto"/>
            </w:tcBorders>
            <w:shd w:val="clear" w:color="auto" w:fill="auto"/>
            <w:vAlign w:val="center"/>
            <w:hideMark/>
          </w:tcPr>
          <w:p w14:paraId="3B9B0986" w14:textId="77777777" w:rsidR="00B2086D" w:rsidRPr="00B2086D" w:rsidRDefault="00B2086D" w:rsidP="00B2086D">
            <w:pPr>
              <w:jc w:val="center"/>
              <w:rPr>
                <w:sz w:val="16"/>
                <w:szCs w:val="16"/>
              </w:rPr>
            </w:pPr>
            <w:r w:rsidRPr="00B2086D">
              <w:rPr>
                <w:sz w:val="16"/>
                <w:szCs w:val="16"/>
              </w:rPr>
              <w:t> </w:t>
            </w:r>
          </w:p>
        </w:tc>
        <w:tc>
          <w:tcPr>
            <w:tcW w:w="851" w:type="dxa"/>
            <w:tcBorders>
              <w:top w:val="nil"/>
              <w:left w:val="nil"/>
              <w:bottom w:val="single" w:sz="4" w:space="0" w:color="auto"/>
              <w:right w:val="single" w:sz="4" w:space="0" w:color="auto"/>
            </w:tcBorders>
            <w:shd w:val="clear" w:color="000000" w:fill="00B0F0"/>
            <w:vAlign w:val="center"/>
            <w:hideMark/>
          </w:tcPr>
          <w:p w14:paraId="45C93012" w14:textId="77777777" w:rsidR="00B2086D" w:rsidRPr="00B2086D" w:rsidRDefault="00B2086D" w:rsidP="00B2086D">
            <w:pPr>
              <w:rPr>
                <w:color w:val="FFFFFF"/>
                <w:sz w:val="16"/>
                <w:szCs w:val="16"/>
              </w:rPr>
            </w:pPr>
            <w:r w:rsidRPr="00B2086D">
              <w:rPr>
                <w:color w:val="FFFFFF"/>
                <w:sz w:val="16"/>
                <w:szCs w:val="16"/>
              </w:rPr>
              <w:t>Impact-3</w:t>
            </w:r>
          </w:p>
        </w:tc>
        <w:tc>
          <w:tcPr>
            <w:tcW w:w="4394" w:type="dxa"/>
            <w:gridSpan w:val="2"/>
            <w:tcBorders>
              <w:top w:val="nil"/>
              <w:left w:val="nil"/>
              <w:bottom w:val="single" w:sz="4" w:space="0" w:color="auto"/>
              <w:right w:val="single" w:sz="4" w:space="0" w:color="auto"/>
            </w:tcBorders>
            <w:shd w:val="clear" w:color="000000" w:fill="EBF1DE"/>
            <w:vAlign w:val="center"/>
            <w:hideMark/>
          </w:tcPr>
          <w:p w14:paraId="52460CF0" w14:textId="77777777" w:rsidR="00B2086D" w:rsidRPr="00B2086D" w:rsidRDefault="00B2086D" w:rsidP="00B2086D">
            <w:pPr>
              <w:jc w:val="both"/>
              <w:rPr>
                <w:color w:val="000000"/>
                <w:sz w:val="16"/>
                <w:szCs w:val="16"/>
              </w:rPr>
            </w:pPr>
            <w:r w:rsidRPr="00B2086D">
              <w:rPr>
                <w:color w:val="000000"/>
                <w:sz w:val="16"/>
                <w:szCs w:val="16"/>
              </w:rPr>
              <w:t>Les systèmes de gestion, de suivi évaluation, de coordination et de gouvernance de la réponse au VIH sont renforcés et résilients d’ici à fin 2022</w:t>
            </w:r>
          </w:p>
        </w:tc>
        <w:tc>
          <w:tcPr>
            <w:tcW w:w="160" w:type="dxa"/>
            <w:tcBorders>
              <w:top w:val="nil"/>
              <w:left w:val="nil"/>
              <w:bottom w:val="nil"/>
              <w:right w:val="nil"/>
            </w:tcBorders>
            <w:shd w:val="clear" w:color="000000" w:fill="FFFFFF"/>
            <w:noWrap/>
            <w:vAlign w:val="bottom"/>
            <w:hideMark/>
          </w:tcPr>
          <w:p w14:paraId="646B2A54"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single" w:sz="4" w:space="0" w:color="auto"/>
              <w:bottom w:val="single" w:sz="4" w:space="0" w:color="auto"/>
              <w:right w:val="single" w:sz="4" w:space="0" w:color="auto"/>
            </w:tcBorders>
            <w:shd w:val="clear" w:color="000000" w:fill="EBF1DE"/>
            <w:noWrap/>
            <w:vAlign w:val="center"/>
            <w:hideMark/>
          </w:tcPr>
          <w:p w14:paraId="7E43BBD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$7 044 565</w:t>
            </w:r>
          </w:p>
        </w:tc>
        <w:tc>
          <w:tcPr>
            <w:tcW w:w="1417" w:type="dxa"/>
            <w:tcBorders>
              <w:top w:val="nil"/>
              <w:left w:val="nil"/>
              <w:bottom w:val="single" w:sz="4" w:space="0" w:color="auto"/>
              <w:right w:val="single" w:sz="4" w:space="0" w:color="auto"/>
            </w:tcBorders>
            <w:shd w:val="clear" w:color="000000" w:fill="EBF1DE"/>
            <w:noWrap/>
            <w:vAlign w:val="center"/>
            <w:hideMark/>
          </w:tcPr>
          <w:p w14:paraId="078B2E4F"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$8 341 364</w:t>
            </w:r>
          </w:p>
        </w:tc>
        <w:tc>
          <w:tcPr>
            <w:tcW w:w="1134" w:type="dxa"/>
            <w:gridSpan w:val="2"/>
            <w:tcBorders>
              <w:top w:val="nil"/>
              <w:left w:val="nil"/>
              <w:bottom w:val="single" w:sz="4" w:space="0" w:color="auto"/>
              <w:right w:val="single" w:sz="4" w:space="0" w:color="auto"/>
            </w:tcBorders>
            <w:shd w:val="clear" w:color="000000" w:fill="EBF1DE"/>
            <w:noWrap/>
            <w:vAlign w:val="center"/>
            <w:hideMark/>
          </w:tcPr>
          <w:p w14:paraId="017C4D84"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$9 681 662</w:t>
            </w:r>
          </w:p>
        </w:tc>
        <w:tc>
          <w:tcPr>
            <w:tcW w:w="1418" w:type="dxa"/>
            <w:tcBorders>
              <w:top w:val="nil"/>
              <w:left w:val="nil"/>
              <w:bottom w:val="single" w:sz="4" w:space="0" w:color="auto"/>
              <w:right w:val="single" w:sz="4" w:space="0" w:color="auto"/>
            </w:tcBorders>
            <w:shd w:val="clear" w:color="000000" w:fill="EBF1DE"/>
            <w:noWrap/>
            <w:vAlign w:val="center"/>
            <w:hideMark/>
          </w:tcPr>
          <w:p w14:paraId="18B67901"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$10 770 215</w:t>
            </w:r>
          </w:p>
        </w:tc>
        <w:tc>
          <w:tcPr>
            <w:tcW w:w="1417" w:type="dxa"/>
            <w:tcBorders>
              <w:top w:val="nil"/>
              <w:left w:val="nil"/>
              <w:bottom w:val="single" w:sz="4" w:space="0" w:color="auto"/>
              <w:right w:val="single" w:sz="4" w:space="0" w:color="auto"/>
            </w:tcBorders>
            <w:shd w:val="clear" w:color="000000" w:fill="EBF1DE"/>
            <w:noWrap/>
            <w:vAlign w:val="center"/>
            <w:hideMark/>
          </w:tcPr>
          <w:p w14:paraId="2B4CC9BF"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$11 992 577</w:t>
            </w:r>
          </w:p>
        </w:tc>
        <w:tc>
          <w:tcPr>
            <w:tcW w:w="1276" w:type="dxa"/>
            <w:tcBorders>
              <w:top w:val="nil"/>
              <w:left w:val="nil"/>
              <w:bottom w:val="single" w:sz="4" w:space="0" w:color="auto"/>
              <w:right w:val="single" w:sz="4" w:space="0" w:color="auto"/>
            </w:tcBorders>
            <w:shd w:val="clear" w:color="000000" w:fill="EBF1DE"/>
            <w:noWrap/>
            <w:vAlign w:val="center"/>
            <w:hideMark/>
          </w:tcPr>
          <w:p w14:paraId="3BE47413"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$47 830 383</w:t>
            </w:r>
          </w:p>
        </w:tc>
        <w:tc>
          <w:tcPr>
            <w:tcW w:w="851" w:type="dxa"/>
            <w:tcBorders>
              <w:top w:val="nil"/>
              <w:left w:val="nil"/>
              <w:bottom w:val="single" w:sz="4" w:space="0" w:color="auto"/>
              <w:right w:val="single" w:sz="8" w:space="0" w:color="auto"/>
            </w:tcBorders>
            <w:shd w:val="clear" w:color="000000" w:fill="EBF1DE"/>
            <w:noWrap/>
            <w:vAlign w:val="center"/>
            <w:hideMark/>
          </w:tcPr>
          <w:p w14:paraId="4645CA44"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18,2%</w:t>
            </w:r>
          </w:p>
        </w:tc>
      </w:tr>
      <w:tr w:rsidR="00B2086D" w:rsidRPr="00B2086D" w14:paraId="64A7AD80" w14:textId="77777777" w:rsidTr="00B2086D">
        <w:trPr>
          <w:trHeight w:val="540"/>
        </w:trPr>
        <w:tc>
          <w:tcPr>
            <w:tcW w:w="562" w:type="dxa"/>
            <w:vMerge/>
            <w:tcBorders>
              <w:top w:val="nil"/>
              <w:left w:val="single" w:sz="8" w:space="0" w:color="auto"/>
              <w:bottom w:val="single" w:sz="8" w:space="0" w:color="000000"/>
              <w:right w:val="single" w:sz="4" w:space="0" w:color="auto"/>
            </w:tcBorders>
            <w:vAlign w:val="center"/>
            <w:hideMark/>
          </w:tcPr>
          <w:p w14:paraId="472BFF31" w14:textId="77777777" w:rsidR="00B2086D" w:rsidRPr="00B2086D" w:rsidRDefault="00B2086D" w:rsidP="00B2086D">
            <w:pPr>
              <w:rPr>
                <w:sz w:val="16"/>
                <w:szCs w:val="16"/>
              </w:rPr>
            </w:pPr>
          </w:p>
        </w:tc>
        <w:tc>
          <w:tcPr>
            <w:tcW w:w="85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7DE9E891" w14:textId="77777777" w:rsidR="00B2086D" w:rsidRPr="00B2086D" w:rsidRDefault="00B2086D" w:rsidP="00B2086D">
            <w:pPr>
              <w:jc w:val="center"/>
              <w:rPr>
                <w:color w:val="000000"/>
                <w:sz w:val="16"/>
                <w:szCs w:val="16"/>
              </w:rPr>
            </w:pPr>
            <w:r w:rsidRPr="00B2086D">
              <w:rPr>
                <w:color w:val="000000"/>
                <w:sz w:val="16"/>
                <w:szCs w:val="16"/>
              </w:rPr>
              <w:t> </w:t>
            </w:r>
          </w:p>
        </w:tc>
        <w:tc>
          <w:tcPr>
            <w:tcW w:w="517" w:type="dxa"/>
            <w:vMerge w:val="restart"/>
            <w:tcBorders>
              <w:top w:val="nil"/>
              <w:left w:val="single" w:sz="4" w:space="0" w:color="auto"/>
              <w:bottom w:val="single" w:sz="8" w:space="0" w:color="000000"/>
              <w:right w:val="single" w:sz="4" w:space="0" w:color="auto"/>
            </w:tcBorders>
            <w:shd w:val="clear" w:color="000000" w:fill="FFFFFF"/>
            <w:noWrap/>
            <w:textDirection w:val="btLr"/>
            <w:vAlign w:val="center"/>
            <w:hideMark/>
          </w:tcPr>
          <w:p w14:paraId="118C06DA" w14:textId="77777777" w:rsidR="00B2086D" w:rsidRPr="00B2086D" w:rsidRDefault="00B2086D" w:rsidP="00B2086D">
            <w:pPr>
              <w:jc w:val="center"/>
              <w:rPr>
                <w:color w:val="000000"/>
                <w:sz w:val="16"/>
                <w:szCs w:val="16"/>
              </w:rPr>
            </w:pPr>
            <w:r w:rsidRPr="00B2086D">
              <w:rPr>
                <w:color w:val="000000"/>
                <w:sz w:val="16"/>
                <w:szCs w:val="16"/>
              </w:rPr>
              <w:t>Effets</w:t>
            </w:r>
          </w:p>
        </w:tc>
        <w:tc>
          <w:tcPr>
            <w:tcW w:w="3877" w:type="dxa"/>
            <w:tcBorders>
              <w:top w:val="nil"/>
              <w:left w:val="nil"/>
              <w:bottom w:val="single" w:sz="4" w:space="0" w:color="auto"/>
              <w:right w:val="single" w:sz="4" w:space="0" w:color="auto"/>
            </w:tcBorders>
            <w:shd w:val="clear" w:color="000000" w:fill="FFFFFF"/>
            <w:vAlign w:val="center"/>
            <w:hideMark/>
          </w:tcPr>
          <w:p w14:paraId="43EF9C8E" w14:textId="77777777" w:rsidR="00B2086D" w:rsidRPr="00B2086D" w:rsidRDefault="00B2086D" w:rsidP="00B2086D">
            <w:pPr>
              <w:jc w:val="both"/>
              <w:rPr>
                <w:color w:val="000000"/>
                <w:sz w:val="16"/>
                <w:szCs w:val="16"/>
              </w:rPr>
            </w:pPr>
            <w:r w:rsidRPr="00B2086D">
              <w:rPr>
                <w:color w:val="000000"/>
                <w:sz w:val="16"/>
                <w:szCs w:val="16"/>
              </w:rPr>
              <w:t>3.1-D’ici à fin 2022, le taux d’exécution financière du PSN est supérieur à 80%</w:t>
            </w:r>
          </w:p>
        </w:tc>
        <w:tc>
          <w:tcPr>
            <w:tcW w:w="160" w:type="dxa"/>
            <w:tcBorders>
              <w:top w:val="nil"/>
              <w:left w:val="nil"/>
              <w:bottom w:val="nil"/>
              <w:right w:val="nil"/>
            </w:tcBorders>
            <w:shd w:val="clear" w:color="000000" w:fill="FFFFFF"/>
            <w:noWrap/>
            <w:vAlign w:val="bottom"/>
            <w:hideMark/>
          </w:tcPr>
          <w:p w14:paraId="5A55D8BD"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A68ACB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$248 267</w:t>
            </w:r>
          </w:p>
        </w:tc>
        <w:tc>
          <w:tcPr>
            <w:tcW w:w="1417" w:type="dxa"/>
            <w:tcBorders>
              <w:top w:val="nil"/>
              <w:left w:val="nil"/>
              <w:bottom w:val="single" w:sz="4" w:space="0" w:color="auto"/>
              <w:right w:val="single" w:sz="4" w:space="0" w:color="auto"/>
            </w:tcBorders>
            <w:shd w:val="clear" w:color="000000" w:fill="FFFFFF"/>
            <w:noWrap/>
            <w:vAlign w:val="center"/>
            <w:hideMark/>
          </w:tcPr>
          <w:p w14:paraId="0CB7C5F3"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$293 969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14:paraId="0131B55A"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$341 204</w:t>
            </w:r>
          </w:p>
        </w:tc>
        <w:tc>
          <w:tcPr>
            <w:tcW w:w="1418" w:type="dxa"/>
            <w:tcBorders>
              <w:top w:val="nil"/>
              <w:left w:val="nil"/>
              <w:bottom w:val="single" w:sz="4" w:space="0" w:color="auto"/>
              <w:right w:val="single" w:sz="4" w:space="0" w:color="auto"/>
            </w:tcBorders>
            <w:shd w:val="clear" w:color="000000" w:fill="FFFFFF"/>
            <w:noWrap/>
            <w:vAlign w:val="center"/>
            <w:hideMark/>
          </w:tcPr>
          <w:p w14:paraId="6B06E867"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$379 567</w:t>
            </w:r>
          </w:p>
        </w:tc>
        <w:tc>
          <w:tcPr>
            <w:tcW w:w="1417" w:type="dxa"/>
            <w:tcBorders>
              <w:top w:val="nil"/>
              <w:left w:val="nil"/>
              <w:bottom w:val="single" w:sz="4" w:space="0" w:color="auto"/>
              <w:right w:val="single" w:sz="4" w:space="0" w:color="auto"/>
            </w:tcBorders>
            <w:shd w:val="clear" w:color="000000" w:fill="FFFFFF"/>
            <w:noWrap/>
            <w:vAlign w:val="center"/>
            <w:hideMark/>
          </w:tcPr>
          <w:p w14:paraId="030EA5CB"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$422 646</w:t>
            </w:r>
          </w:p>
        </w:tc>
        <w:tc>
          <w:tcPr>
            <w:tcW w:w="1276" w:type="dxa"/>
            <w:tcBorders>
              <w:top w:val="nil"/>
              <w:left w:val="nil"/>
              <w:bottom w:val="single" w:sz="4" w:space="0" w:color="auto"/>
              <w:right w:val="single" w:sz="4" w:space="0" w:color="auto"/>
            </w:tcBorders>
            <w:shd w:val="clear" w:color="000000" w:fill="FFFFFF"/>
            <w:noWrap/>
            <w:vAlign w:val="center"/>
            <w:hideMark/>
          </w:tcPr>
          <w:p w14:paraId="63FB0AD3"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$1 685 652</w:t>
            </w:r>
          </w:p>
        </w:tc>
        <w:tc>
          <w:tcPr>
            <w:tcW w:w="851" w:type="dxa"/>
            <w:tcBorders>
              <w:top w:val="nil"/>
              <w:left w:val="nil"/>
              <w:bottom w:val="single" w:sz="4" w:space="0" w:color="auto"/>
              <w:right w:val="single" w:sz="8" w:space="0" w:color="auto"/>
            </w:tcBorders>
            <w:shd w:val="clear" w:color="000000" w:fill="FFFFFF"/>
            <w:noWrap/>
            <w:vAlign w:val="center"/>
            <w:hideMark/>
          </w:tcPr>
          <w:p w14:paraId="30DB35B2"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0,6%</w:t>
            </w:r>
          </w:p>
        </w:tc>
      </w:tr>
      <w:tr w:rsidR="00B2086D" w:rsidRPr="00B2086D" w14:paraId="43F0F7D2" w14:textId="77777777" w:rsidTr="00B2086D">
        <w:trPr>
          <w:trHeight w:val="600"/>
        </w:trPr>
        <w:tc>
          <w:tcPr>
            <w:tcW w:w="562" w:type="dxa"/>
            <w:vMerge/>
            <w:tcBorders>
              <w:top w:val="nil"/>
              <w:left w:val="single" w:sz="8" w:space="0" w:color="auto"/>
              <w:bottom w:val="single" w:sz="8" w:space="0" w:color="000000"/>
              <w:right w:val="single" w:sz="4" w:space="0" w:color="auto"/>
            </w:tcBorders>
            <w:vAlign w:val="center"/>
            <w:hideMark/>
          </w:tcPr>
          <w:p w14:paraId="0FB7FE6A" w14:textId="77777777" w:rsidR="00B2086D" w:rsidRPr="00B2086D" w:rsidRDefault="00B2086D" w:rsidP="00B2086D">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20A7E61A" w14:textId="77777777" w:rsidR="00B2086D" w:rsidRPr="00B2086D" w:rsidRDefault="00B2086D" w:rsidP="00B2086D">
            <w:pPr>
              <w:rPr>
                <w:color w:val="000000"/>
                <w:sz w:val="16"/>
                <w:szCs w:val="16"/>
              </w:rPr>
            </w:pPr>
          </w:p>
        </w:tc>
        <w:tc>
          <w:tcPr>
            <w:tcW w:w="517" w:type="dxa"/>
            <w:vMerge/>
            <w:tcBorders>
              <w:top w:val="nil"/>
              <w:left w:val="single" w:sz="4" w:space="0" w:color="auto"/>
              <w:bottom w:val="single" w:sz="8" w:space="0" w:color="000000"/>
              <w:right w:val="single" w:sz="4" w:space="0" w:color="auto"/>
            </w:tcBorders>
            <w:vAlign w:val="center"/>
            <w:hideMark/>
          </w:tcPr>
          <w:p w14:paraId="643332C2" w14:textId="77777777" w:rsidR="00B2086D" w:rsidRPr="00B2086D" w:rsidRDefault="00B2086D" w:rsidP="00B2086D">
            <w:pPr>
              <w:rPr>
                <w:color w:val="000000"/>
                <w:sz w:val="16"/>
                <w:szCs w:val="16"/>
              </w:rPr>
            </w:pPr>
          </w:p>
        </w:tc>
        <w:tc>
          <w:tcPr>
            <w:tcW w:w="3877" w:type="dxa"/>
            <w:tcBorders>
              <w:top w:val="nil"/>
              <w:left w:val="nil"/>
              <w:bottom w:val="single" w:sz="4" w:space="0" w:color="auto"/>
              <w:right w:val="single" w:sz="4" w:space="0" w:color="auto"/>
            </w:tcBorders>
            <w:shd w:val="clear" w:color="000000" w:fill="FFFFFF"/>
            <w:vAlign w:val="center"/>
            <w:hideMark/>
          </w:tcPr>
          <w:p w14:paraId="1B2F28FA" w14:textId="77777777" w:rsidR="00B2086D" w:rsidRPr="00B2086D" w:rsidRDefault="00B2086D" w:rsidP="00B2086D">
            <w:pPr>
              <w:jc w:val="both"/>
              <w:rPr>
                <w:color w:val="000000"/>
                <w:sz w:val="16"/>
                <w:szCs w:val="16"/>
              </w:rPr>
            </w:pPr>
            <w:r w:rsidRPr="00B2086D">
              <w:rPr>
                <w:color w:val="000000"/>
                <w:sz w:val="16"/>
                <w:szCs w:val="16"/>
              </w:rPr>
              <w:t xml:space="preserve">3-2-Le secteur communautaire et le secteur privé disposent des capacités managériales, techniques et opérationnelles pour assurer au moins 80% de la réponse dans leur secteur d’ici à fin 2022 </w:t>
            </w:r>
          </w:p>
        </w:tc>
        <w:tc>
          <w:tcPr>
            <w:tcW w:w="160" w:type="dxa"/>
            <w:tcBorders>
              <w:top w:val="nil"/>
              <w:left w:val="nil"/>
              <w:bottom w:val="nil"/>
              <w:right w:val="nil"/>
            </w:tcBorders>
            <w:shd w:val="clear" w:color="000000" w:fill="FFFFFF"/>
            <w:noWrap/>
            <w:vAlign w:val="bottom"/>
            <w:hideMark/>
          </w:tcPr>
          <w:p w14:paraId="7B43B2E4"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F32DE3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$931 000</w:t>
            </w:r>
          </w:p>
        </w:tc>
        <w:tc>
          <w:tcPr>
            <w:tcW w:w="1417" w:type="dxa"/>
            <w:tcBorders>
              <w:top w:val="nil"/>
              <w:left w:val="nil"/>
              <w:bottom w:val="single" w:sz="4" w:space="0" w:color="auto"/>
              <w:right w:val="single" w:sz="4" w:space="0" w:color="auto"/>
            </w:tcBorders>
            <w:shd w:val="clear" w:color="000000" w:fill="FFFFFF"/>
            <w:noWrap/>
            <w:vAlign w:val="center"/>
            <w:hideMark/>
          </w:tcPr>
          <w:p w14:paraId="0D84F5D3"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$1 102 383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14:paraId="40D75886"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$1 279 515</w:t>
            </w:r>
          </w:p>
        </w:tc>
        <w:tc>
          <w:tcPr>
            <w:tcW w:w="1418" w:type="dxa"/>
            <w:tcBorders>
              <w:top w:val="nil"/>
              <w:left w:val="nil"/>
              <w:bottom w:val="single" w:sz="4" w:space="0" w:color="auto"/>
              <w:right w:val="single" w:sz="4" w:space="0" w:color="auto"/>
            </w:tcBorders>
            <w:shd w:val="clear" w:color="000000" w:fill="FFFFFF"/>
            <w:noWrap/>
            <w:vAlign w:val="center"/>
            <w:hideMark/>
          </w:tcPr>
          <w:p w14:paraId="206BE15A"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$1 423 376</w:t>
            </w:r>
          </w:p>
        </w:tc>
        <w:tc>
          <w:tcPr>
            <w:tcW w:w="1417" w:type="dxa"/>
            <w:tcBorders>
              <w:top w:val="nil"/>
              <w:left w:val="nil"/>
              <w:bottom w:val="single" w:sz="4" w:space="0" w:color="auto"/>
              <w:right w:val="single" w:sz="4" w:space="0" w:color="auto"/>
            </w:tcBorders>
            <w:shd w:val="clear" w:color="000000" w:fill="FFFFFF"/>
            <w:noWrap/>
            <w:vAlign w:val="center"/>
            <w:hideMark/>
          </w:tcPr>
          <w:p w14:paraId="65B0F6E9"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$1 584 922</w:t>
            </w:r>
          </w:p>
        </w:tc>
        <w:tc>
          <w:tcPr>
            <w:tcW w:w="1276" w:type="dxa"/>
            <w:tcBorders>
              <w:top w:val="nil"/>
              <w:left w:val="nil"/>
              <w:bottom w:val="single" w:sz="4" w:space="0" w:color="auto"/>
              <w:right w:val="single" w:sz="4" w:space="0" w:color="auto"/>
            </w:tcBorders>
            <w:shd w:val="clear" w:color="000000" w:fill="FFFFFF"/>
            <w:noWrap/>
            <w:vAlign w:val="center"/>
            <w:hideMark/>
          </w:tcPr>
          <w:p w14:paraId="50FD31D8"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$6 321 196</w:t>
            </w:r>
          </w:p>
        </w:tc>
        <w:tc>
          <w:tcPr>
            <w:tcW w:w="851" w:type="dxa"/>
            <w:tcBorders>
              <w:top w:val="nil"/>
              <w:left w:val="nil"/>
              <w:bottom w:val="single" w:sz="4" w:space="0" w:color="auto"/>
              <w:right w:val="single" w:sz="8" w:space="0" w:color="auto"/>
            </w:tcBorders>
            <w:shd w:val="clear" w:color="000000" w:fill="FFFFFF"/>
            <w:noWrap/>
            <w:vAlign w:val="center"/>
            <w:hideMark/>
          </w:tcPr>
          <w:p w14:paraId="1C6E0636"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2,4%</w:t>
            </w:r>
          </w:p>
        </w:tc>
      </w:tr>
      <w:tr w:rsidR="00B2086D" w:rsidRPr="00B2086D" w14:paraId="0D45D5BD" w14:textId="77777777" w:rsidTr="00B2086D">
        <w:trPr>
          <w:trHeight w:val="780"/>
        </w:trPr>
        <w:tc>
          <w:tcPr>
            <w:tcW w:w="562" w:type="dxa"/>
            <w:vMerge/>
            <w:tcBorders>
              <w:top w:val="nil"/>
              <w:left w:val="single" w:sz="8" w:space="0" w:color="auto"/>
              <w:bottom w:val="single" w:sz="8" w:space="0" w:color="000000"/>
              <w:right w:val="single" w:sz="4" w:space="0" w:color="auto"/>
            </w:tcBorders>
            <w:vAlign w:val="center"/>
            <w:hideMark/>
          </w:tcPr>
          <w:p w14:paraId="0E600198" w14:textId="77777777" w:rsidR="00B2086D" w:rsidRPr="00B2086D" w:rsidRDefault="00B2086D" w:rsidP="00B2086D">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1429D094" w14:textId="77777777" w:rsidR="00B2086D" w:rsidRPr="00B2086D" w:rsidRDefault="00B2086D" w:rsidP="00B2086D">
            <w:pPr>
              <w:rPr>
                <w:color w:val="000000"/>
                <w:sz w:val="16"/>
                <w:szCs w:val="16"/>
              </w:rPr>
            </w:pPr>
          </w:p>
        </w:tc>
        <w:tc>
          <w:tcPr>
            <w:tcW w:w="517" w:type="dxa"/>
            <w:vMerge/>
            <w:tcBorders>
              <w:top w:val="nil"/>
              <w:left w:val="single" w:sz="4" w:space="0" w:color="auto"/>
              <w:bottom w:val="single" w:sz="8" w:space="0" w:color="000000"/>
              <w:right w:val="single" w:sz="4" w:space="0" w:color="auto"/>
            </w:tcBorders>
            <w:vAlign w:val="center"/>
            <w:hideMark/>
          </w:tcPr>
          <w:p w14:paraId="233385A0" w14:textId="77777777" w:rsidR="00B2086D" w:rsidRPr="00B2086D" w:rsidRDefault="00B2086D" w:rsidP="00B2086D">
            <w:pPr>
              <w:rPr>
                <w:color w:val="000000"/>
                <w:sz w:val="16"/>
                <w:szCs w:val="16"/>
              </w:rPr>
            </w:pPr>
          </w:p>
        </w:tc>
        <w:tc>
          <w:tcPr>
            <w:tcW w:w="3877" w:type="dxa"/>
            <w:tcBorders>
              <w:top w:val="nil"/>
              <w:left w:val="nil"/>
              <w:bottom w:val="single" w:sz="4" w:space="0" w:color="auto"/>
              <w:right w:val="single" w:sz="4" w:space="0" w:color="auto"/>
            </w:tcBorders>
            <w:shd w:val="clear" w:color="000000" w:fill="FFFFFF"/>
            <w:vAlign w:val="center"/>
            <w:hideMark/>
          </w:tcPr>
          <w:p w14:paraId="0A9A0606" w14:textId="77777777" w:rsidR="00B2086D" w:rsidRPr="00B2086D" w:rsidRDefault="00B2086D" w:rsidP="00B2086D">
            <w:pPr>
              <w:jc w:val="both"/>
              <w:rPr>
                <w:color w:val="000000"/>
                <w:sz w:val="16"/>
                <w:szCs w:val="16"/>
              </w:rPr>
            </w:pPr>
            <w:r w:rsidRPr="00B2086D">
              <w:rPr>
                <w:color w:val="000000"/>
                <w:sz w:val="16"/>
                <w:szCs w:val="16"/>
              </w:rPr>
              <w:t xml:space="preserve">3.3-Durant la période 2018- 2022, le système national de suivi évaluation de la riposte est à même de produire tous les données et indicateurs avec une qualité, une complétude et une promptitude supérieure à 95% </w:t>
            </w:r>
          </w:p>
        </w:tc>
        <w:tc>
          <w:tcPr>
            <w:tcW w:w="160" w:type="dxa"/>
            <w:tcBorders>
              <w:top w:val="nil"/>
              <w:left w:val="nil"/>
              <w:bottom w:val="nil"/>
              <w:right w:val="nil"/>
            </w:tcBorders>
            <w:shd w:val="clear" w:color="000000" w:fill="FFFFFF"/>
            <w:noWrap/>
            <w:vAlign w:val="bottom"/>
            <w:hideMark/>
          </w:tcPr>
          <w:p w14:paraId="51E5BED0"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5D618F6"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$3 630 899</w:t>
            </w:r>
          </w:p>
        </w:tc>
        <w:tc>
          <w:tcPr>
            <w:tcW w:w="1417" w:type="dxa"/>
            <w:tcBorders>
              <w:top w:val="nil"/>
              <w:left w:val="nil"/>
              <w:bottom w:val="single" w:sz="4" w:space="0" w:color="auto"/>
              <w:right w:val="single" w:sz="4" w:space="0" w:color="auto"/>
            </w:tcBorders>
            <w:shd w:val="clear" w:color="000000" w:fill="FFFFFF"/>
            <w:noWrap/>
            <w:vAlign w:val="center"/>
            <w:hideMark/>
          </w:tcPr>
          <w:p w14:paraId="318888AF"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$4 299 293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14:paraId="5DF06A07"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$4 990 108</w:t>
            </w:r>
          </w:p>
        </w:tc>
        <w:tc>
          <w:tcPr>
            <w:tcW w:w="1418" w:type="dxa"/>
            <w:tcBorders>
              <w:top w:val="nil"/>
              <w:left w:val="nil"/>
              <w:bottom w:val="single" w:sz="4" w:space="0" w:color="auto"/>
              <w:right w:val="single" w:sz="4" w:space="0" w:color="auto"/>
            </w:tcBorders>
            <w:shd w:val="clear" w:color="000000" w:fill="FFFFFF"/>
            <w:noWrap/>
            <w:vAlign w:val="center"/>
            <w:hideMark/>
          </w:tcPr>
          <w:p w14:paraId="6B20812E"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$5 551 168</w:t>
            </w:r>
          </w:p>
        </w:tc>
        <w:tc>
          <w:tcPr>
            <w:tcW w:w="1417" w:type="dxa"/>
            <w:tcBorders>
              <w:top w:val="nil"/>
              <w:left w:val="nil"/>
              <w:bottom w:val="single" w:sz="4" w:space="0" w:color="auto"/>
              <w:right w:val="single" w:sz="4" w:space="0" w:color="auto"/>
            </w:tcBorders>
            <w:shd w:val="clear" w:color="000000" w:fill="FFFFFF"/>
            <w:noWrap/>
            <w:vAlign w:val="center"/>
            <w:hideMark/>
          </w:tcPr>
          <w:p w14:paraId="5908BE77"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$6 181 196</w:t>
            </w:r>
          </w:p>
        </w:tc>
        <w:tc>
          <w:tcPr>
            <w:tcW w:w="1276" w:type="dxa"/>
            <w:tcBorders>
              <w:top w:val="nil"/>
              <w:left w:val="nil"/>
              <w:bottom w:val="single" w:sz="4" w:space="0" w:color="auto"/>
              <w:right w:val="single" w:sz="4" w:space="0" w:color="auto"/>
            </w:tcBorders>
            <w:shd w:val="clear" w:color="000000" w:fill="FFFFFF"/>
            <w:noWrap/>
            <w:vAlign w:val="center"/>
            <w:hideMark/>
          </w:tcPr>
          <w:p w14:paraId="3F7FC5B4"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$24 652 665</w:t>
            </w:r>
          </w:p>
        </w:tc>
        <w:tc>
          <w:tcPr>
            <w:tcW w:w="851" w:type="dxa"/>
            <w:tcBorders>
              <w:top w:val="nil"/>
              <w:left w:val="nil"/>
              <w:bottom w:val="single" w:sz="4" w:space="0" w:color="auto"/>
              <w:right w:val="single" w:sz="8" w:space="0" w:color="auto"/>
            </w:tcBorders>
            <w:shd w:val="clear" w:color="000000" w:fill="FFFFFF"/>
            <w:noWrap/>
            <w:vAlign w:val="center"/>
            <w:hideMark/>
          </w:tcPr>
          <w:p w14:paraId="23D06881"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9,4%</w:t>
            </w:r>
          </w:p>
        </w:tc>
      </w:tr>
      <w:tr w:rsidR="00B2086D" w:rsidRPr="00B2086D" w14:paraId="4C166253" w14:textId="77777777" w:rsidTr="00B2086D">
        <w:trPr>
          <w:trHeight w:val="720"/>
        </w:trPr>
        <w:tc>
          <w:tcPr>
            <w:tcW w:w="562" w:type="dxa"/>
            <w:vMerge/>
            <w:tcBorders>
              <w:top w:val="nil"/>
              <w:left w:val="single" w:sz="8" w:space="0" w:color="auto"/>
              <w:bottom w:val="single" w:sz="8" w:space="0" w:color="000000"/>
              <w:right w:val="single" w:sz="4" w:space="0" w:color="auto"/>
            </w:tcBorders>
            <w:vAlign w:val="center"/>
            <w:hideMark/>
          </w:tcPr>
          <w:p w14:paraId="4B2561F7" w14:textId="77777777" w:rsidR="00B2086D" w:rsidRPr="00B2086D" w:rsidRDefault="00B2086D" w:rsidP="00B2086D">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742C244F" w14:textId="77777777" w:rsidR="00B2086D" w:rsidRPr="00B2086D" w:rsidRDefault="00B2086D" w:rsidP="00B2086D">
            <w:pPr>
              <w:rPr>
                <w:color w:val="000000"/>
                <w:sz w:val="16"/>
                <w:szCs w:val="16"/>
              </w:rPr>
            </w:pPr>
          </w:p>
        </w:tc>
        <w:tc>
          <w:tcPr>
            <w:tcW w:w="517" w:type="dxa"/>
            <w:vMerge/>
            <w:tcBorders>
              <w:top w:val="nil"/>
              <w:left w:val="single" w:sz="4" w:space="0" w:color="auto"/>
              <w:bottom w:val="single" w:sz="8" w:space="0" w:color="000000"/>
              <w:right w:val="single" w:sz="4" w:space="0" w:color="auto"/>
            </w:tcBorders>
            <w:vAlign w:val="center"/>
            <w:hideMark/>
          </w:tcPr>
          <w:p w14:paraId="5C79D3E6" w14:textId="77777777" w:rsidR="00B2086D" w:rsidRPr="00B2086D" w:rsidRDefault="00B2086D" w:rsidP="00B2086D">
            <w:pPr>
              <w:rPr>
                <w:color w:val="000000"/>
                <w:sz w:val="16"/>
                <w:szCs w:val="16"/>
              </w:rPr>
            </w:pPr>
          </w:p>
        </w:tc>
        <w:tc>
          <w:tcPr>
            <w:tcW w:w="3877" w:type="dxa"/>
            <w:tcBorders>
              <w:top w:val="nil"/>
              <w:left w:val="nil"/>
              <w:bottom w:val="single" w:sz="8" w:space="0" w:color="auto"/>
              <w:right w:val="single" w:sz="4" w:space="0" w:color="auto"/>
            </w:tcBorders>
            <w:shd w:val="clear" w:color="000000" w:fill="FFFFFF"/>
            <w:vAlign w:val="center"/>
            <w:hideMark/>
          </w:tcPr>
          <w:p w14:paraId="48C2F94B" w14:textId="77777777" w:rsidR="00B2086D" w:rsidRPr="00B2086D" w:rsidRDefault="00B2086D" w:rsidP="00B2086D">
            <w:pPr>
              <w:jc w:val="both"/>
              <w:rPr>
                <w:color w:val="000000"/>
                <w:sz w:val="16"/>
                <w:szCs w:val="16"/>
              </w:rPr>
            </w:pPr>
            <w:r w:rsidRPr="00B2086D">
              <w:rPr>
                <w:color w:val="000000"/>
                <w:sz w:val="16"/>
                <w:szCs w:val="16"/>
              </w:rPr>
              <w:t>3.4-Entre 2018-2022, la gouvernance du CNLS assure une multisectorialité et une redevabilité optimales</w:t>
            </w:r>
          </w:p>
        </w:tc>
        <w:tc>
          <w:tcPr>
            <w:tcW w:w="160" w:type="dxa"/>
            <w:tcBorders>
              <w:top w:val="nil"/>
              <w:left w:val="nil"/>
              <w:bottom w:val="single" w:sz="8" w:space="0" w:color="auto"/>
              <w:right w:val="nil"/>
            </w:tcBorders>
            <w:shd w:val="clear" w:color="000000" w:fill="FFFFFF"/>
            <w:noWrap/>
            <w:vAlign w:val="bottom"/>
            <w:hideMark/>
          </w:tcPr>
          <w:p w14:paraId="7AE28ACF"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single" w:sz="4" w:space="0" w:color="auto"/>
              <w:bottom w:val="single" w:sz="8" w:space="0" w:color="auto"/>
              <w:right w:val="single" w:sz="4" w:space="0" w:color="auto"/>
            </w:tcBorders>
            <w:shd w:val="clear" w:color="000000" w:fill="FFFFFF"/>
            <w:noWrap/>
            <w:vAlign w:val="center"/>
            <w:hideMark/>
          </w:tcPr>
          <w:p w14:paraId="5FF41BDC"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$2 234 400</w:t>
            </w:r>
          </w:p>
        </w:tc>
        <w:tc>
          <w:tcPr>
            <w:tcW w:w="1417" w:type="dxa"/>
            <w:tcBorders>
              <w:top w:val="nil"/>
              <w:left w:val="nil"/>
              <w:bottom w:val="single" w:sz="8" w:space="0" w:color="auto"/>
              <w:right w:val="single" w:sz="4" w:space="0" w:color="auto"/>
            </w:tcBorders>
            <w:shd w:val="clear" w:color="000000" w:fill="FFFFFF"/>
            <w:noWrap/>
            <w:vAlign w:val="center"/>
            <w:hideMark/>
          </w:tcPr>
          <w:p w14:paraId="32DDC015"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$2 645 719</w:t>
            </w:r>
          </w:p>
        </w:tc>
        <w:tc>
          <w:tcPr>
            <w:tcW w:w="1134" w:type="dxa"/>
            <w:gridSpan w:val="2"/>
            <w:tcBorders>
              <w:top w:val="nil"/>
              <w:left w:val="nil"/>
              <w:bottom w:val="single" w:sz="8" w:space="0" w:color="auto"/>
              <w:right w:val="single" w:sz="4" w:space="0" w:color="auto"/>
            </w:tcBorders>
            <w:shd w:val="clear" w:color="000000" w:fill="FFFFFF"/>
            <w:noWrap/>
            <w:vAlign w:val="center"/>
            <w:hideMark/>
          </w:tcPr>
          <w:p w14:paraId="001EB475"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$3 070 836</w:t>
            </w:r>
          </w:p>
        </w:tc>
        <w:tc>
          <w:tcPr>
            <w:tcW w:w="1418" w:type="dxa"/>
            <w:tcBorders>
              <w:top w:val="nil"/>
              <w:left w:val="nil"/>
              <w:bottom w:val="single" w:sz="8" w:space="0" w:color="auto"/>
              <w:right w:val="single" w:sz="4" w:space="0" w:color="auto"/>
            </w:tcBorders>
            <w:shd w:val="clear" w:color="000000" w:fill="FFFFFF"/>
            <w:noWrap/>
            <w:vAlign w:val="center"/>
            <w:hideMark/>
          </w:tcPr>
          <w:p w14:paraId="34FDA347"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$3 416 103</w:t>
            </w:r>
          </w:p>
        </w:tc>
        <w:tc>
          <w:tcPr>
            <w:tcW w:w="1417" w:type="dxa"/>
            <w:tcBorders>
              <w:top w:val="nil"/>
              <w:left w:val="nil"/>
              <w:bottom w:val="single" w:sz="8" w:space="0" w:color="auto"/>
              <w:right w:val="single" w:sz="4" w:space="0" w:color="auto"/>
            </w:tcBorders>
            <w:shd w:val="clear" w:color="000000" w:fill="FFFFFF"/>
            <w:noWrap/>
            <w:vAlign w:val="center"/>
            <w:hideMark/>
          </w:tcPr>
          <w:p w14:paraId="016DAC2C"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$3 803 813</w:t>
            </w:r>
          </w:p>
        </w:tc>
        <w:tc>
          <w:tcPr>
            <w:tcW w:w="1276" w:type="dxa"/>
            <w:tcBorders>
              <w:top w:val="nil"/>
              <w:left w:val="nil"/>
              <w:bottom w:val="single" w:sz="8" w:space="0" w:color="auto"/>
              <w:right w:val="single" w:sz="4" w:space="0" w:color="auto"/>
            </w:tcBorders>
            <w:shd w:val="clear" w:color="000000" w:fill="FFFFFF"/>
            <w:noWrap/>
            <w:vAlign w:val="center"/>
            <w:hideMark/>
          </w:tcPr>
          <w:p w14:paraId="6772B985"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$15 170 870</w:t>
            </w:r>
          </w:p>
        </w:tc>
        <w:tc>
          <w:tcPr>
            <w:tcW w:w="851" w:type="dxa"/>
            <w:tcBorders>
              <w:top w:val="nil"/>
              <w:left w:val="nil"/>
              <w:bottom w:val="single" w:sz="8" w:space="0" w:color="auto"/>
              <w:right w:val="single" w:sz="8" w:space="0" w:color="auto"/>
            </w:tcBorders>
            <w:shd w:val="clear" w:color="000000" w:fill="FFFFFF"/>
            <w:noWrap/>
            <w:vAlign w:val="center"/>
            <w:hideMark/>
          </w:tcPr>
          <w:p w14:paraId="37442398" w14:textId="77777777" w:rsidR="00B2086D" w:rsidRPr="00B2086D" w:rsidRDefault="00B2086D" w:rsidP="00B2086D">
            <w:pPr>
              <w:jc w:val="center"/>
              <w:rPr>
                <w:rFonts w:ascii="MS Sans Serif" w:hAnsi="MS Sans Serif"/>
                <w:sz w:val="16"/>
                <w:szCs w:val="16"/>
              </w:rPr>
            </w:pPr>
            <w:r w:rsidRPr="00B2086D">
              <w:rPr>
                <w:rFonts w:ascii="MS Sans Serif" w:hAnsi="MS Sans Serif"/>
                <w:sz w:val="16"/>
                <w:szCs w:val="16"/>
              </w:rPr>
              <w:t>5,8%</w:t>
            </w:r>
          </w:p>
        </w:tc>
      </w:tr>
      <w:tr w:rsidR="00B2086D" w:rsidRPr="00B2086D" w14:paraId="43C647D5" w14:textId="77777777" w:rsidTr="00B2086D">
        <w:trPr>
          <w:trHeight w:val="560"/>
        </w:trPr>
        <w:tc>
          <w:tcPr>
            <w:tcW w:w="5807" w:type="dxa"/>
            <w:gridSpan w:val="4"/>
            <w:tcBorders>
              <w:top w:val="single" w:sz="8" w:space="0" w:color="auto"/>
              <w:left w:val="single" w:sz="8" w:space="0" w:color="auto"/>
              <w:bottom w:val="single" w:sz="8" w:space="0" w:color="auto"/>
              <w:right w:val="nil"/>
            </w:tcBorders>
            <w:shd w:val="clear" w:color="000000" w:fill="4F81BD"/>
            <w:noWrap/>
            <w:vAlign w:val="center"/>
            <w:hideMark/>
          </w:tcPr>
          <w:p w14:paraId="11C6D768" w14:textId="77777777" w:rsidR="00B2086D" w:rsidRPr="00B2086D" w:rsidRDefault="00B2086D" w:rsidP="00B2086D">
            <w:pPr>
              <w:jc w:val="center"/>
              <w:rPr>
                <w:rFonts w:ascii="Calibri" w:hAnsi="Calibri" w:cs="Calibri"/>
                <w:color w:val="FFFFFF"/>
                <w:sz w:val="16"/>
                <w:szCs w:val="16"/>
              </w:rPr>
            </w:pPr>
            <w:r w:rsidRPr="00B2086D">
              <w:rPr>
                <w:rFonts w:ascii="Calibri" w:hAnsi="Calibri" w:cs="Calibri"/>
                <w:color w:val="FFFFFF"/>
                <w:sz w:val="16"/>
                <w:szCs w:val="16"/>
              </w:rPr>
              <w:t>Budget total</w:t>
            </w:r>
          </w:p>
        </w:tc>
        <w:tc>
          <w:tcPr>
            <w:tcW w:w="160" w:type="dxa"/>
            <w:tcBorders>
              <w:top w:val="nil"/>
              <w:left w:val="nil"/>
              <w:bottom w:val="single" w:sz="8" w:space="0" w:color="auto"/>
              <w:right w:val="nil"/>
            </w:tcBorders>
            <w:shd w:val="clear" w:color="000000" w:fill="FFFFFF"/>
            <w:noWrap/>
            <w:vAlign w:val="bottom"/>
            <w:hideMark/>
          </w:tcPr>
          <w:p w14:paraId="14426EAD" w14:textId="77777777" w:rsidR="00B2086D" w:rsidRPr="00B2086D" w:rsidRDefault="00B2086D" w:rsidP="00B2086D">
            <w:pPr>
              <w:rPr>
                <w:rFonts w:ascii="MS Sans Serif" w:hAnsi="MS Sans Serif"/>
                <w:sz w:val="16"/>
                <w:szCs w:val="16"/>
              </w:rPr>
            </w:pPr>
            <w:r w:rsidRPr="00B2086D">
              <w:rPr>
                <w:rFonts w:ascii="MS Sans Serif" w:hAnsi="MS Sans Serif"/>
                <w:sz w:val="16"/>
                <w:szCs w:val="16"/>
              </w:rPr>
              <w:t> </w:t>
            </w:r>
          </w:p>
        </w:tc>
        <w:tc>
          <w:tcPr>
            <w:tcW w:w="1116" w:type="dxa"/>
            <w:gridSpan w:val="2"/>
            <w:tcBorders>
              <w:top w:val="nil"/>
              <w:left w:val="single" w:sz="4" w:space="0" w:color="auto"/>
              <w:bottom w:val="single" w:sz="8" w:space="0" w:color="auto"/>
              <w:right w:val="single" w:sz="4" w:space="0" w:color="auto"/>
            </w:tcBorders>
            <w:shd w:val="clear" w:color="000000" w:fill="C0504D"/>
            <w:noWrap/>
            <w:vAlign w:val="center"/>
            <w:hideMark/>
          </w:tcPr>
          <w:p w14:paraId="539C97AC" w14:textId="77777777" w:rsidR="00B2086D" w:rsidRPr="00B2086D" w:rsidRDefault="00B2086D" w:rsidP="00B2086D">
            <w:pPr>
              <w:jc w:val="center"/>
              <w:rPr>
                <w:rFonts w:ascii="Calibri" w:hAnsi="Calibri" w:cs="Calibri"/>
                <w:color w:val="FFFFFF"/>
                <w:sz w:val="16"/>
                <w:szCs w:val="16"/>
              </w:rPr>
            </w:pPr>
            <w:r w:rsidRPr="00B2086D">
              <w:rPr>
                <w:rFonts w:ascii="Calibri" w:hAnsi="Calibri" w:cs="Calibri"/>
                <w:color w:val="FFFFFF"/>
                <w:sz w:val="16"/>
                <w:szCs w:val="16"/>
              </w:rPr>
              <w:t>$38 698 559</w:t>
            </w:r>
          </w:p>
        </w:tc>
        <w:tc>
          <w:tcPr>
            <w:tcW w:w="1417" w:type="dxa"/>
            <w:tcBorders>
              <w:top w:val="nil"/>
              <w:left w:val="nil"/>
              <w:bottom w:val="single" w:sz="8" w:space="0" w:color="auto"/>
              <w:right w:val="single" w:sz="4" w:space="0" w:color="auto"/>
            </w:tcBorders>
            <w:shd w:val="clear" w:color="000000" w:fill="C0504D"/>
            <w:noWrap/>
            <w:vAlign w:val="center"/>
            <w:hideMark/>
          </w:tcPr>
          <w:p w14:paraId="39737D7F" w14:textId="77777777" w:rsidR="00B2086D" w:rsidRPr="00B2086D" w:rsidRDefault="00B2086D" w:rsidP="00B2086D">
            <w:pPr>
              <w:jc w:val="center"/>
              <w:rPr>
                <w:rFonts w:ascii="Calibri" w:hAnsi="Calibri" w:cs="Calibri"/>
                <w:color w:val="FFFFFF"/>
                <w:sz w:val="16"/>
                <w:szCs w:val="16"/>
              </w:rPr>
            </w:pPr>
            <w:r w:rsidRPr="00B2086D">
              <w:rPr>
                <w:rFonts w:ascii="Calibri" w:hAnsi="Calibri" w:cs="Calibri"/>
                <w:color w:val="FFFFFF"/>
                <w:sz w:val="16"/>
                <w:szCs w:val="16"/>
              </w:rPr>
              <w:t>$45 822 382</w:t>
            </w:r>
          </w:p>
        </w:tc>
        <w:tc>
          <w:tcPr>
            <w:tcW w:w="1134" w:type="dxa"/>
            <w:gridSpan w:val="2"/>
            <w:tcBorders>
              <w:top w:val="nil"/>
              <w:left w:val="nil"/>
              <w:bottom w:val="single" w:sz="8" w:space="0" w:color="auto"/>
              <w:right w:val="single" w:sz="4" w:space="0" w:color="auto"/>
            </w:tcBorders>
            <w:shd w:val="clear" w:color="000000" w:fill="C0504D"/>
            <w:noWrap/>
            <w:vAlign w:val="center"/>
            <w:hideMark/>
          </w:tcPr>
          <w:p w14:paraId="1EA24D13" w14:textId="77777777" w:rsidR="00B2086D" w:rsidRPr="00B2086D" w:rsidRDefault="00B2086D" w:rsidP="00B2086D">
            <w:pPr>
              <w:jc w:val="center"/>
              <w:rPr>
                <w:rFonts w:ascii="Calibri" w:hAnsi="Calibri" w:cs="Calibri"/>
                <w:color w:val="FFFFFF"/>
                <w:sz w:val="16"/>
                <w:szCs w:val="16"/>
              </w:rPr>
            </w:pPr>
            <w:r w:rsidRPr="00B2086D">
              <w:rPr>
                <w:rFonts w:ascii="Calibri" w:hAnsi="Calibri" w:cs="Calibri"/>
                <w:color w:val="FFFFFF"/>
                <w:sz w:val="16"/>
                <w:szCs w:val="16"/>
              </w:rPr>
              <w:t>$53 185 167</w:t>
            </w:r>
          </w:p>
        </w:tc>
        <w:tc>
          <w:tcPr>
            <w:tcW w:w="1418" w:type="dxa"/>
            <w:tcBorders>
              <w:top w:val="nil"/>
              <w:left w:val="nil"/>
              <w:bottom w:val="single" w:sz="8" w:space="0" w:color="auto"/>
              <w:right w:val="single" w:sz="4" w:space="0" w:color="auto"/>
            </w:tcBorders>
            <w:shd w:val="clear" w:color="000000" w:fill="C0504D"/>
            <w:noWrap/>
            <w:vAlign w:val="center"/>
            <w:hideMark/>
          </w:tcPr>
          <w:p w14:paraId="5373A6DF" w14:textId="77777777" w:rsidR="00B2086D" w:rsidRPr="00B2086D" w:rsidRDefault="00B2086D" w:rsidP="00B2086D">
            <w:pPr>
              <w:jc w:val="center"/>
              <w:rPr>
                <w:rFonts w:ascii="Calibri" w:hAnsi="Calibri" w:cs="Calibri"/>
                <w:color w:val="FFFFFF"/>
                <w:sz w:val="16"/>
                <w:szCs w:val="16"/>
              </w:rPr>
            </w:pPr>
            <w:r w:rsidRPr="00B2086D">
              <w:rPr>
                <w:rFonts w:ascii="Calibri" w:hAnsi="Calibri" w:cs="Calibri"/>
                <w:color w:val="FFFFFF"/>
                <w:sz w:val="16"/>
                <w:szCs w:val="16"/>
              </w:rPr>
              <w:t>$59 165 011</w:t>
            </w:r>
          </w:p>
        </w:tc>
        <w:tc>
          <w:tcPr>
            <w:tcW w:w="1417" w:type="dxa"/>
            <w:tcBorders>
              <w:top w:val="nil"/>
              <w:left w:val="nil"/>
              <w:bottom w:val="single" w:sz="8" w:space="0" w:color="auto"/>
              <w:right w:val="single" w:sz="4" w:space="0" w:color="auto"/>
            </w:tcBorders>
            <w:shd w:val="clear" w:color="000000" w:fill="C0504D"/>
            <w:noWrap/>
            <w:vAlign w:val="center"/>
            <w:hideMark/>
          </w:tcPr>
          <w:p w14:paraId="16D5921B" w14:textId="77777777" w:rsidR="00B2086D" w:rsidRPr="00B2086D" w:rsidRDefault="00B2086D" w:rsidP="00B2086D">
            <w:pPr>
              <w:jc w:val="center"/>
              <w:rPr>
                <w:rFonts w:ascii="Calibri" w:hAnsi="Calibri" w:cs="Calibri"/>
                <w:color w:val="FFFFFF"/>
                <w:sz w:val="16"/>
                <w:szCs w:val="16"/>
              </w:rPr>
            </w:pPr>
            <w:r w:rsidRPr="00B2086D">
              <w:rPr>
                <w:rFonts w:ascii="Calibri" w:hAnsi="Calibri" w:cs="Calibri"/>
                <w:color w:val="FFFFFF"/>
                <w:sz w:val="16"/>
                <w:szCs w:val="16"/>
              </w:rPr>
              <w:t>$65 879 928</w:t>
            </w:r>
          </w:p>
        </w:tc>
        <w:tc>
          <w:tcPr>
            <w:tcW w:w="1276" w:type="dxa"/>
            <w:tcBorders>
              <w:top w:val="nil"/>
              <w:left w:val="nil"/>
              <w:bottom w:val="single" w:sz="8" w:space="0" w:color="auto"/>
              <w:right w:val="single" w:sz="4" w:space="0" w:color="auto"/>
            </w:tcBorders>
            <w:shd w:val="clear" w:color="000000" w:fill="C0504D"/>
            <w:noWrap/>
            <w:vAlign w:val="center"/>
            <w:hideMark/>
          </w:tcPr>
          <w:p w14:paraId="1A52C82A" w14:textId="77777777" w:rsidR="00B2086D" w:rsidRPr="00B2086D" w:rsidRDefault="00B2086D" w:rsidP="00B2086D">
            <w:pPr>
              <w:jc w:val="center"/>
              <w:rPr>
                <w:rFonts w:ascii="Calibri" w:hAnsi="Calibri" w:cs="Calibri"/>
                <w:color w:val="FFFFFF"/>
                <w:sz w:val="16"/>
                <w:szCs w:val="16"/>
              </w:rPr>
            </w:pPr>
            <w:r w:rsidRPr="00B2086D">
              <w:rPr>
                <w:rFonts w:ascii="Calibri" w:hAnsi="Calibri" w:cs="Calibri"/>
                <w:color w:val="FFFFFF"/>
                <w:sz w:val="16"/>
                <w:szCs w:val="16"/>
              </w:rPr>
              <w:t>$262 751 048</w:t>
            </w:r>
          </w:p>
        </w:tc>
        <w:tc>
          <w:tcPr>
            <w:tcW w:w="851" w:type="dxa"/>
            <w:tcBorders>
              <w:top w:val="nil"/>
              <w:left w:val="nil"/>
              <w:bottom w:val="single" w:sz="8" w:space="0" w:color="auto"/>
              <w:right w:val="single" w:sz="8" w:space="0" w:color="auto"/>
            </w:tcBorders>
            <w:shd w:val="clear" w:color="000000" w:fill="C0504D"/>
            <w:noWrap/>
            <w:vAlign w:val="bottom"/>
            <w:hideMark/>
          </w:tcPr>
          <w:p w14:paraId="74D5A921" w14:textId="77777777" w:rsidR="00B2086D" w:rsidRPr="00B2086D" w:rsidRDefault="00B2086D" w:rsidP="00B2086D">
            <w:pPr>
              <w:rPr>
                <w:rFonts w:ascii="Calibri" w:hAnsi="Calibri" w:cs="Calibri"/>
                <w:color w:val="FFFFFF"/>
                <w:sz w:val="16"/>
                <w:szCs w:val="16"/>
              </w:rPr>
            </w:pPr>
            <w:r w:rsidRPr="00B2086D">
              <w:rPr>
                <w:rFonts w:ascii="Calibri" w:hAnsi="Calibri" w:cs="Calibri"/>
                <w:color w:val="FFFFFF"/>
                <w:sz w:val="16"/>
                <w:szCs w:val="16"/>
              </w:rPr>
              <w:t> </w:t>
            </w:r>
          </w:p>
        </w:tc>
      </w:tr>
    </w:tbl>
    <w:p w14:paraId="6DC941E2" w14:textId="35DD4792" w:rsidR="00B2086D" w:rsidRPr="00586661" w:rsidRDefault="00B2086D" w:rsidP="00586661">
      <w:pPr>
        <w:sectPr w:rsidR="00B2086D" w:rsidRPr="00586661" w:rsidSect="00F66794">
          <w:pgSz w:w="16840" w:h="11901" w:orient="landscape"/>
          <w:pgMar w:top="1418" w:right="1418" w:bottom="1418" w:left="1418" w:header="709" w:footer="709" w:gutter="0"/>
          <w:cols w:space="708"/>
          <w:docGrid w:linePitch="360"/>
        </w:sectPr>
      </w:pPr>
    </w:p>
    <w:p w14:paraId="15222957" w14:textId="77777777" w:rsidR="00ED254C" w:rsidRPr="00ED254C" w:rsidRDefault="00ED254C" w:rsidP="00C34A61">
      <w:pPr>
        <w:pStyle w:val="Titre2"/>
        <w:numPr>
          <w:ilvl w:val="1"/>
          <w:numId w:val="6"/>
        </w:numPr>
        <w:spacing w:after="0"/>
        <w:ind w:left="567" w:hanging="567"/>
        <w:rPr>
          <w:rFonts w:ascii="Calibri" w:hAnsi="Calibri"/>
        </w:rPr>
      </w:pPr>
      <w:bookmarkStart w:id="157" w:name="_Toc520983548"/>
      <w:r w:rsidRPr="00ED254C">
        <w:rPr>
          <w:rFonts w:ascii="Calibri" w:hAnsi="Calibri"/>
        </w:rPr>
        <w:t>Liste des participants à l’atelier de planification du cadre stratégique national de lutte contre le sida du 13 au 22 novembre 2017 à Kindia</w:t>
      </w:r>
      <w:bookmarkEnd w:id="157"/>
    </w:p>
    <w:tbl>
      <w:tblPr>
        <w:tblW w:w="9720" w:type="dxa"/>
        <w:tblCellMar>
          <w:left w:w="70" w:type="dxa"/>
          <w:right w:w="70" w:type="dxa"/>
        </w:tblCellMar>
        <w:tblLook w:val="04A0" w:firstRow="1" w:lastRow="0" w:firstColumn="1" w:lastColumn="0" w:noHBand="0" w:noVBand="1"/>
      </w:tblPr>
      <w:tblGrid>
        <w:gridCol w:w="440"/>
        <w:gridCol w:w="3140"/>
        <w:gridCol w:w="2260"/>
        <w:gridCol w:w="2260"/>
        <w:gridCol w:w="1620"/>
      </w:tblGrid>
      <w:tr w:rsidR="00ED254C" w:rsidRPr="00B27F68" w14:paraId="6A72C4F4" w14:textId="77777777" w:rsidTr="00EA15A3">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A98B3FD" w14:textId="77777777" w:rsidR="00ED254C" w:rsidRPr="00B27F68" w:rsidRDefault="00ED254C" w:rsidP="00EA15A3">
            <w:pPr>
              <w:rPr>
                <w:rFonts w:ascii="Calibri" w:hAnsi="Calibri"/>
                <w:b/>
                <w:bCs/>
                <w:color w:val="000000"/>
                <w:sz w:val="20"/>
                <w:szCs w:val="20"/>
              </w:rPr>
            </w:pPr>
            <w:r w:rsidRPr="00B27F68">
              <w:rPr>
                <w:rFonts w:ascii="Calibri" w:hAnsi="Calibri"/>
                <w:b/>
                <w:bCs/>
                <w:color w:val="000000"/>
                <w:sz w:val="20"/>
                <w:szCs w:val="20"/>
              </w:rPr>
              <w:t>N°</w:t>
            </w:r>
          </w:p>
        </w:tc>
        <w:tc>
          <w:tcPr>
            <w:tcW w:w="3140" w:type="dxa"/>
            <w:tcBorders>
              <w:top w:val="single" w:sz="4" w:space="0" w:color="auto"/>
              <w:left w:val="nil"/>
              <w:bottom w:val="single" w:sz="4" w:space="0" w:color="auto"/>
              <w:right w:val="single" w:sz="4" w:space="0" w:color="auto"/>
            </w:tcBorders>
            <w:shd w:val="clear" w:color="auto" w:fill="00B0F0"/>
            <w:noWrap/>
            <w:vAlign w:val="bottom"/>
            <w:hideMark/>
          </w:tcPr>
          <w:p w14:paraId="2F3DD265" w14:textId="77777777" w:rsidR="00ED254C" w:rsidRPr="00B27F68" w:rsidRDefault="00ED254C" w:rsidP="00EA15A3">
            <w:pPr>
              <w:rPr>
                <w:rFonts w:ascii="Calibri" w:hAnsi="Calibri"/>
                <w:b/>
                <w:bCs/>
                <w:color w:val="000000"/>
                <w:sz w:val="20"/>
                <w:szCs w:val="20"/>
              </w:rPr>
            </w:pPr>
            <w:r w:rsidRPr="00B27F68">
              <w:rPr>
                <w:rFonts w:ascii="Calibri" w:hAnsi="Calibri"/>
                <w:b/>
                <w:bCs/>
                <w:color w:val="000000"/>
                <w:sz w:val="20"/>
                <w:szCs w:val="20"/>
              </w:rPr>
              <w:t>Prénoms et Noms</w:t>
            </w:r>
          </w:p>
        </w:tc>
        <w:tc>
          <w:tcPr>
            <w:tcW w:w="2260" w:type="dxa"/>
            <w:tcBorders>
              <w:top w:val="single" w:sz="4" w:space="0" w:color="auto"/>
              <w:left w:val="nil"/>
              <w:bottom w:val="single" w:sz="4" w:space="0" w:color="auto"/>
              <w:right w:val="single" w:sz="4" w:space="0" w:color="auto"/>
            </w:tcBorders>
            <w:shd w:val="clear" w:color="auto" w:fill="00B0F0"/>
            <w:noWrap/>
            <w:vAlign w:val="bottom"/>
            <w:hideMark/>
          </w:tcPr>
          <w:p w14:paraId="71BD2C3A" w14:textId="77777777" w:rsidR="00ED254C" w:rsidRPr="00B27F68" w:rsidRDefault="00ED254C" w:rsidP="00EA15A3">
            <w:pPr>
              <w:rPr>
                <w:rFonts w:ascii="Calibri" w:hAnsi="Calibri"/>
                <w:b/>
                <w:bCs/>
                <w:color w:val="000000"/>
                <w:sz w:val="20"/>
                <w:szCs w:val="20"/>
              </w:rPr>
            </w:pPr>
            <w:r w:rsidRPr="00B27F68">
              <w:rPr>
                <w:rFonts w:ascii="Calibri" w:hAnsi="Calibri"/>
                <w:b/>
                <w:bCs/>
                <w:color w:val="000000"/>
                <w:sz w:val="20"/>
                <w:szCs w:val="20"/>
              </w:rPr>
              <w:t>Structure</w:t>
            </w:r>
          </w:p>
        </w:tc>
        <w:tc>
          <w:tcPr>
            <w:tcW w:w="2260" w:type="dxa"/>
            <w:tcBorders>
              <w:top w:val="single" w:sz="4" w:space="0" w:color="auto"/>
              <w:left w:val="nil"/>
              <w:bottom w:val="single" w:sz="4" w:space="0" w:color="auto"/>
              <w:right w:val="single" w:sz="4" w:space="0" w:color="auto"/>
            </w:tcBorders>
            <w:shd w:val="clear" w:color="auto" w:fill="00B0F0"/>
            <w:noWrap/>
            <w:vAlign w:val="bottom"/>
            <w:hideMark/>
          </w:tcPr>
          <w:p w14:paraId="0156AE7A" w14:textId="77777777" w:rsidR="00ED254C" w:rsidRPr="00B27F68" w:rsidRDefault="00ED254C" w:rsidP="00EA15A3">
            <w:pPr>
              <w:rPr>
                <w:rFonts w:ascii="Calibri" w:hAnsi="Calibri"/>
                <w:b/>
                <w:bCs/>
                <w:color w:val="000000"/>
                <w:sz w:val="20"/>
                <w:szCs w:val="20"/>
              </w:rPr>
            </w:pPr>
            <w:r w:rsidRPr="00B27F68">
              <w:rPr>
                <w:rFonts w:ascii="Calibri" w:hAnsi="Calibri"/>
                <w:b/>
                <w:bCs/>
                <w:color w:val="000000"/>
                <w:sz w:val="20"/>
                <w:szCs w:val="20"/>
              </w:rPr>
              <w:t>Fonction</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14:paraId="7570261B" w14:textId="77777777" w:rsidR="00ED254C" w:rsidRPr="00B27F68" w:rsidRDefault="00ED254C" w:rsidP="00EA15A3">
            <w:pPr>
              <w:rPr>
                <w:rFonts w:ascii="Calibri" w:hAnsi="Calibri"/>
                <w:b/>
                <w:bCs/>
                <w:color w:val="000000"/>
                <w:sz w:val="20"/>
                <w:szCs w:val="20"/>
              </w:rPr>
            </w:pPr>
            <w:r w:rsidRPr="00B27F68">
              <w:rPr>
                <w:rFonts w:ascii="Calibri" w:hAnsi="Calibri"/>
                <w:b/>
                <w:bCs/>
                <w:color w:val="000000"/>
                <w:sz w:val="20"/>
                <w:szCs w:val="20"/>
              </w:rPr>
              <w:t>Phone</w:t>
            </w:r>
          </w:p>
        </w:tc>
      </w:tr>
      <w:tr w:rsidR="00ED254C" w:rsidRPr="00B27F68" w14:paraId="7D7916CD"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FFAC6A4"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w:t>
            </w:r>
          </w:p>
        </w:tc>
        <w:tc>
          <w:tcPr>
            <w:tcW w:w="3140" w:type="dxa"/>
            <w:tcBorders>
              <w:top w:val="nil"/>
              <w:left w:val="nil"/>
              <w:bottom w:val="single" w:sz="4" w:space="0" w:color="auto"/>
              <w:right w:val="single" w:sz="4" w:space="0" w:color="auto"/>
            </w:tcBorders>
            <w:shd w:val="clear" w:color="auto" w:fill="auto"/>
            <w:noWrap/>
            <w:vAlign w:val="bottom"/>
            <w:hideMark/>
          </w:tcPr>
          <w:p w14:paraId="62A36109"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Abass DIAKITE</w:t>
            </w:r>
          </w:p>
        </w:tc>
        <w:tc>
          <w:tcPr>
            <w:tcW w:w="2260" w:type="dxa"/>
            <w:tcBorders>
              <w:top w:val="nil"/>
              <w:left w:val="nil"/>
              <w:bottom w:val="single" w:sz="4" w:space="0" w:color="auto"/>
              <w:right w:val="single" w:sz="4" w:space="0" w:color="auto"/>
            </w:tcBorders>
            <w:shd w:val="clear" w:color="auto" w:fill="auto"/>
            <w:vAlign w:val="center"/>
            <w:hideMark/>
          </w:tcPr>
          <w:p w14:paraId="30CE7FD8"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7D0B58AF"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 xml:space="preserve">SE </w:t>
            </w:r>
          </w:p>
        </w:tc>
        <w:tc>
          <w:tcPr>
            <w:tcW w:w="1620" w:type="dxa"/>
            <w:tcBorders>
              <w:top w:val="nil"/>
              <w:left w:val="nil"/>
              <w:bottom w:val="single" w:sz="4" w:space="0" w:color="auto"/>
              <w:right w:val="single" w:sz="4" w:space="0" w:color="auto"/>
            </w:tcBorders>
            <w:shd w:val="clear" w:color="auto" w:fill="auto"/>
            <w:noWrap/>
            <w:vAlign w:val="bottom"/>
            <w:hideMark/>
          </w:tcPr>
          <w:p w14:paraId="37561BE6"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624 196 205</w:t>
            </w:r>
          </w:p>
        </w:tc>
      </w:tr>
      <w:tr w:rsidR="00ED254C" w:rsidRPr="00B27F68" w14:paraId="2A53DD14"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96CA4EB"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w:t>
            </w:r>
          </w:p>
        </w:tc>
        <w:tc>
          <w:tcPr>
            <w:tcW w:w="3140" w:type="dxa"/>
            <w:tcBorders>
              <w:top w:val="nil"/>
              <w:left w:val="nil"/>
              <w:bottom w:val="single" w:sz="4" w:space="0" w:color="auto"/>
              <w:right w:val="single" w:sz="4" w:space="0" w:color="auto"/>
            </w:tcBorders>
            <w:shd w:val="clear" w:color="auto" w:fill="auto"/>
            <w:noWrap/>
            <w:vAlign w:val="bottom"/>
            <w:hideMark/>
          </w:tcPr>
          <w:p w14:paraId="47FF9B52"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Thierno Souleymane DIALLO</w:t>
            </w:r>
          </w:p>
        </w:tc>
        <w:tc>
          <w:tcPr>
            <w:tcW w:w="2260" w:type="dxa"/>
            <w:tcBorders>
              <w:top w:val="nil"/>
              <w:left w:val="nil"/>
              <w:bottom w:val="single" w:sz="4" w:space="0" w:color="auto"/>
              <w:right w:val="single" w:sz="4" w:space="0" w:color="auto"/>
            </w:tcBorders>
            <w:shd w:val="clear" w:color="auto" w:fill="auto"/>
            <w:vAlign w:val="center"/>
            <w:hideMark/>
          </w:tcPr>
          <w:p w14:paraId="33F66B5C"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0F8188B5"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Chef DPSER</w:t>
            </w:r>
          </w:p>
        </w:tc>
        <w:tc>
          <w:tcPr>
            <w:tcW w:w="1620" w:type="dxa"/>
            <w:tcBorders>
              <w:top w:val="nil"/>
              <w:left w:val="nil"/>
              <w:bottom w:val="single" w:sz="4" w:space="0" w:color="auto"/>
              <w:right w:val="single" w:sz="4" w:space="0" w:color="auto"/>
            </w:tcBorders>
            <w:shd w:val="clear" w:color="auto" w:fill="auto"/>
            <w:noWrap/>
            <w:vAlign w:val="bottom"/>
            <w:hideMark/>
          </w:tcPr>
          <w:p w14:paraId="77664AE3"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624 196 208</w:t>
            </w:r>
          </w:p>
        </w:tc>
      </w:tr>
      <w:tr w:rsidR="00ED254C" w:rsidRPr="00B27F68" w14:paraId="58E54E7C"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E55106B"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w:t>
            </w:r>
          </w:p>
        </w:tc>
        <w:tc>
          <w:tcPr>
            <w:tcW w:w="3140" w:type="dxa"/>
            <w:tcBorders>
              <w:top w:val="nil"/>
              <w:left w:val="nil"/>
              <w:bottom w:val="single" w:sz="4" w:space="0" w:color="auto"/>
              <w:right w:val="single" w:sz="4" w:space="0" w:color="auto"/>
            </w:tcBorders>
            <w:shd w:val="clear" w:color="auto" w:fill="auto"/>
            <w:noWrap/>
            <w:vAlign w:val="bottom"/>
            <w:hideMark/>
          </w:tcPr>
          <w:p w14:paraId="5063D600"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Mahawa SOUMAH</w:t>
            </w:r>
          </w:p>
        </w:tc>
        <w:tc>
          <w:tcPr>
            <w:tcW w:w="2260" w:type="dxa"/>
            <w:tcBorders>
              <w:top w:val="nil"/>
              <w:left w:val="nil"/>
              <w:bottom w:val="single" w:sz="4" w:space="0" w:color="auto"/>
              <w:right w:val="single" w:sz="4" w:space="0" w:color="auto"/>
            </w:tcBorders>
            <w:shd w:val="clear" w:color="auto" w:fill="auto"/>
            <w:vAlign w:val="center"/>
            <w:hideMark/>
          </w:tcPr>
          <w:p w14:paraId="2115A507"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5668CE04"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SEA</w:t>
            </w:r>
          </w:p>
        </w:tc>
        <w:tc>
          <w:tcPr>
            <w:tcW w:w="1620" w:type="dxa"/>
            <w:tcBorders>
              <w:top w:val="nil"/>
              <w:left w:val="nil"/>
              <w:bottom w:val="single" w:sz="4" w:space="0" w:color="auto"/>
              <w:right w:val="single" w:sz="4" w:space="0" w:color="auto"/>
            </w:tcBorders>
            <w:shd w:val="clear" w:color="auto" w:fill="auto"/>
            <w:noWrap/>
            <w:vAlign w:val="bottom"/>
            <w:hideMark/>
          </w:tcPr>
          <w:p w14:paraId="0DB44C71"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624 196 206</w:t>
            </w:r>
          </w:p>
        </w:tc>
      </w:tr>
      <w:tr w:rsidR="00ED254C" w:rsidRPr="00B27F68" w14:paraId="0A49BEA1"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000D72A"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4</w:t>
            </w:r>
          </w:p>
        </w:tc>
        <w:tc>
          <w:tcPr>
            <w:tcW w:w="3140" w:type="dxa"/>
            <w:tcBorders>
              <w:top w:val="nil"/>
              <w:left w:val="nil"/>
              <w:bottom w:val="single" w:sz="4" w:space="0" w:color="auto"/>
              <w:right w:val="single" w:sz="4" w:space="0" w:color="auto"/>
            </w:tcBorders>
            <w:shd w:val="clear" w:color="auto" w:fill="auto"/>
            <w:noWrap/>
            <w:vAlign w:val="bottom"/>
            <w:hideMark/>
          </w:tcPr>
          <w:p w14:paraId="6B4B6A94"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Adama CAMARA</w:t>
            </w:r>
          </w:p>
        </w:tc>
        <w:tc>
          <w:tcPr>
            <w:tcW w:w="2260" w:type="dxa"/>
            <w:tcBorders>
              <w:top w:val="nil"/>
              <w:left w:val="nil"/>
              <w:bottom w:val="single" w:sz="4" w:space="0" w:color="auto"/>
              <w:right w:val="single" w:sz="4" w:space="0" w:color="auto"/>
            </w:tcBorders>
            <w:shd w:val="clear" w:color="auto" w:fill="auto"/>
            <w:vAlign w:val="center"/>
            <w:hideMark/>
          </w:tcPr>
          <w:p w14:paraId="4744A793"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2FDD9D54"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CDPSC</w:t>
            </w:r>
          </w:p>
        </w:tc>
        <w:tc>
          <w:tcPr>
            <w:tcW w:w="1620" w:type="dxa"/>
            <w:tcBorders>
              <w:top w:val="nil"/>
              <w:left w:val="nil"/>
              <w:bottom w:val="single" w:sz="4" w:space="0" w:color="auto"/>
              <w:right w:val="single" w:sz="4" w:space="0" w:color="auto"/>
            </w:tcBorders>
            <w:shd w:val="clear" w:color="auto" w:fill="auto"/>
            <w:noWrap/>
            <w:vAlign w:val="bottom"/>
            <w:hideMark/>
          </w:tcPr>
          <w:p w14:paraId="63E95AB5"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624 196 251</w:t>
            </w:r>
          </w:p>
        </w:tc>
      </w:tr>
      <w:tr w:rsidR="00ED254C" w:rsidRPr="00B27F68" w14:paraId="6D01D131"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A22D70B"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5</w:t>
            </w:r>
          </w:p>
        </w:tc>
        <w:tc>
          <w:tcPr>
            <w:tcW w:w="3140" w:type="dxa"/>
            <w:tcBorders>
              <w:top w:val="nil"/>
              <w:left w:val="nil"/>
              <w:bottom w:val="single" w:sz="4" w:space="0" w:color="auto"/>
              <w:right w:val="single" w:sz="4" w:space="0" w:color="auto"/>
            </w:tcBorders>
            <w:shd w:val="clear" w:color="auto" w:fill="auto"/>
            <w:noWrap/>
            <w:vAlign w:val="bottom"/>
            <w:hideMark/>
          </w:tcPr>
          <w:p w14:paraId="35A08F72"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 xml:space="preserve">Dr </w:t>
            </w:r>
            <w:proofErr w:type="spellStart"/>
            <w:r w:rsidRPr="00B27F68">
              <w:rPr>
                <w:rFonts w:ascii="Calibri" w:hAnsi="Calibri"/>
                <w:color w:val="000000"/>
                <w:sz w:val="20"/>
                <w:szCs w:val="20"/>
              </w:rPr>
              <w:t>Howoro</w:t>
            </w:r>
            <w:proofErr w:type="spellEnd"/>
            <w:r w:rsidRPr="00B27F68">
              <w:rPr>
                <w:rFonts w:ascii="Calibri" w:hAnsi="Calibri"/>
                <w:color w:val="000000"/>
                <w:sz w:val="20"/>
                <w:szCs w:val="20"/>
              </w:rPr>
              <w:t xml:space="preserve"> Alphonse LOUA</w:t>
            </w:r>
          </w:p>
        </w:tc>
        <w:tc>
          <w:tcPr>
            <w:tcW w:w="2260" w:type="dxa"/>
            <w:tcBorders>
              <w:top w:val="nil"/>
              <w:left w:val="nil"/>
              <w:bottom w:val="single" w:sz="4" w:space="0" w:color="auto"/>
              <w:right w:val="single" w:sz="4" w:space="0" w:color="auto"/>
            </w:tcBorders>
            <w:shd w:val="clear" w:color="auto" w:fill="auto"/>
            <w:vAlign w:val="center"/>
            <w:hideMark/>
          </w:tcPr>
          <w:p w14:paraId="6BABE912"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3D193D84"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CDRSAD</w:t>
            </w:r>
          </w:p>
        </w:tc>
        <w:tc>
          <w:tcPr>
            <w:tcW w:w="1620" w:type="dxa"/>
            <w:tcBorders>
              <w:top w:val="nil"/>
              <w:left w:val="nil"/>
              <w:bottom w:val="single" w:sz="4" w:space="0" w:color="auto"/>
              <w:right w:val="single" w:sz="4" w:space="0" w:color="auto"/>
            </w:tcBorders>
            <w:shd w:val="clear" w:color="auto" w:fill="auto"/>
            <w:noWrap/>
            <w:vAlign w:val="bottom"/>
            <w:hideMark/>
          </w:tcPr>
          <w:p w14:paraId="0C59D30A"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624 196 261</w:t>
            </w:r>
          </w:p>
        </w:tc>
      </w:tr>
      <w:tr w:rsidR="00ED254C" w:rsidRPr="00B27F68" w14:paraId="4611A9EA"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9C3253B"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w:t>
            </w:r>
          </w:p>
        </w:tc>
        <w:tc>
          <w:tcPr>
            <w:tcW w:w="3140" w:type="dxa"/>
            <w:tcBorders>
              <w:top w:val="nil"/>
              <w:left w:val="nil"/>
              <w:bottom w:val="single" w:sz="4" w:space="0" w:color="auto"/>
              <w:right w:val="single" w:sz="4" w:space="0" w:color="auto"/>
            </w:tcBorders>
            <w:shd w:val="clear" w:color="auto" w:fill="auto"/>
            <w:noWrap/>
            <w:vAlign w:val="bottom"/>
            <w:hideMark/>
          </w:tcPr>
          <w:p w14:paraId="4E783FF2"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Lazare M'BOUNGOU</w:t>
            </w:r>
          </w:p>
        </w:tc>
        <w:tc>
          <w:tcPr>
            <w:tcW w:w="2260" w:type="dxa"/>
            <w:tcBorders>
              <w:top w:val="nil"/>
              <w:left w:val="nil"/>
              <w:bottom w:val="single" w:sz="4" w:space="0" w:color="auto"/>
              <w:right w:val="single" w:sz="4" w:space="0" w:color="auto"/>
            </w:tcBorders>
            <w:shd w:val="clear" w:color="auto" w:fill="auto"/>
            <w:vAlign w:val="center"/>
            <w:hideMark/>
          </w:tcPr>
          <w:p w14:paraId="7639F5F6"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289DD069"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CP/FM</w:t>
            </w:r>
          </w:p>
        </w:tc>
        <w:tc>
          <w:tcPr>
            <w:tcW w:w="1620" w:type="dxa"/>
            <w:tcBorders>
              <w:top w:val="nil"/>
              <w:left w:val="nil"/>
              <w:bottom w:val="single" w:sz="4" w:space="0" w:color="auto"/>
              <w:right w:val="single" w:sz="4" w:space="0" w:color="auto"/>
            </w:tcBorders>
            <w:shd w:val="clear" w:color="auto" w:fill="auto"/>
            <w:noWrap/>
            <w:vAlign w:val="bottom"/>
            <w:hideMark/>
          </w:tcPr>
          <w:p w14:paraId="4951114E"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623 758 302</w:t>
            </w:r>
          </w:p>
        </w:tc>
      </w:tr>
      <w:tr w:rsidR="00ED254C" w:rsidRPr="00B27F68" w14:paraId="556AA04D" w14:textId="77777777" w:rsidTr="00B27F68">
        <w:trPr>
          <w:trHeight w:val="20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EB041E9"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7</w:t>
            </w:r>
          </w:p>
        </w:tc>
        <w:tc>
          <w:tcPr>
            <w:tcW w:w="3140" w:type="dxa"/>
            <w:tcBorders>
              <w:top w:val="nil"/>
              <w:left w:val="nil"/>
              <w:bottom w:val="single" w:sz="4" w:space="0" w:color="auto"/>
              <w:right w:val="single" w:sz="4" w:space="0" w:color="auto"/>
            </w:tcBorders>
            <w:shd w:val="clear" w:color="auto" w:fill="auto"/>
            <w:vAlign w:val="center"/>
            <w:hideMark/>
          </w:tcPr>
          <w:p w14:paraId="3ADD618F"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 xml:space="preserve">Alphonse </w:t>
            </w:r>
            <w:proofErr w:type="spellStart"/>
            <w:r w:rsidRPr="00B27F68">
              <w:rPr>
                <w:rFonts w:ascii="Calibri" w:hAnsi="Calibri"/>
                <w:color w:val="000000"/>
                <w:sz w:val="20"/>
                <w:szCs w:val="20"/>
              </w:rPr>
              <w:t>Vohou</w:t>
            </w:r>
            <w:proofErr w:type="spellEnd"/>
            <w:r w:rsidRPr="00B27F68">
              <w:rPr>
                <w:rFonts w:ascii="Calibri" w:hAnsi="Calibri"/>
                <w:color w:val="000000"/>
                <w:sz w:val="20"/>
                <w:szCs w:val="20"/>
              </w:rPr>
              <w:t xml:space="preserve"> SAKOUVOGUI</w:t>
            </w:r>
          </w:p>
        </w:tc>
        <w:tc>
          <w:tcPr>
            <w:tcW w:w="2260" w:type="dxa"/>
            <w:tcBorders>
              <w:top w:val="nil"/>
              <w:left w:val="nil"/>
              <w:bottom w:val="single" w:sz="4" w:space="0" w:color="auto"/>
              <w:right w:val="single" w:sz="4" w:space="0" w:color="auto"/>
            </w:tcBorders>
            <w:shd w:val="clear" w:color="auto" w:fill="auto"/>
            <w:vAlign w:val="center"/>
            <w:hideMark/>
          </w:tcPr>
          <w:p w14:paraId="59F48397" w14:textId="19F558D9" w:rsidR="00ED254C" w:rsidRPr="00B27F68" w:rsidRDefault="00B27F68" w:rsidP="00EA15A3">
            <w:pPr>
              <w:rPr>
                <w:rFonts w:ascii="Calibri" w:hAnsi="Calibri"/>
                <w:bCs/>
                <w:color w:val="000000"/>
                <w:sz w:val="20"/>
                <w:szCs w:val="20"/>
              </w:rPr>
            </w:pPr>
            <w:r w:rsidRPr="00B27F68">
              <w:rPr>
                <w:rFonts w:ascii="Calibri" w:hAnsi="Calibri"/>
                <w:bCs/>
                <w:color w:val="000000"/>
                <w:sz w:val="20"/>
                <w:szCs w:val="20"/>
              </w:rPr>
              <w:t>C</w:t>
            </w:r>
            <w:r w:rsidR="00ED254C" w:rsidRPr="00B27F68">
              <w:rPr>
                <w:rFonts w:ascii="Calibri" w:hAnsi="Calibri"/>
                <w:bCs/>
                <w:color w:val="000000"/>
                <w:sz w:val="20"/>
                <w:szCs w:val="20"/>
              </w:rPr>
              <w:t>onsultant</w:t>
            </w:r>
            <w:r>
              <w:rPr>
                <w:rFonts w:ascii="Calibri" w:hAnsi="Calibri"/>
                <w:bCs/>
                <w:color w:val="000000"/>
                <w:sz w:val="20"/>
                <w:szCs w:val="20"/>
              </w:rPr>
              <w:t xml:space="preserve"> </w:t>
            </w:r>
            <w:r w:rsidR="00ED254C" w:rsidRPr="00B27F68">
              <w:rPr>
                <w:rFonts w:ascii="Calibri" w:hAnsi="Calibri"/>
                <w:bCs/>
                <w:color w:val="000000"/>
                <w:sz w:val="20"/>
                <w:szCs w:val="20"/>
              </w:rPr>
              <w:t xml:space="preserve"> </w:t>
            </w:r>
            <w:r>
              <w:rPr>
                <w:rFonts w:ascii="Calibri" w:hAnsi="Calibri"/>
                <w:bCs/>
                <w:color w:val="000000"/>
                <w:sz w:val="20"/>
                <w:szCs w:val="20"/>
              </w:rPr>
              <w:t xml:space="preserve"> </w:t>
            </w:r>
          </w:p>
        </w:tc>
        <w:tc>
          <w:tcPr>
            <w:tcW w:w="2260" w:type="dxa"/>
            <w:tcBorders>
              <w:top w:val="nil"/>
              <w:left w:val="nil"/>
              <w:bottom w:val="single" w:sz="4" w:space="0" w:color="auto"/>
              <w:right w:val="single" w:sz="4" w:space="0" w:color="auto"/>
            </w:tcBorders>
            <w:shd w:val="clear" w:color="auto" w:fill="auto"/>
            <w:noWrap/>
            <w:vAlign w:val="center"/>
            <w:hideMark/>
          </w:tcPr>
          <w:p w14:paraId="14690D20"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National</w:t>
            </w:r>
          </w:p>
        </w:tc>
        <w:tc>
          <w:tcPr>
            <w:tcW w:w="1620" w:type="dxa"/>
            <w:tcBorders>
              <w:top w:val="nil"/>
              <w:left w:val="nil"/>
              <w:bottom w:val="single" w:sz="4" w:space="0" w:color="auto"/>
              <w:right w:val="single" w:sz="4" w:space="0" w:color="auto"/>
            </w:tcBorders>
            <w:shd w:val="clear" w:color="auto" w:fill="auto"/>
            <w:noWrap/>
            <w:vAlign w:val="center"/>
            <w:hideMark/>
          </w:tcPr>
          <w:p w14:paraId="1D29533A"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621 251 115</w:t>
            </w:r>
          </w:p>
        </w:tc>
      </w:tr>
      <w:tr w:rsidR="00ED254C" w:rsidRPr="00B27F68" w14:paraId="5864F41B" w14:textId="77777777" w:rsidTr="00B27F68">
        <w:trPr>
          <w:trHeight w:val="24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69487B4"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8</w:t>
            </w:r>
          </w:p>
        </w:tc>
        <w:tc>
          <w:tcPr>
            <w:tcW w:w="3140" w:type="dxa"/>
            <w:tcBorders>
              <w:top w:val="nil"/>
              <w:left w:val="nil"/>
              <w:bottom w:val="single" w:sz="4" w:space="0" w:color="auto"/>
              <w:right w:val="single" w:sz="4" w:space="0" w:color="auto"/>
            </w:tcBorders>
            <w:shd w:val="clear" w:color="auto" w:fill="auto"/>
            <w:noWrap/>
            <w:vAlign w:val="bottom"/>
            <w:hideMark/>
          </w:tcPr>
          <w:p w14:paraId="3B270D83"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Audace NIYONGERE</w:t>
            </w:r>
          </w:p>
        </w:tc>
        <w:tc>
          <w:tcPr>
            <w:tcW w:w="2260" w:type="dxa"/>
            <w:tcBorders>
              <w:top w:val="nil"/>
              <w:left w:val="nil"/>
              <w:bottom w:val="single" w:sz="4" w:space="0" w:color="auto"/>
              <w:right w:val="single" w:sz="4" w:space="0" w:color="auto"/>
            </w:tcBorders>
            <w:shd w:val="clear" w:color="auto" w:fill="auto"/>
            <w:vAlign w:val="center"/>
            <w:hideMark/>
          </w:tcPr>
          <w:p w14:paraId="643E1DA6" w14:textId="4B4BC95E" w:rsidR="00ED254C" w:rsidRPr="00B27F68" w:rsidRDefault="00B27F68" w:rsidP="00EA15A3">
            <w:pPr>
              <w:rPr>
                <w:rFonts w:ascii="Calibri" w:hAnsi="Calibri"/>
                <w:bCs/>
                <w:color w:val="000000"/>
                <w:sz w:val="20"/>
                <w:szCs w:val="20"/>
              </w:rPr>
            </w:pPr>
            <w:r w:rsidRPr="00B27F68">
              <w:rPr>
                <w:rFonts w:ascii="Calibri" w:hAnsi="Calibri"/>
                <w:bCs/>
                <w:color w:val="000000"/>
                <w:sz w:val="20"/>
                <w:szCs w:val="20"/>
              </w:rPr>
              <w:t>C</w:t>
            </w:r>
            <w:r w:rsidR="00ED254C" w:rsidRPr="00B27F68">
              <w:rPr>
                <w:rFonts w:ascii="Calibri" w:hAnsi="Calibri"/>
                <w:bCs/>
                <w:color w:val="000000"/>
                <w:sz w:val="20"/>
                <w:szCs w:val="20"/>
              </w:rPr>
              <w:t>onsultant</w:t>
            </w:r>
            <w:r>
              <w:rPr>
                <w:rFonts w:ascii="Calibri" w:hAnsi="Calibri"/>
                <w:bCs/>
                <w:color w:val="000000"/>
                <w:sz w:val="20"/>
                <w:szCs w:val="20"/>
              </w:rPr>
              <w:t xml:space="preserve"> </w:t>
            </w:r>
            <w:r w:rsidR="00ED254C" w:rsidRPr="00B27F68">
              <w:rPr>
                <w:rFonts w:ascii="Calibri" w:hAnsi="Calibri"/>
                <w:bCs/>
                <w:color w:val="000000"/>
                <w:sz w:val="20"/>
                <w:szCs w:val="20"/>
              </w:rPr>
              <w:t xml:space="preserve"> </w:t>
            </w:r>
          </w:p>
        </w:tc>
        <w:tc>
          <w:tcPr>
            <w:tcW w:w="2260" w:type="dxa"/>
            <w:tcBorders>
              <w:top w:val="nil"/>
              <w:left w:val="nil"/>
              <w:bottom w:val="single" w:sz="4" w:space="0" w:color="auto"/>
              <w:right w:val="single" w:sz="4" w:space="0" w:color="auto"/>
            </w:tcBorders>
            <w:shd w:val="clear" w:color="auto" w:fill="auto"/>
            <w:noWrap/>
            <w:vAlign w:val="bottom"/>
            <w:hideMark/>
          </w:tcPr>
          <w:p w14:paraId="3E0458F3"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International</w:t>
            </w:r>
          </w:p>
        </w:tc>
        <w:tc>
          <w:tcPr>
            <w:tcW w:w="1620" w:type="dxa"/>
            <w:tcBorders>
              <w:top w:val="nil"/>
              <w:left w:val="nil"/>
              <w:bottom w:val="single" w:sz="4" w:space="0" w:color="auto"/>
              <w:right w:val="single" w:sz="4" w:space="0" w:color="auto"/>
            </w:tcBorders>
            <w:shd w:val="clear" w:color="auto" w:fill="auto"/>
            <w:noWrap/>
            <w:vAlign w:val="bottom"/>
            <w:hideMark/>
          </w:tcPr>
          <w:p w14:paraId="47D52E7B"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628 442 599</w:t>
            </w:r>
          </w:p>
        </w:tc>
      </w:tr>
      <w:tr w:rsidR="00ED254C" w:rsidRPr="00B27F68" w14:paraId="7A1CD7C0" w14:textId="77777777" w:rsidTr="00B27F68">
        <w:trPr>
          <w:trHeight w:val="7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3F59E54"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9</w:t>
            </w:r>
          </w:p>
        </w:tc>
        <w:tc>
          <w:tcPr>
            <w:tcW w:w="3140" w:type="dxa"/>
            <w:tcBorders>
              <w:top w:val="nil"/>
              <w:left w:val="nil"/>
              <w:bottom w:val="single" w:sz="4" w:space="0" w:color="auto"/>
              <w:right w:val="single" w:sz="4" w:space="0" w:color="auto"/>
            </w:tcBorders>
            <w:shd w:val="clear" w:color="auto" w:fill="auto"/>
            <w:noWrap/>
            <w:vAlign w:val="bottom"/>
            <w:hideMark/>
          </w:tcPr>
          <w:p w14:paraId="70C7D348"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Alseny</w:t>
            </w:r>
            <w:proofErr w:type="spellEnd"/>
            <w:r w:rsidRPr="00B27F68">
              <w:rPr>
                <w:rFonts w:ascii="Calibri" w:hAnsi="Calibri"/>
                <w:color w:val="000000"/>
                <w:sz w:val="20"/>
                <w:szCs w:val="20"/>
              </w:rPr>
              <w:t xml:space="preserve"> Ibrahima CAMARA</w:t>
            </w:r>
          </w:p>
        </w:tc>
        <w:tc>
          <w:tcPr>
            <w:tcW w:w="2260" w:type="dxa"/>
            <w:tcBorders>
              <w:top w:val="nil"/>
              <w:left w:val="nil"/>
              <w:bottom w:val="single" w:sz="4" w:space="0" w:color="auto"/>
              <w:right w:val="single" w:sz="4" w:space="0" w:color="auto"/>
            </w:tcBorders>
            <w:shd w:val="clear" w:color="auto" w:fill="auto"/>
            <w:vAlign w:val="center"/>
            <w:hideMark/>
          </w:tcPr>
          <w:p w14:paraId="3D015809"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779B13E1"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Resp</w:t>
            </w:r>
            <w:proofErr w:type="spellEnd"/>
            <w:r w:rsidRPr="00B27F68">
              <w:rPr>
                <w:rFonts w:ascii="Calibri" w:hAnsi="Calibri"/>
                <w:color w:val="000000"/>
                <w:sz w:val="20"/>
                <w:szCs w:val="20"/>
              </w:rPr>
              <w:t xml:space="preserve"> </w:t>
            </w:r>
            <w:proofErr w:type="spellStart"/>
            <w:r w:rsidRPr="00B27F68">
              <w:rPr>
                <w:rFonts w:ascii="Calibri" w:hAnsi="Calibri"/>
                <w:color w:val="000000"/>
                <w:sz w:val="20"/>
                <w:szCs w:val="20"/>
              </w:rPr>
              <w:t>Cel</w:t>
            </w:r>
            <w:proofErr w:type="spellEnd"/>
            <w:r w:rsidRPr="00B27F68">
              <w:rPr>
                <w:rFonts w:ascii="Calibri" w:hAnsi="Calibri"/>
                <w:color w:val="000000"/>
                <w:sz w:val="20"/>
                <w:szCs w:val="20"/>
              </w:rPr>
              <w:t xml:space="preserve"> Planification</w:t>
            </w:r>
          </w:p>
        </w:tc>
        <w:tc>
          <w:tcPr>
            <w:tcW w:w="1620" w:type="dxa"/>
            <w:tcBorders>
              <w:top w:val="nil"/>
              <w:left w:val="nil"/>
              <w:bottom w:val="single" w:sz="4" w:space="0" w:color="auto"/>
              <w:right w:val="single" w:sz="4" w:space="0" w:color="auto"/>
            </w:tcBorders>
            <w:shd w:val="clear" w:color="auto" w:fill="auto"/>
            <w:noWrap/>
            <w:vAlign w:val="bottom"/>
            <w:hideMark/>
          </w:tcPr>
          <w:p w14:paraId="13568AF0"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620 716 087</w:t>
            </w:r>
          </w:p>
        </w:tc>
      </w:tr>
      <w:tr w:rsidR="00ED254C" w:rsidRPr="00B27F68" w14:paraId="007FEA73"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F8DD44A"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10</w:t>
            </w:r>
          </w:p>
        </w:tc>
        <w:tc>
          <w:tcPr>
            <w:tcW w:w="3140" w:type="dxa"/>
            <w:tcBorders>
              <w:top w:val="nil"/>
              <w:left w:val="nil"/>
              <w:bottom w:val="single" w:sz="4" w:space="0" w:color="auto"/>
              <w:right w:val="single" w:sz="4" w:space="0" w:color="auto"/>
            </w:tcBorders>
            <w:shd w:val="clear" w:color="auto" w:fill="auto"/>
            <w:noWrap/>
            <w:vAlign w:val="bottom"/>
            <w:hideMark/>
          </w:tcPr>
          <w:p w14:paraId="3F15F852"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Ali DIALLO</w:t>
            </w:r>
          </w:p>
        </w:tc>
        <w:tc>
          <w:tcPr>
            <w:tcW w:w="2260" w:type="dxa"/>
            <w:tcBorders>
              <w:top w:val="nil"/>
              <w:left w:val="nil"/>
              <w:bottom w:val="single" w:sz="4" w:space="0" w:color="auto"/>
              <w:right w:val="single" w:sz="4" w:space="0" w:color="auto"/>
            </w:tcBorders>
            <w:shd w:val="clear" w:color="auto" w:fill="auto"/>
            <w:vAlign w:val="center"/>
            <w:hideMark/>
          </w:tcPr>
          <w:p w14:paraId="48E428AC"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73F921E0"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Assistant/Planification</w:t>
            </w:r>
          </w:p>
        </w:tc>
        <w:tc>
          <w:tcPr>
            <w:tcW w:w="1620" w:type="dxa"/>
            <w:tcBorders>
              <w:top w:val="nil"/>
              <w:left w:val="nil"/>
              <w:bottom w:val="single" w:sz="4" w:space="0" w:color="auto"/>
              <w:right w:val="single" w:sz="4" w:space="0" w:color="auto"/>
            </w:tcBorders>
            <w:shd w:val="clear" w:color="auto" w:fill="auto"/>
            <w:noWrap/>
            <w:vAlign w:val="bottom"/>
            <w:hideMark/>
          </w:tcPr>
          <w:p w14:paraId="379594F2"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624 196 271</w:t>
            </w:r>
          </w:p>
        </w:tc>
      </w:tr>
      <w:tr w:rsidR="00ED254C" w:rsidRPr="00B27F68" w14:paraId="7304E508"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651EBC9"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11</w:t>
            </w:r>
          </w:p>
        </w:tc>
        <w:tc>
          <w:tcPr>
            <w:tcW w:w="3140" w:type="dxa"/>
            <w:tcBorders>
              <w:top w:val="nil"/>
              <w:left w:val="nil"/>
              <w:bottom w:val="single" w:sz="4" w:space="0" w:color="auto"/>
              <w:right w:val="single" w:sz="4" w:space="0" w:color="auto"/>
            </w:tcBorders>
            <w:shd w:val="clear" w:color="auto" w:fill="auto"/>
            <w:noWrap/>
            <w:vAlign w:val="bottom"/>
            <w:hideMark/>
          </w:tcPr>
          <w:p w14:paraId="4FCF45BA"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NANSIRA KEITA</w:t>
            </w:r>
          </w:p>
        </w:tc>
        <w:tc>
          <w:tcPr>
            <w:tcW w:w="2260" w:type="dxa"/>
            <w:tcBorders>
              <w:top w:val="nil"/>
              <w:left w:val="nil"/>
              <w:bottom w:val="single" w:sz="4" w:space="0" w:color="auto"/>
              <w:right w:val="single" w:sz="4" w:space="0" w:color="auto"/>
            </w:tcBorders>
            <w:shd w:val="clear" w:color="auto" w:fill="auto"/>
            <w:vAlign w:val="center"/>
            <w:hideMark/>
          </w:tcPr>
          <w:p w14:paraId="5DB2CF5A"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2FC9A748"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Rep Recherche</w:t>
            </w:r>
          </w:p>
        </w:tc>
        <w:tc>
          <w:tcPr>
            <w:tcW w:w="1620" w:type="dxa"/>
            <w:tcBorders>
              <w:top w:val="nil"/>
              <w:left w:val="nil"/>
              <w:bottom w:val="single" w:sz="4" w:space="0" w:color="auto"/>
              <w:right w:val="single" w:sz="4" w:space="0" w:color="auto"/>
            </w:tcBorders>
            <w:shd w:val="clear" w:color="auto" w:fill="auto"/>
            <w:noWrap/>
            <w:vAlign w:val="bottom"/>
            <w:hideMark/>
          </w:tcPr>
          <w:p w14:paraId="66234B19"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655 318 241</w:t>
            </w:r>
          </w:p>
        </w:tc>
      </w:tr>
      <w:tr w:rsidR="00ED254C" w:rsidRPr="00B27F68" w14:paraId="3E2810B1"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DD353C7"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12</w:t>
            </w:r>
          </w:p>
        </w:tc>
        <w:tc>
          <w:tcPr>
            <w:tcW w:w="3140" w:type="dxa"/>
            <w:tcBorders>
              <w:top w:val="nil"/>
              <w:left w:val="nil"/>
              <w:bottom w:val="single" w:sz="4" w:space="0" w:color="auto"/>
              <w:right w:val="single" w:sz="4" w:space="0" w:color="auto"/>
            </w:tcBorders>
            <w:shd w:val="clear" w:color="auto" w:fill="auto"/>
            <w:noWrap/>
            <w:vAlign w:val="bottom"/>
            <w:hideMark/>
          </w:tcPr>
          <w:p w14:paraId="4F41B41C"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 xml:space="preserve">Dr </w:t>
            </w:r>
            <w:proofErr w:type="spellStart"/>
            <w:r w:rsidRPr="00B27F68">
              <w:rPr>
                <w:rFonts w:ascii="Calibri" w:hAnsi="Calibri"/>
                <w:color w:val="000000"/>
                <w:sz w:val="20"/>
                <w:szCs w:val="20"/>
              </w:rPr>
              <w:t>Massila</w:t>
            </w:r>
            <w:proofErr w:type="spellEnd"/>
            <w:r w:rsidRPr="00B27F68">
              <w:rPr>
                <w:rFonts w:ascii="Calibri" w:hAnsi="Calibri"/>
                <w:color w:val="000000"/>
                <w:sz w:val="20"/>
                <w:szCs w:val="20"/>
              </w:rPr>
              <w:t xml:space="preserve"> DIONE</w:t>
            </w:r>
          </w:p>
        </w:tc>
        <w:tc>
          <w:tcPr>
            <w:tcW w:w="2260" w:type="dxa"/>
            <w:tcBorders>
              <w:top w:val="nil"/>
              <w:left w:val="nil"/>
              <w:bottom w:val="single" w:sz="4" w:space="0" w:color="auto"/>
              <w:right w:val="single" w:sz="4" w:space="0" w:color="auto"/>
            </w:tcBorders>
            <w:shd w:val="clear" w:color="auto" w:fill="auto"/>
            <w:vAlign w:val="center"/>
            <w:hideMark/>
          </w:tcPr>
          <w:p w14:paraId="26A78691"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03E22DD7" w14:textId="77777777" w:rsidR="00ED254C" w:rsidRPr="00B27F68" w:rsidRDefault="00ED254C" w:rsidP="00EA15A3">
            <w:pPr>
              <w:rPr>
                <w:rFonts w:ascii="Calibri" w:hAnsi="Calibri"/>
                <w:color w:val="000000"/>
                <w:sz w:val="20"/>
                <w:szCs w:val="20"/>
                <w:lang w:val="en-US"/>
              </w:rPr>
            </w:pPr>
            <w:proofErr w:type="spellStart"/>
            <w:r w:rsidRPr="00B27F68">
              <w:rPr>
                <w:rFonts w:ascii="Calibri" w:hAnsi="Calibri"/>
                <w:color w:val="000000"/>
                <w:sz w:val="20"/>
                <w:szCs w:val="20"/>
                <w:lang w:val="en-US"/>
              </w:rPr>
              <w:t>Resp.Cel</w:t>
            </w:r>
            <w:proofErr w:type="spellEnd"/>
            <w:r w:rsidRPr="00B27F68">
              <w:rPr>
                <w:rFonts w:ascii="Calibri" w:hAnsi="Calibri"/>
                <w:color w:val="000000"/>
                <w:sz w:val="20"/>
                <w:szCs w:val="20"/>
                <w:lang w:val="en-US"/>
              </w:rPr>
              <w:t xml:space="preserve"> S E&amp;R</w:t>
            </w:r>
          </w:p>
        </w:tc>
        <w:tc>
          <w:tcPr>
            <w:tcW w:w="1620" w:type="dxa"/>
            <w:tcBorders>
              <w:top w:val="nil"/>
              <w:left w:val="nil"/>
              <w:bottom w:val="single" w:sz="4" w:space="0" w:color="auto"/>
              <w:right w:val="single" w:sz="4" w:space="0" w:color="auto"/>
            </w:tcBorders>
            <w:shd w:val="clear" w:color="auto" w:fill="auto"/>
            <w:noWrap/>
            <w:vAlign w:val="bottom"/>
            <w:hideMark/>
          </w:tcPr>
          <w:p w14:paraId="17053752"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624 196 277</w:t>
            </w:r>
          </w:p>
        </w:tc>
      </w:tr>
      <w:tr w:rsidR="00ED254C" w:rsidRPr="00B27F68" w14:paraId="1F32393E"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2153038"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13</w:t>
            </w:r>
          </w:p>
        </w:tc>
        <w:tc>
          <w:tcPr>
            <w:tcW w:w="3140" w:type="dxa"/>
            <w:tcBorders>
              <w:top w:val="nil"/>
              <w:left w:val="nil"/>
              <w:bottom w:val="single" w:sz="4" w:space="0" w:color="auto"/>
              <w:right w:val="single" w:sz="4" w:space="0" w:color="auto"/>
            </w:tcBorders>
            <w:shd w:val="clear" w:color="auto" w:fill="auto"/>
            <w:noWrap/>
            <w:vAlign w:val="bottom"/>
            <w:hideMark/>
          </w:tcPr>
          <w:p w14:paraId="21E7869F"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Kanny</w:t>
            </w:r>
            <w:proofErr w:type="spellEnd"/>
            <w:r w:rsidRPr="00B27F68">
              <w:rPr>
                <w:rFonts w:ascii="Calibri" w:hAnsi="Calibri"/>
                <w:color w:val="000000"/>
                <w:sz w:val="20"/>
                <w:szCs w:val="20"/>
              </w:rPr>
              <w:t xml:space="preserve"> DIALLO</w:t>
            </w:r>
          </w:p>
        </w:tc>
        <w:tc>
          <w:tcPr>
            <w:tcW w:w="2260" w:type="dxa"/>
            <w:tcBorders>
              <w:top w:val="nil"/>
              <w:left w:val="nil"/>
              <w:bottom w:val="single" w:sz="4" w:space="0" w:color="auto"/>
              <w:right w:val="single" w:sz="4" w:space="0" w:color="auto"/>
            </w:tcBorders>
            <w:shd w:val="clear" w:color="auto" w:fill="auto"/>
            <w:vAlign w:val="center"/>
            <w:hideMark/>
          </w:tcPr>
          <w:p w14:paraId="4A245708"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6F2B9C81"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 xml:space="preserve">Assistante </w:t>
            </w:r>
            <w:proofErr w:type="spellStart"/>
            <w:r w:rsidRPr="00B27F68">
              <w:rPr>
                <w:rFonts w:ascii="Calibri" w:hAnsi="Calibri"/>
                <w:color w:val="000000"/>
                <w:sz w:val="20"/>
                <w:szCs w:val="20"/>
              </w:rPr>
              <w:t>Cel</w:t>
            </w:r>
            <w:proofErr w:type="spellEnd"/>
            <w:r w:rsidRPr="00B27F68">
              <w:rPr>
                <w:rFonts w:ascii="Calibri" w:hAnsi="Calibri"/>
                <w:color w:val="000000"/>
                <w:sz w:val="20"/>
                <w:szCs w:val="20"/>
              </w:rPr>
              <w:t xml:space="preserve"> S&amp;E</w:t>
            </w:r>
          </w:p>
        </w:tc>
        <w:tc>
          <w:tcPr>
            <w:tcW w:w="1620" w:type="dxa"/>
            <w:tcBorders>
              <w:top w:val="nil"/>
              <w:left w:val="nil"/>
              <w:bottom w:val="single" w:sz="4" w:space="0" w:color="auto"/>
              <w:right w:val="single" w:sz="4" w:space="0" w:color="auto"/>
            </w:tcBorders>
            <w:shd w:val="clear" w:color="auto" w:fill="auto"/>
            <w:noWrap/>
            <w:vAlign w:val="bottom"/>
            <w:hideMark/>
          </w:tcPr>
          <w:p w14:paraId="771FEF74"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624 722 241</w:t>
            </w:r>
          </w:p>
        </w:tc>
      </w:tr>
      <w:tr w:rsidR="00ED254C" w:rsidRPr="00B27F68" w14:paraId="226708C8"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4CABBFD"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14</w:t>
            </w:r>
          </w:p>
        </w:tc>
        <w:tc>
          <w:tcPr>
            <w:tcW w:w="3140" w:type="dxa"/>
            <w:tcBorders>
              <w:top w:val="nil"/>
              <w:left w:val="nil"/>
              <w:bottom w:val="single" w:sz="4" w:space="0" w:color="auto"/>
              <w:right w:val="single" w:sz="4" w:space="0" w:color="auto"/>
            </w:tcBorders>
            <w:shd w:val="clear" w:color="auto" w:fill="auto"/>
            <w:noWrap/>
            <w:vAlign w:val="bottom"/>
            <w:hideMark/>
          </w:tcPr>
          <w:p w14:paraId="509AC927"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Alexis LAMAH</w:t>
            </w:r>
          </w:p>
        </w:tc>
        <w:tc>
          <w:tcPr>
            <w:tcW w:w="2260" w:type="dxa"/>
            <w:tcBorders>
              <w:top w:val="nil"/>
              <w:left w:val="nil"/>
              <w:bottom w:val="single" w:sz="4" w:space="0" w:color="auto"/>
              <w:right w:val="single" w:sz="4" w:space="0" w:color="auto"/>
            </w:tcBorders>
            <w:shd w:val="clear" w:color="auto" w:fill="auto"/>
            <w:vAlign w:val="center"/>
            <w:hideMark/>
          </w:tcPr>
          <w:p w14:paraId="5D23BAC0"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3EC052EF"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Resp</w:t>
            </w:r>
            <w:proofErr w:type="spellEnd"/>
            <w:r w:rsidRPr="00B27F68">
              <w:rPr>
                <w:rFonts w:ascii="Calibri" w:hAnsi="Calibri"/>
                <w:color w:val="000000"/>
                <w:sz w:val="20"/>
                <w:szCs w:val="20"/>
              </w:rPr>
              <w:t xml:space="preserve"> </w:t>
            </w:r>
            <w:proofErr w:type="spellStart"/>
            <w:r w:rsidRPr="00B27F68">
              <w:rPr>
                <w:rFonts w:ascii="Calibri" w:hAnsi="Calibri"/>
                <w:color w:val="000000"/>
                <w:sz w:val="20"/>
                <w:szCs w:val="20"/>
              </w:rPr>
              <w:t>Cel</w:t>
            </w:r>
            <w:proofErr w:type="spellEnd"/>
            <w:r w:rsidRPr="00B27F68">
              <w:rPr>
                <w:rFonts w:ascii="Calibri" w:hAnsi="Calibri"/>
                <w:color w:val="000000"/>
                <w:sz w:val="20"/>
                <w:szCs w:val="20"/>
              </w:rPr>
              <w:t xml:space="preserve"> Finance </w:t>
            </w:r>
            <w:proofErr w:type="spellStart"/>
            <w:r w:rsidRPr="00B27F68">
              <w:rPr>
                <w:rFonts w:ascii="Calibri" w:hAnsi="Calibri"/>
                <w:color w:val="000000"/>
                <w:sz w:val="20"/>
                <w:szCs w:val="20"/>
              </w:rPr>
              <w:t>Comp</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733A65F9"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628 531 838</w:t>
            </w:r>
          </w:p>
        </w:tc>
      </w:tr>
      <w:tr w:rsidR="00ED254C" w:rsidRPr="00B27F68" w14:paraId="7F88563B" w14:textId="77777777" w:rsidTr="00B27F68">
        <w:trPr>
          <w:trHeight w:val="312"/>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5C895EE"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15</w:t>
            </w:r>
          </w:p>
        </w:tc>
        <w:tc>
          <w:tcPr>
            <w:tcW w:w="3140" w:type="dxa"/>
            <w:tcBorders>
              <w:top w:val="nil"/>
              <w:left w:val="nil"/>
              <w:bottom w:val="single" w:sz="4" w:space="0" w:color="auto"/>
              <w:right w:val="single" w:sz="4" w:space="0" w:color="auto"/>
            </w:tcBorders>
            <w:shd w:val="clear" w:color="auto" w:fill="auto"/>
            <w:noWrap/>
            <w:vAlign w:val="bottom"/>
            <w:hideMark/>
          </w:tcPr>
          <w:p w14:paraId="5B2CAAEB"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Fatoumata SANGARE</w:t>
            </w:r>
          </w:p>
        </w:tc>
        <w:tc>
          <w:tcPr>
            <w:tcW w:w="2260" w:type="dxa"/>
            <w:tcBorders>
              <w:top w:val="nil"/>
              <w:left w:val="nil"/>
              <w:bottom w:val="single" w:sz="4" w:space="0" w:color="auto"/>
              <w:right w:val="single" w:sz="4" w:space="0" w:color="auto"/>
            </w:tcBorders>
            <w:shd w:val="clear" w:color="auto" w:fill="auto"/>
            <w:vAlign w:val="center"/>
            <w:hideMark/>
          </w:tcPr>
          <w:p w14:paraId="5BA5E2F2"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06003522"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Resp</w:t>
            </w:r>
            <w:proofErr w:type="spellEnd"/>
            <w:r w:rsidRPr="00B27F68">
              <w:rPr>
                <w:rFonts w:ascii="Calibri" w:hAnsi="Calibri"/>
                <w:color w:val="000000"/>
                <w:sz w:val="20"/>
                <w:szCs w:val="20"/>
              </w:rPr>
              <w:t xml:space="preserve"> </w:t>
            </w:r>
            <w:proofErr w:type="spellStart"/>
            <w:r w:rsidRPr="00B27F68">
              <w:rPr>
                <w:rFonts w:ascii="Calibri" w:hAnsi="Calibri"/>
                <w:color w:val="000000"/>
                <w:sz w:val="20"/>
                <w:szCs w:val="20"/>
              </w:rPr>
              <w:t>Cel</w:t>
            </w:r>
            <w:proofErr w:type="spellEnd"/>
            <w:r w:rsidRPr="00B27F68">
              <w:rPr>
                <w:rFonts w:ascii="Calibri" w:hAnsi="Calibri"/>
                <w:color w:val="000000"/>
                <w:sz w:val="20"/>
                <w:szCs w:val="20"/>
              </w:rPr>
              <w:t xml:space="preserve"> Partenariat</w:t>
            </w:r>
          </w:p>
        </w:tc>
        <w:tc>
          <w:tcPr>
            <w:tcW w:w="1620" w:type="dxa"/>
            <w:tcBorders>
              <w:top w:val="nil"/>
              <w:left w:val="nil"/>
              <w:bottom w:val="single" w:sz="4" w:space="0" w:color="auto"/>
              <w:right w:val="single" w:sz="4" w:space="0" w:color="auto"/>
            </w:tcBorders>
            <w:shd w:val="clear" w:color="auto" w:fill="auto"/>
            <w:noWrap/>
            <w:vAlign w:val="bottom"/>
            <w:hideMark/>
          </w:tcPr>
          <w:p w14:paraId="51031D50"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624 196 253</w:t>
            </w:r>
          </w:p>
        </w:tc>
      </w:tr>
      <w:tr w:rsidR="00ED254C" w:rsidRPr="00B27F68" w14:paraId="563F193F"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C612346"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16</w:t>
            </w:r>
          </w:p>
        </w:tc>
        <w:tc>
          <w:tcPr>
            <w:tcW w:w="3140" w:type="dxa"/>
            <w:tcBorders>
              <w:top w:val="nil"/>
              <w:left w:val="nil"/>
              <w:bottom w:val="single" w:sz="4" w:space="0" w:color="auto"/>
              <w:right w:val="single" w:sz="4" w:space="0" w:color="auto"/>
            </w:tcBorders>
            <w:shd w:val="clear" w:color="auto" w:fill="auto"/>
            <w:noWrap/>
            <w:vAlign w:val="bottom"/>
            <w:hideMark/>
          </w:tcPr>
          <w:p w14:paraId="2593086D"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Soba DIALLO</w:t>
            </w:r>
          </w:p>
        </w:tc>
        <w:tc>
          <w:tcPr>
            <w:tcW w:w="2260" w:type="dxa"/>
            <w:tcBorders>
              <w:top w:val="nil"/>
              <w:left w:val="nil"/>
              <w:bottom w:val="single" w:sz="4" w:space="0" w:color="auto"/>
              <w:right w:val="single" w:sz="4" w:space="0" w:color="auto"/>
            </w:tcBorders>
            <w:shd w:val="clear" w:color="auto" w:fill="auto"/>
            <w:vAlign w:val="center"/>
            <w:hideMark/>
          </w:tcPr>
          <w:p w14:paraId="14B708D4"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4CDA6E94"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Compta / Partenaire</w:t>
            </w:r>
          </w:p>
        </w:tc>
        <w:tc>
          <w:tcPr>
            <w:tcW w:w="1620" w:type="dxa"/>
            <w:tcBorders>
              <w:top w:val="nil"/>
              <w:left w:val="nil"/>
              <w:bottom w:val="single" w:sz="4" w:space="0" w:color="auto"/>
              <w:right w:val="single" w:sz="4" w:space="0" w:color="auto"/>
            </w:tcBorders>
            <w:shd w:val="clear" w:color="auto" w:fill="auto"/>
            <w:noWrap/>
            <w:vAlign w:val="bottom"/>
            <w:hideMark/>
          </w:tcPr>
          <w:p w14:paraId="72D0FB21"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621 263 013</w:t>
            </w:r>
          </w:p>
        </w:tc>
      </w:tr>
      <w:tr w:rsidR="00ED254C" w:rsidRPr="00B27F68" w14:paraId="7F38C890"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DB87441"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17</w:t>
            </w:r>
          </w:p>
        </w:tc>
        <w:tc>
          <w:tcPr>
            <w:tcW w:w="3140" w:type="dxa"/>
            <w:tcBorders>
              <w:top w:val="nil"/>
              <w:left w:val="nil"/>
              <w:bottom w:val="single" w:sz="4" w:space="0" w:color="auto"/>
              <w:right w:val="single" w:sz="4" w:space="0" w:color="auto"/>
            </w:tcBorders>
            <w:shd w:val="clear" w:color="auto" w:fill="auto"/>
            <w:noWrap/>
            <w:vAlign w:val="bottom"/>
            <w:hideMark/>
          </w:tcPr>
          <w:p w14:paraId="3850D0CF"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Fatoumata Binta DIALLO</w:t>
            </w:r>
          </w:p>
        </w:tc>
        <w:tc>
          <w:tcPr>
            <w:tcW w:w="2260" w:type="dxa"/>
            <w:tcBorders>
              <w:top w:val="nil"/>
              <w:left w:val="nil"/>
              <w:bottom w:val="single" w:sz="4" w:space="0" w:color="auto"/>
              <w:right w:val="single" w:sz="4" w:space="0" w:color="auto"/>
            </w:tcBorders>
            <w:shd w:val="clear" w:color="auto" w:fill="auto"/>
            <w:vAlign w:val="center"/>
            <w:hideMark/>
          </w:tcPr>
          <w:p w14:paraId="0F675DF5"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SE/CNLS</w:t>
            </w:r>
          </w:p>
        </w:tc>
        <w:tc>
          <w:tcPr>
            <w:tcW w:w="2260" w:type="dxa"/>
            <w:tcBorders>
              <w:top w:val="nil"/>
              <w:left w:val="nil"/>
              <w:bottom w:val="single" w:sz="4" w:space="0" w:color="auto"/>
              <w:right w:val="single" w:sz="4" w:space="0" w:color="auto"/>
            </w:tcBorders>
            <w:shd w:val="clear" w:color="auto" w:fill="auto"/>
            <w:noWrap/>
            <w:vAlign w:val="bottom"/>
            <w:hideMark/>
          </w:tcPr>
          <w:p w14:paraId="0B8C41CB"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Assistante D COM</w:t>
            </w:r>
          </w:p>
        </w:tc>
        <w:tc>
          <w:tcPr>
            <w:tcW w:w="1620" w:type="dxa"/>
            <w:tcBorders>
              <w:top w:val="nil"/>
              <w:left w:val="nil"/>
              <w:bottom w:val="single" w:sz="4" w:space="0" w:color="auto"/>
              <w:right w:val="single" w:sz="4" w:space="0" w:color="auto"/>
            </w:tcBorders>
            <w:shd w:val="clear" w:color="auto" w:fill="auto"/>
            <w:noWrap/>
            <w:vAlign w:val="bottom"/>
            <w:hideMark/>
          </w:tcPr>
          <w:p w14:paraId="1EC4CEA8"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624 196 284</w:t>
            </w:r>
          </w:p>
        </w:tc>
      </w:tr>
      <w:tr w:rsidR="00ED254C" w:rsidRPr="00B27F68" w14:paraId="7B5A3788"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0732BBB"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18</w:t>
            </w:r>
          </w:p>
        </w:tc>
        <w:tc>
          <w:tcPr>
            <w:tcW w:w="3140" w:type="dxa"/>
            <w:tcBorders>
              <w:top w:val="nil"/>
              <w:left w:val="nil"/>
              <w:bottom w:val="single" w:sz="4" w:space="0" w:color="auto"/>
              <w:right w:val="single" w:sz="4" w:space="0" w:color="auto"/>
            </w:tcBorders>
            <w:shd w:val="clear" w:color="auto" w:fill="auto"/>
            <w:noWrap/>
            <w:vAlign w:val="bottom"/>
            <w:hideMark/>
          </w:tcPr>
          <w:p w14:paraId="1D6182AC"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 xml:space="preserve">Mamady </w:t>
            </w:r>
            <w:proofErr w:type="spellStart"/>
            <w:r w:rsidRPr="00B27F68">
              <w:rPr>
                <w:rFonts w:ascii="Calibri" w:hAnsi="Calibri"/>
                <w:color w:val="000000"/>
                <w:sz w:val="20"/>
                <w:szCs w:val="20"/>
              </w:rPr>
              <w:t>Kankou</w:t>
            </w:r>
            <w:proofErr w:type="spellEnd"/>
            <w:r w:rsidRPr="00B27F68">
              <w:rPr>
                <w:rFonts w:ascii="Calibri" w:hAnsi="Calibri"/>
                <w:color w:val="000000"/>
                <w:sz w:val="20"/>
                <w:szCs w:val="20"/>
              </w:rPr>
              <w:t xml:space="preserve"> CAMAR</w:t>
            </w:r>
          </w:p>
        </w:tc>
        <w:tc>
          <w:tcPr>
            <w:tcW w:w="2260" w:type="dxa"/>
            <w:tcBorders>
              <w:top w:val="nil"/>
              <w:left w:val="nil"/>
              <w:bottom w:val="single" w:sz="4" w:space="0" w:color="auto"/>
              <w:right w:val="single" w:sz="4" w:space="0" w:color="auto"/>
            </w:tcBorders>
            <w:shd w:val="clear" w:color="auto" w:fill="auto"/>
            <w:vAlign w:val="center"/>
            <w:hideMark/>
          </w:tcPr>
          <w:p w14:paraId="40DEBCE0"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BCR/Kindia</w:t>
            </w:r>
          </w:p>
        </w:tc>
        <w:tc>
          <w:tcPr>
            <w:tcW w:w="2260" w:type="dxa"/>
            <w:tcBorders>
              <w:top w:val="nil"/>
              <w:left w:val="nil"/>
              <w:bottom w:val="single" w:sz="4" w:space="0" w:color="auto"/>
              <w:right w:val="single" w:sz="4" w:space="0" w:color="auto"/>
            </w:tcBorders>
            <w:shd w:val="clear" w:color="auto" w:fill="auto"/>
            <w:noWrap/>
            <w:vAlign w:val="bottom"/>
            <w:hideMark/>
          </w:tcPr>
          <w:p w14:paraId="3C00C6A6"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Coordonateur</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04D1B004"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622 555 778</w:t>
            </w:r>
          </w:p>
        </w:tc>
      </w:tr>
      <w:tr w:rsidR="00ED254C" w:rsidRPr="00B27F68" w14:paraId="4835FF1B"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F115172"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19</w:t>
            </w:r>
          </w:p>
        </w:tc>
        <w:tc>
          <w:tcPr>
            <w:tcW w:w="3140" w:type="dxa"/>
            <w:tcBorders>
              <w:top w:val="nil"/>
              <w:left w:val="nil"/>
              <w:bottom w:val="single" w:sz="4" w:space="0" w:color="auto"/>
              <w:right w:val="single" w:sz="4" w:space="0" w:color="auto"/>
            </w:tcBorders>
            <w:shd w:val="clear" w:color="auto" w:fill="auto"/>
            <w:noWrap/>
            <w:vAlign w:val="bottom"/>
            <w:hideMark/>
          </w:tcPr>
          <w:p w14:paraId="666E51C3"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Bakary TRAORE</w:t>
            </w:r>
          </w:p>
        </w:tc>
        <w:tc>
          <w:tcPr>
            <w:tcW w:w="2260" w:type="dxa"/>
            <w:tcBorders>
              <w:top w:val="nil"/>
              <w:left w:val="nil"/>
              <w:bottom w:val="single" w:sz="4" w:space="0" w:color="auto"/>
              <w:right w:val="single" w:sz="4" w:space="0" w:color="auto"/>
            </w:tcBorders>
            <w:shd w:val="clear" w:color="auto" w:fill="auto"/>
            <w:vAlign w:val="center"/>
            <w:hideMark/>
          </w:tcPr>
          <w:p w14:paraId="31438D64"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BCR/Kindia</w:t>
            </w:r>
          </w:p>
        </w:tc>
        <w:tc>
          <w:tcPr>
            <w:tcW w:w="2260" w:type="dxa"/>
            <w:tcBorders>
              <w:top w:val="nil"/>
              <w:left w:val="nil"/>
              <w:bottom w:val="single" w:sz="4" w:space="0" w:color="auto"/>
              <w:right w:val="single" w:sz="4" w:space="0" w:color="auto"/>
            </w:tcBorders>
            <w:shd w:val="clear" w:color="auto" w:fill="auto"/>
            <w:noWrap/>
            <w:vAlign w:val="bottom"/>
            <w:hideMark/>
          </w:tcPr>
          <w:p w14:paraId="07941038"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Comptable</w:t>
            </w:r>
          </w:p>
        </w:tc>
        <w:tc>
          <w:tcPr>
            <w:tcW w:w="1620" w:type="dxa"/>
            <w:tcBorders>
              <w:top w:val="nil"/>
              <w:left w:val="nil"/>
              <w:bottom w:val="single" w:sz="4" w:space="0" w:color="auto"/>
              <w:right w:val="single" w:sz="4" w:space="0" w:color="auto"/>
            </w:tcBorders>
            <w:shd w:val="clear" w:color="auto" w:fill="auto"/>
            <w:noWrap/>
            <w:vAlign w:val="bottom"/>
            <w:hideMark/>
          </w:tcPr>
          <w:p w14:paraId="563EF47B"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622 831 898</w:t>
            </w:r>
          </w:p>
        </w:tc>
      </w:tr>
      <w:tr w:rsidR="00ED254C" w:rsidRPr="00B27F68" w14:paraId="6EFC27A2"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A888247"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20</w:t>
            </w:r>
          </w:p>
        </w:tc>
        <w:tc>
          <w:tcPr>
            <w:tcW w:w="3140" w:type="dxa"/>
            <w:tcBorders>
              <w:top w:val="nil"/>
              <w:left w:val="nil"/>
              <w:bottom w:val="single" w:sz="4" w:space="0" w:color="auto"/>
              <w:right w:val="single" w:sz="4" w:space="0" w:color="auto"/>
            </w:tcBorders>
            <w:shd w:val="clear" w:color="auto" w:fill="auto"/>
            <w:noWrap/>
            <w:vAlign w:val="bottom"/>
            <w:hideMark/>
          </w:tcPr>
          <w:p w14:paraId="41FAC4F8"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Nouhan</w:t>
            </w:r>
            <w:proofErr w:type="spellEnd"/>
            <w:r w:rsidRPr="00B27F68">
              <w:rPr>
                <w:rFonts w:ascii="Calibri" w:hAnsi="Calibri"/>
                <w:color w:val="000000"/>
                <w:sz w:val="20"/>
                <w:szCs w:val="20"/>
              </w:rPr>
              <w:t xml:space="preserve"> DIAKITE</w:t>
            </w:r>
          </w:p>
        </w:tc>
        <w:tc>
          <w:tcPr>
            <w:tcW w:w="2260" w:type="dxa"/>
            <w:tcBorders>
              <w:top w:val="nil"/>
              <w:left w:val="nil"/>
              <w:bottom w:val="single" w:sz="4" w:space="0" w:color="auto"/>
              <w:right w:val="single" w:sz="4" w:space="0" w:color="auto"/>
            </w:tcBorders>
            <w:shd w:val="clear" w:color="auto" w:fill="auto"/>
            <w:vAlign w:val="center"/>
            <w:hideMark/>
          </w:tcPr>
          <w:p w14:paraId="4C633C81" w14:textId="77777777" w:rsidR="00ED254C" w:rsidRPr="00B27F68" w:rsidRDefault="00ED254C" w:rsidP="00EA15A3">
            <w:pPr>
              <w:rPr>
                <w:rFonts w:ascii="Calibri" w:hAnsi="Calibri"/>
                <w:bCs/>
                <w:color w:val="000000"/>
                <w:sz w:val="20"/>
                <w:szCs w:val="20"/>
              </w:rPr>
            </w:pPr>
            <w:proofErr w:type="spellStart"/>
            <w:r w:rsidRPr="00B27F68">
              <w:rPr>
                <w:rFonts w:ascii="Calibri" w:hAnsi="Calibri"/>
                <w:bCs/>
                <w:color w:val="000000"/>
                <w:sz w:val="20"/>
                <w:szCs w:val="20"/>
              </w:rPr>
              <w:t>BCR.Kindia</w:t>
            </w:r>
            <w:proofErr w:type="spellEnd"/>
          </w:p>
        </w:tc>
        <w:tc>
          <w:tcPr>
            <w:tcW w:w="2260" w:type="dxa"/>
            <w:tcBorders>
              <w:top w:val="nil"/>
              <w:left w:val="nil"/>
              <w:bottom w:val="single" w:sz="4" w:space="0" w:color="auto"/>
              <w:right w:val="single" w:sz="4" w:space="0" w:color="auto"/>
            </w:tcBorders>
            <w:shd w:val="clear" w:color="auto" w:fill="auto"/>
            <w:noWrap/>
            <w:vAlign w:val="bottom"/>
            <w:hideMark/>
          </w:tcPr>
          <w:p w14:paraId="1614F59C"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Suivi Evaluation</w:t>
            </w:r>
          </w:p>
        </w:tc>
        <w:tc>
          <w:tcPr>
            <w:tcW w:w="1620" w:type="dxa"/>
            <w:tcBorders>
              <w:top w:val="nil"/>
              <w:left w:val="nil"/>
              <w:bottom w:val="single" w:sz="4" w:space="0" w:color="auto"/>
              <w:right w:val="single" w:sz="4" w:space="0" w:color="auto"/>
            </w:tcBorders>
            <w:shd w:val="clear" w:color="auto" w:fill="auto"/>
            <w:noWrap/>
            <w:vAlign w:val="bottom"/>
            <w:hideMark/>
          </w:tcPr>
          <w:p w14:paraId="3D1F25DB"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620 581 314</w:t>
            </w:r>
          </w:p>
        </w:tc>
      </w:tr>
      <w:tr w:rsidR="00ED254C" w:rsidRPr="00B27F68" w14:paraId="00AB4561"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A897354"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21</w:t>
            </w:r>
          </w:p>
        </w:tc>
        <w:tc>
          <w:tcPr>
            <w:tcW w:w="3140" w:type="dxa"/>
            <w:tcBorders>
              <w:top w:val="nil"/>
              <w:left w:val="nil"/>
              <w:bottom w:val="single" w:sz="4" w:space="0" w:color="auto"/>
              <w:right w:val="single" w:sz="4" w:space="0" w:color="auto"/>
            </w:tcBorders>
            <w:shd w:val="clear" w:color="auto" w:fill="auto"/>
            <w:noWrap/>
            <w:vAlign w:val="bottom"/>
            <w:hideMark/>
          </w:tcPr>
          <w:p w14:paraId="661A328F"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 xml:space="preserve">Dr </w:t>
            </w:r>
            <w:proofErr w:type="spellStart"/>
            <w:r w:rsidRPr="00B27F68">
              <w:rPr>
                <w:rFonts w:ascii="Calibri" w:hAnsi="Calibri"/>
                <w:color w:val="000000"/>
                <w:sz w:val="20"/>
                <w:szCs w:val="20"/>
              </w:rPr>
              <w:t>Feridah</w:t>
            </w:r>
            <w:proofErr w:type="spellEnd"/>
            <w:r w:rsidRPr="00B27F68">
              <w:rPr>
                <w:rFonts w:ascii="Calibri" w:hAnsi="Calibri"/>
                <w:color w:val="000000"/>
                <w:sz w:val="20"/>
                <w:szCs w:val="20"/>
              </w:rPr>
              <w:t xml:space="preserve"> MARA</w:t>
            </w:r>
          </w:p>
        </w:tc>
        <w:tc>
          <w:tcPr>
            <w:tcW w:w="2260" w:type="dxa"/>
            <w:tcBorders>
              <w:top w:val="nil"/>
              <w:left w:val="nil"/>
              <w:bottom w:val="single" w:sz="4" w:space="0" w:color="auto"/>
              <w:right w:val="single" w:sz="4" w:space="0" w:color="auto"/>
            </w:tcBorders>
            <w:shd w:val="clear" w:color="auto" w:fill="auto"/>
            <w:vAlign w:val="center"/>
            <w:hideMark/>
          </w:tcPr>
          <w:p w14:paraId="16127803"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DNSFN/ M S</w:t>
            </w:r>
          </w:p>
        </w:tc>
        <w:tc>
          <w:tcPr>
            <w:tcW w:w="2260" w:type="dxa"/>
            <w:tcBorders>
              <w:top w:val="nil"/>
              <w:left w:val="nil"/>
              <w:bottom w:val="single" w:sz="4" w:space="0" w:color="auto"/>
              <w:right w:val="single" w:sz="4" w:space="0" w:color="auto"/>
            </w:tcBorders>
            <w:shd w:val="clear" w:color="auto" w:fill="auto"/>
            <w:noWrap/>
            <w:vAlign w:val="bottom"/>
            <w:hideMark/>
          </w:tcPr>
          <w:p w14:paraId="5D92B952"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Chef S A J</w:t>
            </w:r>
          </w:p>
        </w:tc>
        <w:tc>
          <w:tcPr>
            <w:tcW w:w="1620" w:type="dxa"/>
            <w:tcBorders>
              <w:top w:val="nil"/>
              <w:left w:val="nil"/>
              <w:bottom w:val="single" w:sz="4" w:space="0" w:color="auto"/>
              <w:right w:val="single" w:sz="4" w:space="0" w:color="auto"/>
            </w:tcBorders>
            <w:shd w:val="clear" w:color="auto" w:fill="auto"/>
            <w:noWrap/>
            <w:vAlign w:val="bottom"/>
            <w:hideMark/>
          </w:tcPr>
          <w:p w14:paraId="60DC5B66"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622 180 166</w:t>
            </w:r>
          </w:p>
        </w:tc>
      </w:tr>
      <w:tr w:rsidR="00ED254C" w:rsidRPr="00B27F68" w14:paraId="250378AF"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5914E3D"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22</w:t>
            </w:r>
          </w:p>
        </w:tc>
        <w:tc>
          <w:tcPr>
            <w:tcW w:w="3140" w:type="dxa"/>
            <w:tcBorders>
              <w:top w:val="nil"/>
              <w:left w:val="nil"/>
              <w:bottom w:val="single" w:sz="4" w:space="0" w:color="auto"/>
              <w:right w:val="single" w:sz="4" w:space="0" w:color="auto"/>
            </w:tcBorders>
            <w:shd w:val="clear" w:color="auto" w:fill="auto"/>
            <w:noWrap/>
            <w:vAlign w:val="bottom"/>
            <w:hideMark/>
          </w:tcPr>
          <w:p w14:paraId="7273563F"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Pierre BALAMOU</w:t>
            </w:r>
          </w:p>
        </w:tc>
        <w:tc>
          <w:tcPr>
            <w:tcW w:w="2260" w:type="dxa"/>
            <w:tcBorders>
              <w:top w:val="nil"/>
              <w:left w:val="nil"/>
              <w:bottom w:val="single" w:sz="4" w:space="0" w:color="auto"/>
              <w:right w:val="single" w:sz="4" w:space="0" w:color="auto"/>
            </w:tcBorders>
            <w:shd w:val="clear" w:color="auto" w:fill="auto"/>
            <w:vAlign w:val="center"/>
            <w:hideMark/>
          </w:tcPr>
          <w:p w14:paraId="4DC09D41"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UNICEF</w:t>
            </w:r>
          </w:p>
        </w:tc>
        <w:tc>
          <w:tcPr>
            <w:tcW w:w="2260" w:type="dxa"/>
            <w:tcBorders>
              <w:top w:val="nil"/>
              <w:left w:val="nil"/>
              <w:bottom w:val="single" w:sz="4" w:space="0" w:color="auto"/>
              <w:right w:val="single" w:sz="4" w:space="0" w:color="auto"/>
            </w:tcBorders>
            <w:shd w:val="clear" w:color="auto" w:fill="auto"/>
            <w:noWrap/>
            <w:vAlign w:val="bottom"/>
            <w:hideMark/>
          </w:tcPr>
          <w:p w14:paraId="715DB5E1"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Specialiste</w:t>
            </w:r>
            <w:proofErr w:type="spellEnd"/>
            <w:r w:rsidRPr="00B27F68">
              <w:rPr>
                <w:rFonts w:ascii="Calibri" w:hAnsi="Calibri"/>
                <w:color w:val="000000"/>
                <w:sz w:val="20"/>
                <w:szCs w:val="20"/>
              </w:rPr>
              <w:t xml:space="preserve"> M&amp;E</w:t>
            </w:r>
          </w:p>
        </w:tc>
        <w:tc>
          <w:tcPr>
            <w:tcW w:w="1620" w:type="dxa"/>
            <w:tcBorders>
              <w:top w:val="nil"/>
              <w:left w:val="nil"/>
              <w:bottom w:val="single" w:sz="4" w:space="0" w:color="auto"/>
              <w:right w:val="single" w:sz="4" w:space="0" w:color="auto"/>
            </w:tcBorders>
            <w:shd w:val="clear" w:color="auto" w:fill="auto"/>
            <w:noWrap/>
            <w:vAlign w:val="bottom"/>
            <w:hideMark/>
          </w:tcPr>
          <w:p w14:paraId="33176ED4"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622 998 960</w:t>
            </w:r>
          </w:p>
        </w:tc>
      </w:tr>
      <w:tr w:rsidR="00ED254C" w:rsidRPr="00B27F68" w14:paraId="456E276D"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13997DC"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23</w:t>
            </w:r>
          </w:p>
        </w:tc>
        <w:tc>
          <w:tcPr>
            <w:tcW w:w="3140" w:type="dxa"/>
            <w:tcBorders>
              <w:top w:val="nil"/>
              <w:left w:val="nil"/>
              <w:bottom w:val="single" w:sz="4" w:space="0" w:color="auto"/>
              <w:right w:val="single" w:sz="4" w:space="0" w:color="auto"/>
            </w:tcBorders>
            <w:shd w:val="clear" w:color="auto" w:fill="auto"/>
            <w:noWrap/>
            <w:vAlign w:val="bottom"/>
            <w:hideMark/>
          </w:tcPr>
          <w:p w14:paraId="698394EE"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Pascal T BONIMY</w:t>
            </w:r>
          </w:p>
        </w:tc>
        <w:tc>
          <w:tcPr>
            <w:tcW w:w="2260" w:type="dxa"/>
            <w:tcBorders>
              <w:top w:val="nil"/>
              <w:left w:val="nil"/>
              <w:bottom w:val="single" w:sz="4" w:space="0" w:color="auto"/>
              <w:right w:val="single" w:sz="4" w:space="0" w:color="auto"/>
            </w:tcBorders>
            <w:shd w:val="clear" w:color="auto" w:fill="auto"/>
            <w:vAlign w:val="center"/>
            <w:hideMark/>
          </w:tcPr>
          <w:p w14:paraId="77F56FA2"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ONUSIDA</w:t>
            </w:r>
          </w:p>
        </w:tc>
        <w:tc>
          <w:tcPr>
            <w:tcW w:w="2260" w:type="dxa"/>
            <w:tcBorders>
              <w:top w:val="nil"/>
              <w:left w:val="nil"/>
              <w:bottom w:val="single" w:sz="4" w:space="0" w:color="auto"/>
              <w:right w:val="single" w:sz="4" w:space="0" w:color="auto"/>
            </w:tcBorders>
            <w:shd w:val="clear" w:color="auto" w:fill="auto"/>
            <w:noWrap/>
            <w:vAlign w:val="bottom"/>
            <w:hideMark/>
          </w:tcPr>
          <w:p w14:paraId="1DC89FC0"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 I S</w:t>
            </w:r>
          </w:p>
        </w:tc>
        <w:tc>
          <w:tcPr>
            <w:tcW w:w="1620" w:type="dxa"/>
            <w:tcBorders>
              <w:top w:val="nil"/>
              <w:left w:val="nil"/>
              <w:bottom w:val="single" w:sz="4" w:space="0" w:color="auto"/>
              <w:right w:val="single" w:sz="4" w:space="0" w:color="auto"/>
            </w:tcBorders>
            <w:shd w:val="clear" w:color="auto" w:fill="auto"/>
            <w:noWrap/>
            <w:vAlign w:val="bottom"/>
            <w:hideMark/>
          </w:tcPr>
          <w:p w14:paraId="34A55301"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623 634 119</w:t>
            </w:r>
          </w:p>
        </w:tc>
      </w:tr>
      <w:tr w:rsidR="00ED254C" w:rsidRPr="00B27F68" w14:paraId="32B15CCA"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DEB672D"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24</w:t>
            </w:r>
          </w:p>
        </w:tc>
        <w:tc>
          <w:tcPr>
            <w:tcW w:w="3140" w:type="dxa"/>
            <w:tcBorders>
              <w:top w:val="nil"/>
              <w:left w:val="nil"/>
              <w:bottom w:val="single" w:sz="4" w:space="0" w:color="auto"/>
              <w:right w:val="single" w:sz="4" w:space="0" w:color="auto"/>
            </w:tcBorders>
            <w:shd w:val="clear" w:color="auto" w:fill="auto"/>
            <w:noWrap/>
            <w:vAlign w:val="bottom"/>
            <w:hideMark/>
          </w:tcPr>
          <w:p w14:paraId="3AE1F660"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YEBOUE K Michel</w:t>
            </w:r>
          </w:p>
        </w:tc>
        <w:tc>
          <w:tcPr>
            <w:tcW w:w="2260" w:type="dxa"/>
            <w:tcBorders>
              <w:top w:val="nil"/>
              <w:left w:val="nil"/>
              <w:bottom w:val="single" w:sz="4" w:space="0" w:color="auto"/>
              <w:right w:val="single" w:sz="4" w:space="0" w:color="auto"/>
            </w:tcBorders>
            <w:shd w:val="clear" w:color="auto" w:fill="auto"/>
            <w:vAlign w:val="center"/>
            <w:hideMark/>
          </w:tcPr>
          <w:p w14:paraId="09B5903A"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OMS</w:t>
            </w:r>
          </w:p>
        </w:tc>
        <w:tc>
          <w:tcPr>
            <w:tcW w:w="2260" w:type="dxa"/>
            <w:tcBorders>
              <w:top w:val="nil"/>
              <w:left w:val="nil"/>
              <w:bottom w:val="single" w:sz="4" w:space="0" w:color="auto"/>
              <w:right w:val="single" w:sz="4" w:space="0" w:color="auto"/>
            </w:tcBorders>
            <w:shd w:val="clear" w:color="auto" w:fill="auto"/>
            <w:noWrap/>
            <w:vAlign w:val="bottom"/>
            <w:hideMark/>
          </w:tcPr>
          <w:p w14:paraId="156AC243"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Medecin</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3BAB38DD"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22 670 788 879</w:t>
            </w:r>
          </w:p>
        </w:tc>
      </w:tr>
      <w:tr w:rsidR="00ED254C" w:rsidRPr="00B27F68" w14:paraId="1190B57A"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9417771"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25</w:t>
            </w:r>
          </w:p>
        </w:tc>
        <w:tc>
          <w:tcPr>
            <w:tcW w:w="3140" w:type="dxa"/>
            <w:tcBorders>
              <w:top w:val="nil"/>
              <w:left w:val="nil"/>
              <w:bottom w:val="single" w:sz="4" w:space="0" w:color="auto"/>
              <w:right w:val="single" w:sz="4" w:space="0" w:color="auto"/>
            </w:tcBorders>
            <w:shd w:val="clear" w:color="auto" w:fill="auto"/>
            <w:noWrap/>
            <w:vAlign w:val="bottom"/>
            <w:hideMark/>
          </w:tcPr>
          <w:p w14:paraId="3F8FFD85"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Siriman CAMARA</w:t>
            </w:r>
          </w:p>
        </w:tc>
        <w:tc>
          <w:tcPr>
            <w:tcW w:w="2260" w:type="dxa"/>
            <w:tcBorders>
              <w:top w:val="nil"/>
              <w:left w:val="nil"/>
              <w:bottom w:val="single" w:sz="4" w:space="0" w:color="auto"/>
              <w:right w:val="single" w:sz="4" w:space="0" w:color="auto"/>
            </w:tcBorders>
            <w:shd w:val="clear" w:color="auto" w:fill="auto"/>
            <w:vAlign w:val="center"/>
            <w:hideMark/>
          </w:tcPr>
          <w:p w14:paraId="11FDBE7F"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OMS</w:t>
            </w:r>
          </w:p>
        </w:tc>
        <w:tc>
          <w:tcPr>
            <w:tcW w:w="2260" w:type="dxa"/>
            <w:tcBorders>
              <w:top w:val="nil"/>
              <w:left w:val="nil"/>
              <w:bottom w:val="single" w:sz="4" w:space="0" w:color="auto"/>
              <w:right w:val="single" w:sz="4" w:space="0" w:color="auto"/>
            </w:tcBorders>
            <w:shd w:val="clear" w:color="auto" w:fill="auto"/>
            <w:noWrap/>
            <w:vAlign w:val="bottom"/>
            <w:hideMark/>
          </w:tcPr>
          <w:p w14:paraId="4E81C62F"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A.T.M</w:t>
            </w:r>
          </w:p>
        </w:tc>
        <w:tc>
          <w:tcPr>
            <w:tcW w:w="1620" w:type="dxa"/>
            <w:tcBorders>
              <w:top w:val="nil"/>
              <w:left w:val="nil"/>
              <w:bottom w:val="single" w:sz="4" w:space="0" w:color="auto"/>
              <w:right w:val="single" w:sz="4" w:space="0" w:color="auto"/>
            </w:tcBorders>
            <w:shd w:val="clear" w:color="auto" w:fill="auto"/>
            <w:noWrap/>
            <w:vAlign w:val="bottom"/>
            <w:hideMark/>
          </w:tcPr>
          <w:p w14:paraId="639CCDD1"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622 816 283</w:t>
            </w:r>
          </w:p>
        </w:tc>
      </w:tr>
      <w:tr w:rsidR="00ED254C" w:rsidRPr="00B27F68" w14:paraId="69B9C1D4"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78EC808"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26</w:t>
            </w:r>
          </w:p>
        </w:tc>
        <w:tc>
          <w:tcPr>
            <w:tcW w:w="3140" w:type="dxa"/>
            <w:tcBorders>
              <w:top w:val="nil"/>
              <w:left w:val="nil"/>
              <w:bottom w:val="nil"/>
              <w:right w:val="single" w:sz="4" w:space="0" w:color="auto"/>
            </w:tcBorders>
            <w:shd w:val="clear" w:color="auto" w:fill="auto"/>
            <w:noWrap/>
            <w:vAlign w:val="bottom"/>
            <w:hideMark/>
          </w:tcPr>
          <w:p w14:paraId="3B9CDC62" w14:textId="77777777" w:rsidR="00ED254C" w:rsidRPr="00B27F68" w:rsidRDefault="00ED254C" w:rsidP="00EA15A3">
            <w:pPr>
              <w:rPr>
                <w:rFonts w:ascii="Calibri" w:hAnsi="Calibri"/>
                <w:color w:val="000000"/>
                <w:sz w:val="20"/>
                <w:szCs w:val="20"/>
              </w:rPr>
            </w:pPr>
            <w:proofErr w:type="gramStart"/>
            <w:r w:rsidRPr="00B27F68">
              <w:rPr>
                <w:rFonts w:ascii="Calibri" w:hAnsi="Calibri"/>
                <w:color w:val="000000"/>
                <w:sz w:val="20"/>
                <w:szCs w:val="20"/>
              </w:rPr>
              <w:t>jean</w:t>
            </w:r>
            <w:proofErr w:type="gramEnd"/>
            <w:r w:rsidRPr="00B27F68">
              <w:rPr>
                <w:rFonts w:ascii="Calibri" w:hAnsi="Calibri"/>
                <w:color w:val="000000"/>
                <w:sz w:val="20"/>
                <w:szCs w:val="20"/>
              </w:rPr>
              <w:t xml:space="preserve"> </w:t>
            </w:r>
            <w:proofErr w:type="spellStart"/>
            <w:r w:rsidRPr="00B27F68">
              <w:rPr>
                <w:rFonts w:ascii="Calibri" w:hAnsi="Calibri"/>
                <w:color w:val="000000"/>
                <w:sz w:val="20"/>
                <w:szCs w:val="20"/>
              </w:rPr>
              <w:t>Clement</w:t>
            </w:r>
            <w:proofErr w:type="spellEnd"/>
            <w:r w:rsidRPr="00B27F68">
              <w:rPr>
                <w:rFonts w:ascii="Calibri" w:hAnsi="Calibri"/>
                <w:color w:val="000000"/>
                <w:sz w:val="20"/>
                <w:szCs w:val="20"/>
              </w:rPr>
              <w:t xml:space="preserve"> SIBO</w:t>
            </w:r>
          </w:p>
        </w:tc>
        <w:tc>
          <w:tcPr>
            <w:tcW w:w="2260" w:type="dxa"/>
            <w:tcBorders>
              <w:top w:val="nil"/>
              <w:left w:val="nil"/>
              <w:bottom w:val="nil"/>
              <w:right w:val="single" w:sz="4" w:space="0" w:color="auto"/>
            </w:tcBorders>
            <w:shd w:val="clear" w:color="auto" w:fill="auto"/>
            <w:vAlign w:val="center"/>
            <w:hideMark/>
          </w:tcPr>
          <w:p w14:paraId="0BBF70A6"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MSF</w:t>
            </w:r>
          </w:p>
        </w:tc>
        <w:tc>
          <w:tcPr>
            <w:tcW w:w="2260" w:type="dxa"/>
            <w:tcBorders>
              <w:top w:val="nil"/>
              <w:left w:val="nil"/>
              <w:bottom w:val="nil"/>
              <w:right w:val="single" w:sz="4" w:space="0" w:color="auto"/>
            </w:tcBorders>
            <w:shd w:val="clear" w:color="auto" w:fill="auto"/>
            <w:noWrap/>
            <w:vAlign w:val="bottom"/>
            <w:hideMark/>
          </w:tcPr>
          <w:p w14:paraId="4A514A00"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Ref</w:t>
            </w:r>
            <w:proofErr w:type="spellEnd"/>
            <w:r w:rsidRPr="00B27F68">
              <w:rPr>
                <w:rFonts w:ascii="Calibri" w:hAnsi="Calibri"/>
                <w:color w:val="000000"/>
                <w:sz w:val="20"/>
                <w:szCs w:val="20"/>
              </w:rPr>
              <w:t xml:space="preserve"> Med Projet</w:t>
            </w:r>
          </w:p>
        </w:tc>
        <w:tc>
          <w:tcPr>
            <w:tcW w:w="1620" w:type="dxa"/>
            <w:tcBorders>
              <w:top w:val="nil"/>
              <w:left w:val="nil"/>
              <w:bottom w:val="nil"/>
              <w:right w:val="single" w:sz="4" w:space="0" w:color="auto"/>
            </w:tcBorders>
            <w:shd w:val="clear" w:color="auto" w:fill="auto"/>
            <w:noWrap/>
            <w:vAlign w:val="bottom"/>
            <w:hideMark/>
          </w:tcPr>
          <w:p w14:paraId="2B90B698"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656 555 008</w:t>
            </w:r>
          </w:p>
        </w:tc>
      </w:tr>
      <w:tr w:rsidR="00ED254C" w:rsidRPr="00B27F68" w14:paraId="6AFDA67F"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64DCF57"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27</w:t>
            </w:r>
          </w:p>
        </w:tc>
        <w:tc>
          <w:tcPr>
            <w:tcW w:w="3140" w:type="dxa"/>
            <w:tcBorders>
              <w:top w:val="single" w:sz="4" w:space="0" w:color="auto"/>
              <w:left w:val="nil"/>
              <w:bottom w:val="single" w:sz="4" w:space="0" w:color="auto"/>
              <w:right w:val="single" w:sz="4" w:space="0" w:color="auto"/>
            </w:tcBorders>
            <w:shd w:val="clear" w:color="auto" w:fill="auto"/>
            <w:noWrap/>
            <w:vAlign w:val="bottom"/>
            <w:hideMark/>
          </w:tcPr>
          <w:p w14:paraId="4217F09B"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Marcos TAMARIZ</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2B764666"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MSF-B</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73777398"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Resp</w:t>
            </w:r>
            <w:proofErr w:type="spellEnd"/>
            <w:r w:rsidRPr="00B27F68">
              <w:rPr>
                <w:rFonts w:ascii="Calibri" w:hAnsi="Calibri"/>
                <w:color w:val="000000"/>
                <w:sz w:val="20"/>
                <w:szCs w:val="20"/>
              </w:rPr>
              <w:t xml:space="preserve"> Plaidoyer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89A856E"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656 555 300</w:t>
            </w:r>
          </w:p>
        </w:tc>
      </w:tr>
      <w:tr w:rsidR="00ED254C" w:rsidRPr="00B27F68" w14:paraId="5B8E9062"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FE958AA"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28</w:t>
            </w:r>
          </w:p>
        </w:tc>
        <w:tc>
          <w:tcPr>
            <w:tcW w:w="3140" w:type="dxa"/>
            <w:tcBorders>
              <w:top w:val="nil"/>
              <w:left w:val="nil"/>
              <w:bottom w:val="single" w:sz="4" w:space="0" w:color="auto"/>
              <w:right w:val="single" w:sz="4" w:space="0" w:color="auto"/>
            </w:tcBorders>
            <w:shd w:val="clear" w:color="auto" w:fill="auto"/>
            <w:noWrap/>
            <w:vAlign w:val="bottom"/>
            <w:hideMark/>
          </w:tcPr>
          <w:p w14:paraId="55FB356B"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Mamey CONTE</w:t>
            </w:r>
          </w:p>
        </w:tc>
        <w:tc>
          <w:tcPr>
            <w:tcW w:w="2260" w:type="dxa"/>
            <w:tcBorders>
              <w:top w:val="nil"/>
              <w:left w:val="nil"/>
              <w:bottom w:val="single" w:sz="4" w:space="0" w:color="auto"/>
              <w:right w:val="single" w:sz="4" w:space="0" w:color="auto"/>
            </w:tcBorders>
            <w:shd w:val="clear" w:color="auto" w:fill="auto"/>
            <w:vAlign w:val="center"/>
            <w:hideMark/>
          </w:tcPr>
          <w:p w14:paraId="213D2489" w14:textId="6681FE7C" w:rsidR="00ED254C" w:rsidRPr="00B27F68" w:rsidRDefault="006B057F" w:rsidP="00EA15A3">
            <w:pPr>
              <w:rPr>
                <w:rFonts w:ascii="Calibri" w:hAnsi="Calibri"/>
                <w:bCs/>
                <w:color w:val="000000"/>
                <w:sz w:val="20"/>
                <w:szCs w:val="20"/>
              </w:rPr>
            </w:pPr>
            <w:r>
              <w:rPr>
                <w:rFonts w:ascii="Calibri" w:hAnsi="Calibri"/>
                <w:bCs/>
                <w:color w:val="000000"/>
                <w:sz w:val="20"/>
                <w:szCs w:val="20"/>
              </w:rPr>
              <w:t>PNLSH</w:t>
            </w:r>
          </w:p>
        </w:tc>
        <w:tc>
          <w:tcPr>
            <w:tcW w:w="2260" w:type="dxa"/>
            <w:tcBorders>
              <w:top w:val="nil"/>
              <w:left w:val="nil"/>
              <w:bottom w:val="single" w:sz="4" w:space="0" w:color="auto"/>
              <w:right w:val="single" w:sz="4" w:space="0" w:color="auto"/>
            </w:tcBorders>
            <w:shd w:val="clear" w:color="auto" w:fill="auto"/>
            <w:noWrap/>
            <w:vAlign w:val="bottom"/>
            <w:hideMark/>
          </w:tcPr>
          <w:p w14:paraId="41AF6D5E"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Chef unité IEC/CCC</w:t>
            </w:r>
          </w:p>
        </w:tc>
        <w:tc>
          <w:tcPr>
            <w:tcW w:w="1620" w:type="dxa"/>
            <w:tcBorders>
              <w:top w:val="nil"/>
              <w:left w:val="nil"/>
              <w:bottom w:val="single" w:sz="4" w:space="0" w:color="auto"/>
              <w:right w:val="single" w:sz="4" w:space="0" w:color="auto"/>
            </w:tcBorders>
            <w:shd w:val="clear" w:color="auto" w:fill="auto"/>
            <w:noWrap/>
            <w:vAlign w:val="bottom"/>
            <w:hideMark/>
          </w:tcPr>
          <w:p w14:paraId="02038193"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624 196 295</w:t>
            </w:r>
          </w:p>
        </w:tc>
      </w:tr>
      <w:tr w:rsidR="00ED254C" w:rsidRPr="00B27F68" w14:paraId="0AD8A3E0"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745F159"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29</w:t>
            </w:r>
          </w:p>
        </w:tc>
        <w:tc>
          <w:tcPr>
            <w:tcW w:w="3140" w:type="dxa"/>
            <w:tcBorders>
              <w:top w:val="nil"/>
              <w:left w:val="nil"/>
              <w:bottom w:val="single" w:sz="4" w:space="0" w:color="auto"/>
              <w:right w:val="single" w:sz="4" w:space="0" w:color="auto"/>
            </w:tcBorders>
            <w:shd w:val="clear" w:color="auto" w:fill="auto"/>
            <w:noWrap/>
            <w:vAlign w:val="bottom"/>
            <w:hideMark/>
          </w:tcPr>
          <w:p w14:paraId="2148A379"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Youssouf KOITA</w:t>
            </w:r>
          </w:p>
        </w:tc>
        <w:tc>
          <w:tcPr>
            <w:tcW w:w="2260" w:type="dxa"/>
            <w:tcBorders>
              <w:top w:val="nil"/>
              <w:left w:val="nil"/>
              <w:bottom w:val="single" w:sz="4" w:space="0" w:color="auto"/>
              <w:right w:val="single" w:sz="4" w:space="0" w:color="auto"/>
            </w:tcBorders>
            <w:shd w:val="clear" w:color="auto" w:fill="auto"/>
            <w:vAlign w:val="center"/>
            <w:hideMark/>
          </w:tcPr>
          <w:p w14:paraId="7AB41F03" w14:textId="1A4C9088"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PN</w:t>
            </w:r>
            <w:r w:rsidR="006B057F">
              <w:rPr>
                <w:rFonts w:ascii="Calibri" w:hAnsi="Calibri"/>
                <w:bCs/>
                <w:color w:val="000000"/>
                <w:sz w:val="20"/>
                <w:szCs w:val="20"/>
              </w:rPr>
              <w:t>LSH</w:t>
            </w:r>
          </w:p>
        </w:tc>
        <w:tc>
          <w:tcPr>
            <w:tcW w:w="2260" w:type="dxa"/>
            <w:tcBorders>
              <w:top w:val="nil"/>
              <w:left w:val="nil"/>
              <w:bottom w:val="single" w:sz="4" w:space="0" w:color="auto"/>
              <w:right w:val="single" w:sz="4" w:space="0" w:color="auto"/>
            </w:tcBorders>
            <w:shd w:val="clear" w:color="auto" w:fill="auto"/>
            <w:noWrap/>
            <w:vAlign w:val="bottom"/>
            <w:hideMark/>
          </w:tcPr>
          <w:p w14:paraId="6B16AFEC"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Coordonateur</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6067D80F"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628 534 102</w:t>
            </w:r>
          </w:p>
        </w:tc>
      </w:tr>
      <w:tr w:rsidR="00ED254C" w:rsidRPr="00B27F68" w14:paraId="60917EC7"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413757C"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30</w:t>
            </w:r>
          </w:p>
        </w:tc>
        <w:tc>
          <w:tcPr>
            <w:tcW w:w="3140" w:type="dxa"/>
            <w:tcBorders>
              <w:top w:val="nil"/>
              <w:left w:val="nil"/>
              <w:bottom w:val="single" w:sz="4" w:space="0" w:color="auto"/>
              <w:right w:val="single" w:sz="4" w:space="0" w:color="auto"/>
            </w:tcBorders>
            <w:shd w:val="clear" w:color="auto" w:fill="auto"/>
            <w:noWrap/>
            <w:vAlign w:val="bottom"/>
            <w:hideMark/>
          </w:tcPr>
          <w:p w14:paraId="698ED6DC"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Hadja Fatoumata Binta DIALLO</w:t>
            </w:r>
          </w:p>
        </w:tc>
        <w:tc>
          <w:tcPr>
            <w:tcW w:w="2260" w:type="dxa"/>
            <w:tcBorders>
              <w:top w:val="nil"/>
              <w:left w:val="nil"/>
              <w:bottom w:val="single" w:sz="4" w:space="0" w:color="auto"/>
              <w:right w:val="single" w:sz="4" w:space="0" w:color="auto"/>
            </w:tcBorders>
            <w:shd w:val="clear" w:color="auto" w:fill="auto"/>
            <w:vAlign w:val="center"/>
            <w:hideMark/>
          </w:tcPr>
          <w:p w14:paraId="27D59455"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REGAP+</w:t>
            </w:r>
          </w:p>
        </w:tc>
        <w:tc>
          <w:tcPr>
            <w:tcW w:w="2260" w:type="dxa"/>
            <w:tcBorders>
              <w:top w:val="nil"/>
              <w:left w:val="nil"/>
              <w:bottom w:val="single" w:sz="4" w:space="0" w:color="auto"/>
              <w:right w:val="single" w:sz="4" w:space="0" w:color="auto"/>
            </w:tcBorders>
            <w:shd w:val="clear" w:color="auto" w:fill="auto"/>
            <w:noWrap/>
            <w:vAlign w:val="bottom"/>
            <w:hideMark/>
          </w:tcPr>
          <w:p w14:paraId="47A8559F"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Présidente</w:t>
            </w:r>
          </w:p>
        </w:tc>
        <w:tc>
          <w:tcPr>
            <w:tcW w:w="1620" w:type="dxa"/>
            <w:tcBorders>
              <w:top w:val="nil"/>
              <w:left w:val="nil"/>
              <w:bottom w:val="single" w:sz="4" w:space="0" w:color="auto"/>
              <w:right w:val="single" w:sz="4" w:space="0" w:color="auto"/>
            </w:tcBorders>
            <w:shd w:val="clear" w:color="auto" w:fill="auto"/>
            <w:noWrap/>
            <w:vAlign w:val="bottom"/>
            <w:hideMark/>
          </w:tcPr>
          <w:p w14:paraId="1FE99F50"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622 260 946</w:t>
            </w:r>
          </w:p>
        </w:tc>
      </w:tr>
      <w:tr w:rsidR="00ED254C" w:rsidRPr="00B27F68" w14:paraId="64C4E7C2"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8B97368"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31</w:t>
            </w:r>
          </w:p>
        </w:tc>
        <w:tc>
          <w:tcPr>
            <w:tcW w:w="3140" w:type="dxa"/>
            <w:tcBorders>
              <w:top w:val="nil"/>
              <w:left w:val="nil"/>
              <w:bottom w:val="single" w:sz="4" w:space="0" w:color="auto"/>
              <w:right w:val="single" w:sz="4" w:space="0" w:color="auto"/>
            </w:tcBorders>
            <w:shd w:val="clear" w:color="auto" w:fill="auto"/>
            <w:noWrap/>
            <w:vAlign w:val="bottom"/>
            <w:hideMark/>
          </w:tcPr>
          <w:p w14:paraId="0D8D31D4"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Sidy DIALLO</w:t>
            </w:r>
          </w:p>
        </w:tc>
        <w:tc>
          <w:tcPr>
            <w:tcW w:w="2260" w:type="dxa"/>
            <w:tcBorders>
              <w:top w:val="nil"/>
              <w:left w:val="nil"/>
              <w:bottom w:val="single" w:sz="4" w:space="0" w:color="auto"/>
              <w:right w:val="single" w:sz="4" w:space="0" w:color="auto"/>
            </w:tcBorders>
            <w:shd w:val="clear" w:color="auto" w:fill="auto"/>
            <w:vAlign w:val="center"/>
            <w:hideMark/>
          </w:tcPr>
          <w:p w14:paraId="7CBD4BB5"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FMG</w:t>
            </w:r>
          </w:p>
        </w:tc>
        <w:tc>
          <w:tcPr>
            <w:tcW w:w="2260" w:type="dxa"/>
            <w:tcBorders>
              <w:top w:val="nil"/>
              <w:left w:val="nil"/>
              <w:bottom w:val="single" w:sz="4" w:space="0" w:color="auto"/>
              <w:right w:val="single" w:sz="4" w:space="0" w:color="auto"/>
            </w:tcBorders>
            <w:shd w:val="clear" w:color="auto" w:fill="auto"/>
            <w:noWrap/>
            <w:vAlign w:val="bottom"/>
            <w:hideMark/>
          </w:tcPr>
          <w:p w14:paraId="050E59B7"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Chargé des ARV</w:t>
            </w:r>
          </w:p>
        </w:tc>
        <w:tc>
          <w:tcPr>
            <w:tcW w:w="1620" w:type="dxa"/>
            <w:tcBorders>
              <w:top w:val="nil"/>
              <w:left w:val="nil"/>
              <w:bottom w:val="single" w:sz="4" w:space="0" w:color="auto"/>
              <w:right w:val="single" w:sz="4" w:space="0" w:color="auto"/>
            </w:tcBorders>
            <w:shd w:val="clear" w:color="auto" w:fill="auto"/>
            <w:noWrap/>
            <w:vAlign w:val="bottom"/>
            <w:hideMark/>
          </w:tcPr>
          <w:p w14:paraId="129477CE"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624 196 210</w:t>
            </w:r>
          </w:p>
        </w:tc>
      </w:tr>
      <w:tr w:rsidR="00ED254C" w:rsidRPr="00B27F68" w14:paraId="12A1ABFD"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0FBFA14"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32</w:t>
            </w:r>
          </w:p>
        </w:tc>
        <w:tc>
          <w:tcPr>
            <w:tcW w:w="3140" w:type="dxa"/>
            <w:tcBorders>
              <w:top w:val="nil"/>
              <w:left w:val="nil"/>
              <w:bottom w:val="single" w:sz="4" w:space="0" w:color="auto"/>
              <w:right w:val="single" w:sz="4" w:space="0" w:color="auto"/>
            </w:tcBorders>
            <w:shd w:val="clear" w:color="auto" w:fill="auto"/>
            <w:noWrap/>
            <w:vAlign w:val="bottom"/>
            <w:hideMark/>
          </w:tcPr>
          <w:p w14:paraId="0DB5D418"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Mamadou GARCK</w:t>
            </w:r>
          </w:p>
        </w:tc>
        <w:tc>
          <w:tcPr>
            <w:tcW w:w="2260" w:type="dxa"/>
            <w:tcBorders>
              <w:top w:val="nil"/>
              <w:left w:val="nil"/>
              <w:bottom w:val="single" w:sz="4" w:space="0" w:color="auto"/>
              <w:right w:val="single" w:sz="4" w:space="0" w:color="auto"/>
            </w:tcBorders>
            <w:shd w:val="clear" w:color="auto" w:fill="auto"/>
            <w:vAlign w:val="center"/>
            <w:hideMark/>
          </w:tcPr>
          <w:p w14:paraId="139655E4"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AAECG</w:t>
            </w:r>
          </w:p>
        </w:tc>
        <w:tc>
          <w:tcPr>
            <w:tcW w:w="2260" w:type="dxa"/>
            <w:tcBorders>
              <w:top w:val="nil"/>
              <w:left w:val="nil"/>
              <w:bottom w:val="single" w:sz="4" w:space="0" w:color="auto"/>
              <w:right w:val="single" w:sz="4" w:space="0" w:color="auto"/>
            </w:tcBorders>
            <w:shd w:val="clear" w:color="auto" w:fill="auto"/>
            <w:noWrap/>
            <w:vAlign w:val="bottom"/>
            <w:hideMark/>
          </w:tcPr>
          <w:p w14:paraId="0969D603"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Coordinateur</w:t>
            </w:r>
          </w:p>
        </w:tc>
        <w:tc>
          <w:tcPr>
            <w:tcW w:w="1620" w:type="dxa"/>
            <w:tcBorders>
              <w:top w:val="nil"/>
              <w:left w:val="nil"/>
              <w:bottom w:val="single" w:sz="4" w:space="0" w:color="auto"/>
              <w:right w:val="single" w:sz="4" w:space="0" w:color="auto"/>
            </w:tcBorders>
            <w:shd w:val="clear" w:color="auto" w:fill="auto"/>
            <w:noWrap/>
            <w:vAlign w:val="bottom"/>
            <w:hideMark/>
          </w:tcPr>
          <w:p w14:paraId="3C43DDD3"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620 798 617</w:t>
            </w:r>
          </w:p>
        </w:tc>
      </w:tr>
      <w:tr w:rsidR="00ED254C" w:rsidRPr="00B27F68" w14:paraId="5D07E138"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F4FD58F"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33</w:t>
            </w:r>
          </w:p>
        </w:tc>
        <w:tc>
          <w:tcPr>
            <w:tcW w:w="3140" w:type="dxa"/>
            <w:tcBorders>
              <w:top w:val="nil"/>
              <w:left w:val="nil"/>
              <w:bottom w:val="single" w:sz="4" w:space="0" w:color="auto"/>
              <w:right w:val="single" w:sz="4" w:space="0" w:color="auto"/>
            </w:tcBorders>
            <w:shd w:val="clear" w:color="auto" w:fill="auto"/>
            <w:noWrap/>
            <w:vAlign w:val="bottom"/>
            <w:hideMark/>
          </w:tcPr>
          <w:p w14:paraId="14C0C830"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Diallo Fatoumata</w:t>
            </w:r>
          </w:p>
        </w:tc>
        <w:tc>
          <w:tcPr>
            <w:tcW w:w="2260" w:type="dxa"/>
            <w:tcBorders>
              <w:top w:val="nil"/>
              <w:left w:val="nil"/>
              <w:bottom w:val="single" w:sz="4" w:space="0" w:color="auto"/>
              <w:right w:val="single" w:sz="4" w:space="0" w:color="auto"/>
            </w:tcBorders>
            <w:shd w:val="clear" w:color="auto" w:fill="auto"/>
            <w:vAlign w:val="center"/>
            <w:hideMark/>
          </w:tcPr>
          <w:p w14:paraId="42CC88DE"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AJFDG</w:t>
            </w:r>
          </w:p>
        </w:tc>
        <w:tc>
          <w:tcPr>
            <w:tcW w:w="2260" w:type="dxa"/>
            <w:tcBorders>
              <w:top w:val="nil"/>
              <w:left w:val="nil"/>
              <w:bottom w:val="single" w:sz="4" w:space="0" w:color="auto"/>
              <w:right w:val="single" w:sz="4" w:space="0" w:color="auto"/>
            </w:tcBorders>
            <w:shd w:val="clear" w:color="auto" w:fill="auto"/>
            <w:noWrap/>
            <w:vAlign w:val="bottom"/>
            <w:hideMark/>
          </w:tcPr>
          <w:p w14:paraId="3BAB85AA"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Membre</w:t>
            </w:r>
          </w:p>
        </w:tc>
        <w:tc>
          <w:tcPr>
            <w:tcW w:w="1620" w:type="dxa"/>
            <w:tcBorders>
              <w:top w:val="nil"/>
              <w:left w:val="nil"/>
              <w:bottom w:val="single" w:sz="4" w:space="0" w:color="auto"/>
              <w:right w:val="single" w:sz="4" w:space="0" w:color="auto"/>
            </w:tcBorders>
            <w:shd w:val="clear" w:color="auto" w:fill="auto"/>
            <w:noWrap/>
            <w:vAlign w:val="bottom"/>
            <w:hideMark/>
          </w:tcPr>
          <w:p w14:paraId="3E339C81"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622 674 234</w:t>
            </w:r>
          </w:p>
        </w:tc>
      </w:tr>
      <w:tr w:rsidR="00ED254C" w:rsidRPr="00B27F68" w14:paraId="06DAF144" w14:textId="77777777" w:rsidTr="00EA15A3">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25811D0"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34</w:t>
            </w:r>
          </w:p>
        </w:tc>
        <w:tc>
          <w:tcPr>
            <w:tcW w:w="3140" w:type="dxa"/>
            <w:tcBorders>
              <w:top w:val="nil"/>
              <w:left w:val="nil"/>
              <w:bottom w:val="double" w:sz="6" w:space="0" w:color="auto"/>
              <w:right w:val="single" w:sz="4" w:space="0" w:color="auto"/>
            </w:tcBorders>
            <w:shd w:val="clear" w:color="auto" w:fill="auto"/>
            <w:noWrap/>
            <w:vAlign w:val="bottom"/>
            <w:hideMark/>
          </w:tcPr>
          <w:p w14:paraId="57B024B0"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Aboubacar SAVANE</w:t>
            </w:r>
          </w:p>
        </w:tc>
        <w:tc>
          <w:tcPr>
            <w:tcW w:w="2260" w:type="dxa"/>
            <w:tcBorders>
              <w:top w:val="nil"/>
              <w:left w:val="nil"/>
              <w:bottom w:val="double" w:sz="6" w:space="0" w:color="auto"/>
              <w:right w:val="single" w:sz="4" w:space="0" w:color="auto"/>
            </w:tcBorders>
            <w:shd w:val="clear" w:color="auto" w:fill="auto"/>
            <w:vAlign w:val="center"/>
            <w:hideMark/>
          </w:tcPr>
          <w:p w14:paraId="1B7C62C2"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Labo National</w:t>
            </w:r>
          </w:p>
        </w:tc>
        <w:tc>
          <w:tcPr>
            <w:tcW w:w="2260" w:type="dxa"/>
            <w:tcBorders>
              <w:top w:val="nil"/>
              <w:left w:val="nil"/>
              <w:bottom w:val="double" w:sz="6" w:space="0" w:color="auto"/>
              <w:right w:val="single" w:sz="4" w:space="0" w:color="auto"/>
            </w:tcBorders>
            <w:shd w:val="clear" w:color="auto" w:fill="auto"/>
            <w:noWrap/>
            <w:vAlign w:val="bottom"/>
            <w:hideMark/>
          </w:tcPr>
          <w:p w14:paraId="0DE578C2"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Chef Labo</w:t>
            </w:r>
          </w:p>
        </w:tc>
        <w:tc>
          <w:tcPr>
            <w:tcW w:w="1620" w:type="dxa"/>
            <w:tcBorders>
              <w:top w:val="nil"/>
              <w:left w:val="nil"/>
              <w:bottom w:val="double" w:sz="6" w:space="0" w:color="auto"/>
              <w:right w:val="single" w:sz="4" w:space="0" w:color="auto"/>
            </w:tcBorders>
            <w:shd w:val="clear" w:color="auto" w:fill="auto"/>
            <w:noWrap/>
            <w:vAlign w:val="bottom"/>
            <w:hideMark/>
          </w:tcPr>
          <w:p w14:paraId="37565A82"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622 396 761</w:t>
            </w:r>
          </w:p>
        </w:tc>
      </w:tr>
      <w:tr w:rsidR="00ED254C" w:rsidRPr="00B27F68" w14:paraId="1C331BF6" w14:textId="77777777" w:rsidTr="00EA15A3">
        <w:trPr>
          <w:trHeight w:val="315"/>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8666E7C"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35</w:t>
            </w:r>
          </w:p>
        </w:tc>
        <w:tc>
          <w:tcPr>
            <w:tcW w:w="3140" w:type="dxa"/>
            <w:tcBorders>
              <w:top w:val="single" w:sz="4" w:space="0" w:color="auto"/>
              <w:left w:val="nil"/>
              <w:bottom w:val="single" w:sz="4" w:space="0" w:color="auto"/>
              <w:right w:val="single" w:sz="4" w:space="0" w:color="auto"/>
            </w:tcBorders>
            <w:shd w:val="clear" w:color="auto" w:fill="auto"/>
            <w:noWrap/>
            <w:vAlign w:val="bottom"/>
            <w:hideMark/>
          </w:tcPr>
          <w:p w14:paraId="2CA9480A"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 xml:space="preserve">Dr </w:t>
            </w:r>
            <w:proofErr w:type="spellStart"/>
            <w:r w:rsidRPr="00B27F68">
              <w:rPr>
                <w:rFonts w:ascii="Calibri" w:hAnsi="Calibri"/>
                <w:color w:val="000000"/>
                <w:sz w:val="20"/>
                <w:szCs w:val="20"/>
              </w:rPr>
              <w:t>Mafaudia</w:t>
            </w:r>
            <w:proofErr w:type="spellEnd"/>
            <w:r w:rsidRPr="00B27F68">
              <w:rPr>
                <w:rFonts w:ascii="Calibri" w:hAnsi="Calibri"/>
                <w:color w:val="000000"/>
                <w:sz w:val="20"/>
                <w:szCs w:val="20"/>
              </w:rPr>
              <w:t xml:space="preserve"> TOURE</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753D7BED" w14:textId="77777777" w:rsidR="00ED254C" w:rsidRPr="00B27F68" w:rsidRDefault="00ED254C" w:rsidP="00EA15A3">
            <w:pPr>
              <w:rPr>
                <w:rFonts w:ascii="Calibri" w:hAnsi="Calibri"/>
                <w:bCs/>
                <w:color w:val="000000"/>
                <w:sz w:val="20"/>
                <w:szCs w:val="20"/>
              </w:rPr>
            </w:pPr>
            <w:proofErr w:type="spellStart"/>
            <w:r w:rsidRPr="00B27F68">
              <w:rPr>
                <w:rFonts w:ascii="Calibri" w:hAnsi="Calibri"/>
                <w:bCs/>
                <w:color w:val="000000"/>
                <w:sz w:val="20"/>
                <w:szCs w:val="20"/>
              </w:rPr>
              <w:t>Pediat</w:t>
            </w:r>
            <w:proofErr w:type="spellEnd"/>
            <w:r w:rsidRPr="00B27F68">
              <w:rPr>
                <w:rFonts w:ascii="Calibri" w:hAnsi="Calibri"/>
                <w:bCs/>
                <w:color w:val="000000"/>
                <w:sz w:val="20"/>
                <w:szCs w:val="20"/>
              </w:rPr>
              <w:t xml:space="preserve"> DONKA</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52C81A33"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Pediatre</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1A1EDF8"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621 168 051</w:t>
            </w:r>
          </w:p>
        </w:tc>
      </w:tr>
      <w:tr w:rsidR="00ED254C" w:rsidRPr="00B27F68" w14:paraId="30704994"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FC4702D"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36</w:t>
            </w:r>
          </w:p>
        </w:tc>
        <w:tc>
          <w:tcPr>
            <w:tcW w:w="3140" w:type="dxa"/>
            <w:tcBorders>
              <w:top w:val="nil"/>
              <w:left w:val="nil"/>
              <w:bottom w:val="single" w:sz="4" w:space="0" w:color="auto"/>
              <w:right w:val="single" w:sz="4" w:space="0" w:color="auto"/>
            </w:tcBorders>
            <w:shd w:val="clear" w:color="auto" w:fill="auto"/>
            <w:noWrap/>
            <w:vAlign w:val="bottom"/>
            <w:hideMark/>
          </w:tcPr>
          <w:p w14:paraId="5E1056F2"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 xml:space="preserve">Mamadou </w:t>
            </w:r>
            <w:proofErr w:type="spellStart"/>
            <w:r w:rsidRPr="00B27F68">
              <w:rPr>
                <w:rFonts w:ascii="Calibri" w:hAnsi="Calibri"/>
                <w:color w:val="000000"/>
                <w:sz w:val="20"/>
                <w:szCs w:val="20"/>
              </w:rPr>
              <w:t>saidou</w:t>
            </w:r>
            <w:proofErr w:type="spellEnd"/>
            <w:r w:rsidRPr="00B27F68">
              <w:rPr>
                <w:rFonts w:ascii="Calibri" w:hAnsi="Calibri"/>
                <w:color w:val="000000"/>
                <w:sz w:val="20"/>
                <w:szCs w:val="20"/>
              </w:rPr>
              <w:t xml:space="preserve"> DIALLO</w:t>
            </w:r>
          </w:p>
        </w:tc>
        <w:tc>
          <w:tcPr>
            <w:tcW w:w="2260" w:type="dxa"/>
            <w:tcBorders>
              <w:top w:val="nil"/>
              <w:left w:val="nil"/>
              <w:bottom w:val="single" w:sz="4" w:space="0" w:color="auto"/>
              <w:right w:val="single" w:sz="4" w:space="0" w:color="auto"/>
            </w:tcBorders>
            <w:shd w:val="clear" w:color="auto" w:fill="auto"/>
            <w:vAlign w:val="center"/>
            <w:hideMark/>
          </w:tcPr>
          <w:p w14:paraId="33E471A2"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CNTS</w:t>
            </w:r>
          </w:p>
        </w:tc>
        <w:tc>
          <w:tcPr>
            <w:tcW w:w="2260" w:type="dxa"/>
            <w:tcBorders>
              <w:top w:val="nil"/>
              <w:left w:val="nil"/>
              <w:bottom w:val="single" w:sz="4" w:space="0" w:color="auto"/>
              <w:right w:val="single" w:sz="4" w:space="0" w:color="auto"/>
            </w:tcBorders>
            <w:shd w:val="clear" w:color="auto" w:fill="auto"/>
            <w:noWrap/>
            <w:vAlign w:val="bottom"/>
            <w:hideMark/>
          </w:tcPr>
          <w:p w14:paraId="5DE82705"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Chef S/</w:t>
            </w:r>
            <w:proofErr w:type="spellStart"/>
            <w:r w:rsidRPr="00B27F68">
              <w:rPr>
                <w:rFonts w:ascii="Calibri" w:hAnsi="Calibri"/>
                <w:color w:val="000000"/>
                <w:sz w:val="20"/>
                <w:szCs w:val="20"/>
              </w:rPr>
              <w:t>Prelevement</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2E2DDC7C"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622 421 463</w:t>
            </w:r>
          </w:p>
        </w:tc>
      </w:tr>
      <w:tr w:rsidR="00ED254C" w:rsidRPr="00B27F68" w14:paraId="3CD9F4CF"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EC38602"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37</w:t>
            </w:r>
          </w:p>
        </w:tc>
        <w:tc>
          <w:tcPr>
            <w:tcW w:w="3140" w:type="dxa"/>
            <w:tcBorders>
              <w:top w:val="nil"/>
              <w:left w:val="nil"/>
              <w:bottom w:val="single" w:sz="4" w:space="0" w:color="auto"/>
              <w:right w:val="single" w:sz="4" w:space="0" w:color="auto"/>
            </w:tcBorders>
            <w:shd w:val="clear" w:color="auto" w:fill="auto"/>
            <w:noWrap/>
            <w:vAlign w:val="bottom"/>
            <w:hideMark/>
          </w:tcPr>
          <w:p w14:paraId="0DF8F35D"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Mariama ciré KOUYATE</w:t>
            </w:r>
          </w:p>
        </w:tc>
        <w:tc>
          <w:tcPr>
            <w:tcW w:w="2260" w:type="dxa"/>
            <w:tcBorders>
              <w:top w:val="nil"/>
              <w:left w:val="nil"/>
              <w:bottom w:val="single" w:sz="4" w:space="0" w:color="auto"/>
              <w:right w:val="single" w:sz="4" w:space="0" w:color="auto"/>
            </w:tcBorders>
            <w:shd w:val="clear" w:color="auto" w:fill="auto"/>
            <w:vAlign w:val="center"/>
            <w:hideMark/>
          </w:tcPr>
          <w:p w14:paraId="229CFB32" w14:textId="77777777" w:rsidR="00ED254C" w:rsidRPr="00B27F68" w:rsidRDefault="00ED254C" w:rsidP="00EA15A3">
            <w:pPr>
              <w:jc w:val="both"/>
              <w:rPr>
                <w:rFonts w:ascii="Calibri" w:hAnsi="Calibri"/>
                <w:bCs/>
                <w:color w:val="000000"/>
                <w:sz w:val="20"/>
                <w:szCs w:val="20"/>
              </w:rPr>
            </w:pPr>
            <w:r w:rsidRPr="00B27F68">
              <w:rPr>
                <w:rFonts w:ascii="Calibri" w:hAnsi="Calibri"/>
                <w:bCs/>
                <w:color w:val="000000"/>
                <w:sz w:val="20"/>
                <w:szCs w:val="20"/>
              </w:rPr>
              <w:t>ASFEGMASSI</w:t>
            </w:r>
          </w:p>
        </w:tc>
        <w:tc>
          <w:tcPr>
            <w:tcW w:w="2260" w:type="dxa"/>
            <w:tcBorders>
              <w:top w:val="nil"/>
              <w:left w:val="nil"/>
              <w:bottom w:val="single" w:sz="4" w:space="0" w:color="auto"/>
              <w:right w:val="single" w:sz="4" w:space="0" w:color="auto"/>
            </w:tcBorders>
            <w:shd w:val="clear" w:color="auto" w:fill="auto"/>
            <w:noWrap/>
            <w:vAlign w:val="bottom"/>
            <w:hideMark/>
          </w:tcPr>
          <w:p w14:paraId="7B5D80C8"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Rep PEC</w:t>
            </w:r>
          </w:p>
        </w:tc>
        <w:tc>
          <w:tcPr>
            <w:tcW w:w="1620" w:type="dxa"/>
            <w:tcBorders>
              <w:top w:val="nil"/>
              <w:left w:val="nil"/>
              <w:bottom w:val="single" w:sz="4" w:space="0" w:color="auto"/>
              <w:right w:val="single" w:sz="4" w:space="0" w:color="auto"/>
            </w:tcBorders>
            <w:shd w:val="clear" w:color="auto" w:fill="auto"/>
            <w:noWrap/>
            <w:vAlign w:val="bottom"/>
            <w:hideMark/>
          </w:tcPr>
          <w:p w14:paraId="4D226DC5"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622 627 657</w:t>
            </w:r>
          </w:p>
        </w:tc>
      </w:tr>
      <w:tr w:rsidR="00ED254C" w:rsidRPr="00B27F68" w14:paraId="1114C2FE" w14:textId="77777777" w:rsidTr="00B27F68">
        <w:trPr>
          <w:trHeight w:val="73"/>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09185AA"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38</w:t>
            </w:r>
          </w:p>
        </w:tc>
        <w:tc>
          <w:tcPr>
            <w:tcW w:w="3140" w:type="dxa"/>
            <w:tcBorders>
              <w:top w:val="nil"/>
              <w:left w:val="nil"/>
              <w:bottom w:val="single" w:sz="4" w:space="0" w:color="auto"/>
              <w:right w:val="single" w:sz="4" w:space="0" w:color="auto"/>
            </w:tcBorders>
            <w:shd w:val="clear" w:color="auto" w:fill="auto"/>
            <w:noWrap/>
            <w:vAlign w:val="center"/>
            <w:hideMark/>
          </w:tcPr>
          <w:p w14:paraId="39C183C7"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Dr Hawa TOURE</w:t>
            </w:r>
          </w:p>
        </w:tc>
        <w:tc>
          <w:tcPr>
            <w:tcW w:w="2260" w:type="dxa"/>
            <w:tcBorders>
              <w:top w:val="nil"/>
              <w:left w:val="nil"/>
              <w:bottom w:val="single" w:sz="4" w:space="0" w:color="auto"/>
              <w:right w:val="single" w:sz="4" w:space="0" w:color="auto"/>
            </w:tcBorders>
            <w:shd w:val="clear" w:color="auto" w:fill="auto"/>
            <w:vAlign w:val="center"/>
            <w:hideMark/>
          </w:tcPr>
          <w:p w14:paraId="4FE94BE6" w14:textId="73BD24E5"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Minist</w:t>
            </w:r>
            <w:r w:rsidR="00B27F68">
              <w:rPr>
                <w:rFonts w:ascii="Calibri" w:hAnsi="Calibri"/>
                <w:bCs/>
                <w:color w:val="000000"/>
                <w:sz w:val="20"/>
                <w:szCs w:val="20"/>
              </w:rPr>
              <w:t>ère</w:t>
            </w:r>
            <w:r w:rsidRPr="00B27F68">
              <w:rPr>
                <w:rFonts w:ascii="Calibri" w:hAnsi="Calibri"/>
                <w:bCs/>
                <w:color w:val="000000"/>
                <w:sz w:val="20"/>
                <w:szCs w:val="20"/>
              </w:rPr>
              <w:t xml:space="preserve"> de la Santé</w:t>
            </w:r>
          </w:p>
        </w:tc>
        <w:tc>
          <w:tcPr>
            <w:tcW w:w="2260" w:type="dxa"/>
            <w:tcBorders>
              <w:top w:val="nil"/>
              <w:left w:val="nil"/>
              <w:bottom w:val="single" w:sz="4" w:space="0" w:color="auto"/>
              <w:right w:val="single" w:sz="4" w:space="0" w:color="auto"/>
            </w:tcBorders>
            <w:shd w:val="clear" w:color="auto" w:fill="auto"/>
            <w:noWrap/>
            <w:vAlign w:val="center"/>
            <w:hideMark/>
          </w:tcPr>
          <w:p w14:paraId="441191E4"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D.N.A.P.S.C</w:t>
            </w:r>
          </w:p>
        </w:tc>
        <w:tc>
          <w:tcPr>
            <w:tcW w:w="1620" w:type="dxa"/>
            <w:tcBorders>
              <w:top w:val="nil"/>
              <w:left w:val="nil"/>
              <w:bottom w:val="single" w:sz="4" w:space="0" w:color="auto"/>
              <w:right w:val="single" w:sz="4" w:space="0" w:color="auto"/>
            </w:tcBorders>
            <w:shd w:val="clear" w:color="auto" w:fill="auto"/>
            <w:noWrap/>
            <w:vAlign w:val="center"/>
            <w:hideMark/>
          </w:tcPr>
          <w:p w14:paraId="7116C1C6"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622 428 616</w:t>
            </w:r>
          </w:p>
        </w:tc>
      </w:tr>
      <w:tr w:rsidR="00ED254C" w:rsidRPr="00B27F68" w14:paraId="1AF76CB3" w14:textId="77777777" w:rsidTr="00B27F68">
        <w:trPr>
          <w:trHeight w:val="164"/>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48939B3"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39</w:t>
            </w:r>
          </w:p>
        </w:tc>
        <w:tc>
          <w:tcPr>
            <w:tcW w:w="3140" w:type="dxa"/>
            <w:tcBorders>
              <w:top w:val="nil"/>
              <w:left w:val="nil"/>
              <w:bottom w:val="single" w:sz="4" w:space="0" w:color="auto"/>
              <w:right w:val="single" w:sz="4" w:space="0" w:color="auto"/>
            </w:tcBorders>
            <w:shd w:val="clear" w:color="auto" w:fill="auto"/>
            <w:noWrap/>
            <w:vAlign w:val="center"/>
            <w:hideMark/>
          </w:tcPr>
          <w:p w14:paraId="7F778767"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Mariama BARRY</w:t>
            </w:r>
          </w:p>
        </w:tc>
        <w:tc>
          <w:tcPr>
            <w:tcW w:w="2260" w:type="dxa"/>
            <w:tcBorders>
              <w:top w:val="nil"/>
              <w:left w:val="nil"/>
              <w:bottom w:val="single" w:sz="4" w:space="0" w:color="auto"/>
              <w:right w:val="single" w:sz="4" w:space="0" w:color="auto"/>
            </w:tcBorders>
            <w:shd w:val="clear" w:color="auto" w:fill="auto"/>
            <w:vAlign w:val="center"/>
            <w:hideMark/>
          </w:tcPr>
          <w:p w14:paraId="27927288" w14:textId="488048A2" w:rsidR="00ED254C" w:rsidRPr="00B27F68" w:rsidRDefault="00B27F68" w:rsidP="00EA15A3">
            <w:pPr>
              <w:rPr>
                <w:rFonts w:ascii="Calibri" w:hAnsi="Calibri"/>
                <w:bCs/>
                <w:color w:val="000000"/>
                <w:sz w:val="20"/>
                <w:szCs w:val="20"/>
              </w:rPr>
            </w:pPr>
            <w:r w:rsidRPr="00B27F68">
              <w:rPr>
                <w:rFonts w:ascii="Calibri" w:hAnsi="Calibri"/>
                <w:bCs/>
                <w:color w:val="000000"/>
                <w:sz w:val="20"/>
                <w:szCs w:val="20"/>
              </w:rPr>
              <w:t>Minist</w:t>
            </w:r>
            <w:r>
              <w:rPr>
                <w:rFonts w:ascii="Calibri" w:hAnsi="Calibri"/>
                <w:bCs/>
                <w:color w:val="000000"/>
                <w:sz w:val="20"/>
                <w:szCs w:val="20"/>
              </w:rPr>
              <w:t>ère</w:t>
            </w:r>
            <w:r w:rsidRPr="00B27F68">
              <w:rPr>
                <w:rFonts w:ascii="Calibri" w:hAnsi="Calibri"/>
                <w:bCs/>
                <w:color w:val="000000"/>
                <w:sz w:val="20"/>
                <w:szCs w:val="20"/>
              </w:rPr>
              <w:t xml:space="preserve"> </w:t>
            </w:r>
            <w:r w:rsidR="00ED254C" w:rsidRPr="00B27F68">
              <w:rPr>
                <w:rFonts w:ascii="Calibri" w:hAnsi="Calibri"/>
                <w:bCs/>
                <w:color w:val="000000"/>
                <w:sz w:val="20"/>
                <w:szCs w:val="20"/>
              </w:rPr>
              <w:t>de la Jeunesse</w:t>
            </w:r>
          </w:p>
        </w:tc>
        <w:tc>
          <w:tcPr>
            <w:tcW w:w="2260" w:type="dxa"/>
            <w:tcBorders>
              <w:top w:val="nil"/>
              <w:left w:val="nil"/>
              <w:bottom w:val="single" w:sz="4" w:space="0" w:color="auto"/>
              <w:right w:val="single" w:sz="4" w:space="0" w:color="auto"/>
            </w:tcBorders>
            <w:shd w:val="clear" w:color="auto" w:fill="auto"/>
            <w:noWrap/>
            <w:vAlign w:val="center"/>
            <w:hideMark/>
          </w:tcPr>
          <w:p w14:paraId="3840857A"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Point focal Comité</w:t>
            </w:r>
          </w:p>
        </w:tc>
        <w:tc>
          <w:tcPr>
            <w:tcW w:w="1620" w:type="dxa"/>
            <w:tcBorders>
              <w:top w:val="nil"/>
              <w:left w:val="nil"/>
              <w:bottom w:val="single" w:sz="4" w:space="0" w:color="auto"/>
              <w:right w:val="single" w:sz="4" w:space="0" w:color="auto"/>
            </w:tcBorders>
            <w:shd w:val="clear" w:color="auto" w:fill="auto"/>
            <w:noWrap/>
            <w:vAlign w:val="center"/>
            <w:hideMark/>
          </w:tcPr>
          <w:p w14:paraId="1E4D6A65"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628 616 261</w:t>
            </w:r>
          </w:p>
        </w:tc>
      </w:tr>
      <w:tr w:rsidR="00ED254C" w:rsidRPr="00B27F68" w14:paraId="142A3EC5" w14:textId="77777777" w:rsidTr="00B27F68">
        <w:trPr>
          <w:trHeight w:val="126"/>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111D7DC"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40</w:t>
            </w:r>
          </w:p>
        </w:tc>
        <w:tc>
          <w:tcPr>
            <w:tcW w:w="3140" w:type="dxa"/>
            <w:tcBorders>
              <w:top w:val="nil"/>
              <w:left w:val="nil"/>
              <w:bottom w:val="single" w:sz="4" w:space="0" w:color="auto"/>
              <w:right w:val="single" w:sz="4" w:space="0" w:color="auto"/>
            </w:tcBorders>
            <w:shd w:val="clear" w:color="auto" w:fill="auto"/>
            <w:noWrap/>
            <w:vAlign w:val="bottom"/>
            <w:hideMark/>
          </w:tcPr>
          <w:p w14:paraId="4492DBAD"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Kadiatou MAGASSOUBA</w:t>
            </w:r>
          </w:p>
        </w:tc>
        <w:tc>
          <w:tcPr>
            <w:tcW w:w="2260" w:type="dxa"/>
            <w:tcBorders>
              <w:top w:val="nil"/>
              <w:left w:val="nil"/>
              <w:bottom w:val="single" w:sz="4" w:space="0" w:color="auto"/>
              <w:right w:val="single" w:sz="4" w:space="0" w:color="auto"/>
            </w:tcBorders>
            <w:shd w:val="clear" w:color="auto" w:fill="auto"/>
            <w:vAlign w:val="center"/>
            <w:hideMark/>
          </w:tcPr>
          <w:p w14:paraId="510263FF"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MPCI/DNIP</w:t>
            </w:r>
          </w:p>
        </w:tc>
        <w:tc>
          <w:tcPr>
            <w:tcW w:w="2260" w:type="dxa"/>
            <w:tcBorders>
              <w:top w:val="nil"/>
              <w:left w:val="nil"/>
              <w:bottom w:val="single" w:sz="4" w:space="0" w:color="auto"/>
              <w:right w:val="single" w:sz="4" w:space="0" w:color="auto"/>
            </w:tcBorders>
            <w:shd w:val="clear" w:color="auto" w:fill="auto"/>
            <w:noWrap/>
            <w:vAlign w:val="bottom"/>
            <w:hideMark/>
          </w:tcPr>
          <w:p w14:paraId="63C319E8"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Chargé d'</w:t>
            </w:r>
            <w:proofErr w:type="spellStart"/>
            <w:r w:rsidRPr="00B27F68">
              <w:rPr>
                <w:rFonts w:ascii="Calibri" w:hAnsi="Calibri"/>
                <w:color w:val="000000"/>
                <w:sz w:val="20"/>
                <w:szCs w:val="20"/>
              </w:rPr>
              <w:t>etudes</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4EC5C52D"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628 202 451</w:t>
            </w:r>
          </w:p>
        </w:tc>
      </w:tr>
      <w:tr w:rsidR="00ED254C" w:rsidRPr="00B27F68" w14:paraId="02B03A6C" w14:textId="77777777" w:rsidTr="00EA15A3">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3B6C2DD"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41</w:t>
            </w:r>
          </w:p>
        </w:tc>
        <w:tc>
          <w:tcPr>
            <w:tcW w:w="3140" w:type="dxa"/>
            <w:tcBorders>
              <w:top w:val="nil"/>
              <w:left w:val="nil"/>
              <w:bottom w:val="single" w:sz="4" w:space="0" w:color="auto"/>
              <w:right w:val="single" w:sz="4" w:space="0" w:color="auto"/>
            </w:tcBorders>
            <w:shd w:val="clear" w:color="auto" w:fill="auto"/>
            <w:noWrap/>
            <w:vAlign w:val="bottom"/>
            <w:hideMark/>
          </w:tcPr>
          <w:p w14:paraId="055E7414" w14:textId="77777777" w:rsidR="00ED254C" w:rsidRPr="00B27F68" w:rsidRDefault="00ED254C" w:rsidP="00EA15A3">
            <w:pPr>
              <w:rPr>
                <w:rFonts w:ascii="Calibri" w:hAnsi="Calibri"/>
                <w:color w:val="000000"/>
                <w:sz w:val="20"/>
                <w:szCs w:val="20"/>
              </w:rPr>
            </w:pPr>
            <w:r w:rsidRPr="00B27F68">
              <w:rPr>
                <w:rFonts w:ascii="Calibri" w:hAnsi="Calibri"/>
                <w:color w:val="000000"/>
                <w:sz w:val="20"/>
                <w:szCs w:val="20"/>
              </w:rPr>
              <w:t xml:space="preserve">Dr </w:t>
            </w:r>
            <w:proofErr w:type="spellStart"/>
            <w:r w:rsidRPr="00B27F68">
              <w:rPr>
                <w:rFonts w:ascii="Calibri" w:hAnsi="Calibri"/>
                <w:color w:val="000000"/>
                <w:sz w:val="20"/>
                <w:szCs w:val="20"/>
              </w:rPr>
              <w:t>Doma</w:t>
            </w:r>
            <w:proofErr w:type="spellEnd"/>
            <w:r w:rsidRPr="00B27F68">
              <w:rPr>
                <w:rFonts w:ascii="Calibri" w:hAnsi="Calibri"/>
                <w:color w:val="000000"/>
                <w:sz w:val="20"/>
                <w:szCs w:val="20"/>
              </w:rPr>
              <w:t xml:space="preserve"> TRAORE</w:t>
            </w:r>
          </w:p>
        </w:tc>
        <w:tc>
          <w:tcPr>
            <w:tcW w:w="2260" w:type="dxa"/>
            <w:tcBorders>
              <w:top w:val="nil"/>
              <w:left w:val="nil"/>
              <w:bottom w:val="single" w:sz="4" w:space="0" w:color="auto"/>
              <w:right w:val="single" w:sz="4" w:space="0" w:color="auto"/>
            </w:tcBorders>
            <w:shd w:val="clear" w:color="auto" w:fill="auto"/>
            <w:vAlign w:val="center"/>
            <w:hideMark/>
          </w:tcPr>
          <w:p w14:paraId="1397C3F0" w14:textId="77777777" w:rsidR="00ED254C" w:rsidRPr="00B27F68" w:rsidRDefault="00ED254C" w:rsidP="00EA15A3">
            <w:pPr>
              <w:rPr>
                <w:rFonts w:ascii="Calibri" w:hAnsi="Calibri"/>
                <w:bCs/>
                <w:color w:val="000000"/>
                <w:sz w:val="20"/>
                <w:szCs w:val="20"/>
              </w:rPr>
            </w:pPr>
            <w:r w:rsidRPr="00B27F68">
              <w:rPr>
                <w:rFonts w:ascii="Calibri" w:hAnsi="Calibri"/>
                <w:bCs/>
                <w:color w:val="000000"/>
                <w:sz w:val="20"/>
                <w:szCs w:val="20"/>
              </w:rPr>
              <w:t>R A Kindia</w:t>
            </w:r>
          </w:p>
        </w:tc>
        <w:tc>
          <w:tcPr>
            <w:tcW w:w="2260" w:type="dxa"/>
            <w:tcBorders>
              <w:top w:val="nil"/>
              <w:left w:val="nil"/>
              <w:bottom w:val="single" w:sz="4" w:space="0" w:color="auto"/>
              <w:right w:val="single" w:sz="4" w:space="0" w:color="auto"/>
            </w:tcBorders>
            <w:shd w:val="clear" w:color="auto" w:fill="auto"/>
            <w:noWrap/>
            <w:vAlign w:val="bottom"/>
            <w:hideMark/>
          </w:tcPr>
          <w:p w14:paraId="40448928" w14:textId="77777777" w:rsidR="00ED254C" w:rsidRPr="00B27F68" w:rsidRDefault="00ED254C" w:rsidP="00EA15A3">
            <w:pPr>
              <w:rPr>
                <w:rFonts w:ascii="Calibri" w:hAnsi="Calibri"/>
                <w:color w:val="000000"/>
                <w:sz w:val="20"/>
                <w:szCs w:val="20"/>
              </w:rPr>
            </w:pPr>
            <w:proofErr w:type="spellStart"/>
            <w:r w:rsidRPr="00B27F68">
              <w:rPr>
                <w:rFonts w:ascii="Calibri" w:hAnsi="Calibri"/>
                <w:color w:val="000000"/>
                <w:sz w:val="20"/>
                <w:szCs w:val="20"/>
              </w:rPr>
              <w:t>Dir</w:t>
            </w:r>
            <w:proofErr w:type="spellEnd"/>
            <w:r w:rsidRPr="00B27F68">
              <w:rPr>
                <w:rFonts w:ascii="Calibri" w:hAnsi="Calibri"/>
                <w:color w:val="000000"/>
                <w:sz w:val="20"/>
                <w:szCs w:val="20"/>
              </w:rPr>
              <w:t xml:space="preserve"> /CAB</w:t>
            </w:r>
          </w:p>
        </w:tc>
        <w:tc>
          <w:tcPr>
            <w:tcW w:w="1620" w:type="dxa"/>
            <w:tcBorders>
              <w:top w:val="nil"/>
              <w:left w:val="nil"/>
              <w:bottom w:val="single" w:sz="4" w:space="0" w:color="auto"/>
              <w:right w:val="single" w:sz="4" w:space="0" w:color="auto"/>
            </w:tcBorders>
            <w:shd w:val="clear" w:color="auto" w:fill="auto"/>
            <w:noWrap/>
            <w:vAlign w:val="bottom"/>
            <w:hideMark/>
          </w:tcPr>
          <w:p w14:paraId="204E9B80" w14:textId="77777777" w:rsidR="00ED254C" w:rsidRPr="00B27F68" w:rsidRDefault="00ED254C" w:rsidP="00EA15A3">
            <w:pPr>
              <w:jc w:val="right"/>
              <w:rPr>
                <w:rFonts w:ascii="Calibri" w:hAnsi="Calibri"/>
                <w:color w:val="000000"/>
                <w:sz w:val="20"/>
                <w:szCs w:val="20"/>
              </w:rPr>
            </w:pPr>
            <w:r w:rsidRPr="00B27F68">
              <w:rPr>
                <w:rFonts w:ascii="Calibri" w:hAnsi="Calibri"/>
                <w:color w:val="000000"/>
                <w:sz w:val="20"/>
                <w:szCs w:val="20"/>
              </w:rPr>
              <w:t>664 939 164</w:t>
            </w:r>
          </w:p>
        </w:tc>
      </w:tr>
    </w:tbl>
    <w:p w14:paraId="2BC1B871" w14:textId="74E96BB5" w:rsidR="009F04EB" w:rsidRPr="005B52BA" w:rsidRDefault="009F04EB" w:rsidP="00F66794">
      <w:pPr>
        <w:pStyle w:val="Titre1"/>
        <w:numPr>
          <w:ilvl w:val="0"/>
          <w:numId w:val="0"/>
        </w:numPr>
        <w:spacing w:after="0"/>
        <w:rPr>
          <w:rFonts w:ascii="Calibri" w:hAnsi="Calibri"/>
        </w:rPr>
      </w:pPr>
    </w:p>
    <w:sectPr w:rsidR="009F04EB" w:rsidRPr="005B52BA" w:rsidSect="008A4E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05408" w14:textId="77777777" w:rsidR="00DB4486" w:rsidRDefault="00DB4486" w:rsidP="00432A79">
      <w:r>
        <w:separator/>
      </w:r>
    </w:p>
  </w:endnote>
  <w:endnote w:type="continuationSeparator" w:id="0">
    <w:p w14:paraId="24B48C21" w14:textId="77777777" w:rsidR="00DB4486" w:rsidRDefault="00DB4486" w:rsidP="00432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w:altName w:val="Segoe Print"/>
    <w:charset w:val="00"/>
    <w:family w:val="auto"/>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ource Sans Pro">
    <w:charset w:val="00"/>
    <w:family w:val="swiss"/>
    <w:pitch w:val="variable"/>
    <w:sig w:usb0="600002F7" w:usb1="02000001" w:usb2="00000000" w:usb3="00000000" w:csb0="0000019F" w:csb1="00000000"/>
  </w:font>
  <w:font w:name="Calibri (Corps)">
    <w:altName w:val="Calibri"/>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Sans Serif">
    <w:altName w:val="Microsoft Sans Serif"/>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757794"/>
      <w:docPartObj>
        <w:docPartGallery w:val="Page Numbers (Bottom of Page)"/>
        <w:docPartUnique/>
      </w:docPartObj>
    </w:sdtPr>
    <w:sdtEndPr/>
    <w:sdtContent>
      <w:p w14:paraId="6C10E35A" w14:textId="0C71265A" w:rsidR="00240456" w:rsidRDefault="00240456" w:rsidP="00753E2C">
        <w:pPr>
          <w:pStyle w:val="Pieddepage"/>
          <w:pBdr>
            <w:top w:val="thinThickSmallGap" w:sz="24" w:space="1" w:color="C45911" w:themeColor="accent2" w:themeShade="BF"/>
          </w:pBdr>
        </w:pPr>
        <w:r>
          <w:rPr>
            <w:noProof/>
          </w:rPr>
          <mc:AlternateContent>
            <mc:Choice Requires="wps">
              <w:drawing>
                <wp:anchor distT="0" distB="0" distL="114300" distR="114300" simplePos="0" relativeHeight="251659264" behindDoc="0" locked="0" layoutInCell="0" allowOverlap="1" wp14:anchorId="5F651B56" wp14:editId="7CA317A5">
                  <wp:simplePos x="0" y="0"/>
                  <wp:positionH relativeFrom="rightMargin">
                    <wp:align>left</wp:align>
                  </wp:positionH>
                  <mc:AlternateContent>
                    <mc:Choice Requires="wp14">
                      <wp:positionV relativeFrom="bottomMargin">
                        <wp14:pctPosVOffset>7000</wp14:pctPosVOffset>
                      </wp:positionV>
                    </mc:Choice>
                    <mc:Fallback>
                      <wp:positionV relativeFrom="page">
                        <wp:posOffset>10122535</wp:posOffset>
                      </wp:positionV>
                    </mc:Fallback>
                  </mc:AlternateContent>
                  <wp:extent cx="368300" cy="274320"/>
                  <wp:effectExtent l="0" t="0" r="12700" b="11430"/>
                  <wp:wrapNone/>
                  <wp:docPr id="19" name="Carré corné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C000"/>
                          </a:solidFill>
                          <a:ln w="3175">
                            <a:solidFill>
                              <a:srgbClr val="808080"/>
                            </a:solidFill>
                            <a:round/>
                            <a:headEnd/>
                            <a:tailEnd/>
                          </a:ln>
                        </wps:spPr>
                        <wps:txbx>
                          <w:txbxContent>
                            <w:p w14:paraId="44D697EB" w14:textId="77777777" w:rsidR="00240456" w:rsidRDefault="00240456">
                              <w:pPr>
                                <w:jc w:val="center"/>
                              </w:pPr>
                              <w:r>
                                <w:rPr>
                                  <w:sz w:val="22"/>
                                  <w:szCs w:val="22"/>
                                </w:rPr>
                                <w:fldChar w:fldCharType="begin"/>
                              </w:r>
                              <w:r>
                                <w:instrText>PAGE    \* MERGEFORMAT</w:instrText>
                              </w:r>
                              <w:r>
                                <w:rPr>
                                  <w:sz w:val="22"/>
                                  <w:szCs w:val="22"/>
                                </w:rPr>
                                <w:fldChar w:fldCharType="separate"/>
                              </w:r>
                              <w:r w:rsidRPr="00C7325A">
                                <w:rPr>
                                  <w:noProof/>
                                  <w:sz w:val="16"/>
                                  <w:szCs w:val="16"/>
                                </w:rPr>
                                <w:t>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51B5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9" o:spid="_x0000_s103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" o:allowincell="f" adj="14135" fillcolor="#ffc000" strokecolor="gray" strokeweight=".25pt">
                  <v:textbox>
                    <w:txbxContent>
                      <w:p w14:paraId="44D697EB" w14:textId="77777777" w:rsidR="00240456" w:rsidRDefault="00240456">
                        <w:pPr>
                          <w:jc w:val="center"/>
                        </w:pPr>
                        <w:r>
                          <w:rPr>
                            <w:sz w:val="22"/>
                            <w:szCs w:val="22"/>
                          </w:rPr>
                          <w:fldChar w:fldCharType="begin"/>
                        </w:r>
                        <w:r>
                          <w:instrText>PAGE    \* MERGEFORMAT</w:instrText>
                        </w:r>
                        <w:r>
                          <w:rPr>
                            <w:sz w:val="22"/>
                            <w:szCs w:val="22"/>
                          </w:rPr>
                          <w:fldChar w:fldCharType="separate"/>
                        </w:r>
                        <w:r w:rsidRPr="00C7325A">
                          <w:rPr>
                            <w:noProof/>
                            <w:sz w:val="16"/>
                            <w:szCs w:val="16"/>
                          </w:rPr>
                          <w:t>9</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0F4CD" w14:textId="77777777" w:rsidR="00DB4486" w:rsidRDefault="00DB4486" w:rsidP="00432A79">
      <w:r>
        <w:separator/>
      </w:r>
    </w:p>
  </w:footnote>
  <w:footnote w:type="continuationSeparator" w:id="0">
    <w:p w14:paraId="3641A5B2" w14:textId="77777777" w:rsidR="00DB4486" w:rsidRDefault="00DB4486" w:rsidP="00432A79">
      <w:r>
        <w:continuationSeparator/>
      </w:r>
    </w:p>
  </w:footnote>
  <w:footnote w:id="1">
    <w:p w14:paraId="67F099F2" w14:textId="77777777" w:rsidR="00240456" w:rsidRPr="001636AA" w:rsidRDefault="00240456" w:rsidP="003721CE">
      <w:pPr>
        <w:pStyle w:val="Notedebasdepage"/>
        <w:rPr>
          <w:rFonts w:cstheme="minorHAnsi"/>
          <w:sz w:val="16"/>
          <w:szCs w:val="16"/>
          <w:lang w:val="fr-CA"/>
        </w:rPr>
      </w:pPr>
      <w:r w:rsidRPr="001636AA">
        <w:rPr>
          <w:rStyle w:val="Appelnotedebasdep"/>
          <w:rFonts w:cstheme="minorHAnsi"/>
          <w:sz w:val="16"/>
          <w:szCs w:val="16"/>
        </w:rPr>
        <w:footnoteRef/>
      </w:r>
      <w:r w:rsidRPr="001636AA">
        <w:rPr>
          <w:rStyle w:val="A2"/>
          <w:rFonts w:cstheme="minorHAnsi"/>
          <w:sz w:val="16"/>
          <w:szCs w:val="16"/>
          <w:lang w:val="fr-CA"/>
        </w:rPr>
        <w:t>Enquête Démographique et de Santé et à Indicateurs Multiples en Guinée 2012</w:t>
      </w:r>
    </w:p>
  </w:footnote>
  <w:footnote w:id="2">
    <w:p w14:paraId="144ED021" w14:textId="77777777" w:rsidR="00240456" w:rsidRPr="001636AA" w:rsidRDefault="00240456" w:rsidP="003721CE">
      <w:pPr>
        <w:pStyle w:val="Notedebasdepage"/>
        <w:rPr>
          <w:rFonts w:cstheme="minorHAnsi"/>
          <w:sz w:val="16"/>
          <w:szCs w:val="16"/>
          <w:lang w:val="fr-CA"/>
        </w:rPr>
      </w:pPr>
      <w:r w:rsidRPr="001636AA">
        <w:rPr>
          <w:rStyle w:val="Appelnotedebasdep"/>
          <w:rFonts w:cstheme="minorHAnsi"/>
          <w:sz w:val="16"/>
          <w:szCs w:val="16"/>
        </w:rPr>
        <w:footnoteRef/>
      </w:r>
      <w:r w:rsidRPr="001636AA">
        <w:rPr>
          <w:rFonts w:cstheme="minorHAnsi"/>
          <w:sz w:val="16"/>
          <w:szCs w:val="16"/>
          <w:lang w:val="fr-CA"/>
        </w:rPr>
        <w:t>Enquête MICS Palu 2016</w:t>
      </w:r>
    </w:p>
  </w:footnote>
  <w:footnote w:id="3">
    <w:p w14:paraId="0A1C913A" w14:textId="77777777" w:rsidR="00240456" w:rsidRPr="003721CE" w:rsidRDefault="00240456" w:rsidP="00BF6FDF">
      <w:pPr>
        <w:pStyle w:val="Notedebasdepage"/>
        <w:rPr>
          <w:lang w:val="fr-FR"/>
        </w:rPr>
      </w:pPr>
      <w:r>
        <w:rPr>
          <w:rStyle w:val="Appelnotedebasdep"/>
        </w:rPr>
        <w:footnoteRef/>
      </w:r>
      <w:r>
        <w:t xml:space="preserve"> </w:t>
      </w:r>
      <w:r w:rsidRPr="008140DB">
        <w:t>https://fr.actualitix.com/pays/gin/guinee-indice-de-developpement-humain.php</w:t>
      </w:r>
    </w:p>
  </w:footnote>
  <w:footnote w:id="4">
    <w:p w14:paraId="2D346611" w14:textId="77777777" w:rsidR="00240456" w:rsidRPr="001636AA" w:rsidRDefault="00240456" w:rsidP="003721CE">
      <w:pPr>
        <w:pStyle w:val="Notedebasdepage"/>
        <w:rPr>
          <w:rFonts w:cstheme="minorHAnsi"/>
          <w:sz w:val="16"/>
          <w:szCs w:val="16"/>
        </w:rPr>
      </w:pPr>
      <w:r w:rsidRPr="001636AA">
        <w:rPr>
          <w:rStyle w:val="Appelnotedebasdep"/>
          <w:rFonts w:cstheme="minorHAnsi"/>
          <w:sz w:val="16"/>
          <w:szCs w:val="16"/>
        </w:rPr>
        <w:footnoteRef/>
      </w:r>
      <w:r w:rsidRPr="001636AA">
        <w:rPr>
          <w:rStyle w:val="Appelnotedebasdep"/>
          <w:rFonts w:cstheme="minorHAnsi"/>
          <w:sz w:val="16"/>
          <w:szCs w:val="16"/>
          <w:lang w:val="fr-CA"/>
        </w:rPr>
        <w:t>D</w:t>
      </w:r>
      <w:r w:rsidRPr="001636AA">
        <w:rPr>
          <w:rFonts w:cstheme="minorHAnsi"/>
          <w:sz w:val="16"/>
          <w:szCs w:val="16"/>
          <w:lang w:val="fr-CA"/>
        </w:rPr>
        <w:t xml:space="preserve">SRP </w:t>
      </w:r>
      <w:r w:rsidRPr="001636AA">
        <w:rPr>
          <w:rStyle w:val="Appelnotedebasdep"/>
          <w:rFonts w:cstheme="minorHAnsi"/>
          <w:sz w:val="16"/>
          <w:szCs w:val="16"/>
          <w:lang w:val="fr-CA"/>
        </w:rPr>
        <w:t>III</w:t>
      </w:r>
      <w:r w:rsidRPr="001636AA">
        <w:rPr>
          <w:rFonts w:cstheme="minorHAnsi"/>
          <w:sz w:val="16"/>
          <w:szCs w:val="16"/>
          <w:lang w:val="fr-CA"/>
        </w:rPr>
        <w:t xml:space="preserve"> Guinée</w:t>
      </w:r>
      <w:r w:rsidRPr="001636AA">
        <w:rPr>
          <w:rStyle w:val="Appelnotedebasdep"/>
          <w:rFonts w:cstheme="minorHAnsi"/>
          <w:sz w:val="16"/>
          <w:szCs w:val="16"/>
          <w:lang w:val="fr-CA"/>
        </w:rPr>
        <w:t>, 2012</w:t>
      </w:r>
    </w:p>
  </w:footnote>
  <w:footnote w:id="5">
    <w:p w14:paraId="4E3C6075" w14:textId="77777777" w:rsidR="00240456" w:rsidRPr="001636AA" w:rsidRDefault="00240456" w:rsidP="003721CE">
      <w:pPr>
        <w:pStyle w:val="Notedebasdepage"/>
        <w:rPr>
          <w:rFonts w:cstheme="minorHAnsi"/>
          <w:sz w:val="16"/>
          <w:szCs w:val="16"/>
          <w:lang w:val="fr-CA"/>
        </w:rPr>
      </w:pPr>
      <w:r w:rsidRPr="001636AA">
        <w:rPr>
          <w:rStyle w:val="Appelnotedebasdep"/>
          <w:rFonts w:cstheme="minorHAnsi"/>
          <w:sz w:val="16"/>
          <w:szCs w:val="16"/>
        </w:rPr>
        <w:footnoteRef/>
      </w:r>
      <w:r w:rsidRPr="001636AA">
        <w:rPr>
          <w:rFonts w:cstheme="minorHAnsi"/>
          <w:sz w:val="16"/>
          <w:szCs w:val="16"/>
          <w:lang w:val="fr-CA"/>
        </w:rPr>
        <w:t>Enquête MICS Palu 2016</w:t>
      </w:r>
    </w:p>
  </w:footnote>
  <w:footnote w:id="6">
    <w:p w14:paraId="7D4D50E0" w14:textId="77777777" w:rsidR="00240456" w:rsidRPr="00B51D12" w:rsidRDefault="00240456" w:rsidP="003721CE">
      <w:pPr>
        <w:pStyle w:val="Notedebasdepage"/>
        <w:rPr>
          <w:rFonts w:cstheme="minorHAnsi"/>
          <w:i/>
          <w:sz w:val="16"/>
          <w:szCs w:val="16"/>
          <w:lang w:val="fr-CA"/>
        </w:rPr>
      </w:pPr>
      <w:r w:rsidRPr="00B51D12">
        <w:rPr>
          <w:rStyle w:val="Appelnotedebasdep"/>
          <w:rFonts w:cstheme="minorHAnsi"/>
          <w:sz w:val="16"/>
          <w:szCs w:val="16"/>
        </w:rPr>
        <w:footnoteRef/>
      </w:r>
      <w:r w:rsidRPr="00B51D12">
        <w:rPr>
          <w:rFonts w:cstheme="minorHAnsi"/>
          <w:sz w:val="16"/>
          <w:szCs w:val="16"/>
          <w:lang w:val="fr-CA"/>
        </w:rPr>
        <w:t>Ministère du Plan</w:t>
      </w:r>
      <w:r w:rsidRPr="00B51D12">
        <w:rPr>
          <w:rStyle w:val="Appelnotedebasdep"/>
          <w:rFonts w:cstheme="minorHAnsi"/>
          <w:sz w:val="16"/>
          <w:szCs w:val="16"/>
          <w:lang w:val="fr-CA"/>
        </w:rPr>
        <w:t>, Enquête Légère pour l’Évaluation de la Pauvreté</w:t>
      </w:r>
      <w:r w:rsidRPr="00B51D12">
        <w:rPr>
          <w:rFonts w:cstheme="minorHAnsi"/>
          <w:sz w:val="16"/>
          <w:szCs w:val="16"/>
          <w:lang w:val="fr-CA"/>
        </w:rPr>
        <w:t xml:space="preserve"> (ELEP)</w:t>
      </w:r>
      <w:r w:rsidRPr="00B51D12">
        <w:rPr>
          <w:rStyle w:val="Appelnotedebasdep"/>
          <w:rFonts w:cstheme="minorHAnsi"/>
          <w:sz w:val="16"/>
          <w:szCs w:val="16"/>
          <w:lang w:val="fr-CA"/>
        </w:rPr>
        <w:t>, 20</w:t>
      </w:r>
      <w:r w:rsidRPr="00B51D12">
        <w:rPr>
          <w:rFonts w:cstheme="minorHAnsi"/>
          <w:sz w:val="16"/>
          <w:szCs w:val="16"/>
          <w:lang w:val="fr-CA"/>
        </w:rPr>
        <w:t>08</w:t>
      </w:r>
    </w:p>
  </w:footnote>
  <w:footnote w:id="7">
    <w:p w14:paraId="24DABC8C" w14:textId="77777777" w:rsidR="00240456" w:rsidRPr="00B51D12" w:rsidRDefault="00240456" w:rsidP="0047073A">
      <w:pPr>
        <w:pStyle w:val="Notedebasdepage"/>
        <w:rPr>
          <w:rFonts w:cstheme="minorHAnsi"/>
          <w:sz w:val="16"/>
          <w:szCs w:val="16"/>
        </w:rPr>
      </w:pPr>
      <w:r w:rsidRPr="00B51D12">
        <w:rPr>
          <w:rStyle w:val="Appelnotedebasdep"/>
          <w:rFonts w:cstheme="minorHAnsi"/>
          <w:sz w:val="16"/>
          <w:szCs w:val="16"/>
        </w:rPr>
        <w:footnoteRef/>
      </w:r>
      <w:r w:rsidRPr="00B51D12">
        <w:rPr>
          <w:rFonts w:cstheme="minorHAnsi"/>
          <w:sz w:val="16"/>
          <w:szCs w:val="16"/>
        </w:rPr>
        <w:t>Plan de développement des Ressources Humaines de santé, 2013</w:t>
      </w:r>
    </w:p>
  </w:footnote>
  <w:footnote w:id="8">
    <w:p w14:paraId="5FC5F6F8" w14:textId="77777777" w:rsidR="00240456" w:rsidRPr="0047073A" w:rsidRDefault="00240456" w:rsidP="0047073A">
      <w:pPr>
        <w:pStyle w:val="Notedebasdepage"/>
        <w:rPr>
          <w:rFonts w:asciiTheme="minorHAnsi" w:hAnsiTheme="minorHAnsi"/>
          <w:sz w:val="16"/>
          <w:szCs w:val="16"/>
          <w:lang w:val="fr-FR"/>
        </w:rPr>
      </w:pPr>
      <w:r w:rsidRPr="00595645">
        <w:rPr>
          <w:rStyle w:val="Appelnotedebasdep"/>
          <w:rFonts w:asciiTheme="minorHAnsi" w:hAnsiTheme="minorHAnsi"/>
          <w:sz w:val="16"/>
          <w:szCs w:val="16"/>
        </w:rPr>
        <w:footnoteRef/>
      </w:r>
      <w:r w:rsidRPr="00595645">
        <w:rPr>
          <w:rFonts w:asciiTheme="minorHAnsi" w:hAnsiTheme="minorHAnsi"/>
          <w:sz w:val="16"/>
          <w:szCs w:val="16"/>
        </w:rPr>
        <w:t xml:space="preserve"> </w:t>
      </w:r>
      <w:r w:rsidRPr="0047073A">
        <w:rPr>
          <w:rFonts w:asciiTheme="minorHAnsi" w:hAnsiTheme="minorHAnsi"/>
          <w:sz w:val="16"/>
          <w:szCs w:val="16"/>
          <w:lang w:val="fr-FR"/>
        </w:rPr>
        <w:t>EDS 2012</w:t>
      </w:r>
    </w:p>
  </w:footnote>
  <w:footnote w:id="9">
    <w:p w14:paraId="782FDDFC" w14:textId="552687EE" w:rsidR="00240456" w:rsidRPr="00FD1570" w:rsidRDefault="00240456">
      <w:pPr>
        <w:pStyle w:val="Notedebasdepage"/>
      </w:pPr>
      <w:r>
        <w:rPr>
          <w:rStyle w:val="Appelnotedebasdep"/>
        </w:rPr>
        <w:footnoteRef/>
      </w:r>
      <w:r>
        <w:t xml:space="preserve"> </w:t>
      </w:r>
      <w:r>
        <w:rPr>
          <w:lang w:val="fr-FR"/>
        </w:rPr>
        <w:t xml:space="preserve">Le pays compte </w:t>
      </w:r>
      <w:r w:rsidRPr="005B52BA">
        <w:rPr>
          <w:rFonts w:ascii="Calibri" w:hAnsi="Calibri"/>
        </w:rPr>
        <w:t>1381 infrastructures publiques de soins, 24 structures parapubliques et 371 structures privées</w:t>
      </w:r>
    </w:p>
  </w:footnote>
  <w:footnote w:id="10">
    <w:p w14:paraId="0A036E6C" w14:textId="3A84ECEC" w:rsidR="00240456" w:rsidRPr="00A20BA0" w:rsidRDefault="00240456">
      <w:pPr>
        <w:pStyle w:val="Notedebasdepage"/>
        <w:rPr>
          <w:sz w:val="16"/>
          <w:lang w:val="fr-FR"/>
        </w:rPr>
      </w:pPr>
      <w:r w:rsidRPr="00A20BA0">
        <w:rPr>
          <w:rStyle w:val="Appelnotedebasdep"/>
          <w:sz w:val="16"/>
        </w:rPr>
        <w:footnoteRef/>
      </w:r>
      <w:r w:rsidRPr="00A20BA0">
        <w:rPr>
          <w:sz w:val="16"/>
        </w:rPr>
        <w:t xml:space="preserve"> </w:t>
      </w:r>
      <w:r w:rsidRPr="00A20BA0">
        <w:rPr>
          <w:rFonts w:ascii="Calibri" w:hAnsi="Calibri" w:cs="Times"/>
          <w:bCs/>
          <w:color w:val="000000"/>
          <w:sz w:val="16"/>
        </w:rPr>
        <w:t>Durant l’année 2017, 15054 patients ont été dépistés positifs au VIH, seulement 5657 patients ont initié le traitement ARV, soit 37,70%</w:t>
      </w:r>
      <w:r w:rsidRPr="00A20BA0">
        <w:rPr>
          <w:rFonts w:ascii="Calibri" w:hAnsi="Calibri" w:cs="Times"/>
          <w:bCs/>
          <w:color w:val="000000"/>
          <w:sz w:val="16"/>
          <w:lang w:val="fr-FR"/>
        </w:rPr>
        <w:t>, le reste soit 7892 ont été perdus en route</w:t>
      </w:r>
    </w:p>
  </w:footnote>
  <w:footnote w:id="11">
    <w:p w14:paraId="7D30378B" w14:textId="557A9AB3" w:rsidR="00240456" w:rsidRPr="00A20BA0" w:rsidRDefault="00240456">
      <w:pPr>
        <w:pStyle w:val="Notedebasdepage"/>
        <w:rPr>
          <w:sz w:val="16"/>
          <w:lang w:val="fr-FR"/>
        </w:rPr>
      </w:pPr>
      <w:r w:rsidRPr="00A20BA0">
        <w:rPr>
          <w:rStyle w:val="Appelnotedebasdep"/>
          <w:sz w:val="16"/>
        </w:rPr>
        <w:footnoteRef/>
      </w:r>
      <w:r w:rsidRPr="00A20BA0">
        <w:rPr>
          <w:sz w:val="16"/>
        </w:rPr>
        <w:t xml:space="preserve"> </w:t>
      </w:r>
      <w:r w:rsidRPr="00A20BA0">
        <w:rPr>
          <w:sz w:val="16"/>
          <w:lang w:val="fr-FR"/>
        </w:rPr>
        <w:t>L’audit/actualisation de la file active en 2016-2017 a mis en exergue un taux de perdue de vue d’environ 10,6% ce qui représentait 4267 patients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32DD"/>
    <w:multiLevelType w:val="hybridMultilevel"/>
    <w:tmpl w:val="02D88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9E0334"/>
    <w:multiLevelType w:val="hybridMultilevel"/>
    <w:tmpl w:val="1CECC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F5049A"/>
    <w:multiLevelType w:val="hybridMultilevel"/>
    <w:tmpl w:val="57EC5698"/>
    <w:lvl w:ilvl="0" w:tplc="D802529E">
      <w:start w:val="1"/>
      <w:numFmt w:val="bullet"/>
      <w:lvlText w:val=""/>
      <w:lvlJc w:val="left"/>
      <w:pPr>
        <w:tabs>
          <w:tab w:val="num" w:pos="870"/>
        </w:tabs>
        <w:ind w:left="870" w:hanging="360"/>
      </w:pPr>
      <w:rPr>
        <w:rFonts w:ascii="Wingdings" w:hAnsi="Wingdings" w:hint="default"/>
        <w:sz w:val="22"/>
        <w:szCs w:val="22"/>
      </w:rPr>
    </w:lvl>
    <w:lvl w:ilvl="1" w:tplc="04090003" w:tentative="1">
      <w:start w:val="1"/>
      <w:numFmt w:val="bullet"/>
      <w:lvlText w:val="o"/>
      <w:lvlJc w:val="left"/>
      <w:pPr>
        <w:tabs>
          <w:tab w:val="num" w:pos="882"/>
        </w:tabs>
        <w:ind w:left="882" w:hanging="360"/>
      </w:pPr>
      <w:rPr>
        <w:rFonts w:ascii="Courier New" w:hAnsi="Courier New" w:cs="Courier New" w:hint="default"/>
      </w:rPr>
    </w:lvl>
    <w:lvl w:ilvl="2" w:tplc="04090005" w:tentative="1">
      <w:start w:val="1"/>
      <w:numFmt w:val="bullet"/>
      <w:lvlText w:val=""/>
      <w:lvlJc w:val="left"/>
      <w:pPr>
        <w:tabs>
          <w:tab w:val="num" w:pos="1602"/>
        </w:tabs>
        <w:ind w:left="1602" w:hanging="360"/>
      </w:pPr>
      <w:rPr>
        <w:rFonts w:ascii="Wingdings" w:hAnsi="Wingdings" w:hint="default"/>
      </w:rPr>
    </w:lvl>
    <w:lvl w:ilvl="3" w:tplc="04090001" w:tentative="1">
      <w:start w:val="1"/>
      <w:numFmt w:val="bullet"/>
      <w:lvlText w:val=""/>
      <w:lvlJc w:val="left"/>
      <w:pPr>
        <w:tabs>
          <w:tab w:val="num" w:pos="2322"/>
        </w:tabs>
        <w:ind w:left="2322" w:hanging="360"/>
      </w:pPr>
      <w:rPr>
        <w:rFonts w:ascii="Symbol" w:hAnsi="Symbol" w:hint="default"/>
      </w:rPr>
    </w:lvl>
    <w:lvl w:ilvl="4" w:tplc="04090003" w:tentative="1">
      <w:start w:val="1"/>
      <w:numFmt w:val="bullet"/>
      <w:lvlText w:val="o"/>
      <w:lvlJc w:val="left"/>
      <w:pPr>
        <w:tabs>
          <w:tab w:val="num" w:pos="3042"/>
        </w:tabs>
        <w:ind w:left="3042" w:hanging="360"/>
      </w:pPr>
      <w:rPr>
        <w:rFonts w:ascii="Courier New" w:hAnsi="Courier New" w:cs="Courier New" w:hint="default"/>
      </w:rPr>
    </w:lvl>
    <w:lvl w:ilvl="5" w:tplc="04090005" w:tentative="1">
      <w:start w:val="1"/>
      <w:numFmt w:val="bullet"/>
      <w:lvlText w:val=""/>
      <w:lvlJc w:val="left"/>
      <w:pPr>
        <w:tabs>
          <w:tab w:val="num" w:pos="3762"/>
        </w:tabs>
        <w:ind w:left="3762" w:hanging="360"/>
      </w:pPr>
      <w:rPr>
        <w:rFonts w:ascii="Wingdings" w:hAnsi="Wingdings" w:hint="default"/>
      </w:rPr>
    </w:lvl>
    <w:lvl w:ilvl="6" w:tplc="04090001" w:tentative="1">
      <w:start w:val="1"/>
      <w:numFmt w:val="bullet"/>
      <w:lvlText w:val=""/>
      <w:lvlJc w:val="left"/>
      <w:pPr>
        <w:tabs>
          <w:tab w:val="num" w:pos="4482"/>
        </w:tabs>
        <w:ind w:left="4482" w:hanging="360"/>
      </w:pPr>
      <w:rPr>
        <w:rFonts w:ascii="Symbol" w:hAnsi="Symbol" w:hint="default"/>
      </w:rPr>
    </w:lvl>
    <w:lvl w:ilvl="7" w:tplc="04090003" w:tentative="1">
      <w:start w:val="1"/>
      <w:numFmt w:val="bullet"/>
      <w:lvlText w:val="o"/>
      <w:lvlJc w:val="left"/>
      <w:pPr>
        <w:tabs>
          <w:tab w:val="num" w:pos="5202"/>
        </w:tabs>
        <w:ind w:left="5202" w:hanging="360"/>
      </w:pPr>
      <w:rPr>
        <w:rFonts w:ascii="Courier New" w:hAnsi="Courier New" w:cs="Courier New" w:hint="default"/>
      </w:rPr>
    </w:lvl>
    <w:lvl w:ilvl="8" w:tplc="04090005" w:tentative="1">
      <w:start w:val="1"/>
      <w:numFmt w:val="bullet"/>
      <w:lvlText w:val=""/>
      <w:lvlJc w:val="left"/>
      <w:pPr>
        <w:tabs>
          <w:tab w:val="num" w:pos="5922"/>
        </w:tabs>
        <w:ind w:left="5922" w:hanging="360"/>
      </w:pPr>
      <w:rPr>
        <w:rFonts w:ascii="Wingdings" w:hAnsi="Wingdings" w:hint="default"/>
      </w:rPr>
    </w:lvl>
  </w:abstractNum>
  <w:abstractNum w:abstractNumId="3" w15:restartNumberingAfterBreak="0">
    <w:nsid w:val="0B894557"/>
    <w:multiLevelType w:val="hybridMultilevel"/>
    <w:tmpl w:val="2550BF34"/>
    <w:lvl w:ilvl="0" w:tplc="A9548D96">
      <w:start w:val="2"/>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EF6E97"/>
    <w:multiLevelType w:val="hybridMultilevel"/>
    <w:tmpl w:val="C21E8112"/>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0DB75887"/>
    <w:multiLevelType w:val="hybridMultilevel"/>
    <w:tmpl w:val="0C6842EC"/>
    <w:lvl w:ilvl="0" w:tplc="040C0001">
      <w:start w:val="1"/>
      <w:numFmt w:val="bullet"/>
      <w:lvlText w:val=""/>
      <w:lvlJc w:val="left"/>
      <w:pPr>
        <w:ind w:left="720" w:hanging="360"/>
      </w:pPr>
      <w:rPr>
        <w:rFonts w:ascii="Symbol" w:hAnsi="Symbol"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115116"/>
    <w:multiLevelType w:val="hybridMultilevel"/>
    <w:tmpl w:val="FE00C8A4"/>
    <w:lvl w:ilvl="0" w:tplc="040C0001">
      <w:start w:val="1"/>
      <w:numFmt w:val="bullet"/>
      <w:lvlText w:val=""/>
      <w:lvlJc w:val="left"/>
      <w:pPr>
        <w:ind w:left="1069" w:hanging="360"/>
      </w:pPr>
      <w:rPr>
        <w:rFonts w:ascii="Symbol" w:hAnsi="Symbol" w:hint="default"/>
        <w:color w:val="000000"/>
        <w:sz w:val="24"/>
      </w:rPr>
    </w:lvl>
    <w:lvl w:ilvl="1" w:tplc="040C0019" w:tentative="1">
      <w:start w:val="1"/>
      <w:numFmt w:val="lowerLetter"/>
      <w:lvlText w:val="%2."/>
      <w:lvlJc w:val="left"/>
      <w:pPr>
        <w:ind w:left="3229" w:hanging="360"/>
      </w:pPr>
    </w:lvl>
    <w:lvl w:ilvl="2" w:tplc="040C001B" w:tentative="1">
      <w:start w:val="1"/>
      <w:numFmt w:val="lowerRoman"/>
      <w:lvlText w:val="%3."/>
      <w:lvlJc w:val="right"/>
      <w:pPr>
        <w:ind w:left="3949" w:hanging="180"/>
      </w:pPr>
    </w:lvl>
    <w:lvl w:ilvl="3" w:tplc="040C000F" w:tentative="1">
      <w:start w:val="1"/>
      <w:numFmt w:val="decimal"/>
      <w:lvlText w:val="%4."/>
      <w:lvlJc w:val="left"/>
      <w:pPr>
        <w:ind w:left="4669" w:hanging="360"/>
      </w:pPr>
    </w:lvl>
    <w:lvl w:ilvl="4" w:tplc="040C0019" w:tentative="1">
      <w:start w:val="1"/>
      <w:numFmt w:val="lowerLetter"/>
      <w:lvlText w:val="%5."/>
      <w:lvlJc w:val="left"/>
      <w:pPr>
        <w:ind w:left="5389" w:hanging="360"/>
      </w:pPr>
    </w:lvl>
    <w:lvl w:ilvl="5" w:tplc="040C001B" w:tentative="1">
      <w:start w:val="1"/>
      <w:numFmt w:val="lowerRoman"/>
      <w:lvlText w:val="%6."/>
      <w:lvlJc w:val="right"/>
      <w:pPr>
        <w:ind w:left="6109" w:hanging="180"/>
      </w:pPr>
    </w:lvl>
    <w:lvl w:ilvl="6" w:tplc="040C000F" w:tentative="1">
      <w:start w:val="1"/>
      <w:numFmt w:val="decimal"/>
      <w:lvlText w:val="%7."/>
      <w:lvlJc w:val="left"/>
      <w:pPr>
        <w:ind w:left="6829" w:hanging="360"/>
      </w:pPr>
    </w:lvl>
    <w:lvl w:ilvl="7" w:tplc="040C0019" w:tentative="1">
      <w:start w:val="1"/>
      <w:numFmt w:val="lowerLetter"/>
      <w:lvlText w:val="%8."/>
      <w:lvlJc w:val="left"/>
      <w:pPr>
        <w:ind w:left="7549" w:hanging="360"/>
      </w:pPr>
    </w:lvl>
    <w:lvl w:ilvl="8" w:tplc="040C001B" w:tentative="1">
      <w:start w:val="1"/>
      <w:numFmt w:val="lowerRoman"/>
      <w:lvlText w:val="%9."/>
      <w:lvlJc w:val="right"/>
      <w:pPr>
        <w:ind w:left="8269" w:hanging="180"/>
      </w:pPr>
    </w:lvl>
  </w:abstractNum>
  <w:abstractNum w:abstractNumId="7" w15:restartNumberingAfterBreak="0">
    <w:nsid w:val="17734228"/>
    <w:multiLevelType w:val="hybridMultilevel"/>
    <w:tmpl w:val="D46485B6"/>
    <w:lvl w:ilvl="0" w:tplc="0C822378">
      <w:start w:val="1"/>
      <w:numFmt w:val="bullet"/>
      <w:pStyle w:val="liste"/>
      <w:lvlText w:val=""/>
      <w:lvlJc w:val="left"/>
      <w:pPr>
        <w:ind w:left="3337"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9102EA5"/>
    <w:multiLevelType w:val="multilevel"/>
    <w:tmpl w:val="2A9853F0"/>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551DA2"/>
    <w:multiLevelType w:val="hybridMultilevel"/>
    <w:tmpl w:val="085058B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8B172B"/>
    <w:multiLevelType w:val="hybridMultilevel"/>
    <w:tmpl w:val="099020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3C08C8"/>
    <w:multiLevelType w:val="multilevel"/>
    <w:tmpl w:val="040C001F"/>
    <w:styleLink w:val="Style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D63B0C"/>
    <w:multiLevelType w:val="hybridMultilevel"/>
    <w:tmpl w:val="1CE6F60E"/>
    <w:lvl w:ilvl="0" w:tplc="F89E6056">
      <w:start w:val="1"/>
      <w:numFmt w:val="bullet"/>
      <w:lvlText w:val=""/>
      <w:lvlJc w:val="left"/>
      <w:pPr>
        <w:tabs>
          <w:tab w:val="num" w:pos="501"/>
        </w:tabs>
        <w:ind w:left="501" w:hanging="360"/>
      </w:pPr>
      <w:rPr>
        <w:rFonts w:ascii="Wingdings" w:hAnsi="Wingdings" w:hint="default"/>
      </w:rPr>
    </w:lvl>
    <w:lvl w:ilvl="1" w:tplc="04090003">
      <w:start w:val="2"/>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EF59B7"/>
    <w:multiLevelType w:val="hybridMultilevel"/>
    <w:tmpl w:val="0D1A0F66"/>
    <w:lvl w:ilvl="0" w:tplc="040C0001">
      <w:start w:val="1"/>
      <w:numFmt w:val="bullet"/>
      <w:lvlText w:val=""/>
      <w:lvlJc w:val="left"/>
      <w:pPr>
        <w:ind w:left="720" w:hanging="360"/>
      </w:pPr>
      <w:rPr>
        <w:rFonts w:ascii="Symbol" w:hAnsi="Symbol" w:hint="default"/>
        <w:color w:val="auto"/>
      </w:rPr>
    </w:lvl>
    <w:lvl w:ilvl="1" w:tplc="B9A0A60A">
      <w:start w:val="13"/>
      <w:numFmt w:val="bullet"/>
      <w:lvlText w:val="-"/>
      <w:lvlJc w:val="left"/>
      <w:pPr>
        <w:ind w:left="644" w:hanging="360"/>
      </w:pPr>
      <w:rPr>
        <w:rFonts w:ascii="Verdana" w:eastAsia="Times New Roman" w:hAnsi="Verdana"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B91C76"/>
    <w:multiLevelType w:val="hybridMultilevel"/>
    <w:tmpl w:val="347E4D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5452D5"/>
    <w:multiLevelType w:val="multilevel"/>
    <w:tmpl w:val="D876CF82"/>
    <w:lvl w:ilvl="0">
      <w:start w:val="1"/>
      <w:numFmt w:val="bullet"/>
      <w:lvlText w:val=""/>
      <w:lvlJc w:val="left"/>
      <w:pPr>
        <w:ind w:left="360" w:hanging="360"/>
      </w:pPr>
      <w:rPr>
        <w:rFonts w:ascii="Symbol" w:hAnsi="Symbol" w:hint="default"/>
      </w:rPr>
    </w:lvl>
    <w:lvl w:ilvl="1">
      <w:start w:val="1"/>
      <w:numFmt w:val="decimal"/>
      <w:lvlText w:val="%1.%2."/>
      <w:lvlJc w:val="left"/>
      <w:pPr>
        <w:ind w:left="360" w:hanging="720"/>
      </w:pPr>
      <w:rPr>
        <w:rFonts w:hint="default"/>
        <w:b/>
      </w:rPr>
    </w:lvl>
    <w:lvl w:ilvl="2">
      <w:start w:val="1"/>
      <w:numFmt w:val="decimal"/>
      <w:lvlText w:val="%1.%2.%3."/>
      <w:lvlJc w:val="left"/>
      <w:pPr>
        <w:ind w:left="360" w:hanging="720"/>
      </w:pPr>
      <w:rPr>
        <w:rFonts w:hint="default"/>
      </w:rPr>
    </w:lvl>
    <w:lvl w:ilvl="3">
      <w:start w:val="1"/>
      <w:numFmt w:val="decimal"/>
      <w:lvlText w:val="%1.%2.%3.%4."/>
      <w:lvlJc w:val="left"/>
      <w:pPr>
        <w:ind w:left="720" w:hanging="108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1080" w:hanging="144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440" w:hanging="1800"/>
      </w:pPr>
      <w:rPr>
        <w:rFonts w:hint="default"/>
      </w:rPr>
    </w:lvl>
    <w:lvl w:ilvl="8">
      <w:start w:val="1"/>
      <w:numFmt w:val="decimal"/>
      <w:lvlText w:val="%1.%2.%3.%4.%5.%6.%7.%8.%9."/>
      <w:lvlJc w:val="left"/>
      <w:pPr>
        <w:ind w:left="1440" w:hanging="1800"/>
      </w:pPr>
      <w:rPr>
        <w:rFonts w:hint="default"/>
      </w:rPr>
    </w:lvl>
  </w:abstractNum>
  <w:abstractNum w:abstractNumId="16" w15:restartNumberingAfterBreak="0">
    <w:nsid w:val="3319005F"/>
    <w:multiLevelType w:val="hybridMultilevel"/>
    <w:tmpl w:val="CA304D72"/>
    <w:lvl w:ilvl="0" w:tplc="FAA2BD92">
      <w:start w:val="4"/>
      <w:numFmt w:val="bullet"/>
      <w:lvlText w:val="-"/>
      <w:lvlJc w:val="left"/>
      <w:pPr>
        <w:ind w:left="2160" w:hanging="360"/>
      </w:pPr>
      <w:rPr>
        <w:rFonts w:ascii="Times New Roman" w:eastAsia="Times New Roman" w:hAnsi="Times New Roman" w:cs="Times New Roman" w:hint="default"/>
        <w:color w:val="000000"/>
        <w:sz w:val="24"/>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7" w15:restartNumberingAfterBreak="0">
    <w:nsid w:val="33ED4BB2"/>
    <w:multiLevelType w:val="hybridMultilevel"/>
    <w:tmpl w:val="44E67C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981892"/>
    <w:multiLevelType w:val="hybridMultilevel"/>
    <w:tmpl w:val="8EAA72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48215A"/>
    <w:multiLevelType w:val="hybridMultilevel"/>
    <w:tmpl w:val="CE18EF8C"/>
    <w:lvl w:ilvl="0" w:tplc="2B224080">
      <w:start w:val="4"/>
      <w:numFmt w:val="bullet"/>
      <w:lvlText w:val="-"/>
      <w:lvlJc w:val="left"/>
      <w:pPr>
        <w:ind w:left="720" w:hanging="360"/>
      </w:pPr>
      <w:rPr>
        <w:rFonts w:ascii="Calibri" w:eastAsia="Times New Roman"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A879DA"/>
    <w:multiLevelType w:val="hybridMultilevel"/>
    <w:tmpl w:val="DE3EA2CE"/>
    <w:lvl w:ilvl="0" w:tplc="57084ED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1E72D5"/>
    <w:multiLevelType w:val="hybridMultilevel"/>
    <w:tmpl w:val="6A1C1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1F19EF"/>
    <w:multiLevelType w:val="hybridMultilevel"/>
    <w:tmpl w:val="331E5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0142F7"/>
    <w:multiLevelType w:val="hybridMultilevel"/>
    <w:tmpl w:val="87B253CA"/>
    <w:lvl w:ilvl="0" w:tplc="259046F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EA25EBC"/>
    <w:multiLevelType w:val="hybridMultilevel"/>
    <w:tmpl w:val="56709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DC00E4"/>
    <w:multiLevelType w:val="hybridMultilevel"/>
    <w:tmpl w:val="B47EC32E"/>
    <w:lvl w:ilvl="0" w:tplc="040C0001">
      <w:start w:val="1"/>
      <w:numFmt w:val="bullet"/>
      <w:lvlText w:val=""/>
      <w:lvlJc w:val="left"/>
      <w:pPr>
        <w:ind w:left="720" w:hanging="360"/>
      </w:pPr>
      <w:rPr>
        <w:rFonts w:ascii="Symbol" w:hAnsi="Symbol" w:hint="default"/>
      </w:rPr>
    </w:lvl>
    <w:lvl w:ilvl="1" w:tplc="57084EDA">
      <w:start w:val="3"/>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325EF6"/>
    <w:multiLevelType w:val="hybridMultilevel"/>
    <w:tmpl w:val="AFC0E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CE0B1B"/>
    <w:multiLevelType w:val="hybridMultilevel"/>
    <w:tmpl w:val="94701E5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8" w15:restartNumberingAfterBreak="0">
    <w:nsid w:val="5D363436"/>
    <w:multiLevelType w:val="hybridMultilevel"/>
    <w:tmpl w:val="7BBE93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905F2A"/>
    <w:multiLevelType w:val="hybridMultilevel"/>
    <w:tmpl w:val="892828C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0" w15:restartNumberingAfterBreak="0">
    <w:nsid w:val="664E10EE"/>
    <w:multiLevelType w:val="hybridMultilevel"/>
    <w:tmpl w:val="73F61096"/>
    <w:lvl w:ilvl="0" w:tplc="02BE81A0">
      <w:start w:val="3"/>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7713C1"/>
    <w:multiLevelType w:val="hybridMultilevel"/>
    <w:tmpl w:val="15D62F5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643"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F4F6EDE"/>
    <w:multiLevelType w:val="hybridMultilevel"/>
    <w:tmpl w:val="877ACA44"/>
    <w:lvl w:ilvl="0" w:tplc="0AEEBB44">
      <w:start w:val="1"/>
      <w:numFmt w:val="decimal"/>
      <w:pStyle w:val="Titre1"/>
      <w:lvlText w:val="%1."/>
      <w:lvlJc w:val="left"/>
      <w:pPr>
        <w:ind w:left="720" w:hanging="360"/>
      </w:pPr>
      <w:rPr>
        <w:rFonts w:cs="Arial" w:hint="default"/>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F9C142E"/>
    <w:multiLevelType w:val="hybridMultilevel"/>
    <w:tmpl w:val="6EBA6F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5174FD4"/>
    <w:multiLevelType w:val="hybridMultilevel"/>
    <w:tmpl w:val="754A0692"/>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35" w15:restartNumberingAfterBreak="0">
    <w:nsid w:val="77B07B39"/>
    <w:multiLevelType w:val="hybridMultilevel"/>
    <w:tmpl w:val="D624B674"/>
    <w:lvl w:ilvl="0" w:tplc="05560172">
      <w:start w:val="1"/>
      <w:numFmt w:val="bullet"/>
      <w:lvlText w:val=""/>
      <w:lvlJc w:val="left"/>
      <w:pPr>
        <w:ind w:left="720" w:hanging="360"/>
      </w:pPr>
      <w:rPr>
        <w:rFonts w:ascii="Wingdings" w:hAnsi="Wingdings" w:hint="default"/>
        <w:color w:val="auto"/>
      </w:rPr>
    </w:lvl>
    <w:lvl w:ilvl="1" w:tplc="B9A0A60A">
      <w:start w:val="13"/>
      <w:numFmt w:val="bullet"/>
      <w:lvlText w:val="-"/>
      <w:lvlJc w:val="left"/>
      <w:pPr>
        <w:ind w:left="644" w:hanging="360"/>
      </w:pPr>
      <w:rPr>
        <w:rFonts w:ascii="Verdana" w:eastAsia="Times New Roman" w:hAnsi="Verdana"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631AC5"/>
    <w:multiLevelType w:val="hybridMultilevel"/>
    <w:tmpl w:val="F796B8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7F647E79"/>
    <w:multiLevelType w:val="hybridMultilevel"/>
    <w:tmpl w:val="76982A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32"/>
  </w:num>
  <w:num w:numId="4">
    <w:abstractNumId w:val="23"/>
  </w:num>
  <w:num w:numId="5">
    <w:abstractNumId w:val="7"/>
  </w:num>
  <w:num w:numId="6">
    <w:abstractNumId w:val="8"/>
  </w:num>
  <w:num w:numId="7">
    <w:abstractNumId w:val="9"/>
  </w:num>
  <w:num w:numId="8">
    <w:abstractNumId w:val="17"/>
  </w:num>
  <w:num w:numId="9">
    <w:abstractNumId w:val="24"/>
  </w:num>
  <w:num w:numId="10">
    <w:abstractNumId w:val="34"/>
  </w:num>
  <w:num w:numId="11">
    <w:abstractNumId w:val="16"/>
  </w:num>
  <w:num w:numId="12">
    <w:abstractNumId w:val="4"/>
  </w:num>
  <w:num w:numId="13">
    <w:abstractNumId w:val="35"/>
  </w:num>
  <w:num w:numId="14">
    <w:abstractNumId w:val="21"/>
  </w:num>
  <w:num w:numId="15">
    <w:abstractNumId w:val="37"/>
  </w:num>
  <w:num w:numId="16">
    <w:abstractNumId w:val="0"/>
  </w:num>
  <w:num w:numId="17">
    <w:abstractNumId w:val="12"/>
  </w:num>
  <w:num w:numId="18">
    <w:abstractNumId w:val="2"/>
  </w:num>
  <w:num w:numId="19">
    <w:abstractNumId w:val="10"/>
  </w:num>
  <w:num w:numId="20">
    <w:abstractNumId w:val="29"/>
  </w:num>
  <w:num w:numId="21">
    <w:abstractNumId w:val="1"/>
  </w:num>
  <w:num w:numId="22">
    <w:abstractNumId w:val="20"/>
  </w:num>
  <w:num w:numId="23">
    <w:abstractNumId w:val="18"/>
  </w:num>
  <w:num w:numId="24">
    <w:abstractNumId w:val="33"/>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8"/>
  </w:num>
  <w:num w:numId="28">
    <w:abstractNumId w:val="3"/>
  </w:num>
  <w:num w:numId="29">
    <w:abstractNumId w:val="19"/>
  </w:num>
  <w:num w:numId="30">
    <w:abstractNumId w:val="6"/>
  </w:num>
  <w:num w:numId="31">
    <w:abstractNumId w:val="27"/>
  </w:num>
  <w:num w:numId="32">
    <w:abstractNumId w:val="5"/>
  </w:num>
  <w:num w:numId="33">
    <w:abstractNumId w:val="22"/>
  </w:num>
  <w:num w:numId="34">
    <w:abstractNumId w:val="30"/>
  </w:num>
  <w:num w:numId="35">
    <w:abstractNumId w:val="26"/>
  </w:num>
  <w:num w:numId="36">
    <w:abstractNumId w:val="13"/>
  </w:num>
  <w:num w:numId="37">
    <w:abstractNumId w:val="15"/>
  </w:num>
  <w:num w:numId="38">
    <w:abstractNumId w:val="14"/>
  </w:num>
  <w:num w:numId="39">
    <w:abstractNumId w:val="31"/>
  </w:num>
  <w:num w:numId="40">
    <w:abstractNumId w:val="32"/>
  </w:num>
  <w:num w:numId="41">
    <w:abstractNumId w:val="32"/>
  </w:num>
  <w:num w:numId="42">
    <w:abstractNumId w:val="32"/>
  </w:num>
  <w:num w:numId="43">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activeWritingStyle w:appName="MSWord" w:lang="fr-FR"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fr-FR" w:vendorID="64" w:dllVersion="6" w:nlCheck="1" w:checkStyle="1"/>
  <w:activeWritingStyle w:appName="MSWord" w:lang="fr-CH"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fr-CA" w:vendorID="64" w:dllVersion="0" w:nlCheck="1" w:checkStyle="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25"/>
    <w:rsid w:val="00001A22"/>
    <w:rsid w:val="000032AC"/>
    <w:rsid w:val="00007D58"/>
    <w:rsid w:val="00010366"/>
    <w:rsid w:val="00010AE0"/>
    <w:rsid w:val="00015A7E"/>
    <w:rsid w:val="00015F92"/>
    <w:rsid w:val="00016712"/>
    <w:rsid w:val="0001751F"/>
    <w:rsid w:val="00021B5A"/>
    <w:rsid w:val="00023426"/>
    <w:rsid w:val="0002411F"/>
    <w:rsid w:val="00026B5C"/>
    <w:rsid w:val="00027842"/>
    <w:rsid w:val="00030CAF"/>
    <w:rsid w:val="00030E6F"/>
    <w:rsid w:val="00033262"/>
    <w:rsid w:val="000344B2"/>
    <w:rsid w:val="0003598B"/>
    <w:rsid w:val="00036036"/>
    <w:rsid w:val="000360D3"/>
    <w:rsid w:val="00037292"/>
    <w:rsid w:val="00040E49"/>
    <w:rsid w:val="00044B81"/>
    <w:rsid w:val="00046BF5"/>
    <w:rsid w:val="00047353"/>
    <w:rsid w:val="00047E71"/>
    <w:rsid w:val="00054775"/>
    <w:rsid w:val="00054D22"/>
    <w:rsid w:val="00070F0E"/>
    <w:rsid w:val="0007172A"/>
    <w:rsid w:val="000736F7"/>
    <w:rsid w:val="00075148"/>
    <w:rsid w:val="0007740F"/>
    <w:rsid w:val="00082C5E"/>
    <w:rsid w:val="0008386C"/>
    <w:rsid w:val="0008398D"/>
    <w:rsid w:val="00085798"/>
    <w:rsid w:val="00085A26"/>
    <w:rsid w:val="000864B9"/>
    <w:rsid w:val="00086CF0"/>
    <w:rsid w:val="00086EFD"/>
    <w:rsid w:val="00092738"/>
    <w:rsid w:val="000A06C5"/>
    <w:rsid w:val="000A0992"/>
    <w:rsid w:val="000A09DC"/>
    <w:rsid w:val="000A1657"/>
    <w:rsid w:val="000A784D"/>
    <w:rsid w:val="000B012F"/>
    <w:rsid w:val="000B23FC"/>
    <w:rsid w:val="000B3C61"/>
    <w:rsid w:val="000B5303"/>
    <w:rsid w:val="000B6765"/>
    <w:rsid w:val="000B77AB"/>
    <w:rsid w:val="000B7D0F"/>
    <w:rsid w:val="000C0480"/>
    <w:rsid w:val="000C0AFD"/>
    <w:rsid w:val="000C1A41"/>
    <w:rsid w:val="000C1D7C"/>
    <w:rsid w:val="000C3B36"/>
    <w:rsid w:val="000C4215"/>
    <w:rsid w:val="000C5E60"/>
    <w:rsid w:val="000C61AB"/>
    <w:rsid w:val="000D2104"/>
    <w:rsid w:val="000D3C77"/>
    <w:rsid w:val="000D50E0"/>
    <w:rsid w:val="000D58A5"/>
    <w:rsid w:val="000E19A7"/>
    <w:rsid w:val="000E2723"/>
    <w:rsid w:val="000E2D21"/>
    <w:rsid w:val="000E3B9D"/>
    <w:rsid w:val="000F0379"/>
    <w:rsid w:val="000F0770"/>
    <w:rsid w:val="000F1436"/>
    <w:rsid w:val="000F1CD0"/>
    <w:rsid w:val="000F236A"/>
    <w:rsid w:val="000F2EC3"/>
    <w:rsid w:val="001044F4"/>
    <w:rsid w:val="00105176"/>
    <w:rsid w:val="001066BC"/>
    <w:rsid w:val="00106FD1"/>
    <w:rsid w:val="00107EC1"/>
    <w:rsid w:val="0011052D"/>
    <w:rsid w:val="00110C73"/>
    <w:rsid w:val="00114F18"/>
    <w:rsid w:val="00115249"/>
    <w:rsid w:val="001174FB"/>
    <w:rsid w:val="00123202"/>
    <w:rsid w:val="00131DA4"/>
    <w:rsid w:val="00135103"/>
    <w:rsid w:val="001353FD"/>
    <w:rsid w:val="00135DB2"/>
    <w:rsid w:val="00137EFA"/>
    <w:rsid w:val="00140D5B"/>
    <w:rsid w:val="0014350C"/>
    <w:rsid w:val="0014591E"/>
    <w:rsid w:val="001464B3"/>
    <w:rsid w:val="0015165E"/>
    <w:rsid w:val="0015180A"/>
    <w:rsid w:val="001527B5"/>
    <w:rsid w:val="00154541"/>
    <w:rsid w:val="001546D0"/>
    <w:rsid w:val="00154E99"/>
    <w:rsid w:val="00154F4A"/>
    <w:rsid w:val="001576AC"/>
    <w:rsid w:val="00157FEA"/>
    <w:rsid w:val="00164BEB"/>
    <w:rsid w:val="00165B4C"/>
    <w:rsid w:val="00165D1B"/>
    <w:rsid w:val="00167564"/>
    <w:rsid w:val="00170385"/>
    <w:rsid w:val="00171AFD"/>
    <w:rsid w:val="00173C15"/>
    <w:rsid w:val="001770B9"/>
    <w:rsid w:val="00181CE5"/>
    <w:rsid w:val="001829CB"/>
    <w:rsid w:val="0018731B"/>
    <w:rsid w:val="00190758"/>
    <w:rsid w:val="001925B0"/>
    <w:rsid w:val="00192E96"/>
    <w:rsid w:val="00193AA7"/>
    <w:rsid w:val="00194B6A"/>
    <w:rsid w:val="00195113"/>
    <w:rsid w:val="0019701D"/>
    <w:rsid w:val="001A1037"/>
    <w:rsid w:val="001A311B"/>
    <w:rsid w:val="001A3AD7"/>
    <w:rsid w:val="001A4668"/>
    <w:rsid w:val="001A655D"/>
    <w:rsid w:val="001A70B1"/>
    <w:rsid w:val="001A7588"/>
    <w:rsid w:val="001B3ACF"/>
    <w:rsid w:val="001C146E"/>
    <w:rsid w:val="001C1B9A"/>
    <w:rsid w:val="001C1BAF"/>
    <w:rsid w:val="001C1DD2"/>
    <w:rsid w:val="001C3756"/>
    <w:rsid w:val="001C4070"/>
    <w:rsid w:val="001C7350"/>
    <w:rsid w:val="001D2206"/>
    <w:rsid w:val="001D6066"/>
    <w:rsid w:val="001D74D3"/>
    <w:rsid w:val="001D7723"/>
    <w:rsid w:val="001D790E"/>
    <w:rsid w:val="001E01CD"/>
    <w:rsid w:val="001E02F3"/>
    <w:rsid w:val="001E6B3D"/>
    <w:rsid w:val="001F15AA"/>
    <w:rsid w:val="001F16DF"/>
    <w:rsid w:val="001F41F4"/>
    <w:rsid w:val="001F4B5E"/>
    <w:rsid w:val="001F4D8B"/>
    <w:rsid w:val="0020100E"/>
    <w:rsid w:val="002011BC"/>
    <w:rsid w:val="002046D3"/>
    <w:rsid w:val="00206520"/>
    <w:rsid w:val="00206B4A"/>
    <w:rsid w:val="00212C8A"/>
    <w:rsid w:val="00217ABA"/>
    <w:rsid w:val="00224846"/>
    <w:rsid w:val="00224D22"/>
    <w:rsid w:val="002263FD"/>
    <w:rsid w:val="00234CA7"/>
    <w:rsid w:val="002358C7"/>
    <w:rsid w:val="00237ACB"/>
    <w:rsid w:val="00240456"/>
    <w:rsid w:val="0024233E"/>
    <w:rsid w:val="0024264D"/>
    <w:rsid w:val="00244554"/>
    <w:rsid w:val="00244D64"/>
    <w:rsid w:val="00247154"/>
    <w:rsid w:val="002503FF"/>
    <w:rsid w:val="00252CE7"/>
    <w:rsid w:val="00256A14"/>
    <w:rsid w:val="00256A15"/>
    <w:rsid w:val="002631D9"/>
    <w:rsid w:val="00263BF8"/>
    <w:rsid w:val="00266844"/>
    <w:rsid w:val="00266896"/>
    <w:rsid w:val="00272163"/>
    <w:rsid w:val="00272442"/>
    <w:rsid w:val="00280172"/>
    <w:rsid w:val="002812CC"/>
    <w:rsid w:val="00284484"/>
    <w:rsid w:val="002848F9"/>
    <w:rsid w:val="002874ED"/>
    <w:rsid w:val="0029258D"/>
    <w:rsid w:val="0029335D"/>
    <w:rsid w:val="00294CFD"/>
    <w:rsid w:val="00294F00"/>
    <w:rsid w:val="002978A3"/>
    <w:rsid w:val="002A1509"/>
    <w:rsid w:val="002A23F0"/>
    <w:rsid w:val="002A3A54"/>
    <w:rsid w:val="002A4823"/>
    <w:rsid w:val="002A51BC"/>
    <w:rsid w:val="002A7068"/>
    <w:rsid w:val="002B1856"/>
    <w:rsid w:val="002B1ED2"/>
    <w:rsid w:val="002B2C77"/>
    <w:rsid w:val="002B58F5"/>
    <w:rsid w:val="002B5E28"/>
    <w:rsid w:val="002B6657"/>
    <w:rsid w:val="002B766D"/>
    <w:rsid w:val="002B7A8B"/>
    <w:rsid w:val="002C4B8F"/>
    <w:rsid w:val="002C505C"/>
    <w:rsid w:val="002C69F8"/>
    <w:rsid w:val="002D09A1"/>
    <w:rsid w:val="002D1A35"/>
    <w:rsid w:val="002E36CF"/>
    <w:rsid w:val="002E4F0A"/>
    <w:rsid w:val="002F0EBE"/>
    <w:rsid w:val="002F49E2"/>
    <w:rsid w:val="002F58A6"/>
    <w:rsid w:val="002F60A8"/>
    <w:rsid w:val="0030030B"/>
    <w:rsid w:val="003041C7"/>
    <w:rsid w:val="003063CA"/>
    <w:rsid w:val="003068FD"/>
    <w:rsid w:val="0031042E"/>
    <w:rsid w:val="00312B39"/>
    <w:rsid w:val="00313CBA"/>
    <w:rsid w:val="00315713"/>
    <w:rsid w:val="003167B8"/>
    <w:rsid w:val="003170CF"/>
    <w:rsid w:val="003228AA"/>
    <w:rsid w:val="00324A42"/>
    <w:rsid w:val="0032520C"/>
    <w:rsid w:val="0032551F"/>
    <w:rsid w:val="00325EFD"/>
    <w:rsid w:val="00327AA7"/>
    <w:rsid w:val="003303BD"/>
    <w:rsid w:val="00332D40"/>
    <w:rsid w:val="003336CD"/>
    <w:rsid w:val="00336442"/>
    <w:rsid w:val="00337BC5"/>
    <w:rsid w:val="00341919"/>
    <w:rsid w:val="00342585"/>
    <w:rsid w:val="00342F83"/>
    <w:rsid w:val="00345279"/>
    <w:rsid w:val="00350D28"/>
    <w:rsid w:val="00350EB7"/>
    <w:rsid w:val="00351907"/>
    <w:rsid w:val="003546D0"/>
    <w:rsid w:val="00355068"/>
    <w:rsid w:val="0035517E"/>
    <w:rsid w:val="00355C7A"/>
    <w:rsid w:val="00360A40"/>
    <w:rsid w:val="00360CB8"/>
    <w:rsid w:val="00362EAE"/>
    <w:rsid w:val="003635D4"/>
    <w:rsid w:val="00365EDA"/>
    <w:rsid w:val="0036679F"/>
    <w:rsid w:val="003675F1"/>
    <w:rsid w:val="00367A40"/>
    <w:rsid w:val="003721CE"/>
    <w:rsid w:val="00373C69"/>
    <w:rsid w:val="00373E45"/>
    <w:rsid w:val="00374284"/>
    <w:rsid w:val="00375044"/>
    <w:rsid w:val="00375201"/>
    <w:rsid w:val="00377AC1"/>
    <w:rsid w:val="00380092"/>
    <w:rsid w:val="0038023B"/>
    <w:rsid w:val="003815B2"/>
    <w:rsid w:val="00383035"/>
    <w:rsid w:val="003856AD"/>
    <w:rsid w:val="00391649"/>
    <w:rsid w:val="00393201"/>
    <w:rsid w:val="003A1BF2"/>
    <w:rsid w:val="003A6145"/>
    <w:rsid w:val="003B0754"/>
    <w:rsid w:val="003B341C"/>
    <w:rsid w:val="003B5309"/>
    <w:rsid w:val="003C21BD"/>
    <w:rsid w:val="003C7143"/>
    <w:rsid w:val="003C7683"/>
    <w:rsid w:val="003D0801"/>
    <w:rsid w:val="003D1543"/>
    <w:rsid w:val="003D1D3C"/>
    <w:rsid w:val="003D2977"/>
    <w:rsid w:val="003D5D20"/>
    <w:rsid w:val="003E0A75"/>
    <w:rsid w:val="003E4899"/>
    <w:rsid w:val="003E5110"/>
    <w:rsid w:val="003E55AC"/>
    <w:rsid w:val="003E6275"/>
    <w:rsid w:val="003F02F4"/>
    <w:rsid w:val="003F0820"/>
    <w:rsid w:val="003F2030"/>
    <w:rsid w:val="003F2BC2"/>
    <w:rsid w:val="003F328E"/>
    <w:rsid w:val="003F4780"/>
    <w:rsid w:val="003F485F"/>
    <w:rsid w:val="003F48A7"/>
    <w:rsid w:val="003F50B9"/>
    <w:rsid w:val="003F553D"/>
    <w:rsid w:val="003F5569"/>
    <w:rsid w:val="003F58D8"/>
    <w:rsid w:val="0040033B"/>
    <w:rsid w:val="00402864"/>
    <w:rsid w:val="00402F83"/>
    <w:rsid w:val="00403244"/>
    <w:rsid w:val="004051FF"/>
    <w:rsid w:val="00411EF4"/>
    <w:rsid w:val="004123CF"/>
    <w:rsid w:val="00413B91"/>
    <w:rsid w:val="00413FC4"/>
    <w:rsid w:val="0042116A"/>
    <w:rsid w:val="00422E6D"/>
    <w:rsid w:val="00426675"/>
    <w:rsid w:val="004311AC"/>
    <w:rsid w:val="00432A79"/>
    <w:rsid w:val="00433343"/>
    <w:rsid w:val="00435A98"/>
    <w:rsid w:val="00435CF0"/>
    <w:rsid w:val="004412C9"/>
    <w:rsid w:val="00443D0D"/>
    <w:rsid w:val="00443D86"/>
    <w:rsid w:val="00444CAE"/>
    <w:rsid w:val="0044563A"/>
    <w:rsid w:val="00446619"/>
    <w:rsid w:val="0044681D"/>
    <w:rsid w:val="004475AD"/>
    <w:rsid w:val="00450DD9"/>
    <w:rsid w:val="00451654"/>
    <w:rsid w:val="00451FC5"/>
    <w:rsid w:val="00452459"/>
    <w:rsid w:val="00453E3D"/>
    <w:rsid w:val="00455AB8"/>
    <w:rsid w:val="00456153"/>
    <w:rsid w:val="004621C6"/>
    <w:rsid w:val="00464E5D"/>
    <w:rsid w:val="0046746D"/>
    <w:rsid w:val="00470108"/>
    <w:rsid w:val="0047073A"/>
    <w:rsid w:val="00473C11"/>
    <w:rsid w:val="00476397"/>
    <w:rsid w:val="00477934"/>
    <w:rsid w:val="004824A9"/>
    <w:rsid w:val="004825BB"/>
    <w:rsid w:val="004836F7"/>
    <w:rsid w:val="00483A39"/>
    <w:rsid w:val="00484857"/>
    <w:rsid w:val="00484E6E"/>
    <w:rsid w:val="00486F41"/>
    <w:rsid w:val="00491062"/>
    <w:rsid w:val="004938E5"/>
    <w:rsid w:val="00496497"/>
    <w:rsid w:val="004A0C3C"/>
    <w:rsid w:val="004A19A3"/>
    <w:rsid w:val="004A2166"/>
    <w:rsid w:val="004A3A59"/>
    <w:rsid w:val="004A4646"/>
    <w:rsid w:val="004B020A"/>
    <w:rsid w:val="004B71C8"/>
    <w:rsid w:val="004B7991"/>
    <w:rsid w:val="004C25C8"/>
    <w:rsid w:val="004C5EFC"/>
    <w:rsid w:val="004D1381"/>
    <w:rsid w:val="004D2946"/>
    <w:rsid w:val="004D31C7"/>
    <w:rsid w:val="004D5E45"/>
    <w:rsid w:val="004D7354"/>
    <w:rsid w:val="004D7362"/>
    <w:rsid w:val="004E29AE"/>
    <w:rsid w:val="004F20E2"/>
    <w:rsid w:val="004F24C8"/>
    <w:rsid w:val="004F3F2B"/>
    <w:rsid w:val="004F50E3"/>
    <w:rsid w:val="004F523D"/>
    <w:rsid w:val="00503A20"/>
    <w:rsid w:val="005059F1"/>
    <w:rsid w:val="005101D4"/>
    <w:rsid w:val="0051157A"/>
    <w:rsid w:val="00512F64"/>
    <w:rsid w:val="005131AE"/>
    <w:rsid w:val="00513E63"/>
    <w:rsid w:val="005176DC"/>
    <w:rsid w:val="005209E2"/>
    <w:rsid w:val="005217F0"/>
    <w:rsid w:val="00521D0A"/>
    <w:rsid w:val="00521FCF"/>
    <w:rsid w:val="0052227E"/>
    <w:rsid w:val="0052582F"/>
    <w:rsid w:val="00526471"/>
    <w:rsid w:val="00526802"/>
    <w:rsid w:val="00527554"/>
    <w:rsid w:val="00527A9C"/>
    <w:rsid w:val="00531BC2"/>
    <w:rsid w:val="00531FDF"/>
    <w:rsid w:val="005362B8"/>
    <w:rsid w:val="00536AF9"/>
    <w:rsid w:val="0054102E"/>
    <w:rsid w:val="0054251E"/>
    <w:rsid w:val="0054345A"/>
    <w:rsid w:val="00543F0F"/>
    <w:rsid w:val="00545D62"/>
    <w:rsid w:val="00547555"/>
    <w:rsid w:val="005526F0"/>
    <w:rsid w:val="00561CFC"/>
    <w:rsid w:val="00561D96"/>
    <w:rsid w:val="00563646"/>
    <w:rsid w:val="00566104"/>
    <w:rsid w:val="00567B73"/>
    <w:rsid w:val="0057368F"/>
    <w:rsid w:val="0057399C"/>
    <w:rsid w:val="00574892"/>
    <w:rsid w:val="00583119"/>
    <w:rsid w:val="00585575"/>
    <w:rsid w:val="00585AB8"/>
    <w:rsid w:val="00586661"/>
    <w:rsid w:val="005876DC"/>
    <w:rsid w:val="005934FC"/>
    <w:rsid w:val="00595168"/>
    <w:rsid w:val="0059619E"/>
    <w:rsid w:val="005A03EE"/>
    <w:rsid w:val="005A0976"/>
    <w:rsid w:val="005A4808"/>
    <w:rsid w:val="005B08C7"/>
    <w:rsid w:val="005B0A9B"/>
    <w:rsid w:val="005B27B0"/>
    <w:rsid w:val="005B2CA2"/>
    <w:rsid w:val="005B2E1D"/>
    <w:rsid w:val="005B3E39"/>
    <w:rsid w:val="005B480E"/>
    <w:rsid w:val="005B52BA"/>
    <w:rsid w:val="005B60CF"/>
    <w:rsid w:val="005C00A8"/>
    <w:rsid w:val="005C10B8"/>
    <w:rsid w:val="005C291F"/>
    <w:rsid w:val="005C3511"/>
    <w:rsid w:val="005C3893"/>
    <w:rsid w:val="005C699E"/>
    <w:rsid w:val="005D088A"/>
    <w:rsid w:val="005D0C88"/>
    <w:rsid w:val="005D3659"/>
    <w:rsid w:val="005D4C7A"/>
    <w:rsid w:val="005D532D"/>
    <w:rsid w:val="005D7185"/>
    <w:rsid w:val="005E0A2B"/>
    <w:rsid w:val="005E2024"/>
    <w:rsid w:val="005E3C3D"/>
    <w:rsid w:val="005E674D"/>
    <w:rsid w:val="005F5563"/>
    <w:rsid w:val="006004A9"/>
    <w:rsid w:val="0060143F"/>
    <w:rsid w:val="00604CBE"/>
    <w:rsid w:val="00606ADD"/>
    <w:rsid w:val="0061294C"/>
    <w:rsid w:val="0062296C"/>
    <w:rsid w:val="00623B7B"/>
    <w:rsid w:val="0062512C"/>
    <w:rsid w:val="00626AAC"/>
    <w:rsid w:val="0062715F"/>
    <w:rsid w:val="00627303"/>
    <w:rsid w:val="006315CF"/>
    <w:rsid w:val="00632443"/>
    <w:rsid w:val="00635549"/>
    <w:rsid w:val="00636F5D"/>
    <w:rsid w:val="006374EE"/>
    <w:rsid w:val="006500DE"/>
    <w:rsid w:val="00652628"/>
    <w:rsid w:val="00652A26"/>
    <w:rsid w:val="0065311A"/>
    <w:rsid w:val="00655677"/>
    <w:rsid w:val="00657726"/>
    <w:rsid w:val="00661823"/>
    <w:rsid w:val="00662A08"/>
    <w:rsid w:val="00670CE8"/>
    <w:rsid w:val="006766E9"/>
    <w:rsid w:val="00676931"/>
    <w:rsid w:val="00680E08"/>
    <w:rsid w:val="00684EF9"/>
    <w:rsid w:val="00692D1B"/>
    <w:rsid w:val="00693A25"/>
    <w:rsid w:val="006946D9"/>
    <w:rsid w:val="00694DF8"/>
    <w:rsid w:val="006A31A0"/>
    <w:rsid w:val="006A37DF"/>
    <w:rsid w:val="006A3DEF"/>
    <w:rsid w:val="006A405B"/>
    <w:rsid w:val="006A744B"/>
    <w:rsid w:val="006A7978"/>
    <w:rsid w:val="006B057F"/>
    <w:rsid w:val="006B31B7"/>
    <w:rsid w:val="006B32BF"/>
    <w:rsid w:val="006B6348"/>
    <w:rsid w:val="006B644B"/>
    <w:rsid w:val="006B7270"/>
    <w:rsid w:val="006B7E12"/>
    <w:rsid w:val="006C0F26"/>
    <w:rsid w:val="006C10BF"/>
    <w:rsid w:val="006C2E62"/>
    <w:rsid w:val="006C4417"/>
    <w:rsid w:val="006C55D8"/>
    <w:rsid w:val="006C6068"/>
    <w:rsid w:val="006C6112"/>
    <w:rsid w:val="006C7459"/>
    <w:rsid w:val="006C7470"/>
    <w:rsid w:val="006D03E7"/>
    <w:rsid w:val="006D08D9"/>
    <w:rsid w:val="006D3AB7"/>
    <w:rsid w:val="006D5C93"/>
    <w:rsid w:val="006D6B17"/>
    <w:rsid w:val="006D6E42"/>
    <w:rsid w:val="006D7655"/>
    <w:rsid w:val="006E19F5"/>
    <w:rsid w:val="006E309E"/>
    <w:rsid w:val="006E3964"/>
    <w:rsid w:val="006E47A8"/>
    <w:rsid w:val="006E51C6"/>
    <w:rsid w:val="006E5794"/>
    <w:rsid w:val="006F1C05"/>
    <w:rsid w:val="006F4572"/>
    <w:rsid w:val="006F5AD9"/>
    <w:rsid w:val="006F5E8B"/>
    <w:rsid w:val="006F60B8"/>
    <w:rsid w:val="006F63AB"/>
    <w:rsid w:val="006F776A"/>
    <w:rsid w:val="007046EA"/>
    <w:rsid w:val="00704C82"/>
    <w:rsid w:val="00704DFE"/>
    <w:rsid w:val="00710DB9"/>
    <w:rsid w:val="00711114"/>
    <w:rsid w:val="00712711"/>
    <w:rsid w:val="007133E7"/>
    <w:rsid w:val="0071348C"/>
    <w:rsid w:val="00717AD8"/>
    <w:rsid w:val="00721928"/>
    <w:rsid w:val="00721EAE"/>
    <w:rsid w:val="007226F2"/>
    <w:rsid w:val="00726BC6"/>
    <w:rsid w:val="007302B6"/>
    <w:rsid w:val="007313AA"/>
    <w:rsid w:val="007324BB"/>
    <w:rsid w:val="007343AC"/>
    <w:rsid w:val="00737114"/>
    <w:rsid w:val="00745BF1"/>
    <w:rsid w:val="00746ABC"/>
    <w:rsid w:val="00747BCE"/>
    <w:rsid w:val="00750262"/>
    <w:rsid w:val="00750DF3"/>
    <w:rsid w:val="007510E0"/>
    <w:rsid w:val="00751A2B"/>
    <w:rsid w:val="00753E2C"/>
    <w:rsid w:val="00754351"/>
    <w:rsid w:val="007557AD"/>
    <w:rsid w:val="00757A19"/>
    <w:rsid w:val="00763BB8"/>
    <w:rsid w:val="00764D5F"/>
    <w:rsid w:val="00767563"/>
    <w:rsid w:val="007705A8"/>
    <w:rsid w:val="00771488"/>
    <w:rsid w:val="00771A2A"/>
    <w:rsid w:val="00771C54"/>
    <w:rsid w:val="00771CD3"/>
    <w:rsid w:val="00776C8F"/>
    <w:rsid w:val="00784009"/>
    <w:rsid w:val="0078629E"/>
    <w:rsid w:val="007866DF"/>
    <w:rsid w:val="007879DA"/>
    <w:rsid w:val="00787CCB"/>
    <w:rsid w:val="0079309F"/>
    <w:rsid w:val="00793EE1"/>
    <w:rsid w:val="00795CF4"/>
    <w:rsid w:val="00797194"/>
    <w:rsid w:val="00797276"/>
    <w:rsid w:val="007A0B4E"/>
    <w:rsid w:val="007A11B6"/>
    <w:rsid w:val="007A7C07"/>
    <w:rsid w:val="007B004C"/>
    <w:rsid w:val="007B029B"/>
    <w:rsid w:val="007B1956"/>
    <w:rsid w:val="007B3A66"/>
    <w:rsid w:val="007C0B8F"/>
    <w:rsid w:val="007C44E0"/>
    <w:rsid w:val="007C4CAF"/>
    <w:rsid w:val="007C6D20"/>
    <w:rsid w:val="007D09BF"/>
    <w:rsid w:val="007D10F8"/>
    <w:rsid w:val="007D1553"/>
    <w:rsid w:val="007D5CAC"/>
    <w:rsid w:val="007E0BFB"/>
    <w:rsid w:val="007E1F2C"/>
    <w:rsid w:val="007E595D"/>
    <w:rsid w:val="007F0A28"/>
    <w:rsid w:val="007F17A9"/>
    <w:rsid w:val="007F3D1B"/>
    <w:rsid w:val="007F42E4"/>
    <w:rsid w:val="007F4863"/>
    <w:rsid w:val="007F4D48"/>
    <w:rsid w:val="00800C2B"/>
    <w:rsid w:val="0080493D"/>
    <w:rsid w:val="0080739B"/>
    <w:rsid w:val="008140DB"/>
    <w:rsid w:val="008159C0"/>
    <w:rsid w:val="0082045A"/>
    <w:rsid w:val="00822599"/>
    <w:rsid w:val="0082437B"/>
    <w:rsid w:val="00827849"/>
    <w:rsid w:val="00827FDD"/>
    <w:rsid w:val="00832867"/>
    <w:rsid w:val="00834974"/>
    <w:rsid w:val="00840823"/>
    <w:rsid w:val="00840C85"/>
    <w:rsid w:val="008429F6"/>
    <w:rsid w:val="00843057"/>
    <w:rsid w:val="00843AA3"/>
    <w:rsid w:val="00843D47"/>
    <w:rsid w:val="00845B96"/>
    <w:rsid w:val="00845C6A"/>
    <w:rsid w:val="0084693E"/>
    <w:rsid w:val="008470A9"/>
    <w:rsid w:val="0084752A"/>
    <w:rsid w:val="00847AF7"/>
    <w:rsid w:val="00847C9F"/>
    <w:rsid w:val="00852DA0"/>
    <w:rsid w:val="0085343C"/>
    <w:rsid w:val="00853C92"/>
    <w:rsid w:val="00854934"/>
    <w:rsid w:val="0085533B"/>
    <w:rsid w:val="00856BC1"/>
    <w:rsid w:val="00857E71"/>
    <w:rsid w:val="00862473"/>
    <w:rsid w:val="00865F0F"/>
    <w:rsid w:val="008739BA"/>
    <w:rsid w:val="00874AA8"/>
    <w:rsid w:val="00874ED8"/>
    <w:rsid w:val="0087540D"/>
    <w:rsid w:val="00875610"/>
    <w:rsid w:val="00877472"/>
    <w:rsid w:val="00881AD5"/>
    <w:rsid w:val="00881B26"/>
    <w:rsid w:val="008831B6"/>
    <w:rsid w:val="00890B96"/>
    <w:rsid w:val="00891515"/>
    <w:rsid w:val="00892B42"/>
    <w:rsid w:val="00892CDD"/>
    <w:rsid w:val="00895089"/>
    <w:rsid w:val="00895621"/>
    <w:rsid w:val="008962B2"/>
    <w:rsid w:val="008A28DE"/>
    <w:rsid w:val="008A2BE7"/>
    <w:rsid w:val="008A4E8A"/>
    <w:rsid w:val="008B1373"/>
    <w:rsid w:val="008B2DFF"/>
    <w:rsid w:val="008B5B76"/>
    <w:rsid w:val="008B636C"/>
    <w:rsid w:val="008B65E8"/>
    <w:rsid w:val="008B6ED6"/>
    <w:rsid w:val="008B6EE2"/>
    <w:rsid w:val="008B6F0B"/>
    <w:rsid w:val="008B7A56"/>
    <w:rsid w:val="008C165B"/>
    <w:rsid w:val="008C2146"/>
    <w:rsid w:val="008C29F4"/>
    <w:rsid w:val="008C2CAB"/>
    <w:rsid w:val="008C7469"/>
    <w:rsid w:val="008D32CF"/>
    <w:rsid w:val="008D3554"/>
    <w:rsid w:val="008D4D03"/>
    <w:rsid w:val="008D5339"/>
    <w:rsid w:val="008E5C1C"/>
    <w:rsid w:val="008F2592"/>
    <w:rsid w:val="008F3D88"/>
    <w:rsid w:val="008F67FA"/>
    <w:rsid w:val="008F6862"/>
    <w:rsid w:val="00901D59"/>
    <w:rsid w:val="009024D0"/>
    <w:rsid w:val="009037AA"/>
    <w:rsid w:val="00904B58"/>
    <w:rsid w:val="00910BE5"/>
    <w:rsid w:val="00912A28"/>
    <w:rsid w:val="00913329"/>
    <w:rsid w:val="00913AA5"/>
    <w:rsid w:val="00914903"/>
    <w:rsid w:val="00916F28"/>
    <w:rsid w:val="0092246C"/>
    <w:rsid w:val="00924692"/>
    <w:rsid w:val="00930E58"/>
    <w:rsid w:val="009315F4"/>
    <w:rsid w:val="009325A5"/>
    <w:rsid w:val="00933E5D"/>
    <w:rsid w:val="009341BB"/>
    <w:rsid w:val="0093491D"/>
    <w:rsid w:val="00935772"/>
    <w:rsid w:val="00935C0A"/>
    <w:rsid w:val="00936FA2"/>
    <w:rsid w:val="009512A7"/>
    <w:rsid w:val="009516D3"/>
    <w:rsid w:val="0095396C"/>
    <w:rsid w:val="00953F4D"/>
    <w:rsid w:val="00954570"/>
    <w:rsid w:val="0095647B"/>
    <w:rsid w:val="009570A4"/>
    <w:rsid w:val="009577F7"/>
    <w:rsid w:val="009600A1"/>
    <w:rsid w:val="0096079B"/>
    <w:rsid w:val="00961541"/>
    <w:rsid w:val="009628E8"/>
    <w:rsid w:val="009648AC"/>
    <w:rsid w:val="00965ECB"/>
    <w:rsid w:val="00965F6D"/>
    <w:rsid w:val="0096743B"/>
    <w:rsid w:val="00973320"/>
    <w:rsid w:val="00974312"/>
    <w:rsid w:val="00974A4C"/>
    <w:rsid w:val="009802A8"/>
    <w:rsid w:val="00980927"/>
    <w:rsid w:val="00982294"/>
    <w:rsid w:val="00982632"/>
    <w:rsid w:val="0098787B"/>
    <w:rsid w:val="00990484"/>
    <w:rsid w:val="00990588"/>
    <w:rsid w:val="00993C48"/>
    <w:rsid w:val="00993EE9"/>
    <w:rsid w:val="00994500"/>
    <w:rsid w:val="00996639"/>
    <w:rsid w:val="009A17DB"/>
    <w:rsid w:val="009A2265"/>
    <w:rsid w:val="009A3567"/>
    <w:rsid w:val="009A3A79"/>
    <w:rsid w:val="009A3B25"/>
    <w:rsid w:val="009A5F44"/>
    <w:rsid w:val="009B0D61"/>
    <w:rsid w:val="009B2B91"/>
    <w:rsid w:val="009B4543"/>
    <w:rsid w:val="009B79B3"/>
    <w:rsid w:val="009C0B07"/>
    <w:rsid w:val="009C13F3"/>
    <w:rsid w:val="009C3A51"/>
    <w:rsid w:val="009D0F53"/>
    <w:rsid w:val="009D126D"/>
    <w:rsid w:val="009D1611"/>
    <w:rsid w:val="009D2340"/>
    <w:rsid w:val="009D4E96"/>
    <w:rsid w:val="009D56BF"/>
    <w:rsid w:val="009D620B"/>
    <w:rsid w:val="009D746D"/>
    <w:rsid w:val="009E0D21"/>
    <w:rsid w:val="009E0D41"/>
    <w:rsid w:val="009E1BDF"/>
    <w:rsid w:val="009E215A"/>
    <w:rsid w:val="009E259B"/>
    <w:rsid w:val="009E3B6A"/>
    <w:rsid w:val="009E7197"/>
    <w:rsid w:val="009F00C1"/>
    <w:rsid w:val="009F01D4"/>
    <w:rsid w:val="009F04EB"/>
    <w:rsid w:val="009F1C8A"/>
    <w:rsid w:val="009F313B"/>
    <w:rsid w:val="009F6C72"/>
    <w:rsid w:val="00A000F9"/>
    <w:rsid w:val="00A00FD7"/>
    <w:rsid w:val="00A01D3D"/>
    <w:rsid w:val="00A03368"/>
    <w:rsid w:val="00A074DF"/>
    <w:rsid w:val="00A1336F"/>
    <w:rsid w:val="00A166A8"/>
    <w:rsid w:val="00A20BA0"/>
    <w:rsid w:val="00A21326"/>
    <w:rsid w:val="00A23236"/>
    <w:rsid w:val="00A313EB"/>
    <w:rsid w:val="00A32225"/>
    <w:rsid w:val="00A413A0"/>
    <w:rsid w:val="00A44C74"/>
    <w:rsid w:val="00A45898"/>
    <w:rsid w:val="00A45996"/>
    <w:rsid w:val="00A464A0"/>
    <w:rsid w:val="00A47498"/>
    <w:rsid w:val="00A518A0"/>
    <w:rsid w:val="00A51CE7"/>
    <w:rsid w:val="00A52305"/>
    <w:rsid w:val="00A5304A"/>
    <w:rsid w:val="00A534CF"/>
    <w:rsid w:val="00A54BE2"/>
    <w:rsid w:val="00A55556"/>
    <w:rsid w:val="00A57488"/>
    <w:rsid w:val="00A57FE1"/>
    <w:rsid w:val="00A60011"/>
    <w:rsid w:val="00A606CE"/>
    <w:rsid w:val="00A61C40"/>
    <w:rsid w:val="00A61DF2"/>
    <w:rsid w:val="00A63845"/>
    <w:rsid w:val="00A643C4"/>
    <w:rsid w:val="00A65D6D"/>
    <w:rsid w:val="00A66B7C"/>
    <w:rsid w:val="00A67425"/>
    <w:rsid w:val="00A70EC1"/>
    <w:rsid w:val="00A72A5A"/>
    <w:rsid w:val="00A73ACC"/>
    <w:rsid w:val="00A73B2B"/>
    <w:rsid w:val="00A73D26"/>
    <w:rsid w:val="00A747FF"/>
    <w:rsid w:val="00A801EB"/>
    <w:rsid w:val="00A81943"/>
    <w:rsid w:val="00A82BAF"/>
    <w:rsid w:val="00A82EBD"/>
    <w:rsid w:val="00A87298"/>
    <w:rsid w:val="00A91EAA"/>
    <w:rsid w:val="00A92115"/>
    <w:rsid w:val="00A955E3"/>
    <w:rsid w:val="00A956C0"/>
    <w:rsid w:val="00A9723F"/>
    <w:rsid w:val="00A97D40"/>
    <w:rsid w:val="00AA07B8"/>
    <w:rsid w:val="00AA21A2"/>
    <w:rsid w:val="00AA273D"/>
    <w:rsid w:val="00AA4242"/>
    <w:rsid w:val="00AA5BD4"/>
    <w:rsid w:val="00AA7565"/>
    <w:rsid w:val="00AA7E70"/>
    <w:rsid w:val="00AB1F08"/>
    <w:rsid w:val="00AB24D1"/>
    <w:rsid w:val="00AB3F8F"/>
    <w:rsid w:val="00AB4EA5"/>
    <w:rsid w:val="00AB5336"/>
    <w:rsid w:val="00AB5D79"/>
    <w:rsid w:val="00AB79BD"/>
    <w:rsid w:val="00AC49CE"/>
    <w:rsid w:val="00AD0F31"/>
    <w:rsid w:val="00AD1CE8"/>
    <w:rsid w:val="00AD3080"/>
    <w:rsid w:val="00AD4FBA"/>
    <w:rsid w:val="00AE0930"/>
    <w:rsid w:val="00AE1F64"/>
    <w:rsid w:val="00AE239A"/>
    <w:rsid w:val="00AE378F"/>
    <w:rsid w:val="00AE6458"/>
    <w:rsid w:val="00AF0B89"/>
    <w:rsid w:val="00AF1BE6"/>
    <w:rsid w:val="00AF516C"/>
    <w:rsid w:val="00B00140"/>
    <w:rsid w:val="00B00D6B"/>
    <w:rsid w:val="00B011B4"/>
    <w:rsid w:val="00B019D7"/>
    <w:rsid w:val="00B01D58"/>
    <w:rsid w:val="00B057C6"/>
    <w:rsid w:val="00B074E5"/>
    <w:rsid w:val="00B10C1D"/>
    <w:rsid w:val="00B10D89"/>
    <w:rsid w:val="00B137F7"/>
    <w:rsid w:val="00B14674"/>
    <w:rsid w:val="00B153FF"/>
    <w:rsid w:val="00B176D1"/>
    <w:rsid w:val="00B177FE"/>
    <w:rsid w:val="00B17E18"/>
    <w:rsid w:val="00B2086D"/>
    <w:rsid w:val="00B20C3B"/>
    <w:rsid w:val="00B21A4B"/>
    <w:rsid w:val="00B23A23"/>
    <w:rsid w:val="00B23A59"/>
    <w:rsid w:val="00B244A2"/>
    <w:rsid w:val="00B252DC"/>
    <w:rsid w:val="00B25E55"/>
    <w:rsid w:val="00B25EFC"/>
    <w:rsid w:val="00B265C9"/>
    <w:rsid w:val="00B27B34"/>
    <w:rsid w:val="00B27F68"/>
    <w:rsid w:val="00B31084"/>
    <w:rsid w:val="00B32300"/>
    <w:rsid w:val="00B34248"/>
    <w:rsid w:val="00B3566D"/>
    <w:rsid w:val="00B35E89"/>
    <w:rsid w:val="00B36E36"/>
    <w:rsid w:val="00B37E34"/>
    <w:rsid w:val="00B42FE8"/>
    <w:rsid w:val="00B43993"/>
    <w:rsid w:val="00B439AA"/>
    <w:rsid w:val="00B43BDD"/>
    <w:rsid w:val="00B44075"/>
    <w:rsid w:val="00B44477"/>
    <w:rsid w:val="00B44954"/>
    <w:rsid w:val="00B52C49"/>
    <w:rsid w:val="00B56F95"/>
    <w:rsid w:val="00B60566"/>
    <w:rsid w:val="00B6217A"/>
    <w:rsid w:val="00B63C79"/>
    <w:rsid w:val="00B63D74"/>
    <w:rsid w:val="00B65694"/>
    <w:rsid w:val="00B665A7"/>
    <w:rsid w:val="00B6716A"/>
    <w:rsid w:val="00B67F1D"/>
    <w:rsid w:val="00B76725"/>
    <w:rsid w:val="00B77926"/>
    <w:rsid w:val="00B8182C"/>
    <w:rsid w:val="00B81B31"/>
    <w:rsid w:val="00B8218B"/>
    <w:rsid w:val="00B82A1F"/>
    <w:rsid w:val="00B84A36"/>
    <w:rsid w:val="00B869C6"/>
    <w:rsid w:val="00B8719E"/>
    <w:rsid w:val="00B9143A"/>
    <w:rsid w:val="00B93B99"/>
    <w:rsid w:val="00B948F4"/>
    <w:rsid w:val="00B95290"/>
    <w:rsid w:val="00B97F0F"/>
    <w:rsid w:val="00BA056B"/>
    <w:rsid w:val="00BA1A7A"/>
    <w:rsid w:val="00BA36F1"/>
    <w:rsid w:val="00BA53C6"/>
    <w:rsid w:val="00BB176A"/>
    <w:rsid w:val="00BB28C5"/>
    <w:rsid w:val="00BB35C9"/>
    <w:rsid w:val="00BB3D8C"/>
    <w:rsid w:val="00BB66B6"/>
    <w:rsid w:val="00BB680A"/>
    <w:rsid w:val="00BC25F2"/>
    <w:rsid w:val="00BC2A33"/>
    <w:rsid w:val="00BC3673"/>
    <w:rsid w:val="00BC41DC"/>
    <w:rsid w:val="00BC5549"/>
    <w:rsid w:val="00BC649B"/>
    <w:rsid w:val="00BC65E6"/>
    <w:rsid w:val="00BC7E96"/>
    <w:rsid w:val="00BD010E"/>
    <w:rsid w:val="00BD096E"/>
    <w:rsid w:val="00BD0ABC"/>
    <w:rsid w:val="00BD37D8"/>
    <w:rsid w:val="00BD57CE"/>
    <w:rsid w:val="00BD5DB1"/>
    <w:rsid w:val="00BD6063"/>
    <w:rsid w:val="00BD65CA"/>
    <w:rsid w:val="00BD6E6F"/>
    <w:rsid w:val="00BE0648"/>
    <w:rsid w:val="00BE083D"/>
    <w:rsid w:val="00BE4B3A"/>
    <w:rsid w:val="00BE580B"/>
    <w:rsid w:val="00BE6C80"/>
    <w:rsid w:val="00BE7E71"/>
    <w:rsid w:val="00BF1260"/>
    <w:rsid w:val="00BF2A1B"/>
    <w:rsid w:val="00BF3325"/>
    <w:rsid w:val="00BF3B7B"/>
    <w:rsid w:val="00BF6FDF"/>
    <w:rsid w:val="00BF7E10"/>
    <w:rsid w:val="00BF7ED1"/>
    <w:rsid w:val="00C01CF1"/>
    <w:rsid w:val="00C0217A"/>
    <w:rsid w:val="00C02FB9"/>
    <w:rsid w:val="00C03DFF"/>
    <w:rsid w:val="00C0458C"/>
    <w:rsid w:val="00C04593"/>
    <w:rsid w:val="00C0675D"/>
    <w:rsid w:val="00C1167C"/>
    <w:rsid w:val="00C130C2"/>
    <w:rsid w:val="00C13CB5"/>
    <w:rsid w:val="00C148EC"/>
    <w:rsid w:val="00C215FC"/>
    <w:rsid w:val="00C21C24"/>
    <w:rsid w:val="00C2348F"/>
    <w:rsid w:val="00C33BF0"/>
    <w:rsid w:val="00C3423E"/>
    <w:rsid w:val="00C34A61"/>
    <w:rsid w:val="00C34C39"/>
    <w:rsid w:val="00C35060"/>
    <w:rsid w:val="00C40286"/>
    <w:rsid w:val="00C4033C"/>
    <w:rsid w:val="00C406DD"/>
    <w:rsid w:val="00C4388D"/>
    <w:rsid w:val="00C45341"/>
    <w:rsid w:val="00C45FC9"/>
    <w:rsid w:val="00C47CD6"/>
    <w:rsid w:val="00C50A28"/>
    <w:rsid w:val="00C51E6C"/>
    <w:rsid w:val="00C51F4D"/>
    <w:rsid w:val="00C570D4"/>
    <w:rsid w:val="00C60F0C"/>
    <w:rsid w:val="00C61181"/>
    <w:rsid w:val="00C625B5"/>
    <w:rsid w:val="00C63C4A"/>
    <w:rsid w:val="00C64BCC"/>
    <w:rsid w:val="00C66CDD"/>
    <w:rsid w:val="00C67380"/>
    <w:rsid w:val="00C67F7C"/>
    <w:rsid w:val="00C701D4"/>
    <w:rsid w:val="00C71896"/>
    <w:rsid w:val="00C72ACE"/>
    <w:rsid w:val="00C73023"/>
    <w:rsid w:val="00C7325A"/>
    <w:rsid w:val="00C735F0"/>
    <w:rsid w:val="00C738B4"/>
    <w:rsid w:val="00C77196"/>
    <w:rsid w:val="00C77246"/>
    <w:rsid w:val="00C816D0"/>
    <w:rsid w:val="00C819F8"/>
    <w:rsid w:val="00C81BF9"/>
    <w:rsid w:val="00C82CF7"/>
    <w:rsid w:val="00C8448E"/>
    <w:rsid w:val="00C84A16"/>
    <w:rsid w:val="00C85038"/>
    <w:rsid w:val="00C86669"/>
    <w:rsid w:val="00C93234"/>
    <w:rsid w:val="00C959A6"/>
    <w:rsid w:val="00C96A2B"/>
    <w:rsid w:val="00CA19B1"/>
    <w:rsid w:val="00CA24E0"/>
    <w:rsid w:val="00CA28D0"/>
    <w:rsid w:val="00CA4D14"/>
    <w:rsid w:val="00CA6030"/>
    <w:rsid w:val="00CA71DC"/>
    <w:rsid w:val="00CB2FCE"/>
    <w:rsid w:val="00CB3D54"/>
    <w:rsid w:val="00CB5630"/>
    <w:rsid w:val="00CB7ACF"/>
    <w:rsid w:val="00CC18C6"/>
    <w:rsid w:val="00CC4D6E"/>
    <w:rsid w:val="00CC51DC"/>
    <w:rsid w:val="00CC5AAE"/>
    <w:rsid w:val="00CC7802"/>
    <w:rsid w:val="00CD2898"/>
    <w:rsid w:val="00CE1F1E"/>
    <w:rsid w:val="00CE6E0D"/>
    <w:rsid w:val="00CF0C9C"/>
    <w:rsid w:val="00CF145B"/>
    <w:rsid w:val="00CF6EF6"/>
    <w:rsid w:val="00D0386A"/>
    <w:rsid w:val="00D03BDE"/>
    <w:rsid w:val="00D04DDE"/>
    <w:rsid w:val="00D06880"/>
    <w:rsid w:val="00D07C94"/>
    <w:rsid w:val="00D128BC"/>
    <w:rsid w:val="00D14650"/>
    <w:rsid w:val="00D14EF6"/>
    <w:rsid w:val="00D16E52"/>
    <w:rsid w:val="00D177E2"/>
    <w:rsid w:val="00D20466"/>
    <w:rsid w:val="00D20735"/>
    <w:rsid w:val="00D20837"/>
    <w:rsid w:val="00D22D48"/>
    <w:rsid w:val="00D3120C"/>
    <w:rsid w:val="00D326A6"/>
    <w:rsid w:val="00D327D7"/>
    <w:rsid w:val="00D32F47"/>
    <w:rsid w:val="00D33518"/>
    <w:rsid w:val="00D376C9"/>
    <w:rsid w:val="00D42051"/>
    <w:rsid w:val="00D4389A"/>
    <w:rsid w:val="00D44AA1"/>
    <w:rsid w:val="00D45072"/>
    <w:rsid w:val="00D4660B"/>
    <w:rsid w:val="00D5036E"/>
    <w:rsid w:val="00D50679"/>
    <w:rsid w:val="00D5067B"/>
    <w:rsid w:val="00D51632"/>
    <w:rsid w:val="00D53BD3"/>
    <w:rsid w:val="00D53D1A"/>
    <w:rsid w:val="00D5494E"/>
    <w:rsid w:val="00D563C1"/>
    <w:rsid w:val="00D56D3E"/>
    <w:rsid w:val="00D6067A"/>
    <w:rsid w:val="00D6175D"/>
    <w:rsid w:val="00D6259A"/>
    <w:rsid w:val="00D666D9"/>
    <w:rsid w:val="00D67500"/>
    <w:rsid w:val="00D70FF5"/>
    <w:rsid w:val="00D71981"/>
    <w:rsid w:val="00D7270D"/>
    <w:rsid w:val="00D734D3"/>
    <w:rsid w:val="00D7434C"/>
    <w:rsid w:val="00D74483"/>
    <w:rsid w:val="00D74EBA"/>
    <w:rsid w:val="00D755A4"/>
    <w:rsid w:val="00D75C21"/>
    <w:rsid w:val="00D81DD7"/>
    <w:rsid w:val="00D82292"/>
    <w:rsid w:val="00D82793"/>
    <w:rsid w:val="00D83F00"/>
    <w:rsid w:val="00D85AA5"/>
    <w:rsid w:val="00D87D48"/>
    <w:rsid w:val="00D90C5C"/>
    <w:rsid w:val="00D91004"/>
    <w:rsid w:val="00D92150"/>
    <w:rsid w:val="00D934F6"/>
    <w:rsid w:val="00DA0B0E"/>
    <w:rsid w:val="00DA0B89"/>
    <w:rsid w:val="00DA0F0F"/>
    <w:rsid w:val="00DA24AA"/>
    <w:rsid w:val="00DA251A"/>
    <w:rsid w:val="00DB027C"/>
    <w:rsid w:val="00DB4486"/>
    <w:rsid w:val="00DB6E09"/>
    <w:rsid w:val="00DC0D2B"/>
    <w:rsid w:val="00DC451A"/>
    <w:rsid w:val="00DC49D2"/>
    <w:rsid w:val="00DC5CBD"/>
    <w:rsid w:val="00DC6D3E"/>
    <w:rsid w:val="00DC6E91"/>
    <w:rsid w:val="00DD275F"/>
    <w:rsid w:val="00DD3692"/>
    <w:rsid w:val="00DD522D"/>
    <w:rsid w:val="00DD61B0"/>
    <w:rsid w:val="00DD7183"/>
    <w:rsid w:val="00DE0B2E"/>
    <w:rsid w:val="00DE135A"/>
    <w:rsid w:val="00DE1CB6"/>
    <w:rsid w:val="00DE2C9A"/>
    <w:rsid w:val="00DE4DE5"/>
    <w:rsid w:val="00DF27C9"/>
    <w:rsid w:val="00DF2CE8"/>
    <w:rsid w:val="00DF7463"/>
    <w:rsid w:val="00E1204F"/>
    <w:rsid w:val="00E12C27"/>
    <w:rsid w:val="00E13998"/>
    <w:rsid w:val="00E13B3F"/>
    <w:rsid w:val="00E21821"/>
    <w:rsid w:val="00E23AC9"/>
    <w:rsid w:val="00E27775"/>
    <w:rsid w:val="00E27792"/>
    <w:rsid w:val="00E318B9"/>
    <w:rsid w:val="00E367D1"/>
    <w:rsid w:val="00E40C09"/>
    <w:rsid w:val="00E40EE9"/>
    <w:rsid w:val="00E4226B"/>
    <w:rsid w:val="00E42539"/>
    <w:rsid w:val="00E43EF8"/>
    <w:rsid w:val="00E4482E"/>
    <w:rsid w:val="00E453A2"/>
    <w:rsid w:val="00E45446"/>
    <w:rsid w:val="00E4649B"/>
    <w:rsid w:val="00E47C39"/>
    <w:rsid w:val="00E5041F"/>
    <w:rsid w:val="00E52C4B"/>
    <w:rsid w:val="00E53169"/>
    <w:rsid w:val="00E601DD"/>
    <w:rsid w:val="00E60864"/>
    <w:rsid w:val="00E6230C"/>
    <w:rsid w:val="00E66FAB"/>
    <w:rsid w:val="00E71A41"/>
    <w:rsid w:val="00E735BD"/>
    <w:rsid w:val="00E75827"/>
    <w:rsid w:val="00E76BC2"/>
    <w:rsid w:val="00E76E88"/>
    <w:rsid w:val="00E802F0"/>
    <w:rsid w:val="00E80508"/>
    <w:rsid w:val="00E80C3E"/>
    <w:rsid w:val="00E80DD3"/>
    <w:rsid w:val="00E83DB8"/>
    <w:rsid w:val="00E873CB"/>
    <w:rsid w:val="00E90984"/>
    <w:rsid w:val="00E91527"/>
    <w:rsid w:val="00E920CC"/>
    <w:rsid w:val="00E96488"/>
    <w:rsid w:val="00E966F3"/>
    <w:rsid w:val="00E96F50"/>
    <w:rsid w:val="00E97595"/>
    <w:rsid w:val="00EA0E91"/>
    <w:rsid w:val="00EA15A3"/>
    <w:rsid w:val="00EA210B"/>
    <w:rsid w:val="00EA277B"/>
    <w:rsid w:val="00EA3A85"/>
    <w:rsid w:val="00EA43FF"/>
    <w:rsid w:val="00EA48F9"/>
    <w:rsid w:val="00EA621C"/>
    <w:rsid w:val="00EA6450"/>
    <w:rsid w:val="00EB01F4"/>
    <w:rsid w:val="00EB02A9"/>
    <w:rsid w:val="00EB1C8B"/>
    <w:rsid w:val="00EB2336"/>
    <w:rsid w:val="00EB7A2C"/>
    <w:rsid w:val="00EC464A"/>
    <w:rsid w:val="00ED01E6"/>
    <w:rsid w:val="00ED23E4"/>
    <w:rsid w:val="00ED254C"/>
    <w:rsid w:val="00ED2E88"/>
    <w:rsid w:val="00ED45B0"/>
    <w:rsid w:val="00ED4851"/>
    <w:rsid w:val="00EE034D"/>
    <w:rsid w:val="00EE110B"/>
    <w:rsid w:val="00EE1DF6"/>
    <w:rsid w:val="00EE3F3F"/>
    <w:rsid w:val="00EE4892"/>
    <w:rsid w:val="00EE49F4"/>
    <w:rsid w:val="00EE63C6"/>
    <w:rsid w:val="00EE6BB8"/>
    <w:rsid w:val="00EE7814"/>
    <w:rsid w:val="00EF0917"/>
    <w:rsid w:val="00EF2047"/>
    <w:rsid w:val="00EF20A4"/>
    <w:rsid w:val="00EF247B"/>
    <w:rsid w:val="00EF3175"/>
    <w:rsid w:val="00EF4201"/>
    <w:rsid w:val="00EF47F0"/>
    <w:rsid w:val="00EF524D"/>
    <w:rsid w:val="00EF66E7"/>
    <w:rsid w:val="00EF6A13"/>
    <w:rsid w:val="00F0045B"/>
    <w:rsid w:val="00F02893"/>
    <w:rsid w:val="00F02B7E"/>
    <w:rsid w:val="00F07FC7"/>
    <w:rsid w:val="00F10503"/>
    <w:rsid w:val="00F12AFA"/>
    <w:rsid w:val="00F13074"/>
    <w:rsid w:val="00F13ED1"/>
    <w:rsid w:val="00F147C0"/>
    <w:rsid w:val="00F154C7"/>
    <w:rsid w:val="00F15DCF"/>
    <w:rsid w:val="00F15E86"/>
    <w:rsid w:val="00F16969"/>
    <w:rsid w:val="00F17C53"/>
    <w:rsid w:val="00F2004E"/>
    <w:rsid w:val="00F20689"/>
    <w:rsid w:val="00F260CA"/>
    <w:rsid w:val="00F33501"/>
    <w:rsid w:val="00F33EFE"/>
    <w:rsid w:val="00F34C26"/>
    <w:rsid w:val="00F354E4"/>
    <w:rsid w:val="00F36530"/>
    <w:rsid w:val="00F37A30"/>
    <w:rsid w:val="00F41B89"/>
    <w:rsid w:val="00F4254B"/>
    <w:rsid w:val="00F44FA1"/>
    <w:rsid w:val="00F45B5C"/>
    <w:rsid w:val="00F51320"/>
    <w:rsid w:val="00F51A14"/>
    <w:rsid w:val="00F51EAE"/>
    <w:rsid w:val="00F5231A"/>
    <w:rsid w:val="00F561F5"/>
    <w:rsid w:val="00F56F20"/>
    <w:rsid w:val="00F573E2"/>
    <w:rsid w:val="00F57D90"/>
    <w:rsid w:val="00F61293"/>
    <w:rsid w:val="00F616C8"/>
    <w:rsid w:val="00F61FC4"/>
    <w:rsid w:val="00F62676"/>
    <w:rsid w:val="00F62D8F"/>
    <w:rsid w:val="00F63B37"/>
    <w:rsid w:val="00F66767"/>
    <w:rsid w:val="00F66794"/>
    <w:rsid w:val="00F7097B"/>
    <w:rsid w:val="00F71EF1"/>
    <w:rsid w:val="00F7768F"/>
    <w:rsid w:val="00F830B6"/>
    <w:rsid w:val="00F84539"/>
    <w:rsid w:val="00F8534C"/>
    <w:rsid w:val="00F86CCB"/>
    <w:rsid w:val="00F8709A"/>
    <w:rsid w:val="00F876B4"/>
    <w:rsid w:val="00F905E9"/>
    <w:rsid w:val="00F90F1B"/>
    <w:rsid w:val="00F91EAD"/>
    <w:rsid w:val="00F92967"/>
    <w:rsid w:val="00F934C7"/>
    <w:rsid w:val="00F935CD"/>
    <w:rsid w:val="00F94040"/>
    <w:rsid w:val="00F96062"/>
    <w:rsid w:val="00F96351"/>
    <w:rsid w:val="00FA1450"/>
    <w:rsid w:val="00FA2F17"/>
    <w:rsid w:val="00FA3362"/>
    <w:rsid w:val="00FA50B2"/>
    <w:rsid w:val="00FA67B9"/>
    <w:rsid w:val="00FB0018"/>
    <w:rsid w:val="00FB0EBE"/>
    <w:rsid w:val="00FB18C1"/>
    <w:rsid w:val="00FB25AB"/>
    <w:rsid w:val="00FB6D30"/>
    <w:rsid w:val="00FC05B7"/>
    <w:rsid w:val="00FC0FD5"/>
    <w:rsid w:val="00FC3981"/>
    <w:rsid w:val="00FC4C0C"/>
    <w:rsid w:val="00FC5A22"/>
    <w:rsid w:val="00FC6AE8"/>
    <w:rsid w:val="00FD1570"/>
    <w:rsid w:val="00FD1AF9"/>
    <w:rsid w:val="00FD6173"/>
    <w:rsid w:val="00FD66CA"/>
    <w:rsid w:val="00FE1F5F"/>
    <w:rsid w:val="00FE2B19"/>
    <w:rsid w:val="00FE37B2"/>
    <w:rsid w:val="00FE4433"/>
    <w:rsid w:val="00FE5D8A"/>
    <w:rsid w:val="00FE6C9C"/>
    <w:rsid w:val="00FE72B3"/>
    <w:rsid w:val="00FE72E0"/>
    <w:rsid w:val="00FF0C2C"/>
    <w:rsid w:val="00FF3A25"/>
    <w:rsid w:val="00FF4370"/>
    <w:rsid w:val="00FF5196"/>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F5D1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6E8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6B31B7"/>
    <w:pPr>
      <w:keepNext/>
      <w:keepLines/>
      <w:numPr>
        <w:numId w:val="3"/>
      </w:numPr>
      <w:spacing w:after="120"/>
      <w:jc w:val="both"/>
      <w:outlineLvl w:val="0"/>
    </w:pPr>
    <w:rPr>
      <w:rFonts w:ascii="Cambria" w:hAnsi="Cambria" w:cs="Arial"/>
      <w:b/>
    </w:rPr>
  </w:style>
  <w:style w:type="paragraph" w:styleId="Titre2">
    <w:name w:val="heading 2"/>
    <w:basedOn w:val="Normal"/>
    <w:next w:val="Normal"/>
    <w:link w:val="Titre2Car"/>
    <w:qFormat/>
    <w:rsid w:val="009F6C72"/>
    <w:pPr>
      <w:keepNext/>
      <w:keepLines/>
      <w:spacing w:after="120"/>
      <w:ind w:left="720" w:hanging="720"/>
      <w:jc w:val="both"/>
      <w:outlineLvl w:val="1"/>
    </w:pPr>
    <w:rPr>
      <w:rFonts w:ascii="Cambria" w:hAnsi="Cambria"/>
      <w:b/>
      <w:bCs/>
      <w:noProof/>
      <w:szCs w:val="22"/>
      <w:lang w:val="fr-CH" w:eastAsia="fr-CA"/>
    </w:rPr>
  </w:style>
  <w:style w:type="paragraph" w:styleId="Titre3">
    <w:name w:val="heading 3"/>
    <w:basedOn w:val="Normal"/>
    <w:next w:val="Normal"/>
    <w:link w:val="Titre3Car"/>
    <w:uiPriority w:val="9"/>
    <w:unhideWhenUsed/>
    <w:qFormat/>
    <w:rsid w:val="006374EE"/>
    <w:pPr>
      <w:keepNext/>
      <w:keepLines/>
      <w:spacing w:after="120"/>
      <w:ind w:left="360" w:hanging="360"/>
      <w:outlineLvl w:val="2"/>
    </w:pPr>
    <w:rPr>
      <w:rFonts w:ascii="Cambria" w:eastAsiaTheme="majorEastAsia" w:hAnsi="Cambria" w:cstheme="majorBidi"/>
      <w:b/>
      <w:bCs/>
    </w:rPr>
  </w:style>
  <w:style w:type="paragraph" w:styleId="Titre4">
    <w:name w:val="heading 4"/>
    <w:basedOn w:val="Normal"/>
    <w:next w:val="Normal"/>
    <w:link w:val="Titre4Car"/>
    <w:uiPriority w:val="9"/>
    <w:unhideWhenUsed/>
    <w:qFormat/>
    <w:rsid w:val="00EE110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B31B7"/>
    <w:rPr>
      <w:rFonts w:ascii="Cambria" w:eastAsia="Times New Roman" w:hAnsi="Cambria" w:cs="Arial"/>
      <w:b/>
      <w:sz w:val="24"/>
      <w:szCs w:val="24"/>
      <w:lang w:eastAsia="fr-FR"/>
    </w:rPr>
  </w:style>
  <w:style w:type="character" w:customStyle="1" w:styleId="Titre2Car">
    <w:name w:val="Titre 2 Car"/>
    <w:basedOn w:val="Policepardfaut"/>
    <w:link w:val="Titre2"/>
    <w:rsid w:val="009F6C72"/>
    <w:rPr>
      <w:rFonts w:ascii="Cambria" w:eastAsia="Times New Roman" w:hAnsi="Cambria" w:cs="Times New Roman"/>
      <w:b/>
      <w:bCs/>
      <w:noProof/>
      <w:sz w:val="24"/>
      <w:lang w:val="fr-CH" w:eastAsia="fr-CA"/>
    </w:rPr>
  </w:style>
  <w:style w:type="character" w:customStyle="1" w:styleId="Titre3Car">
    <w:name w:val="Titre 3 Car"/>
    <w:basedOn w:val="Policepardfaut"/>
    <w:link w:val="Titre3"/>
    <w:uiPriority w:val="9"/>
    <w:rsid w:val="006374EE"/>
    <w:rPr>
      <w:rFonts w:ascii="Cambria" w:eastAsiaTheme="majorEastAsia" w:hAnsi="Cambria" w:cstheme="majorBidi"/>
      <w:b/>
      <w:bCs/>
      <w:sz w:val="24"/>
      <w:szCs w:val="24"/>
      <w:lang w:eastAsia="fr-FR"/>
    </w:rPr>
  </w:style>
  <w:style w:type="paragraph" w:styleId="Retraitcorpsdetexte">
    <w:name w:val="Body Text Indent"/>
    <w:basedOn w:val="Normal"/>
    <w:link w:val="RetraitcorpsdetexteCar"/>
    <w:rsid w:val="00A67425"/>
    <w:pPr>
      <w:spacing w:after="120"/>
      <w:ind w:left="283"/>
    </w:pPr>
  </w:style>
  <w:style w:type="character" w:customStyle="1" w:styleId="RetraitcorpsdetexteCar">
    <w:name w:val="Retrait corps de texte Car"/>
    <w:basedOn w:val="Policepardfaut"/>
    <w:link w:val="Retraitcorpsdetexte"/>
    <w:rsid w:val="00A67425"/>
    <w:rPr>
      <w:rFonts w:ascii="Times New Roman" w:eastAsia="Times New Roman" w:hAnsi="Times New Roman" w:cs="Times New Roman"/>
      <w:sz w:val="24"/>
      <w:szCs w:val="24"/>
      <w:lang w:eastAsia="fr-FR"/>
    </w:rPr>
  </w:style>
  <w:style w:type="paragraph" w:styleId="Paragraphedeliste">
    <w:name w:val="List Paragraph"/>
    <w:aliases w:val="Paragraphe de liste1,List Paragraph1,Liste couleur - Accent 111,Bullets,List Paragraph nowy,Numbered List Paragraph,List Paragraph (numbered (a)),Colorful List - Accent 11,List Paragraph2,List Paragraph,Bullet List,FooterText,????"/>
    <w:basedOn w:val="Normal"/>
    <w:link w:val="ParagraphedelisteCar1"/>
    <w:uiPriority w:val="34"/>
    <w:qFormat/>
    <w:rsid w:val="00A67425"/>
    <w:pPr>
      <w:ind w:left="720"/>
      <w:contextualSpacing/>
    </w:pPr>
  </w:style>
  <w:style w:type="paragraph" w:customStyle="1" w:styleId="Listecouleur-Accent11">
    <w:name w:val="Liste couleur - Accent 11"/>
    <w:aliases w:val="References"/>
    <w:basedOn w:val="Normal"/>
    <w:link w:val="Listecouleur-Accent1Car"/>
    <w:uiPriority w:val="99"/>
    <w:qFormat/>
    <w:rsid w:val="00A67425"/>
    <w:pPr>
      <w:spacing w:before="120"/>
      <w:ind w:left="720"/>
      <w:contextualSpacing/>
      <w:jc w:val="both"/>
    </w:pPr>
    <w:rPr>
      <w:lang w:val="x-none" w:eastAsia="x-none"/>
    </w:rPr>
  </w:style>
  <w:style w:type="character" w:customStyle="1" w:styleId="Listecouleur-Accent1Car">
    <w:name w:val="Liste couleur - Accent 1 Car"/>
    <w:aliases w:val="References Car,Paragraphe de liste Car,Liste couleur - Accent 11 Car,MCHIP_list paragraph Car,Recommendation Car,Bullet List Car,FooterText Car,Bioforce zListePuce Car,Liste 1 Car,Medium Grid 1 - Accent 21 Car"/>
    <w:link w:val="Listecouleur-Accent11"/>
    <w:uiPriority w:val="34"/>
    <w:rsid w:val="00A67425"/>
    <w:rPr>
      <w:rFonts w:ascii="Times New Roman" w:eastAsia="Times New Roman" w:hAnsi="Times New Roman" w:cs="Times New Roman"/>
      <w:sz w:val="24"/>
      <w:szCs w:val="24"/>
      <w:lang w:val="x-none" w:eastAsia="x-none"/>
    </w:r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 text Car,Footnote Text Char"/>
    <w:basedOn w:val="Normal"/>
    <w:link w:val="NotedebasdepageCar"/>
    <w:uiPriority w:val="99"/>
    <w:qFormat/>
    <w:rsid w:val="00A67425"/>
    <w:rPr>
      <w:sz w:val="20"/>
      <w:szCs w:val="20"/>
      <w:lang w:val="x-none" w:eastAsia="x-none"/>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
    <w:basedOn w:val="Policepardfaut"/>
    <w:link w:val="Notedebasdepage"/>
    <w:uiPriority w:val="99"/>
    <w:rsid w:val="00A67425"/>
    <w:rPr>
      <w:rFonts w:ascii="Times New Roman" w:eastAsia="Times New Roman" w:hAnsi="Times New Roman" w:cs="Times New Roman"/>
      <w:sz w:val="20"/>
      <w:szCs w:val="20"/>
      <w:lang w:val="x-none" w:eastAsia="x-none"/>
    </w:r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BVI fnr"/>
    <w:link w:val="BVIfnrCarCar1Car"/>
    <w:uiPriority w:val="99"/>
    <w:rsid w:val="00A67425"/>
    <w:rPr>
      <w:vertAlign w:val="superscript"/>
    </w:rPr>
  </w:style>
  <w:style w:type="paragraph" w:customStyle="1" w:styleId="Paragraphedeliste2">
    <w:name w:val="Paragraphe de liste2"/>
    <w:basedOn w:val="Normal"/>
    <w:uiPriority w:val="34"/>
    <w:qFormat/>
    <w:rsid w:val="00A67425"/>
    <w:pPr>
      <w:spacing w:before="120"/>
      <w:ind w:left="720"/>
      <w:contextualSpacing/>
      <w:jc w:val="both"/>
    </w:pPr>
    <w:rPr>
      <w:rFonts w:ascii="Arial" w:hAnsi="Arial" w:cs="Arial"/>
      <w:lang w:val="en-US" w:eastAsia="en-US"/>
    </w:rPr>
  </w:style>
  <w:style w:type="character" w:customStyle="1" w:styleId="ParagraphedelisteCar1">
    <w:name w:val="Paragraphe de liste Car1"/>
    <w:aliases w:val="Paragraphe de liste1 Car,List Paragraph1 Car,Liste couleur - Accent 111 Car,Bullets Car,List Paragraph nowy Car,Numbered List Paragraph Car,List Paragraph (numbered (a)) Car,Colorful List - Accent 11 Car,List Paragraph2 Car"/>
    <w:link w:val="Paragraphedeliste"/>
    <w:uiPriority w:val="34"/>
    <w:locked/>
    <w:rsid w:val="00A67425"/>
    <w:rPr>
      <w:rFonts w:ascii="Times New Roman" w:eastAsia="Times New Roman" w:hAnsi="Times New Roman" w:cs="Times New Roman"/>
      <w:sz w:val="24"/>
      <w:szCs w:val="24"/>
      <w:lang w:eastAsia="fr-FR"/>
    </w:rPr>
  </w:style>
  <w:style w:type="table" w:styleId="Grilledutableau">
    <w:name w:val="Table Grid"/>
    <w:basedOn w:val="TableauNormal"/>
    <w:uiPriority w:val="39"/>
    <w:rsid w:val="00A6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67425"/>
    <w:pPr>
      <w:tabs>
        <w:tab w:val="center" w:pos="4536"/>
        <w:tab w:val="right" w:pos="9072"/>
      </w:tabs>
    </w:pPr>
  </w:style>
  <w:style w:type="character" w:customStyle="1" w:styleId="En-tteCar">
    <w:name w:val="En-tête Car"/>
    <w:basedOn w:val="Policepardfaut"/>
    <w:link w:val="En-tte"/>
    <w:uiPriority w:val="99"/>
    <w:rsid w:val="00A6742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A67425"/>
    <w:pPr>
      <w:tabs>
        <w:tab w:val="center" w:pos="4536"/>
        <w:tab w:val="right" w:pos="9072"/>
      </w:tabs>
    </w:pPr>
  </w:style>
  <w:style w:type="character" w:customStyle="1" w:styleId="PieddepageCar">
    <w:name w:val="Pied de page Car"/>
    <w:basedOn w:val="Policepardfaut"/>
    <w:link w:val="Pieddepage"/>
    <w:uiPriority w:val="99"/>
    <w:rsid w:val="00A67425"/>
    <w:rPr>
      <w:rFonts w:ascii="Times New Roman" w:eastAsia="Times New Roman" w:hAnsi="Times New Roman" w:cs="Times New Roman"/>
      <w:sz w:val="24"/>
      <w:szCs w:val="24"/>
      <w:lang w:eastAsia="fr-FR"/>
    </w:rPr>
  </w:style>
  <w:style w:type="paragraph" w:customStyle="1" w:styleId="CORPSDETEXTE2">
    <w:name w:val="CORPS DE TEXTE 2"/>
    <w:basedOn w:val="Normal"/>
    <w:qFormat/>
    <w:rsid w:val="00A67425"/>
    <w:pPr>
      <w:spacing w:before="60" w:after="60"/>
      <w:ind w:left="709" w:right="284"/>
      <w:jc w:val="both"/>
    </w:pPr>
    <w:rPr>
      <w:rFonts w:ascii="Tahoma" w:hAnsi="Tahoma" w:cs="Tahoma"/>
      <w:sz w:val="22"/>
      <w:szCs w:val="20"/>
      <w:lang w:eastAsia="en-US"/>
    </w:rPr>
  </w:style>
  <w:style w:type="paragraph" w:styleId="Corpsdetexte20">
    <w:name w:val="Body Text 2"/>
    <w:basedOn w:val="Normal"/>
    <w:link w:val="Corpsdetexte2Car"/>
    <w:uiPriority w:val="99"/>
    <w:unhideWhenUsed/>
    <w:rsid w:val="00A67425"/>
    <w:pPr>
      <w:spacing w:after="120" w:line="480" w:lineRule="auto"/>
    </w:pPr>
  </w:style>
  <w:style w:type="character" w:customStyle="1" w:styleId="Corpsdetexte2Car">
    <w:name w:val="Corps de texte 2 Car"/>
    <w:basedOn w:val="Policepardfaut"/>
    <w:link w:val="Corpsdetexte20"/>
    <w:uiPriority w:val="99"/>
    <w:rsid w:val="00A67425"/>
    <w:rPr>
      <w:rFonts w:ascii="Times New Roman" w:eastAsia="Times New Roman" w:hAnsi="Times New Roman" w:cs="Times New Roman"/>
      <w:sz w:val="24"/>
      <w:szCs w:val="24"/>
      <w:lang w:eastAsia="fr-FR"/>
    </w:rPr>
  </w:style>
  <w:style w:type="character" w:styleId="Lienhypertexte">
    <w:name w:val="Hyperlink"/>
    <w:uiPriority w:val="99"/>
    <w:unhideWhenUsed/>
    <w:rsid w:val="00A67425"/>
    <w:rPr>
      <w:color w:val="0000FF"/>
      <w:u w:val="single"/>
    </w:rPr>
  </w:style>
  <w:style w:type="paragraph" w:styleId="Lgende">
    <w:name w:val="caption"/>
    <w:aliases w:val="Legende,Légende1,Légende21,Légende111,Car111, Car111,Car Car Car Car Car Car Car Car Car111,Car Car Car Car Car111,Car Car Car Car111,Car Car Car Car Car Car Car Car211,Car Car Car Car Car Car Car Car Car Car Car Car Car Car Car11"/>
    <w:basedOn w:val="Normal"/>
    <w:next w:val="Normal"/>
    <w:link w:val="LgendeCar"/>
    <w:uiPriority w:val="35"/>
    <w:qFormat/>
    <w:rsid w:val="00A67425"/>
    <w:pPr>
      <w:spacing w:after="200"/>
    </w:pPr>
    <w:rPr>
      <w:rFonts w:ascii="Calibri" w:eastAsia="Calibri" w:hAnsi="Calibri"/>
      <w:b/>
      <w:bCs/>
      <w:color w:val="4F81BD"/>
      <w:sz w:val="18"/>
      <w:szCs w:val="18"/>
      <w:lang w:eastAsia="en-US"/>
    </w:rPr>
  </w:style>
  <w:style w:type="numbering" w:customStyle="1" w:styleId="Style6">
    <w:name w:val="Style6"/>
    <w:uiPriority w:val="99"/>
    <w:rsid w:val="00A67425"/>
    <w:pPr>
      <w:numPr>
        <w:numId w:val="1"/>
      </w:numPr>
    </w:pPr>
  </w:style>
  <w:style w:type="character" w:styleId="lev">
    <w:name w:val="Strong"/>
    <w:uiPriority w:val="22"/>
    <w:qFormat/>
    <w:rsid w:val="00A67425"/>
    <w:rPr>
      <w:b/>
      <w:bCs/>
    </w:rPr>
  </w:style>
  <w:style w:type="paragraph" w:styleId="En-ttedetabledesmatires">
    <w:name w:val="TOC Heading"/>
    <w:basedOn w:val="Titre1"/>
    <w:next w:val="Normal"/>
    <w:uiPriority w:val="39"/>
    <w:unhideWhenUsed/>
    <w:qFormat/>
    <w:rsid w:val="006F5E8B"/>
    <w:pPr>
      <w:numPr>
        <w:numId w:val="0"/>
      </w:numPr>
      <w:spacing w:before="240" w:after="0" w:line="259" w:lineRule="auto"/>
      <w:outlineLvl w:val="9"/>
    </w:pPr>
    <w:rPr>
      <w:rFonts w:asciiTheme="majorHAnsi" w:eastAsiaTheme="majorEastAsia" w:hAnsiTheme="majorHAnsi" w:cstheme="majorBidi"/>
      <w:b w:val="0"/>
      <w:bCs/>
      <w:color w:val="2E74B5" w:themeColor="accent1" w:themeShade="BF"/>
      <w:sz w:val="32"/>
    </w:rPr>
  </w:style>
  <w:style w:type="paragraph" w:styleId="TM1">
    <w:name w:val="toc 1"/>
    <w:basedOn w:val="Normal"/>
    <w:next w:val="Normal"/>
    <w:autoRedefine/>
    <w:uiPriority w:val="39"/>
    <w:unhideWhenUsed/>
    <w:rsid w:val="00C3423E"/>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qFormat/>
    <w:rsid w:val="0080739B"/>
    <w:pPr>
      <w:ind w:left="240"/>
    </w:pPr>
    <w:rPr>
      <w:rFonts w:asciiTheme="minorHAnsi" w:hAnsiTheme="minorHAnsi"/>
      <w:smallCaps/>
      <w:sz w:val="20"/>
      <w:szCs w:val="20"/>
    </w:rPr>
  </w:style>
  <w:style w:type="paragraph" w:styleId="TM3">
    <w:name w:val="toc 3"/>
    <w:basedOn w:val="Normal"/>
    <w:next w:val="Normal"/>
    <w:autoRedefine/>
    <w:uiPriority w:val="39"/>
    <w:unhideWhenUsed/>
    <w:rsid w:val="00F561F5"/>
    <w:pPr>
      <w:ind w:left="480"/>
    </w:pPr>
    <w:rPr>
      <w:rFonts w:asciiTheme="minorHAnsi" w:hAnsiTheme="minorHAnsi"/>
      <w:i/>
      <w:iCs/>
      <w:sz w:val="20"/>
      <w:szCs w:val="20"/>
    </w:rPr>
  </w:style>
  <w:style w:type="paragraph" w:styleId="Retraitcorpsdetexte2">
    <w:name w:val="Body Text Indent 2"/>
    <w:basedOn w:val="Normal"/>
    <w:link w:val="Retraitcorpsdetexte2Car"/>
    <w:uiPriority w:val="99"/>
    <w:semiHidden/>
    <w:unhideWhenUsed/>
    <w:rsid w:val="0027216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72163"/>
    <w:rPr>
      <w:rFonts w:ascii="Times New Roman" w:eastAsia="Times New Roman" w:hAnsi="Times New Roman" w:cs="Times New Roman"/>
      <w:sz w:val="24"/>
      <w:szCs w:val="24"/>
      <w:lang w:eastAsia="fr-FR"/>
    </w:rPr>
  </w:style>
  <w:style w:type="paragraph" w:customStyle="1" w:styleId="yiv3602347826msonormal">
    <w:name w:val="yiv3602347826msonormal"/>
    <w:basedOn w:val="Normal"/>
    <w:rsid w:val="005F5563"/>
    <w:pPr>
      <w:spacing w:before="100" w:beforeAutospacing="1" w:after="100" w:afterAutospacing="1"/>
    </w:pPr>
  </w:style>
  <w:style w:type="character" w:customStyle="1" w:styleId="yiv3602347826gmail-msofootnotereference">
    <w:name w:val="yiv3602347826gmail-msofootnotereference"/>
    <w:basedOn w:val="Policepardfaut"/>
    <w:rsid w:val="005F5563"/>
  </w:style>
  <w:style w:type="paragraph" w:customStyle="1" w:styleId="yiv3602347826gmail-msofootnotetext">
    <w:name w:val="yiv3602347826gmail-msofootnotetext"/>
    <w:basedOn w:val="Normal"/>
    <w:rsid w:val="005F5563"/>
    <w:pPr>
      <w:spacing w:before="100" w:beforeAutospacing="1" w:after="100" w:afterAutospacing="1"/>
    </w:pPr>
  </w:style>
  <w:style w:type="character" w:styleId="Marquedecommentaire">
    <w:name w:val="annotation reference"/>
    <w:basedOn w:val="Policepardfaut"/>
    <w:uiPriority w:val="99"/>
    <w:semiHidden/>
    <w:unhideWhenUsed/>
    <w:rsid w:val="00E27775"/>
    <w:rPr>
      <w:sz w:val="16"/>
      <w:szCs w:val="16"/>
    </w:rPr>
  </w:style>
  <w:style w:type="paragraph" w:styleId="Commentaire">
    <w:name w:val="annotation text"/>
    <w:basedOn w:val="Normal"/>
    <w:link w:val="CommentaireCar"/>
    <w:uiPriority w:val="99"/>
    <w:semiHidden/>
    <w:unhideWhenUsed/>
    <w:rsid w:val="00E27775"/>
    <w:rPr>
      <w:sz w:val="20"/>
      <w:szCs w:val="20"/>
    </w:rPr>
  </w:style>
  <w:style w:type="character" w:customStyle="1" w:styleId="CommentaireCar">
    <w:name w:val="Commentaire Car"/>
    <w:basedOn w:val="Policepardfaut"/>
    <w:link w:val="Commentaire"/>
    <w:uiPriority w:val="99"/>
    <w:semiHidden/>
    <w:rsid w:val="00E27775"/>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E27775"/>
    <w:rPr>
      <w:b/>
      <w:bCs/>
    </w:rPr>
  </w:style>
  <w:style w:type="character" w:customStyle="1" w:styleId="ObjetducommentaireCar">
    <w:name w:val="Objet du commentaire Car"/>
    <w:basedOn w:val="CommentaireCar"/>
    <w:link w:val="Objetducommentaire"/>
    <w:uiPriority w:val="99"/>
    <w:semiHidden/>
    <w:rsid w:val="00E27775"/>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E277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7775"/>
    <w:rPr>
      <w:rFonts w:ascii="Segoe UI" w:eastAsia="Times New Roman" w:hAnsi="Segoe UI" w:cs="Segoe UI"/>
      <w:sz w:val="18"/>
      <w:szCs w:val="18"/>
      <w:lang w:eastAsia="fr-FR"/>
    </w:rPr>
  </w:style>
  <w:style w:type="paragraph" w:styleId="Rvision">
    <w:name w:val="Revision"/>
    <w:hidden/>
    <w:uiPriority w:val="99"/>
    <w:semiHidden/>
    <w:rsid w:val="00E27775"/>
    <w:pPr>
      <w:spacing w:after="0"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rsid w:val="00EE110B"/>
    <w:rPr>
      <w:rFonts w:asciiTheme="majorHAnsi" w:eastAsiaTheme="majorEastAsia" w:hAnsiTheme="majorHAnsi" w:cstheme="majorBidi"/>
      <w:i/>
      <w:iCs/>
      <w:color w:val="2E74B5" w:themeColor="accent1" w:themeShade="BF"/>
      <w:sz w:val="24"/>
      <w:szCs w:val="24"/>
      <w:lang w:eastAsia="fr-FR"/>
    </w:rPr>
  </w:style>
  <w:style w:type="paragraph" w:customStyle="1" w:styleId="Corpsde">
    <w:name w:val="Corps de"/>
    <w:basedOn w:val="Normal"/>
    <w:qFormat/>
    <w:rsid w:val="001174FB"/>
    <w:pPr>
      <w:spacing w:before="120" w:after="120"/>
      <w:jc w:val="both"/>
    </w:pPr>
    <w:rPr>
      <w:rFonts w:ascii="Arial" w:hAnsi="Arial"/>
      <w:sz w:val="22"/>
    </w:rPr>
  </w:style>
  <w:style w:type="paragraph" w:customStyle="1" w:styleId="liste">
    <w:name w:val="liste"/>
    <w:basedOn w:val="Normal"/>
    <w:link w:val="listeCar"/>
    <w:rsid w:val="00CA71DC"/>
    <w:pPr>
      <w:numPr>
        <w:numId w:val="5"/>
      </w:numPr>
      <w:spacing w:before="60" w:after="60"/>
    </w:pPr>
    <w:rPr>
      <w:rFonts w:ascii="Arial" w:hAnsi="Arial" w:cs="Arial"/>
      <w:bCs/>
      <w:color w:val="000000"/>
      <w:sz w:val="18"/>
    </w:rPr>
  </w:style>
  <w:style w:type="character" w:customStyle="1" w:styleId="listeCar">
    <w:name w:val="liste Car"/>
    <w:basedOn w:val="Policepardfaut"/>
    <w:link w:val="liste"/>
    <w:rsid w:val="00CA71DC"/>
    <w:rPr>
      <w:rFonts w:ascii="Arial" w:eastAsia="Times New Roman" w:hAnsi="Arial" w:cs="Arial"/>
      <w:bCs/>
      <w:color w:val="000000"/>
      <w:sz w:val="18"/>
      <w:szCs w:val="24"/>
      <w:lang w:eastAsia="fr-FR"/>
    </w:rPr>
  </w:style>
  <w:style w:type="table" w:customStyle="1" w:styleId="TableNormal1">
    <w:name w:val="Table Normal1"/>
    <w:rsid w:val="00CA71D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A">
    <w:name w:val="Corps A"/>
    <w:rsid w:val="00CA71DC"/>
    <w:pPr>
      <w:pBdr>
        <w:top w:val="nil"/>
        <w:left w:val="nil"/>
        <w:bottom w:val="nil"/>
        <w:right w:val="nil"/>
        <w:between w:val="nil"/>
        <w:bar w:val="nil"/>
      </w:pBdr>
    </w:pPr>
    <w:rPr>
      <w:rFonts w:ascii="Calibri" w:eastAsia="Calibri" w:hAnsi="Calibri" w:cs="Calibri"/>
      <w:color w:val="000000"/>
      <w:u w:color="000000"/>
      <w:bdr w:val="nil"/>
      <w:lang w:eastAsia="fr-FR"/>
    </w:rPr>
  </w:style>
  <w:style w:type="paragraph" w:customStyle="1" w:styleId="BVIfnrCarCar1Car">
    <w:name w:val="BVI fnr Car Car1 Car"/>
    <w:aliases w:val="BVI fnr Car Car Car1, BVI fnr Car Car Car Car Car, BVI fnr Car Car Car Car Char Car Car Car Car, BVI fnr Car Car Car Car Char Char Car Car Car,BVI fnr Car Car Car Car Car,BVI fnr Car Car Car Car Char Car Car Car Car"/>
    <w:basedOn w:val="Normal"/>
    <w:link w:val="Appelnotedebasdep"/>
    <w:rsid w:val="006D5C93"/>
    <w:pPr>
      <w:spacing w:after="160" w:line="240" w:lineRule="exact"/>
      <w:jc w:val="both"/>
    </w:pPr>
    <w:rPr>
      <w:rFonts w:asciiTheme="minorHAnsi" w:eastAsiaTheme="minorHAnsi" w:hAnsiTheme="minorHAnsi" w:cstheme="minorBidi"/>
      <w:sz w:val="22"/>
      <w:szCs w:val="22"/>
      <w:vertAlign w:val="superscript"/>
      <w:lang w:eastAsia="en-US"/>
    </w:rPr>
  </w:style>
  <w:style w:type="character" w:customStyle="1" w:styleId="LgendeCar">
    <w:name w:val="Légende Car"/>
    <w:aliases w:val="Legende Car,Légende1 Car,Légende21 Car,Légende111 Car,Car111 Car, Car111 Car,Car Car Car Car Car Car Car Car Car111 Car,Car Car Car Car Car111 Car,Car Car Car Car111 Car,Car Car Car Car Car Car Car Car211 Car"/>
    <w:link w:val="Lgende"/>
    <w:uiPriority w:val="35"/>
    <w:rsid w:val="006D5C93"/>
    <w:rPr>
      <w:rFonts w:ascii="Calibri" w:eastAsia="Calibri" w:hAnsi="Calibri" w:cs="Times New Roman"/>
      <w:b/>
      <w:bCs/>
      <w:color w:val="4F81BD"/>
      <w:sz w:val="18"/>
      <w:szCs w:val="18"/>
    </w:rPr>
  </w:style>
  <w:style w:type="paragraph" w:styleId="Sansinterligne">
    <w:name w:val="No Spacing"/>
    <w:link w:val="SansinterligneCar"/>
    <w:uiPriority w:val="1"/>
    <w:qFormat/>
    <w:rsid w:val="009F00C1"/>
    <w:pPr>
      <w:spacing w:after="0" w:line="240" w:lineRule="auto"/>
    </w:pPr>
    <w:rPr>
      <w:rFonts w:ascii="Calibri" w:eastAsia="Times New Roman" w:hAnsi="Calibri" w:cs="Times New Roman"/>
    </w:rPr>
  </w:style>
  <w:style w:type="character" w:customStyle="1" w:styleId="SansinterligneCar">
    <w:name w:val="Sans interligne Car"/>
    <w:link w:val="Sansinterligne"/>
    <w:uiPriority w:val="1"/>
    <w:rsid w:val="009F00C1"/>
    <w:rPr>
      <w:rFonts w:ascii="Calibri" w:eastAsia="Times New Roman" w:hAnsi="Calibri" w:cs="Times New Roman"/>
    </w:rPr>
  </w:style>
  <w:style w:type="paragraph" w:customStyle="1" w:styleId="Default">
    <w:name w:val="Default"/>
    <w:link w:val="DefaultCar"/>
    <w:rsid w:val="009F00C1"/>
    <w:pPr>
      <w:autoSpaceDE w:val="0"/>
      <w:autoSpaceDN w:val="0"/>
      <w:adjustRightInd w:val="0"/>
      <w:spacing w:after="0" w:line="240" w:lineRule="auto"/>
    </w:pPr>
    <w:rPr>
      <w:rFonts w:ascii="Calibri" w:eastAsia="Times New Roman" w:hAnsi="Calibri" w:cs="Times New Roman"/>
      <w:color w:val="000000"/>
      <w:sz w:val="24"/>
      <w:szCs w:val="24"/>
      <w:lang w:val="en-GB" w:eastAsia="en-GB"/>
    </w:rPr>
  </w:style>
  <w:style w:type="character" w:customStyle="1" w:styleId="DefaultCar">
    <w:name w:val="Default Car"/>
    <w:link w:val="Default"/>
    <w:rsid w:val="009F00C1"/>
    <w:rPr>
      <w:rFonts w:ascii="Calibri" w:eastAsia="Times New Roman" w:hAnsi="Calibri" w:cs="Times New Roman"/>
      <w:color w:val="000000"/>
      <w:sz w:val="24"/>
      <w:szCs w:val="24"/>
      <w:lang w:val="en-GB" w:eastAsia="en-GB"/>
    </w:rPr>
  </w:style>
  <w:style w:type="character" w:styleId="Lienhypertextesuivivisit">
    <w:name w:val="FollowedHyperlink"/>
    <w:basedOn w:val="Policepardfaut"/>
    <w:uiPriority w:val="99"/>
    <w:semiHidden/>
    <w:unhideWhenUsed/>
    <w:rsid w:val="009F00C1"/>
    <w:rPr>
      <w:color w:val="954F72" w:themeColor="followedHyperlink"/>
      <w:u w:val="single"/>
    </w:rPr>
  </w:style>
  <w:style w:type="paragraph" w:styleId="Explorateurdedocuments">
    <w:name w:val="Document Map"/>
    <w:basedOn w:val="Normal"/>
    <w:link w:val="ExplorateurdedocumentsCar"/>
    <w:uiPriority w:val="99"/>
    <w:semiHidden/>
    <w:unhideWhenUsed/>
    <w:rsid w:val="009F00C1"/>
  </w:style>
  <w:style w:type="character" w:customStyle="1" w:styleId="ExplorateurdedocumentsCar">
    <w:name w:val="Explorateur de documents Car"/>
    <w:basedOn w:val="Policepardfaut"/>
    <w:link w:val="Explorateurdedocuments"/>
    <w:uiPriority w:val="99"/>
    <w:semiHidden/>
    <w:rsid w:val="009F00C1"/>
    <w:rPr>
      <w:rFonts w:ascii="Times New Roman" w:eastAsia="Times New Roman" w:hAnsi="Times New Roman" w:cs="Times New Roman"/>
      <w:sz w:val="24"/>
      <w:szCs w:val="24"/>
      <w:lang w:eastAsia="fr-FR"/>
    </w:rPr>
  </w:style>
  <w:style w:type="paragraph" w:customStyle="1" w:styleId="font5">
    <w:name w:val="font5"/>
    <w:basedOn w:val="Normal"/>
    <w:rsid w:val="00B34248"/>
    <w:pPr>
      <w:spacing w:before="100" w:beforeAutospacing="1" w:after="100" w:afterAutospacing="1"/>
    </w:pPr>
    <w:rPr>
      <w:rFonts w:ascii="Calibri" w:eastAsiaTheme="minorHAnsi" w:hAnsi="Calibri"/>
      <w:color w:val="000000"/>
      <w:sz w:val="20"/>
      <w:szCs w:val="20"/>
    </w:rPr>
  </w:style>
  <w:style w:type="paragraph" w:customStyle="1" w:styleId="font6">
    <w:name w:val="font6"/>
    <w:basedOn w:val="Normal"/>
    <w:rsid w:val="00B34248"/>
    <w:pPr>
      <w:spacing w:before="100" w:beforeAutospacing="1" w:after="100" w:afterAutospacing="1"/>
    </w:pPr>
    <w:rPr>
      <w:rFonts w:ascii="Calibri" w:eastAsiaTheme="minorHAnsi" w:hAnsi="Calibri"/>
      <w:b/>
      <w:bCs/>
      <w:color w:val="000000"/>
      <w:sz w:val="20"/>
      <w:szCs w:val="20"/>
    </w:rPr>
  </w:style>
  <w:style w:type="paragraph" w:customStyle="1" w:styleId="xl77">
    <w:name w:val="xl77"/>
    <w:basedOn w:val="Normal"/>
    <w:rsid w:val="00B34248"/>
    <w:pPr>
      <w:pBdr>
        <w:top w:val="single" w:sz="8" w:space="0" w:color="auto"/>
        <w:left w:val="single" w:sz="8" w:space="0" w:color="auto"/>
        <w:bottom w:val="single" w:sz="8" w:space="0" w:color="auto"/>
        <w:right w:val="single" w:sz="8" w:space="0" w:color="auto"/>
      </w:pBdr>
      <w:shd w:val="clear" w:color="000000" w:fill="4472C4"/>
      <w:spacing w:before="100" w:beforeAutospacing="1" w:after="100" w:afterAutospacing="1"/>
      <w:textAlignment w:val="center"/>
    </w:pPr>
    <w:rPr>
      <w:rFonts w:eastAsiaTheme="minorHAnsi"/>
      <w:color w:val="FFFFFF"/>
    </w:rPr>
  </w:style>
  <w:style w:type="paragraph" w:customStyle="1" w:styleId="xl78">
    <w:name w:val="xl78"/>
    <w:basedOn w:val="Normal"/>
    <w:rsid w:val="00B34248"/>
    <w:pPr>
      <w:pBdr>
        <w:top w:val="single" w:sz="8" w:space="0" w:color="auto"/>
        <w:bottom w:val="single" w:sz="8" w:space="0" w:color="auto"/>
        <w:right w:val="single" w:sz="8" w:space="0" w:color="auto"/>
      </w:pBdr>
      <w:shd w:val="clear" w:color="000000" w:fill="4472C4"/>
      <w:spacing w:before="100" w:beforeAutospacing="1" w:after="100" w:afterAutospacing="1"/>
      <w:textAlignment w:val="center"/>
    </w:pPr>
    <w:rPr>
      <w:rFonts w:eastAsiaTheme="minorHAnsi"/>
      <w:color w:val="FFFFFF"/>
    </w:rPr>
  </w:style>
  <w:style w:type="paragraph" w:customStyle="1" w:styleId="xl79">
    <w:name w:val="xl79"/>
    <w:basedOn w:val="Normal"/>
    <w:rsid w:val="00B34248"/>
    <w:pPr>
      <w:pBdr>
        <w:top w:val="single" w:sz="8" w:space="0" w:color="auto"/>
        <w:bottom w:val="single" w:sz="8" w:space="0" w:color="auto"/>
        <w:right w:val="single" w:sz="8" w:space="0" w:color="auto"/>
      </w:pBdr>
      <w:shd w:val="clear" w:color="000000" w:fill="4472C4"/>
      <w:spacing w:before="100" w:beforeAutospacing="1" w:after="100" w:afterAutospacing="1"/>
      <w:jc w:val="right"/>
      <w:textAlignment w:val="center"/>
    </w:pPr>
    <w:rPr>
      <w:rFonts w:eastAsiaTheme="minorHAnsi"/>
      <w:color w:val="FFFFFF"/>
    </w:rPr>
  </w:style>
  <w:style w:type="paragraph" w:customStyle="1" w:styleId="xl80">
    <w:name w:val="xl80"/>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81">
    <w:name w:val="xl81"/>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82">
    <w:name w:val="xl82"/>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83">
    <w:name w:val="xl83"/>
    <w:basedOn w:val="Normal"/>
    <w:rsid w:val="00B34248"/>
    <w:pPr>
      <w:pBdr>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84">
    <w:name w:val="xl84"/>
    <w:basedOn w:val="Normal"/>
    <w:rsid w:val="00B34248"/>
    <w:pPr>
      <w:pBdr>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85">
    <w:name w:val="xl85"/>
    <w:basedOn w:val="Normal"/>
    <w:rsid w:val="00B34248"/>
    <w:pPr>
      <w:pBdr>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86">
    <w:name w:val="xl86"/>
    <w:basedOn w:val="Normal"/>
    <w:rsid w:val="00B34248"/>
    <w:pPr>
      <w:pBdr>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87">
    <w:name w:val="xl87"/>
    <w:basedOn w:val="Normal"/>
    <w:rsid w:val="00B34248"/>
    <w:pPr>
      <w:pBdr>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88">
    <w:name w:val="xl88"/>
    <w:basedOn w:val="Normal"/>
    <w:rsid w:val="00B34248"/>
    <w:pPr>
      <w:pBdr>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89">
    <w:name w:val="xl89"/>
    <w:basedOn w:val="Normal"/>
    <w:rsid w:val="00B34248"/>
    <w:pPr>
      <w:pBdr>
        <w:top w:val="single" w:sz="8" w:space="0" w:color="auto"/>
        <w:left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90">
    <w:name w:val="xl90"/>
    <w:basedOn w:val="Normal"/>
    <w:rsid w:val="00B34248"/>
    <w:pPr>
      <w:pBdr>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91">
    <w:name w:val="xl91"/>
    <w:basedOn w:val="Normal"/>
    <w:rsid w:val="00B34248"/>
    <w:pPr>
      <w:pBdr>
        <w:top w:val="single" w:sz="8" w:space="0" w:color="auto"/>
        <w:bottom w:val="single" w:sz="8" w:space="0" w:color="auto"/>
      </w:pBdr>
      <w:spacing w:before="100" w:beforeAutospacing="1" w:after="100" w:afterAutospacing="1"/>
      <w:textAlignment w:val="center"/>
    </w:pPr>
    <w:rPr>
      <w:rFonts w:eastAsiaTheme="minorHAnsi"/>
      <w:color w:val="000000"/>
    </w:rPr>
  </w:style>
  <w:style w:type="paragraph" w:customStyle="1" w:styleId="xl92">
    <w:name w:val="xl92"/>
    <w:basedOn w:val="Normal"/>
    <w:rsid w:val="00B34248"/>
    <w:pPr>
      <w:pBdr>
        <w:top w:val="single" w:sz="8" w:space="0" w:color="auto"/>
        <w:bottom w:val="single" w:sz="8" w:space="0" w:color="auto"/>
      </w:pBdr>
      <w:spacing w:before="100" w:beforeAutospacing="1" w:after="100" w:afterAutospacing="1"/>
      <w:jc w:val="right"/>
      <w:textAlignment w:val="center"/>
    </w:pPr>
    <w:rPr>
      <w:rFonts w:eastAsiaTheme="minorHAnsi"/>
      <w:color w:val="000000"/>
    </w:rPr>
  </w:style>
  <w:style w:type="paragraph" w:customStyle="1" w:styleId="xl93">
    <w:name w:val="xl93"/>
    <w:basedOn w:val="Normal"/>
    <w:rsid w:val="00B34248"/>
    <w:pPr>
      <w:pBdr>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94">
    <w:name w:val="xl94"/>
    <w:basedOn w:val="Normal"/>
    <w:rsid w:val="00B34248"/>
    <w:pPr>
      <w:pBdr>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95">
    <w:name w:val="xl95"/>
    <w:basedOn w:val="Normal"/>
    <w:rsid w:val="00B34248"/>
    <w:pPr>
      <w:pBdr>
        <w:bottom w:val="single" w:sz="8" w:space="0" w:color="auto"/>
        <w:right w:val="single" w:sz="8" w:space="0" w:color="auto"/>
      </w:pBdr>
      <w:spacing w:before="100" w:beforeAutospacing="1" w:after="100" w:afterAutospacing="1"/>
      <w:jc w:val="right"/>
      <w:textAlignment w:val="center"/>
    </w:pPr>
    <w:rPr>
      <w:rFonts w:eastAsiaTheme="minorHAnsi"/>
      <w:color w:val="000000"/>
    </w:rPr>
  </w:style>
  <w:style w:type="paragraph" w:customStyle="1" w:styleId="xl96">
    <w:name w:val="xl96"/>
    <w:basedOn w:val="Normal"/>
    <w:rsid w:val="00B34248"/>
    <w:pPr>
      <w:pBdr>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97">
    <w:name w:val="xl97"/>
    <w:basedOn w:val="Normal"/>
    <w:rsid w:val="00B34248"/>
    <w:pPr>
      <w:pBdr>
        <w:bottom w:val="single" w:sz="8" w:space="0" w:color="auto"/>
        <w:right w:val="single" w:sz="8" w:space="0" w:color="auto"/>
      </w:pBdr>
      <w:spacing w:before="100" w:beforeAutospacing="1" w:after="100" w:afterAutospacing="1"/>
      <w:jc w:val="right"/>
      <w:textAlignment w:val="center"/>
    </w:pPr>
    <w:rPr>
      <w:rFonts w:eastAsiaTheme="minorHAnsi"/>
      <w:color w:val="000000"/>
    </w:rPr>
  </w:style>
  <w:style w:type="paragraph" w:customStyle="1" w:styleId="xl98">
    <w:name w:val="xl98"/>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99">
    <w:name w:val="xl99"/>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eastAsiaTheme="minorHAnsi"/>
      <w:color w:val="000000"/>
    </w:rPr>
  </w:style>
  <w:style w:type="paragraph" w:customStyle="1" w:styleId="xl100">
    <w:name w:val="xl100"/>
    <w:basedOn w:val="Normal"/>
    <w:rsid w:val="00B34248"/>
    <w:pPr>
      <w:pBdr>
        <w:bottom w:val="single" w:sz="8" w:space="0" w:color="auto"/>
        <w:right w:val="single" w:sz="8" w:space="0" w:color="auto"/>
      </w:pBdr>
      <w:spacing w:before="100" w:beforeAutospacing="1" w:after="100" w:afterAutospacing="1"/>
      <w:jc w:val="right"/>
      <w:textAlignment w:val="center"/>
    </w:pPr>
    <w:rPr>
      <w:rFonts w:eastAsiaTheme="minorHAnsi"/>
      <w:color w:val="000000"/>
    </w:rPr>
  </w:style>
  <w:style w:type="paragraph" w:customStyle="1" w:styleId="xl101">
    <w:name w:val="xl101"/>
    <w:basedOn w:val="Normal"/>
    <w:rsid w:val="00B34248"/>
    <w:pPr>
      <w:pBdr>
        <w:bottom w:val="single" w:sz="8" w:space="0" w:color="auto"/>
        <w:right w:val="single" w:sz="8" w:space="0" w:color="auto"/>
      </w:pBdr>
      <w:spacing w:before="100" w:beforeAutospacing="1" w:after="100" w:afterAutospacing="1"/>
      <w:jc w:val="right"/>
      <w:textAlignment w:val="center"/>
    </w:pPr>
    <w:rPr>
      <w:rFonts w:eastAsiaTheme="minorHAnsi"/>
      <w:color w:val="000000"/>
    </w:rPr>
  </w:style>
  <w:style w:type="paragraph" w:customStyle="1" w:styleId="xl102">
    <w:name w:val="xl102"/>
    <w:basedOn w:val="Normal"/>
    <w:rsid w:val="00B34248"/>
    <w:pPr>
      <w:pBdr>
        <w:left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03">
    <w:name w:val="xl103"/>
    <w:basedOn w:val="Normal"/>
    <w:rsid w:val="00B34248"/>
    <w:pPr>
      <w:spacing w:before="100" w:beforeAutospacing="1" w:after="100" w:afterAutospacing="1"/>
      <w:textAlignment w:val="center"/>
    </w:pPr>
    <w:rPr>
      <w:rFonts w:eastAsiaTheme="minorHAnsi"/>
      <w:color w:val="000000"/>
    </w:rPr>
  </w:style>
  <w:style w:type="paragraph" w:customStyle="1" w:styleId="xl104">
    <w:name w:val="xl104"/>
    <w:basedOn w:val="Normal"/>
    <w:rsid w:val="00B34248"/>
    <w:pPr>
      <w:spacing w:before="100" w:beforeAutospacing="1" w:after="100" w:afterAutospacing="1"/>
      <w:jc w:val="right"/>
      <w:textAlignment w:val="center"/>
    </w:pPr>
    <w:rPr>
      <w:rFonts w:eastAsiaTheme="minorHAnsi"/>
      <w:color w:val="000000"/>
    </w:rPr>
  </w:style>
  <w:style w:type="paragraph" w:customStyle="1" w:styleId="xl105">
    <w:name w:val="xl105"/>
    <w:basedOn w:val="Normal"/>
    <w:rsid w:val="00B34248"/>
    <w:pPr>
      <w:pBdr>
        <w:top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06">
    <w:name w:val="xl106"/>
    <w:basedOn w:val="Normal"/>
    <w:rsid w:val="00B34248"/>
    <w:pPr>
      <w:pBdr>
        <w:top w:val="single" w:sz="8" w:space="0" w:color="auto"/>
        <w:bottom w:val="single" w:sz="8" w:space="0" w:color="auto"/>
        <w:right w:val="single" w:sz="8" w:space="0" w:color="auto"/>
      </w:pBdr>
      <w:spacing w:before="100" w:beforeAutospacing="1" w:after="100" w:afterAutospacing="1"/>
      <w:jc w:val="right"/>
      <w:textAlignment w:val="center"/>
    </w:pPr>
    <w:rPr>
      <w:rFonts w:eastAsiaTheme="minorHAnsi"/>
      <w:color w:val="000000"/>
    </w:rPr>
  </w:style>
  <w:style w:type="paragraph" w:customStyle="1" w:styleId="xl107">
    <w:name w:val="xl107"/>
    <w:basedOn w:val="Normal"/>
    <w:rsid w:val="00B34248"/>
    <w:pPr>
      <w:pBdr>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08">
    <w:name w:val="xl108"/>
    <w:basedOn w:val="Normal"/>
    <w:rsid w:val="00B34248"/>
    <w:pPr>
      <w:pBdr>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09">
    <w:name w:val="xl109"/>
    <w:basedOn w:val="Normal"/>
    <w:rsid w:val="00B34248"/>
    <w:pPr>
      <w:pBdr>
        <w:bottom w:val="single" w:sz="8" w:space="0" w:color="auto"/>
        <w:right w:val="single" w:sz="8" w:space="0" w:color="auto"/>
      </w:pBdr>
      <w:spacing w:before="100" w:beforeAutospacing="1" w:after="100" w:afterAutospacing="1"/>
      <w:jc w:val="right"/>
      <w:textAlignment w:val="center"/>
    </w:pPr>
    <w:rPr>
      <w:rFonts w:eastAsiaTheme="minorHAnsi"/>
      <w:color w:val="000000"/>
    </w:rPr>
  </w:style>
  <w:style w:type="paragraph" w:customStyle="1" w:styleId="xl110">
    <w:name w:val="xl110"/>
    <w:basedOn w:val="Normal"/>
    <w:rsid w:val="00B34248"/>
    <w:pPr>
      <w:pBdr>
        <w:bottom w:val="single" w:sz="8" w:space="0" w:color="auto"/>
        <w:right w:val="single" w:sz="8" w:space="0" w:color="auto"/>
      </w:pBdr>
      <w:spacing w:before="100" w:beforeAutospacing="1" w:after="100" w:afterAutospacing="1"/>
      <w:jc w:val="right"/>
      <w:textAlignment w:val="center"/>
    </w:pPr>
    <w:rPr>
      <w:rFonts w:eastAsiaTheme="minorHAnsi"/>
      <w:color w:val="000000"/>
    </w:rPr>
  </w:style>
  <w:style w:type="paragraph" w:customStyle="1" w:styleId="xl111">
    <w:name w:val="xl111"/>
    <w:basedOn w:val="Normal"/>
    <w:rsid w:val="00B34248"/>
    <w:pPr>
      <w:pBdr>
        <w:left w:val="single" w:sz="8" w:space="0" w:color="auto"/>
        <w:bottom w:val="single" w:sz="8" w:space="0" w:color="auto"/>
        <w:right w:val="single" w:sz="8" w:space="0" w:color="auto"/>
      </w:pBdr>
      <w:spacing w:before="100" w:beforeAutospacing="1" w:after="100" w:afterAutospacing="1"/>
      <w:textAlignment w:val="center"/>
    </w:pPr>
    <w:rPr>
      <w:rFonts w:eastAsiaTheme="minorHAnsi"/>
      <w:b/>
      <w:bCs/>
      <w:color w:val="000000"/>
    </w:rPr>
  </w:style>
  <w:style w:type="paragraph" w:customStyle="1" w:styleId="xl112">
    <w:name w:val="xl112"/>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b/>
      <w:bCs/>
      <w:color w:val="000000"/>
    </w:rPr>
  </w:style>
  <w:style w:type="paragraph" w:customStyle="1" w:styleId="xl113">
    <w:name w:val="xl113"/>
    <w:basedOn w:val="Normal"/>
    <w:rsid w:val="00B34248"/>
    <w:pPr>
      <w:pBdr>
        <w:bottom w:val="single" w:sz="8" w:space="0" w:color="auto"/>
        <w:right w:val="single" w:sz="8" w:space="0" w:color="auto"/>
      </w:pBdr>
      <w:spacing w:before="100" w:beforeAutospacing="1" w:after="100" w:afterAutospacing="1"/>
      <w:textAlignment w:val="center"/>
    </w:pPr>
    <w:rPr>
      <w:rFonts w:eastAsiaTheme="minorHAnsi"/>
      <w:b/>
      <w:bCs/>
      <w:color w:val="000000"/>
    </w:rPr>
  </w:style>
  <w:style w:type="paragraph" w:customStyle="1" w:styleId="xl114">
    <w:name w:val="xl114"/>
    <w:basedOn w:val="Normal"/>
    <w:rsid w:val="00B34248"/>
    <w:pPr>
      <w:pBdr>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15">
    <w:name w:val="xl115"/>
    <w:basedOn w:val="Normal"/>
    <w:rsid w:val="00B34248"/>
    <w:pPr>
      <w:pBdr>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116">
    <w:name w:val="xl116"/>
    <w:basedOn w:val="Normal"/>
    <w:rsid w:val="00B34248"/>
    <w:pPr>
      <w:pBdr>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17">
    <w:name w:val="xl117"/>
    <w:basedOn w:val="Normal"/>
    <w:rsid w:val="00B342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heme="minorHAnsi"/>
    </w:rPr>
  </w:style>
  <w:style w:type="paragraph" w:customStyle="1" w:styleId="xl118">
    <w:name w:val="xl118"/>
    <w:basedOn w:val="Normal"/>
    <w:rsid w:val="00B34248"/>
    <w:pPr>
      <w:pBdr>
        <w:bottom w:val="single" w:sz="8" w:space="0" w:color="auto"/>
        <w:right w:val="single" w:sz="8" w:space="0" w:color="auto"/>
      </w:pBdr>
      <w:spacing w:before="100" w:beforeAutospacing="1" w:after="100" w:afterAutospacing="1"/>
      <w:jc w:val="center"/>
      <w:textAlignment w:val="center"/>
    </w:pPr>
    <w:rPr>
      <w:rFonts w:eastAsiaTheme="minorHAnsi"/>
      <w:b/>
      <w:bCs/>
      <w:color w:val="000000"/>
    </w:rPr>
  </w:style>
  <w:style w:type="paragraph" w:customStyle="1" w:styleId="xl119">
    <w:name w:val="xl119"/>
    <w:basedOn w:val="Normal"/>
    <w:rsid w:val="00B34248"/>
    <w:pPr>
      <w:pBdr>
        <w:bottom w:val="single" w:sz="8" w:space="0" w:color="auto"/>
        <w:right w:val="single" w:sz="8" w:space="0" w:color="auto"/>
      </w:pBdr>
      <w:spacing w:before="100" w:beforeAutospacing="1" w:after="100" w:afterAutospacing="1"/>
      <w:jc w:val="right"/>
      <w:textAlignment w:val="center"/>
    </w:pPr>
    <w:rPr>
      <w:rFonts w:eastAsiaTheme="minorHAnsi"/>
      <w:b/>
      <w:bCs/>
      <w:color w:val="000000"/>
    </w:rPr>
  </w:style>
  <w:style w:type="paragraph" w:customStyle="1" w:styleId="xl120">
    <w:name w:val="xl120"/>
    <w:basedOn w:val="Normal"/>
    <w:rsid w:val="00B34248"/>
    <w:pPr>
      <w:pBdr>
        <w:bottom w:val="single" w:sz="8" w:space="0" w:color="auto"/>
        <w:right w:val="single" w:sz="8" w:space="0" w:color="auto"/>
      </w:pBdr>
      <w:spacing w:before="100" w:beforeAutospacing="1" w:after="100" w:afterAutospacing="1"/>
      <w:textAlignment w:val="center"/>
    </w:pPr>
    <w:rPr>
      <w:rFonts w:eastAsiaTheme="minorHAnsi"/>
      <w:b/>
      <w:bCs/>
      <w:color w:val="000000"/>
    </w:rPr>
  </w:style>
  <w:style w:type="paragraph" w:customStyle="1" w:styleId="xl121">
    <w:name w:val="xl121"/>
    <w:basedOn w:val="Normal"/>
    <w:rsid w:val="00B34248"/>
    <w:pPr>
      <w:pBdr>
        <w:left w:val="single" w:sz="8" w:space="0" w:color="auto"/>
        <w:right w:val="single" w:sz="8" w:space="0" w:color="auto"/>
      </w:pBdr>
      <w:spacing w:before="100" w:beforeAutospacing="1" w:after="100" w:afterAutospacing="1"/>
      <w:textAlignment w:val="center"/>
    </w:pPr>
    <w:rPr>
      <w:rFonts w:eastAsiaTheme="minorHAnsi"/>
      <w:b/>
      <w:bCs/>
      <w:color w:val="000000"/>
    </w:rPr>
  </w:style>
  <w:style w:type="paragraph" w:customStyle="1" w:styleId="xl122">
    <w:name w:val="xl122"/>
    <w:basedOn w:val="Normal"/>
    <w:rsid w:val="00B34248"/>
    <w:pPr>
      <w:pBdr>
        <w:left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23">
    <w:name w:val="xl123"/>
    <w:basedOn w:val="Normal"/>
    <w:rsid w:val="00B34248"/>
    <w:pPr>
      <w:pBdr>
        <w:bottom w:val="single" w:sz="8" w:space="0" w:color="auto"/>
        <w:right w:val="single" w:sz="8" w:space="0" w:color="auto"/>
      </w:pBdr>
      <w:spacing w:before="100" w:beforeAutospacing="1" w:after="100" w:afterAutospacing="1"/>
      <w:jc w:val="right"/>
      <w:textAlignment w:val="center"/>
    </w:pPr>
    <w:rPr>
      <w:rFonts w:eastAsiaTheme="minorHAnsi"/>
      <w:color w:val="000000"/>
    </w:rPr>
  </w:style>
  <w:style w:type="paragraph" w:customStyle="1" w:styleId="xl124">
    <w:name w:val="xl124"/>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125">
    <w:name w:val="xl125"/>
    <w:basedOn w:val="Normal"/>
    <w:rsid w:val="00B34248"/>
    <w:pPr>
      <w:pBdr>
        <w:top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26">
    <w:name w:val="xl126"/>
    <w:basedOn w:val="Normal"/>
    <w:rsid w:val="00B34248"/>
    <w:pPr>
      <w:pBdr>
        <w:top w:val="single" w:sz="8" w:space="0" w:color="auto"/>
        <w:bottom w:val="single" w:sz="8" w:space="0" w:color="auto"/>
        <w:right w:val="single" w:sz="8" w:space="0" w:color="auto"/>
      </w:pBdr>
      <w:spacing w:before="100" w:beforeAutospacing="1" w:after="100" w:afterAutospacing="1"/>
      <w:jc w:val="right"/>
      <w:textAlignment w:val="center"/>
    </w:pPr>
    <w:rPr>
      <w:rFonts w:eastAsiaTheme="minorHAnsi"/>
      <w:color w:val="000000"/>
    </w:rPr>
  </w:style>
  <w:style w:type="paragraph" w:customStyle="1" w:styleId="xl127">
    <w:name w:val="xl127"/>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eastAsiaTheme="minorHAnsi"/>
      <w:color w:val="000000"/>
    </w:rPr>
  </w:style>
  <w:style w:type="paragraph" w:customStyle="1" w:styleId="xl128">
    <w:name w:val="xl128"/>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29">
    <w:name w:val="xl129"/>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30">
    <w:name w:val="xl130"/>
    <w:basedOn w:val="Normal"/>
    <w:rsid w:val="00B34248"/>
    <w:pPr>
      <w:pBdr>
        <w:left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31">
    <w:name w:val="xl131"/>
    <w:basedOn w:val="Normal"/>
    <w:rsid w:val="00B34248"/>
    <w:pPr>
      <w:pBdr>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32">
    <w:name w:val="xl132"/>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rPr>
  </w:style>
  <w:style w:type="paragraph" w:customStyle="1" w:styleId="xl133">
    <w:name w:val="xl133"/>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heme="minorHAnsi"/>
    </w:rPr>
  </w:style>
  <w:style w:type="paragraph" w:customStyle="1" w:styleId="xl134">
    <w:name w:val="xl134"/>
    <w:basedOn w:val="Normal"/>
    <w:rsid w:val="00B34248"/>
    <w:pPr>
      <w:pBdr>
        <w:top w:val="single" w:sz="8" w:space="0" w:color="auto"/>
        <w:left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135">
    <w:name w:val="xl135"/>
    <w:basedOn w:val="Normal"/>
    <w:rsid w:val="00B34248"/>
    <w:pPr>
      <w:pBdr>
        <w:left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136">
    <w:name w:val="xl136"/>
    <w:basedOn w:val="Normal"/>
    <w:rsid w:val="00B34248"/>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heme="minorHAnsi"/>
      <w:color w:val="000000"/>
    </w:rPr>
  </w:style>
  <w:style w:type="paragraph" w:customStyle="1" w:styleId="xl137">
    <w:name w:val="xl137"/>
    <w:basedOn w:val="Normal"/>
    <w:rsid w:val="00B34248"/>
    <w:pPr>
      <w:pBdr>
        <w:top w:val="single" w:sz="8" w:space="0" w:color="auto"/>
        <w:left w:val="single" w:sz="8" w:space="0" w:color="auto"/>
        <w:right w:val="single" w:sz="8" w:space="0" w:color="auto"/>
      </w:pBdr>
      <w:spacing w:before="100" w:beforeAutospacing="1" w:after="100" w:afterAutospacing="1"/>
      <w:textAlignment w:val="top"/>
    </w:pPr>
    <w:rPr>
      <w:rFonts w:eastAsiaTheme="minorHAnsi"/>
      <w:color w:val="000000"/>
    </w:rPr>
  </w:style>
  <w:style w:type="paragraph" w:customStyle="1" w:styleId="xl138">
    <w:name w:val="xl138"/>
    <w:basedOn w:val="Normal"/>
    <w:rsid w:val="00B34248"/>
    <w:pPr>
      <w:pBdr>
        <w:left w:val="single" w:sz="8" w:space="0" w:color="auto"/>
        <w:right w:val="single" w:sz="8" w:space="0" w:color="auto"/>
      </w:pBdr>
      <w:spacing w:before="100" w:beforeAutospacing="1" w:after="100" w:afterAutospacing="1"/>
      <w:textAlignment w:val="top"/>
    </w:pPr>
    <w:rPr>
      <w:rFonts w:eastAsiaTheme="minorHAnsi"/>
      <w:color w:val="000000"/>
    </w:rPr>
  </w:style>
  <w:style w:type="paragraph" w:customStyle="1" w:styleId="xl139">
    <w:name w:val="xl139"/>
    <w:basedOn w:val="Normal"/>
    <w:rsid w:val="00B34248"/>
    <w:pPr>
      <w:pBdr>
        <w:left w:val="single" w:sz="8" w:space="0" w:color="auto"/>
        <w:bottom w:val="single" w:sz="8" w:space="0" w:color="auto"/>
        <w:right w:val="single" w:sz="8" w:space="0" w:color="auto"/>
      </w:pBdr>
      <w:spacing w:before="100" w:beforeAutospacing="1" w:after="100" w:afterAutospacing="1"/>
      <w:textAlignment w:val="top"/>
    </w:pPr>
    <w:rPr>
      <w:rFonts w:eastAsiaTheme="minorHAnsi"/>
      <w:color w:val="000000"/>
    </w:rPr>
  </w:style>
  <w:style w:type="paragraph" w:customStyle="1" w:styleId="xl140">
    <w:name w:val="xl140"/>
    <w:basedOn w:val="Normal"/>
    <w:rsid w:val="00B34248"/>
    <w:pPr>
      <w:pBdr>
        <w:top w:val="single" w:sz="8" w:space="0" w:color="auto"/>
        <w:left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41">
    <w:name w:val="xl141"/>
    <w:basedOn w:val="Normal"/>
    <w:rsid w:val="00B34248"/>
    <w:pPr>
      <w:pBdr>
        <w:left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42">
    <w:name w:val="xl142"/>
    <w:basedOn w:val="Normal"/>
    <w:rsid w:val="00B34248"/>
    <w:pPr>
      <w:pBdr>
        <w:left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customStyle="1" w:styleId="xl143">
    <w:name w:val="xl143"/>
    <w:basedOn w:val="Normal"/>
    <w:rsid w:val="00B34248"/>
    <w:pPr>
      <w:pBdr>
        <w:top w:val="single" w:sz="8" w:space="0" w:color="auto"/>
        <w:left w:val="single" w:sz="8" w:space="0" w:color="auto"/>
        <w:right w:val="single" w:sz="8" w:space="0" w:color="auto"/>
      </w:pBdr>
      <w:spacing w:before="100" w:beforeAutospacing="1" w:after="100" w:afterAutospacing="1"/>
      <w:textAlignment w:val="center"/>
    </w:pPr>
    <w:rPr>
      <w:rFonts w:eastAsiaTheme="minorHAnsi"/>
      <w:b/>
      <w:bCs/>
      <w:color w:val="000000"/>
    </w:rPr>
  </w:style>
  <w:style w:type="paragraph" w:customStyle="1" w:styleId="xl144">
    <w:name w:val="xl144"/>
    <w:basedOn w:val="Normal"/>
    <w:rsid w:val="00B34248"/>
    <w:pPr>
      <w:pBdr>
        <w:top w:val="single" w:sz="8" w:space="0" w:color="auto"/>
        <w:left w:val="single" w:sz="8" w:space="0" w:color="auto"/>
        <w:right w:val="single" w:sz="8" w:space="0" w:color="auto"/>
      </w:pBdr>
      <w:spacing w:before="100" w:beforeAutospacing="1" w:after="100" w:afterAutospacing="1"/>
      <w:textAlignment w:val="top"/>
    </w:pPr>
    <w:rPr>
      <w:rFonts w:eastAsiaTheme="minorHAnsi"/>
      <w:b/>
      <w:bCs/>
      <w:color w:val="000000"/>
    </w:rPr>
  </w:style>
  <w:style w:type="paragraph" w:customStyle="1" w:styleId="xl145">
    <w:name w:val="xl145"/>
    <w:basedOn w:val="Normal"/>
    <w:rsid w:val="00B34248"/>
    <w:pPr>
      <w:pBdr>
        <w:left w:val="single" w:sz="8" w:space="0" w:color="auto"/>
        <w:right w:val="single" w:sz="8" w:space="0" w:color="auto"/>
      </w:pBdr>
      <w:spacing w:before="100" w:beforeAutospacing="1" w:after="100" w:afterAutospacing="1"/>
      <w:textAlignment w:val="top"/>
    </w:pPr>
    <w:rPr>
      <w:rFonts w:eastAsiaTheme="minorHAnsi"/>
      <w:b/>
      <w:bCs/>
      <w:color w:val="000000"/>
    </w:rPr>
  </w:style>
  <w:style w:type="paragraph" w:customStyle="1" w:styleId="xl146">
    <w:name w:val="xl146"/>
    <w:basedOn w:val="Normal"/>
    <w:rsid w:val="00B34248"/>
    <w:pPr>
      <w:pBdr>
        <w:left w:val="single" w:sz="8" w:space="0" w:color="auto"/>
        <w:bottom w:val="single" w:sz="8" w:space="0" w:color="auto"/>
        <w:right w:val="single" w:sz="8" w:space="0" w:color="auto"/>
      </w:pBdr>
      <w:spacing w:before="100" w:beforeAutospacing="1" w:after="100" w:afterAutospacing="1"/>
      <w:textAlignment w:val="top"/>
    </w:pPr>
    <w:rPr>
      <w:rFonts w:eastAsiaTheme="minorHAnsi"/>
      <w:b/>
      <w:bCs/>
      <w:color w:val="000000"/>
    </w:rPr>
  </w:style>
  <w:style w:type="paragraph" w:customStyle="1" w:styleId="xl147">
    <w:name w:val="xl147"/>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heme="minorHAnsi"/>
    </w:rPr>
  </w:style>
  <w:style w:type="paragraph" w:customStyle="1" w:styleId="xl148">
    <w:name w:val="xl148"/>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rPr>
  </w:style>
  <w:style w:type="paragraph" w:customStyle="1" w:styleId="xl149">
    <w:name w:val="xl149"/>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rPr>
  </w:style>
  <w:style w:type="paragraph" w:customStyle="1" w:styleId="xl150">
    <w:name w:val="xl150"/>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heme="minorHAnsi"/>
    </w:rPr>
  </w:style>
  <w:style w:type="paragraph" w:customStyle="1" w:styleId="xl151">
    <w:name w:val="xl151"/>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b/>
      <w:bCs/>
    </w:rPr>
  </w:style>
  <w:style w:type="paragraph" w:customStyle="1" w:styleId="xl152">
    <w:name w:val="xl152"/>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rPr>
  </w:style>
  <w:style w:type="paragraph" w:customStyle="1" w:styleId="xl153">
    <w:name w:val="xl153"/>
    <w:basedOn w:val="Normal"/>
    <w:rsid w:val="00B3424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heme="minorHAnsi"/>
      <w:color w:val="000000"/>
    </w:rPr>
  </w:style>
  <w:style w:type="paragraph" w:styleId="TM4">
    <w:name w:val="toc 4"/>
    <w:basedOn w:val="Normal"/>
    <w:next w:val="Normal"/>
    <w:autoRedefine/>
    <w:uiPriority w:val="39"/>
    <w:unhideWhenUsed/>
    <w:rsid w:val="00895621"/>
    <w:pPr>
      <w:ind w:left="720"/>
    </w:pPr>
    <w:rPr>
      <w:rFonts w:asciiTheme="minorHAnsi" w:hAnsiTheme="minorHAnsi"/>
      <w:sz w:val="18"/>
      <w:szCs w:val="18"/>
    </w:rPr>
  </w:style>
  <w:style w:type="paragraph" w:styleId="TM5">
    <w:name w:val="toc 5"/>
    <w:basedOn w:val="Normal"/>
    <w:next w:val="Normal"/>
    <w:autoRedefine/>
    <w:uiPriority w:val="39"/>
    <w:unhideWhenUsed/>
    <w:rsid w:val="00895621"/>
    <w:pPr>
      <w:ind w:left="960"/>
    </w:pPr>
    <w:rPr>
      <w:rFonts w:asciiTheme="minorHAnsi" w:hAnsiTheme="minorHAnsi"/>
      <w:sz w:val="18"/>
      <w:szCs w:val="18"/>
    </w:rPr>
  </w:style>
  <w:style w:type="paragraph" w:styleId="TM6">
    <w:name w:val="toc 6"/>
    <w:basedOn w:val="Normal"/>
    <w:next w:val="Normal"/>
    <w:autoRedefine/>
    <w:uiPriority w:val="39"/>
    <w:unhideWhenUsed/>
    <w:rsid w:val="00895621"/>
    <w:pPr>
      <w:ind w:left="1200"/>
    </w:pPr>
    <w:rPr>
      <w:rFonts w:asciiTheme="minorHAnsi" w:hAnsiTheme="minorHAnsi"/>
      <w:sz w:val="18"/>
      <w:szCs w:val="18"/>
    </w:rPr>
  </w:style>
  <w:style w:type="paragraph" w:styleId="TM7">
    <w:name w:val="toc 7"/>
    <w:basedOn w:val="Normal"/>
    <w:next w:val="Normal"/>
    <w:autoRedefine/>
    <w:uiPriority w:val="39"/>
    <w:unhideWhenUsed/>
    <w:rsid w:val="00895621"/>
    <w:pPr>
      <w:ind w:left="1440"/>
    </w:pPr>
    <w:rPr>
      <w:rFonts w:asciiTheme="minorHAnsi" w:hAnsiTheme="minorHAnsi"/>
      <w:sz w:val="18"/>
      <w:szCs w:val="18"/>
    </w:rPr>
  </w:style>
  <w:style w:type="paragraph" w:styleId="TM8">
    <w:name w:val="toc 8"/>
    <w:basedOn w:val="Normal"/>
    <w:next w:val="Normal"/>
    <w:autoRedefine/>
    <w:uiPriority w:val="39"/>
    <w:unhideWhenUsed/>
    <w:rsid w:val="00895621"/>
    <w:pPr>
      <w:ind w:left="1680"/>
    </w:pPr>
    <w:rPr>
      <w:rFonts w:asciiTheme="minorHAnsi" w:hAnsiTheme="minorHAnsi"/>
      <w:sz w:val="18"/>
      <w:szCs w:val="18"/>
    </w:rPr>
  </w:style>
  <w:style w:type="paragraph" w:styleId="TM9">
    <w:name w:val="toc 9"/>
    <w:basedOn w:val="Normal"/>
    <w:next w:val="Normal"/>
    <w:autoRedefine/>
    <w:uiPriority w:val="39"/>
    <w:unhideWhenUsed/>
    <w:rsid w:val="00895621"/>
    <w:pPr>
      <w:ind w:left="1920"/>
    </w:pPr>
    <w:rPr>
      <w:rFonts w:asciiTheme="minorHAnsi" w:hAnsiTheme="minorHAnsi"/>
      <w:sz w:val="18"/>
      <w:szCs w:val="18"/>
    </w:rPr>
  </w:style>
  <w:style w:type="character" w:customStyle="1" w:styleId="A2">
    <w:name w:val="A2"/>
    <w:uiPriority w:val="99"/>
    <w:rsid w:val="003721CE"/>
    <w:rPr>
      <w:rFonts w:cs="Myriad"/>
      <w:color w:val="000000"/>
      <w:sz w:val="20"/>
      <w:szCs w:val="20"/>
    </w:rPr>
  </w:style>
  <w:style w:type="paragraph" w:customStyle="1" w:styleId="tab">
    <w:name w:val="tab"/>
    <w:basedOn w:val="Normal"/>
    <w:qFormat/>
    <w:rsid w:val="0047073A"/>
    <w:pPr>
      <w:autoSpaceDE w:val="0"/>
      <w:autoSpaceDN w:val="0"/>
      <w:adjustRightInd w:val="0"/>
      <w:jc w:val="both"/>
    </w:pPr>
    <w:rPr>
      <w:rFonts w:asciiTheme="minorHAnsi" w:eastAsiaTheme="minorEastAsia" w:hAnsiTheme="minorHAnsi" w:cstheme="minorHAnsi"/>
      <w:sz w:val="21"/>
      <w:szCs w:val="22"/>
      <w:lang w:val="fr-CA"/>
    </w:rPr>
  </w:style>
  <w:style w:type="paragraph" w:customStyle="1" w:styleId="pssc2">
    <w:name w:val="pssc2"/>
    <w:basedOn w:val="Normal"/>
    <w:qFormat/>
    <w:rsid w:val="0047073A"/>
    <w:pPr>
      <w:jc w:val="both"/>
    </w:pPr>
    <w:rPr>
      <w:rFonts w:ascii="Calibri" w:hAnsi="Calibri" w:cs="Calibri"/>
      <w:b/>
      <w:color w:val="C00000"/>
      <w:sz w:val="21"/>
      <w:szCs w:val="20"/>
    </w:rPr>
  </w:style>
  <w:style w:type="paragraph" w:customStyle="1" w:styleId="fig">
    <w:name w:val="fig"/>
    <w:basedOn w:val="Lgende"/>
    <w:qFormat/>
    <w:rsid w:val="001C1DD2"/>
    <w:pPr>
      <w:spacing w:after="0"/>
      <w:jc w:val="right"/>
    </w:pPr>
    <w:rPr>
      <w:sz w:val="24"/>
      <w:szCs w:val="24"/>
    </w:rPr>
  </w:style>
  <w:style w:type="paragraph" w:customStyle="1" w:styleId="table">
    <w:name w:val="table"/>
    <w:basedOn w:val="Lgende"/>
    <w:qFormat/>
    <w:rsid w:val="001C1DD2"/>
    <w:pPr>
      <w:spacing w:after="0"/>
    </w:pPr>
    <w:rPr>
      <w:sz w:val="24"/>
      <w:szCs w:val="24"/>
    </w:rPr>
  </w:style>
  <w:style w:type="paragraph" w:customStyle="1" w:styleId="graph">
    <w:name w:val="graph"/>
    <w:basedOn w:val="Lgende"/>
    <w:qFormat/>
    <w:rsid w:val="00C47CD6"/>
    <w:pPr>
      <w:spacing w:after="0"/>
      <w:jc w:val="right"/>
    </w:pPr>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16524">
      <w:bodyDiv w:val="1"/>
      <w:marLeft w:val="0"/>
      <w:marRight w:val="0"/>
      <w:marTop w:val="0"/>
      <w:marBottom w:val="0"/>
      <w:divBdr>
        <w:top w:val="none" w:sz="0" w:space="0" w:color="auto"/>
        <w:left w:val="none" w:sz="0" w:space="0" w:color="auto"/>
        <w:bottom w:val="none" w:sz="0" w:space="0" w:color="auto"/>
        <w:right w:val="none" w:sz="0" w:space="0" w:color="auto"/>
      </w:divBdr>
    </w:div>
    <w:div w:id="20280960">
      <w:bodyDiv w:val="1"/>
      <w:marLeft w:val="0"/>
      <w:marRight w:val="0"/>
      <w:marTop w:val="0"/>
      <w:marBottom w:val="0"/>
      <w:divBdr>
        <w:top w:val="none" w:sz="0" w:space="0" w:color="auto"/>
        <w:left w:val="none" w:sz="0" w:space="0" w:color="auto"/>
        <w:bottom w:val="none" w:sz="0" w:space="0" w:color="auto"/>
        <w:right w:val="none" w:sz="0" w:space="0" w:color="auto"/>
      </w:divBdr>
    </w:div>
    <w:div w:id="49813080">
      <w:bodyDiv w:val="1"/>
      <w:marLeft w:val="0"/>
      <w:marRight w:val="0"/>
      <w:marTop w:val="0"/>
      <w:marBottom w:val="0"/>
      <w:divBdr>
        <w:top w:val="none" w:sz="0" w:space="0" w:color="auto"/>
        <w:left w:val="none" w:sz="0" w:space="0" w:color="auto"/>
        <w:bottom w:val="none" w:sz="0" w:space="0" w:color="auto"/>
        <w:right w:val="none" w:sz="0" w:space="0" w:color="auto"/>
      </w:divBdr>
    </w:div>
    <w:div w:id="56980442">
      <w:bodyDiv w:val="1"/>
      <w:marLeft w:val="0"/>
      <w:marRight w:val="0"/>
      <w:marTop w:val="0"/>
      <w:marBottom w:val="0"/>
      <w:divBdr>
        <w:top w:val="none" w:sz="0" w:space="0" w:color="auto"/>
        <w:left w:val="none" w:sz="0" w:space="0" w:color="auto"/>
        <w:bottom w:val="none" w:sz="0" w:space="0" w:color="auto"/>
        <w:right w:val="none" w:sz="0" w:space="0" w:color="auto"/>
      </w:divBdr>
    </w:div>
    <w:div w:id="95904623">
      <w:bodyDiv w:val="1"/>
      <w:marLeft w:val="0"/>
      <w:marRight w:val="0"/>
      <w:marTop w:val="0"/>
      <w:marBottom w:val="0"/>
      <w:divBdr>
        <w:top w:val="none" w:sz="0" w:space="0" w:color="auto"/>
        <w:left w:val="none" w:sz="0" w:space="0" w:color="auto"/>
        <w:bottom w:val="none" w:sz="0" w:space="0" w:color="auto"/>
        <w:right w:val="none" w:sz="0" w:space="0" w:color="auto"/>
      </w:divBdr>
    </w:div>
    <w:div w:id="153881381">
      <w:bodyDiv w:val="1"/>
      <w:marLeft w:val="0"/>
      <w:marRight w:val="0"/>
      <w:marTop w:val="0"/>
      <w:marBottom w:val="0"/>
      <w:divBdr>
        <w:top w:val="none" w:sz="0" w:space="0" w:color="auto"/>
        <w:left w:val="none" w:sz="0" w:space="0" w:color="auto"/>
        <w:bottom w:val="none" w:sz="0" w:space="0" w:color="auto"/>
        <w:right w:val="none" w:sz="0" w:space="0" w:color="auto"/>
      </w:divBdr>
    </w:div>
    <w:div w:id="223227239">
      <w:bodyDiv w:val="1"/>
      <w:marLeft w:val="0"/>
      <w:marRight w:val="0"/>
      <w:marTop w:val="0"/>
      <w:marBottom w:val="0"/>
      <w:divBdr>
        <w:top w:val="none" w:sz="0" w:space="0" w:color="auto"/>
        <w:left w:val="none" w:sz="0" w:space="0" w:color="auto"/>
        <w:bottom w:val="none" w:sz="0" w:space="0" w:color="auto"/>
        <w:right w:val="none" w:sz="0" w:space="0" w:color="auto"/>
      </w:divBdr>
    </w:div>
    <w:div w:id="345905230">
      <w:bodyDiv w:val="1"/>
      <w:marLeft w:val="0"/>
      <w:marRight w:val="0"/>
      <w:marTop w:val="0"/>
      <w:marBottom w:val="0"/>
      <w:divBdr>
        <w:top w:val="none" w:sz="0" w:space="0" w:color="auto"/>
        <w:left w:val="none" w:sz="0" w:space="0" w:color="auto"/>
        <w:bottom w:val="none" w:sz="0" w:space="0" w:color="auto"/>
        <w:right w:val="none" w:sz="0" w:space="0" w:color="auto"/>
      </w:divBdr>
    </w:div>
    <w:div w:id="347417295">
      <w:bodyDiv w:val="1"/>
      <w:marLeft w:val="0"/>
      <w:marRight w:val="0"/>
      <w:marTop w:val="0"/>
      <w:marBottom w:val="0"/>
      <w:divBdr>
        <w:top w:val="none" w:sz="0" w:space="0" w:color="auto"/>
        <w:left w:val="none" w:sz="0" w:space="0" w:color="auto"/>
        <w:bottom w:val="none" w:sz="0" w:space="0" w:color="auto"/>
        <w:right w:val="none" w:sz="0" w:space="0" w:color="auto"/>
      </w:divBdr>
    </w:div>
    <w:div w:id="493763599">
      <w:bodyDiv w:val="1"/>
      <w:marLeft w:val="0"/>
      <w:marRight w:val="0"/>
      <w:marTop w:val="0"/>
      <w:marBottom w:val="0"/>
      <w:divBdr>
        <w:top w:val="none" w:sz="0" w:space="0" w:color="auto"/>
        <w:left w:val="none" w:sz="0" w:space="0" w:color="auto"/>
        <w:bottom w:val="none" w:sz="0" w:space="0" w:color="auto"/>
        <w:right w:val="none" w:sz="0" w:space="0" w:color="auto"/>
      </w:divBdr>
    </w:div>
    <w:div w:id="535699903">
      <w:bodyDiv w:val="1"/>
      <w:marLeft w:val="0"/>
      <w:marRight w:val="0"/>
      <w:marTop w:val="0"/>
      <w:marBottom w:val="0"/>
      <w:divBdr>
        <w:top w:val="none" w:sz="0" w:space="0" w:color="auto"/>
        <w:left w:val="none" w:sz="0" w:space="0" w:color="auto"/>
        <w:bottom w:val="none" w:sz="0" w:space="0" w:color="auto"/>
        <w:right w:val="none" w:sz="0" w:space="0" w:color="auto"/>
      </w:divBdr>
    </w:div>
    <w:div w:id="565454731">
      <w:bodyDiv w:val="1"/>
      <w:marLeft w:val="0"/>
      <w:marRight w:val="0"/>
      <w:marTop w:val="0"/>
      <w:marBottom w:val="0"/>
      <w:divBdr>
        <w:top w:val="none" w:sz="0" w:space="0" w:color="auto"/>
        <w:left w:val="none" w:sz="0" w:space="0" w:color="auto"/>
        <w:bottom w:val="none" w:sz="0" w:space="0" w:color="auto"/>
        <w:right w:val="none" w:sz="0" w:space="0" w:color="auto"/>
      </w:divBdr>
    </w:div>
    <w:div w:id="584725469">
      <w:bodyDiv w:val="1"/>
      <w:marLeft w:val="0"/>
      <w:marRight w:val="0"/>
      <w:marTop w:val="0"/>
      <w:marBottom w:val="0"/>
      <w:divBdr>
        <w:top w:val="none" w:sz="0" w:space="0" w:color="auto"/>
        <w:left w:val="none" w:sz="0" w:space="0" w:color="auto"/>
        <w:bottom w:val="none" w:sz="0" w:space="0" w:color="auto"/>
        <w:right w:val="none" w:sz="0" w:space="0" w:color="auto"/>
      </w:divBdr>
    </w:div>
    <w:div w:id="637299550">
      <w:bodyDiv w:val="1"/>
      <w:marLeft w:val="0"/>
      <w:marRight w:val="0"/>
      <w:marTop w:val="0"/>
      <w:marBottom w:val="0"/>
      <w:divBdr>
        <w:top w:val="none" w:sz="0" w:space="0" w:color="auto"/>
        <w:left w:val="none" w:sz="0" w:space="0" w:color="auto"/>
        <w:bottom w:val="none" w:sz="0" w:space="0" w:color="auto"/>
        <w:right w:val="none" w:sz="0" w:space="0" w:color="auto"/>
      </w:divBdr>
    </w:div>
    <w:div w:id="689798625">
      <w:bodyDiv w:val="1"/>
      <w:marLeft w:val="0"/>
      <w:marRight w:val="0"/>
      <w:marTop w:val="0"/>
      <w:marBottom w:val="0"/>
      <w:divBdr>
        <w:top w:val="none" w:sz="0" w:space="0" w:color="auto"/>
        <w:left w:val="none" w:sz="0" w:space="0" w:color="auto"/>
        <w:bottom w:val="none" w:sz="0" w:space="0" w:color="auto"/>
        <w:right w:val="none" w:sz="0" w:space="0" w:color="auto"/>
      </w:divBdr>
    </w:div>
    <w:div w:id="804549045">
      <w:bodyDiv w:val="1"/>
      <w:marLeft w:val="0"/>
      <w:marRight w:val="0"/>
      <w:marTop w:val="0"/>
      <w:marBottom w:val="0"/>
      <w:divBdr>
        <w:top w:val="none" w:sz="0" w:space="0" w:color="auto"/>
        <w:left w:val="none" w:sz="0" w:space="0" w:color="auto"/>
        <w:bottom w:val="none" w:sz="0" w:space="0" w:color="auto"/>
        <w:right w:val="none" w:sz="0" w:space="0" w:color="auto"/>
      </w:divBdr>
    </w:div>
    <w:div w:id="917593926">
      <w:bodyDiv w:val="1"/>
      <w:marLeft w:val="0"/>
      <w:marRight w:val="0"/>
      <w:marTop w:val="0"/>
      <w:marBottom w:val="0"/>
      <w:divBdr>
        <w:top w:val="none" w:sz="0" w:space="0" w:color="auto"/>
        <w:left w:val="none" w:sz="0" w:space="0" w:color="auto"/>
        <w:bottom w:val="none" w:sz="0" w:space="0" w:color="auto"/>
        <w:right w:val="none" w:sz="0" w:space="0" w:color="auto"/>
      </w:divBdr>
    </w:div>
    <w:div w:id="957183639">
      <w:bodyDiv w:val="1"/>
      <w:marLeft w:val="0"/>
      <w:marRight w:val="0"/>
      <w:marTop w:val="0"/>
      <w:marBottom w:val="0"/>
      <w:divBdr>
        <w:top w:val="none" w:sz="0" w:space="0" w:color="auto"/>
        <w:left w:val="none" w:sz="0" w:space="0" w:color="auto"/>
        <w:bottom w:val="none" w:sz="0" w:space="0" w:color="auto"/>
        <w:right w:val="none" w:sz="0" w:space="0" w:color="auto"/>
      </w:divBdr>
    </w:div>
    <w:div w:id="964963142">
      <w:bodyDiv w:val="1"/>
      <w:marLeft w:val="0"/>
      <w:marRight w:val="0"/>
      <w:marTop w:val="0"/>
      <w:marBottom w:val="0"/>
      <w:divBdr>
        <w:top w:val="none" w:sz="0" w:space="0" w:color="auto"/>
        <w:left w:val="none" w:sz="0" w:space="0" w:color="auto"/>
        <w:bottom w:val="none" w:sz="0" w:space="0" w:color="auto"/>
        <w:right w:val="none" w:sz="0" w:space="0" w:color="auto"/>
      </w:divBdr>
      <w:divsChild>
        <w:div w:id="43986658">
          <w:marLeft w:val="547"/>
          <w:marRight w:val="0"/>
          <w:marTop w:val="134"/>
          <w:marBottom w:val="0"/>
          <w:divBdr>
            <w:top w:val="none" w:sz="0" w:space="0" w:color="auto"/>
            <w:left w:val="none" w:sz="0" w:space="0" w:color="auto"/>
            <w:bottom w:val="none" w:sz="0" w:space="0" w:color="auto"/>
            <w:right w:val="none" w:sz="0" w:space="0" w:color="auto"/>
          </w:divBdr>
        </w:div>
        <w:div w:id="1536234082">
          <w:marLeft w:val="547"/>
          <w:marRight w:val="0"/>
          <w:marTop w:val="134"/>
          <w:marBottom w:val="0"/>
          <w:divBdr>
            <w:top w:val="none" w:sz="0" w:space="0" w:color="auto"/>
            <w:left w:val="none" w:sz="0" w:space="0" w:color="auto"/>
            <w:bottom w:val="none" w:sz="0" w:space="0" w:color="auto"/>
            <w:right w:val="none" w:sz="0" w:space="0" w:color="auto"/>
          </w:divBdr>
        </w:div>
        <w:div w:id="1809546335">
          <w:marLeft w:val="547"/>
          <w:marRight w:val="0"/>
          <w:marTop w:val="134"/>
          <w:marBottom w:val="0"/>
          <w:divBdr>
            <w:top w:val="none" w:sz="0" w:space="0" w:color="auto"/>
            <w:left w:val="none" w:sz="0" w:space="0" w:color="auto"/>
            <w:bottom w:val="none" w:sz="0" w:space="0" w:color="auto"/>
            <w:right w:val="none" w:sz="0" w:space="0" w:color="auto"/>
          </w:divBdr>
        </w:div>
        <w:div w:id="1857960141">
          <w:marLeft w:val="547"/>
          <w:marRight w:val="0"/>
          <w:marTop w:val="134"/>
          <w:marBottom w:val="0"/>
          <w:divBdr>
            <w:top w:val="none" w:sz="0" w:space="0" w:color="auto"/>
            <w:left w:val="none" w:sz="0" w:space="0" w:color="auto"/>
            <w:bottom w:val="none" w:sz="0" w:space="0" w:color="auto"/>
            <w:right w:val="none" w:sz="0" w:space="0" w:color="auto"/>
          </w:divBdr>
        </w:div>
      </w:divsChild>
    </w:div>
    <w:div w:id="997655404">
      <w:bodyDiv w:val="1"/>
      <w:marLeft w:val="0"/>
      <w:marRight w:val="0"/>
      <w:marTop w:val="0"/>
      <w:marBottom w:val="0"/>
      <w:divBdr>
        <w:top w:val="none" w:sz="0" w:space="0" w:color="auto"/>
        <w:left w:val="none" w:sz="0" w:space="0" w:color="auto"/>
        <w:bottom w:val="none" w:sz="0" w:space="0" w:color="auto"/>
        <w:right w:val="none" w:sz="0" w:space="0" w:color="auto"/>
      </w:divBdr>
    </w:div>
    <w:div w:id="1031765478">
      <w:bodyDiv w:val="1"/>
      <w:marLeft w:val="0"/>
      <w:marRight w:val="0"/>
      <w:marTop w:val="0"/>
      <w:marBottom w:val="0"/>
      <w:divBdr>
        <w:top w:val="none" w:sz="0" w:space="0" w:color="auto"/>
        <w:left w:val="none" w:sz="0" w:space="0" w:color="auto"/>
        <w:bottom w:val="none" w:sz="0" w:space="0" w:color="auto"/>
        <w:right w:val="none" w:sz="0" w:space="0" w:color="auto"/>
      </w:divBdr>
    </w:div>
    <w:div w:id="1068264035">
      <w:bodyDiv w:val="1"/>
      <w:marLeft w:val="0"/>
      <w:marRight w:val="0"/>
      <w:marTop w:val="0"/>
      <w:marBottom w:val="0"/>
      <w:divBdr>
        <w:top w:val="none" w:sz="0" w:space="0" w:color="auto"/>
        <w:left w:val="none" w:sz="0" w:space="0" w:color="auto"/>
        <w:bottom w:val="none" w:sz="0" w:space="0" w:color="auto"/>
        <w:right w:val="none" w:sz="0" w:space="0" w:color="auto"/>
      </w:divBdr>
    </w:div>
    <w:div w:id="1193768770">
      <w:bodyDiv w:val="1"/>
      <w:marLeft w:val="0"/>
      <w:marRight w:val="0"/>
      <w:marTop w:val="0"/>
      <w:marBottom w:val="0"/>
      <w:divBdr>
        <w:top w:val="none" w:sz="0" w:space="0" w:color="auto"/>
        <w:left w:val="none" w:sz="0" w:space="0" w:color="auto"/>
        <w:bottom w:val="none" w:sz="0" w:space="0" w:color="auto"/>
        <w:right w:val="none" w:sz="0" w:space="0" w:color="auto"/>
      </w:divBdr>
    </w:div>
    <w:div w:id="1226380237">
      <w:bodyDiv w:val="1"/>
      <w:marLeft w:val="0"/>
      <w:marRight w:val="0"/>
      <w:marTop w:val="0"/>
      <w:marBottom w:val="0"/>
      <w:divBdr>
        <w:top w:val="none" w:sz="0" w:space="0" w:color="auto"/>
        <w:left w:val="none" w:sz="0" w:space="0" w:color="auto"/>
        <w:bottom w:val="none" w:sz="0" w:space="0" w:color="auto"/>
        <w:right w:val="none" w:sz="0" w:space="0" w:color="auto"/>
      </w:divBdr>
    </w:div>
    <w:div w:id="1226797554">
      <w:bodyDiv w:val="1"/>
      <w:marLeft w:val="0"/>
      <w:marRight w:val="0"/>
      <w:marTop w:val="0"/>
      <w:marBottom w:val="0"/>
      <w:divBdr>
        <w:top w:val="none" w:sz="0" w:space="0" w:color="auto"/>
        <w:left w:val="none" w:sz="0" w:space="0" w:color="auto"/>
        <w:bottom w:val="none" w:sz="0" w:space="0" w:color="auto"/>
        <w:right w:val="none" w:sz="0" w:space="0" w:color="auto"/>
      </w:divBdr>
      <w:divsChild>
        <w:div w:id="1613245215">
          <w:marLeft w:val="0"/>
          <w:marRight w:val="0"/>
          <w:marTop w:val="0"/>
          <w:marBottom w:val="0"/>
          <w:divBdr>
            <w:top w:val="none" w:sz="0" w:space="0" w:color="auto"/>
            <w:left w:val="none" w:sz="0" w:space="0" w:color="auto"/>
            <w:bottom w:val="none" w:sz="0" w:space="0" w:color="auto"/>
            <w:right w:val="none" w:sz="0" w:space="0" w:color="auto"/>
          </w:divBdr>
          <w:divsChild>
            <w:div w:id="8278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2611">
      <w:bodyDiv w:val="1"/>
      <w:marLeft w:val="0"/>
      <w:marRight w:val="0"/>
      <w:marTop w:val="0"/>
      <w:marBottom w:val="0"/>
      <w:divBdr>
        <w:top w:val="none" w:sz="0" w:space="0" w:color="auto"/>
        <w:left w:val="none" w:sz="0" w:space="0" w:color="auto"/>
        <w:bottom w:val="none" w:sz="0" w:space="0" w:color="auto"/>
        <w:right w:val="none" w:sz="0" w:space="0" w:color="auto"/>
      </w:divBdr>
      <w:divsChild>
        <w:div w:id="1303727959">
          <w:marLeft w:val="0"/>
          <w:marRight w:val="0"/>
          <w:marTop w:val="0"/>
          <w:marBottom w:val="0"/>
          <w:divBdr>
            <w:top w:val="none" w:sz="0" w:space="0" w:color="auto"/>
            <w:left w:val="none" w:sz="0" w:space="0" w:color="auto"/>
            <w:bottom w:val="none" w:sz="0" w:space="0" w:color="auto"/>
            <w:right w:val="none" w:sz="0" w:space="0" w:color="auto"/>
          </w:divBdr>
        </w:div>
      </w:divsChild>
    </w:div>
    <w:div w:id="1306541795">
      <w:bodyDiv w:val="1"/>
      <w:marLeft w:val="0"/>
      <w:marRight w:val="0"/>
      <w:marTop w:val="0"/>
      <w:marBottom w:val="0"/>
      <w:divBdr>
        <w:top w:val="none" w:sz="0" w:space="0" w:color="auto"/>
        <w:left w:val="none" w:sz="0" w:space="0" w:color="auto"/>
        <w:bottom w:val="none" w:sz="0" w:space="0" w:color="auto"/>
        <w:right w:val="none" w:sz="0" w:space="0" w:color="auto"/>
      </w:divBdr>
    </w:div>
    <w:div w:id="1348558084">
      <w:bodyDiv w:val="1"/>
      <w:marLeft w:val="0"/>
      <w:marRight w:val="0"/>
      <w:marTop w:val="0"/>
      <w:marBottom w:val="0"/>
      <w:divBdr>
        <w:top w:val="none" w:sz="0" w:space="0" w:color="auto"/>
        <w:left w:val="none" w:sz="0" w:space="0" w:color="auto"/>
        <w:bottom w:val="none" w:sz="0" w:space="0" w:color="auto"/>
        <w:right w:val="none" w:sz="0" w:space="0" w:color="auto"/>
      </w:divBdr>
      <w:divsChild>
        <w:div w:id="1864131890">
          <w:marLeft w:val="547"/>
          <w:marRight w:val="0"/>
          <w:marTop w:val="134"/>
          <w:marBottom w:val="0"/>
          <w:divBdr>
            <w:top w:val="none" w:sz="0" w:space="0" w:color="auto"/>
            <w:left w:val="none" w:sz="0" w:space="0" w:color="auto"/>
            <w:bottom w:val="none" w:sz="0" w:space="0" w:color="auto"/>
            <w:right w:val="none" w:sz="0" w:space="0" w:color="auto"/>
          </w:divBdr>
        </w:div>
      </w:divsChild>
    </w:div>
    <w:div w:id="1350792092">
      <w:bodyDiv w:val="1"/>
      <w:marLeft w:val="0"/>
      <w:marRight w:val="0"/>
      <w:marTop w:val="0"/>
      <w:marBottom w:val="0"/>
      <w:divBdr>
        <w:top w:val="none" w:sz="0" w:space="0" w:color="auto"/>
        <w:left w:val="none" w:sz="0" w:space="0" w:color="auto"/>
        <w:bottom w:val="none" w:sz="0" w:space="0" w:color="auto"/>
        <w:right w:val="none" w:sz="0" w:space="0" w:color="auto"/>
      </w:divBdr>
    </w:div>
    <w:div w:id="1433354296">
      <w:bodyDiv w:val="1"/>
      <w:marLeft w:val="0"/>
      <w:marRight w:val="0"/>
      <w:marTop w:val="0"/>
      <w:marBottom w:val="0"/>
      <w:divBdr>
        <w:top w:val="none" w:sz="0" w:space="0" w:color="auto"/>
        <w:left w:val="none" w:sz="0" w:space="0" w:color="auto"/>
        <w:bottom w:val="none" w:sz="0" w:space="0" w:color="auto"/>
        <w:right w:val="none" w:sz="0" w:space="0" w:color="auto"/>
      </w:divBdr>
    </w:div>
    <w:div w:id="1596743285">
      <w:bodyDiv w:val="1"/>
      <w:marLeft w:val="0"/>
      <w:marRight w:val="0"/>
      <w:marTop w:val="0"/>
      <w:marBottom w:val="0"/>
      <w:divBdr>
        <w:top w:val="none" w:sz="0" w:space="0" w:color="auto"/>
        <w:left w:val="none" w:sz="0" w:space="0" w:color="auto"/>
        <w:bottom w:val="none" w:sz="0" w:space="0" w:color="auto"/>
        <w:right w:val="none" w:sz="0" w:space="0" w:color="auto"/>
      </w:divBdr>
      <w:divsChild>
        <w:div w:id="412897795">
          <w:marLeft w:val="0"/>
          <w:marRight w:val="0"/>
          <w:marTop w:val="0"/>
          <w:marBottom w:val="0"/>
          <w:divBdr>
            <w:top w:val="none" w:sz="0" w:space="0" w:color="auto"/>
            <w:left w:val="none" w:sz="0" w:space="0" w:color="auto"/>
            <w:bottom w:val="none" w:sz="0" w:space="0" w:color="auto"/>
            <w:right w:val="none" w:sz="0" w:space="0" w:color="auto"/>
          </w:divBdr>
          <w:divsChild>
            <w:div w:id="449979532">
              <w:marLeft w:val="0"/>
              <w:marRight w:val="0"/>
              <w:marTop w:val="0"/>
              <w:marBottom w:val="0"/>
              <w:divBdr>
                <w:top w:val="none" w:sz="0" w:space="0" w:color="auto"/>
                <w:left w:val="none" w:sz="0" w:space="0" w:color="auto"/>
                <w:bottom w:val="none" w:sz="0" w:space="0" w:color="auto"/>
                <w:right w:val="none" w:sz="0" w:space="0" w:color="auto"/>
              </w:divBdr>
              <w:divsChild>
                <w:div w:id="1987128464">
                  <w:marLeft w:val="0"/>
                  <w:marRight w:val="0"/>
                  <w:marTop w:val="0"/>
                  <w:marBottom w:val="0"/>
                  <w:divBdr>
                    <w:top w:val="none" w:sz="0" w:space="0" w:color="auto"/>
                    <w:left w:val="none" w:sz="0" w:space="0" w:color="auto"/>
                    <w:bottom w:val="none" w:sz="0" w:space="0" w:color="auto"/>
                    <w:right w:val="none" w:sz="0" w:space="0" w:color="auto"/>
                  </w:divBdr>
                  <w:divsChild>
                    <w:div w:id="16980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93970">
      <w:bodyDiv w:val="1"/>
      <w:marLeft w:val="0"/>
      <w:marRight w:val="0"/>
      <w:marTop w:val="0"/>
      <w:marBottom w:val="0"/>
      <w:divBdr>
        <w:top w:val="none" w:sz="0" w:space="0" w:color="auto"/>
        <w:left w:val="none" w:sz="0" w:space="0" w:color="auto"/>
        <w:bottom w:val="none" w:sz="0" w:space="0" w:color="auto"/>
        <w:right w:val="none" w:sz="0" w:space="0" w:color="auto"/>
      </w:divBdr>
    </w:div>
    <w:div w:id="1732922793">
      <w:bodyDiv w:val="1"/>
      <w:marLeft w:val="0"/>
      <w:marRight w:val="0"/>
      <w:marTop w:val="0"/>
      <w:marBottom w:val="0"/>
      <w:divBdr>
        <w:top w:val="none" w:sz="0" w:space="0" w:color="auto"/>
        <w:left w:val="none" w:sz="0" w:space="0" w:color="auto"/>
        <w:bottom w:val="none" w:sz="0" w:space="0" w:color="auto"/>
        <w:right w:val="none" w:sz="0" w:space="0" w:color="auto"/>
      </w:divBdr>
    </w:div>
    <w:div w:id="1773285008">
      <w:bodyDiv w:val="1"/>
      <w:marLeft w:val="0"/>
      <w:marRight w:val="0"/>
      <w:marTop w:val="0"/>
      <w:marBottom w:val="0"/>
      <w:divBdr>
        <w:top w:val="none" w:sz="0" w:space="0" w:color="auto"/>
        <w:left w:val="none" w:sz="0" w:space="0" w:color="auto"/>
        <w:bottom w:val="none" w:sz="0" w:space="0" w:color="auto"/>
        <w:right w:val="none" w:sz="0" w:space="0" w:color="auto"/>
      </w:divBdr>
    </w:div>
    <w:div w:id="1818493706">
      <w:bodyDiv w:val="1"/>
      <w:marLeft w:val="0"/>
      <w:marRight w:val="0"/>
      <w:marTop w:val="0"/>
      <w:marBottom w:val="0"/>
      <w:divBdr>
        <w:top w:val="none" w:sz="0" w:space="0" w:color="auto"/>
        <w:left w:val="none" w:sz="0" w:space="0" w:color="auto"/>
        <w:bottom w:val="none" w:sz="0" w:space="0" w:color="auto"/>
        <w:right w:val="none" w:sz="0" w:space="0" w:color="auto"/>
      </w:divBdr>
    </w:div>
    <w:div w:id="1840080730">
      <w:bodyDiv w:val="1"/>
      <w:marLeft w:val="0"/>
      <w:marRight w:val="0"/>
      <w:marTop w:val="0"/>
      <w:marBottom w:val="0"/>
      <w:divBdr>
        <w:top w:val="none" w:sz="0" w:space="0" w:color="auto"/>
        <w:left w:val="none" w:sz="0" w:space="0" w:color="auto"/>
        <w:bottom w:val="none" w:sz="0" w:space="0" w:color="auto"/>
        <w:right w:val="none" w:sz="0" w:space="0" w:color="auto"/>
      </w:divBdr>
    </w:div>
    <w:div w:id="1898319654">
      <w:bodyDiv w:val="1"/>
      <w:marLeft w:val="0"/>
      <w:marRight w:val="0"/>
      <w:marTop w:val="0"/>
      <w:marBottom w:val="0"/>
      <w:divBdr>
        <w:top w:val="none" w:sz="0" w:space="0" w:color="auto"/>
        <w:left w:val="none" w:sz="0" w:space="0" w:color="auto"/>
        <w:bottom w:val="none" w:sz="0" w:space="0" w:color="auto"/>
        <w:right w:val="none" w:sz="0" w:space="0" w:color="auto"/>
      </w:divBdr>
    </w:div>
    <w:div w:id="1898856859">
      <w:bodyDiv w:val="1"/>
      <w:marLeft w:val="0"/>
      <w:marRight w:val="0"/>
      <w:marTop w:val="0"/>
      <w:marBottom w:val="0"/>
      <w:divBdr>
        <w:top w:val="none" w:sz="0" w:space="0" w:color="auto"/>
        <w:left w:val="none" w:sz="0" w:space="0" w:color="auto"/>
        <w:bottom w:val="none" w:sz="0" w:space="0" w:color="auto"/>
        <w:right w:val="none" w:sz="0" w:space="0" w:color="auto"/>
      </w:divBdr>
    </w:div>
    <w:div w:id="1957368502">
      <w:bodyDiv w:val="1"/>
      <w:marLeft w:val="0"/>
      <w:marRight w:val="0"/>
      <w:marTop w:val="0"/>
      <w:marBottom w:val="0"/>
      <w:divBdr>
        <w:top w:val="none" w:sz="0" w:space="0" w:color="auto"/>
        <w:left w:val="none" w:sz="0" w:space="0" w:color="auto"/>
        <w:bottom w:val="none" w:sz="0" w:space="0" w:color="auto"/>
        <w:right w:val="none" w:sz="0" w:space="0" w:color="auto"/>
      </w:divBdr>
    </w:div>
    <w:div w:id="2109160448">
      <w:bodyDiv w:val="1"/>
      <w:marLeft w:val="0"/>
      <w:marRight w:val="0"/>
      <w:marTop w:val="0"/>
      <w:marBottom w:val="0"/>
      <w:divBdr>
        <w:top w:val="none" w:sz="0" w:space="0" w:color="auto"/>
        <w:left w:val="none" w:sz="0" w:space="0" w:color="auto"/>
        <w:bottom w:val="none" w:sz="0" w:space="0" w:color="auto"/>
        <w:right w:val="none" w:sz="0" w:space="0" w:color="auto"/>
      </w:divBdr>
    </w:div>
    <w:div w:id="213832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8.tiff"/></Relationships>
</file>

<file path=word/charts/_rels/chart1.xml.rels><?xml version="1.0" encoding="UTF-8" standalone="yes"?>
<Relationships xmlns="http://schemas.openxmlformats.org/package/2006/relationships"><Relationship Id="rId1" Type="http://schemas.openxmlformats.org/officeDocument/2006/relationships/oleObject" Target="file:///\\Users\audace\Desktop\BUREAU%20ACER\DOSSIERS\MISSION%20GUINEE%20PSN%202018%202020\DOCUMENTS%20DE%20BASE\Donne&#769;es_PNPCSP_2017\Comple&#769;tude%20des%20rapports-PEC-PTME-CDV_10-07-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1" u="none" strike="noStrike" baseline="0">
                <a:solidFill>
                  <a:srgbClr val="333333"/>
                </a:solidFill>
                <a:latin typeface="Calibri"/>
                <a:ea typeface="Calibri"/>
                <a:cs typeface="Calibri"/>
              </a:defRPr>
            </a:pPr>
            <a:r>
              <a:rPr lang="fr-FR" sz="1000" b="1" i="1"/>
              <a:t>Proportion de sites non opérationnels par région en</a:t>
            </a:r>
            <a:r>
              <a:rPr lang="fr-FR" sz="1000" b="1" i="1" baseline="0"/>
              <a:t> fin 2017</a:t>
            </a:r>
            <a:endParaRPr lang="fr-FR" sz="1000" b="1" i="1"/>
          </a:p>
        </c:rich>
      </c:tx>
      <c:overlay val="0"/>
      <c:spPr>
        <a:noFill/>
        <a:ln w="25400">
          <a:noFill/>
        </a:ln>
      </c:spPr>
    </c:title>
    <c:autoTitleDeleted val="0"/>
    <c:plotArea>
      <c:layout/>
      <c:barChart>
        <c:barDir val="col"/>
        <c:grouping val="clustered"/>
        <c:varyColors val="0"/>
        <c:ser>
          <c:idx val="0"/>
          <c:order val="0"/>
          <c:spPr>
            <a:solidFill>
              <a:srgbClr val="DD0806"/>
            </a:solidFill>
            <a:ln w="25400">
              <a:noFill/>
            </a:ln>
          </c:spPr>
          <c:invertIfNegative val="0"/>
          <c:dPt>
            <c:idx val="0"/>
            <c:invertIfNegative val="0"/>
            <c:bubble3D val="0"/>
            <c:spPr>
              <a:solidFill>
                <a:srgbClr val="FFC000"/>
              </a:solidFill>
              <a:ln w="25400">
                <a:noFill/>
              </a:ln>
            </c:spPr>
            <c:extLst>
              <c:ext xmlns:c16="http://schemas.microsoft.com/office/drawing/2014/chart" uri="{C3380CC4-5D6E-409C-BE32-E72D297353CC}">
                <c16:uniqueId val="{00000001-4573-489B-8B1D-5C025856E3B6}"/>
              </c:ext>
            </c:extLst>
          </c:dPt>
          <c:dPt>
            <c:idx val="1"/>
            <c:invertIfNegative val="0"/>
            <c:bubble3D val="0"/>
            <c:spPr>
              <a:solidFill>
                <a:srgbClr val="FCD5B5"/>
              </a:solidFill>
              <a:ln w="25400">
                <a:noFill/>
              </a:ln>
            </c:spPr>
            <c:extLst>
              <c:ext xmlns:c16="http://schemas.microsoft.com/office/drawing/2014/chart" uri="{C3380CC4-5D6E-409C-BE32-E72D297353CC}">
                <c16:uniqueId val="{00000003-4573-489B-8B1D-5C025856E3B6}"/>
              </c:ext>
            </c:extLst>
          </c:dPt>
          <c:dPt>
            <c:idx val="2"/>
            <c:invertIfNegative val="0"/>
            <c:bubble3D val="0"/>
            <c:spPr>
              <a:solidFill>
                <a:srgbClr val="FCD5B5"/>
              </a:solidFill>
              <a:ln w="25400">
                <a:noFill/>
              </a:ln>
            </c:spPr>
            <c:extLst>
              <c:ext xmlns:c16="http://schemas.microsoft.com/office/drawing/2014/chart" uri="{C3380CC4-5D6E-409C-BE32-E72D297353CC}">
                <c16:uniqueId val="{00000005-4573-489B-8B1D-5C025856E3B6}"/>
              </c:ext>
            </c:extLst>
          </c:dPt>
          <c:dPt>
            <c:idx val="3"/>
            <c:invertIfNegative val="0"/>
            <c:bubble3D val="0"/>
            <c:spPr>
              <a:solidFill>
                <a:srgbClr val="FCF305"/>
              </a:solidFill>
              <a:ln w="25400">
                <a:noFill/>
              </a:ln>
            </c:spPr>
            <c:extLst>
              <c:ext xmlns:c16="http://schemas.microsoft.com/office/drawing/2014/chart" uri="{C3380CC4-5D6E-409C-BE32-E72D297353CC}">
                <c16:uniqueId val="{00000007-4573-489B-8B1D-5C025856E3B6}"/>
              </c:ext>
            </c:extLst>
          </c:dPt>
          <c:dPt>
            <c:idx val="5"/>
            <c:invertIfNegative val="0"/>
            <c:bubble3D val="0"/>
            <c:spPr>
              <a:solidFill>
                <a:srgbClr val="FFC000"/>
              </a:solidFill>
              <a:ln w="25400">
                <a:noFill/>
              </a:ln>
            </c:spPr>
            <c:extLst>
              <c:ext xmlns:c16="http://schemas.microsoft.com/office/drawing/2014/chart" uri="{C3380CC4-5D6E-409C-BE32-E72D297353CC}">
                <c16:uniqueId val="{00000009-4573-489B-8B1D-5C025856E3B6}"/>
              </c:ext>
            </c:extLst>
          </c:dPt>
          <c:dPt>
            <c:idx val="8"/>
            <c:invertIfNegative val="0"/>
            <c:bubble3D val="0"/>
            <c:spPr>
              <a:solidFill>
                <a:srgbClr val="FCF305"/>
              </a:solidFill>
              <a:ln w="25400">
                <a:noFill/>
              </a:ln>
            </c:spPr>
            <c:extLst>
              <c:ext xmlns:c16="http://schemas.microsoft.com/office/drawing/2014/chart" uri="{C3380CC4-5D6E-409C-BE32-E72D297353CC}">
                <c16:uniqueId val="{0000000B-4573-489B-8B1D-5C025856E3B6}"/>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PTME!$B$380:$B$388</c:f>
              <c:strCache>
                <c:ptCount val="9"/>
                <c:pt idx="0">
                  <c:v>Conakry</c:v>
                </c:pt>
                <c:pt idx="1">
                  <c:v>Boké</c:v>
                </c:pt>
                <c:pt idx="2">
                  <c:v>kindia</c:v>
                </c:pt>
                <c:pt idx="3">
                  <c:v>Faranah</c:v>
                </c:pt>
                <c:pt idx="4">
                  <c:v>Mamou</c:v>
                </c:pt>
                <c:pt idx="5">
                  <c:v>Labé</c:v>
                </c:pt>
                <c:pt idx="6">
                  <c:v>Kankan</c:v>
                </c:pt>
                <c:pt idx="7">
                  <c:v>N'Zérékoré</c:v>
                </c:pt>
                <c:pt idx="8">
                  <c:v>Guinée</c:v>
                </c:pt>
              </c:strCache>
            </c:strRef>
          </c:cat>
          <c:val>
            <c:numRef>
              <c:f>PTME!$E$380:$E$388</c:f>
              <c:numCache>
                <c:formatCode>0%</c:formatCode>
                <c:ptCount val="9"/>
                <c:pt idx="0">
                  <c:v>0.13793103448275901</c:v>
                </c:pt>
                <c:pt idx="1">
                  <c:v>8.1632653061224497E-2</c:v>
                </c:pt>
                <c:pt idx="2">
                  <c:v>8.7719298245614002E-2</c:v>
                </c:pt>
                <c:pt idx="3">
                  <c:v>0.230769230769231</c:v>
                </c:pt>
                <c:pt idx="4">
                  <c:v>0.44444444444444398</c:v>
                </c:pt>
                <c:pt idx="5">
                  <c:v>0.126984126984127</c:v>
                </c:pt>
                <c:pt idx="6">
                  <c:v>0.52500000000000002</c:v>
                </c:pt>
                <c:pt idx="7">
                  <c:v>0.44230769230769201</c:v>
                </c:pt>
                <c:pt idx="8">
                  <c:v>0.230769230769231</c:v>
                </c:pt>
              </c:numCache>
            </c:numRef>
          </c:val>
          <c:extLst>
            <c:ext xmlns:c16="http://schemas.microsoft.com/office/drawing/2014/chart" uri="{C3380CC4-5D6E-409C-BE32-E72D297353CC}">
              <c16:uniqueId val="{0000000C-4573-489B-8B1D-5C025856E3B6}"/>
            </c:ext>
          </c:extLst>
        </c:ser>
        <c:dLbls>
          <c:showLegendKey val="0"/>
          <c:showVal val="0"/>
          <c:showCatName val="0"/>
          <c:showSerName val="0"/>
          <c:showPercent val="0"/>
          <c:showBubbleSize val="0"/>
        </c:dLbls>
        <c:gapWidth val="219"/>
        <c:overlap val="-27"/>
        <c:axId val="240538288"/>
        <c:axId val="312236152"/>
      </c:barChart>
      <c:catAx>
        <c:axId val="240538288"/>
        <c:scaling>
          <c:orientation val="minMax"/>
        </c:scaling>
        <c:delete val="0"/>
        <c:axPos val="b"/>
        <c:numFmt formatCode="General" sourceLinked="1"/>
        <c:majorTickMark val="none"/>
        <c:minorTickMark val="none"/>
        <c:tickLblPos val="nextTo"/>
        <c:spPr>
          <a:ln w="3175">
            <a:solidFill>
              <a:srgbClr val="C0C0C0"/>
            </a:solidFill>
            <a:prstDash val="solid"/>
          </a:ln>
        </c:spPr>
        <c:txPr>
          <a:bodyPr rot="-2700000" vert="horz"/>
          <a:lstStyle/>
          <a:p>
            <a:pPr>
              <a:defRPr sz="900" b="0" i="0" u="none" strike="noStrike" baseline="0">
                <a:solidFill>
                  <a:srgbClr val="333333"/>
                </a:solidFill>
                <a:latin typeface="Calibri"/>
                <a:ea typeface="Calibri"/>
                <a:cs typeface="Calibri"/>
              </a:defRPr>
            </a:pPr>
            <a:endParaRPr lang="fr-FR"/>
          </a:p>
        </c:txPr>
        <c:crossAx val="312236152"/>
        <c:crosses val="autoZero"/>
        <c:auto val="1"/>
        <c:lblAlgn val="ctr"/>
        <c:lblOffset val="100"/>
        <c:noMultiLvlLbl val="0"/>
      </c:catAx>
      <c:valAx>
        <c:axId val="312236152"/>
        <c:scaling>
          <c:orientation val="minMax"/>
        </c:scaling>
        <c:delete val="1"/>
        <c:axPos val="l"/>
        <c:numFmt formatCode="0%" sourceLinked="1"/>
        <c:majorTickMark val="none"/>
        <c:minorTickMark val="none"/>
        <c:tickLblPos val="nextTo"/>
        <c:crossAx val="240538288"/>
        <c:crosses val="autoZero"/>
        <c:crossBetween val="between"/>
      </c:valAx>
      <c:spPr>
        <a:noFill/>
        <a:ln w="25400">
          <a:noFill/>
        </a:ln>
      </c:spPr>
    </c:plotArea>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Calibri"/>
          <a:ea typeface="Calibri"/>
          <a:cs typeface="Calibri"/>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E5691-E8DE-45B5-89EA-4D76DE741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24084</Words>
  <Characters>132462</Characters>
  <Application>Microsoft Office Word</Application>
  <DocSecurity>0</DocSecurity>
  <Lines>1103</Lines>
  <Paragraphs>312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MBOUNGOU</dc:creator>
  <cp:keywords/>
  <dc:description/>
  <cp:lastModifiedBy>zida boureima</cp:lastModifiedBy>
  <cp:revision>6</cp:revision>
  <cp:lastPrinted>2018-04-16T12:02:00Z</cp:lastPrinted>
  <dcterms:created xsi:type="dcterms:W3CDTF">2018-08-03T13:03:00Z</dcterms:created>
  <dcterms:modified xsi:type="dcterms:W3CDTF">2018-08-03T13:38:00Z</dcterms:modified>
</cp:coreProperties>
</file>