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B3E1F" w:rsidRPr="00C53DFB" w:rsidRDefault="006B3E1F" w:rsidP="00460F5E"/>
    <w:p w:rsidR="005C0293" w:rsidRPr="00460F5E" w:rsidRDefault="005C0293" w:rsidP="002638C0">
      <w:pPr>
        <w:spacing w:after="0"/>
        <w:jc w:val="center"/>
        <w:rPr>
          <w:b/>
          <w:sz w:val="32"/>
          <w:szCs w:val="32"/>
        </w:rPr>
      </w:pPr>
      <w:r w:rsidRPr="00460F5E">
        <w:rPr>
          <w:b/>
          <w:sz w:val="32"/>
          <w:szCs w:val="32"/>
        </w:rPr>
        <w:t>Fiches signalétiques Subventions FM VIH, TB, Paludisme, RSS 2018 - 2020</w:t>
      </w:r>
    </w:p>
    <w:p w:rsidR="0015389A" w:rsidRPr="00460F5E" w:rsidRDefault="002F2399" w:rsidP="00460F5E">
      <w:pPr>
        <w:jc w:val="right"/>
      </w:pPr>
      <w:r w:rsidRPr="00460F5E">
        <w:t>Vers.-</w:t>
      </w:r>
      <w:r w:rsidR="0078793C">
        <w:t>1 Conakry 18</w:t>
      </w:r>
      <w:r w:rsidR="0015389A" w:rsidRPr="00460F5E">
        <w:t>.05.18</w:t>
      </w:r>
    </w:p>
    <w:p w:rsidR="007E23AB" w:rsidRPr="00460F5E" w:rsidRDefault="0015389A" w:rsidP="002638C0">
      <w:pPr>
        <w:pStyle w:val="Titre2"/>
        <w:spacing w:after="60"/>
        <w:rPr>
          <w:rFonts w:ascii="Rockwell" w:hAnsi="Rockwell"/>
        </w:rPr>
      </w:pPr>
      <w:bookmarkStart w:id="0" w:name="_Toc512869187"/>
      <w:bookmarkStart w:id="1" w:name="_Toc513041113"/>
      <w:bookmarkStart w:id="2" w:name="_Toc513044533"/>
      <w:bookmarkStart w:id="3" w:name="_Toc513096595"/>
      <w:bookmarkStart w:id="4" w:name="_Toc514049495"/>
      <w:r w:rsidRPr="00460F5E">
        <w:rPr>
          <w:rFonts w:ascii="Rockwell" w:hAnsi="Rockwell"/>
        </w:rPr>
        <w:t>Table de matière</w:t>
      </w:r>
      <w:bookmarkEnd w:id="0"/>
      <w:bookmarkEnd w:id="1"/>
      <w:bookmarkEnd w:id="2"/>
      <w:bookmarkEnd w:id="3"/>
      <w:bookmarkEnd w:id="4"/>
    </w:p>
    <w:bookmarkStart w:id="5" w:name="_Toc513041114"/>
    <w:p w:rsidR="009A5ED0" w:rsidRPr="009A5ED0" w:rsidRDefault="00C40AAC" w:rsidP="009A5ED0">
      <w:pPr>
        <w:pStyle w:val="TM2"/>
        <w:tabs>
          <w:tab w:val="right" w:leader="dot" w:pos="9515"/>
        </w:tabs>
        <w:ind w:left="0"/>
        <w:rPr>
          <w:rFonts w:asciiTheme="minorHAnsi" w:eastAsiaTheme="minorEastAsia" w:hAnsiTheme="minorHAnsi"/>
          <w:noProof/>
          <w:sz w:val="20"/>
          <w:szCs w:val="20"/>
          <w:lang w:eastAsia="fr-FR"/>
        </w:rPr>
      </w:pPr>
      <w:r w:rsidRPr="009A5ED0">
        <w:rPr>
          <w:sz w:val="20"/>
          <w:szCs w:val="20"/>
        </w:rPr>
        <w:fldChar w:fldCharType="begin"/>
      </w:r>
      <w:r w:rsidRPr="009A5ED0">
        <w:rPr>
          <w:sz w:val="20"/>
          <w:szCs w:val="20"/>
        </w:rPr>
        <w:instrText xml:space="preserve"> TOC \o "1-2" \h \z \u </w:instrText>
      </w:r>
      <w:r w:rsidRPr="009A5ED0">
        <w:rPr>
          <w:sz w:val="20"/>
          <w:szCs w:val="20"/>
        </w:rPr>
        <w:fldChar w:fldCharType="separate"/>
      </w:r>
      <w:hyperlink w:anchor="_Toc514049496" w:history="1">
        <w:r w:rsidR="009A5ED0" w:rsidRPr="009A5ED0">
          <w:rPr>
            <w:rStyle w:val="Lienhypertexte"/>
            <w:noProof/>
            <w:sz w:val="20"/>
            <w:szCs w:val="20"/>
          </w:rPr>
          <w:t>I. Contexte – Vue global subventions</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_Toc514049496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w:t>
        </w:r>
        <w:r w:rsidR="009A5ED0" w:rsidRPr="009A5ED0">
          <w:rPr>
            <w:noProof/>
            <w:webHidden/>
            <w:sz w:val="20"/>
            <w:szCs w:val="20"/>
          </w:rPr>
          <w:fldChar w:fldCharType="end"/>
        </w:r>
      </w:hyperlink>
    </w:p>
    <w:p w:rsidR="009A5ED0" w:rsidRPr="009A5ED0" w:rsidRDefault="00CE720B">
      <w:pPr>
        <w:pStyle w:val="TM1"/>
        <w:tabs>
          <w:tab w:val="left" w:pos="440"/>
          <w:tab w:val="right" w:leader="dot" w:pos="9515"/>
        </w:tabs>
        <w:rPr>
          <w:rFonts w:asciiTheme="minorHAnsi" w:eastAsiaTheme="minorEastAsia" w:hAnsiTheme="minorHAnsi"/>
          <w:noProof/>
          <w:sz w:val="20"/>
          <w:szCs w:val="20"/>
          <w:lang w:eastAsia="fr-FR"/>
        </w:rPr>
      </w:pPr>
      <w:hyperlink w:anchor="_Toc514049497" w:history="1">
        <w:r w:rsidR="009A5ED0" w:rsidRPr="009A5ED0">
          <w:rPr>
            <w:rStyle w:val="Lienhypertexte"/>
            <w:noProof/>
            <w:sz w:val="20"/>
            <w:szCs w:val="20"/>
          </w:rPr>
          <w:t>1.</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rPr>
          <w:t>Contexte,  justification</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_Toc514049497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498" w:history="1">
        <w:r w:rsidR="009A5ED0" w:rsidRPr="009A5ED0">
          <w:rPr>
            <w:rStyle w:val="Lienhypertexte"/>
            <w:noProof/>
            <w:sz w:val="20"/>
            <w:szCs w:val="20"/>
          </w:rPr>
          <w:t>1.1 Les nouvelles subventions 2018-2020</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_Toc514049498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w:t>
        </w:r>
        <w:r w:rsidR="009A5ED0" w:rsidRPr="009A5ED0">
          <w:rPr>
            <w:noProof/>
            <w:webHidden/>
            <w:sz w:val="20"/>
            <w:szCs w:val="20"/>
          </w:rPr>
          <w:fldChar w:fldCharType="end"/>
        </w:r>
      </w:hyperlink>
    </w:p>
    <w:p w:rsidR="009A5ED0" w:rsidRPr="009A5ED0" w:rsidRDefault="00CE720B">
      <w:pPr>
        <w:pStyle w:val="TM1"/>
        <w:tabs>
          <w:tab w:val="left" w:pos="440"/>
          <w:tab w:val="right" w:leader="dot" w:pos="9515"/>
        </w:tabs>
        <w:rPr>
          <w:rFonts w:asciiTheme="minorHAnsi" w:eastAsiaTheme="minorEastAsia" w:hAnsiTheme="minorHAnsi"/>
          <w:noProof/>
          <w:sz w:val="20"/>
          <w:szCs w:val="20"/>
          <w:lang w:eastAsia="fr-FR"/>
        </w:rPr>
      </w:pPr>
      <w:hyperlink w:anchor="_Toc514049499" w:history="1">
        <w:r w:rsidR="009A5ED0" w:rsidRPr="009A5ED0">
          <w:rPr>
            <w:rStyle w:val="Lienhypertexte"/>
            <w:noProof/>
            <w:sz w:val="20"/>
            <w:szCs w:val="20"/>
          </w:rPr>
          <w:t>2.</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rPr>
          <w:t>Historique subventions fonds mondial en guinée</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_Toc514049499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3</w:t>
        </w:r>
        <w:r w:rsidR="009A5ED0" w:rsidRPr="009A5ED0">
          <w:rPr>
            <w:noProof/>
            <w:webHidden/>
            <w:sz w:val="20"/>
            <w:szCs w:val="20"/>
          </w:rPr>
          <w:fldChar w:fldCharType="end"/>
        </w:r>
      </w:hyperlink>
    </w:p>
    <w:p w:rsidR="009A5ED0" w:rsidRPr="009A5ED0" w:rsidRDefault="00CE720B">
      <w:pPr>
        <w:pStyle w:val="TM1"/>
        <w:tabs>
          <w:tab w:val="left" w:pos="440"/>
          <w:tab w:val="right" w:leader="dot" w:pos="9515"/>
        </w:tabs>
        <w:rPr>
          <w:rFonts w:asciiTheme="minorHAnsi" w:eastAsiaTheme="minorEastAsia" w:hAnsiTheme="minorHAnsi"/>
          <w:noProof/>
          <w:sz w:val="20"/>
          <w:szCs w:val="20"/>
          <w:lang w:eastAsia="fr-FR"/>
        </w:rPr>
      </w:pPr>
      <w:hyperlink w:anchor="_Toc514049500" w:history="1">
        <w:r w:rsidR="009A5ED0" w:rsidRPr="009A5ED0">
          <w:rPr>
            <w:rStyle w:val="Lienhypertexte"/>
            <w:noProof/>
            <w:sz w:val="20"/>
            <w:szCs w:val="20"/>
          </w:rPr>
          <w:t>3.</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rPr>
          <w:t>Tableau Financier</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_Toc514049500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4</w:t>
        </w:r>
        <w:r w:rsidR="009A5ED0" w:rsidRPr="009A5ED0">
          <w:rPr>
            <w:noProof/>
            <w:webHidden/>
            <w:sz w:val="20"/>
            <w:szCs w:val="20"/>
          </w:rPr>
          <w:fldChar w:fldCharType="end"/>
        </w:r>
      </w:hyperlink>
    </w:p>
    <w:p w:rsidR="009A5ED0" w:rsidRPr="009A5ED0" w:rsidRDefault="00CE720B">
      <w:pPr>
        <w:pStyle w:val="TM1"/>
        <w:tabs>
          <w:tab w:val="left" w:pos="440"/>
          <w:tab w:val="right" w:leader="dot" w:pos="9515"/>
        </w:tabs>
        <w:rPr>
          <w:rFonts w:asciiTheme="minorHAnsi" w:eastAsiaTheme="minorEastAsia" w:hAnsiTheme="minorHAnsi"/>
          <w:noProof/>
          <w:sz w:val="20"/>
          <w:szCs w:val="20"/>
          <w:lang w:eastAsia="fr-FR"/>
        </w:rPr>
      </w:pPr>
      <w:hyperlink w:anchor="_Toc514049501" w:history="1">
        <w:r w:rsidR="009A5ED0" w:rsidRPr="009A5ED0">
          <w:rPr>
            <w:rStyle w:val="Lienhypertexte"/>
            <w:rFonts w:cs="Tahoma"/>
            <w:noProof/>
            <w:sz w:val="20"/>
            <w:szCs w:val="20"/>
          </w:rPr>
          <w:t>I.</w:t>
        </w:r>
        <w:r w:rsidR="009A5ED0" w:rsidRPr="009A5ED0">
          <w:rPr>
            <w:rFonts w:asciiTheme="minorHAnsi" w:eastAsiaTheme="minorEastAsia" w:hAnsiTheme="minorHAnsi"/>
            <w:noProof/>
            <w:sz w:val="20"/>
            <w:szCs w:val="20"/>
            <w:lang w:eastAsia="fr-FR"/>
          </w:rPr>
          <w:tab/>
        </w:r>
        <w:r w:rsidR="009A5ED0" w:rsidRPr="009A5ED0">
          <w:rPr>
            <w:rStyle w:val="Lienhypertexte"/>
            <w:rFonts w:cs="Tahoma"/>
            <w:noProof/>
            <w:sz w:val="20"/>
            <w:szCs w:val="20"/>
          </w:rPr>
          <w:t>Cartographie - modalités de mise en œuvre subvention (2018 – 20)</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_Toc514049501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5</w:t>
        </w:r>
        <w:r w:rsidR="009A5ED0" w:rsidRPr="009A5ED0">
          <w:rPr>
            <w:noProof/>
            <w:webHidden/>
            <w:sz w:val="20"/>
            <w:szCs w:val="20"/>
          </w:rPr>
          <w:fldChar w:fldCharType="end"/>
        </w:r>
      </w:hyperlink>
    </w:p>
    <w:p w:rsidR="009A5ED0" w:rsidRPr="009A5ED0" w:rsidRDefault="00CE720B">
      <w:pPr>
        <w:pStyle w:val="TM1"/>
        <w:tabs>
          <w:tab w:val="left" w:pos="440"/>
          <w:tab w:val="right" w:leader="dot" w:pos="9515"/>
        </w:tabs>
        <w:rPr>
          <w:rFonts w:asciiTheme="minorHAnsi" w:eastAsiaTheme="minorEastAsia" w:hAnsiTheme="minorHAnsi"/>
          <w:noProof/>
          <w:sz w:val="20"/>
          <w:szCs w:val="20"/>
          <w:lang w:eastAsia="fr-FR"/>
        </w:rPr>
      </w:pPr>
      <w:hyperlink w:anchor="_Toc514049502" w:history="1">
        <w:r w:rsidR="009A5ED0" w:rsidRPr="009A5ED0">
          <w:rPr>
            <w:rStyle w:val="Lienhypertexte"/>
            <w:noProof/>
            <w:sz w:val="20"/>
            <w:szCs w:val="20"/>
          </w:rPr>
          <w:t>4.</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rPr>
          <w:t>PNPCSP</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_Toc514049502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5</w:t>
        </w:r>
        <w:r w:rsidR="009A5ED0" w:rsidRPr="009A5ED0">
          <w:rPr>
            <w:noProof/>
            <w:webHidden/>
            <w:sz w:val="20"/>
            <w:szCs w:val="20"/>
          </w:rPr>
          <w:fldChar w:fldCharType="end"/>
        </w:r>
      </w:hyperlink>
    </w:p>
    <w:p w:rsidR="009A5ED0" w:rsidRPr="009A5ED0" w:rsidRDefault="00CE720B">
      <w:pPr>
        <w:pStyle w:val="TM2"/>
        <w:tabs>
          <w:tab w:val="left" w:pos="880"/>
          <w:tab w:val="right" w:leader="dot" w:pos="9515"/>
        </w:tabs>
        <w:rPr>
          <w:rFonts w:asciiTheme="minorHAnsi" w:eastAsiaTheme="minorEastAsia" w:hAnsiTheme="minorHAnsi"/>
          <w:noProof/>
          <w:sz w:val="20"/>
          <w:szCs w:val="20"/>
          <w:lang w:eastAsia="fr-FR"/>
        </w:rPr>
      </w:pPr>
      <w:hyperlink w:anchor="_Toc514049503" w:history="1">
        <w:r w:rsidR="009A5ED0" w:rsidRPr="009A5ED0">
          <w:rPr>
            <w:rStyle w:val="Lienhypertexte"/>
            <w:noProof/>
            <w:sz w:val="20"/>
            <w:szCs w:val="20"/>
          </w:rPr>
          <w:t>4.1</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rPr>
          <w:t>Description intégrée de la subvention</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_Toc514049503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5</w:t>
        </w:r>
        <w:r w:rsidR="009A5ED0" w:rsidRPr="009A5ED0">
          <w:rPr>
            <w:noProof/>
            <w:webHidden/>
            <w:sz w:val="20"/>
            <w:szCs w:val="20"/>
          </w:rPr>
          <w:fldChar w:fldCharType="end"/>
        </w:r>
      </w:hyperlink>
    </w:p>
    <w:p w:rsidR="009A5ED0" w:rsidRPr="009A5ED0" w:rsidRDefault="00CE720B">
      <w:pPr>
        <w:pStyle w:val="TM2"/>
        <w:tabs>
          <w:tab w:val="left" w:pos="880"/>
          <w:tab w:val="right" w:leader="dot" w:pos="9515"/>
        </w:tabs>
        <w:rPr>
          <w:rFonts w:asciiTheme="minorHAnsi" w:eastAsiaTheme="minorEastAsia" w:hAnsiTheme="minorHAnsi"/>
          <w:noProof/>
          <w:sz w:val="20"/>
          <w:szCs w:val="20"/>
          <w:lang w:eastAsia="fr-FR"/>
        </w:rPr>
      </w:pPr>
      <w:hyperlink w:anchor="_Toc514049504" w:history="1">
        <w:r w:rsidR="009A5ED0" w:rsidRPr="009A5ED0">
          <w:rPr>
            <w:rStyle w:val="Lienhypertexte"/>
            <w:rFonts w:eastAsia="Times New Roman"/>
            <w:noProof/>
            <w:sz w:val="20"/>
            <w:szCs w:val="20"/>
            <w:lang w:eastAsia="fr-FR"/>
          </w:rPr>
          <w:t>4.2</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rPr>
          <w:t xml:space="preserve">Répartition entre volet </w:t>
        </w:r>
        <w:r w:rsidR="009A5ED0" w:rsidRPr="009A5ED0">
          <w:rPr>
            <w:rStyle w:val="Lienhypertexte"/>
            <w:rFonts w:eastAsia="Times New Roman"/>
            <w:noProof/>
            <w:sz w:val="20"/>
            <w:szCs w:val="20"/>
            <w:lang w:eastAsia="fr-FR"/>
          </w:rPr>
          <w:t>traitement et soins et Prévention</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_Toc514049504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6</w:t>
        </w:r>
        <w:r w:rsidR="009A5ED0" w:rsidRPr="009A5ED0">
          <w:rPr>
            <w:noProof/>
            <w:webHidden/>
            <w:sz w:val="20"/>
            <w:szCs w:val="20"/>
          </w:rPr>
          <w:fldChar w:fldCharType="end"/>
        </w:r>
      </w:hyperlink>
    </w:p>
    <w:p w:rsidR="009A5ED0" w:rsidRPr="009A5ED0" w:rsidRDefault="00CE720B">
      <w:pPr>
        <w:pStyle w:val="TM2"/>
        <w:tabs>
          <w:tab w:val="left" w:pos="880"/>
          <w:tab w:val="right" w:leader="dot" w:pos="9515"/>
        </w:tabs>
        <w:rPr>
          <w:rFonts w:asciiTheme="minorHAnsi" w:eastAsiaTheme="minorEastAsia" w:hAnsiTheme="minorHAnsi"/>
          <w:noProof/>
          <w:sz w:val="20"/>
          <w:szCs w:val="20"/>
          <w:lang w:eastAsia="fr-FR"/>
        </w:rPr>
      </w:pPr>
      <w:hyperlink w:anchor="_Toc514049505" w:history="1">
        <w:r w:rsidR="009A5ED0" w:rsidRPr="009A5ED0">
          <w:rPr>
            <w:rStyle w:val="Lienhypertexte"/>
            <w:noProof/>
            <w:sz w:val="20"/>
            <w:szCs w:val="20"/>
            <w:lang w:val="en-US"/>
          </w:rPr>
          <w:t>4.3</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lang w:val="en-US"/>
          </w:rPr>
          <w:t>Cartographie - PR Mapping</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_Toc514049505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6</w:t>
        </w:r>
        <w:r w:rsidR="009A5ED0" w:rsidRPr="009A5ED0">
          <w:rPr>
            <w:noProof/>
            <w:webHidden/>
            <w:sz w:val="20"/>
            <w:szCs w:val="20"/>
          </w:rPr>
          <w:fldChar w:fldCharType="end"/>
        </w:r>
      </w:hyperlink>
    </w:p>
    <w:p w:rsidR="009A5ED0" w:rsidRPr="009A5ED0" w:rsidRDefault="00CE720B">
      <w:pPr>
        <w:pStyle w:val="TM2"/>
        <w:tabs>
          <w:tab w:val="left" w:pos="880"/>
          <w:tab w:val="right" w:leader="dot" w:pos="9515"/>
        </w:tabs>
        <w:rPr>
          <w:rFonts w:asciiTheme="minorHAnsi" w:eastAsiaTheme="minorEastAsia" w:hAnsiTheme="minorHAnsi"/>
          <w:noProof/>
          <w:sz w:val="20"/>
          <w:szCs w:val="20"/>
          <w:lang w:eastAsia="fr-FR"/>
        </w:rPr>
      </w:pPr>
      <w:hyperlink w:anchor="_Toc514049506" w:history="1">
        <w:r w:rsidR="009A5ED0" w:rsidRPr="009A5ED0">
          <w:rPr>
            <w:rStyle w:val="Lienhypertexte"/>
            <w:noProof/>
            <w:sz w:val="20"/>
            <w:szCs w:val="20"/>
          </w:rPr>
          <w:t>4.4</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rPr>
          <w:t>Acteurs de mise en œuvre</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_Toc514049506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7</w:t>
        </w:r>
        <w:r w:rsidR="009A5ED0" w:rsidRPr="009A5ED0">
          <w:rPr>
            <w:noProof/>
            <w:webHidden/>
            <w:sz w:val="20"/>
            <w:szCs w:val="20"/>
          </w:rPr>
          <w:fldChar w:fldCharType="end"/>
        </w:r>
      </w:hyperlink>
    </w:p>
    <w:p w:rsidR="009A5ED0" w:rsidRPr="009A5ED0" w:rsidRDefault="00CE720B">
      <w:pPr>
        <w:pStyle w:val="TM2"/>
        <w:tabs>
          <w:tab w:val="left" w:pos="880"/>
          <w:tab w:val="right" w:leader="dot" w:pos="9515"/>
        </w:tabs>
        <w:rPr>
          <w:rFonts w:asciiTheme="minorHAnsi" w:eastAsiaTheme="minorEastAsia" w:hAnsiTheme="minorHAnsi"/>
          <w:noProof/>
          <w:sz w:val="20"/>
          <w:szCs w:val="20"/>
          <w:lang w:eastAsia="fr-FR"/>
        </w:rPr>
      </w:pPr>
      <w:hyperlink w:anchor="_Toc514049507" w:history="1">
        <w:r w:rsidR="009A5ED0" w:rsidRPr="009A5ED0">
          <w:rPr>
            <w:rStyle w:val="Lienhypertexte"/>
            <w:noProof/>
            <w:sz w:val="20"/>
            <w:szCs w:val="20"/>
          </w:rPr>
          <w:t>4.5</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rPr>
          <w:t>Principes de l’intervention</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_Toc514049507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7</w:t>
        </w:r>
        <w:r w:rsidR="009A5ED0" w:rsidRPr="009A5ED0">
          <w:rPr>
            <w:noProof/>
            <w:webHidden/>
            <w:sz w:val="20"/>
            <w:szCs w:val="20"/>
          </w:rPr>
          <w:fldChar w:fldCharType="end"/>
        </w:r>
      </w:hyperlink>
    </w:p>
    <w:p w:rsidR="009A5ED0" w:rsidRPr="009A5ED0" w:rsidRDefault="00CE720B">
      <w:pPr>
        <w:pStyle w:val="TM2"/>
        <w:tabs>
          <w:tab w:val="left" w:pos="880"/>
          <w:tab w:val="right" w:leader="dot" w:pos="9515"/>
        </w:tabs>
        <w:rPr>
          <w:rFonts w:asciiTheme="minorHAnsi" w:eastAsiaTheme="minorEastAsia" w:hAnsiTheme="minorHAnsi"/>
          <w:noProof/>
          <w:sz w:val="20"/>
          <w:szCs w:val="20"/>
          <w:lang w:eastAsia="fr-FR"/>
        </w:rPr>
      </w:pPr>
      <w:hyperlink w:anchor="_Toc514049508" w:history="1">
        <w:r w:rsidR="009A5ED0" w:rsidRPr="009A5ED0">
          <w:rPr>
            <w:rStyle w:val="Lienhypertexte"/>
            <w:noProof/>
            <w:sz w:val="20"/>
            <w:szCs w:val="20"/>
          </w:rPr>
          <w:t>4.6</w:t>
        </w:r>
        <w:r w:rsidR="009A5ED0" w:rsidRPr="009A5ED0">
          <w:rPr>
            <w:rFonts w:asciiTheme="minorHAnsi" w:eastAsiaTheme="minorEastAsia" w:hAnsiTheme="minorHAnsi"/>
            <w:noProof/>
            <w:sz w:val="20"/>
            <w:szCs w:val="20"/>
            <w:lang w:eastAsia="fr-FR"/>
          </w:rPr>
          <w:tab/>
        </w:r>
        <w:r w:rsidR="009A5ED0" w:rsidRPr="009A5ED0">
          <w:rPr>
            <w:rStyle w:val="Lienhypertexte"/>
            <w:noProof/>
            <w:sz w:val="20"/>
            <w:szCs w:val="20"/>
          </w:rPr>
          <w:t>Description du programme</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_Toc514049508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8</w:t>
        </w:r>
        <w:r w:rsidR="009A5ED0" w:rsidRPr="009A5ED0">
          <w:rPr>
            <w:noProof/>
            <w:webHidden/>
            <w:sz w:val="20"/>
            <w:szCs w:val="20"/>
          </w:rPr>
          <w:fldChar w:fldCharType="end"/>
        </w:r>
      </w:hyperlink>
    </w:p>
    <w:p w:rsidR="009A5ED0" w:rsidRPr="009A5ED0" w:rsidRDefault="00CE720B">
      <w:pPr>
        <w:pStyle w:val="TM1"/>
        <w:tabs>
          <w:tab w:val="right" w:leader="dot" w:pos="9515"/>
        </w:tabs>
        <w:rPr>
          <w:rFonts w:asciiTheme="minorHAnsi" w:eastAsiaTheme="minorEastAsia" w:hAnsiTheme="minorHAnsi"/>
          <w:noProof/>
          <w:sz w:val="20"/>
          <w:szCs w:val="20"/>
          <w:lang w:eastAsia="fr-FR"/>
        </w:rPr>
      </w:pPr>
      <w:hyperlink w:anchor="_Toc514049509" w:history="1">
        <w:r w:rsidR="009A5ED0" w:rsidRPr="009A5ED0">
          <w:rPr>
            <w:rStyle w:val="Lienhypertexte"/>
            <w:noProof/>
            <w:sz w:val="20"/>
            <w:szCs w:val="20"/>
          </w:rPr>
          <w:t>5. PLAN INTERNATIONAL</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_Toc514049509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13</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10" w:history="1">
        <w:r w:rsidR="009A5ED0" w:rsidRPr="009A5ED0">
          <w:rPr>
            <w:rStyle w:val="Lienhypertexte"/>
            <w:noProof/>
            <w:sz w:val="20"/>
            <w:szCs w:val="20"/>
          </w:rPr>
          <w:t>5.1 Description intégrée de la subvention</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_Toc514049510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13</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11" w:history="1">
        <w:r w:rsidR="009A5ED0" w:rsidRPr="009A5ED0">
          <w:rPr>
            <w:rStyle w:val="Lienhypertexte"/>
            <w:noProof/>
            <w:sz w:val="20"/>
            <w:szCs w:val="20"/>
          </w:rPr>
          <w:t>5.2 Partenaires indispensables pour la mise en œuvre du projet</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_Toc514049511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14</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12" w:history="1">
        <w:r w:rsidR="009A5ED0" w:rsidRPr="009A5ED0">
          <w:rPr>
            <w:rStyle w:val="Lienhypertexte"/>
            <w:noProof/>
            <w:sz w:val="20"/>
            <w:szCs w:val="20"/>
          </w:rPr>
          <w:t>5.3 Innovations</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_Toc514049512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15</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13" w:history="1">
        <w:r w:rsidR="009A5ED0" w:rsidRPr="009A5ED0">
          <w:rPr>
            <w:rStyle w:val="Lienhypertexte"/>
            <w:noProof/>
            <w:sz w:val="20"/>
            <w:szCs w:val="20"/>
          </w:rPr>
          <w:t>5.4 Activités de supervision par niveau</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_Toc514049513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15</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14" w:history="1">
        <w:r w:rsidR="009A5ED0" w:rsidRPr="009A5ED0">
          <w:rPr>
            <w:rStyle w:val="Lienhypertexte"/>
            <w:noProof/>
            <w:sz w:val="20"/>
            <w:szCs w:val="20"/>
          </w:rPr>
          <w:t xml:space="preserve">5.5 Indicateurs </w:t>
        </w:r>
        <w:r w:rsidR="009A5ED0" w:rsidRPr="009A5ED0">
          <w:rPr>
            <w:rStyle w:val="Lienhypertexte"/>
            <w:rFonts w:cs="Tahoma"/>
            <w:noProof/>
            <w:sz w:val="20"/>
            <w:szCs w:val="20"/>
          </w:rPr>
          <w:t>de couvertures TB</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_Toc514049514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16</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15" w:history="1">
        <w:r w:rsidR="009A5ED0" w:rsidRPr="009A5ED0">
          <w:rPr>
            <w:rStyle w:val="Lienhypertexte"/>
            <w:noProof/>
            <w:sz w:val="20"/>
            <w:szCs w:val="20"/>
            <w:lang w:val="en-US"/>
          </w:rPr>
          <w:t>5.6 Program description</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_Toc514049515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17</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16" w:history="1">
        <w:r w:rsidR="009A5ED0" w:rsidRPr="009A5ED0">
          <w:rPr>
            <w:rStyle w:val="Lienhypertexte"/>
            <w:noProof/>
            <w:sz w:val="20"/>
            <w:szCs w:val="20"/>
          </w:rPr>
          <w:t>5.7 Modules / Interventions</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_Toc514049516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21</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17" w:history="1">
        <w:r w:rsidR="009A5ED0" w:rsidRPr="009A5ED0">
          <w:rPr>
            <w:rStyle w:val="Lienhypertexte"/>
            <w:noProof/>
            <w:sz w:val="20"/>
            <w:szCs w:val="20"/>
            <w:lang w:val="en-US"/>
          </w:rPr>
          <w:t>5.8 Indicateurs de couverture</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_Toc514049517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22</w:t>
        </w:r>
        <w:r w:rsidR="009A5ED0" w:rsidRPr="009A5ED0">
          <w:rPr>
            <w:noProof/>
            <w:webHidden/>
            <w:sz w:val="20"/>
            <w:szCs w:val="20"/>
          </w:rPr>
          <w:fldChar w:fldCharType="end"/>
        </w:r>
      </w:hyperlink>
    </w:p>
    <w:p w:rsidR="009A5ED0" w:rsidRPr="009A5ED0" w:rsidRDefault="00CE720B">
      <w:pPr>
        <w:pStyle w:val="TM1"/>
        <w:tabs>
          <w:tab w:val="right" w:leader="dot" w:pos="9515"/>
        </w:tabs>
        <w:rPr>
          <w:rFonts w:asciiTheme="minorHAnsi" w:eastAsiaTheme="minorEastAsia" w:hAnsiTheme="minorHAnsi"/>
          <w:noProof/>
          <w:sz w:val="20"/>
          <w:szCs w:val="20"/>
          <w:lang w:eastAsia="fr-FR"/>
        </w:rPr>
      </w:pPr>
      <w:hyperlink w:anchor="_Toc514049518" w:history="1">
        <w:r w:rsidR="009A5ED0" w:rsidRPr="009A5ED0">
          <w:rPr>
            <w:rStyle w:val="Lienhypertexte"/>
            <w:noProof/>
            <w:sz w:val="20"/>
            <w:szCs w:val="20"/>
            <w:lang w:val="en-US"/>
          </w:rPr>
          <w:t>6. CRS – CATHOLIC RELIEF SERVICE</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_Toc514049518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25</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19" w:history="1">
        <w:r w:rsidR="009A5ED0" w:rsidRPr="009A5ED0">
          <w:rPr>
            <w:rStyle w:val="Lienhypertexte"/>
            <w:noProof/>
            <w:sz w:val="20"/>
            <w:szCs w:val="20"/>
          </w:rPr>
          <w:t>6.1 Décaissements annuelles</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_Toc514049519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25</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20" w:history="1">
        <w:r w:rsidR="009A5ED0" w:rsidRPr="009A5ED0">
          <w:rPr>
            <w:rStyle w:val="Lienhypertexte"/>
            <w:noProof/>
            <w:sz w:val="20"/>
            <w:szCs w:val="20"/>
          </w:rPr>
          <w:t>6.2 Partenaires de mise en œuvre - Cartographie</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_Toc514049520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25</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21" w:history="1">
        <w:r w:rsidR="009A5ED0" w:rsidRPr="009A5ED0">
          <w:rPr>
            <w:rStyle w:val="Lienhypertexte"/>
            <w:noProof/>
            <w:sz w:val="20"/>
            <w:szCs w:val="20"/>
          </w:rPr>
          <w:t>6.3 Présentation Subvention paludisme (Réunion MS/PTF, Mars 18)</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_Toc514049521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26</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22" w:history="1">
        <w:r w:rsidR="009A5ED0" w:rsidRPr="009A5ED0">
          <w:rPr>
            <w:rStyle w:val="Lienhypertexte"/>
            <w:noProof/>
            <w:sz w:val="20"/>
            <w:szCs w:val="20"/>
          </w:rPr>
          <w:t>6.4 Proposition Paludisme (CRS)</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_Toc514049522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29</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23" w:history="1">
        <w:r w:rsidR="009A5ED0" w:rsidRPr="009A5ED0">
          <w:rPr>
            <w:rStyle w:val="Lienhypertexte"/>
            <w:noProof/>
            <w:sz w:val="20"/>
            <w:szCs w:val="20"/>
            <w:lang w:val="en-US"/>
          </w:rPr>
          <w:t>6.5 Indicateurs Paludisme</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_Toc514049523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31</w:t>
        </w:r>
        <w:r w:rsidR="009A5ED0" w:rsidRPr="009A5ED0">
          <w:rPr>
            <w:noProof/>
            <w:webHidden/>
            <w:sz w:val="20"/>
            <w:szCs w:val="20"/>
          </w:rPr>
          <w:fldChar w:fldCharType="end"/>
        </w:r>
      </w:hyperlink>
    </w:p>
    <w:p w:rsidR="009A5ED0" w:rsidRPr="009A5ED0" w:rsidRDefault="00CE720B">
      <w:pPr>
        <w:pStyle w:val="TM1"/>
        <w:tabs>
          <w:tab w:val="right" w:leader="dot" w:pos="9515"/>
        </w:tabs>
        <w:rPr>
          <w:rFonts w:asciiTheme="minorHAnsi" w:eastAsiaTheme="minorEastAsia" w:hAnsiTheme="minorHAnsi"/>
          <w:noProof/>
          <w:sz w:val="20"/>
          <w:szCs w:val="20"/>
          <w:lang w:eastAsia="fr-FR"/>
        </w:rPr>
      </w:pPr>
      <w:hyperlink w:anchor="_Toc514049524" w:history="1">
        <w:r w:rsidR="009A5ED0" w:rsidRPr="009A5ED0">
          <w:rPr>
            <w:rStyle w:val="Lienhypertexte"/>
            <w:noProof/>
            <w:sz w:val="20"/>
            <w:szCs w:val="20"/>
          </w:rPr>
          <w:t>7. MINISTERE SANTE PUBLIQUE – RSS</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_Toc514049524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32</w:t>
        </w:r>
        <w:r w:rsidR="009A5ED0" w:rsidRPr="009A5ED0">
          <w:rPr>
            <w:noProof/>
            <w:webHidden/>
            <w:sz w:val="20"/>
            <w:szCs w:val="20"/>
          </w:rPr>
          <w:fldChar w:fldCharType="end"/>
        </w:r>
      </w:hyperlink>
    </w:p>
    <w:p w:rsidR="009A5ED0" w:rsidRPr="009A5ED0" w:rsidRDefault="00CE720B">
      <w:pPr>
        <w:pStyle w:val="TM2"/>
        <w:tabs>
          <w:tab w:val="right" w:leader="dot" w:pos="9515"/>
        </w:tabs>
        <w:rPr>
          <w:rFonts w:asciiTheme="minorHAnsi" w:eastAsiaTheme="minorEastAsia" w:hAnsiTheme="minorHAnsi"/>
          <w:noProof/>
          <w:sz w:val="20"/>
          <w:szCs w:val="20"/>
          <w:lang w:eastAsia="fr-FR"/>
        </w:rPr>
      </w:pPr>
      <w:hyperlink w:anchor="_Toc514049525" w:history="1">
        <w:r w:rsidR="009A5ED0" w:rsidRPr="009A5ED0">
          <w:rPr>
            <w:rStyle w:val="Lienhypertexte"/>
            <w:noProof/>
            <w:sz w:val="20"/>
            <w:szCs w:val="20"/>
          </w:rPr>
          <w:t>7.1 Proposition</w:t>
        </w:r>
        <w:r w:rsidR="009A5ED0" w:rsidRPr="009A5ED0">
          <w:rPr>
            <w:noProof/>
            <w:webHidden/>
            <w:sz w:val="20"/>
            <w:szCs w:val="20"/>
          </w:rPr>
          <w:tab/>
        </w:r>
        <w:r w:rsidR="009A5ED0" w:rsidRPr="009A5ED0">
          <w:rPr>
            <w:noProof/>
            <w:webHidden/>
            <w:sz w:val="20"/>
            <w:szCs w:val="20"/>
          </w:rPr>
          <w:fldChar w:fldCharType="begin"/>
        </w:r>
        <w:r w:rsidR="009A5ED0" w:rsidRPr="009A5ED0">
          <w:rPr>
            <w:noProof/>
            <w:webHidden/>
            <w:sz w:val="20"/>
            <w:szCs w:val="20"/>
          </w:rPr>
          <w:instrText xml:space="preserve"> PAGEREF _Toc514049525 \h </w:instrText>
        </w:r>
        <w:r w:rsidR="009A5ED0" w:rsidRPr="009A5ED0">
          <w:rPr>
            <w:noProof/>
            <w:webHidden/>
            <w:sz w:val="20"/>
            <w:szCs w:val="20"/>
          </w:rPr>
        </w:r>
        <w:r w:rsidR="009A5ED0" w:rsidRPr="009A5ED0">
          <w:rPr>
            <w:noProof/>
            <w:webHidden/>
            <w:sz w:val="20"/>
            <w:szCs w:val="20"/>
          </w:rPr>
          <w:fldChar w:fldCharType="separate"/>
        </w:r>
        <w:r w:rsidR="00D02DD4">
          <w:rPr>
            <w:noProof/>
            <w:webHidden/>
            <w:sz w:val="20"/>
            <w:szCs w:val="20"/>
          </w:rPr>
          <w:t>32</w:t>
        </w:r>
        <w:r w:rsidR="009A5ED0" w:rsidRPr="009A5ED0">
          <w:rPr>
            <w:noProof/>
            <w:webHidden/>
            <w:sz w:val="20"/>
            <w:szCs w:val="20"/>
          </w:rPr>
          <w:fldChar w:fldCharType="end"/>
        </w:r>
      </w:hyperlink>
    </w:p>
    <w:p w:rsidR="002638C0" w:rsidRDefault="00C40AAC" w:rsidP="002638C0">
      <w:pPr>
        <w:spacing w:after="200"/>
        <w:rPr>
          <w:sz w:val="20"/>
          <w:szCs w:val="20"/>
        </w:rPr>
      </w:pPr>
      <w:r w:rsidRPr="009A5ED0">
        <w:rPr>
          <w:sz w:val="20"/>
          <w:szCs w:val="20"/>
        </w:rPr>
        <w:fldChar w:fldCharType="end"/>
      </w:r>
      <w:bookmarkStart w:id="6" w:name="_Toc513044534"/>
      <w:bookmarkStart w:id="7" w:name="_Toc514049496"/>
    </w:p>
    <w:p w:rsidR="00A21DAD" w:rsidRPr="00460F5E" w:rsidRDefault="001F23B9" w:rsidP="002638C0">
      <w:pPr>
        <w:pStyle w:val="Titre1"/>
      </w:pPr>
      <w:r w:rsidRPr="00460F5E">
        <w:lastRenderedPageBreak/>
        <w:t xml:space="preserve">I. </w:t>
      </w:r>
      <w:r w:rsidR="00A21DAD" w:rsidRPr="00460F5E">
        <w:t xml:space="preserve">Contexte – Vue global </w:t>
      </w:r>
      <w:r w:rsidR="00951592" w:rsidRPr="00460F5E">
        <w:t>subventions</w:t>
      </w:r>
      <w:bookmarkEnd w:id="5"/>
      <w:bookmarkEnd w:id="6"/>
      <w:bookmarkEnd w:id="7"/>
    </w:p>
    <w:p w:rsidR="00A21DAD" w:rsidRPr="00460F5E" w:rsidRDefault="0015389A" w:rsidP="00460F5E">
      <w:pPr>
        <w:pStyle w:val="Titre1"/>
        <w:numPr>
          <w:ilvl w:val="0"/>
          <w:numId w:val="71"/>
        </w:numPr>
      </w:pPr>
      <w:bookmarkStart w:id="8" w:name="_Toc512869189"/>
      <w:bookmarkStart w:id="9" w:name="_Toc513041115"/>
      <w:bookmarkStart w:id="10" w:name="_Toc513044535"/>
      <w:bookmarkStart w:id="11" w:name="_Toc514049497"/>
      <w:r w:rsidRPr="00460F5E">
        <w:t>Context</w:t>
      </w:r>
      <w:r w:rsidR="00A21DAD" w:rsidRPr="00460F5E">
        <w:t xml:space="preserve">e, </w:t>
      </w:r>
      <w:r w:rsidRPr="00460F5E">
        <w:t xml:space="preserve"> justification</w:t>
      </w:r>
      <w:bookmarkEnd w:id="8"/>
      <w:bookmarkEnd w:id="9"/>
      <w:bookmarkEnd w:id="10"/>
      <w:bookmarkEnd w:id="11"/>
      <w:r w:rsidRPr="00460F5E">
        <w:t xml:space="preserve"> </w:t>
      </w:r>
    </w:p>
    <w:p w:rsidR="00745CC0" w:rsidRPr="00460F5E" w:rsidRDefault="00745CC0" w:rsidP="00460F5E">
      <w:pPr>
        <w:rPr>
          <w:rFonts w:eastAsia="Batang"/>
        </w:rPr>
      </w:pPr>
      <w:r w:rsidRPr="00460F5E">
        <w:rPr>
          <w:rFonts w:eastAsia="Batang"/>
        </w:rPr>
        <w:t>La Guinée est un pays côtier d’Afrique de l’Ouest d’une superficie de 246 000 kilomètres carrés. Avec une population totale estimée à 13 millions d’habitants en 2016 (statistiques des Nations Unies), la Guinée se classe 183</w:t>
      </w:r>
      <w:r w:rsidRPr="00460F5E">
        <w:rPr>
          <w:rFonts w:eastAsia="Batang"/>
          <w:sz w:val="14"/>
          <w:szCs w:val="14"/>
        </w:rPr>
        <w:t xml:space="preserve">ème </w:t>
      </w:r>
      <w:r w:rsidRPr="00460F5E">
        <w:rPr>
          <w:rFonts w:eastAsia="Batang"/>
        </w:rPr>
        <w:t>sur 188 pays selon l’indice de développement humain du PNUD (2015). Le système de santé est divisé en huit départements régionaux de la santé (DRS) et 38 départements préfectoraux de la santé (DPS).</w:t>
      </w:r>
    </w:p>
    <w:p w:rsidR="00C2601C" w:rsidRPr="00460F5E" w:rsidRDefault="00C2601C" w:rsidP="00460F5E">
      <w:pPr>
        <w:rPr>
          <w:rFonts w:eastAsia="Batang"/>
        </w:rPr>
      </w:pPr>
    </w:p>
    <w:p w:rsidR="00C2601C" w:rsidRPr="00460F5E" w:rsidRDefault="00FE02CC" w:rsidP="00460F5E">
      <w:pPr>
        <w:pStyle w:val="Titre2"/>
      </w:pPr>
      <w:bookmarkStart w:id="12" w:name="_Toc513041116"/>
      <w:bookmarkStart w:id="13" w:name="_Toc513044536"/>
      <w:bookmarkStart w:id="14" w:name="_Toc514049498"/>
      <w:r w:rsidRPr="00460F5E">
        <w:t xml:space="preserve">1.1 Les nouvelles subventions </w:t>
      </w:r>
      <w:r w:rsidR="00C2601C" w:rsidRPr="00460F5E">
        <w:t>2018-2020</w:t>
      </w:r>
      <w:bookmarkEnd w:id="12"/>
      <w:bookmarkEnd w:id="13"/>
      <w:bookmarkEnd w:id="14"/>
    </w:p>
    <w:p w:rsidR="00C2601C" w:rsidRPr="00460F5E" w:rsidRDefault="00C2601C" w:rsidP="00460F5E">
      <w:pPr>
        <w:numPr>
          <w:ilvl w:val="0"/>
          <w:numId w:val="91"/>
        </w:numPr>
      </w:pPr>
      <w:r w:rsidRPr="00460F5E">
        <w:rPr>
          <w:lang w:val="en-US"/>
        </w:rPr>
        <w:t xml:space="preserve">GIN-H-MOH = </w:t>
      </w:r>
      <w:r w:rsidRPr="00460F5E">
        <w:t xml:space="preserve"> 33 573 749 </w:t>
      </w:r>
    </w:p>
    <w:p w:rsidR="00C2601C" w:rsidRPr="00460F5E" w:rsidRDefault="00C2601C" w:rsidP="00460F5E">
      <w:pPr>
        <w:numPr>
          <w:ilvl w:val="0"/>
          <w:numId w:val="91"/>
        </w:numPr>
      </w:pPr>
      <w:r w:rsidRPr="00460F5E">
        <w:rPr>
          <w:lang w:val="en-US"/>
        </w:rPr>
        <w:t xml:space="preserve">GIN-C-PLAN = </w:t>
      </w:r>
      <w:r w:rsidRPr="00460F5E">
        <w:t xml:space="preserve"> 14 550 605 </w:t>
      </w:r>
    </w:p>
    <w:p w:rsidR="00C2601C" w:rsidRPr="00460F5E" w:rsidRDefault="00C2601C" w:rsidP="00460F5E">
      <w:pPr>
        <w:numPr>
          <w:ilvl w:val="0"/>
          <w:numId w:val="91"/>
        </w:numPr>
      </w:pPr>
      <w:r w:rsidRPr="00460F5E">
        <w:rPr>
          <w:lang w:val="en-US"/>
        </w:rPr>
        <w:t xml:space="preserve">GIN-M-CRS = </w:t>
      </w:r>
      <w:r w:rsidRPr="00460F5E">
        <w:t xml:space="preserve"> 55 663 302 </w:t>
      </w:r>
    </w:p>
    <w:p w:rsidR="00C2601C" w:rsidRPr="00460F5E" w:rsidRDefault="00C2601C" w:rsidP="00460F5E">
      <w:pPr>
        <w:numPr>
          <w:ilvl w:val="0"/>
          <w:numId w:val="91"/>
        </w:numPr>
      </w:pPr>
      <w:r w:rsidRPr="00460F5E">
        <w:rPr>
          <w:lang w:val="en-US"/>
        </w:rPr>
        <w:t xml:space="preserve">RSS / Fonds </w:t>
      </w:r>
      <w:r w:rsidRPr="00460F5E">
        <w:t xml:space="preserve">catalytique =  3 000 000 </w:t>
      </w:r>
    </w:p>
    <w:p w:rsidR="00C2601C" w:rsidRPr="00460F5E" w:rsidRDefault="00C2601C" w:rsidP="00460F5E">
      <w:pPr>
        <w:ind w:left="360"/>
        <w:rPr>
          <w:b/>
          <w:bCs/>
        </w:rPr>
      </w:pPr>
    </w:p>
    <w:p w:rsidR="00C2601C" w:rsidRPr="00460F5E" w:rsidRDefault="00C2601C" w:rsidP="00460F5E">
      <w:pPr>
        <w:rPr>
          <w:b/>
          <w:bCs/>
        </w:rPr>
      </w:pPr>
      <w:r w:rsidRPr="00460F5E">
        <w:rPr>
          <w:b/>
          <w:bCs/>
        </w:rPr>
        <w:t>PRINCIPAUX RESULTATS ATTENDUS DES NOUVELLES SUBVENTIONS</w:t>
      </w:r>
      <w:r w:rsidR="00BD39FF" w:rsidRPr="00460F5E">
        <w:rPr>
          <w:rStyle w:val="Appelnotedebasdep"/>
          <w:b/>
          <w:bCs/>
        </w:rPr>
        <w:footnoteReference w:id="1"/>
      </w:r>
    </w:p>
    <w:p w:rsidR="00C2601C" w:rsidRPr="00460F5E" w:rsidRDefault="00C2601C" w:rsidP="00460F5E"/>
    <w:p w:rsidR="00C2601C" w:rsidRPr="00460F5E" w:rsidRDefault="00C2601C" w:rsidP="00460F5E">
      <w:r w:rsidRPr="00460F5E">
        <w:rPr>
          <w:b/>
          <w:bCs/>
          <w:u w:val="single"/>
        </w:rPr>
        <w:t xml:space="preserve">VIH : </w:t>
      </w:r>
      <w:r w:rsidRPr="00460F5E">
        <w:t>d’ici fin 2020 améliorer la qualité des services de PEC VIH en Guinée</w:t>
      </w:r>
    </w:p>
    <w:p w:rsidR="00C2601C" w:rsidRPr="00460F5E" w:rsidRDefault="00C2601C" w:rsidP="00460F5E">
      <w:pPr>
        <w:numPr>
          <w:ilvl w:val="0"/>
          <w:numId w:val="92"/>
        </w:numPr>
      </w:pPr>
      <w:r w:rsidRPr="00460F5E">
        <w:t xml:space="preserve">Mettre 57 549 patients sous ARV d’ici 2020 </w:t>
      </w:r>
    </w:p>
    <w:p w:rsidR="00C2601C" w:rsidRPr="00460F5E" w:rsidRDefault="00C2601C" w:rsidP="00460F5E">
      <w:pPr>
        <w:numPr>
          <w:ilvl w:val="0"/>
          <w:numId w:val="92"/>
        </w:numPr>
      </w:pPr>
      <w:r w:rsidRPr="00460F5E">
        <w:t>Réduire la mortalité liée au VIH de 51 pour 100 000 habitants en 2016 à 21 pour 100 000 en 2020</w:t>
      </w:r>
    </w:p>
    <w:p w:rsidR="00C2601C" w:rsidRPr="00460F5E" w:rsidRDefault="00C2601C" w:rsidP="00460F5E">
      <w:pPr>
        <w:rPr>
          <w:b/>
          <w:bCs/>
          <w:u w:val="single"/>
        </w:rPr>
      </w:pPr>
    </w:p>
    <w:p w:rsidR="00C2601C" w:rsidRPr="00460F5E" w:rsidRDefault="00C2601C" w:rsidP="00460F5E">
      <w:r w:rsidRPr="00460F5E">
        <w:rPr>
          <w:b/>
          <w:bCs/>
          <w:u w:val="single"/>
        </w:rPr>
        <w:t>Tuberculose :</w:t>
      </w:r>
    </w:p>
    <w:p w:rsidR="00C2601C" w:rsidRPr="00460F5E" w:rsidRDefault="00C2601C" w:rsidP="00460F5E">
      <w:pPr>
        <w:numPr>
          <w:ilvl w:val="0"/>
          <w:numId w:val="93"/>
        </w:numPr>
      </w:pPr>
      <w:r w:rsidRPr="00460F5E">
        <w:t>Traiter avec succès au moins 87% des cas de TB confirmés en 2020</w:t>
      </w:r>
    </w:p>
    <w:p w:rsidR="00C2601C" w:rsidRPr="00460F5E" w:rsidRDefault="00C2601C" w:rsidP="00460F5E">
      <w:pPr>
        <w:numPr>
          <w:ilvl w:val="0"/>
          <w:numId w:val="93"/>
        </w:numPr>
      </w:pPr>
      <w:r w:rsidRPr="00460F5E">
        <w:t>Réduire le taux de perdus de vue et de transférés à moins de 6%</w:t>
      </w:r>
    </w:p>
    <w:p w:rsidR="00C2601C" w:rsidRPr="00460F5E" w:rsidRDefault="00C2601C" w:rsidP="00460F5E">
      <w:pPr>
        <w:numPr>
          <w:ilvl w:val="0"/>
          <w:numId w:val="93"/>
        </w:numPr>
      </w:pPr>
      <w:r w:rsidRPr="00460F5E">
        <w:t>Mettre sous ARV au moins 90% des patients co-infectés TB/VIH</w:t>
      </w:r>
    </w:p>
    <w:p w:rsidR="00C2601C" w:rsidRPr="00460F5E" w:rsidRDefault="00C2601C" w:rsidP="00460F5E">
      <w:pPr>
        <w:rPr>
          <w:b/>
          <w:bCs/>
          <w:u w:val="single"/>
        </w:rPr>
      </w:pPr>
    </w:p>
    <w:p w:rsidR="00C2601C" w:rsidRPr="00460F5E" w:rsidRDefault="00C2601C" w:rsidP="00460F5E">
      <w:r w:rsidRPr="00460F5E">
        <w:rPr>
          <w:b/>
          <w:bCs/>
          <w:u w:val="single"/>
        </w:rPr>
        <w:t>Paludisme :</w:t>
      </w:r>
    </w:p>
    <w:p w:rsidR="00C2601C" w:rsidRPr="00460F5E" w:rsidRDefault="00C2601C" w:rsidP="00460F5E">
      <w:pPr>
        <w:numPr>
          <w:ilvl w:val="0"/>
          <w:numId w:val="94"/>
        </w:numPr>
      </w:pPr>
      <w:r w:rsidRPr="00460F5E">
        <w:t>Réduire de 50% en 2020 la prévalence du paludisme qui était de 15% en 2016</w:t>
      </w:r>
    </w:p>
    <w:p w:rsidR="00C2601C" w:rsidRPr="00460F5E" w:rsidRDefault="00C2601C" w:rsidP="00460F5E">
      <w:pPr>
        <w:numPr>
          <w:ilvl w:val="0"/>
          <w:numId w:val="94"/>
        </w:numPr>
      </w:pPr>
      <w:r w:rsidRPr="00460F5E">
        <w:t xml:space="preserve">Chimio prévention du Paludisme saisonnier dans les districts à forte transmission chez 500 000 enfants de 3 à 59 mois. </w:t>
      </w:r>
    </w:p>
    <w:p w:rsidR="00C2601C" w:rsidRPr="00460F5E" w:rsidRDefault="00C2601C" w:rsidP="00460F5E">
      <w:r w:rsidRPr="00460F5E">
        <w:rPr>
          <w:b/>
          <w:bCs/>
          <w:u w:val="single"/>
        </w:rPr>
        <w:t>RSS :</w:t>
      </w:r>
    </w:p>
    <w:p w:rsidR="00C2601C" w:rsidRPr="00460F5E" w:rsidRDefault="00C2601C" w:rsidP="00460F5E">
      <w:pPr>
        <w:numPr>
          <w:ilvl w:val="0"/>
          <w:numId w:val="95"/>
        </w:numPr>
      </w:pPr>
      <w:r w:rsidRPr="00460F5E">
        <w:t xml:space="preserve">Rendre disponibles des Agents de Santé Communautaires (ASC) motivés et de qualité </w:t>
      </w:r>
    </w:p>
    <w:p w:rsidR="00C2601C" w:rsidRPr="00460F5E" w:rsidRDefault="00C2601C" w:rsidP="00460F5E">
      <w:pPr>
        <w:numPr>
          <w:ilvl w:val="0"/>
          <w:numId w:val="95"/>
        </w:numPr>
      </w:pPr>
      <w:r w:rsidRPr="00460F5E">
        <w:t>Renforcer les capacités techniques des personnels de santé des structures de base</w:t>
      </w:r>
    </w:p>
    <w:p w:rsidR="00C2601C" w:rsidRPr="00460F5E" w:rsidRDefault="00C2601C" w:rsidP="00460F5E">
      <w:pPr>
        <w:numPr>
          <w:ilvl w:val="0"/>
          <w:numId w:val="95"/>
        </w:numPr>
      </w:pPr>
      <w:r w:rsidRPr="00460F5E">
        <w:t>Promouvoir le dialogue social à travers les organisations à base communautaire ;</w:t>
      </w:r>
    </w:p>
    <w:p w:rsidR="00C2601C" w:rsidRPr="00460F5E" w:rsidRDefault="00C2601C" w:rsidP="00460F5E">
      <w:pPr>
        <w:numPr>
          <w:ilvl w:val="0"/>
          <w:numId w:val="95"/>
        </w:numPr>
      </w:pPr>
      <w:r w:rsidRPr="00460F5E">
        <w:lastRenderedPageBreak/>
        <w:t xml:space="preserve">Retenir et renforcer le personnel de santé dans les 2 districts sanitaires et la DRS </w:t>
      </w:r>
    </w:p>
    <w:p w:rsidR="00C2601C" w:rsidRPr="00460F5E" w:rsidRDefault="00C2601C" w:rsidP="00460F5E">
      <w:pPr>
        <w:numPr>
          <w:ilvl w:val="0"/>
          <w:numId w:val="95"/>
        </w:numPr>
      </w:pPr>
      <w:r w:rsidRPr="00460F5E">
        <w:t xml:space="preserve">Améliorer les prestations de services qui tiennent compte des activités promotionnelles, préventives et curatives contre le VIH/sida, la tuberculose, le paludisme et la santé maternelle, néonatale, infantile, des jeunes et des adolescents au niveau communautaire et des structures de base. </w:t>
      </w:r>
    </w:p>
    <w:p w:rsidR="008C2F79" w:rsidRPr="00460F5E" w:rsidRDefault="008C2F79" w:rsidP="00460F5E">
      <w:pPr>
        <w:pStyle w:val="Titre1"/>
        <w:numPr>
          <w:ilvl w:val="0"/>
          <w:numId w:val="71"/>
        </w:numPr>
      </w:pPr>
      <w:bookmarkStart w:id="15" w:name="_Toc513041117"/>
      <w:bookmarkStart w:id="16" w:name="_Toc513044537"/>
      <w:bookmarkStart w:id="17" w:name="_Toc514049499"/>
      <w:r w:rsidRPr="00460F5E">
        <w:t>H</w:t>
      </w:r>
      <w:r w:rsidR="00A21DAD" w:rsidRPr="00460F5E">
        <w:t>istorique</w:t>
      </w:r>
      <w:r w:rsidRPr="00460F5E">
        <w:t xml:space="preserve"> subventions fonds mondial en guinée</w:t>
      </w:r>
      <w:r w:rsidRPr="00460F5E">
        <w:rPr>
          <w:rStyle w:val="Appelnotedebasdep"/>
          <w:rFonts w:ascii="Rockwell" w:hAnsi="Rockwell"/>
        </w:rPr>
        <w:footnoteReference w:id="2"/>
      </w:r>
      <w:bookmarkEnd w:id="15"/>
      <w:bookmarkEnd w:id="16"/>
      <w:bookmarkEnd w:id="17"/>
    </w:p>
    <w:p w:rsidR="00BC220A" w:rsidRPr="00460F5E" w:rsidRDefault="001F23B9" w:rsidP="00460F5E">
      <w:r w:rsidRPr="00460F5E">
        <w:rPr>
          <w:b/>
          <w:bCs/>
        </w:rPr>
        <w:t xml:space="preserve">INTRODUCTION </w:t>
      </w:r>
    </w:p>
    <w:p w:rsidR="00BC220A" w:rsidRPr="00460F5E" w:rsidRDefault="00BC220A" w:rsidP="00460F5E">
      <w:r w:rsidRPr="00460F5E">
        <w:t>Début du partenariat Fonds mondial - Guinée depuis le round 2 (en 2003 avec 2 subventions) :</w:t>
      </w:r>
    </w:p>
    <w:p w:rsidR="00BC220A" w:rsidRPr="00460F5E" w:rsidRDefault="00BC220A" w:rsidP="00460F5E">
      <w:pPr>
        <w:numPr>
          <w:ilvl w:val="0"/>
          <w:numId w:val="88"/>
        </w:numPr>
        <w:rPr>
          <w:lang w:val="en-US"/>
        </w:rPr>
      </w:pPr>
      <w:r w:rsidRPr="00460F5E">
        <w:rPr>
          <w:lang w:val="en-US"/>
        </w:rPr>
        <w:t>GIN-202-G01-H-00 ; Montant = US$5,971,565</w:t>
      </w:r>
    </w:p>
    <w:p w:rsidR="00BC220A" w:rsidRPr="00460F5E" w:rsidRDefault="00BC220A" w:rsidP="00460F5E">
      <w:pPr>
        <w:numPr>
          <w:ilvl w:val="0"/>
          <w:numId w:val="88"/>
        </w:numPr>
        <w:rPr>
          <w:lang w:val="en-US"/>
        </w:rPr>
      </w:pPr>
      <w:r w:rsidRPr="00460F5E">
        <w:rPr>
          <w:lang w:val="en-US"/>
        </w:rPr>
        <w:t>GIN-202-G02-M-00 ; Montant = US$6,008,064</w:t>
      </w:r>
    </w:p>
    <w:p w:rsidR="00BC220A" w:rsidRPr="00460F5E" w:rsidRDefault="00BC220A" w:rsidP="00460F5E">
      <w:pPr>
        <w:numPr>
          <w:ilvl w:val="0"/>
          <w:numId w:val="88"/>
        </w:numPr>
      </w:pPr>
      <w:r w:rsidRPr="00460F5E">
        <w:t>Depuis cette date, quatorze subventions ont été signés couvrant les 4 composantes:</w:t>
      </w:r>
    </w:p>
    <w:p w:rsidR="00BC220A" w:rsidRPr="00460F5E" w:rsidRDefault="00BC220A" w:rsidP="00460F5E">
      <w:pPr>
        <w:numPr>
          <w:ilvl w:val="1"/>
          <w:numId w:val="89"/>
        </w:numPr>
      </w:pPr>
      <w:r w:rsidRPr="00460F5E">
        <w:t>5 subventions pour le VIH</w:t>
      </w:r>
    </w:p>
    <w:p w:rsidR="00BC220A" w:rsidRPr="00460F5E" w:rsidRDefault="00BC220A" w:rsidP="00460F5E">
      <w:pPr>
        <w:numPr>
          <w:ilvl w:val="1"/>
          <w:numId w:val="89"/>
        </w:numPr>
      </w:pPr>
      <w:r w:rsidRPr="00460F5E">
        <w:t>4 subventions pour la TB</w:t>
      </w:r>
    </w:p>
    <w:p w:rsidR="00BC220A" w:rsidRPr="00460F5E" w:rsidRDefault="00BC220A" w:rsidP="00460F5E">
      <w:pPr>
        <w:numPr>
          <w:ilvl w:val="1"/>
          <w:numId w:val="89"/>
        </w:numPr>
      </w:pPr>
      <w:r w:rsidRPr="00460F5E">
        <w:t>4 subventions pour le paludisme</w:t>
      </w:r>
    </w:p>
    <w:p w:rsidR="00BC220A" w:rsidRPr="00460F5E" w:rsidRDefault="00BC220A" w:rsidP="00460F5E">
      <w:pPr>
        <w:numPr>
          <w:ilvl w:val="1"/>
          <w:numId w:val="89"/>
        </w:numPr>
      </w:pPr>
      <w:r w:rsidRPr="00460F5E">
        <w:t>1 subvention sur le RSS</w:t>
      </w:r>
    </w:p>
    <w:p w:rsidR="00BC220A" w:rsidRPr="00460F5E" w:rsidRDefault="00BC220A" w:rsidP="00460F5E">
      <w:pPr>
        <w:numPr>
          <w:ilvl w:val="1"/>
          <w:numId w:val="63"/>
        </w:numPr>
      </w:pPr>
      <w:r w:rsidRPr="00460F5E">
        <w:t xml:space="preserve">Montant total approuvé: </w:t>
      </w:r>
      <w:r w:rsidRPr="00460F5E">
        <w:rPr>
          <w:lang w:val="en-US"/>
        </w:rPr>
        <w:t>US$282,839,076</w:t>
      </w:r>
    </w:p>
    <w:p w:rsidR="000C6585" w:rsidRPr="00460F5E" w:rsidRDefault="000C6585" w:rsidP="00460F5E">
      <w:pPr>
        <w:rPr>
          <w:b/>
          <w:bCs/>
        </w:rPr>
      </w:pPr>
    </w:p>
    <w:p w:rsidR="00BC220A" w:rsidRPr="00460F5E" w:rsidRDefault="008C2F79" w:rsidP="00460F5E">
      <w:r w:rsidRPr="00460F5E">
        <w:rPr>
          <w:b/>
          <w:bCs/>
        </w:rPr>
        <w:t>LES DIFFERENTES SUBVENTIONS MALARIA</w:t>
      </w:r>
    </w:p>
    <w:p w:rsidR="00BC220A" w:rsidRPr="00460F5E" w:rsidRDefault="00BC220A" w:rsidP="00460F5E">
      <w:pPr>
        <w:numPr>
          <w:ilvl w:val="0"/>
          <w:numId w:val="64"/>
        </w:numPr>
      </w:pPr>
      <w:r w:rsidRPr="00460F5E">
        <w:t>GIN-202-G02-M-00</w:t>
      </w:r>
    </w:p>
    <w:p w:rsidR="00BC220A" w:rsidRPr="00460F5E" w:rsidRDefault="00BC220A" w:rsidP="00460F5E">
      <w:pPr>
        <w:numPr>
          <w:ilvl w:val="0"/>
          <w:numId w:val="64"/>
        </w:numPr>
      </w:pPr>
      <w:r w:rsidRPr="00460F5E">
        <w:t>GIN-607-G05-M</w:t>
      </w:r>
    </w:p>
    <w:p w:rsidR="00BC220A" w:rsidRPr="00460F5E" w:rsidRDefault="00BC220A" w:rsidP="00460F5E">
      <w:pPr>
        <w:numPr>
          <w:ilvl w:val="0"/>
          <w:numId w:val="64"/>
        </w:numPr>
      </w:pPr>
      <w:r w:rsidRPr="00460F5E">
        <w:t>GIN-M-CRS</w:t>
      </w:r>
    </w:p>
    <w:p w:rsidR="00BC220A" w:rsidRPr="00460F5E" w:rsidRDefault="00BC220A" w:rsidP="00460F5E">
      <w:pPr>
        <w:numPr>
          <w:ilvl w:val="0"/>
          <w:numId w:val="64"/>
        </w:numPr>
      </w:pPr>
      <w:r w:rsidRPr="00460F5E">
        <w:t>GIN-M-PNLP</w:t>
      </w:r>
    </w:p>
    <w:p w:rsidR="000C6585" w:rsidRPr="00460F5E" w:rsidRDefault="000C6585" w:rsidP="00460F5E">
      <w:pPr>
        <w:rPr>
          <w:b/>
          <w:bCs/>
        </w:rPr>
      </w:pPr>
    </w:p>
    <w:p w:rsidR="00BC220A" w:rsidRPr="00460F5E" w:rsidRDefault="008C2F79" w:rsidP="00460F5E">
      <w:r w:rsidRPr="00460F5E">
        <w:rPr>
          <w:b/>
          <w:bCs/>
        </w:rPr>
        <w:t>LES DIFFERENTES SUBVENTIONS TB</w:t>
      </w:r>
    </w:p>
    <w:p w:rsidR="00BC220A" w:rsidRPr="00460F5E" w:rsidRDefault="00BC220A" w:rsidP="00460F5E">
      <w:pPr>
        <w:numPr>
          <w:ilvl w:val="0"/>
          <w:numId w:val="65"/>
        </w:numPr>
      </w:pPr>
      <w:r w:rsidRPr="00460F5E">
        <w:t>GIN-506-G03-T</w:t>
      </w:r>
    </w:p>
    <w:p w:rsidR="00BC220A" w:rsidRPr="00460F5E" w:rsidRDefault="00BC220A" w:rsidP="00460F5E">
      <w:pPr>
        <w:numPr>
          <w:ilvl w:val="0"/>
          <w:numId w:val="65"/>
        </w:numPr>
      </w:pPr>
      <w:r w:rsidRPr="00460F5E">
        <w:t>GIN-T-MSHP</w:t>
      </w:r>
    </w:p>
    <w:p w:rsidR="00BC220A" w:rsidRPr="00460F5E" w:rsidRDefault="00BC220A" w:rsidP="00460F5E">
      <w:pPr>
        <w:numPr>
          <w:ilvl w:val="0"/>
          <w:numId w:val="65"/>
        </w:numPr>
      </w:pPr>
      <w:r w:rsidRPr="00460F5E">
        <w:t>GIN-T-PLAN</w:t>
      </w:r>
    </w:p>
    <w:p w:rsidR="00BC220A" w:rsidRPr="00460F5E" w:rsidRDefault="00BC220A" w:rsidP="00460F5E">
      <w:pPr>
        <w:numPr>
          <w:ilvl w:val="0"/>
          <w:numId w:val="65"/>
        </w:numPr>
      </w:pPr>
      <w:r w:rsidRPr="00460F5E">
        <w:t>GIN-T-PSI</w:t>
      </w:r>
    </w:p>
    <w:p w:rsidR="000C6585" w:rsidRPr="00460F5E" w:rsidRDefault="000C6585" w:rsidP="00460F5E">
      <w:pPr>
        <w:rPr>
          <w:b/>
          <w:bCs/>
        </w:rPr>
      </w:pPr>
    </w:p>
    <w:p w:rsidR="00BC220A" w:rsidRPr="00460F5E" w:rsidRDefault="008C2F79" w:rsidP="00460F5E">
      <w:r w:rsidRPr="00460F5E">
        <w:rPr>
          <w:b/>
          <w:bCs/>
        </w:rPr>
        <w:t>LES DIFFERENTES SUBVENTIONS VIH</w:t>
      </w:r>
    </w:p>
    <w:p w:rsidR="00BC220A" w:rsidRPr="00460F5E" w:rsidRDefault="00BC220A" w:rsidP="00460F5E">
      <w:pPr>
        <w:numPr>
          <w:ilvl w:val="0"/>
          <w:numId w:val="66"/>
        </w:numPr>
      </w:pPr>
      <w:r w:rsidRPr="00460F5E">
        <w:t>GIN-202-G01-H-00</w:t>
      </w:r>
    </w:p>
    <w:p w:rsidR="00BC220A" w:rsidRPr="00460F5E" w:rsidRDefault="00BC220A" w:rsidP="00460F5E">
      <w:pPr>
        <w:numPr>
          <w:ilvl w:val="0"/>
          <w:numId w:val="66"/>
        </w:numPr>
      </w:pPr>
      <w:r w:rsidRPr="00460F5E">
        <w:t>GIN-607-G04-H</w:t>
      </w:r>
    </w:p>
    <w:p w:rsidR="00BC220A" w:rsidRPr="00460F5E" w:rsidRDefault="00BC220A" w:rsidP="00460F5E">
      <w:pPr>
        <w:numPr>
          <w:ilvl w:val="0"/>
          <w:numId w:val="66"/>
        </w:numPr>
      </w:pPr>
      <w:r w:rsidRPr="00460F5E">
        <w:t>GIN-H-CNLS</w:t>
      </w:r>
    </w:p>
    <w:p w:rsidR="00BC220A" w:rsidRPr="00460F5E" w:rsidRDefault="00BC220A" w:rsidP="00460F5E">
      <w:pPr>
        <w:numPr>
          <w:ilvl w:val="0"/>
          <w:numId w:val="66"/>
        </w:numPr>
      </w:pPr>
      <w:r w:rsidRPr="00460F5E">
        <w:t>GIN-H-GIZ</w:t>
      </w:r>
    </w:p>
    <w:p w:rsidR="00BC220A" w:rsidRPr="00460F5E" w:rsidRDefault="00BC220A" w:rsidP="00460F5E">
      <w:pPr>
        <w:numPr>
          <w:ilvl w:val="0"/>
          <w:numId w:val="66"/>
        </w:numPr>
      </w:pPr>
      <w:r w:rsidRPr="00460F5E">
        <w:t>GIN-H-PSI</w:t>
      </w:r>
    </w:p>
    <w:p w:rsidR="00A21DAD" w:rsidRPr="00460F5E" w:rsidRDefault="00A21DAD" w:rsidP="00460F5E">
      <w:pPr>
        <w:rPr>
          <w:b/>
          <w:bCs/>
        </w:rPr>
      </w:pPr>
    </w:p>
    <w:p w:rsidR="00BC220A" w:rsidRPr="00460F5E" w:rsidRDefault="008C2F79" w:rsidP="00460F5E">
      <w:r w:rsidRPr="00460F5E">
        <w:rPr>
          <w:b/>
          <w:bCs/>
        </w:rPr>
        <w:t>LES RESULTATS ATTEINTS</w:t>
      </w:r>
    </w:p>
    <w:p w:rsidR="00BC220A" w:rsidRPr="00460F5E" w:rsidRDefault="00BC220A" w:rsidP="00460F5E">
      <w:pPr>
        <w:numPr>
          <w:ilvl w:val="0"/>
          <w:numId w:val="90"/>
        </w:numPr>
      </w:pPr>
      <w:r w:rsidRPr="00460F5E">
        <w:t xml:space="preserve">Contexte de mise en œuvre difficile (Épidémie d’Ebola 2014, crise socio-politique) </w:t>
      </w:r>
    </w:p>
    <w:p w:rsidR="00BC220A" w:rsidRPr="00460F5E" w:rsidRDefault="00BC220A" w:rsidP="00460F5E">
      <w:pPr>
        <w:numPr>
          <w:ilvl w:val="0"/>
          <w:numId w:val="90"/>
        </w:numPr>
      </w:pPr>
      <w:r w:rsidRPr="00460F5E">
        <w:t>la Guinée a  progressé  dans la lutte contre le VIH, la tuberculose et le paludisme. </w:t>
      </w:r>
    </w:p>
    <w:p w:rsidR="00BC220A" w:rsidRPr="00460F5E" w:rsidRDefault="00BC220A" w:rsidP="00460F5E">
      <w:pPr>
        <w:numPr>
          <w:ilvl w:val="0"/>
          <w:numId w:val="90"/>
        </w:numPr>
      </w:pPr>
      <w:r w:rsidRPr="00460F5E">
        <w:t xml:space="preserve">Augmentation croissante du nombre des patients séropositifs sous traitement antirétroviral </w:t>
      </w:r>
      <w:r w:rsidRPr="00460F5E">
        <w:rPr>
          <w:b/>
          <w:bCs/>
        </w:rPr>
        <w:t>= 39 000</w:t>
      </w:r>
    </w:p>
    <w:p w:rsidR="00BC220A" w:rsidRPr="00460F5E" w:rsidRDefault="00251A8E" w:rsidP="00460F5E">
      <w:pPr>
        <w:numPr>
          <w:ilvl w:val="0"/>
          <w:numId w:val="90"/>
        </w:numPr>
      </w:pPr>
      <w:r w:rsidRPr="00460F5E">
        <w:t>Réduction</w:t>
      </w:r>
      <w:r w:rsidR="00BC220A" w:rsidRPr="00460F5E">
        <w:t xml:space="preserve"> considérable de la prévalence du paludisme avec plus de </w:t>
      </w:r>
      <w:r w:rsidR="00BC220A" w:rsidRPr="00460F5E">
        <w:rPr>
          <w:b/>
          <w:bCs/>
        </w:rPr>
        <w:t xml:space="preserve">13 100 000 </w:t>
      </w:r>
      <w:r w:rsidR="00BC220A" w:rsidRPr="00460F5E">
        <w:t>de moustiquaires imprégnées distribuées</w:t>
      </w:r>
    </w:p>
    <w:p w:rsidR="00BC220A" w:rsidRPr="00460F5E" w:rsidRDefault="00BC220A" w:rsidP="00460F5E">
      <w:pPr>
        <w:numPr>
          <w:ilvl w:val="0"/>
          <w:numId w:val="90"/>
        </w:numPr>
      </w:pPr>
      <w:r w:rsidRPr="00460F5E">
        <w:t xml:space="preserve">Détection et traitement de plus de </w:t>
      </w:r>
      <w:r w:rsidRPr="00460F5E">
        <w:rPr>
          <w:b/>
          <w:bCs/>
        </w:rPr>
        <w:t xml:space="preserve">28 200 </w:t>
      </w:r>
      <w:r w:rsidRPr="00460F5E">
        <w:t>cas de tuberculose pulmonaire au laboratoire</w:t>
      </w:r>
    </w:p>
    <w:p w:rsidR="00BC220A" w:rsidRPr="00460F5E" w:rsidRDefault="00BC220A" w:rsidP="00460F5E">
      <w:pPr>
        <w:numPr>
          <w:ilvl w:val="0"/>
          <w:numId w:val="90"/>
        </w:numPr>
      </w:pPr>
      <w:r w:rsidRPr="00460F5E">
        <w:t>Ces résultats sont renforcés grâce au partenariat du Fonds mondial-Gavi qui appuie la Guinée pour relever les défis du Système de Santé en renforçant les piliers essentiels du système dont le système national d’information sanitaire avec la mise à échelle du DHIS2 pour des données en temps réel et de meilleure qualité pour la gestion de la chaîne d’approvisionnement (SIGL, e-LMIS, Pipeline...)</w:t>
      </w:r>
    </w:p>
    <w:p w:rsidR="00D156C6" w:rsidRPr="00460F5E" w:rsidRDefault="0015389A" w:rsidP="00460F5E">
      <w:pPr>
        <w:pStyle w:val="Titre1"/>
        <w:numPr>
          <w:ilvl w:val="0"/>
          <w:numId w:val="71"/>
        </w:numPr>
      </w:pPr>
      <w:bookmarkStart w:id="18" w:name="_Toc513041118"/>
      <w:bookmarkStart w:id="19" w:name="_Toc513044538"/>
      <w:bookmarkStart w:id="20" w:name="_Toc514049500"/>
      <w:r w:rsidRPr="00460F5E">
        <w:t>Tableau Financier</w:t>
      </w:r>
      <w:bookmarkEnd w:id="18"/>
      <w:bookmarkEnd w:id="19"/>
      <w:bookmarkEnd w:id="20"/>
      <w:r w:rsidRPr="00460F5E">
        <w:t xml:space="preserve"> </w:t>
      </w:r>
    </w:p>
    <w:p w:rsidR="005C0293" w:rsidRPr="00460F5E" w:rsidRDefault="0015389A" w:rsidP="00460F5E">
      <w:pPr>
        <w:pStyle w:val="Titre4"/>
        <w:rPr>
          <w:rFonts w:ascii="Rockwell" w:hAnsi="Rockwell"/>
        </w:rPr>
      </w:pPr>
      <w:r w:rsidRPr="00460F5E">
        <w:rPr>
          <w:rFonts w:ascii="Rockwell" w:hAnsi="Rockwell"/>
        </w:rPr>
        <w:t>Tbl. 1</w:t>
      </w:r>
      <w:r w:rsidR="00D156C6" w:rsidRPr="00460F5E">
        <w:rPr>
          <w:rFonts w:ascii="Rockwell" w:hAnsi="Rockwell"/>
        </w:rPr>
        <w:t xml:space="preserve"> financier des 4 nouveaux subventions</w:t>
      </w:r>
      <w:r w:rsidR="005C0293" w:rsidRPr="00460F5E">
        <w:rPr>
          <w:rFonts w:ascii="Rockwell" w:hAnsi="Rockwell"/>
        </w:rPr>
        <w:t xml:space="preserve"> (2018 – 2020)</w:t>
      </w:r>
    </w:p>
    <w:tbl>
      <w:tblPr>
        <w:tblW w:w="9633" w:type="dxa"/>
        <w:tblInd w:w="-65" w:type="dxa"/>
        <w:tblLayout w:type="fixed"/>
        <w:tblCellMar>
          <w:left w:w="70" w:type="dxa"/>
          <w:right w:w="70" w:type="dxa"/>
        </w:tblCellMar>
        <w:tblLook w:val="04A0" w:firstRow="1" w:lastRow="0" w:firstColumn="1" w:lastColumn="0" w:noHBand="0" w:noVBand="1"/>
      </w:tblPr>
      <w:tblGrid>
        <w:gridCol w:w="1695"/>
        <w:gridCol w:w="1134"/>
        <w:gridCol w:w="1275"/>
        <w:gridCol w:w="1560"/>
        <w:gridCol w:w="1417"/>
        <w:gridCol w:w="1134"/>
        <w:gridCol w:w="1418"/>
      </w:tblGrid>
      <w:tr w:rsidR="005C0293" w:rsidRPr="00460F5E" w:rsidTr="00251A8E">
        <w:trPr>
          <w:trHeight w:val="795"/>
        </w:trPr>
        <w:tc>
          <w:tcPr>
            <w:tcW w:w="1695" w:type="dxa"/>
            <w:tcBorders>
              <w:top w:val="single" w:sz="8" w:space="0" w:color="99B2C7"/>
              <w:left w:val="single" w:sz="8" w:space="0" w:color="99B2C7"/>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ind w:firstLineChars="100" w:firstLine="281"/>
              <w:rPr>
                <w:rFonts w:eastAsia="Times New Roman" w:cs="Tahoma"/>
                <w:b/>
                <w:bCs/>
                <w:color w:val="000000"/>
                <w:sz w:val="28"/>
                <w:szCs w:val="28"/>
                <w:lang w:eastAsia="fr-FR"/>
              </w:rPr>
            </w:pPr>
            <w:r w:rsidRPr="00460F5E">
              <w:rPr>
                <w:rFonts w:eastAsia="Times New Roman" w:cs="Tahoma"/>
                <w:b/>
                <w:bCs/>
                <w:color w:val="000000"/>
                <w:sz w:val="28"/>
                <w:szCs w:val="28"/>
                <w:lang w:eastAsia="fr-FR"/>
              </w:rPr>
              <w:t>Maladie</w:t>
            </w:r>
          </w:p>
        </w:tc>
        <w:tc>
          <w:tcPr>
            <w:tcW w:w="1134" w:type="dxa"/>
            <w:tcBorders>
              <w:top w:val="single" w:sz="8" w:space="0" w:color="99B2C7"/>
              <w:left w:val="nil"/>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eastAsia="fr-FR"/>
              </w:rPr>
              <w:t>Palu</w:t>
            </w:r>
            <w:r w:rsidR="00251A8E" w:rsidRPr="00460F5E">
              <w:rPr>
                <w:rFonts w:eastAsia="Times New Roman" w:cs="Tahoma"/>
                <w:b/>
                <w:bCs/>
                <w:color w:val="000000"/>
                <w:sz w:val="24"/>
                <w:szCs w:val="24"/>
                <w:lang w:eastAsia="fr-FR"/>
              </w:rPr>
              <w:t>-</w:t>
            </w:r>
            <w:r w:rsidRPr="00460F5E">
              <w:rPr>
                <w:rFonts w:eastAsia="Times New Roman" w:cs="Tahoma"/>
                <w:b/>
                <w:bCs/>
                <w:color w:val="000000"/>
                <w:sz w:val="24"/>
                <w:szCs w:val="24"/>
                <w:lang w:eastAsia="fr-FR"/>
              </w:rPr>
              <w:t>disme</w:t>
            </w:r>
          </w:p>
        </w:tc>
        <w:tc>
          <w:tcPr>
            <w:tcW w:w="1275" w:type="dxa"/>
            <w:tcBorders>
              <w:top w:val="single" w:sz="8" w:space="0" w:color="99B2C7"/>
              <w:left w:val="nil"/>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8"/>
                <w:szCs w:val="28"/>
                <w:lang w:eastAsia="fr-FR"/>
              </w:rPr>
            </w:pPr>
            <w:r w:rsidRPr="00460F5E">
              <w:rPr>
                <w:rFonts w:eastAsia="Times New Roman" w:cs="Tahoma"/>
                <w:b/>
                <w:bCs/>
                <w:color w:val="000000"/>
                <w:sz w:val="28"/>
                <w:szCs w:val="28"/>
                <w:lang w:eastAsia="fr-FR"/>
              </w:rPr>
              <w:t>TB</w:t>
            </w:r>
          </w:p>
        </w:tc>
        <w:tc>
          <w:tcPr>
            <w:tcW w:w="1560" w:type="dxa"/>
            <w:tcBorders>
              <w:top w:val="single" w:sz="8" w:space="0" w:color="99B2C7"/>
              <w:left w:val="nil"/>
              <w:bottom w:val="single" w:sz="8" w:space="0" w:color="99B2C7"/>
              <w:right w:val="nil"/>
            </w:tcBorders>
            <w:shd w:val="clear" w:color="000000" w:fill="B8CCE4"/>
            <w:vAlign w:val="center"/>
            <w:hideMark/>
          </w:tcPr>
          <w:p w:rsidR="005C0293" w:rsidRPr="00460F5E" w:rsidRDefault="00251A8E" w:rsidP="00460F5E">
            <w:pPr>
              <w:spacing w:after="0" w:line="240" w:lineRule="auto"/>
              <w:jc w:val="center"/>
              <w:rPr>
                <w:rFonts w:eastAsia="Times New Roman" w:cs="Tahoma"/>
                <w:b/>
                <w:bCs/>
                <w:color w:val="000000"/>
                <w:lang w:eastAsia="fr-FR"/>
              </w:rPr>
            </w:pPr>
            <w:r w:rsidRPr="00460F5E">
              <w:rPr>
                <w:rFonts w:eastAsia="Times New Roman" w:cs="Tahoma"/>
                <w:b/>
                <w:bCs/>
                <w:color w:val="000000"/>
                <w:lang w:eastAsia="fr-FR"/>
              </w:rPr>
              <w:t>VIH/SIDA</w:t>
            </w:r>
            <w:r w:rsidR="005C0293" w:rsidRPr="00460F5E">
              <w:rPr>
                <w:rFonts w:eastAsia="Times New Roman" w:cs="Tahoma"/>
                <w:b/>
                <w:bCs/>
                <w:color w:val="000000"/>
                <w:lang w:eastAsia="fr-FR"/>
              </w:rPr>
              <w:t xml:space="preserve"> (vol. comm.)</w:t>
            </w:r>
          </w:p>
        </w:tc>
        <w:tc>
          <w:tcPr>
            <w:tcW w:w="1417" w:type="dxa"/>
            <w:tcBorders>
              <w:top w:val="single" w:sz="8" w:space="0" w:color="99B2C7"/>
              <w:left w:val="nil"/>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eastAsia="fr-FR"/>
              </w:rPr>
              <w:t>VIH/SIDA (PEC)</w:t>
            </w:r>
          </w:p>
        </w:tc>
        <w:tc>
          <w:tcPr>
            <w:tcW w:w="1134" w:type="dxa"/>
            <w:tcBorders>
              <w:top w:val="single" w:sz="8" w:space="0" w:color="99B2C7"/>
              <w:left w:val="nil"/>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8"/>
                <w:szCs w:val="28"/>
                <w:lang w:eastAsia="fr-FR"/>
              </w:rPr>
            </w:pPr>
            <w:r w:rsidRPr="00460F5E">
              <w:rPr>
                <w:rFonts w:eastAsia="Times New Roman" w:cs="Tahoma"/>
                <w:b/>
                <w:bCs/>
                <w:color w:val="000000"/>
                <w:sz w:val="28"/>
                <w:szCs w:val="28"/>
                <w:lang w:eastAsia="fr-FR"/>
              </w:rPr>
              <w:t>RSS</w:t>
            </w:r>
          </w:p>
        </w:tc>
        <w:tc>
          <w:tcPr>
            <w:tcW w:w="1418" w:type="dxa"/>
            <w:tcBorders>
              <w:top w:val="single" w:sz="8" w:space="0" w:color="99B2C7"/>
              <w:left w:val="nil"/>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8"/>
                <w:szCs w:val="28"/>
                <w:lang w:eastAsia="fr-FR"/>
              </w:rPr>
            </w:pPr>
            <w:r w:rsidRPr="00460F5E">
              <w:rPr>
                <w:rFonts w:eastAsia="Times New Roman" w:cs="Tahoma"/>
                <w:b/>
                <w:bCs/>
                <w:color w:val="000000"/>
                <w:sz w:val="28"/>
                <w:szCs w:val="28"/>
                <w:lang w:eastAsia="fr-FR"/>
              </w:rPr>
              <w:t>Total</w:t>
            </w:r>
          </w:p>
        </w:tc>
      </w:tr>
      <w:tr w:rsidR="005C0293" w:rsidRPr="00460F5E" w:rsidTr="00251A8E">
        <w:trPr>
          <w:trHeight w:val="645"/>
        </w:trPr>
        <w:tc>
          <w:tcPr>
            <w:tcW w:w="1695" w:type="dxa"/>
            <w:tcBorders>
              <w:top w:val="nil"/>
              <w:left w:val="single" w:sz="8" w:space="0" w:color="99B2C7"/>
              <w:bottom w:val="single" w:sz="8" w:space="0" w:color="99B2C7"/>
              <w:right w:val="single" w:sz="8" w:space="0" w:color="99B2C7"/>
            </w:tcBorders>
            <w:shd w:val="clear" w:color="000000" w:fill="DCE6F1"/>
            <w:vAlign w:val="center"/>
            <w:hideMark/>
          </w:tcPr>
          <w:p w:rsidR="005C0293" w:rsidRPr="00460F5E" w:rsidRDefault="005C0293" w:rsidP="00460F5E">
            <w:pPr>
              <w:spacing w:after="0" w:line="240" w:lineRule="auto"/>
              <w:rPr>
                <w:rFonts w:eastAsia="Times New Roman" w:cs="Tahoma"/>
                <w:b/>
                <w:bCs/>
                <w:color w:val="000000"/>
                <w:sz w:val="24"/>
                <w:szCs w:val="24"/>
                <w:lang w:eastAsia="fr-FR"/>
              </w:rPr>
            </w:pPr>
            <w:r w:rsidRPr="00460F5E">
              <w:rPr>
                <w:rFonts w:eastAsia="Times New Roman" w:cs="Tahoma"/>
                <w:b/>
                <w:bCs/>
                <w:color w:val="000000"/>
                <w:sz w:val="24"/>
                <w:szCs w:val="24"/>
                <w:lang w:eastAsia="fr-FR"/>
              </w:rPr>
              <w:t>Récipiendaire principal</w:t>
            </w:r>
          </w:p>
        </w:tc>
        <w:tc>
          <w:tcPr>
            <w:tcW w:w="1134" w:type="dxa"/>
            <w:tcBorders>
              <w:top w:val="nil"/>
              <w:left w:val="nil"/>
              <w:bottom w:val="single" w:sz="8" w:space="0" w:color="99B2C7"/>
              <w:right w:val="single" w:sz="8" w:space="0" w:color="99B2C7"/>
            </w:tcBorders>
            <w:shd w:val="clear" w:color="000000" w:fill="DCE6F1"/>
            <w:vAlign w:val="center"/>
            <w:hideMark/>
          </w:tcPr>
          <w:p w:rsidR="005C0293" w:rsidRPr="00460F5E" w:rsidRDefault="005C0293" w:rsidP="00460F5E">
            <w:pPr>
              <w:spacing w:after="0" w:line="240" w:lineRule="auto"/>
              <w:jc w:val="center"/>
              <w:rPr>
                <w:rFonts w:eastAsia="Times New Roman" w:cs="Tahoma"/>
                <w:b/>
                <w:bCs/>
                <w:color w:val="000000"/>
                <w:sz w:val="26"/>
                <w:szCs w:val="26"/>
                <w:lang w:eastAsia="fr-FR"/>
              </w:rPr>
            </w:pPr>
            <w:r w:rsidRPr="00460F5E">
              <w:rPr>
                <w:rFonts w:eastAsia="Times New Roman" w:cs="Tahoma"/>
                <w:b/>
                <w:bCs/>
                <w:color w:val="000000"/>
                <w:sz w:val="26"/>
                <w:szCs w:val="26"/>
                <w:lang w:eastAsia="fr-FR"/>
              </w:rPr>
              <w:t>CRS</w:t>
            </w:r>
          </w:p>
        </w:tc>
        <w:tc>
          <w:tcPr>
            <w:tcW w:w="2835" w:type="dxa"/>
            <w:gridSpan w:val="2"/>
            <w:tcBorders>
              <w:top w:val="single" w:sz="8" w:space="0" w:color="99B2C7"/>
              <w:left w:val="nil"/>
              <w:bottom w:val="single" w:sz="8" w:space="0" w:color="99B2C7"/>
              <w:right w:val="single" w:sz="8" w:space="0" w:color="99B2C7"/>
            </w:tcBorders>
            <w:shd w:val="clear" w:color="000000" w:fill="DCE6F1"/>
            <w:vAlign w:val="center"/>
            <w:hideMark/>
          </w:tcPr>
          <w:p w:rsidR="005C0293" w:rsidRPr="00460F5E" w:rsidRDefault="005C0293" w:rsidP="00460F5E">
            <w:pPr>
              <w:spacing w:after="0" w:line="240" w:lineRule="auto"/>
              <w:jc w:val="center"/>
              <w:rPr>
                <w:rFonts w:eastAsia="Times New Roman" w:cs="Tahoma"/>
                <w:b/>
                <w:bCs/>
                <w:color w:val="000000"/>
                <w:sz w:val="26"/>
                <w:szCs w:val="26"/>
                <w:lang w:eastAsia="fr-FR"/>
              </w:rPr>
            </w:pPr>
            <w:r w:rsidRPr="00460F5E">
              <w:rPr>
                <w:rFonts w:eastAsia="Times New Roman" w:cs="Tahoma"/>
                <w:b/>
                <w:bCs/>
                <w:color w:val="000000"/>
                <w:sz w:val="26"/>
                <w:szCs w:val="26"/>
                <w:lang w:eastAsia="fr-FR"/>
              </w:rPr>
              <w:t>Plan International</w:t>
            </w:r>
          </w:p>
        </w:tc>
        <w:tc>
          <w:tcPr>
            <w:tcW w:w="1417" w:type="dxa"/>
            <w:tcBorders>
              <w:top w:val="nil"/>
              <w:left w:val="nil"/>
              <w:bottom w:val="single" w:sz="8" w:space="0" w:color="99B2C7"/>
              <w:right w:val="single" w:sz="8" w:space="0" w:color="99B2C7"/>
            </w:tcBorders>
            <w:shd w:val="clear" w:color="000000" w:fill="DCE6F1"/>
            <w:vAlign w:val="center"/>
            <w:hideMark/>
          </w:tcPr>
          <w:p w:rsidR="005C0293" w:rsidRPr="00460F5E" w:rsidRDefault="005C0293" w:rsidP="00460F5E">
            <w:pPr>
              <w:spacing w:after="0" w:line="240" w:lineRule="auto"/>
              <w:jc w:val="center"/>
              <w:rPr>
                <w:rFonts w:eastAsia="Times New Roman" w:cs="Tahoma"/>
                <w:b/>
                <w:bCs/>
                <w:color w:val="000000"/>
                <w:sz w:val="26"/>
                <w:szCs w:val="26"/>
                <w:lang w:eastAsia="fr-FR"/>
              </w:rPr>
            </w:pPr>
            <w:r w:rsidRPr="00460F5E">
              <w:rPr>
                <w:rFonts w:eastAsia="Times New Roman" w:cs="Tahoma"/>
                <w:b/>
                <w:bCs/>
                <w:color w:val="000000"/>
                <w:sz w:val="26"/>
                <w:szCs w:val="26"/>
                <w:lang w:eastAsia="fr-FR"/>
              </w:rPr>
              <w:t>PNPCSP</w:t>
            </w:r>
          </w:p>
        </w:tc>
        <w:tc>
          <w:tcPr>
            <w:tcW w:w="1134" w:type="dxa"/>
            <w:tcBorders>
              <w:top w:val="nil"/>
              <w:left w:val="nil"/>
              <w:bottom w:val="single" w:sz="8" w:space="0" w:color="99B2C7"/>
              <w:right w:val="single" w:sz="8" w:space="0" w:color="99B2C7"/>
            </w:tcBorders>
            <w:shd w:val="clear" w:color="000000" w:fill="DCE6F1"/>
            <w:vAlign w:val="center"/>
            <w:hideMark/>
          </w:tcPr>
          <w:p w:rsidR="005C0293" w:rsidRPr="00460F5E" w:rsidRDefault="005C0293" w:rsidP="00460F5E">
            <w:pPr>
              <w:spacing w:after="0" w:line="240" w:lineRule="auto"/>
              <w:jc w:val="center"/>
              <w:rPr>
                <w:rFonts w:eastAsia="Times New Roman" w:cs="Tahoma"/>
                <w:b/>
                <w:bCs/>
                <w:color w:val="000000"/>
                <w:sz w:val="26"/>
                <w:szCs w:val="26"/>
                <w:lang w:eastAsia="fr-FR"/>
              </w:rPr>
            </w:pPr>
            <w:r w:rsidRPr="00460F5E">
              <w:rPr>
                <w:rFonts w:eastAsia="Times New Roman" w:cs="Tahoma"/>
                <w:b/>
                <w:bCs/>
                <w:color w:val="000000"/>
                <w:sz w:val="26"/>
                <w:szCs w:val="26"/>
                <w:lang w:eastAsia="fr-FR"/>
              </w:rPr>
              <w:t>MS</w:t>
            </w:r>
          </w:p>
        </w:tc>
        <w:tc>
          <w:tcPr>
            <w:tcW w:w="1418" w:type="dxa"/>
            <w:tcBorders>
              <w:top w:val="nil"/>
              <w:left w:val="nil"/>
              <w:bottom w:val="single" w:sz="8" w:space="0" w:color="99B2C7"/>
              <w:right w:val="single" w:sz="8" w:space="0" w:color="99B2C7"/>
            </w:tcBorders>
            <w:shd w:val="clear" w:color="000000" w:fill="DCE6F1"/>
            <w:vAlign w:val="center"/>
            <w:hideMark/>
          </w:tcPr>
          <w:p w:rsidR="005C0293" w:rsidRPr="00460F5E" w:rsidRDefault="005C0293" w:rsidP="00460F5E">
            <w:pPr>
              <w:spacing w:after="0" w:line="240" w:lineRule="auto"/>
              <w:jc w:val="center"/>
              <w:rPr>
                <w:rFonts w:eastAsia="Times New Roman" w:cs="Tahoma"/>
                <w:color w:val="000000"/>
                <w:sz w:val="26"/>
                <w:szCs w:val="26"/>
                <w:lang w:eastAsia="fr-FR"/>
              </w:rPr>
            </w:pPr>
            <w:r w:rsidRPr="00460F5E">
              <w:rPr>
                <w:rFonts w:eastAsia="Times New Roman" w:cs="Tahoma"/>
                <w:color w:val="000000"/>
                <w:sz w:val="26"/>
                <w:szCs w:val="26"/>
                <w:lang w:eastAsia="fr-FR"/>
              </w:rPr>
              <w:t> </w:t>
            </w:r>
          </w:p>
        </w:tc>
      </w:tr>
      <w:tr w:rsidR="005C0293" w:rsidRPr="00460F5E" w:rsidTr="00251A8E">
        <w:trPr>
          <w:trHeight w:val="1114"/>
        </w:trPr>
        <w:tc>
          <w:tcPr>
            <w:tcW w:w="1695" w:type="dxa"/>
            <w:tcBorders>
              <w:top w:val="nil"/>
              <w:left w:val="single" w:sz="8" w:space="0" w:color="99B2C7"/>
              <w:bottom w:val="single" w:sz="8" w:space="0" w:color="99B2C7"/>
              <w:right w:val="single" w:sz="8" w:space="0" w:color="99B2C7"/>
            </w:tcBorders>
            <w:shd w:val="clear" w:color="000000" w:fill="B8CCE4"/>
            <w:vAlign w:val="center"/>
            <w:hideMark/>
          </w:tcPr>
          <w:p w:rsidR="005C0293" w:rsidRPr="00460F5E" w:rsidRDefault="00251A8E" w:rsidP="00460F5E">
            <w:pPr>
              <w:spacing w:after="0" w:line="240" w:lineRule="auto"/>
              <w:rPr>
                <w:rFonts w:eastAsia="Times New Roman" w:cs="Tahoma"/>
                <w:b/>
                <w:bCs/>
                <w:color w:val="000000"/>
                <w:sz w:val="24"/>
                <w:szCs w:val="24"/>
                <w:lang w:eastAsia="fr-FR"/>
              </w:rPr>
            </w:pPr>
            <w:r w:rsidRPr="00460F5E">
              <w:rPr>
                <w:rFonts w:eastAsia="Times New Roman" w:cs="Tahoma"/>
                <w:b/>
                <w:bCs/>
                <w:color w:val="000000"/>
                <w:sz w:val="24"/>
                <w:szCs w:val="24"/>
                <w:lang w:eastAsia="fr-FR"/>
              </w:rPr>
              <w:t>Budget par mala</w:t>
            </w:r>
            <w:r w:rsidR="005C0293" w:rsidRPr="00460F5E">
              <w:rPr>
                <w:rFonts w:eastAsia="Times New Roman" w:cs="Tahoma"/>
                <w:b/>
                <w:bCs/>
                <w:color w:val="000000"/>
                <w:sz w:val="24"/>
                <w:szCs w:val="24"/>
                <w:lang w:eastAsia="fr-FR"/>
              </w:rPr>
              <w:t>die (Million USD)</w:t>
            </w:r>
          </w:p>
        </w:tc>
        <w:tc>
          <w:tcPr>
            <w:tcW w:w="1134" w:type="dxa"/>
            <w:tcBorders>
              <w:top w:val="nil"/>
              <w:left w:val="nil"/>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55 663 302</w:t>
            </w:r>
          </w:p>
        </w:tc>
        <w:tc>
          <w:tcPr>
            <w:tcW w:w="2835" w:type="dxa"/>
            <w:gridSpan w:val="2"/>
            <w:tcBorders>
              <w:top w:val="single" w:sz="8" w:space="0" w:color="99B2C7"/>
              <w:left w:val="nil"/>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14 550 605</w:t>
            </w:r>
          </w:p>
        </w:tc>
        <w:tc>
          <w:tcPr>
            <w:tcW w:w="1417" w:type="dxa"/>
            <w:tcBorders>
              <w:top w:val="nil"/>
              <w:left w:val="nil"/>
              <w:bottom w:val="single" w:sz="8" w:space="0" w:color="99B2C7"/>
              <w:right w:val="nil"/>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33 573 749</w:t>
            </w:r>
          </w:p>
        </w:tc>
        <w:tc>
          <w:tcPr>
            <w:tcW w:w="1134" w:type="dxa"/>
            <w:tcBorders>
              <w:top w:val="nil"/>
              <w:left w:val="single" w:sz="8" w:space="0" w:color="99B2C7"/>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3 000 000</w:t>
            </w:r>
          </w:p>
        </w:tc>
        <w:tc>
          <w:tcPr>
            <w:tcW w:w="1418" w:type="dxa"/>
            <w:tcBorders>
              <w:top w:val="nil"/>
              <w:left w:val="nil"/>
              <w:bottom w:val="single" w:sz="8" w:space="0" w:color="99B2C7"/>
              <w:right w:val="single" w:sz="8" w:space="0" w:color="99B2C7"/>
            </w:tcBorders>
            <w:shd w:val="clear" w:color="000000" w:fill="B8CCE4"/>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106 787 656</w:t>
            </w:r>
          </w:p>
        </w:tc>
      </w:tr>
      <w:tr w:rsidR="005C0293" w:rsidRPr="00460F5E" w:rsidTr="00251A8E">
        <w:trPr>
          <w:trHeight w:val="405"/>
        </w:trPr>
        <w:tc>
          <w:tcPr>
            <w:tcW w:w="1695" w:type="dxa"/>
            <w:tcBorders>
              <w:top w:val="single" w:sz="8" w:space="0" w:color="99B2C7"/>
              <w:left w:val="single" w:sz="8" w:space="0" w:color="99B2C7"/>
              <w:bottom w:val="nil"/>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rPr>
                <w:rFonts w:eastAsia="Times New Roman" w:cs="Tahoma"/>
                <w:b/>
                <w:bCs/>
                <w:color w:val="000000"/>
                <w:sz w:val="24"/>
                <w:szCs w:val="24"/>
                <w:lang w:eastAsia="fr-FR"/>
              </w:rPr>
            </w:pPr>
            <w:r w:rsidRPr="00460F5E">
              <w:rPr>
                <w:rFonts w:eastAsia="Times New Roman" w:cs="Tahoma"/>
                <w:b/>
                <w:bCs/>
                <w:color w:val="000000"/>
                <w:sz w:val="24"/>
                <w:szCs w:val="24"/>
                <w:lang w:eastAsia="fr-FR"/>
              </w:rPr>
              <w:t>Pourcentage (%)</w:t>
            </w:r>
          </w:p>
        </w:tc>
        <w:tc>
          <w:tcPr>
            <w:tcW w:w="1134" w:type="dxa"/>
            <w:tcBorders>
              <w:top w:val="single" w:sz="8" w:space="0" w:color="99B2C7"/>
              <w:left w:val="nil"/>
              <w:bottom w:val="nil"/>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 52 %</w:t>
            </w:r>
          </w:p>
        </w:tc>
        <w:tc>
          <w:tcPr>
            <w:tcW w:w="2835" w:type="dxa"/>
            <w:gridSpan w:val="2"/>
            <w:tcBorders>
              <w:top w:val="single" w:sz="8" w:space="0" w:color="99B2C7"/>
              <w:left w:val="nil"/>
              <w:bottom w:val="nil"/>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 14 %</w:t>
            </w:r>
          </w:p>
        </w:tc>
        <w:tc>
          <w:tcPr>
            <w:tcW w:w="1417" w:type="dxa"/>
            <w:tcBorders>
              <w:top w:val="single" w:sz="8" w:space="0" w:color="99B2C7"/>
              <w:left w:val="nil"/>
              <w:bottom w:val="single" w:sz="8" w:space="0" w:color="99B2C7"/>
              <w:right w:val="nil"/>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 31 %</w:t>
            </w:r>
          </w:p>
        </w:tc>
        <w:tc>
          <w:tcPr>
            <w:tcW w:w="1134" w:type="dxa"/>
            <w:tcBorders>
              <w:top w:val="single" w:sz="8" w:space="0" w:color="99B2C7"/>
              <w:left w:val="single" w:sz="8" w:space="0" w:color="99B2C7"/>
              <w:bottom w:val="nil"/>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 3 %</w:t>
            </w:r>
          </w:p>
        </w:tc>
        <w:tc>
          <w:tcPr>
            <w:tcW w:w="1418" w:type="dxa"/>
            <w:tcBorders>
              <w:top w:val="single" w:sz="8" w:space="0" w:color="99B2C7"/>
              <w:left w:val="nil"/>
              <w:bottom w:val="nil"/>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val="fr-BE" w:eastAsia="fr-FR"/>
              </w:rPr>
              <w:t>100 %</w:t>
            </w:r>
          </w:p>
        </w:tc>
      </w:tr>
      <w:tr w:rsidR="005C0293" w:rsidRPr="00460F5E" w:rsidTr="00251A8E">
        <w:trPr>
          <w:trHeight w:val="315"/>
        </w:trPr>
        <w:tc>
          <w:tcPr>
            <w:tcW w:w="1695" w:type="dxa"/>
            <w:tcBorders>
              <w:top w:val="single" w:sz="8" w:space="0" w:color="99B2C7"/>
              <w:left w:val="single" w:sz="8" w:space="0" w:color="99B2C7"/>
              <w:bottom w:val="nil"/>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rPr>
                <w:rFonts w:eastAsia="Times New Roman" w:cs="Tahoma"/>
                <w:b/>
                <w:bCs/>
                <w:color w:val="000000"/>
                <w:sz w:val="24"/>
                <w:szCs w:val="24"/>
                <w:lang w:eastAsia="fr-FR"/>
              </w:rPr>
            </w:pPr>
            <w:r w:rsidRPr="00460F5E">
              <w:rPr>
                <w:rFonts w:eastAsia="Times New Roman" w:cs="Tahoma"/>
                <w:b/>
                <w:bCs/>
                <w:color w:val="000000"/>
                <w:sz w:val="24"/>
                <w:szCs w:val="24"/>
                <w:lang w:eastAsia="fr-FR"/>
              </w:rPr>
              <w:t>Prévalence</w:t>
            </w:r>
          </w:p>
        </w:tc>
        <w:tc>
          <w:tcPr>
            <w:tcW w:w="1134" w:type="dxa"/>
            <w:tcBorders>
              <w:top w:val="single" w:sz="8" w:space="0" w:color="99B2C7"/>
              <w:left w:val="nil"/>
              <w:bottom w:val="nil"/>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44%</w:t>
            </w:r>
          </w:p>
        </w:tc>
        <w:tc>
          <w:tcPr>
            <w:tcW w:w="1275" w:type="dxa"/>
            <w:tcBorders>
              <w:top w:val="single" w:sz="8" w:space="0" w:color="99B2C7"/>
              <w:left w:val="nil"/>
              <w:bottom w:val="nil"/>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0"/>
                <w:szCs w:val="20"/>
                <w:lang w:eastAsia="fr-FR"/>
              </w:rPr>
            </w:pPr>
            <w:r w:rsidRPr="00460F5E">
              <w:rPr>
                <w:rFonts w:eastAsia="Times New Roman" w:cs="Tahoma"/>
                <w:color w:val="000000"/>
                <w:sz w:val="20"/>
                <w:szCs w:val="20"/>
                <w:lang w:eastAsia="fr-FR"/>
              </w:rPr>
              <w:t>177/100,000</w:t>
            </w:r>
          </w:p>
        </w:tc>
        <w:tc>
          <w:tcPr>
            <w:tcW w:w="1560" w:type="dxa"/>
            <w:tcBorders>
              <w:top w:val="single" w:sz="8" w:space="0" w:color="99B2C7"/>
              <w:left w:val="nil"/>
              <w:bottom w:val="nil"/>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p>
        </w:tc>
        <w:tc>
          <w:tcPr>
            <w:tcW w:w="1417" w:type="dxa"/>
            <w:tcBorders>
              <w:top w:val="nil"/>
              <w:left w:val="nil"/>
              <w:bottom w:val="nil"/>
              <w:right w:val="nil"/>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1.7%</w:t>
            </w:r>
          </w:p>
        </w:tc>
        <w:tc>
          <w:tcPr>
            <w:tcW w:w="1134" w:type="dxa"/>
            <w:tcBorders>
              <w:top w:val="single" w:sz="8" w:space="0" w:color="99B2C7"/>
              <w:left w:val="single" w:sz="8" w:space="0" w:color="99B2C7"/>
              <w:bottom w:val="nil"/>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N/A</w:t>
            </w:r>
          </w:p>
        </w:tc>
        <w:tc>
          <w:tcPr>
            <w:tcW w:w="1418" w:type="dxa"/>
            <w:tcBorders>
              <w:top w:val="single" w:sz="8" w:space="0" w:color="99B2C7"/>
              <w:left w:val="nil"/>
              <w:bottom w:val="nil"/>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rPr>
                <w:rFonts w:eastAsia="Times New Roman" w:cs="Tahoma"/>
                <w:color w:val="000000"/>
                <w:sz w:val="24"/>
                <w:szCs w:val="24"/>
                <w:lang w:eastAsia="fr-FR"/>
              </w:rPr>
            </w:pPr>
            <w:r w:rsidRPr="00460F5E">
              <w:rPr>
                <w:rFonts w:eastAsia="Times New Roman" w:cs="Tahoma"/>
                <w:color w:val="000000"/>
                <w:sz w:val="24"/>
                <w:szCs w:val="24"/>
                <w:lang w:eastAsia="fr-FR"/>
              </w:rPr>
              <w:t> </w:t>
            </w:r>
          </w:p>
        </w:tc>
      </w:tr>
      <w:tr w:rsidR="005C0293" w:rsidRPr="00460F5E" w:rsidTr="00251A8E">
        <w:trPr>
          <w:trHeight w:val="330"/>
        </w:trPr>
        <w:tc>
          <w:tcPr>
            <w:tcW w:w="1695" w:type="dxa"/>
            <w:tcBorders>
              <w:top w:val="nil"/>
              <w:left w:val="single" w:sz="8" w:space="0" w:color="99B2C7"/>
              <w:bottom w:val="single" w:sz="8" w:space="0" w:color="99B2C7"/>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rPr>
                <w:rFonts w:eastAsia="Times New Roman" w:cs="Tahoma"/>
                <w:b/>
                <w:bCs/>
                <w:color w:val="000000"/>
                <w:sz w:val="24"/>
                <w:szCs w:val="24"/>
                <w:lang w:eastAsia="fr-FR"/>
              </w:rPr>
            </w:pPr>
            <w:r w:rsidRPr="00460F5E">
              <w:rPr>
                <w:rFonts w:eastAsia="Times New Roman" w:cs="Tahoma"/>
                <w:b/>
                <w:bCs/>
                <w:color w:val="000000"/>
                <w:sz w:val="24"/>
                <w:szCs w:val="24"/>
                <w:lang w:eastAsia="fr-FR"/>
              </w:rPr>
              <w:t> </w:t>
            </w:r>
          </w:p>
        </w:tc>
        <w:tc>
          <w:tcPr>
            <w:tcW w:w="1134" w:type="dxa"/>
            <w:tcBorders>
              <w:top w:val="nil"/>
              <w:left w:val="nil"/>
              <w:bottom w:val="single" w:sz="8" w:space="0" w:color="99B2C7"/>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(DHS 2012)</w:t>
            </w:r>
          </w:p>
        </w:tc>
        <w:tc>
          <w:tcPr>
            <w:tcW w:w="1275" w:type="dxa"/>
            <w:tcBorders>
              <w:top w:val="nil"/>
              <w:left w:val="nil"/>
              <w:bottom w:val="single" w:sz="8" w:space="0" w:color="99B2C7"/>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0"/>
                <w:szCs w:val="20"/>
                <w:lang w:eastAsia="fr-FR"/>
              </w:rPr>
            </w:pPr>
            <w:r w:rsidRPr="00460F5E">
              <w:rPr>
                <w:rFonts w:eastAsia="Times New Roman" w:cs="Tahoma"/>
                <w:color w:val="000000"/>
                <w:sz w:val="20"/>
                <w:szCs w:val="20"/>
                <w:lang w:eastAsia="fr-FR"/>
              </w:rPr>
              <w:t>(WHO 2016)</w:t>
            </w:r>
          </w:p>
        </w:tc>
        <w:tc>
          <w:tcPr>
            <w:tcW w:w="1560" w:type="dxa"/>
            <w:tcBorders>
              <w:top w:val="nil"/>
              <w:left w:val="nil"/>
              <w:bottom w:val="single" w:sz="8" w:space="0" w:color="99B2C7"/>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p>
        </w:tc>
        <w:tc>
          <w:tcPr>
            <w:tcW w:w="1417" w:type="dxa"/>
            <w:tcBorders>
              <w:top w:val="nil"/>
              <w:left w:val="nil"/>
              <w:bottom w:val="single" w:sz="8" w:space="0" w:color="99B2C7"/>
              <w:right w:val="nil"/>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(DHS 2012)</w:t>
            </w:r>
          </w:p>
        </w:tc>
        <w:tc>
          <w:tcPr>
            <w:tcW w:w="1134" w:type="dxa"/>
            <w:tcBorders>
              <w:top w:val="nil"/>
              <w:left w:val="single" w:sz="8" w:space="0" w:color="99B2C7"/>
              <w:bottom w:val="single" w:sz="8" w:space="0" w:color="99B2C7"/>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p>
        </w:tc>
        <w:tc>
          <w:tcPr>
            <w:tcW w:w="1418" w:type="dxa"/>
            <w:tcBorders>
              <w:top w:val="nil"/>
              <w:left w:val="nil"/>
              <w:bottom w:val="single" w:sz="8" w:space="0" w:color="99B2C7"/>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rPr>
                <w:rFonts w:eastAsia="Times New Roman" w:cs="Tahoma"/>
                <w:color w:val="000000"/>
                <w:sz w:val="24"/>
                <w:szCs w:val="24"/>
                <w:lang w:eastAsia="fr-FR"/>
              </w:rPr>
            </w:pPr>
            <w:r w:rsidRPr="00460F5E">
              <w:rPr>
                <w:rFonts w:eastAsia="Times New Roman" w:cs="Tahoma"/>
                <w:color w:val="000000"/>
                <w:sz w:val="24"/>
                <w:szCs w:val="24"/>
                <w:lang w:eastAsia="fr-FR"/>
              </w:rPr>
              <w:t> </w:t>
            </w:r>
          </w:p>
        </w:tc>
      </w:tr>
      <w:tr w:rsidR="005C0293" w:rsidRPr="00460F5E" w:rsidTr="00251A8E">
        <w:trPr>
          <w:trHeight w:val="645"/>
        </w:trPr>
        <w:tc>
          <w:tcPr>
            <w:tcW w:w="1695" w:type="dxa"/>
            <w:tcBorders>
              <w:top w:val="single" w:sz="8" w:space="0" w:color="99B2C7"/>
              <w:left w:val="single" w:sz="8" w:space="0" w:color="99B2C7"/>
              <w:bottom w:val="single" w:sz="8" w:space="0" w:color="99B2C7"/>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rPr>
                <w:rFonts w:eastAsia="Times New Roman" w:cs="Tahoma"/>
                <w:b/>
                <w:bCs/>
                <w:color w:val="000000"/>
                <w:sz w:val="24"/>
                <w:szCs w:val="24"/>
                <w:lang w:eastAsia="fr-FR"/>
              </w:rPr>
            </w:pPr>
            <w:r w:rsidRPr="00460F5E">
              <w:rPr>
                <w:rFonts w:eastAsia="Times New Roman" w:cs="Tahoma"/>
                <w:b/>
                <w:bCs/>
                <w:color w:val="000000"/>
                <w:sz w:val="24"/>
                <w:szCs w:val="24"/>
                <w:lang w:eastAsia="fr-FR"/>
              </w:rPr>
              <w:t>Above Allocation Funding Request</w:t>
            </w:r>
          </w:p>
        </w:tc>
        <w:tc>
          <w:tcPr>
            <w:tcW w:w="1134" w:type="dxa"/>
            <w:tcBorders>
              <w:top w:val="single" w:sz="8" w:space="0" w:color="99B2C7"/>
              <w:left w:val="nil"/>
              <w:bottom w:val="single" w:sz="8" w:space="0" w:color="99B2C7"/>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 </w:t>
            </w:r>
          </w:p>
        </w:tc>
        <w:tc>
          <w:tcPr>
            <w:tcW w:w="1275" w:type="dxa"/>
            <w:tcBorders>
              <w:top w:val="single" w:sz="8" w:space="0" w:color="99B2C7"/>
              <w:left w:val="nil"/>
              <w:bottom w:val="single" w:sz="8" w:space="0" w:color="99B2C7"/>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eastAsia="fr-FR"/>
              </w:rPr>
              <w:t>2.4 Mill</w:t>
            </w:r>
          </w:p>
        </w:tc>
        <w:tc>
          <w:tcPr>
            <w:tcW w:w="1560" w:type="dxa"/>
            <w:tcBorders>
              <w:top w:val="single" w:sz="8" w:space="0" w:color="99B2C7"/>
              <w:left w:val="nil"/>
              <w:bottom w:val="single" w:sz="8" w:space="0" w:color="99B2C7"/>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 </w:t>
            </w:r>
          </w:p>
        </w:tc>
        <w:tc>
          <w:tcPr>
            <w:tcW w:w="1417" w:type="dxa"/>
            <w:tcBorders>
              <w:top w:val="single" w:sz="8" w:space="0" w:color="99B2C7"/>
              <w:left w:val="nil"/>
              <w:bottom w:val="single" w:sz="8" w:space="0" w:color="99B2C7"/>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 </w:t>
            </w:r>
          </w:p>
        </w:tc>
        <w:tc>
          <w:tcPr>
            <w:tcW w:w="1134" w:type="dxa"/>
            <w:tcBorders>
              <w:top w:val="single" w:sz="8" w:space="0" w:color="99B2C7"/>
              <w:left w:val="nil"/>
              <w:bottom w:val="single" w:sz="8" w:space="0" w:color="99B2C7"/>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 </w:t>
            </w:r>
          </w:p>
        </w:tc>
        <w:tc>
          <w:tcPr>
            <w:tcW w:w="1418" w:type="dxa"/>
            <w:tcBorders>
              <w:top w:val="single" w:sz="8" w:space="0" w:color="99B2C7"/>
              <w:left w:val="nil"/>
              <w:bottom w:val="single" w:sz="8" w:space="0" w:color="99B2C7"/>
              <w:right w:val="single" w:sz="8" w:space="0" w:color="99B2C7"/>
            </w:tcBorders>
            <w:shd w:val="clear" w:color="000000" w:fill="DBE5F1" w:themeFill="accent1" w:themeFillTint="33"/>
            <w:vAlign w:val="center"/>
            <w:hideMark/>
          </w:tcPr>
          <w:p w:rsidR="005C0293" w:rsidRPr="00460F5E" w:rsidRDefault="005C0293" w:rsidP="00460F5E">
            <w:pPr>
              <w:spacing w:after="0" w:line="240" w:lineRule="auto"/>
              <w:jc w:val="center"/>
              <w:rPr>
                <w:rFonts w:eastAsia="Times New Roman" w:cs="Tahoma"/>
                <w:color w:val="000000"/>
                <w:sz w:val="24"/>
                <w:szCs w:val="24"/>
                <w:lang w:eastAsia="fr-FR"/>
              </w:rPr>
            </w:pPr>
            <w:r w:rsidRPr="00460F5E">
              <w:rPr>
                <w:rFonts w:eastAsia="Times New Roman" w:cs="Tahoma"/>
                <w:color w:val="000000"/>
                <w:sz w:val="24"/>
                <w:szCs w:val="24"/>
                <w:lang w:eastAsia="fr-FR"/>
              </w:rPr>
              <w:t> </w:t>
            </w:r>
          </w:p>
        </w:tc>
      </w:tr>
      <w:tr w:rsidR="005C0293" w:rsidRPr="00460F5E" w:rsidTr="00251A8E">
        <w:trPr>
          <w:trHeight w:val="330"/>
        </w:trPr>
        <w:tc>
          <w:tcPr>
            <w:tcW w:w="1695" w:type="dxa"/>
            <w:tcBorders>
              <w:top w:val="nil"/>
              <w:left w:val="single" w:sz="8" w:space="0" w:color="99B2C7"/>
              <w:bottom w:val="single" w:sz="8" w:space="0" w:color="99B2C7"/>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rPr>
                <w:rFonts w:eastAsia="Times New Roman" w:cs="Tahoma"/>
                <w:b/>
                <w:bCs/>
                <w:color w:val="000000"/>
                <w:sz w:val="24"/>
                <w:szCs w:val="24"/>
                <w:lang w:eastAsia="fr-FR"/>
              </w:rPr>
            </w:pPr>
            <w:r w:rsidRPr="00460F5E">
              <w:rPr>
                <w:rFonts w:eastAsia="Times New Roman" w:cs="Tahoma"/>
                <w:b/>
                <w:bCs/>
                <w:color w:val="000000"/>
                <w:sz w:val="24"/>
                <w:szCs w:val="24"/>
                <w:lang w:eastAsia="fr-FR"/>
              </w:rPr>
              <w:t>Contrepartie d'état</w:t>
            </w:r>
          </w:p>
        </w:tc>
        <w:tc>
          <w:tcPr>
            <w:tcW w:w="7938" w:type="dxa"/>
            <w:gridSpan w:val="6"/>
            <w:tcBorders>
              <w:top w:val="single" w:sz="8" w:space="0" w:color="99B2C7"/>
              <w:left w:val="nil"/>
              <w:bottom w:val="single" w:sz="8" w:space="0" w:color="99B2C7"/>
              <w:right w:val="single" w:sz="8" w:space="0" w:color="99B2C7"/>
            </w:tcBorders>
            <w:shd w:val="clear" w:color="000000" w:fill="B8CCE4" w:themeFill="accent1" w:themeFillTint="66"/>
            <w:vAlign w:val="center"/>
            <w:hideMark/>
          </w:tcPr>
          <w:p w:rsidR="005C0293" w:rsidRPr="00460F5E" w:rsidRDefault="005C0293" w:rsidP="00460F5E">
            <w:pPr>
              <w:spacing w:after="0" w:line="240" w:lineRule="auto"/>
              <w:jc w:val="center"/>
              <w:rPr>
                <w:rFonts w:eastAsia="Times New Roman" w:cs="Tahoma"/>
                <w:b/>
                <w:bCs/>
                <w:color w:val="000000"/>
                <w:sz w:val="24"/>
                <w:szCs w:val="24"/>
                <w:lang w:eastAsia="fr-FR"/>
              </w:rPr>
            </w:pPr>
            <w:r w:rsidRPr="00460F5E">
              <w:rPr>
                <w:rFonts w:eastAsia="Times New Roman" w:cs="Tahoma"/>
                <w:b/>
                <w:bCs/>
                <w:color w:val="000000"/>
                <w:sz w:val="24"/>
                <w:szCs w:val="24"/>
                <w:lang w:eastAsia="fr-FR"/>
              </w:rPr>
              <w:t>% théorique demandé au gouvernement Guinéen : 15 % = 16 018 148 $</w:t>
            </w:r>
          </w:p>
        </w:tc>
      </w:tr>
    </w:tbl>
    <w:p w:rsidR="00D156C6" w:rsidRPr="00460F5E" w:rsidRDefault="00D156C6" w:rsidP="00460F5E"/>
    <w:p w:rsidR="007E23AB" w:rsidRPr="00460F5E" w:rsidRDefault="00D156C6" w:rsidP="00460F5E">
      <w:pPr>
        <w:pStyle w:val="Titre4"/>
        <w:rPr>
          <w:rFonts w:ascii="Rockwell" w:hAnsi="Rockwell"/>
        </w:rPr>
      </w:pPr>
      <w:r w:rsidRPr="00460F5E">
        <w:rPr>
          <w:rFonts w:ascii="Rockwell" w:hAnsi="Rockwell"/>
        </w:rPr>
        <w:lastRenderedPageBreak/>
        <w:t>Graph.</w:t>
      </w:r>
      <w:r w:rsidR="00B81DEF" w:rsidRPr="00460F5E">
        <w:rPr>
          <w:rFonts w:ascii="Rockwell" w:hAnsi="Rockwell"/>
        </w:rPr>
        <w:t xml:space="preserve"> </w:t>
      </w:r>
      <w:r w:rsidRPr="00460F5E">
        <w:rPr>
          <w:rFonts w:ascii="Rockwell" w:hAnsi="Rockwell"/>
        </w:rPr>
        <w:t xml:space="preserve">1 La subvention VIH « Traitement &amp; soins » versus </w:t>
      </w:r>
      <w:r w:rsidR="007E23AB" w:rsidRPr="00460F5E">
        <w:rPr>
          <w:rFonts w:ascii="Rockwell" w:hAnsi="Rockwell"/>
        </w:rPr>
        <w:t>les autres</w:t>
      </w:r>
    </w:p>
    <w:p w:rsidR="007E23AB" w:rsidRPr="00460F5E" w:rsidRDefault="007E23AB" w:rsidP="00460F5E">
      <w:pPr>
        <w:rPr>
          <w:rFonts w:cs="Tahoma"/>
          <w:b/>
          <w:bCs/>
        </w:rPr>
      </w:pPr>
      <w:r w:rsidRPr="00460F5E">
        <w:rPr>
          <w:rFonts w:cs="Tahoma"/>
          <w:noProof/>
          <w:lang w:eastAsia="fr-FR"/>
        </w:rPr>
        <w:drawing>
          <wp:inline distT="0" distB="0" distL="0" distR="0" wp14:anchorId="0964B8D4" wp14:editId="78135AD4">
            <wp:extent cx="5972810" cy="2021840"/>
            <wp:effectExtent l="0" t="0" r="889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72810" cy="2021840"/>
                    </a:xfrm>
                    <a:prstGeom prst="rect">
                      <a:avLst/>
                    </a:prstGeom>
                  </pic:spPr>
                </pic:pic>
              </a:graphicData>
            </a:graphic>
          </wp:inline>
        </w:drawing>
      </w:r>
    </w:p>
    <w:p w:rsidR="007E23AB" w:rsidRPr="00460F5E" w:rsidRDefault="007E23AB" w:rsidP="00460F5E"/>
    <w:p w:rsidR="00C647D1" w:rsidRPr="00460F5E" w:rsidRDefault="00B81DEF" w:rsidP="00460F5E">
      <w:pPr>
        <w:pStyle w:val="Titre4"/>
        <w:rPr>
          <w:rFonts w:ascii="Rockwell" w:hAnsi="Rockwell"/>
        </w:rPr>
      </w:pPr>
      <w:r w:rsidRPr="00460F5E">
        <w:rPr>
          <w:rFonts w:ascii="Rockwell" w:hAnsi="Rockwell"/>
        </w:rPr>
        <w:t xml:space="preserve">Graph. </w:t>
      </w:r>
      <w:r w:rsidR="00D156C6" w:rsidRPr="00460F5E">
        <w:rPr>
          <w:rFonts w:ascii="Rockwell" w:hAnsi="Rockwell"/>
        </w:rPr>
        <w:t xml:space="preserve">2 </w:t>
      </w:r>
      <w:r w:rsidR="00C647D1" w:rsidRPr="00460F5E">
        <w:rPr>
          <w:rFonts w:ascii="Rockwell" w:hAnsi="Rockwell"/>
        </w:rPr>
        <w:t>Plan International : Proportion du budget par composante</w:t>
      </w:r>
      <w:r w:rsidR="00D156C6" w:rsidRPr="00460F5E">
        <w:rPr>
          <w:rFonts w:ascii="Rockwell" w:hAnsi="Rockwell"/>
        </w:rPr>
        <w:t xml:space="preserve"> (TB et VIH volet commnautaire)</w:t>
      </w:r>
    </w:p>
    <w:p w:rsidR="00C647D1" w:rsidRPr="00460F5E" w:rsidRDefault="00C647D1" w:rsidP="00460F5E">
      <w:pPr>
        <w:jc w:val="center"/>
        <w:rPr>
          <w:rFonts w:cs="Tahoma"/>
        </w:rPr>
      </w:pPr>
      <w:r w:rsidRPr="00460F5E">
        <w:rPr>
          <w:rFonts w:cs="Tahoma"/>
          <w:noProof/>
          <w:lang w:eastAsia="fr-FR"/>
        </w:rPr>
        <w:drawing>
          <wp:inline distT="0" distB="0" distL="0" distR="0" wp14:anchorId="1990719A" wp14:editId="5562DAB7">
            <wp:extent cx="5406887" cy="1777386"/>
            <wp:effectExtent l="0" t="0" r="381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06887" cy="1777386"/>
                    </a:xfrm>
                    <a:prstGeom prst="rect">
                      <a:avLst/>
                    </a:prstGeom>
                  </pic:spPr>
                </pic:pic>
              </a:graphicData>
            </a:graphic>
          </wp:inline>
        </w:drawing>
      </w:r>
    </w:p>
    <w:p w:rsidR="00911E81" w:rsidRPr="00460F5E" w:rsidRDefault="00F0549D" w:rsidP="00F0549D">
      <w:pPr>
        <w:pStyle w:val="Titre1"/>
        <w:rPr>
          <w:rFonts w:ascii="Rockwell" w:hAnsi="Rockwell" w:cs="Tahoma"/>
        </w:rPr>
      </w:pPr>
      <w:bookmarkStart w:id="21" w:name="_Toc513041119"/>
      <w:bookmarkStart w:id="22" w:name="_Toc513044539"/>
      <w:bookmarkStart w:id="23" w:name="_Toc514049501"/>
      <w:r>
        <w:rPr>
          <w:rFonts w:ascii="Rockwell" w:hAnsi="Rockwell" w:cs="Tahoma"/>
        </w:rPr>
        <w:t xml:space="preserve">II. </w:t>
      </w:r>
      <w:r w:rsidR="00911E81" w:rsidRPr="00460F5E">
        <w:rPr>
          <w:rFonts w:ascii="Rockwell" w:hAnsi="Rockwell" w:cs="Tahoma"/>
        </w:rPr>
        <w:t>Cartographie - modalités de mise en œuvre subvention (2018 – 20)</w:t>
      </w:r>
      <w:bookmarkEnd w:id="21"/>
      <w:bookmarkEnd w:id="22"/>
      <w:bookmarkEnd w:id="23"/>
    </w:p>
    <w:p w:rsidR="00911E81" w:rsidRPr="00460F5E" w:rsidRDefault="00B81DEF" w:rsidP="00460F5E">
      <w:pPr>
        <w:rPr>
          <w:rFonts w:cs="Tahoma"/>
          <w:sz w:val="24"/>
          <w:szCs w:val="24"/>
        </w:rPr>
      </w:pPr>
      <w:r w:rsidRPr="00460F5E">
        <w:rPr>
          <w:rFonts w:cs="Tahoma"/>
          <w:sz w:val="24"/>
          <w:szCs w:val="24"/>
        </w:rPr>
        <w:t>En T-1 2018 t</w:t>
      </w:r>
      <w:r w:rsidR="00911E81" w:rsidRPr="00460F5E">
        <w:rPr>
          <w:rFonts w:cs="Tahoma"/>
          <w:sz w:val="24"/>
          <w:szCs w:val="24"/>
        </w:rPr>
        <w:t>outes les PR en exception de CRS étaient</w:t>
      </w:r>
      <w:r w:rsidRPr="00460F5E">
        <w:rPr>
          <w:rFonts w:cs="Tahoma"/>
          <w:sz w:val="24"/>
          <w:szCs w:val="24"/>
        </w:rPr>
        <w:t xml:space="preserve"> </w:t>
      </w:r>
      <w:r w:rsidR="00911E81" w:rsidRPr="00460F5E">
        <w:rPr>
          <w:rFonts w:cs="Tahoma"/>
          <w:sz w:val="24"/>
          <w:szCs w:val="24"/>
        </w:rPr>
        <w:t>encore en processus de recrutement des SR/SSR. Les SR/SSR de CRS avaient été reconduite.</w:t>
      </w:r>
    </w:p>
    <w:p w:rsidR="003A47E5" w:rsidRPr="00460F5E" w:rsidRDefault="003A47E5" w:rsidP="00460F5E">
      <w:pPr>
        <w:pStyle w:val="Titre1"/>
        <w:numPr>
          <w:ilvl w:val="0"/>
          <w:numId w:val="71"/>
        </w:numPr>
      </w:pPr>
      <w:bookmarkStart w:id="24" w:name="_Toc513041120"/>
      <w:bookmarkStart w:id="25" w:name="_Toc513044540"/>
      <w:bookmarkStart w:id="26" w:name="_Toc514049502"/>
      <w:r w:rsidRPr="00460F5E">
        <w:t>PNPCSP</w:t>
      </w:r>
      <w:bookmarkEnd w:id="24"/>
      <w:bookmarkEnd w:id="25"/>
      <w:bookmarkEnd w:id="26"/>
    </w:p>
    <w:p w:rsidR="00951592" w:rsidRPr="00460F5E" w:rsidRDefault="003A47E5" w:rsidP="00460F5E">
      <w:pPr>
        <w:pStyle w:val="Titre2"/>
        <w:numPr>
          <w:ilvl w:val="1"/>
          <w:numId w:val="71"/>
        </w:numPr>
      </w:pPr>
      <w:bookmarkStart w:id="27" w:name="_Toc513041121"/>
      <w:bookmarkStart w:id="28" w:name="_Toc513044541"/>
      <w:bookmarkStart w:id="29" w:name="_Toc514049503"/>
      <w:r w:rsidRPr="00460F5E">
        <w:t>Description intégrée de la subvention</w:t>
      </w:r>
      <w:bookmarkEnd w:id="27"/>
      <w:bookmarkEnd w:id="28"/>
      <w:bookmarkEnd w:id="29"/>
    </w:p>
    <w:p w:rsidR="003A47E5" w:rsidRPr="00460F5E" w:rsidRDefault="003A47E5" w:rsidP="00460F5E">
      <w:r w:rsidRPr="00460F5E">
        <w:rPr>
          <w:b/>
        </w:rPr>
        <w:t>Intitulé du programme :</w:t>
      </w:r>
      <w:r w:rsidRPr="00460F5E">
        <w:t xml:space="preserve"> Programme visant à renforcer et à décentraliser la riposte nationale aux infections sexuellement transmissibles et au VIH pour un accès universel en République de Guinée</w:t>
      </w:r>
    </w:p>
    <w:p w:rsidR="003A47E5" w:rsidRPr="00460F5E" w:rsidRDefault="003A47E5" w:rsidP="00460F5E">
      <w:r w:rsidRPr="00460F5E">
        <w:rPr>
          <w:b/>
        </w:rPr>
        <w:t>Nom de la subvention :</w:t>
      </w:r>
      <w:r w:rsidRPr="00460F5E">
        <w:t xml:space="preserve"> GIN-H-MOH</w:t>
      </w:r>
    </w:p>
    <w:p w:rsidR="003A47E5" w:rsidRPr="00460F5E" w:rsidRDefault="003A47E5" w:rsidP="00460F5E">
      <w:r w:rsidRPr="00460F5E">
        <w:rPr>
          <w:b/>
        </w:rPr>
        <w:t>Numéro de l’accord de subvention :</w:t>
      </w:r>
      <w:r w:rsidRPr="00460F5E">
        <w:t xml:space="preserve"> 1651</w:t>
      </w:r>
    </w:p>
    <w:p w:rsidR="003A47E5" w:rsidRPr="00460F5E" w:rsidRDefault="003A47E5" w:rsidP="00460F5E">
      <w:r w:rsidRPr="00460F5E">
        <w:rPr>
          <w:b/>
        </w:rPr>
        <w:t>Composante (maladie) :</w:t>
      </w:r>
      <w:r w:rsidRPr="00460F5E">
        <w:t xml:space="preserve"> VIH et sida</w:t>
      </w:r>
      <w:r w:rsidR="00A21DAD" w:rsidRPr="00460F5E">
        <w:t xml:space="preserve"> (Prise en charge et soins)</w:t>
      </w:r>
    </w:p>
    <w:p w:rsidR="003A47E5" w:rsidRPr="00460F5E" w:rsidRDefault="003A47E5" w:rsidP="00460F5E">
      <w:r w:rsidRPr="00460F5E">
        <w:rPr>
          <w:b/>
        </w:rPr>
        <w:t>Récipiendaire principal :</w:t>
      </w:r>
      <w:r w:rsidRPr="00460F5E">
        <w:t xml:space="preserve"> Ministère de la santé publique de la République de Guinée</w:t>
      </w:r>
    </w:p>
    <w:p w:rsidR="00090D4D" w:rsidRPr="00460F5E" w:rsidRDefault="00090D4D" w:rsidP="00460F5E">
      <w:pPr>
        <w:spacing w:after="0"/>
        <w:rPr>
          <w:rFonts w:cs="Tahoma"/>
        </w:rPr>
      </w:pPr>
      <w:r w:rsidRPr="00460F5E">
        <w:rPr>
          <w:rFonts w:cs="Tahoma"/>
          <w:b/>
        </w:rPr>
        <w:lastRenderedPageBreak/>
        <w:t>Fonds de la subvention :</w:t>
      </w:r>
      <w:r w:rsidRPr="00460F5E">
        <w:rPr>
          <w:rFonts w:cs="Tahoma"/>
        </w:rPr>
        <w:t xml:space="preserve"> Jusqu’à 33 573 749,00 dollars US ou son équivalent dans d'autres monnaies.</w:t>
      </w:r>
    </w:p>
    <w:p w:rsidR="00090D4D" w:rsidRPr="00460F5E" w:rsidRDefault="00090D4D" w:rsidP="00460F5E">
      <w:pPr>
        <w:spacing w:after="0"/>
        <w:rPr>
          <w:rFonts w:cs="Tahoma"/>
        </w:rPr>
      </w:pPr>
      <w:r w:rsidRPr="00460F5E">
        <w:rPr>
          <w:rFonts w:cs="Tahoma"/>
          <w:b/>
        </w:rPr>
        <w:t>Période de mise en oeuvre :</w:t>
      </w:r>
      <w:r w:rsidRPr="00460F5E">
        <w:rPr>
          <w:rFonts w:cs="Tahoma"/>
        </w:rPr>
        <w:t xml:space="preserve"> Du 1er janvier 2018 au 31 décembre 2020 (inclus)</w:t>
      </w:r>
    </w:p>
    <w:p w:rsidR="00090D4D" w:rsidRPr="00460F5E" w:rsidRDefault="00090D4D" w:rsidP="00460F5E"/>
    <w:p w:rsidR="00D07FE8" w:rsidRPr="00460F5E" w:rsidRDefault="00D07FE8" w:rsidP="00460F5E">
      <w:pPr>
        <w:pStyle w:val="Titre2"/>
        <w:numPr>
          <w:ilvl w:val="1"/>
          <w:numId w:val="71"/>
        </w:numPr>
        <w:rPr>
          <w:rFonts w:eastAsia="Times New Roman"/>
          <w:lang w:eastAsia="fr-FR"/>
        </w:rPr>
      </w:pPr>
      <w:bookmarkStart w:id="30" w:name="_Toc513041122"/>
      <w:bookmarkStart w:id="31" w:name="_Toc513044542"/>
      <w:bookmarkStart w:id="32" w:name="_Toc514049504"/>
      <w:r w:rsidRPr="00460F5E">
        <w:t xml:space="preserve">Répartition entre volet </w:t>
      </w:r>
      <w:r w:rsidRPr="00460F5E">
        <w:rPr>
          <w:rFonts w:eastAsia="Times New Roman"/>
          <w:lang w:eastAsia="fr-FR"/>
        </w:rPr>
        <w:t>traitement et soins et Prévention</w:t>
      </w:r>
      <w:bookmarkEnd w:id="30"/>
      <w:bookmarkEnd w:id="31"/>
      <w:bookmarkEnd w:id="32"/>
    </w:p>
    <w:tbl>
      <w:tblPr>
        <w:tblW w:w="9491" w:type="dxa"/>
        <w:tblInd w:w="-65" w:type="dxa"/>
        <w:tblCellMar>
          <w:left w:w="70" w:type="dxa"/>
          <w:right w:w="70" w:type="dxa"/>
        </w:tblCellMar>
        <w:tblLook w:val="0420" w:firstRow="1" w:lastRow="0" w:firstColumn="0" w:lastColumn="0" w:noHBand="0" w:noVBand="1"/>
      </w:tblPr>
      <w:tblGrid>
        <w:gridCol w:w="3396"/>
        <w:gridCol w:w="2693"/>
        <w:gridCol w:w="1134"/>
        <w:gridCol w:w="2268"/>
      </w:tblGrid>
      <w:tr w:rsidR="00D07FE8" w:rsidRPr="00460F5E" w:rsidTr="00C7229B">
        <w:trPr>
          <w:trHeight w:val="315"/>
        </w:trPr>
        <w:tc>
          <w:tcPr>
            <w:tcW w:w="3396" w:type="dxa"/>
            <w:tcBorders>
              <w:top w:val="single" w:sz="8" w:space="0" w:color="FFFFFF"/>
              <w:left w:val="single" w:sz="8" w:space="0" w:color="FFFFFF"/>
              <w:bottom w:val="single" w:sz="12" w:space="0" w:color="FFFFFF"/>
              <w:right w:val="single" w:sz="8" w:space="0" w:color="FFFFFF"/>
            </w:tcBorders>
            <w:shd w:val="clear" w:color="000000" w:fill="01D17D"/>
            <w:hideMark/>
          </w:tcPr>
          <w:p w:rsidR="00D07FE8" w:rsidRPr="00460F5E" w:rsidRDefault="00D07FE8"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 </w:t>
            </w:r>
          </w:p>
        </w:tc>
        <w:tc>
          <w:tcPr>
            <w:tcW w:w="2693" w:type="dxa"/>
            <w:tcBorders>
              <w:top w:val="single" w:sz="8" w:space="0" w:color="FFFFFF"/>
              <w:left w:val="nil"/>
              <w:bottom w:val="single" w:sz="12" w:space="0" w:color="FFFFFF"/>
              <w:right w:val="single" w:sz="8" w:space="0" w:color="FFFFFF"/>
            </w:tcBorders>
            <w:shd w:val="clear" w:color="000000" w:fill="01D17D"/>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VOLET TRAITEMENT ET SOINS</w:t>
            </w:r>
          </w:p>
        </w:tc>
        <w:tc>
          <w:tcPr>
            <w:tcW w:w="1134" w:type="dxa"/>
            <w:tcBorders>
              <w:top w:val="single" w:sz="8" w:space="0" w:color="FFFFFF"/>
              <w:left w:val="nil"/>
              <w:bottom w:val="single" w:sz="12" w:space="0" w:color="FFFFFF"/>
              <w:right w:val="single" w:sz="8" w:space="0" w:color="FFFFFF"/>
            </w:tcBorders>
            <w:shd w:val="clear" w:color="000000" w:fill="01D17D"/>
            <w:vAlign w:val="center"/>
            <w:hideMark/>
          </w:tcPr>
          <w:p w:rsidR="00D07FE8" w:rsidRPr="00460F5E" w:rsidRDefault="00D07FE8" w:rsidP="00460F5E">
            <w:pPr>
              <w:spacing w:after="0" w:line="240" w:lineRule="auto"/>
              <w:jc w:val="center"/>
              <w:rPr>
                <w:rFonts w:eastAsia="Times New Roman" w:cs="Tahoma"/>
                <w:b/>
                <w:bCs/>
                <w:color w:val="000000"/>
                <w:lang w:eastAsia="fr-FR"/>
              </w:rPr>
            </w:pPr>
            <w:r w:rsidRPr="00460F5E">
              <w:rPr>
                <w:rFonts w:eastAsia="Times New Roman" w:cs="Tahoma"/>
                <w:b/>
                <w:bCs/>
                <w:color w:val="000000"/>
                <w:lang w:eastAsia="fr-FR"/>
              </w:rPr>
              <w:t>%</w:t>
            </w:r>
          </w:p>
        </w:tc>
        <w:tc>
          <w:tcPr>
            <w:tcW w:w="2268" w:type="dxa"/>
            <w:tcBorders>
              <w:top w:val="single" w:sz="8" w:space="0" w:color="FFFFFF"/>
              <w:left w:val="nil"/>
              <w:bottom w:val="single" w:sz="12" w:space="0" w:color="FFFFFF"/>
              <w:right w:val="single" w:sz="8" w:space="0" w:color="FFFFFF"/>
            </w:tcBorders>
            <w:shd w:val="clear" w:color="000000" w:fill="01D17D"/>
            <w:vAlign w:val="center"/>
            <w:hideMark/>
          </w:tcPr>
          <w:p w:rsidR="00D07FE8" w:rsidRPr="00460F5E" w:rsidRDefault="00D07FE8" w:rsidP="00460F5E">
            <w:pPr>
              <w:spacing w:after="0" w:line="240" w:lineRule="auto"/>
              <w:ind w:firstLineChars="100" w:firstLine="220"/>
              <w:jc w:val="center"/>
              <w:rPr>
                <w:rFonts w:eastAsia="Times New Roman" w:cs="Tahoma"/>
                <w:color w:val="000000"/>
                <w:lang w:eastAsia="fr-FR"/>
              </w:rPr>
            </w:pPr>
            <w:r w:rsidRPr="00460F5E">
              <w:rPr>
                <w:rFonts w:eastAsia="Times New Roman" w:cs="Tahoma"/>
                <w:color w:val="000000"/>
                <w:lang w:eastAsia="fr-FR"/>
              </w:rPr>
              <w:t>VOLET PRÉVENTION</w:t>
            </w:r>
          </w:p>
        </w:tc>
      </w:tr>
      <w:tr w:rsidR="00D07FE8" w:rsidRPr="00460F5E" w:rsidTr="00C7229B">
        <w:trPr>
          <w:trHeight w:val="615"/>
        </w:trPr>
        <w:tc>
          <w:tcPr>
            <w:tcW w:w="3396" w:type="dxa"/>
            <w:tcBorders>
              <w:top w:val="nil"/>
              <w:left w:val="single" w:sz="8" w:space="0" w:color="FFFFFF"/>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rPr>
                <w:rFonts w:eastAsia="Times New Roman" w:cs="Tahoma"/>
                <w:color w:val="000000"/>
                <w:lang w:eastAsia="fr-FR"/>
              </w:rPr>
            </w:pPr>
            <w:r w:rsidRPr="00460F5E">
              <w:rPr>
                <w:rFonts w:eastAsia="Times New Roman" w:cs="Tahoma"/>
                <w:color w:val="000000"/>
                <w:lang w:eastAsia="fr-FR"/>
              </w:rPr>
              <w:t>Montant total subvention (USD): 39 998 457</w:t>
            </w:r>
          </w:p>
        </w:tc>
        <w:tc>
          <w:tcPr>
            <w:tcW w:w="2693"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84%</w:t>
            </w:r>
          </w:p>
        </w:tc>
        <w:tc>
          <w:tcPr>
            <w:tcW w:w="1134"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p>
        </w:tc>
        <w:tc>
          <w:tcPr>
            <w:tcW w:w="2268"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16%</w:t>
            </w:r>
          </w:p>
        </w:tc>
      </w:tr>
      <w:tr w:rsidR="00D07FE8" w:rsidRPr="00460F5E" w:rsidTr="00C7229B">
        <w:trPr>
          <w:trHeight w:val="615"/>
        </w:trPr>
        <w:tc>
          <w:tcPr>
            <w:tcW w:w="3396" w:type="dxa"/>
            <w:tcBorders>
              <w:top w:val="nil"/>
              <w:left w:val="single" w:sz="8" w:space="0" w:color="FFFFFF"/>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rPr>
                <w:rFonts w:eastAsia="Times New Roman" w:cs="Tahoma"/>
                <w:color w:val="000000"/>
                <w:lang w:eastAsia="fr-FR"/>
              </w:rPr>
            </w:pPr>
            <w:r w:rsidRPr="00460F5E">
              <w:rPr>
                <w:rFonts w:eastAsia="Times New Roman" w:cs="Tahoma"/>
                <w:color w:val="000000"/>
                <w:lang w:eastAsia="fr-FR"/>
              </w:rPr>
              <w:t>Montant réparti en fonction des volets</w:t>
            </w:r>
          </w:p>
        </w:tc>
        <w:tc>
          <w:tcPr>
            <w:tcW w:w="2693"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USD 33 798 457</w:t>
            </w:r>
          </w:p>
        </w:tc>
        <w:tc>
          <w:tcPr>
            <w:tcW w:w="1134"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p>
        </w:tc>
        <w:tc>
          <w:tcPr>
            <w:tcW w:w="2268"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USD 6 200 000</w:t>
            </w:r>
          </w:p>
        </w:tc>
      </w:tr>
      <w:tr w:rsidR="00D07FE8" w:rsidRPr="00460F5E" w:rsidTr="00C7229B">
        <w:trPr>
          <w:trHeight w:val="315"/>
        </w:trPr>
        <w:tc>
          <w:tcPr>
            <w:tcW w:w="3396" w:type="dxa"/>
            <w:tcBorders>
              <w:top w:val="nil"/>
              <w:left w:val="single" w:sz="8" w:space="0" w:color="FFFFFF"/>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rPr>
                <w:rFonts w:eastAsia="Times New Roman" w:cs="Tahoma"/>
                <w:color w:val="000000"/>
                <w:lang w:eastAsia="fr-FR"/>
              </w:rPr>
            </w:pPr>
            <w:r w:rsidRPr="00460F5E">
              <w:rPr>
                <w:rFonts w:eastAsia="Times New Roman" w:cs="Tahoma"/>
                <w:color w:val="000000"/>
                <w:lang w:eastAsia="fr-FR"/>
              </w:rPr>
              <w:t>Remboursement (Round antérieur M)</w:t>
            </w:r>
          </w:p>
        </w:tc>
        <w:tc>
          <w:tcPr>
            <w:tcW w:w="2693"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 USD 224 708</w:t>
            </w:r>
          </w:p>
        </w:tc>
        <w:tc>
          <w:tcPr>
            <w:tcW w:w="1134"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p>
        </w:tc>
        <w:tc>
          <w:tcPr>
            <w:tcW w:w="2268"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p>
        </w:tc>
      </w:tr>
      <w:tr w:rsidR="00D07FE8" w:rsidRPr="00460F5E" w:rsidTr="00C7229B">
        <w:trPr>
          <w:trHeight w:val="315"/>
        </w:trPr>
        <w:tc>
          <w:tcPr>
            <w:tcW w:w="3396" w:type="dxa"/>
            <w:tcBorders>
              <w:top w:val="nil"/>
              <w:left w:val="single" w:sz="8" w:space="0" w:color="FFFFFF"/>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rPr>
                <w:rFonts w:eastAsia="Times New Roman" w:cs="Tahoma"/>
                <w:color w:val="000000"/>
                <w:lang w:eastAsia="fr-FR"/>
              </w:rPr>
            </w:pPr>
            <w:r w:rsidRPr="00460F5E">
              <w:rPr>
                <w:rFonts w:eastAsia="Times New Roman" w:cs="Tahoma"/>
                <w:color w:val="000000"/>
                <w:lang w:eastAsia="fr-FR"/>
              </w:rPr>
              <w:t>Montant restant budgétisé</w:t>
            </w:r>
          </w:p>
        </w:tc>
        <w:tc>
          <w:tcPr>
            <w:tcW w:w="2693"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b/>
                <w:bCs/>
                <w:color w:val="000000"/>
                <w:lang w:eastAsia="fr-FR"/>
              </w:rPr>
            </w:pPr>
            <w:r w:rsidRPr="00460F5E">
              <w:rPr>
                <w:rFonts w:eastAsia="Times New Roman" w:cs="Tahoma"/>
                <w:b/>
                <w:bCs/>
                <w:color w:val="000000"/>
                <w:lang w:eastAsia="fr-FR"/>
              </w:rPr>
              <w:t>USD 33 573 749</w:t>
            </w:r>
          </w:p>
        </w:tc>
        <w:tc>
          <w:tcPr>
            <w:tcW w:w="1134"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p>
        </w:tc>
        <w:tc>
          <w:tcPr>
            <w:tcW w:w="2268"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p>
        </w:tc>
      </w:tr>
      <w:tr w:rsidR="00D07FE8" w:rsidRPr="00460F5E" w:rsidTr="00C7229B">
        <w:trPr>
          <w:trHeight w:val="315"/>
        </w:trPr>
        <w:tc>
          <w:tcPr>
            <w:tcW w:w="3396" w:type="dxa"/>
            <w:tcBorders>
              <w:top w:val="nil"/>
              <w:left w:val="single" w:sz="8" w:space="0" w:color="FFFFFF"/>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rPr>
                <w:rFonts w:eastAsia="Times New Roman" w:cs="Tahoma"/>
                <w:color w:val="000000"/>
                <w:lang w:eastAsia="fr-FR"/>
              </w:rPr>
            </w:pPr>
            <w:r w:rsidRPr="00460F5E">
              <w:rPr>
                <w:rFonts w:eastAsia="Arial" w:cs="Tahoma"/>
                <w:color w:val="000000"/>
                <w:lang w:eastAsia="fr-FR"/>
              </w:rPr>
              <w:t>Couts de gestion (en millions d'USD)</w:t>
            </w:r>
          </w:p>
        </w:tc>
        <w:tc>
          <w:tcPr>
            <w:tcW w:w="2693"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6</w:t>
            </w:r>
          </w:p>
        </w:tc>
        <w:tc>
          <w:tcPr>
            <w:tcW w:w="1134"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18%</w:t>
            </w:r>
          </w:p>
        </w:tc>
        <w:tc>
          <w:tcPr>
            <w:tcW w:w="2268"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p>
        </w:tc>
      </w:tr>
      <w:tr w:rsidR="00D07FE8" w:rsidRPr="00460F5E" w:rsidTr="00C7229B">
        <w:trPr>
          <w:trHeight w:val="315"/>
        </w:trPr>
        <w:tc>
          <w:tcPr>
            <w:tcW w:w="3396" w:type="dxa"/>
            <w:tcBorders>
              <w:top w:val="nil"/>
              <w:left w:val="single" w:sz="8" w:space="0" w:color="FFFFFF"/>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rPr>
                <w:rFonts w:eastAsia="Times New Roman" w:cs="Tahoma"/>
                <w:color w:val="000000"/>
                <w:lang w:eastAsia="fr-FR"/>
              </w:rPr>
            </w:pPr>
            <w:r w:rsidRPr="00460F5E">
              <w:rPr>
                <w:rFonts w:eastAsia="Arial" w:cs="Tahoma"/>
                <w:color w:val="000000"/>
                <w:lang w:eastAsia="fr-FR"/>
              </w:rPr>
              <w:t>GAS (en millions d'USD)</w:t>
            </w:r>
          </w:p>
        </w:tc>
        <w:tc>
          <w:tcPr>
            <w:tcW w:w="2693"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21,8</w:t>
            </w:r>
          </w:p>
        </w:tc>
        <w:tc>
          <w:tcPr>
            <w:tcW w:w="1134"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65%</w:t>
            </w:r>
          </w:p>
        </w:tc>
        <w:tc>
          <w:tcPr>
            <w:tcW w:w="2268"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p>
        </w:tc>
      </w:tr>
      <w:tr w:rsidR="00D07FE8" w:rsidRPr="00460F5E" w:rsidTr="00C7229B">
        <w:trPr>
          <w:trHeight w:val="315"/>
        </w:trPr>
        <w:tc>
          <w:tcPr>
            <w:tcW w:w="3396" w:type="dxa"/>
            <w:tcBorders>
              <w:top w:val="nil"/>
              <w:left w:val="single" w:sz="8" w:space="0" w:color="FFFFFF"/>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rPr>
                <w:rFonts w:eastAsia="Times New Roman" w:cs="Tahoma"/>
                <w:color w:val="000000"/>
                <w:lang w:eastAsia="fr-FR"/>
              </w:rPr>
            </w:pPr>
            <w:r w:rsidRPr="00460F5E">
              <w:rPr>
                <w:rFonts w:eastAsia="Arial" w:cs="Tahoma"/>
                <w:color w:val="000000"/>
                <w:lang w:eastAsia="fr-FR"/>
              </w:rPr>
              <w:t>S&amp;E (en millions d'USD)</w:t>
            </w:r>
          </w:p>
        </w:tc>
        <w:tc>
          <w:tcPr>
            <w:tcW w:w="2693"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1,7</w:t>
            </w:r>
          </w:p>
        </w:tc>
        <w:tc>
          <w:tcPr>
            <w:tcW w:w="1134"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5%</w:t>
            </w:r>
          </w:p>
        </w:tc>
        <w:tc>
          <w:tcPr>
            <w:tcW w:w="2268" w:type="dxa"/>
            <w:tcBorders>
              <w:top w:val="nil"/>
              <w:left w:val="nil"/>
              <w:bottom w:val="single" w:sz="8" w:space="0" w:color="FFFFFF"/>
              <w:right w:val="single" w:sz="8" w:space="0" w:color="FFFFFF"/>
            </w:tcBorders>
            <w:shd w:val="clear" w:color="000000" w:fill="E7F7EC"/>
            <w:vAlign w:val="center"/>
            <w:hideMark/>
          </w:tcPr>
          <w:p w:rsidR="00D07FE8" w:rsidRPr="00460F5E" w:rsidRDefault="00D07FE8" w:rsidP="00460F5E">
            <w:pPr>
              <w:spacing w:after="0" w:line="240" w:lineRule="auto"/>
              <w:jc w:val="center"/>
              <w:rPr>
                <w:rFonts w:eastAsia="Times New Roman" w:cs="Tahoma"/>
                <w:color w:val="000000"/>
                <w:lang w:eastAsia="fr-FR"/>
              </w:rPr>
            </w:pPr>
          </w:p>
        </w:tc>
      </w:tr>
      <w:tr w:rsidR="00D07FE8" w:rsidRPr="00460F5E" w:rsidTr="00C7229B">
        <w:trPr>
          <w:trHeight w:val="315"/>
        </w:trPr>
        <w:tc>
          <w:tcPr>
            <w:tcW w:w="3396" w:type="dxa"/>
            <w:tcBorders>
              <w:top w:val="nil"/>
              <w:left w:val="single" w:sz="8" w:space="0" w:color="FFFFFF"/>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Arial" w:cs="Tahoma"/>
                <w:color w:val="000000"/>
                <w:lang w:eastAsia="fr-FR"/>
              </w:rPr>
              <w:t>Autres activités (en millions d'USD)</w:t>
            </w:r>
          </w:p>
        </w:tc>
        <w:tc>
          <w:tcPr>
            <w:tcW w:w="2693"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4,1</w:t>
            </w:r>
          </w:p>
        </w:tc>
        <w:tc>
          <w:tcPr>
            <w:tcW w:w="1134"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12%</w:t>
            </w:r>
          </w:p>
        </w:tc>
        <w:tc>
          <w:tcPr>
            <w:tcW w:w="2268" w:type="dxa"/>
            <w:tcBorders>
              <w:top w:val="nil"/>
              <w:left w:val="nil"/>
              <w:bottom w:val="single" w:sz="8" w:space="0" w:color="FFFFFF"/>
              <w:right w:val="single" w:sz="8" w:space="0" w:color="FFFFFF"/>
            </w:tcBorders>
            <w:shd w:val="clear" w:color="000000" w:fill="CBEED7"/>
            <w:vAlign w:val="center"/>
            <w:hideMark/>
          </w:tcPr>
          <w:p w:rsidR="00D07FE8" w:rsidRPr="00460F5E" w:rsidRDefault="00D07FE8" w:rsidP="00460F5E">
            <w:pPr>
              <w:spacing w:after="0" w:line="240" w:lineRule="auto"/>
              <w:jc w:val="center"/>
              <w:rPr>
                <w:rFonts w:eastAsia="Times New Roman" w:cs="Tahoma"/>
                <w:color w:val="000000"/>
                <w:lang w:eastAsia="fr-FR"/>
              </w:rPr>
            </w:pPr>
          </w:p>
        </w:tc>
      </w:tr>
    </w:tbl>
    <w:p w:rsidR="00D07FE8" w:rsidRPr="00460F5E" w:rsidRDefault="00D07FE8" w:rsidP="00460F5E">
      <w:pPr>
        <w:rPr>
          <w:rFonts w:cs="Tahoma"/>
        </w:rPr>
      </w:pPr>
    </w:p>
    <w:p w:rsidR="003A47E5" w:rsidRPr="00460F5E" w:rsidRDefault="00251A8E" w:rsidP="00460F5E">
      <w:pPr>
        <w:pStyle w:val="Titre2"/>
        <w:numPr>
          <w:ilvl w:val="1"/>
          <w:numId w:val="71"/>
        </w:numPr>
        <w:rPr>
          <w:lang w:val="en-US"/>
        </w:rPr>
      </w:pPr>
      <w:bookmarkStart w:id="33" w:name="_Toc513041123"/>
      <w:bookmarkStart w:id="34" w:name="_Toc513044543"/>
      <w:r w:rsidRPr="00460F5E">
        <w:rPr>
          <w:lang w:val="en-US"/>
        </w:rPr>
        <w:t xml:space="preserve"> </w:t>
      </w:r>
      <w:bookmarkStart w:id="35" w:name="_Toc514049505"/>
      <w:r w:rsidRPr="00460F5E">
        <w:rPr>
          <w:lang w:val="en-US"/>
        </w:rPr>
        <w:t>Cartographie - PR</w:t>
      </w:r>
      <w:r w:rsidR="003A47E5" w:rsidRPr="00460F5E">
        <w:rPr>
          <w:lang w:val="en-US"/>
        </w:rPr>
        <w:t xml:space="preserve"> Mapping</w:t>
      </w:r>
      <w:bookmarkEnd w:id="33"/>
      <w:bookmarkEnd w:id="34"/>
      <w:bookmarkEnd w:id="35"/>
    </w:p>
    <w:p w:rsidR="003A47E5" w:rsidRPr="00460F5E" w:rsidRDefault="003A47E5" w:rsidP="00460F5E">
      <w:pPr>
        <w:rPr>
          <w:rFonts w:cs="Tahoma"/>
        </w:rPr>
      </w:pPr>
      <w:r w:rsidRPr="00460F5E">
        <w:rPr>
          <w:rFonts w:cs="Tahoma"/>
          <w:noProof/>
          <w:lang w:eastAsia="fr-FR"/>
        </w:rPr>
        <w:drawing>
          <wp:inline distT="0" distB="0" distL="0" distR="0" wp14:anchorId="4C6D7A0B" wp14:editId="1EEFD07D">
            <wp:extent cx="5972810" cy="3599815"/>
            <wp:effectExtent l="0" t="0" r="8890" b="635"/>
            <wp:docPr id="8" name="Image 1">
              <a:extLst xmlns:a="http://schemas.openxmlformats.org/drawingml/2006/main">
                <a:ext uri="{FF2B5EF4-FFF2-40B4-BE49-F238E27FC236}">
                  <a16:creationId xmlns:a16="http://schemas.microsoft.com/office/drawing/2014/main" id="{0AC204EF-62E7-451B-B0A3-C80006B782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0AC204EF-62E7-451B-B0A3-C80006B78205}"/>
                        </a:ext>
                      </a:extLst>
                    </pic:cNvPr>
                    <pic:cNvPicPr>
                      <a:picLocks noChangeAspect="1"/>
                    </pic:cNvPicPr>
                  </pic:nvPicPr>
                  <pic:blipFill>
                    <a:blip r:embed="rId10"/>
                    <a:stretch>
                      <a:fillRect/>
                    </a:stretch>
                  </pic:blipFill>
                  <pic:spPr>
                    <a:xfrm>
                      <a:off x="0" y="0"/>
                      <a:ext cx="5972810" cy="3599815"/>
                    </a:xfrm>
                    <a:prstGeom prst="rect">
                      <a:avLst/>
                    </a:prstGeom>
                  </pic:spPr>
                </pic:pic>
              </a:graphicData>
            </a:graphic>
          </wp:inline>
        </w:drawing>
      </w:r>
    </w:p>
    <w:p w:rsidR="003A47E5" w:rsidRPr="00460F5E" w:rsidRDefault="00BD39FF" w:rsidP="00460F5E">
      <w:pPr>
        <w:pStyle w:val="Titre2"/>
        <w:numPr>
          <w:ilvl w:val="1"/>
          <w:numId w:val="71"/>
        </w:numPr>
      </w:pPr>
      <w:bookmarkStart w:id="36" w:name="_Toc513041124"/>
      <w:bookmarkStart w:id="37" w:name="_Toc513044544"/>
      <w:r w:rsidRPr="00460F5E">
        <w:lastRenderedPageBreak/>
        <w:t xml:space="preserve">  </w:t>
      </w:r>
      <w:bookmarkStart w:id="38" w:name="_Toc514049506"/>
      <w:r w:rsidR="003A47E5" w:rsidRPr="00460F5E">
        <w:t xml:space="preserve">Acteurs de mise en </w:t>
      </w:r>
      <w:bookmarkEnd w:id="36"/>
      <w:bookmarkEnd w:id="37"/>
      <w:r w:rsidRPr="00460F5E">
        <w:t>œuvre</w:t>
      </w:r>
      <w:bookmarkEnd w:id="38"/>
    </w:p>
    <w:p w:rsidR="003A47E5" w:rsidRPr="00460F5E" w:rsidRDefault="003A47E5" w:rsidP="00460F5E">
      <w:pPr>
        <w:pStyle w:val="Paragraphedeliste"/>
        <w:numPr>
          <w:ilvl w:val="0"/>
          <w:numId w:val="18"/>
        </w:numPr>
        <w:rPr>
          <w:rFonts w:cs="Tahoma"/>
        </w:rPr>
      </w:pPr>
      <w:r w:rsidRPr="00460F5E">
        <w:rPr>
          <w:rFonts w:cs="Tahoma"/>
        </w:rPr>
        <w:t>PR</w:t>
      </w:r>
    </w:p>
    <w:p w:rsidR="003A47E5" w:rsidRPr="00460F5E" w:rsidRDefault="003A47E5" w:rsidP="00460F5E">
      <w:pPr>
        <w:pStyle w:val="Paragraphedeliste"/>
        <w:numPr>
          <w:ilvl w:val="0"/>
          <w:numId w:val="18"/>
        </w:numPr>
        <w:rPr>
          <w:rFonts w:cs="Tahoma"/>
        </w:rPr>
      </w:pPr>
      <w:r w:rsidRPr="00460F5E">
        <w:rPr>
          <w:rFonts w:cs="Tahoma"/>
        </w:rPr>
        <w:t>Quatre SR: processus de sélection en cours par appel d’offres national ouvert</w:t>
      </w:r>
    </w:p>
    <w:p w:rsidR="003A47E5" w:rsidRPr="00460F5E" w:rsidRDefault="003A47E5" w:rsidP="00460F5E">
      <w:pPr>
        <w:pStyle w:val="Paragraphedeliste"/>
        <w:numPr>
          <w:ilvl w:val="0"/>
          <w:numId w:val="19"/>
        </w:numPr>
        <w:rPr>
          <w:rFonts w:cs="Tahoma"/>
        </w:rPr>
      </w:pPr>
      <w:r w:rsidRPr="00460F5E">
        <w:rPr>
          <w:rFonts w:cs="Tahoma"/>
        </w:rPr>
        <w:t>SR: Renforcement de la Prise en charge et soins</w:t>
      </w:r>
    </w:p>
    <w:p w:rsidR="003A47E5" w:rsidRPr="00460F5E" w:rsidRDefault="003A47E5" w:rsidP="00460F5E">
      <w:pPr>
        <w:pStyle w:val="Paragraphedeliste"/>
        <w:numPr>
          <w:ilvl w:val="0"/>
          <w:numId w:val="19"/>
        </w:numPr>
        <w:rPr>
          <w:rFonts w:cs="Tahoma"/>
        </w:rPr>
      </w:pPr>
      <w:r w:rsidRPr="00460F5E">
        <w:rPr>
          <w:rFonts w:cs="Tahoma"/>
        </w:rPr>
        <w:t>SR: PTME</w:t>
      </w:r>
    </w:p>
    <w:p w:rsidR="003A47E5" w:rsidRPr="00460F5E" w:rsidRDefault="003A47E5" w:rsidP="00460F5E">
      <w:pPr>
        <w:pStyle w:val="Paragraphedeliste"/>
        <w:numPr>
          <w:ilvl w:val="0"/>
          <w:numId w:val="19"/>
        </w:numPr>
        <w:rPr>
          <w:rFonts w:cs="Tahoma"/>
        </w:rPr>
      </w:pPr>
      <w:r w:rsidRPr="00460F5E">
        <w:rPr>
          <w:rFonts w:cs="Tahoma"/>
        </w:rPr>
        <w:t>SR: Appui Psychosocial</w:t>
      </w:r>
    </w:p>
    <w:p w:rsidR="003A47E5" w:rsidRPr="00460F5E" w:rsidRDefault="003A47E5" w:rsidP="00460F5E">
      <w:pPr>
        <w:pStyle w:val="Paragraphedeliste"/>
        <w:numPr>
          <w:ilvl w:val="0"/>
          <w:numId w:val="19"/>
        </w:numPr>
        <w:rPr>
          <w:rFonts w:cs="Tahoma"/>
        </w:rPr>
      </w:pPr>
      <w:r w:rsidRPr="00460F5E">
        <w:rPr>
          <w:rFonts w:cs="Tahoma"/>
        </w:rPr>
        <w:t>SR: Dépistage</w:t>
      </w:r>
    </w:p>
    <w:p w:rsidR="003A47E5" w:rsidRPr="00460F5E" w:rsidRDefault="003A47E5" w:rsidP="00460F5E">
      <w:pPr>
        <w:pStyle w:val="Paragraphedeliste"/>
        <w:numPr>
          <w:ilvl w:val="0"/>
          <w:numId w:val="18"/>
        </w:numPr>
        <w:rPr>
          <w:rFonts w:cs="Tahoma"/>
        </w:rPr>
      </w:pPr>
      <w:r w:rsidRPr="00460F5E">
        <w:rPr>
          <w:rFonts w:cs="Tahoma"/>
        </w:rPr>
        <w:t>Prestataires de service</w:t>
      </w:r>
    </w:p>
    <w:p w:rsidR="003A47E5" w:rsidRPr="00460F5E" w:rsidRDefault="003A47E5" w:rsidP="00460F5E">
      <w:pPr>
        <w:rPr>
          <w:rFonts w:cs="Tahoma"/>
        </w:rPr>
      </w:pPr>
    </w:p>
    <w:p w:rsidR="00951592" w:rsidRPr="00460F5E" w:rsidRDefault="00BD39FF" w:rsidP="00460F5E">
      <w:pPr>
        <w:pStyle w:val="Titre2"/>
        <w:numPr>
          <w:ilvl w:val="1"/>
          <w:numId w:val="71"/>
        </w:numPr>
      </w:pPr>
      <w:bookmarkStart w:id="39" w:name="_Toc513041125"/>
      <w:bookmarkStart w:id="40" w:name="_Toc513044545"/>
      <w:r w:rsidRPr="00460F5E">
        <w:t xml:space="preserve">  </w:t>
      </w:r>
      <w:bookmarkStart w:id="41" w:name="_Toc514049507"/>
      <w:r w:rsidR="006A64BE" w:rsidRPr="00460F5E">
        <w:t>Principes de l’</w:t>
      </w:r>
      <w:r w:rsidR="00951592" w:rsidRPr="00460F5E">
        <w:t>intervention</w:t>
      </w:r>
      <w:bookmarkEnd w:id="39"/>
      <w:bookmarkEnd w:id="40"/>
      <w:bookmarkEnd w:id="41"/>
    </w:p>
    <w:p w:rsidR="003A47E5" w:rsidRPr="00460F5E" w:rsidRDefault="003A47E5" w:rsidP="00460F5E">
      <w:pPr>
        <w:pStyle w:val="Paragraphedeliste"/>
        <w:numPr>
          <w:ilvl w:val="0"/>
          <w:numId w:val="20"/>
        </w:numPr>
        <w:rPr>
          <w:rFonts w:cs="Tahoma"/>
        </w:rPr>
      </w:pPr>
      <w:r w:rsidRPr="00460F5E">
        <w:rPr>
          <w:rFonts w:cs="Tahoma"/>
        </w:rPr>
        <w:t xml:space="preserve">Maintenir les acquis et renforcer la qualité des services </w:t>
      </w:r>
    </w:p>
    <w:p w:rsidR="003A47E5" w:rsidRPr="00460F5E" w:rsidRDefault="003A47E5" w:rsidP="00460F5E">
      <w:pPr>
        <w:pStyle w:val="Paragraphedeliste"/>
        <w:numPr>
          <w:ilvl w:val="0"/>
          <w:numId w:val="20"/>
        </w:numPr>
        <w:rPr>
          <w:rFonts w:cs="Tahoma"/>
        </w:rPr>
      </w:pPr>
      <w:r w:rsidRPr="00460F5E">
        <w:rPr>
          <w:rFonts w:cs="Tahoma"/>
        </w:rPr>
        <w:t>La qualité (réseautage des sites pour l’option B+, le coaching/supervision des équipes, le suivi biologique des femmes et des enfants PTME notamment la charge virale et le dépistage précoce)</w:t>
      </w:r>
    </w:p>
    <w:p w:rsidR="003A47E5" w:rsidRPr="00460F5E" w:rsidRDefault="003A47E5" w:rsidP="00460F5E">
      <w:pPr>
        <w:pStyle w:val="Paragraphedeliste"/>
        <w:numPr>
          <w:ilvl w:val="0"/>
          <w:numId w:val="20"/>
        </w:numPr>
        <w:rPr>
          <w:rFonts w:cs="Tahoma"/>
        </w:rPr>
      </w:pPr>
      <w:r w:rsidRPr="00460F5E">
        <w:rPr>
          <w:rFonts w:cs="Tahoma"/>
        </w:rPr>
        <w:t>La recherche des femmes et enfants perdus pour les maintenir dans la cascade PTME dans le cadre de l’option B+</w:t>
      </w:r>
    </w:p>
    <w:p w:rsidR="003A47E5" w:rsidRPr="00460F5E" w:rsidRDefault="003A47E5" w:rsidP="00460F5E">
      <w:pPr>
        <w:pStyle w:val="Paragraphedeliste"/>
        <w:numPr>
          <w:ilvl w:val="0"/>
          <w:numId w:val="20"/>
        </w:numPr>
        <w:rPr>
          <w:rFonts w:cs="Tahoma"/>
        </w:rPr>
      </w:pPr>
      <w:r w:rsidRPr="00460F5E">
        <w:rPr>
          <w:rFonts w:cs="Tahoma"/>
        </w:rPr>
        <w:t>La disponibilité des services (formation du personnel nouvellement affecté ; approvisionnement en intrants)</w:t>
      </w:r>
    </w:p>
    <w:p w:rsidR="003A47E5" w:rsidRPr="00460F5E" w:rsidRDefault="003A47E5" w:rsidP="00460F5E">
      <w:pPr>
        <w:pStyle w:val="Paragraphedeliste"/>
        <w:numPr>
          <w:ilvl w:val="0"/>
          <w:numId w:val="20"/>
        </w:numPr>
        <w:rPr>
          <w:rFonts w:cs="Tahoma"/>
        </w:rPr>
      </w:pPr>
      <w:r w:rsidRPr="00460F5E">
        <w:rPr>
          <w:rFonts w:cs="Tahoma"/>
        </w:rPr>
        <w:t xml:space="preserve">Maintenir les acquis et renforcer la qualité des services </w:t>
      </w:r>
    </w:p>
    <w:p w:rsidR="003A47E5" w:rsidRPr="00460F5E" w:rsidRDefault="003A47E5" w:rsidP="00460F5E">
      <w:pPr>
        <w:pStyle w:val="Paragraphedeliste"/>
        <w:numPr>
          <w:ilvl w:val="0"/>
          <w:numId w:val="20"/>
        </w:numPr>
        <w:rPr>
          <w:rFonts w:cs="Tahoma"/>
        </w:rPr>
      </w:pPr>
      <w:r w:rsidRPr="00460F5E">
        <w:rPr>
          <w:rFonts w:cs="Tahoma"/>
        </w:rPr>
        <w:t>L’utilisation initiale de la CPN et le continuum de soins dans la cascade PTME (promotion des services/sensibilisation/ implication des conjoints, lutte contre la stigmatisation/discrimination, rétention et recherche des perdus de vue, suivi du couple mère-enfant, etc..).</w:t>
      </w:r>
    </w:p>
    <w:p w:rsidR="003A47E5" w:rsidRPr="00460F5E" w:rsidRDefault="003A47E5" w:rsidP="00460F5E">
      <w:pPr>
        <w:pStyle w:val="Paragraphedeliste"/>
        <w:numPr>
          <w:ilvl w:val="0"/>
          <w:numId w:val="20"/>
        </w:numPr>
        <w:rPr>
          <w:rFonts w:cs="Tahoma"/>
        </w:rPr>
      </w:pPr>
      <w:r w:rsidRPr="00460F5E">
        <w:rPr>
          <w:rFonts w:cs="Tahoma"/>
        </w:rPr>
        <w:t>TARV chez les enfants: Nb d’enfants sous TARV actuellement est de 4,4% : passer à 10% en 2019 et 12% en 2020</w:t>
      </w:r>
    </w:p>
    <w:p w:rsidR="003A47E5" w:rsidRPr="00460F5E" w:rsidRDefault="003A47E5" w:rsidP="00460F5E">
      <w:pPr>
        <w:rPr>
          <w:rFonts w:cs="Tahoma"/>
          <w:b/>
          <w:sz w:val="24"/>
          <w:szCs w:val="24"/>
        </w:rPr>
      </w:pPr>
    </w:p>
    <w:p w:rsidR="003A47E5" w:rsidRPr="00460F5E" w:rsidRDefault="00BB1F0A" w:rsidP="00460F5E">
      <w:pPr>
        <w:pStyle w:val="Titre3"/>
      </w:pPr>
      <w:r w:rsidRPr="00460F5E">
        <w:t xml:space="preserve">4.5.1 </w:t>
      </w:r>
      <w:r w:rsidR="003A47E5" w:rsidRPr="00460F5E">
        <w:t>Objectifs TARV</w:t>
      </w:r>
    </w:p>
    <w:p w:rsidR="003A47E5" w:rsidRPr="00460F5E" w:rsidRDefault="003A47E5" w:rsidP="00460F5E">
      <w:pPr>
        <w:pStyle w:val="Paragraphedeliste"/>
        <w:numPr>
          <w:ilvl w:val="0"/>
          <w:numId w:val="22"/>
        </w:numPr>
        <w:rPr>
          <w:rFonts w:cs="Tahoma"/>
        </w:rPr>
      </w:pPr>
      <w:r w:rsidRPr="00460F5E">
        <w:rPr>
          <w:rFonts w:cs="Tahoma"/>
        </w:rPr>
        <w:t>Les nouvelles inclusions trimestrielles : 1600 soit 6400 par an</w:t>
      </w:r>
    </w:p>
    <w:p w:rsidR="003A47E5" w:rsidRPr="00460F5E" w:rsidRDefault="003A47E5" w:rsidP="00460F5E">
      <w:pPr>
        <w:pStyle w:val="Paragraphedeliste"/>
        <w:numPr>
          <w:ilvl w:val="0"/>
          <w:numId w:val="22"/>
        </w:numPr>
        <w:rPr>
          <w:rFonts w:cs="Tahoma"/>
        </w:rPr>
      </w:pPr>
      <w:r w:rsidRPr="00460F5E">
        <w:rPr>
          <w:rFonts w:cs="Tahoma"/>
        </w:rPr>
        <w:t>PEC Pédiatrique : passer de 4,4% actuellement à 12% en 2020</w:t>
      </w:r>
    </w:p>
    <w:p w:rsidR="003A47E5" w:rsidRPr="00460F5E" w:rsidRDefault="003A47E5" w:rsidP="00460F5E">
      <w:pPr>
        <w:rPr>
          <w:rFonts w:cs="Tahoma"/>
        </w:rPr>
      </w:pPr>
    </w:p>
    <w:tbl>
      <w:tblPr>
        <w:tblW w:w="7560" w:type="dxa"/>
        <w:tblInd w:w="55" w:type="dxa"/>
        <w:tblCellMar>
          <w:left w:w="70" w:type="dxa"/>
          <w:right w:w="70" w:type="dxa"/>
        </w:tblCellMar>
        <w:tblLook w:val="0420" w:firstRow="1" w:lastRow="0" w:firstColumn="0" w:lastColumn="0" w:noHBand="0" w:noVBand="1"/>
      </w:tblPr>
      <w:tblGrid>
        <w:gridCol w:w="3799"/>
        <w:gridCol w:w="1554"/>
        <w:gridCol w:w="792"/>
        <w:gridCol w:w="1415"/>
      </w:tblGrid>
      <w:tr w:rsidR="003A47E5" w:rsidRPr="00460F5E" w:rsidTr="008C280B">
        <w:trPr>
          <w:trHeight w:val="315"/>
        </w:trPr>
        <w:tc>
          <w:tcPr>
            <w:tcW w:w="3820" w:type="dxa"/>
            <w:tcBorders>
              <w:top w:val="single" w:sz="8" w:space="0" w:color="FFFFFF"/>
              <w:left w:val="single" w:sz="8" w:space="0" w:color="FFFFFF"/>
              <w:bottom w:val="single" w:sz="12" w:space="0" w:color="FFFFFF"/>
              <w:right w:val="single" w:sz="8" w:space="0" w:color="FFFFFF"/>
            </w:tcBorders>
            <w:shd w:val="clear" w:color="000000" w:fill="98C723"/>
            <w:hideMark/>
          </w:tcPr>
          <w:p w:rsidR="003A47E5" w:rsidRPr="00460F5E" w:rsidRDefault="003A47E5" w:rsidP="00460F5E">
            <w:pPr>
              <w:spacing w:after="0" w:line="240" w:lineRule="auto"/>
              <w:rPr>
                <w:rFonts w:eastAsia="Times New Roman" w:cs="Tahoma"/>
                <w:lang w:eastAsia="fr-FR"/>
              </w:rPr>
            </w:pPr>
            <w:r w:rsidRPr="00460F5E">
              <w:rPr>
                <w:rFonts w:eastAsia="Times New Roman" w:cs="Tahoma"/>
                <w:lang w:eastAsia="fr-FR"/>
              </w:rPr>
              <w:t> </w:t>
            </w:r>
          </w:p>
        </w:tc>
        <w:tc>
          <w:tcPr>
            <w:tcW w:w="1560" w:type="dxa"/>
            <w:tcBorders>
              <w:top w:val="single" w:sz="8" w:space="0" w:color="FFFFFF"/>
              <w:left w:val="nil"/>
              <w:bottom w:val="single" w:sz="12" w:space="0" w:color="FFFFFF"/>
              <w:right w:val="single" w:sz="8" w:space="0" w:color="FFFFFF"/>
            </w:tcBorders>
            <w:shd w:val="clear" w:color="000000" w:fill="98C723"/>
            <w:vAlign w:val="center"/>
            <w:hideMark/>
          </w:tcPr>
          <w:p w:rsidR="003A47E5" w:rsidRPr="00460F5E" w:rsidRDefault="003A47E5"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2018</w:t>
            </w:r>
          </w:p>
        </w:tc>
        <w:tc>
          <w:tcPr>
            <w:tcW w:w="760" w:type="dxa"/>
            <w:tcBorders>
              <w:top w:val="single" w:sz="8" w:space="0" w:color="FFFFFF"/>
              <w:left w:val="nil"/>
              <w:bottom w:val="single" w:sz="12" w:space="0" w:color="FFFFFF"/>
              <w:right w:val="single" w:sz="8" w:space="0" w:color="FFFFFF"/>
            </w:tcBorders>
            <w:shd w:val="clear" w:color="000000" w:fill="98C723"/>
            <w:vAlign w:val="center"/>
            <w:hideMark/>
          </w:tcPr>
          <w:p w:rsidR="003A47E5" w:rsidRPr="00460F5E" w:rsidRDefault="003A47E5"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2019</w:t>
            </w:r>
          </w:p>
        </w:tc>
        <w:tc>
          <w:tcPr>
            <w:tcW w:w="1420" w:type="dxa"/>
            <w:tcBorders>
              <w:top w:val="single" w:sz="8" w:space="0" w:color="FFFFFF"/>
              <w:left w:val="nil"/>
              <w:bottom w:val="single" w:sz="12" w:space="0" w:color="FFFFFF"/>
              <w:right w:val="single" w:sz="8" w:space="0" w:color="FFFFFF"/>
            </w:tcBorders>
            <w:shd w:val="clear" w:color="000000" w:fill="98C723"/>
            <w:vAlign w:val="center"/>
            <w:hideMark/>
          </w:tcPr>
          <w:p w:rsidR="003A47E5" w:rsidRPr="00460F5E" w:rsidRDefault="003A47E5"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2020</w:t>
            </w:r>
          </w:p>
        </w:tc>
      </w:tr>
      <w:tr w:rsidR="003A47E5" w:rsidRPr="00460F5E" w:rsidTr="008C280B">
        <w:trPr>
          <w:trHeight w:val="360"/>
        </w:trPr>
        <w:tc>
          <w:tcPr>
            <w:tcW w:w="3820" w:type="dxa"/>
            <w:tcBorders>
              <w:top w:val="nil"/>
              <w:left w:val="single" w:sz="8" w:space="0" w:color="FFFFFF"/>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rPr>
                <w:rFonts w:eastAsia="Times New Roman" w:cs="Tahoma"/>
                <w:color w:val="000000"/>
                <w:lang w:eastAsia="fr-FR"/>
              </w:rPr>
            </w:pPr>
            <w:r w:rsidRPr="00460F5E">
              <w:rPr>
                <w:rFonts w:eastAsia="Times New Roman" w:cs="Tahoma"/>
                <w:color w:val="000000"/>
                <w:lang w:eastAsia="fr-FR"/>
              </w:rPr>
              <w:t>Fonds mondial</w:t>
            </w:r>
          </w:p>
        </w:tc>
        <w:tc>
          <w:tcPr>
            <w:tcW w:w="156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39 715</w:t>
            </w:r>
          </w:p>
        </w:tc>
        <w:tc>
          <w:tcPr>
            <w:tcW w:w="76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42 115</w:t>
            </w:r>
          </w:p>
        </w:tc>
        <w:tc>
          <w:tcPr>
            <w:tcW w:w="142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44 515</w:t>
            </w:r>
          </w:p>
        </w:tc>
      </w:tr>
      <w:tr w:rsidR="003A47E5" w:rsidRPr="00460F5E" w:rsidTr="008C280B">
        <w:trPr>
          <w:trHeight w:val="345"/>
        </w:trPr>
        <w:tc>
          <w:tcPr>
            <w:tcW w:w="3820" w:type="dxa"/>
            <w:tcBorders>
              <w:top w:val="nil"/>
              <w:left w:val="single" w:sz="8" w:space="0" w:color="FFFFFF"/>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rPr>
                <w:rFonts w:eastAsia="Times New Roman" w:cs="Tahoma"/>
                <w:color w:val="000000"/>
                <w:lang w:eastAsia="fr-FR"/>
              </w:rPr>
            </w:pPr>
            <w:r w:rsidRPr="00460F5E">
              <w:rPr>
                <w:rFonts w:eastAsia="Times New Roman" w:cs="Tahoma"/>
                <w:color w:val="000000"/>
                <w:lang w:eastAsia="fr-FR"/>
              </w:rPr>
              <w:t>Etat</w:t>
            </w:r>
          </w:p>
        </w:tc>
        <w:tc>
          <w:tcPr>
            <w:tcW w:w="156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8 927</w:t>
            </w:r>
          </w:p>
        </w:tc>
        <w:tc>
          <w:tcPr>
            <w:tcW w:w="76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12 927</w:t>
            </w:r>
          </w:p>
        </w:tc>
        <w:tc>
          <w:tcPr>
            <w:tcW w:w="142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16 927</w:t>
            </w:r>
          </w:p>
        </w:tc>
      </w:tr>
      <w:tr w:rsidR="003A47E5" w:rsidRPr="00460F5E" w:rsidTr="008C280B">
        <w:trPr>
          <w:trHeight w:val="345"/>
        </w:trPr>
        <w:tc>
          <w:tcPr>
            <w:tcW w:w="3820" w:type="dxa"/>
            <w:tcBorders>
              <w:top w:val="nil"/>
              <w:left w:val="single" w:sz="8" w:space="0" w:color="FFFFFF"/>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rPr>
                <w:rFonts w:eastAsia="Times New Roman" w:cs="Tahoma"/>
                <w:color w:val="000000"/>
                <w:lang w:eastAsia="fr-FR"/>
              </w:rPr>
            </w:pPr>
            <w:r w:rsidRPr="00460F5E">
              <w:rPr>
                <w:rFonts w:eastAsia="Times New Roman" w:cs="Tahoma"/>
                <w:color w:val="000000"/>
                <w:lang w:eastAsia="fr-FR"/>
              </w:rPr>
              <w:t>Total patients TARV</w:t>
            </w:r>
          </w:p>
        </w:tc>
        <w:tc>
          <w:tcPr>
            <w:tcW w:w="156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 xml:space="preserve"> 48 642      </w:t>
            </w:r>
          </w:p>
        </w:tc>
        <w:tc>
          <w:tcPr>
            <w:tcW w:w="76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 xml:space="preserve"> 55 042      </w:t>
            </w:r>
          </w:p>
        </w:tc>
        <w:tc>
          <w:tcPr>
            <w:tcW w:w="142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 xml:space="preserve"> 61 442      </w:t>
            </w:r>
          </w:p>
        </w:tc>
      </w:tr>
    </w:tbl>
    <w:p w:rsidR="003A47E5" w:rsidRPr="00460F5E" w:rsidRDefault="003A47E5" w:rsidP="00460F5E">
      <w:pPr>
        <w:rPr>
          <w:rFonts w:cs="Tahoma"/>
        </w:rPr>
      </w:pPr>
    </w:p>
    <w:p w:rsidR="003A47E5" w:rsidRPr="00460F5E" w:rsidRDefault="00BB1F0A" w:rsidP="00460F5E">
      <w:pPr>
        <w:pStyle w:val="Titre3"/>
      </w:pPr>
      <w:r w:rsidRPr="00460F5E">
        <w:t xml:space="preserve">4.5.2 </w:t>
      </w:r>
      <w:r w:rsidR="003A47E5" w:rsidRPr="00460F5E">
        <w:t>Prophylaxis PTME</w:t>
      </w:r>
    </w:p>
    <w:p w:rsidR="003A47E5" w:rsidRPr="00460F5E" w:rsidRDefault="003A47E5" w:rsidP="00460F5E">
      <w:pPr>
        <w:pStyle w:val="Paragraphedeliste"/>
        <w:numPr>
          <w:ilvl w:val="0"/>
          <w:numId w:val="21"/>
        </w:numPr>
        <w:rPr>
          <w:rFonts w:cs="Tahoma"/>
        </w:rPr>
      </w:pPr>
      <w:r w:rsidRPr="00460F5E">
        <w:rPr>
          <w:rFonts w:cs="Tahoma"/>
        </w:rPr>
        <w:t xml:space="preserve">Fin 2017:  nb de sites 802 pour une couverture de 60%. </w:t>
      </w:r>
    </w:p>
    <w:p w:rsidR="003A47E5" w:rsidRPr="00460F5E" w:rsidRDefault="003A47E5" w:rsidP="00460F5E">
      <w:pPr>
        <w:pStyle w:val="Paragraphedeliste"/>
        <w:numPr>
          <w:ilvl w:val="0"/>
          <w:numId w:val="21"/>
        </w:numPr>
        <w:rPr>
          <w:rFonts w:cs="Tahoma"/>
        </w:rPr>
      </w:pPr>
      <w:r w:rsidRPr="00460F5E">
        <w:rPr>
          <w:rFonts w:cs="Tahoma"/>
        </w:rPr>
        <w:t>Intégration de 20 nouveaux sites par an selon des critères spécifiques</w:t>
      </w:r>
    </w:p>
    <w:p w:rsidR="003A47E5" w:rsidRPr="00460F5E" w:rsidRDefault="003A47E5" w:rsidP="00460F5E">
      <w:pPr>
        <w:pStyle w:val="Paragraphedeliste"/>
        <w:numPr>
          <w:ilvl w:val="0"/>
          <w:numId w:val="21"/>
        </w:numPr>
        <w:rPr>
          <w:rFonts w:cs="Tahoma"/>
        </w:rPr>
      </w:pPr>
      <w:r w:rsidRPr="00460F5E">
        <w:rPr>
          <w:rFonts w:cs="Tahoma"/>
        </w:rPr>
        <w:t>Indicateur à renseigner</w:t>
      </w:r>
    </w:p>
    <w:p w:rsidR="003A47E5" w:rsidRPr="00460F5E" w:rsidRDefault="00BB1F0A" w:rsidP="00460F5E">
      <w:pPr>
        <w:pStyle w:val="Titre3"/>
      </w:pPr>
      <w:r w:rsidRPr="00460F5E">
        <w:lastRenderedPageBreak/>
        <w:t xml:space="preserve">4.5.3 </w:t>
      </w:r>
      <w:r w:rsidR="003A47E5" w:rsidRPr="00460F5E">
        <w:t>PMTCT-2.1: Pourcentage de femmes enceintes séropositives au VIH ayant reçu des antirétroviraux durant leur grossesse</w:t>
      </w:r>
    </w:p>
    <w:tbl>
      <w:tblPr>
        <w:tblW w:w="7560" w:type="dxa"/>
        <w:tblInd w:w="55" w:type="dxa"/>
        <w:tblCellMar>
          <w:left w:w="70" w:type="dxa"/>
          <w:right w:w="70" w:type="dxa"/>
        </w:tblCellMar>
        <w:tblLook w:val="0420" w:firstRow="1" w:lastRow="0" w:firstColumn="0" w:lastColumn="0" w:noHBand="0" w:noVBand="1"/>
      </w:tblPr>
      <w:tblGrid>
        <w:gridCol w:w="3252"/>
        <w:gridCol w:w="1497"/>
        <w:gridCol w:w="1585"/>
        <w:gridCol w:w="1226"/>
      </w:tblGrid>
      <w:tr w:rsidR="003A47E5" w:rsidRPr="00460F5E" w:rsidTr="008C280B">
        <w:trPr>
          <w:trHeight w:val="690"/>
        </w:trPr>
        <w:tc>
          <w:tcPr>
            <w:tcW w:w="3357" w:type="dxa"/>
            <w:tcBorders>
              <w:top w:val="nil"/>
              <w:left w:val="single" w:sz="8" w:space="0" w:color="FFFFFF"/>
              <w:bottom w:val="single" w:sz="8" w:space="0" w:color="FFFFFF"/>
              <w:right w:val="single" w:sz="8" w:space="0" w:color="FFFFFF"/>
            </w:tcBorders>
            <w:shd w:val="clear" w:color="000000" w:fill="DDEBCC"/>
            <w:hideMark/>
          </w:tcPr>
          <w:p w:rsidR="003A47E5" w:rsidRPr="00460F5E" w:rsidRDefault="003A47E5" w:rsidP="00460F5E">
            <w:pPr>
              <w:spacing w:after="0" w:line="240" w:lineRule="auto"/>
              <w:rPr>
                <w:rFonts w:eastAsia="Times New Roman" w:cs="Tahoma"/>
                <w:lang w:eastAsia="fr-FR"/>
              </w:rPr>
            </w:pPr>
            <w:r w:rsidRPr="00460F5E">
              <w:rPr>
                <w:rFonts w:eastAsia="Times New Roman" w:cs="Tahoma"/>
                <w:lang w:eastAsia="fr-FR"/>
              </w:rPr>
              <w:t> </w:t>
            </w:r>
          </w:p>
        </w:tc>
        <w:tc>
          <w:tcPr>
            <w:tcW w:w="1503"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Numérateur</w:t>
            </w:r>
          </w:p>
        </w:tc>
        <w:tc>
          <w:tcPr>
            <w:tcW w:w="144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Dénominateur</w:t>
            </w:r>
          </w:p>
        </w:tc>
        <w:tc>
          <w:tcPr>
            <w:tcW w:w="126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w:t>
            </w:r>
          </w:p>
        </w:tc>
      </w:tr>
      <w:tr w:rsidR="003A47E5" w:rsidRPr="00460F5E" w:rsidTr="008C280B">
        <w:trPr>
          <w:trHeight w:val="315"/>
        </w:trPr>
        <w:tc>
          <w:tcPr>
            <w:tcW w:w="3357" w:type="dxa"/>
            <w:tcBorders>
              <w:top w:val="nil"/>
              <w:left w:val="single" w:sz="8" w:space="0" w:color="FFFFFF"/>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rPr>
                <w:rFonts w:eastAsia="Times New Roman" w:cs="Tahoma"/>
                <w:color w:val="000000"/>
                <w:lang w:eastAsia="fr-FR"/>
              </w:rPr>
            </w:pPr>
            <w:r w:rsidRPr="00460F5E">
              <w:rPr>
                <w:rFonts w:eastAsia="Times New Roman" w:cs="Tahoma"/>
                <w:color w:val="000000"/>
                <w:lang w:eastAsia="fr-FR"/>
              </w:rPr>
              <w:t>2018</w:t>
            </w:r>
          </w:p>
        </w:tc>
        <w:tc>
          <w:tcPr>
            <w:tcW w:w="1503"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4 744,00</w:t>
            </w:r>
          </w:p>
        </w:tc>
        <w:tc>
          <w:tcPr>
            <w:tcW w:w="144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7 298</w:t>
            </w:r>
          </w:p>
        </w:tc>
        <w:tc>
          <w:tcPr>
            <w:tcW w:w="126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65</w:t>
            </w:r>
          </w:p>
        </w:tc>
      </w:tr>
      <w:tr w:rsidR="003A47E5" w:rsidRPr="00460F5E" w:rsidTr="008C280B">
        <w:trPr>
          <w:trHeight w:val="315"/>
        </w:trPr>
        <w:tc>
          <w:tcPr>
            <w:tcW w:w="3357" w:type="dxa"/>
            <w:tcBorders>
              <w:top w:val="nil"/>
              <w:left w:val="single" w:sz="8" w:space="0" w:color="FFFFFF"/>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rPr>
                <w:rFonts w:eastAsia="Times New Roman" w:cs="Tahoma"/>
                <w:color w:val="000000"/>
                <w:lang w:eastAsia="fr-FR"/>
              </w:rPr>
            </w:pPr>
            <w:r w:rsidRPr="00460F5E">
              <w:rPr>
                <w:rFonts w:eastAsia="Times New Roman" w:cs="Tahoma"/>
                <w:color w:val="000000"/>
                <w:lang w:eastAsia="fr-FR"/>
              </w:rPr>
              <w:t>2019</w:t>
            </w:r>
          </w:p>
        </w:tc>
        <w:tc>
          <w:tcPr>
            <w:tcW w:w="1503"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6 191,00</w:t>
            </w:r>
          </w:p>
        </w:tc>
        <w:tc>
          <w:tcPr>
            <w:tcW w:w="144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7 739</w:t>
            </w:r>
          </w:p>
        </w:tc>
        <w:tc>
          <w:tcPr>
            <w:tcW w:w="1260" w:type="dxa"/>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80</w:t>
            </w:r>
          </w:p>
        </w:tc>
      </w:tr>
      <w:tr w:rsidR="003A47E5" w:rsidRPr="00460F5E" w:rsidTr="008C280B">
        <w:trPr>
          <w:trHeight w:val="315"/>
        </w:trPr>
        <w:tc>
          <w:tcPr>
            <w:tcW w:w="3357" w:type="dxa"/>
            <w:tcBorders>
              <w:top w:val="nil"/>
              <w:left w:val="single" w:sz="8" w:space="0" w:color="FFFFFF"/>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rPr>
                <w:rFonts w:eastAsia="Times New Roman" w:cs="Tahoma"/>
                <w:color w:val="000000"/>
                <w:lang w:eastAsia="fr-FR"/>
              </w:rPr>
            </w:pPr>
            <w:r w:rsidRPr="00460F5E">
              <w:rPr>
                <w:rFonts w:eastAsia="Times New Roman" w:cs="Tahoma"/>
                <w:color w:val="000000"/>
                <w:lang w:eastAsia="fr-FR"/>
              </w:rPr>
              <w:t>2020</w:t>
            </w:r>
          </w:p>
        </w:tc>
        <w:tc>
          <w:tcPr>
            <w:tcW w:w="1503"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7 209,00</w:t>
            </w:r>
          </w:p>
        </w:tc>
        <w:tc>
          <w:tcPr>
            <w:tcW w:w="144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8 010</w:t>
            </w:r>
          </w:p>
        </w:tc>
        <w:tc>
          <w:tcPr>
            <w:tcW w:w="126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90</w:t>
            </w:r>
          </w:p>
        </w:tc>
      </w:tr>
    </w:tbl>
    <w:p w:rsidR="003A47E5" w:rsidRPr="00460F5E" w:rsidRDefault="003A47E5" w:rsidP="00460F5E">
      <w:pPr>
        <w:rPr>
          <w:rFonts w:cs="Tahoma"/>
        </w:rPr>
      </w:pPr>
    </w:p>
    <w:p w:rsidR="003A47E5" w:rsidRPr="00460F5E" w:rsidRDefault="00BB1F0A" w:rsidP="00460F5E">
      <w:pPr>
        <w:pStyle w:val="Titre3"/>
      </w:pPr>
      <w:r w:rsidRPr="00460F5E">
        <w:t xml:space="preserve">4.5.4 </w:t>
      </w:r>
      <w:r w:rsidR="003A47E5" w:rsidRPr="00460F5E">
        <w:t>Charge Virale</w:t>
      </w:r>
    </w:p>
    <w:p w:rsidR="003A47E5" w:rsidRPr="00460F5E" w:rsidRDefault="003A47E5" w:rsidP="00460F5E">
      <w:pPr>
        <w:rPr>
          <w:rFonts w:cs="Tahoma"/>
        </w:rPr>
      </w:pPr>
      <w:r w:rsidRPr="00460F5E">
        <w:rPr>
          <w:rFonts w:cs="Tahoma"/>
        </w:rPr>
        <w:t>TCS-3.1: Pourcentage de personnes vivant avec le VIH qui ont commencé la thérapie antirétrovirale, qui ont une charge virale indétectable à 12 mois (&lt; 1000 copies/ml)</w:t>
      </w:r>
    </w:p>
    <w:p w:rsidR="003A47E5" w:rsidRPr="00460F5E" w:rsidRDefault="003A47E5" w:rsidP="00460F5E">
      <w:pPr>
        <w:rPr>
          <w:rFonts w:cs="Tahoma"/>
          <w:b/>
          <w:sz w:val="24"/>
          <w:szCs w:val="24"/>
        </w:rPr>
      </w:pPr>
    </w:p>
    <w:tbl>
      <w:tblPr>
        <w:tblW w:w="7840" w:type="dxa"/>
        <w:tblInd w:w="55" w:type="dxa"/>
        <w:tblCellMar>
          <w:left w:w="70" w:type="dxa"/>
          <w:right w:w="70" w:type="dxa"/>
        </w:tblCellMar>
        <w:tblLook w:val="0420" w:firstRow="1" w:lastRow="0" w:firstColumn="0" w:lastColumn="0" w:noHBand="0" w:noVBand="1"/>
      </w:tblPr>
      <w:tblGrid>
        <w:gridCol w:w="3820"/>
        <w:gridCol w:w="1560"/>
        <w:gridCol w:w="1040"/>
        <w:gridCol w:w="1420"/>
      </w:tblGrid>
      <w:tr w:rsidR="003A47E5" w:rsidRPr="00460F5E" w:rsidTr="008C280B">
        <w:trPr>
          <w:trHeight w:val="315"/>
        </w:trPr>
        <w:tc>
          <w:tcPr>
            <w:tcW w:w="3820" w:type="dxa"/>
            <w:tcBorders>
              <w:top w:val="single" w:sz="8" w:space="0" w:color="FFFFFF"/>
              <w:left w:val="single" w:sz="8" w:space="0" w:color="FFFFFF"/>
              <w:bottom w:val="single" w:sz="12" w:space="0" w:color="FFFFFF"/>
              <w:right w:val="single" w:sz="8" w:space="0" w:color="FFFFFF"/>
            </w:tcBorders>
            <w:shd w:val="clear" w:color="000000" w:fill="98C723"/>
            <w:hideMark/>
          </w:tcPr>
          <w:p w:rsidR="003A47E5" w:rsidRPr="00460F5E" w:rsidRDefault="003A47E5" w:rsidP="00460F5E">
            <w:pPr>
              <w:spacing w:after="0" w:line="240" w:lineRule="auto"/>
              <w:rPr>
                <w:rFonts w:eastAsia="Times New Roman" w:cs="Tahoma"/>
                <w:lang w:eastAsia="fr-FR"/>
              </w:rPr>
            </w:pPr>
            <w:r w:rsidRPr="00460F5E">
              <w:rPr>
                <w:rFonts w:eastAsia="Times New Roman" w:cs="Tahoma"/>
                <w:lang w:eastAsia="fr-FR"/>
              </w:rPr>
              <w:t> </w:t>
            </w:r>
          </w:p>
        </w:tc>
        <w:tc>
          <w:tcPr>
            <w:tcW w:w="1560" w:type="dxa"/>
            <w:tcBorders>
              <w:top w:val="single" w:sz="8" w:space="0" w:color="FFFFFF"/>
              <w:left w:val="nil"/>
              <w:bottom w:val="single" w:sz="12" w:space="0" w:color="FFFFFF"/>
              <w:right w:val="single" w:sz="8" w:space="0" w:color="FFFFFF"/>
            </w:tcBorders>
            <w:shd w:val="clear" w:color="000000" w:fill="98C723"/>
            <w:vAlign w:val="center"/>
            <w:hideMark/>
          </w:tcPr>
          <w:p w:rsidR="003A47E5" w:rsidRPr="00460F5E" w:rsidRDefault="003A47E5"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2018</w:t>
            </w:r>
          </w:p>
        </w:tc>
        <w:tc>
          <w:tcPr>
            <w:tcW w:w="1040" w:type="dxa"/>
            <w:tcBorders>
              <w:top w:val="single" w:sz="8" w:space="0" w:color="FFFFFF"/>
              <w:left w:val="nil"/>
              <w:bottom w:val="single" w:sz="12" w:space="0" w:color="FFFFFF"/>
              <w:right w:val="single" w:sz="8" w:space="0" w:color="FFFFFF"/>
            </w:tcBorders>
            <w:shd w:val="clear" w:color="000000" w:fill="98C723"/>
            <w:vAlign w:val="center"/>
            <w:hideMark/>
          </w:tcPr>
          <w:p w:rsidR="003A47E5" w:rsidRPr="00460F5E" w:rsidRDefault="003A47E5"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2019</w:t>
            </w:r>
          </w:p>
        </w:tc>
        <w:tc>
          <w:tcPr>
            <w:tcW w:w="1420" w:type="dxa"/>
            <w:tcBorders>
              <w:top w:val="single" w:sz="8" w:space="0" w:color="FFFFFF"/>
              <w:left w:val="nil"/>
              <w:bottom w:val="single" w:sz="12" w:space="0" w:color="FFFFFF"/>
              <w:right w:val="single" w:sz="8" w:space="0" w:color="FFFFFF"/>
            </w:tcBorders>
            <w:shd w:val="clear" w:color="000000" w:fill="98C723"/>
            <w:vAlign w:val="center"/>
            <w:hideMark/>
          </w:tcPr>
          <w:p w:rsidR="003A47E5" w:rsidRPr="00460F5E" w:rsidRDefault="003A47E5"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2020</w:t>
            </w:r>
          </w:p>
        </w:tc>
      </w:tr>
      <w:tr w:rsidR="003A47E5" w:rsidRPr="00460F5E" w:rsidTr="008C280B">
        <w:trPr>
          <w:trHeight w:val="630"/>
        </w:trPr>
        <w:tc>
          <w:tcPr>
            <w:tcW w:w="3820" w:type="dxa"/>
            <w:vMerge w:val="restart"/>
            <w:tcBorders>
              <w:top w:val="nil"/>
              <w:left w:val="single" w:sz="8" w:space="0" w:color="FFFFFF"/>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CV</w:t>
            </w:r>
          </w:p>
        </w:tc>
        <w:tc>
          <w:tcPr>
            <w:tcW w:w="4020" w:type="dxa"/>
            <w:gridSpan w:val="3"/>
            <w:tcBorders>
              <w:top w:val="single" w:sz="12" w:space="0" w:color="FFFFFF"/>
              <w:left w:val="nil"/>
              <w:bottom w:val="nil"/>
              <w:right w:val="single" w:sz="8" w:space="0" w:color="FFFFFF"/>
            </w:tcBorders>
            <w:shd w:val="clear" w:color="000000" w:fill="DDEBCC"/>
            <w:vAlign w:val="center"/>
            <w:hideMark/>
          </w:tcPr>
          <w:p w:rsidR="003A47E5" w:rsidRPr="00460F5E" w:rsidRDefault="003A47E5" w:rsidP="00460F5E">
            <w:pPr>
              <w:spacing w:after="0" w:line="240" w:lineRule="auto"/>
              <w:rPr>
                <w:rFonts w:eastAsia="Times New Roman" w:cs="Tahoma"/>
                <w:color w:val="000000"/>
                <w:lang w:eastAsia="fr-FR"/>
              </w:rPr>
            </w:pPr>
            <w:r w:rsidRPr="00460F5E">
              <w:rPr>
                <w:rFonts w:eastAsia="Times New Roman" w:cs="Tahoma"/>
                <w:color w:val="000000"/>
                <w:lang w:eastAsia="fr-FR"/>
              </w:rPr>
              <w:t>Deux pôles de CV (Conakry et Kankan pour les plateformes</w:t>
            </w:r>
          </w:p>
        </w:tc>
      </w:tr>
      <w:tr w:rsidR="003A47E5" w:rsidRPr="00460F5E" w:rsidTr="008C280B">
        <w:trPr>
          <w:trHeight w:val="480"/>
        </w:trPr>
        <w:tc>
          <w:tcPr>
            <w:tcW w:w="3820" w:type="dxa"/>
            <w:vMerge/>
            <w:tcBorders>
              <w:top w:val="nil"/>
              <w:left w:val="single" w:sz="8" w:space="0" w:color="FFFFFF"/>
              <w:bottom w:val="single" w:sz="8" w:space="0" w:color="FFFFFF"/>
              <w:right w:val="single" w:sz="8" w:space="0" w:color="FFFFFF"/>
            </w:tcBorders>
            <w:vAlign w:val="center"/>
            <w:hideMark/>
          </w:tcPr>
          <w:p w:rsidR="003A47E5" w:rsidRPr="00460F5E" w:rsidRDefault="003A47E5" w:rsidP="00460F5E">
            <w:pPr>
              <w:spacing w:after="0" w:line="240" w:lineRule="auto"/>
              <w:rPr>
                <w:rFonts w:eastAsia="Times New Roman" w:cs="Tahoma"/>
                <w:color w:val="000000"/>
                <w:lang w:eastAsia="fr-FR"/>
              </w:rPr>
            </w:pPr>
          </w:p>
        </w:tc>
        <w:tc>
          <w:tcPr>
            <w:tcW w:w="4020" w:type="dxa"/>
            <w:gridSpan w:val="3"/>
            <w:tcBorders>
              <w:top w:val="nil"/>
              <w:left w:val="nil"/>
              <w:bottom w:val="single" w:sz="8" w:space="0" w:color="FFFFFF"/>
              <w:right w:val="single" w:sz="8" w:space="0" w:color="FFFFFF"/>
            </w:tcBorders>
            <w:shd w:val="clear" w:color="000000" w:fill="DDEBCC"/>
            <w:vAlign w:val="center"/>
            <w:hideMark/>
          </w:tcPr>
          <w:p w:rsidR="003A47E5" w:rsidRPr="00460F5E" w:rsidRDefault="003A47E5" w:rsidP="00460F5E">
            <w:pPr>
              <w:spacing w:after="0" w:line="240" w:lineRule="auto"/>
              <w:rPr>
                <w:rFonts w:eastAsia="Times New Roman" w:cs="Tahoma"/>
                <w:color w:val="000000"/>
                <w:lang w:eastAsia="fr-FR"/>
              </w:rPr>
            </w:pPr>
            <w:r w:rsidRPr="00460F5E">
              <w:rPr>
                <w:rFonts w:eastAsia="Times New Roman" w:cs="Tahoma"/>
                <w:color w:val="000000"/>
                <w:lang w:eastAsia="fr-FR"/>
              </w:rPr>
              <w:t>18 GenXpert répartis dans les préfectures</w:t>
            </w:r>
          </w:p>
        </w:tc>
      </w:tr>
      <w:tr w:rsidR="003A47E5" w:rsidRPr="00460F5E" w:rsidTr="008C280B">
        <w:trPr>
          <w:trHeight w:val="315"/>
        </w:trPr>
        <w:tc>
          <w:tcPr>
            <w:tcW w:w="3820" w:type="dxa"/>
            <w:tcBorders>
              <w:top w:val="nil"/>
              <w:left w:val="single" w:sz="8" w:space="0" w:color="FFFFFF"/>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TCS-3.1</w:t>
            </w:r>
          </w:p>
        </w:tc>
        <w:tc>
          <w:tcPr>
            <w:tcW w:w="156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jc w:val="center"/>
              <w:rPr>
                <w:rFonts w:eastAsia="Times New Roman" w:cs="Tahoma"/>
                <w:color w:val="000000"/>
                <w:lang w:eastAsia="fr-FR"/>
              </w:rPr>
            </w:pPr>
            <w:r w:rsidRPr="00460F5E">
              <w:rPr>
                <w:rFonts w:eastAsia="Times New Roman" w:cs="Tahoma"/>
                <w:color w:val="000000"/>
                <w:lang w:eastAsia="fr-FR"/>
              </w:rPr>
              <w:t>80%</w:t>
            </w:r>
          </w:p>
        </w:tc>
        <w:tc>
          <w:tcPr>
            <w:tcW w:w="104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85%</w:t>
            </w:r>
          </w:p>
        </w:tc>
        <w:tc>
          <w:tcPr>
            <w:tcW w:w="1420" w:type="dxa"/>
            <w:tcBorders>
              <w:top w:val="nil"/>
              <w:left w:val="nil"/>
              <w:bottom w:val="single" w:sz="8" w:space="0" w:color="FFFFFF"/>
              <w:right w:val="single" w:sz="8" w:space="0" w:color="FFFFFF"/>
            </w:tcBorders>
            <w:shd w:val="clear" w:color="000000" w:fill="EFF5E8"/>
            <w:vAlign w:val="center"/>
            <w:hideMark/>
          </w:tcPr>
          <w:p w:rsidR="003A47E5" w:rsidRPr="00460F5E" w:rsidRDefault="003A47E5"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90%</w:t>
            </w:r>
          </w:p>
        </w:tc>
      </w:tr>
    </w:tbl>
    <w:p w:rsidR="003A47E5" w:rsidRPr="00460F5E" w:rsidRDefault="003A47E5" w:rsidP="00460F5E">
      <w:pPr>
        <w:rPr>
          <w:rFonts w:cs="Tahoma"/>
        </w:rPr>
      </w:pPr>
    </w:p>
    <w:p w:rsidR="00951592" w:rsidRPr="00460F5E" w:rsidRDefault="00BD39FF" w:rsidP="00460F5E">
      <w:pPr>
        <w:pStyle w:val="Titre2"/>
        <w:numPr>
          <w:ilvl w:val="1"/>
          <w:numId w:val="71"/>
        </w:numPr>
      </w:pPr>
      <w:bookmarkStart w:id="42" w:name="_Toc513041126"/>
      <w:bookmarkStart w:id="43" w:name="_Toc513044546"/>
      <w:r w:rsidRPr="00460F5E">
        <w:t xml:space="preserve"> </w:t>
      </w:r>
      <w:bookmarkStart w:id="44" w:name="_Toc514049508"/>
      <w:r w:rsidR="006A64BE" w:rsidRPr="00460F5E">
        <w:t>Description du programme</w:t>
      </w:r>
      <w:bookmarkEnd w:id="42"/>
      <w:bookmarkEnd w:id="43"/>
      <w:bookmarkEnd w:id="44"/>
    </w:p>
    <w:p w:rsidR="006A64BE" w:rsidRPr="00460F5E" w:rsidRDefault="003A47E5" w:rsidP="00460F5E">
      <w:pPr>
        <w:autoSpaceDE w:val="0"/>
        <w:autoSpaceDN w:val="0"/>
        <w:adjustRightInd w:val="0"/>
        <w:spacing w:after="0" w:line="240" w:lineRule="auto"/>
        <w:rPr>
          <w:rFonts w:cs="Arial"/>
          <w:color w:val="000000"/>
        </w:rPr>
      </w:pPr>
      <w:r w:rsidRPr="00460F5E">
        <w:rPr>
          <w:rFonts w:cs="Arial"/>
          <w:color w:val="000000"/>
        </w:rPr>
        <w:t xml:space="preserve">L’épidémie de VIH est généralisée, avec un taux de prévalence au sein de la population générale de 1,7 pour cent (EDS-MICS 2012). La prévalence est particulièrement élevée chez les femmes, qui représentent 52 pour cent des adultes vivant avec le VIH. Il existe aussi des écarts importants entre la capitale (2,7 pour cent) et les autres régions du pays (1 à 1,7 pour cent). </w:t>
      </w:r>
    </w:p>
    <w:p w:rsidR="006A64BE" w:rsidRPr="00460F5E" w:rsidRDefault="006A64BE" w:rsidP="00460F5E">
      <w:pPr>
        <w:autoSpaceDE w:val="0"/>
        <w:autoSpaceDN w:val="0"/>
        <w:adjustRightInd w:val="0"/>
        <w:spacing w:after="0" w:line="240" w:lineRule="auto"/>
        <w:rPr>
          <w:rFonts w:cs="Arial"/>
          <w:color w:val="000000"/>
        </w:rPr>
      </w:pPr>
    </w:p>
    <w:p w:rsidR="006A64BE" w:rsidRPr="00460F5E" w:rsidRDefault="003A47E5" w:rsidP="00460F5E">
      <w:pPr>
        <w:autoSpaceDE w:val="0"/>
        <w:autoSpaceDN w:val="0"/>
        <w:adjustRightInd w:val="0"/>
        <w:spacing w:after="0" w:line="240" w:lineRule="auto"/>
        <w:rPr>
          <w:rFonts w:cs="Arial"/>
          <w:color w:val="000000"/>
        </w:rPr>
      </w:pPr>
      <w:r w:rsidRPr="00460F5E">
        <w:rPr>
          <w:rFonts w:cs="Arial"/>
          <w:color w:val="000000"/>
        </w:rPr>
        <w:t xml:space="preserve">L’épidémie se concentre dans les villes limitrophes du Libéria et de la Sierra Leone, le long des principaux axes routiers du pays et dans les régions minières. Les résultats d’une surveillance sentinelle auprès des femmes enceintes montrent une augmentation de la prévalence du VIH de 2,5 pour cent en 2008 à 3,5 pour cent en 2015, ce qu’explique en partie le contexte d’interruption des services pendant l’épidémie d’Ébola (mars 2014 – décembre 2015). Le dépistage du VIH chez les femmes enceintes est très faible, 35 pour cent en 2016, et la couverture en traitement antirétroviral est plus basse. </w:t>
      </w:r>
    </w:p>
    <w:p w:rsidR="006A64BE" w:rsidRPr="00460F5E" w:rsidRDefault="006A64BE" w:rsidP="00460F5E">
      <w:pPr>
        <w:autoSpaceDE w:val="0"/>
        <w:autoSpaceDN w:val="0"/>
        <w:adjustRightInd w:val="0"/>
        <w:spacing w:after="0" w:line="240" w:lineRule="auto"/>
        <w:rPr>
          <w:rFonts w:cs="Arial"/>
          <w:color w:val="000000"/>
        </w:rPr>
      </w:pPr>
    </w:p>
    <w:p w:rsidR="006A64BE" w:rsidRPr="00460F5E" w:rsidRDefault="003A47E5" w:rsidP="00460F5E">
      <w:pPr>
        <w:autoSpaceDE w:val="0"/>
        <w:autoSpaceDN w:val="0"/>
        <w:adjustRightInd w:val="0"/>
        <w:spacing w:after="0" w:line="240" w:lineRule="auto"/>
        <w:rPr>
          <w:rFonts w:cs="Arial"/>
        </w:rPr>
      </w:pPr>
      <w:r w:rsidRPr="00460F5E">
        <w:rPr>
          <w:rFonts w:cs="Arial"/>
        </w:rPr>
        <w:t xml:space="preserve">Les tendances issues des estimations SPECTRUM montrent une légère baisse du nombre de nouvelles infections (entre 2013 et 2016) et un déclin du nombre de décès (entre 2012 et 2016). L’étude bio-comportementale intégrée de 2015 a montré une prévalence de 14,2 pour cent chez les travailleurs du sexe, de 23 pour cent chez les patients atteints de tuberculose et de 8,5 pour cent chez les prisonniers. Le taux de prévalence est inférieur à 5 pour cent parmi toutes les autres populations vulnérables (y compris les pêcheurs, les mineurs, les hommes en uniforme, les conducteurs de camions et les jeunes). </w:t>
      </w:r>
    </w:p>
    <w:p w:rsidR="00251A8E" w:rsidRPr="00460F5E" w:rsidRDefault="00251A8E" w:rsidP="00460F5E">
      <w:pPr>
        <w:autoSpaceDE w:val="0"/>
        <w:autoSpaceDN w:val="0"/>
        <w:adjustRightInd w:val="0"/>
        <w:spacing w:after="0" w:line="240" w:lineRule="auto"/>
        <w:rPr>
          <w:rFonts w:cs="Arial"/>
        </w:rPr>
      </w:pPr>
    </w:p>
    <w:p w:rsidR="003A47E5" w:rsidRPr="00460F5E" w:rsidRDefault="003A47E5" w:rsidP="00460F5E">
      <w:pPr>
        <w:autoSpaceDE w:val="0"/>
        <w:autoSpaceDN w:val="0"/>
        <w:adjustRightInd w:val="0"/>
        <w:spacing w:after="0" w:line="240" w:lineRule="auto"/>
        <w:rPr>
          <w:rFonts w:cs="Arial"/>
        </w:rPr>
      </w:pPr>
      <w:r w:rsidRPr="00460F5E">
        <w:rPr>
          <w:rFonts w:cs="Arial"/>
        </w:rPr>
        <w:t xml:space="preserve">Parmi toutes les populations vulnérables comprises dans l’étude bio-comportementale intégrée de 2015, le taux de prévalence était plus faible que dans l’étude menée en 2012. Une </w:t>
      </w:r>
      <w:r w:rsidRPr="00460F5E">
        <w:rPr>
          <w:rFonts w:cs="Arial"/>
        </w:rPr>
        <w:lastRenderedPageBreak/>
        <w:t xml:space="preserve">étude distincte dont la qualité est garantie à l’international a été menée en 2017, d’après un protocole révisé, et a montré un taux de prévalence de 11,4 pour cent pour les hommes ayant des rapports sexuels avec des hommes. Cet écart est dû à la qualité de la méthodologie de l’étude de 2012 sur cette population. </w:t>
      </w:r>
    </w:p>
    <w:p w:rsidR="00B02D23" w:rsidRPr="00460F5E" w:rsidRDefault="00B02D23" w:rsidP="00460F5E">
      <w:pPr>
        <w:autoSpaceDE w:val="0"/>
        <w:autoSpaceDN w:val="0"/>
        <w:adjustRightInd w:val="0"/>
        <w:spacing w:after="0" w:line="240" w:lineRule="auto"/>
        <w:rPr>
          <w:rFonts w:cs="Arial"/>
        </w:rPr>
      </w:pPr>
    </w:p>
    <w:p w:rsidR="003A47E5" w:rsidRPr="00460F5E" w:rsidRDefault="003A47E5" w:rsidP="00460F5E">
      <w:pPr>
        <w:autoSpaceDE w:val="0"/>
        <w:autoSpaceDN w:val="0"/>
        <w:adjustRightInd w:val="0"/>
        <w:spacing w:after="0" w:line="240" w:lineRule="auto"/>
        <w:rPr>
          <w:rFonts w:cs="Arial"/>
        </w:rPr>
      </w:pPr>
      <w:r w:rsidRPr="00460F5E">
        <w:rPr>
          <w:rFonts w:cs="Arial"/>
        </w:rPr>
        <w:t xml:space="preserve">Au sujet de la co-infection tuberculose/VIH, le dépistage de la tuberculose pour les patients vivant avec le VIH est élevé (supérieur à 97 pour cent), mais seulement 426 patients co-infectés par la tuberculose et le VIH ont reçu un traitement (rapport du Programme national de lutte contre le VIH de 2016). </w:t>
      </w:r>
    </w:p>
    <w:p w:rsidR="00B02D23" w:rsidRPr="00460F5E" w:rsidRDefault="00B02D23" w:rsidP="00460F5E">
      <w:pPr>
        <w:autoSpaceDE w:val="0"/>
        <w:autoSpaceDN w:val="0"/>
        <w:adjustRightInd w:val="0"/>
        <w:spacing w:after="0" w:line="240" w:lineRule="auto"/>
        <w:rPr>
          <w:rFonts w:cs="Arial"/>
        </w:rPr>
      </w:pPr>
    </w:p>
    <w:p w:rsidR="00B02D23" w:rsidRPr="00460F5E" w:rsidRDefault="003A47E5" w:rsidP="00460F5E">
      <w:pPr>
        <w:autoSpaceDE w:val="0"/>
        <w:autoSpaceDN w:val="0"/>
        <w:adjustRightInd w:val="0"/>
        <w:spacing w:after="0" w:line="240" w:lineRule="auto"/>
        <w:rPr>
          <w:rFonts w:cs="Arial"/>
        </w:rPr>
      </w:pPr>
      <w:r w:rsidRPr="00460F5E">
        <w:rPr>
          <w:rFonts w:cs="Arial"/>
        </w:rPr>
        <w:t xml:space="preserve">En dépit de l’augmentation progressive du nombre de personnes suivant un traitement antirétroviral, la couverture du traitement reste très faible, à 27,6 pour cent, contre un objectif de 43 pour cent en 2016 (comme il ressort de l’audit de la cohorte de patients suivant un traitement antirétroviral en 2017), et la rétention des patients demeure un enjeu majeur. Les enfants représentent 4,4 pour cent des personnes sous traitement antirétroviral. Cependant, il est probable que le nombre de personnes sous traitement antirétroviral soit surestimé en raison de problèmes de qualité des données, y compris les enregistrements incomplets des résultats du traitement (décès, patients perdus de vue, transferts de dossier) dans les centres de traitement et l’impact de la crise liée à Ébola (le nombre de consultations pour des services de santé a baissé dans tout le secteur de santé). </w:t>
      </w:r>
    </w:p>
    <w:p w:rsidR="003A47E5" w:rsidRPr="00460F5E" w:rsidRDefault="003A47E5" w:rsidP="00460F5E">
      <w:pPr>
        <w:autoSpaceDE w:val="0"/>
        <w:autoSpaceDN w:val="0"/>
        <w:adjustRightInd w:val="0"/>
        <w:spacing w:after="0" w:line="240" w:lineRule="auto"/>
        <w:rPr>
          <w:rFonts w:cs="Arial"/>
        </w:rPr>
      </w:pPr>
      <w:r w:rsidRPr="00460F5E">
        <w:rPr>
          <w:rFonts w:cs="Arial"/>
        </w:rPr>
        <w:t xml:space="preserve">L’intensification du traitement est également entravée par la lenteur de l’ouverture des nouveaux sites (70 au total en 2016 sur 78 prévus), les retards des formations du personnel de santé, les faibles capacités des laboratoires et une gestion insuffisante des stocks d’antirétroviraux, qui amène fréquemment à des ruptures de stock au niveau périphérique. </w:t>
      </w:r>
    </w:p>
    <w:p w:rsidR="003A47E5" w:rsidRPr="00460F5E" w:rsidRDefault="003A47E5" w:rsidP="00460F5E">
      <w:pPr>
        <w:autoSpaceDE w:val="0"/>
        <w:autoSpaceDN w:val="0"/>
        <w:adjustRightInd w:val="0"/>
        <w:spacing w:after="0" w:line="240" w:lineRule="auto"/>
        <w:rPr>
          <w:rFonts w:cs="Arial"/>
        </w:rPr>
      </w:pPr>
      <w:r w:rsidRPr="00460F5E">
        <w:rPr>
          <w:rFonts w:cs="Arial"/>
        </w:rPr>
        <w:t xml:space="preserve">Le plan national stratégique 2013/2017 doit être validé en 2018. La riposte au VIH est donc basée sur des données récentes et des consultations nationales en attendant la validation du plan national stratégique. </w:t>
      </w:r>
    </w:p>
    <w:p w:rsidR="00B02D23" w:rsidRPr="00460F5E" w:rsidRDefault="00B02D23" w:rsidP="00460F5E">
      <w:pPr>
        <w:rPr>
          <w:rFonts w:cs="Arial"/>
          <w:sz w:val="8"/>
          <w:szCs w:val="8"/>
        </w:rPr>
      </w:pPr>
    </w:p>
    <w:p w:rsidR="003A47E5" w:rsidRPr="00460F5E" w:rsidRDefault="003A47E5" w:rsidP="00460F5E">
      <w:pPr>
        <w:rPr>
          <w:rFonts w:cs="Tahoma"/>
        </w:rPr>
      </w:pPr>
      <w:r w:rsidRPr="00460F5E">
        <w:rPr>
          <w:rFonts w:cs="Arial"/>
        </w:rPr>
        <w:t>Outre les composantes de traitement et de soins de la riposte au VIH soutenue par le Fonds mondial grâce à cette subvention, PLAN International met en oeuvre la composante de prévention dans le cadre de la subvention GIN-C-PLAN.</w:t>
      </w:r>
    </w:p>
    <w:p w:rsidR="00392113" w:rsidRPr="00460F5E" w:rsidRDefault="004F0DF8" w:rsidP="00460F5E">
      <w:pPr>
        <w:pStyle w:val="Titre3"/>
      </w:pPr>
      <w:bookmarkStart w:id="45" w:name="_Toc513041127"/>
      <w:r w:rsidRPr="00460F5E">
        <w:t xml:space="preserve">4.6.1 </w:t>
      </w:r>
      <w:r w:rsidR="00392113" w:rsidRPr="00460F5E">
        <w:t>Groupes cibles ou bénéficiaires</w:t>
      </w:r>
      <w:bookmarkEnd w:id="45"/>
      <w:r w:rsidR="00392113" w:rsidRPr="00460F5E">
        <w:t xml:space="preserve"> </w:t>
      </w:r>
    </w:p>
    <w:p w:rsidR="00392113" w:rsidRPr="00460F5E" w:rsidRDefault="00392113" w:rsidP="00460F5E">
      <w:pPr>
        <w:pStyle w:val="Default"/>
        <w:numPr>
          <w:ilvl w:val="0"/>
          <w:numId w:val="103"/>
        </w:numPr>
        <w:rPr>
          <w:rFonts w:ascii="Rockwell" w:hAnsi="Rockwell" w:cs="Tahoma"/>
          <w:color w:val="auto"/>
          <w:sz w:val="23"/>
          <w:szCs w:val="23"/>
        </w:rPr>
      </w:pPr>
      <w:r w:rsidRPr="00460F5E">
        <w:rPr>
          <w:rFonts w:ascii="Rockwell" w:hAnsi="Rockwell" w:cs="Tahoma"/>
          <w:color w:val="auto"/>
          <w:sz w:val="23"/>
          <w:szCs w:val="23"/>
        </w:rPr>
        <w:t xml:space="preserve">Population générale ; </w:t>
      </w:r>
    </w:p>
    <w:p w:rsidR="00392113" w:rsidRPr="00460F5E" w:rsidRDefault="00392113" w:rsidP="00460F5E">
      <w:pPr>
        <w:pStyle w:val="Default"/>
        <w:numPr>
          <w:ilvl w:val="0"/>
          <w:numId w:val="103"/>
        </w:numPr>
        <w:rPr>
          <w:rFonts w:ascii="Rockwell" w:hAnsi="Rockwell" w:cs="Tahoma"/>
          <w:color w:val="auto"/>
          <w:sz w:val="23"/>
          <w:szCs w:val="23"/>
        </w:rPr>
      </w:pPr>
      <w:r w:rsidRPr="00460F5E">
        <w:rPr>
          <w:rFonts w:ascii="Rockwell" w:hAnsi="Rockwell" w:cs="Tahoma"/>
          <w:color w:val="auto"/>
          <w:sz w:val="23"/>
          <w:szCs w:val="23"/>
        </w:rPr>
        <w:t xml:space="preserve">Femmes, jeunes et enfants ; </w:t>
      </w:r>
    </w:p>
    <w:p w:rsidR="00392113" w:rsidRPr="00460F5E" w:rsidRDefault="00392113" w:rsidP="00460F5E">
      <w:pPr>
        <w:pStyle w:val="Default"/>
        <w:numPr>
          <w:ilvl w:val="0"/>
          <w:numId w:val="103"/>
        </w:numPr>
        <w:rPr>
          <w:rFonts w:ascii="Rockwell" w:hAnsi="Rockwell" w:cs="Tahoma"/>
          <w:color w:val="auto"/>
          <w:sz w:val="22"/>
          <w:szCs w:val="22"/>
        </w:rPr>
      </w:pPr>
      <w:r w:rsidRPr="00460F5E">
        <w:rPr>
          <w:rFonts w:ascii="Rockwell" w:hAnsi="Rockwell" w:cs="Tahoma"/>
          <w:color w:val="auto"/>
          <w:sz w:val="22"/>
          <w:szCs w:val="22"/>
        </w:rPr>
        <w:t xml:space="preserve">Partenaires de femmes séropositives; </w:t>
      </w:r>
    </w:p>
    <w:p w:rsidR="00392113" w:rsidRPr="00460F5E" w:rsidRDefault="00392113" w:rsidP="00460F5E">
      <w:pPr>
        <w:pStyle w:val="Default"/>
        <w:numPr>
          <w:ilvl w:val="0"/>
          <w:numId w:val="103"/>
        </w:numPr>
        <w:rPr>
          <w:rFonts w:ascii="Rockwell" w:hAnsi="Rockwell" w:cs="Tahoma"/>
          <w:color w:val="auto"/>
          <w:sz w:val="22"/>
          <w:szCs w:val="22"/>
        </w:rPr>
      </w:pPr>
      <w:r w:rsidRPr="00460F5E">
        <w:rPr>
          <w:rFonts w:ascii="Rockwell" w:hAnsi="Rockwell" w:cs="Tahoma"/>
          <w:color w:val="auto"/>
          <w:sz w:val="22"/>
          <w:szCs w:val="22"/>
        </w:rPr>
        <w:t xml:space="preserve">Personnes vivant avec le VIH ; </w:t>
      </w:r>
    </w:p>
    <w:p w:rsidR="00392113" w:rsidRPr="00460F5E" w:rsidRDefault="00392113" w:rsidP="00460F5E">
      <w:pPr>
        <w:pStyle w:val="Default"/>
        <w:numPr>
          <w:ilvl w:val="0"/>
          <w:numId w:val="103"/>
        </w:numPr>
        <w:rPr>
          <w:rFonts w:ascii="Rockwell" w:hAnsi="Rockwell" w:cs="Tahoma"/>
          <w:color w:val="auto"/>
          <w:sz w:val="23"/>
          <w:szCs w:val="23"/>
        </w:rPr>
      </w:pPr>
      <w:r w:rsidRPr="00460F5E">
        <w:rPr>
          <w:rFonts w:ascii="Rockwell" w:hAnsi="Rockwell" w:cs="Tahoma"/>
          <w:color w:val="auto"/>
          <w:sz w:val="23"/>
          <w:szCs w:val="23"/>
        </w:rPr>
        <w:t xml:space="preserve">Personnes co-infectées par la tuberculose et le VIH ; </w:t>
      </w:r>
    </w:p>
    <w:p w:rsidR="00392113" w:rsidRPr="00460F5E" w:rsidRDefault="00392113" w:rsidP="00460F5E">
      <w:pPr>
        <w:pStyle w:val="Default"/>
        <w:numPr>
          <w:ilvl w:val="0"/>
          <w:numId w:val="103"/>
        </w:numPr>
        <w:rPr>
          <w:rFonts w:ascii="Rockwell" w:hAnsi="Rockwell" w:cs="Tahoma"/>
          <w:color w:val="auto"/>
          <w:sz w:val="23"/>
          <w:szCs w:val="23"/>
        </w:rPr>
      </w:pPr>
      <w:r w:rsidRPr="00460F5E">
        <w:rPr>
          <w:rFonts w:ascii="Rockwell" w:hAnsi="Rockwell" w:cs="Tahoma"/>
          <w:color w:val="auto"/>
          <w:sz w:val="23"/>
          <w:szCs w:val="23"/>
        </w:rPr>
        <w:t xml:space="preserve">Femmes enceintes et nourrissons exposés au VIH ; </w:t>
      </w:r>
    </w:p>
    <w:p w:rsidR="00392113" w:rsidRPr="00460F5E" w:rsidRDefault="00392113" w:rsidP="00460F5E">
      <w:pPr>
        <w:pStyle w:val="Default"/>
        <w:numPr>
          <w:ilvl w:val="0"/>
          <w:numId w:val="103"/>
        </w:numPr>
        <w:rPr>
          <w:rFonts w:ascii="Rockwell" w:hAnsi="Rockwell" w:cs="Tahoma"/>
          <w:color w:val="auto"/>
          <w:sz w:val="23"/>
          <w:szCs w:val="23"/>
        </w:rPr>
      </w:pPr>
      <w:r w:rsidRPr="00460F5E">
        <w:rPr>
          <w:rFonts w:ascii="Rockwell" w:hAnsi="Rockwell" w:cs="Tahoma"/>
          <w:color w:val="auto"/>
          <w:sz w:val="23"/>
          <w:szCs w:val="23"/>
        </w:rPr>
        <w:t xml:space="preserve">Travailleurs du sexe ; </w:t>
      </w:r>
    </w:p>
    <w:p w:rsidR="00392113" w:rsidRPr="00460F5E" w:rsidRDefault="00392113" w:rsidP="00460F5E">
      <w:pPr>
        <w:pStyle w:val="Default"/>
        <w:numPr>
          <w:ilvl w:val="0"/>
          <w:numId w:val="103"/>
        </w:numPr>
        <w:rPr>
          <w:rFonts w:ascii="Rockwell" w:hAnsi="Rockwell" w:cs="Tahoma"/>
          <w:color w:val="auto"/>
          <w:sz w:val="23"/>
          <w:szCs w:val="23"/>
        </w:rPr>
      </w:pPr>
      <w:r w:rsidRPr="00460F5E">
        <w:rPr>
          <w:rFonts w:ascii="Rockwell" w:hAnsi="Rockwell" w:cs="Tahoma"/>
          <w:color w:val="auto"/>
          <w:sz w:val="23"/>
          <w:szCs w:val="23"/>
        </w:rPr>
        <w:t xml:space="preserve">Hommes ayant des rapports sexuels avec des hommes ; et </w:t>
      </w:r>
    </w:p>
    <w:p w:rsidR="00392113" w:rsidRPr="00460F5E" w:rsidRDefault="00392113" w:rsidP="00460F5E">
      <w:pPr>
        <w:pStyle w:val="Default"/>
        <w:numPr>
          <w:ilvl w:val="0"/>
          <w:numId w:val="103"/>
        </w:numPr>
        <w:rPr>
          <w:rFonts w:ascii="Rockwell" w:hAnsi="Rockwell" w:cs="Tahoma"/>
          <w:color w:val="auto"/>
          <w:sz w:val="23"/>
          <w:szCs w:val="23"/>
        </w:rPr>
      </w:pPr>
      <w:r w:rsidRPr="00460F5E">
        <w:rPr>
          <w:rFonts w:ascii="Rockwell" w:hAnsi="Rockwell" w:cs="Tahoma"/>
          <w:color w:val="auto"/>
          <w:sz w:val="23"/>
          <w:szCs w:val="23"/>
        </w:rPr>
        <w:t xml:space="preserve">Populations vulnérables (mineurs, conducteurs de camions longue distance, pêcheurs, hommes en uniforme). </w:t>
      </w:r>
    </w:p>
    <w:p w:rsidR="00392113" w:rsidRPr="00460F5E" w:rsidRDefault="00392113" w:rsidP="00460F5E">
      <w:pPr>
        <w:rPr>
          <w:rFonts w:cs="Tahoma"/>
        </w:rPr>
      </w:pPr>
    </w:p>
    <w:p w:rsidR="001B4D5A" w:rsidRDefault="001B4D5A">
      <w:pPr>
        <w:spacing w:after="200"/>
        <w:rPr>
          <w:rFonts w:asciiTheme="majorHAnsi" w:eastAsiaTheme="majorEastAsia" w:hAnsiTheme="majorHAnsi" w:cstheme="majorBidi"/>
          <w:b/>
          <w:bCs/>
          <w:color w:val="4F81BD" w:themeColor="accent1"/>
        </w:rPr>
      </w:pPr>
      <w:bookmarkStart w:id="46" w:name="_Toc513041128"/>
      <w:r>
        <w:br w:type="page"/>
      </w:r>
    </w:p>
    <w:p w:rsidR="003A47E5" w:rsidRPr="00460F5E" w:rsidRDefault="004F0DF8" w:rsidP="00460F5E">
      <w:pPr>
        <w:pStyle w:val="Titre3"/>
      </w:pPr>
      <w:r w:rsidRPr="00460F5E">
        <w:lastRenderedPageBreak/>
        <w:t xml:space="preserve">4.6.2 </w:t>
      </w:r>
      <w:r w:rsidR="003A47E5" w:rsidRPr="00460F5E">
        <w:t>Objectifs, stratégies et activités</w:t>
      </w:r>
      <w:bookmarkEnd w:id="46"/>
      <w:r w:rsidR="003A47E5" w:rsidRPr="00460F5E">
        <w:t xml:space="preserve"> </w:t>
      </w:r>
    </w:p>
    <w:p w:rsidR="003A47E5" w:rsidRPr="00460F5E" w:rsidRDefault="003A47E5" w:rsidP="00460F5E">
      <w:pPr>
        <w:pStyle w:val="Default"/>
        <w:rPr>
          <w:rFonts w:ascii="Rockwell" w:hAnsi="Rockwell" w:cs="Tahoma"/>
          <w:color w:val="auto"/>
          <w:sz w:val="22"/>
          <w:szCs w:val="22"/>
        </w:rPr>
      </w:pPr>
      <w:r w:rsidRPr="00460F5E">
        <w:rPr>
          <w:rFonts w:ascii="Rockwell" w:hAnsi="Rockwell" w:cs="Tahoma"/>
          <w:b/>
          <w:bCs/>
          <w:color w:val="auto"/>
          <w:sz w:val="22"/>
          <w:szCs w:val="22"/>
        </w:rPr>
        <w:t xml:space="preserve">Objectifs </w:t>
      </w:r>
    </w:p>
    <w:p w:rsidR="003A47E5" w:rsidRPr="00460F5E" w:rsidRDefault="003A47E5" w:rsidP="00460F5E">
      <w:pPr>
        <w:pStyle w:val="Default"/>
        <w:numPr>
          <w:ilvl w:val="0"/>
          <w:numId w:val="6"/>
        </w:numPr>
        <w:spacing w:after="155"/>
        <w:rPr>
          <w:rFonts w:ascii="Rockwell" w:hAnsi="Rockwell" w:cs="Tahoma"/>
          <w:color w:val="auto"/>
          <w:sz w:val="22"/>
          <w:szCs w:val="22"/>
        </w:rPr>
      </w:pPr>
      <w:r w:rsidRPr="00460F5E">
        <w:rPr>
          <w:rFonts w:ascii="Rockwell" w:hAnsi="Rockwell" w:cs="Tahoma"/>
          <w:color w:val="auto"/>
          <w:sz w:val="22"/>
          <w:szCs w:val="22"/>
        </w:rPr>
        <w:t xml:space="preserve">De 2018 à 2022, réduire le nombre de nouvelles infections à VIH de 37 pour cent. </w:t>
      </w:r>
    </w:p>
    <w:p w:rsidR="003A47E5" w:rsidRPr="00460F5E" w:rsidRDefault="003A47E5" w:rsidP="00460F5E">
      <w:pPr>
        <w:pStyle w:val="Default"/>
        <w:numPr>
          <w:ilvl w:val="0"/>
          <w:numId w:val="6"/>
        </w:numPr>
        <w:rPr>
          <w:rFonts w:ascii="Rockwell" w:hAnsi="Rockwell" w:cs="Tahoma"/>
          <w:color w:val="auto"/>
          <w:sz w:val="22"/>
          <w:szCs w:val="22"/>
        </w:rPr>
      </w:pPr>
      <w:r w:rsidRPr="00460F5E">
        <w:rPr>
          <w:rFonts w:ascii="Rockwell" w:hAnsi="Rockwell" w:cs="Tahoma"/>
          <w:color w:val="auto"/>
          <w:sz w:val="22"/>
          <w:szCs w:val="22"/>
        </w:rPr>
        <w:t xml:space="preserve">De 2018 à 2022, réduire la mortalité et la morbidité des personnes vivant avec le VIH d’au moins 51 pour cent. </w:t>
      </w:r>
    </w:p>
    <w:p w:rsidR="003A47E5" w:rsidRPr="00460F5E" w:rsidRDefault="003A47E5" w:rsidP="00460F5E">
      <w:pPr>
        <w:pStyle w:val="Default"/>
        <w:rPr>
          <w:rFonts w:ascii="Rockwell" w:hAnsi="Rockwell" w:cs="Tahoma"/>
          <w:color w:val="auto"/>
          <w:sz w:val="22"/>
          <w:szCs w:val="22"/>
        </w:rPr>
      </w:pPr>
    </w:p>
    <w:p w:rsidR="003A47E5" w:rsidRPr="00460F5E" w:rsidRDefault="003A47E5" w:rsidP="00460F5E">
      <w:pPr>
        <w:pStyle w:val="Default"/>
        <w:rPr>
          <w:rFonts w:ascii="Rockwell" w:hAnsi="Rockwell" w:cs="Tahoma"/>
          <w:color w:val="auto"/>
          <w:sz w:val="22"/>
          <w:szCs w:val="22"/>
        </w:rPr>
      </w:pPr>
      <w:r w:rsidRPr="00460F5E">
        <w:rPr>
          <w:rFonts w:ascii="Rockwell" w:hAnsi="Rockwell" w:cs="Tahoma"/>
          <w:b/>
          <w:bCs/>
          <w:color w:val="auto"/>
          <w:sz w:val="22"/>
          <w:szCs w:val="22"/>
        </w:rPr>
        <w:t xml:space="preserve">Stratégies </w:t>
      </w:r>
    </w:p>
    <w:p w:rsidR="003A47E5" w:rsidRPr="00460F5E" w:rsidRDefault="003A47E5" w:rsidP="00460F5E">
      <w:pPr>
        <w:pStyle w:val="Default"/>
        <w:numPr>
          <w:ilvl w:val="0"/>
          <w:numId w:val="7"/>
        </w:numPr>
        <w:spacing w:after="157"/>
        <w:rPr>
          <w:rFonts w:ascii="Rockwell" w:hAnsi="Rockwell" w:cs="Tahoma"/>
          <w:color w:val="auto"/>
          <w:sz w:val="22"/>
          <w:szCs w:val="22"/>
        </w:rPr>
      </w:pPr>
      <w:r w:rsidRPr="00460F5E">
        <w:rPr>
          <w:rFonts w:ascii="Rockwell" w:hAnsi="Rockwell" w:cs="Tahoma"/>
          <w:color w:val="auto"/>
          <w:sz w:val="22"/>
          <w:szCs w:val="22"/>
        </w:rPr>
        <w:t xml:space="preserve">D’ici à 2022, le programme de lutte contre le VIH prévoit de réduire la transmission du VIH de la mère à l’enfant de 80 pour cent. </w:t>
      </w:r>
    </w:p>
    <w:p w:rsidR="003A47E5" w:rsidRPr="00460F5E" w:rsidRDefault="003A47E5" w:rsidP="00460F5E">
      <w:pPr>
        <w:pStyle w:val="Default"/>
        <w:numPr>
          <w:ilvl w:val="0"/>
          <w:numId w:val="7"/>
        </w:numPr>
        <w:spacing w:after="157"/>
        <w:rPr>
          <w:rFonts w:ascii="Rockwell" w:hAnsi="Rockwell" w:cs="Tahoma"/>
          <w:color w:val="auto"/>
          <w:sz w:val="22"/>
          <w:szCs w:val="22"/>
        </w:rPr>
      </w:pPr>
      <w:r w:rsidRPr="00460F5E">
        <w:rPr>
          <w:rFonts w:ascii="Rockwell" w:hAnsi="Rockwell" w:cs="Tahoma"/>
          <w:color w:val="auto"/>
          <w:sz w:val="22"/>
          <w:szCs w:val="22"/>
        </w:rPr>
        <w:t xml:space="preserve">Augmenter la proportion de personnes vivant avec le VIH (adultes et enfants) qui survivent 12 mois après le début du traitement, afin qu’elle atteigne 90 pour cent d’ici fin 2022. </w:t>
      </w:r>
    </w:p>
    <w:p w:rsidR="003A47E5" w:rsidRPr="00460F5E" w:rsidRDefault="003A47E5" w:rsidP="00460F5E">
      <w:pPr>
        <w:pStyle w:val="Default"/>
        <w:numPr>
          <w:ilvl w:val="0"/>
          <w:numId w:val="7"/>
        </w:numPr>
        <w:spacing w:after="157"/>
        <w:rPr>
          <w:rFonts w:ascii="Rockwell" w:hAnsi="Rockwell" w:cs="Tahoma"/>
          <w:color w:val="auto"/>
          <w:sz w:val="22"/>
          <w:szCs w:val="22"/>
        </w:rPr>
      </w:pPr>
      <w:r w:rsidRPr="00460F5E">
        <w:rPr>
          <w:rFonts w:ascii="Rockwell" w:hAnsi="Rockwell" w:cs="Tahoma"/>
          <w:color w:val="auto"/>
          <w:sz w:val="22"/>
          <w:szCs w:val="22"/>
        </w:rPr>
        <w:t xml:space="preserve">S’assurer qu’au moins 60 pour cent des populations-clés (les travailleurs du sexe et les hommes ayant des rapports sexuels avec des hommes) adoptent des comportements moins risqués en ce qui concerne les IST et le VIH d’ici 2022. </w:t>
      </w:r>
    </w:p>
    <w:p w:rsidR="003A47E5" w:rsidRPr="00460F5E" w:rsidRDefault="003A47E5" w:rsidP="00460F5E">
      <w:pPr>
        <w:pStyle w:val="Default"/>
        <w:numPr>
          <w:ilvl w:val="0"/>
          <w:numId w:val="7"/>
        </w:numPr>
        <w:rPr>
          <w:rFonts w:ascii="Rockwell" w:hAnsi="Rockwell" w:cs="Tahoma"/>
          <w:color w:val="auto"/>
          <w:sz w:val="22"/>
          <w:szCs w:val="22"/>
        </w:rPr>
      </w:pPr>
      <w:r w:rsidRPr="00460F5E">
        <w:rPr>
          <w:rFonts w:ascii="Rockwell" w:hAnsi="Rockwell" w:cs="Tahoma"/>
          <w:color w:val="auto"/>
          <w:sz w:val="22"/>
          <w:szCs w:val="22"/>
        </w:rPr>
        <w:t xml:space="preserve">S’assurer qu’au moins 80 pour cent des adolescents et des jeunes entre 10 et 24 ans adoptent des comportements moins risqués en ce qui concerne les IST et le VIH d’ici 2022. </w:t>
      </w:r>
    </w:p>
    <w:p w:rsidR="003A47E5" w:rsidRPr="00460F5E" w:rsidRDefault="003A47E5" w:rsidP="00460F5E">
      <w:pPr>
        <w:pStyle w:val="Default"/>
        <w:rPr>
          <w:rFonts w:ascii="Rockwell" w:hAnsi="Rockwell" w:cs="Tahoma"/>
          <w:color w:val="auto"/>
          <w:sz w:val="22"/>
          <w:szCs w:val="22"/>
        </w:rPr>
      </w:pPr>
    </w:p>
    <w:p w:rsidR="003A47E5" w:rsidRPr="00460F5E" w:rsidRDefault="004F0DF8" w:rsidP="00460F5E">
      <w:pPr>
        <w:pStyle w:val="Titre3"/>
      </w:pPr>
      <w:bookmarkStart w:id="47" w:name="_Toc513041129"/>
      <w:r w:rsidRPr="00460F5E">
        <w:t xml:space="preserve">4.6.3 </w:t>
      </w:r>
      <w:r w:rsidR="003A47E5" w:rsidRPr="00460F5E">
        <w:t>Activités</w:t>
      </w:r>
      <w:bookmarkEnd w:id="47"/>
      <w:r w:rsidR="003A47E5" w:rsidRPr="00460F5E">
        <w:t xml:space="preserve"> </w:t>
      </w:r>
    </w:p>
    <w:p w:rsidR="003A47E5" w:rsidRPr="00460F5E" w:rsidRDefault="003A47E5" w:rsidP="00460F5E">
      <w:pPr>
        <w:pStyle w:val="Titre4"/>
        <w:rPr>
          <w:rFonts w:ascii="Rockwell" w:hAnsi="Rockwell"/>
        </w:rPr>
      </w:pPr>
      <w:r w:rsidRPr="00460F5E">
        <w:rPr>
          <w:rFonts w:ascii="Rockwell" w:hAnsi="Rockwell"/>
        </w:rPr>
        <w:t xml:space="preserve">Dépistage et traitement des femmes enceintes et des nourrissons exposés au VIH </w:t>
      </w:r>
    </w:p>
    <w:p w:rsidR="003A47E5" w:rsidRPr="00460F5E" w:rsidRDefault="003A47E5" w:rsidP="00460F5E">
      <w:pPr>
        <w:pStyle w:val="Default"/>
        <w:numPr>
          <w:ilvl w:val="0"/>
          <w:numId w:val="12"/>
        </w:numPr>
        <w:spacing w:after="156"/>
        <w:rPr>
          <w:rFonts w:ascii="Rockwell" w:hAnsi="Rockwell" w:cs="Tahoma"/>
          <w:color w:val="auto"/>
          <w:sz w:val="22"/>
          <w:szCs w:val="22"/>
        </w:rPr>
      </w:pPr>
      <w:r w:rsidRPr="00460F5E">
        <w:rPr>
          <w:rFonts w:ascii="Rockwell" w:hAnsi="Rockwell" w:cs="Tahoma"/>
          <w:color w:val="auto"/>
          <w:sz w:val="22"/>
          <w:szCs w:val="22"/>
        </w:rPr>
        <w:t xml:space="preserve">Intensifier les activités de prévention de la transmission de la mère à l’enfant d’après le plan existant d’intensification à ce sujet ; </w:t>
      </w:r>
    </w:p>
    <w:p w:rsidR="003A47E5" w:rsidRPr="00460F5E" w:rsidRDefault="003A47E5" w:rsidP="00460F5E">
      <w:pPr>
        <w:pStyle w:val="Default"/>
        <w:numPr>
          <w:ilvl w:val="0"/>
          <w:numId w:val="12"/>
        </w:numPr>
        <w:spacing w:after="156"/>
        <w:rPr>
          <w:rFonts w:ascii="Rockwell" w:hAnsi="Rockwell" w:cs="Tahoma"/>
          <w:color w:val="auto"/>
          <w:sz w:val="22"/>
          <w:szCs w:val="22"/>
        </w:rPr>
      </w:pPr>
      <w:r w:rsidRPr="00460F5E">
        <w:rPr>
          <w:rFonts w:ascii="Rockwell" w:hAnsi="Rockwell" w:cs="Tahoma"/>
          <w:color w:val="auto"/>
          <w:sz w:val="22"/>
          <w:szCs w:val="22"/>
        </w:rPr>
        <w:t xml:space="preserve">Améliorer la couverture du dépistage du VIH chez les femmes enceintes, les conjoints ou partenaires de femmes enceintes séropositives et les nourrissons exposés ; </w:t>
      </w:r>
    </w:p>
    <w:p w:rsidR="003A47E5" w:rsidRPr="00460F5E" w:rsidRDefault="003A47E5" w:rsidP="00460F5E">
      <w:pPr>
        <w:pStyle w:val="Default"/>
        <w:numPr>
          <w:ilvl w:val="0"/>
          <w:numId w:val="12"/>
        </w:numPr>
        <w:spacing w:after="156"/>
        <w:rPr>
          <w:rFonts w:ascii="Rockwell" w:hAnsi="Rockwell" w:cs="Tahoma"/>
          <w:color w:val="auto"/>
          <w:sz w:val="22"/>
          <w:szCs w:val="22"/>
        </w:rPr>
      </w:pPr>
      <w:r w:rsidRPr="00460F5E">
        <w:rPr>
          <w:rFonts w:ascii="Rockwell" w:hAnsi="Rockwell" w:cs="Tahoma"/>
          <w:color w:val="auto"/>
          <w:sz w:val="22"/>
          <w:szCs w:val="22"/>
        </w:rPr>
        <w:t xml:space="preserve">Améliorer la promotion des services, la sensibilisation, la participation des conjoints et réduire le rejet social et la discrimination ; </w:t>
      </w:r>
    </w:p>
    <w:p w:rsidR="003A47E5" w:rsidRPr="00460F5E" w:rsidRDefault="003A47E5" w:rsidP="00460F5E">
      <w:pPr>
        <w:pStyle w:val="Default"/>
        <w:numPr>
          <w:ilvl w:val="0"/>
          <w:numId w:val="12"/>
        </w:numPr>
        <w:spacing w:after="156"/>
        <w:rPr>
          <w:rFonts w:ascii="Rockwell" w:hAnsi="Rockwell" w:cs="Tahoma"/>
          <w:color w:val="auto"/>
          <w:sz w:val="22"/>
          <w:szCs w:val="22"/>
        </w:rPr>
      </w:pPr>
      <w:r w:rsidRPr="00460F5E">
        <w:rPr>
          <w:rFonts w:ascii="Rockwell" w:hAnsi="Rockwell" w:cs="Tahoma"/>
          <w:color w:val="auto"/>
          <w:sz w:val="22"/>
          <w:szCs w:val="22"/>
        </w:rPr>
        <w:t xml:space="preserve">Améliorer la rétention et le suivi des femmes et de leurs nourrissons placés sous traitement antirétroviral (option B+) et rechercher les patients perdus de vue ; et </w:t>
      </w:r>
    </w:p>
    <w:p w:rsidR="003A47E5" w:rsidRPr="00460F5E" w:rsidRDefault="003A47E5" w:rsidP="00460F5E">
      <w:pPr>
        <w:pStyle w:val="Default"/>
        <w:numPr>
          <w:ilvl w:val="0"/>
          <w:numId w:val="12"/>
        </w:numPr>
        <w:rPr>
          <w:rFonts w:ascii="Rockwell" w:hAnsi="Rockwell" w:cs="Tahoma"/>
          <w:color w:val="auto"/>
          <w:sz w:val="22"/>
          <w:szCs w:val="22"/>
        </w:rPr>
      </w:pPr>
      <w:r w:rsidRPr="00460F5E">
        <w:rPr>
          <w:rFonts w:ascii="Rockwell" w:hAnsi="Rockwell" w:cs="Tahoma"/>
          <w:color w:val="auto"/>
          <w:sz w:val="22"/>
          <w:szCs w:val="22"/>
        </w:rPr>
        <w:t xml:space="preserve">Former le personnel de santé à la prévention de la transmission de la mère à l’enfant et assurer sa supervision. </w:t>
      </w:r>
    </w:p>
    <w:p w:rsidR="003A47E5" w:rsidRPr="00460F5E" w:rsidRDefault="003A47E5" w:rsidP="00460F5E">
      <w:pPr>
        <w:pStyle w:val="Default"/>
        <w:rPr>
          <w:rFonts w:ascii="Rockwell" w:hAnsi="Rockwell" w:cs="Tahoma"/>
          <w:color w:val="auto"/>
          <w:sz w:val="22"/>
          <w:szCs w:val="22"/>
        </w:rPr>
      </w:pPr>
    </w:p>
    <w:p w:rsidR="003A47E5" w:rsidRPr="00460F5E" w:rsidRDefault="003A47E5" w:rsidP="00460F5E">
      <w:pPr>
        <w:pStyle w:val="Titre4"/>
        <w:rPr>
          <w:rFonts w:ascii="Rockwell" w:hAnsi="Rockwell"/>
        </w:rPr>
      </w:pPr>
      <w:r w:rsidRPr="00460F5E">
        <w:rPr>
          <w:rFonts w:ascii="Rockwell" w:hAnsi="Rockwell"/>
        </w:rPr>
        <w:t xml:space="preserve">Services de dépistage du VIH différenciés </w:t>
      </w:r>
    </w:p>
    <w:p w:rsidR="003A47E5" w:rsidRPr="00460F5E" w:rsidRDefault="003A47E5" w:rsidP="00460F5E">
      <w:pPr>
        <w:pStyle w:val="Default"/>
        <w:numPr>
          <w:ilvl w:val="0"/>
          <w:numId w:val="12"/>
        </w:numPr>
        <w:spacing w:after="158"/>
        <w:rPr>
          <w:rFonts w:ascii="Rockwell" w:hAnsi="Rockwell" w:cs="Tahoma"/>
          <w:color w:val="auto"/>
          <w:sz w:val="22"/>
          <w:szCs w:val="22"/>
        </w:rPr>
      </w:pPr>
      <w:r w:rsidRPr="00460F5E">
        <w:rPr>
          <w:rFonts w:ascii="Rockwell" w:hAnsi="Rockwell" w:cs="Tahoma"/>
          <w:color w:val="auto"/>
          <w:sz w:val="22"/>
          <w:szCs w:val="22"/>
        </w:rPr>
        <w:t xml:space="preserve">Renforcer le réseau d'acteurs et de structures concernés pour le dépistage communautaire dans les principales villes et sites à forte prévalence ou hautement vulnérables ; et </w:t>
      </w:r>
    </w:p>
    <w:p w:rsidR="003A47E5" w:rsidRPr="00460F5E" w:rsidRDefault="003A47E5" w:rsidP="00460F5E">
      <w:pPr>
        <w:pStyle w:val="Default"/>
        <w:numPr>
          <w:ilvl w:val="0"/>
          <w:numId w:val="12"/>
        </w:numPr>
        <w:rPr>
          <w:rFonts w:ascii="Rockwell" w:hAnsi="Rockwell" w:cs="Tahoma"/>
          <w:color w:val="auto"/>
          <w:sz w:val="22"/>
          <w:szCs w:val="22"/>
        </w:rPr>
      </w:pPr>
      <w:r w:rsidRPr="00460F5E">
        <w:rPr>
          <w:rFonts w:ascii="Rockwell" w:hAnsi="Rockwell" w:cs="Tahoma"/>
          <w:color w:val="auto"/>
          <w:sz w:val="22"/>
          <w:szCs w:val="22"/>
        </w:rPr>
        <w:t xml:space="preserve">Dispenser des formations au personnel de santé pour l’expansion des services de « dépistage et conseil à l’initiative des soignants » à tous les points d’entrée des établissements de santé avec une forte prévalence. </w:t>
      </w:r>
    </w:p>
    <w:p w:rsidR="001B4D5A" w:rsidRDefault="001B4D5A">
      <w:pPr>
        <w:spacing w:after="200"/>
        <w:rPr>
          <w:rFonts w:eastAsiaTheme="majorEastAsia" w:cstheme="majorBidi"/>
          <w:b/>
          <w:bCs/>
          <w:i/>
          <w:iCs/>
          <w:color w:val="4F81BD" w:themeColor="accent1"/>
        </w:rPr>
      </w:pPr>
      <w:r>
        <w:br w:type="page"/>
      </w:r>
    </w:p>
    <w:p w:rsidR="003A47E5" w:rsidRPr="00460F5E" w:rsidRDefault="003A47E5" w:rsidP="00460F5E">
      <w:pPr>
        <w:pStyle w:val="Titre4"/>
        <w:rPr>
          <w:rFonts w:ascii="Rockwell" w:hAnsi="Rockwell"/>
        </w:rPr>
      </w:pPr>
      <w:r w:rsidRPr="00460F5E">
        <w:rPr>
          <w:rFonts w:ascii="Rockwell" w:hAnsi="Rockwell"/>
        </w:rPr>
        <w:lastRenderedPageBreak/>
        <w:t xml:space="preserve">Traitement, prise en charge et soutien </w:t>
      </w:r>
    </w:p>
    <w:p w:rsidR="003A47E5" w:rsidRPr="00460F5E" w:rsidRDefault="003A47E5" w:rsidP="00460F5E">
      <w:pPr>
        <w:pStyle w:val="Default"/>
        <w:numPr>
          <w:ilvl w:val="0"/>
          <w:numId w:val="10"/>
        </w:numPr>
        <w:spacing w:after="156"/>
        <w:rPr>
          <w:rFonts w:ascii="Rockwell" w:hAnsi="Rockwell" w:cs="Tahoma"/>
          <w:color w:val="auto"/>
          <w:sz w:val="22"/>
          <w:szCs w:val="22"/>
        </w:rPr>
      </w:pPr>
      <w:r w:rsidRPr="00460F5E">
        <w:rPr>
          <w:rFonts w:ascii="Rockwell" w:hAnsi="Rockwell" w:cs="Tahoma"/>
          <w:color w:val="auto"/>
          <w:sz w:val="22"/>
          <w:szCs w:val="22"/>
        </w:rPr>
        <w:t xml:space="preserve">Améliorer la rétention dans les centres de traitement et la recherche des patients perdus de vue ; </w:t>
      </w:r>
    </w:p>
    <w:p w:rsidR="003A47E5" w:rsidRPr="00460F5E" w:rsidRDefault="003A47E5" w:rsidP="00460F5E">
      <w:pPr>
        <w:pStyle w:val="Default"/>
        <w:numPr>
          <w:ilvl w:val="0"/>
          <w:numId w:val="10"/>
        </w:numPr>
        <w:spacing w:after="156"/>
        <w:rPr>
          <w:rFonts w:ascii="Rockwell" w:hAnsi="Rockwell" w:cs="Tahoma"/>
          <w:color w:val="auto"/>
          <w:sz w:val="22"/>
          <w:szCs w:val="22"/>
        </w:rPr>
      </w:pPr>
      <w:r w:rsidRPr="00460F5E">
        <w:rPr>
          <w:rFonts w:ascii="Rockwell" w:hAnsi="Rockwell" w:cs="Tahoma"/>
          <w:color w:val="auto"/>
          <w:sz w:val="22"/>
          <w:szCs w:val="22"/>
        </w:rPr>
        <w:t xml:space="preserve">Renforcer le soutien psychologique dans les centres de santé ou au domicilie afin d’assurer l’observance du traitement ; </w:t>
      </w:r>
    </w:p>
    <w:p w:rsidR="003A47E5" w:rsidRPr="00460F5E" w:rsidRDefault="003A47E5" w:rsidP="00460F5E">
      <w:pPr>
        <w:pStyle w:val="Default"/>
        <w:numPr>
          <w:ilvl w:val="0"/>
          <w:numId w:val="10"/>
        </w:numPr>
        <w:spacing w:after="156"/>
        <w:rPr>
          <w:rFonts w:ascii="Rockwell" w:hAnsi="Rockwell" w:cs="Tahoma"/>
          <w:color w:val="auto"/>
          <w:sz w:val="22"/>
          <w:szCs w:val="22"/>
        </w:rPr>
      </w:pPr>
      <w:r w:rsidRPr="00460F5E">
        <w:rPr>
          <w:rFonts w:ascii="Rockwell" w:hAnsi="Rockwell" w:cs="Tahoma"/>
          <w:color w:val="auto"/>
          <w:sz w:val="22"/>
          <w:szCs w:val="22"/>
        </w:rPr>
        <w:t xml:space="preserve">Dispenser une formation au personnel médical sur la prévention du VIH et équiper les centres de kits de prévention du VIH ; </w:t>
      </w:r>
    </w:p>
    <w:p w:rsidR="003A47E5" w:rsidRPr="00460F5E" w:rsidRDefault="003A47E5" w:rsidP="00460F5E">
      <w:pPr>
        <w:pStyle w:val="Default"/>
        <w:numPr>
          <w:ilvl w:val="0"/>
          <w:numId w:val="10"/>
        </w:numPr>
        <w:spacing w:after="156"/>
        <w:rPr>
          <w:rFonts w:ascii="Rockwell" w:hAnsi="Rockwell" w:cs="Tahoma"/>
          <w:color w:val="auto"/>
          <w:sz w:val="22"/>
          <w:szCs w:val="22"/>
        </w:rPr>
      </w:pPr>
      <w:r w:rsidRPr="00460F5E">
        <w:rPr>
          <w:rFonts w:ascii="Rockwell" w:hAnsi="Rockwell" w:cs="Tahoma"/>
          <w:color w:val="auto"/>
          <w:sz w:val="22"/>
          <w:szCs w:val="22"/>
        </w:rPr>
        <w:t xml:space="preserve">Améliorer la qualité du traitement en formant le personnel de santé ; </w:t>
      </w:r>
    </w:p>
    <w:p w:rsidR="003A47E5" w:rsidRPr="00460F5E" w:rsidRDefault="003A47E5" w:rsidP="00460F5E">
      <w:pPr>
        <w:pStyle w:val="Default"/>
        <w:numPr>
          <w:ilvl w:val="0"/>
          <w:numId w:val="10"/>
        </w:numPr>
        <w:spacing w:after="156"/>
        <w:rPr>
          <w:rFonts w:ascii="Rockwell" w:hAnsi="Rockwell" w:cs="Tahoma"/>
          <w:color w:val="auto"/>
          <w:sz w:val="22"/>
          <w:szCs w:val="22"/>
        </w:rPr>
      </w:pPr>
      <w:r w:rsidRPr="00460F5E">
        <w:rPr>
          <w:rFonts w:ascii="Rockwell" w:hAnsi="Rockwell" w:cs="Tahoma"/>
          <w:color w:val="auto"/>
          <w:sz w:val="22"/>
          <w:szCs w:val="22"/>
        </w:rPr>
        <w:t xml:space="preserve">Améliorer les services de dépistage dans les centres de santé et la formation du personnel de santé réalisant les dépistages et assurer une communication adéquate des résultats ; </w:t>
      </w:r>
    </w:p>
    <w:p w:rsidR="003A47E5" w:rsidRPr="00460F5E" w:rsidRDefault="003A47E5" w:rsidP="00460F5E">
      <w:pPr>
        <w:pStyle w:val="Default"/>
        <w:numPr>
          <w:ilvl w:val="0"/>
          <w:numId w:val="10"/>
        </w:numPr>
        <w:spacing w:after="156"/>
        <w:rPr>
          <w:rFonts w:ascii="Rockwell" w:hAnsi="Rockwell" w:cs="Tahoma"/>
          <w:color w:val="auto"/>
          <w:sz w:val="22"/>
          <w:szCs w:val="22"/>
        </w:rPr>
      </w:pPr>
      <w:r w:rsidRPr="00460F5E">
        <w:rPr>
          <w:rFonts w:ascii="Rockwell" w:hAnsi="Rockwell" w:cs="Tahoma"/>
          <w:color w:val="auto"/>
          <w:sz w:val="22"/>
          <w:szCs w:val="22"/>
        </w:rPr>
        <w:t xml:space="preserve">Étendre les services de dépistage du VIH aux centres de soins pédiatriques ainsi qu’à tous les services de santé (renvoi vers l’hôpital ou services d’hospitalisation pour les enfants, services de récupération nutritionnelle, orphelinats, dépistage des frères et soeurs de personnes vivant avec le VIH suivant un traitement antirétroviral, etc.) et par la suite améliorer la couverture du traitement pour les enfants ; </w:t>
      </w:r>
    </w:p>
    <w:p w:rsidR="003A47E5" w:rsidRPr="00460F5E" w:rsidRDefault="003A47E5" w:rsidP="00460F5E">
      <w:pPr>
        <w:pStyle w:val="Default"/>
        <w:numPr>
          <w:ilvl w:val="0"/>
          <w:numId w:val="10"/>
        </w:numPr>
        <w:spacing w:after="156"/>
        <w:rPr>
          <w:rFonts w:ascii="Rockwell" w:hAnsi="Rockwell" w:cs="Tahoma"/>
          <w:color w:val="auto"/>
          <w:sz w:val="22"/>
          <w:szCs w:val="22"/>
        </w:rPr>
      </w:pPr>
      <w:r w:rsidRPr="00460F5E">
        <w:rPr>
          <w:rFonts w:ascii="Rockwell" w:hAnsi="Rockwell" w:cs="Tahoma"/>
          <w:color w:val="auto"/>
          <w:sz w:val="22"/>
          <w:szCs w:val="22"/>
        </w:rPr>
        <w:t xml:space="preserve">Améliorer le dépistage communautaire dans les villes de Boké, Conakry, Kérouane, N’Zerékoé et Siguiri et intégrer des acteurs communautaires pour le dépistage des adolescents et des jeunes ; </w:t>
      </w:r>
    </w:p>
    <w:p w:rsidR="003A47E5" w:rsidRPr="00460F5E" w:rsidRDefault="003A47E5" w:rsidP="00460F5E">
      <w:pPr>
        <w:pStyle w:val="Default"/>
        <w:numPr>
          <w:ilvl w:val="0"/>
          <w:numId w:val="10"/>
        </w:numPr>
        <w:spacing w:after="156"/>
        <w:rPr>
          <w:rFonts w:ascii="Rockwell" w:hAnsi="Rockwell" w:cs="Tahoma"/>
          <w:color w:val="auto"/>
          <w:sz w:val="22"/>
          <w:szCs w:val="22"/>
        </w:rPr>
      </w:pPr>
      <w:r w:rsidRPr="00460F5E">
        <w:rPr>
          <w:rFonts w:ascii="Rockwell" w:hAnsi="Rockwell" w:cs="Tahoma"/>
          <w:color w:val="auto"/>
          <w:sz w:val="22"/>
          <w:szCs w:val="22"/>
        </w:rPr>
        <w:t xml:space="preserve">Mobiliser des organisations communautaires afin d’assurer le traçage des voies à suivre et la gestion de la mise en relation et de l’orientation des patients dépistés vers des centres de prise en charge ; </w:t>
      </w:r>
    </w:p>
    <w:p w:rsidR="003A47E5" w:rsidRPr="00460F5E" w:rsidRDefault="003A47E5" w:rsidP="00460F5E">
      <w:pPr>
        <w:pStyle w:val="Default"/>
        <w:numPr>
          <w:ilvl w:val="0"/>
          <w:numId w:val="10"/>
        </w:numPr>
        <w:spacing w:after="156"/>
        <w:rPr>
          <w:rFonts w:ascii="Rockwell" w:hAnsi="Rockwell" w:cs="Tahoma"/>
          <w:color w:val="auto"/>
          <w:sz w:val="22"/>
          <w:szCs w:val="22"/>
        </w:rPr>
      </w:pPr>
      <w:r w:rsidRPr="00460F5E">
        <w:rPr>
          <w:rFonts w:ascii="Rockwell" w:hAnsi="Rockwell" w:cs="Tahoma"/>
          <w:color w:val="auto"/>
          <w:sz w:val="22"/>
          <w:szCs w:val="22"/>
        </w:rPr>
        <w:t xml:space="preserve">Renforcer le suivi psychosocial et le système de rétention dans les circuits de prise en charge et de soutien des jeunes et des adolescents ; et </w:t>
      </w:r>
    </w:p>
    <w:p w:rsidR="003A47E5" w:rsidRPr="00460F5E" w:rsidRDefault="003A47E5" w:rsidP="00460F5E">
      <w:pPr>
        <w:pStyle w:val="Default"/>
        <w:numPr>
          <w:ilvl w:val="0"/>
          <w:numId w:val="10"/>
        </w:numPr>
        <w:rPr>
          <w:rFonts w:ascii="Rockwell" w:hAnsi="Rockwell" w:cs="Tahoma"/>
          <w:color w:val="auto"/>
          <w:sz w:val="22"/>
          <w:szCs w:val="22"/>
        </w:rPr>
      </w:pPr>
      <w:r w:rsidRPr="00460F5E">
        <w:rPr>
          <w:rFonts w:ascii="Rockwell" w:hAnsi="Rockwell" w:cs="Tahoma"/>
          <w:color w:val="auto"/>
          <w:sz w:val="22"/>
          <w:szCs w:val="22"/>
        </w:rPr>
        <w:t xml:space="preserve">Appuyer le renforcement du réseau de laboratoires afin de soutenir les tests de charge virale et la suppression virale dans le cadre de l’amélioration de la qualité de la prise en charge. </w:t>
      </w:r>
    </w:p>
    <w:p w:rsidR="003A47E5" w:rsidRPr="00460F5E" w:rsidRDefault="003A47E5" w:rsidP="00460F5E">
      <w:pPr>
        <w:pStyle w:val="Default"/>
        <w:rPr>
          <w:rFonts w:ascii="Rockwell" w:hAnsi="Rockwell" w:cs="Tahoma"/>
          <w:color w:val="auto"/>
          <w:sz w:val="22"/>
          <w:szCs w:val="22"/>
        </w:rPr>
      </w:pPr>
    </w:p>
    <w:p w:rsidR="003A47E5" w:rsidRPr="00460F5E" w:rsidRDefault="003A47E5" w:rsidP="00460F5E">
      <w:pPr>
        <w:pStyle w:val="Titre4"/>
        <w:rPr>
          <w:rFonts w:ascii="Rockwell" w:hAnsi="Rockwell"/>
        </w:rPr>
      </w:pPr>
      <w:r w:rsidRPr="00460F5E">
        <w:rPr>
          <w:rFonts w:ascii="Rockwell" w:hAnsi="Rockwell"/>
        </w:rPr>
        <w:t xml:space="preserve">Co-infection VIH/tuberculose </w:t>
      </w:r>
    </w:p>
    <w:p w:rsidR="003A47E5" w:rsidRPr="00460F5E" w:rsidRDefault="003A47E5" w:rsidP="00460F5E">
      <w:pPr>
        <w:pStyle w:val="Default"/>
        <w:numPr>
          <w:ilvl w:val="0"/>
          <w:numId w:val="11"/>
        </w:numPr>
        <w:spacing w:after="156"/>
        <w:rPr>
          <w:rFonts w:ascii="Rockwell" w:hAnsi="Rockwell" w:cs="Tahoma"/>
          <w:color w:val="auto"/>
          <w:sz w:val="22"/>
          <w:szCs w:val="22"/>
        </w:rPr>
      </w:pPr>
      <w:r w:rsidRPr="00460F5E">
        <w:rPr>
          <w:rFonts w:ascii="Rockwell" w:hAnsi="Rockwell" w:cs="Tahoma"/>
          <w:color w:val="auto"/>
          <w:sz w:val="22"/>
          <w:szCs w:val="22"/>
        </w:rPr>
        <w:t xml:space="preserve">Intégrer les activités de lutte contre la tuberculose/le VIH dans les 53 centres de traitement de la tuberculose et inclure des tests de dépistage du VIH dans le plan de distribution lié à la lutte contre la tuberculose ; et </w:t>
      </w:r>
    </w:p>
    <w:p w:rsidR="003A47E5" w:rsidRPr="00460F5E" w:rsidRDefault="003A47E5" w:rsidP="00460F5E">
      <w:pPr>
        <w:pStyle w:val="Default"/>
        <w:numPr>
          <w:ilvl w:val="0"/>
          <w:numId w:val="11"/>
        </w:numPr>
        <w:rPr>
          <w:rFonts w:ascii="Rockwell" w:hAnsi="Rockwell" w:cs="Tahoma"/>
          <w:color w:val="auto"/>
          <w:sz w:val="22"/>
          <w:szCs w:val="22"/>
        </w:rPr>
      </w:pPr>
      <w:r w:rsidRPr="00460F5E">
        <w:rPr>
          <w:rFonts w:ascii="Rockwell" w:hAnsi="Rockwell" w:cs="Tahoma"/>
          <w:color w:val="auto"/>
          <w:sz w:val="22"/>
          <w:szCs w:val="22"/>
        </w:rPr>
        <w:t xml:space="preserve">Chercher à augmenter les services de dépistage du VIH à 100 pour cent des patients atteints de tuberculose. </w:t>
      </w:r>
    </w:p>
    <w:p w:rsidR="003A47E5" w:rsidRPr="00460F5E" w:rsidRDefault="003A47E5" w:rsidP="00460F5E">
      <w:pPr>
        <w:pStyle w:val="Default"/>
        <w:rPr>
          <w:rFonts w:ascii="Rockwell" w:hAnsi="Rockwell" w:cs="Tahoma"/>
          <w:color w:val="auto"/>
          <w:sz w:val="22"/>
          <w:szCs w:val="22"/>
        </w:rPr>
      </w:pPr>
    </w:p>
    <w:p w:rsidR="003A47E5" w:rsidRPr="00460F5E" w:rsidRDefault="003A47E5" w:rsidP="00460F5E">
      <w:pPr>
        <w:pStyle w:val="Titre4"/>
        <w:rPr>
          <w:rFonts w:ascii="Rockwell" w:hAnsi="Rockwell"/>
        </w:rPr>
      </w:pPr>
      <w:r w:rsidRPr="00460F5E">
        <w:rPr>
          <w:rFonts w:ascii="Rockwell" w:hAnsi="Rockwell"/>
        </w:rPr>
        <w:t xml:space="preserve">Gestion des achats et des stocks </w:t>
      </w:r>
    </w:p>
    <w:p w:rsidR="003A47E5" w:rsidRPr="00460F5E" w:rsidRDefault="003A47E5" w:rsidP="00460F5E">
      <w:pPr>
        <w:pStyle w:val="Paragraphedeliste"/>
        <w:numPr>
          <w:ilvl w:val="0"/>
          <w:numId w:val="13"/>
        </w:numPr>
        <w:rPr>
          <w:rFonts w:cs="Tahoma"/>
        </w:rPr>
      </w:pPr>
      <w:r w:rsidRPr="00460F5E">
        <w:rPr>
          <w:rFonts w:cs="Tahoma"/>
        </w:rPr>
        <w:t xml:space="preserve">Améliorer la qualité et la disponibilité des outils, diffuser les outils et dispenser une formation sur le remplissage et l’entretien des outils ; </w:t>
      </w:r>
    </w:p>
    <w:p w:rsidR="003A47E5" w:rsidRPr="00460F5E" w:rsidRDefault="003A47E5" w:rsidP="00460F5E">
      <w:pPr>
        <w:rPr>
          <w:rFonts w:cs="Tahoma"/>
        </w:rPr>
      </w:pPr>
    </w:p>
    <w:p w:rsidR="003A47E5" w:rsidRPr="00460F5E" w:rsidRDefault="003A47E5" w:rsidP="00460F5E">
      <w:pPr>
        <w:pStyle w:val="Paragraphedeliste"/>
        <w:numPr>
          <w:ilvl w:val="0"/>
          <w:numId w:val="13"/>
        </w:numPr>
        <w:rPr>
          <w:rFonts w:cs="Tahoma"/>
        </w:rPr>
      </w:pPr>
      <w:r w:rsidRPr="00460F5E">
        <w:rPr>
          <w:rFonts w:cs="Tahoma"/>
        </w:rPr>
        <w:t xml:space="preserve">Mettre en pratique des systèmes comme l’extension des systèmes informatiques de gestion de la logistique et la participation de l’unité de gestion logistique récemment créée du Ministère de la Santé ; et </w:t>
      </w:r>
    </w:p>
    <w:p w:rsidR="003A47E5" w:rsidRPr="00460F5E" w:rsidRDefault="003A47E5" w:rsidP="00460F5E">
      <w:pPr>
        <w:pStyle w:val="Default"/>
        <w:numPr>
          <w:ilvl w:val="0"/>
          <w:numId w:val="9"/>
        </w:numPr>
        <w:rPr>
          <w:rFonts w:ascii="Rockwell" w:hAnsi="Rockwell" w:cs="Tahoma"/>
          <w:color w:val="auto"/>
          <w:sz w:val="22"/>
          <w:szCs w:val="22"/>
        </w:rPr>
      </w:pPr>
      <w:r w:rsidRPr="00460F5E">
        <w:rPr>
          <w:rFonts w:ascii="Rockwell" w:hAnsi="Rockwell" w:cs="Tahoma"/>
          <w:color w:val="auto"/>
          <w:sz w:val="22"/>
          <w:szCs w:val="22"/>
        </w:rPr>
        <w:lastRenderedPageBreak/>
        <w:t xml:space="preserve">Améliorer l’analyse des renseignements stratégiques des stocks au niveau central et périphérique, conduire régulièrement des évaluations de l’inventaire, une analyse de la viabilité des stocks et un réajustement des stocks afin de prévenir les excédents, les ruptures et les dates d’expiration dépassées. </w:t>
      </w:r>
    </w:p>
    <w:p w:rsidR="003A47E5" w:rsidRPr="00460F5E" w:rsidRDefault="003A47E5" w:rsidP="00460F5E">
      <w:pPr>
        <w:pStyle w:val="Default"/>
        <w:rPr>
          <w:rFonts w:ascii="Rockwell" w:hAnsi="Rockwell" w:cs="Tahoma"/>
          <w:color w:val="auto"/>
          <w:sz w:val="22"/>
          <w:szCs w:val="22"/>
        </w:rPr>
      </w:pPr>
    </w:p>
    <w:p w:rsidR="003A47E5" w:rsidRPr="00460F5E" w:rsidRDefault="003A47E5" w:rsidP="00460F5E">
      <w:pPr>
        <w:pStyle w:val="Titre4"/>
        <w:rPr>
          <w:rFonts w:ascii="Rockwell" w:hAnsi="Rockwell"/>
        </w:rPr>
      </w:pPr>
      <w:r w:rsidRPr="00460F5E">
        <w:rPr>
          <w:rFonts w:ascii="Rockwell" w:hAnsi="Rockwell"/>
        </w:rPr>
        <w:t xml:space="preserve">Suivi et évaluation </w:t>
      </w:r>
    </w:p>
    <w:p w:rsidR="003A47E5" w:rsidRPr="00460F5E" w:rsidRDefault="003A47E5" w:rsidP="00460F5E">
      <w:pPr>
        <w:pStyle w:val="Default"/>
        <w:numPr>
          <w:ilvl w:val="0"/>
          <w:numId w:val="8"/>
        </w:numPr>
        <w:spacing w:after="156"/>
        <w:rPr>
          <w:rFonts w:ascii="Rockwell" w:hAnsi="Rockwell" w:cs="Tahoma"/>
          <w:color w:val="auto"/>
          <w:sz w:val="22"/>
          <w:szCs w:val="22"/>
        </w:rPr>
      </w:pPr>
      <w:r w:rsidRPr="00460F5E">
        <w:rPr>
          <w:rFonts w:ascii="Rockwell" w:hAnsi="Rockwell" w:cs="Tahoma"/>
          <w:color w:val="auto"/>
          <w:sz w:val="22"/>
          <w:szCs w:val="22"/>
        </w:rPr>
        <w:t xml:space="preserve">Améliorer la qualité et la disponibilité des données en renforçant la collecte de données quotidienne ; et </w:t>
      </w:r>
    </w:p>
    <w:p w:rsidR="003A47E5" w:rsidRPr="00460F5E" w:rsidRDefault="003A47E5" w:rsidP="00460F5E">
      <w:pPr>
        <w:pStyle w:val="Default"/>
        <w:numPr>
          <w:ilvl w:val="0"/>
          <w:numId w:val="8"/>
        </w:numPr>
        <w:rPr>
          <w:rFonts w:ascii="Rockwell" w:hAnsi="Rockwell" w:cs="Tahoma"/>
          <w:color w:val="auto"/>
          <w:sz w:val="22"/>
          <w:szCs w:val="22"/>
        </w:rPr>
      </w:pPr>
      <w:r w:rsidRPr="00460F5E">
        <w:rPr>
          <w:rFonts w:ascii="Rockwell" w:hAnsi="Rockwell" w:cs="Tahoma"/>
          <w:color w:val="auto"/>
          <w:sz w:val="22"/>
          <w:szCs w:val="22"/>
        </w:rPr>
        <w:t xml:space="preserve">Mener des études et des évaluations afin d’améliorer la qualité du programme et les services de prise en charge et de traitement. </w:t>
      </w:r>
    </w:p>
    <w:p w:rsidR="003A47E5" w:rsidRPr="00460F5E" w:rsidRDefault="003A47E5" w:rsidP="00460F5E">
      <w:pPr>
        <w:rPr>
          <w:rFonts w:cs="Tahoma"/>
        </w:rPr>
      </w:pPr>
    </w:p>
    <w:p w:rsidR="001B4D5A" w:rsidRDefault="001B4D5A">
      <w:pPr>
        <w:spacing w:after="200"/>
        <w:rPr>
          <w:rFonts w:asciiTheme="majorHAnsi" w:eastAsiaTheme="majorEastAsia" w:hAnsiTheme="majorHAnsi" w:cstheme="majorBidi"/>
          <w:b/>
          <w:bCs/>
          <w:color w:val="365F91" w:themeColor="accent1" w:themeShade="BF"/>
          <w:sz w:val="28"/>
          <w:szCs w:val="28"/>
        </w:rPr>
      </w:pPr>
      <w:bookmarkStart w:id="48" w:name="_Toc513041131"/>
      <w:bookmarkStart w:id="49" w:name="_Toc513044548"/>
      <w:bookmarkStart w:id="50" w:name="_Toc514049509"/>
      <w:r>
        <w:br w:type="page"/>
      </w:r>
    </w:p>
    <w:p w:rsidR="00911E81" w:rsidRPr="00460F5E" w:rsidRDefault="009A43DD" w:rsidP="00460F5E">
      <w:pPr>
        <w:pStyle w:val="Titre1"/>
      </w:pPr>
      <w:r w:rsidRPr="00460F5E">
        <w:lastRenderedPageBreak/>
        <w:t xml:space="preserve">5. </w:t>
      </w:r>
      <w:r w:rsidR="004F0DF8" w:rsidRPr="00460F5E">
        <w:t>PLAN INTERNATIONAL</w:t>
      </w:r>
      <w:bookmarkEnd w:id="48"/>
      <w:bookmarkEnd w:id="49"/>
      <w:bookmarkEnd w:id="50"/>
    </w:p>
    <w:p w:rsidR="008B065C" w:rsidRPr="00460F5E" w:rsidRDefault="0084758A" w:rsidP="00460F5E">
      <w:pPr>
        <w:pStyle w:val="Titre2"/>
      </w:pPr>
      <w:bookmarkStart w:id="51" w:name="_Toc513041132"/>
      <w:bookmarkStart w:id="52" w:name="_Toc513044549"/>
      <w:bookmarkStart w:id="53" w:name="_Toc514049510"/>
      <w:r w:rsidRPr="00460F5E">
        <w:t xml:space="preserve">5.1 </w:t>
      </w:r>
      <w:r w:rsidR="008B065C" w:rsidRPr="00460F5E">
        <w:t>Description intégrée de la subvention</w:t>
      </w:r>
      <w:bookmarkEnd w:id="51"/>
      <w:bookmarkEnd w:id="52"/>
      <w:bookmarkEnd w:id="53"/>
    </w:p>
    <w:p w:rsidR="008B065C" w:rsidRPr="00FE1688" w:rsidRDefault="008B065C" w:rsidP="00460F5E">
      <w:pPr>
        <w:rPr>
          <w:lang w:val="en-US"/>
        </w:rPr>
      </w:pPr>
      <w:r w:rsidRPr="00FE1688">
        <w:rPr>
          <w:b/>
          <w:lang w:val="en-US"/>
        </w:rPr>
        <w:t>Disease Component:</w:t>
      </w:r>
      <w:r w:rsidRPr="00FE1688">
        <w:rPr>
          <w:lang w:val="en-US"/>
        </w:rPr>
        <w:t xml:space="preserve"> HIV/AIDS, Tuberculosis</w:t>
      </w:r>
    </w:p>
    <w:p w:rsidR="008B065C" w:rsidRPr="00460F5E" w:rsidRDefault="008B065C" w:rsidP="00460F5E">
      <w:pPr>
        <w:rPr>
          <w:lang w:val="en-US"/>
        </w:rPr>
      </w:pPr>
      <w:r w:rsidRPr="00460F5E">
        <w:rPr>
          <w:lang w:val="en-US"/>
        </w:rPr>
        <w:t>Program Title: Strengthening and decentralizing the fight against TB and HV/AIDS and reaching vulnerable populations in the Republic of Guinea</w:t>
      </w:r>
    </w:p>
    <w:p w:rsidR="008B065C" w:rsidRPr="00460F5E" w:rsidRDefault="008B065C" w:rsidP="00460F5E">
      <w:pPr>
        <w:rPr>
          <w:lang w:val="en-US"/>
        </w:rPr>
      </w:pPr>
      <w:r w:rsidRPr="00460F5E">
        <w:rPr>
          <w:b/>
          <w:lang w:val="en-US"/>
        </w:rPr>
        <w:t>Grant Name:</w:t>
      </w:r>
      <w:r w:rsidRPr="00460F5E">
        <w:rPr>
          <w:lang w:val="en-US"/>
        </w:rPr>
        <w:t xml:space="preserve"> GIN-C-PLAN</w:t>
      </w:r>
    </w:p>
    <w:p w:rsidR="008B065C" w:rsidRPr="00460F5E" w:rsidRDefault="008B065C" w:rsidP="00460F5E">
      <w:pPr>
        <w:rPr>
          <w:lang w:val="en-US"/>
        </w:rPr>
      </w:pPr>
      <w:r w:rsidRPr="00460F5E">
        <w:rPr>
          <w:b/>
          <w:lang w:val="en-US"/>
        </w:rPr>
        <w:t>GA Number:</w:t>
      </w:r>
      <w:r w:rsidRPr="00460F5E">
        <w:rPr>
          <w:lang w:val="en-US"/>
        </w:rPr>
        <w:t xml:space="preserve"> 1638</w:t>
      </w:r>
    </w:p>
    <w:p w:rsidR="008B065C" w:rsidRPr="00460F5E" w:rsidRDefault="008B065C" w:rsidP="00460F5E">
      <w:pPr>
        <w:rPr>
          <w:lang w:val="en-US"/>
        </w:rPr>
      </w:pPr>
      <w:r w:rsidRPr="00460F5E">
        <w:rPr>
          <w:b/>
          <w:lang w:val="en-US"/>
        </w:rPr>
        <w:t>Grant Funds:</w:t>
      </w:r>
      <w:r w:rsidRPr="00460F5E">
        <w:rPr>
          <w:lang w:val="en-US"/>
        </w:rPr>
        <w:t xml:space="preserve"> Up to the amount of USD 14,550,605.00 or its equivalent in other currencies</w:t>
      </w:r>
    </w:p>
    <w:p w:rsidR="008B065C" w:rsidRPr="00460F5E" w:rsidRDefault="008B065C" w:rsidP="00460F5E">
      <w:pPr>
        <w:rPr>
          <w:lang w:val="en-US"/>
        </w:rPr>
      </w:pPr>
      <w:r w:rsidRPr="00460F5E">
        <w:rPr>
          <w:b/>
          <w:lang w:val="en-US"/>
        </w:rPr>
        <w:t>Implementation Period:</w:t>
      </w:r>
      <w:r w:rsidRPr="00460F5E">
        <w:rPr>
          <w:lang w:val="en-US"/>
        </w:rPr>
        <w:t xml:space="preserve"> From 1 January 2018 to 31 December 2020 (inclusive)</w:t>
      </w:r>
    </w:p>
    <w:p w:rsidR="00251A8E" w:rsidRPr="00460F5E" w:rsidRDefault="00251A8E" w:rsidP="00460F5E">
      <w:pPr>
        <w:rPr>
          <w:lang w:val="en-US"/>
        </w:rPr>
      </w:pPr>
    </w:p>
    <w:p w:rsidR="00911E81" w:rsidRPr="00460F5E" w:rsidRDefault="00B81DEF" w:rsidP="00460F5E">
      <w:pPr>
        <w:pStyle w:val="Titre4"/>
        <w:rPr>
          <w:rFonts w:ascii="Rockwell" w:hAnsi="Rockwell"/>
        </w:rPr>
      </w:pPr>
      <w:r w:rsidRPr="00460F5E">
        <w:rPr>
          <w:rFonts w:ascii="Rockwell" w:hAnsi="Rockwell"/>
        </w:rPr>
        <w:t xml:space="preserve">Graph. 3 </w:t>
      </w:r>
      <w:r w:rsidR="00911E81" w:rsidRPr="00460F5E">
        <w:rPr>
          <w:rFonts w:ascii="Rockwell" w:hAnsi="Rockwell"/>
        </w:rPr>
        <w:t>Partenaires de mise en œuvre</w:t>
      </w:r>
    </w:p>
    <w:p w:rsidR="00911E81" w:rsidRPr="00460F5E" w:rsidRDefault="00911E81" w:rsidP="00460F5E">
      <w:pPr>
        <w:jc w:val="center"/>
        <w:rPr>
          <w:rFonts w:cs="Tahoma"/>
          <w:sz w:val="24"/>
          <w:szCs w:val="24"/>
        </w:rPr>
      </w:pPr>
      <w:r w:rsidRPr="00460F5E">
        <w:rPr>
          <w:rFonts w:cs="Tahoma"/>
          <w:noProof/>
          <w:sz w:val="24"/>
          <w:szCs w:val="24"/>
          <w:lang w:eastAsia="fr-FR"/>
        </w:rPr>
        <w:drawing>
          <wp:inline distT="0" distB="0" distL="0" distR="0" wp14:anchorId="711E12BD" wp14:editId="29C1D9DE">
            <wp:extent cx="4726237" cy="2650531"/>
            <wp:effectExtent l="0" t="0" r="0" b="0"/>
            <wp:docPr id="6" name="Image 5">
              <a:extLst xmlns:a="http://schemas.openxmlformats.org/drawingml/2006/main">
                <a:ext uri="{FF2B5EF4-FFF2-40B4-BE49-F238E27FC236}">
                  <a16:creationId xmlns:a16="http://schemas.microsoft.com/office/drawing/2014/main" id="{34B841A4-EA16-4EC9-ADCB-D195644361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34B841A4-EA16-4EC9-ADCB-D19564436177}"/>
                        </a:ext>
                      </a:extLst>
                    </pic:cNvPr>
                    <pic:cNvPicPr>
                      <a:picLocks noChangeAspect="1"/>
                    </pic:cNvPicPr>
                  </pic:nvPicPr>
                  <pic:blipFill>
                    <a:blip r:embed="rId11"/>
                    <a:stretch>
                      <a:fillRect/>
                    </a:stretch>
                  </pic:blipFill>
                  <pic:spPr>
                    <a:xfrm>
                      <a:off x="0" y="0"/>
                      <a:ext cx="4727556" cy="2651271"/>
                    </a:xfrm>
                    <a:prstGeom prst="rect">
                      <a:avLst/>
                    </a:prstGeom>
                  </pic:spPr>
                </pic:pic>
              </a:graphicData>
            </a:graphic>
          </wp:inline>
        </w:drawing>
      </w:r>
    </w:p>
    <w:p w:rsidR="00911E81" w:rsidRPr="00460F5E" w:rsidRDefault="00911E81" w:rsidP="00460F5E">
      <w:pPr>
        <w:jc w:val="center"/>
        <w:rPr>
          <w:rFonts w:cs="Tahoma"/>
          <w:sz w:val="24"/>
          <w:szCs w:val="24"/>
        </w:rPr>
      </w:pPr>
      <w:r w:rsidRPr="00460F5E">
        <w:rPr>
          <w:rFonts w:cs="Tahoma"/>
          <w:noProof/>
          <w:lang w:eastAsia="fr-FR"/>
        </w:rPr>
        <w:drawing>
          <wp:inline distT="0" distB="0" distL="0" distR="0" wp14:anchorId="0CCFE135" wp14:editId="1DFF73A4">
            <wp:extent cx="5189888" cy="700188"/>
            <wp:effectExtent l="0" t="0" r="0" b="508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00110" cy="701567"/>
                    </a:xfrm>
                    <a:prstGeom prst="rect">
                      <a:avLst/>
                    </a:prstGeom>
                  </pic:spPr>
                </pic:pic>
              </a:graphicData>
            </a:graphic>
          </wp:inline>
        </w:drawing>
      </w:r>
    </w:p>
    <w:p w:rsidR="00911E81" w:rsidRPr="00460F5E" w:rsidRDefault="00B81DEF" w:rsidP="00460F5E">
      <w:pPr>
        <w:ind w:firstLine="708"/>
        <w:rPr>
          <w:rFonts w:cs="Tahoma"/>
          <w:i/>
          <w:sz w:val="18"/>
          <w:szCs w:val="18"/>
        </w:rPr>
      </w:pPr>
      <w:r w:rsidRPr="00460F5E">
        <w:rPr>
          <w:rFonts w:cs="Tahoma"/>
          <w:i/>
          <w:sz w:val="18"/>
          <w:szCs w:val="18"/>
        </w:rPr>
        <w:t>Source : PPT Plan Atelier Trim – 29.02</w:t>
      </w:r>
    </w:p>
    <w:p w:rsidR="00911E81" w:rsidRPr="00460F5E" w:rsidRDefault="00911E81" w:rsidP="00460F5E">
      <w:pPr>
        <w:rPr>
          <w:rFonts w:cs="Tahoma"/>
        </w:rPr>
      </w:pPr>
    </w:p>
    <w:p w:rsidR="00B81DEF" w:rsidRPr="00460F5E" w:rsidRDefault="00B81DEF" w:rsidP="00460F5E">
      <w:pPr>
        <w:pStyle w:val="Titre4"/>
        <w:rPr>
          <w:rStyle w:val="Titre3Car"/>
          <w:rFonts w:ascii="Rockwell" w:hAnsi="Rockwell"/>
        </w:rPr>
      </w:pPr>
      <w:bookmarkStart w:id="54" w:name="_Toc513041133"/>
      <w:r w:rsidRPr="00460F5E">
        <w:rPr>
          <w:rStyle w:val="Titre3Car"/>
          <w:rFonts w:ascii="Rockwell" w:hAnsi="Rockwell"/>
        </w:rPr>
        <w:lastRenderedPageBreak/>
        <w:t xml:space="preserve">Graph. 4 </w:t>
      </w:r>
      <w:r w:rsidR="00911E81" w:rsidRPr="00460F5E">
        <w:rPr>
          <w:rStyle w:val="Titre3Car"/>
          <w:rFonts w:ascii="Rockwell" w:hAnsi="Rockwell"/>
        </w:rPr>
        <w:t>Cibles du projet TB-VIH prévention</w:t>
      </w:r>
      <w:bookmarkEnd w:id="54"/>
    </w:p>
    <w:p w:rsidR="00911E81" w:rsidRPr="00460F5E" w:rsidRDefault="00911E81" w:rsidP="00460F5E">
      <w:pPr>
        <w:rPr>
          <w:rFonts w:cs="Tahoma"/>
        </w:rPr>
      </w:pPr>
      <w:r w:rsidRPr="00460F5E">
        <w:rPr>
          <w:rFonts w:cs="Tahoma"/>
          <w:noProof/>
          <w:lang w:eastAsia="fr-FR"/>
        </w:rPr>
        <w:drawing>
          <wp:inline distT="0" distB="0" distL="0" distR="0" wp14:anchorId="6C0415B2" wp14:editId="73C13390">
            <wp:extent cx="5972810" cy="3981450"/>
            <wp:effectExtent l="0" t="0" r="0" b="0"/>
            <wp:docPr id="9" name="Diagramme 9">
              <a:extLst xmlns:a="http://schemas.openxmlformats.org/drawingml/2006/main">
                <a:ext uri="{FF2B5EF4-FFF2-40B4-BE49-F238E27FC236}">
                  <a16:creationId xmlns:a16="http://schemas.microsoft.com/office/drawing/2014/main" id="{00976B10-122E-43D5-A2AE-D9297915A49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911E81" w:rsidRPr="00460F5E" w:rsidRDefault="00911E81" w:rsidP="00460F5E">
      <w:pPr>
        <w:rPr>
          <w:rFonts w:cs="Tahoma"/>
        </w:rPr>
      </w:pPr>
    </w:p>
    <w:p w:rsidR="004E20E0" w:rsidRPr="00460F5E" w:rsidRDefault="004E20E0" w:rsidP="00460F5E">
      <w:pPr>
        <w:pStyle w:val="Titre2"/>
      </w:pPr>
      <w:bookmarkStart w:id="55" w:name="_Toc513041134"/>
      <w:bookmarkStart w:id="56" w:name="_Toc513044550"/>
      <w:bookmarkStart w:id="57" w:name="_Toc514049511"/>
      <w:r w:rsidRPr="00460F5E">
        <w:t xml:space="preserve">5.2 </w:t>
      </w:r>
      <w:r w:rsidR="00911E81" w:rsidRPr="00460F5E">
        <w:t>Partenaires indispensables pour la mise en œuvre du projet</w:t>
      </w:r>
      <w:bookmarkEnd w:id="55"/>
      <w:bookmarkEnd w:id="56"/>
      <w:bookmarkEnd w:id="57"/>
    </w:p>
    <w:p w:rsidR="00911E81" w:rsidRPr="00460F5E" w:rsidRDefault="00911E81" w:rsidP="00460F5E">
      <w:pPr>
        <w:pStyle w:val="Paragraphedeliste"/>
        <w:numPr>
          <w:ilvl w:val="0"/>
          <w:numId w:val="1"/>
        </w:numPr>
        <w:rPr>
          <w:rFonts w:cs="Tahoma"/>
        </w:rPr>
      </w:pPr>
      <w:r w:rsidRPr="00460F5E">
        <w:rPr>
          <w:rFonts w:cs="Tahoma"/>
        </w:rPr>
        <w:t>Associations identitaires : PS, HSH;</w:t>
      </w:r>
    </w:p>
    <w:p w:rsidR="00911E81" w:rsidRPr="00460F5E" w:rsidRDefault="00911E81" w:rsidP="00460F5E">
      <w:pPr>
        <w:pStyle w:val="Paragraphedeliste"/>
        <w:numPr>
          <w:ilvl w:val="0"/>
          <w:numId w:val="1"/>
        </w:numPr>
        <w:rPr>
          <w:rFonts w:cs="Tahoma"/>
        </w:rPr>
      </w:pPr>
      <w:r w:rsidRPr="00460F5E">
        <w:rPr>
          <w:rFonts w:cs="Tahoma"/>
        </w:rPr>
        <w:t>Associations de PVVIH;</w:t>
      </w:r>
    </w:p>
    <w:p w:rsidR="00911E81" w:rsidRPr="00460F5E" w:rsidRDefault="00911E81" w:rsidP="00460F5E">
      <w:pPr>
        <w:pStyle w:val="Paragraphedeliste"/>
        <w:numPr>
          <w:ilvl w:val="0"/>
          <w:numId w:val="1"/>
        </w:numPr>
        <w:rPr>
          <w:rFonts w:cs="Tahoma"/>
        </w:rPr>
      </w:pPr>
      <w:r w:rsidRPr="00460F5E">
        <w:rPr>
          <w:rFonts w:cs="Tahoma"/>
        </w:rPr>
        <w:t>Agents communautaires;</w:t>
      </w:r>
    </w:p>
    <w:p w:rsidR="00911E81" w:rsidRPr="00460F5E" w:rsidRDefault="00911E81" w:rsidP="00460F5E">
      <w:pPr>
        <w:pStyle w:val="Paragraphedeliste"/>
        <w:numPr>
          <w:ilvl w:val="0"/>
          <w:numId w:val="1"/>
        </w:numPr>
        <w:rPr>
          <w:rFonts w:cs="Tahoma"/>
        </w:rPr>
      </w:pPr>
      <w:r w:rsidRPr="00460F5E">
        <w:rPr>
          <w:rFonts w:cs="Tahoma"/>
        </w:rPr>
        <w:t>Partenaires techniques et financiers actifs déjà : Action Damien, UNFPA, MSF…;</w:t>
      </w:r>
    </w:p>
    <w:p w:rsidR="00B81DEF" w:rsidRPr="00460F5E" w:rsidRDefault="00911E81" w:rsidP="00460F5E">
      <w:pPr>
        <w:pStyle w:val="Paragraphedeliste"/>
        <w:numPr>
          <w:ilvl w:val="0"/>
          <w:numId w:val="1"/>
        </w:numPr>
        <w:rPr>
          <w:rFonts w:cs="Tahoma"/>
        </w:rPr>
      </w:pPr>
      <w:r w:rsidRPr="00460F5E">
        <w:rPr>
          <w:rFonts w:cs="Tahoma"/>
        </w:rPr>
        <w:t>Organisations de la société civile à tous les niveaux,</w:t>
      </w:r>
    </w:p>
    <w:p w:rsidR="00911E81" w:rsidRPr="00460F5E" w:rsidRDefault="00911E81" w:rsidP="00460F5E">
      <w:pPr>
        <w:pStyle w:val="Paragraphedeliste"/>
        <w:numPr>
          <w:ilvl w:val="0"/>
          <w:numId w:val="1"/>
        </w:numPr>
        <w:rPr>
          <w:rFonts w:cs="Tahoma"/>
        </w:rPr>
      </w:pPr>
      <w:r w:rsidRPr="00460F5E">
        <w:rPr>
          <w:rFonts w:cs="Tahoma"/>
        </w:rPr>
        <w:t>Leaders de la société moderne (politique juridique, médiatique…) et traditionnelle</w:t>
      </w:r>
    </w:p>
    <w:p w:rsidR="00B81DEF" w:rsidRPr="00460F5E" w:rsidRDefault="00B81DEF" w:rsidP="00460F5E">
      <w:pPr>
        <w:rPr>
          <w:rFonts w:cs="Tahoma"/>
          <w:b/>
        </w:rPr>
      </w:pPr>
    </w:p>
    <w:p w:rsidR="00911E81" w:rsidRPr="00460F5E" w:rsidRDefault="00B81DEF" w:rsidP="00460F5E">
      <w:pPr>
        <w:pStyle w:val="Titre4"/>
        <w:rPr>
          <w:rFonts w:ascii="Rockwell" w:hAnsi="Rockwell"/>
        </w:rPr>
      </w:pPr>
      <w:r w:rsidRPr="00460F5E">
        <w:rPr>
          <w:rFonts w:ascii="Rockwell" w:hAnsi="Rockwell"/>
        </w:rPr>
        <w:t xml:space="preserve">Tbl. 1 </w:t>
      </w:r>
      <w:r w:rsidR="00911E81" w:rsidRPr="00460F5E">
        <w:rPr>
          <w:rFonts w:ascii="Rockwell" w:hAnsi="Rockwell"/>
        </w:rPr>
        <w:t>Répartition des Pairs éducateurs selon le profil de la population cible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26"/>
        <w:gridCol w:w="709"/>
        <w:gridCol w:w="708"/>
        <w:gridCol w:w="1308"/>
        <w:gridCol w:w="1527"/>
        <w:gridCol w:w="1418"/>
        <w:gridCol w:w="1077"/>
        <w:gridCol w:w="1474"/>
      </w:tblGrid>
      <w:tr w:rsidR="00B81DEF" w:rsidRPr="00460F5E" w:rsidTr="00B81DEF">
        <w:trPr>
          <w:trHeight w:val="344"/>
        </w:trPr>
        <w:tc>
          <w:tcPr>
            <w:tcW w:w="1526" w:type="dxa"/>
            <w:shd w:val="pct5" w:color="auto" w:fill="auto"/>
            <w:tcMar>
              <w:top w:w="15" w:type="dxa"/>
              <w:left w:w="108" w:type="dxa"/>
              <w:bottom w:w="0" w:type="dxa"/>
              <w:right w:w="108" w:type="dxa"/>
            </w:tcMar>
            <w:hideMark/>
          </w:tcPr>
          <w:p w:rsidR="00911E81" w:rsidRPr="00460F5E" w:rsidRDefault="00911E81" w:rsidP="00460F5E">
            <w:pPr>
              <w:spacing w:after="0"/>
              <w:rPr>
                <w:rFonts w:cs="Tahoma"/>
                <w:sz w:val="20"/>
                <w:szCs w:val="20"/>
              </w:rPr>
            </w:pPr>
            <w:r w:rsidRPr="00460F5E">
              <w:rPr>
                <w:rFonts w:cs="Tahoma"/>
                <w:b/>
                <w:bCs/>
                <w:sz w:val="20"/>
                <w:szCs w:val="20"/>
              </w:rPr>
              <w:t> </w:t>
            </w:r>
          </w:p>
        </w:tc>
        <w:tc>
          <w:tcPr>
            <w:tcW w:w="709" w:type="dxa"/>
            <w:shd w:val="pct5" w:color="auto" w:fill="auto"/>
            <w:tcMar>
              <w:top w:w="15" w:type="dxa"/>
              <w:left w:w="108" w:type="dxa"/>
              <w:bottom w:w="0" w:type="dxa"/>
              <w:right w:w="108" w:type="dxa"/>
            </w:tcMar>
            <w:hideMark/>
          </w:tcPr>
          <w:p w:rsidR="00911E81" w:rsidRPr="00460F5E" w:rsidRDefault="00B81DEF" w:rsidP="00460F5E">
            <w:pPr>
              <w:spacing w:after="0"/>
              <w:rPr>
                <w:rFonts w:cs="Tahoma"/>
                <w:sz w:val="20"/>
                <w:szCs w:val="20"/>
              </w:rPr>
            </w:pPr>
            <w:r w:rsidRPr="00460F5E">
              <w:rPr>
                <w:rFonts w:cs="Tahoma"/>
                <w:b/>
                <w:bCs/>
                <w:sz w:val="20"/>
                <w:szCs w:val="20"/>
                <w:lang w:val="en-US"/>
              </w:rPr>
              <w:t>PS</w:t>
            </w:r>
          </w:p>
        </w:tc>
        <w:tc>
          <w:tcPr>
            <w:tcW w:w="708" w:type="dxa"/>
            <w:shd w:val="pct5" w:color="auto" w:fill="auto"/>
            <w:tcMar>
              <w:top w:w="15" w:type="dxa"/>
              <w:left w:w="108" w:type="dxa"/>
              <w:bottom w:w="0" w:type="dxa"/>
              <w:right w:w="108" w:type="dxa"/>
            </w:tcMar>
            <w:hideMark/>
          </w:tcPr>
          <w:p w:rsidR="00911E81" w:rsidRPr="00460F5E" w:rsidRDefault="00911E81" w:rsidP="00460F5E">
            <w:pPr>
              <w:spacing w:after="0"/>
              <w:rPr>
                <w:rFonts w:cs="Tahoma"/>
                <w:sz w:val="20"/>
                <w:szCs w:val="20"/>
              </w:rPr>
            </w:pPr>
            <w:r w:rsidRPr="00460F5E">
              <w:rPr>
                <w:rFonts w:cs="Tahoma"/>
                <w:b/>
                <w:bCs/>
                <w:sz w:val="20"/>
                <w:szCs w:val="20"/>
                <w:lang w:val="en-US"/>
              </w:rPr>
              <w:t>HSH</w:t>
            </w:r>
          </w:p>
        </w:tc>
        <w:tc>
          <w:tcPr>
            <w:tcW w:w="1308" w:type="dxa"/>
            <w:shd w:val="pct5" w:color="auto" w:fill="auto"/>
            <w:tcMar>
              <w:top w:w="15" w:type="dxa"/>
              <w:left w:w="108" w:type="dxa"/>
              <w:bottom w:w="0" w:type="dxa"/>
              <w:right w:w="108" w:type="dxa"/>
            </w:tcMar>
            <w:hideMark/>
          </w:tcPr>
          <w:p w:rsidR="00911E81" w:rsidRPr="00460F5E" w:rsidRDefault="00911E81" w:rsidP="00460F5E">
            <w:pPr>
              <w:spacing w:after="0"/>
              <w:rPr>
                <w:rFonts w:cs="Tahoma"/>
                <w:sz w:val="20"/>
                <w:szCs w:val="20"/>
              </w:rPr>
            </w:pPr>
            <w:r w:rsidRPr="00460F5E">
              <w:rPr>
                <w:rFonts w:cs="Tahoma"/>
                <w:b/>
                <w:bCs/>
                <w:sz w:val="20"/>
                <w:szCs w:val="20"/>
                <w:lang w:val="en-US"/>
              </w:rPr>
              <w:t>PRISON</w:t>
            </w:r>
            <w:r w:rsidR="00B81DEF" w:rsidRPr="00460F5E">
              <w:rPr>
                <w:rFonts w:cs="Tahoma"/>
                <w:b/>
                <w:bCs/>
                <w:sz w:val="20"/>
                <w:szCs w:val="20"/>
                <w:lang w:val="en-US"/>
              </w:rPr>
              <w:t>-</w:t>
            </w:r>
            <w:r w:rsidRPr="00460F5E">
              <w:rPr>
                <w:rFonts w:cs="Tahoma"/>
                <w:b/>
                <w:bCs/>
                <w:sz w:val="20"/>
                <w:szCs w:val="20"/>
                <w:lang w:val="en-US"/>
              </w:rPr>
              <w:t>IERS</w:t>
            </w:r>
          </w:p>
        </w:tc>
        <w:tc>
          <w:tcPr>
            <w:tcW w:w="1527" w:type="dxa"/>
            <w:shd w:val="pct5" w:color="auto" w:fill="auto"/>
            <w:tcMar>
              <w:top w:w="15" w:type="dxa"/>
              <w:left w:w="108" w:type="dxa"/>
              <w:bottom w:w="0" w:type="dxa"/>
              <w:right w:w="108" w:type="dxa"/>
            </w:tcMar>
            <w:hideMark/>
          </w:tcPr>
          <w:p w:rsidR="00911E81" w:rsidRPr="00460F5E" w:rsidRDefault="00911E81" w:rsidP="00460F5E">
            <w:pPr>
              <w:spacing w:after="0"/>
              <w:rPr>
                <w:rFonts w:cs="Tahoma"/>
                <w:sz w:val="20"/>
                <w:szCs w:val="20"/>
              </w:rPr>
            </w:pPr>
            <w:r w:rsidRPr="00460F5E">
              <w:rPr>
                <w:rFonts w:cs="Tahoma"/>
                <w:b/>
                <w:bCs/>
                <w:sz w:val="20"/>
                <w:szCs w:val="20"/>
                <w:lang w:val="en-US"/>
              </w:rPr>
              <w:t>MINIERS</w:t>
            </w:r>
          </w:p>
        </w:tc>
        <w:tc>
          <w:tcPr>
            <w:tcW w:w="1418" w:type="dxa"/>
            <w:shd w:val="pct5" w:color="auto" w:fill="auto"/>
            <w:tcMar>
              <w:top w:w="15" w:type="dxa"/>
              <w:left w:w="108" w:type="dxa"/>
              <w:bottom w:w="0" w:type="dxa"/>
              <w:right w:w="108" w:type="dxa"/>
            </w:tcMar>
            <w:hideMark/>
          </w:tcPr>
          <w:p w:rsidR="00911E81" w:rsidRPr="00460F5E" w:rsidRDefault="00911E81" w:rsidP="00460F5E">
            <w:pPr>
              <w:spacing w:after="0"/>
              <w:rPr>
                <w:rFonts w:cs="Tahoma"/>
                <w:sz w:val="20"/>
                <w:szCs w:val="20"/>
              </w:rPr>
            </w:pPr>
            <w:r w:rsidRPr="00460F5E">
              <w:rPr>
                <w:rFonts w:cs="Tahoma"/>
                <w:b/>
                <w:bCs/>
                <w:sz w:val="20"/>
                <w:szCs w:val="20"/>
                <w:lang w:val="en-US"/>
              </w:rPr>
              <w:t>ROUTIERS</w:t>
            </w:r>
          </w:p>
        </w:tc>
        <w:tc>
          <w:tcPr>
            <w:tcW w:w="1077" w:type="dxa"/>
            <w:shd w:val="pct5" w:color="auto" w:fill="auto"/>
            <w:tcMar>
              <w:top w:w="15" w:type="dxa"/>
              <w:left w:w="108" w:type="dxa"/>
              <w:bottom w:w="0" w:type="dxa"/>
              <w:right w:w="108" w:type="dxa"/>
            </w:tcMar>
            <w:hideMark/>
          </w:tcPr>
          <w:p w:rsidR="00911E81" w:rsidRPr="00460F5E" w:rsidRDefault="00911E81" w:rsidP="00460F5E">
            <w:pPr>
              <w:spacing w:after="0"/>
              <w:rPr>
                <w:rFonts w:cs="Tahoma"/>
                <w:sz w:val="20"/>
                <w:szCs w:val="20"/>
              </w:rPr>
            </w:pPr>
            <w:r w:rsidRPr="00460F5E">
              <w:rPr>
                <w:rFonts w:cs="Tahoma"/>
                <w:b/>
                <w:bCs/>
                <w:sz w:val="20"/>
                <w:szCs w:val="20"/>
                <w:lang w:val="en-US"/>
              </w:rPr>
              <w:t>PECHEURS</w:t>
            </w:r>
          </w:p>
        </w:tc>
        <w:tc>
          <w:tcPr>
            <w:tcW w:w="1474" w:type="dxa"/>
            <w:shd w:val="pct5" w:color="auto" w:fill="auto"/>
            <w:tcMar>
              <w:top w:w="15" w:type="dxa"/>
              <w:left w:w="108" w:type="dxa"/>
              <w:bottom w:w="0" w:type="dxa"/>
              <w:right w:w="108" w:type="dxa"/>
            </w:tcMar>
            <w:hideMark/>
          </w:tcPr>
          <w:p w:rsidR="00911E81" w:rsidRPr="00460F5E" w:rsidRDefault="00911E81" w:rsidP="00460F5E">
            <w:pPr>
              <w:spacing w:after="0"/>
              <w:rPr>
                <w:rFonts w:cs="Tahoma"/>
                <w:sz w:val="20"/>
                <w:szCs w:val="20"/>
              </w:rPr>
            </w:pPr>
            <w:r w:rsidRPr="00460F5E">
              <w:rPr>
                <w:rFonts w:cs="Tahoma"/>
                <w:b/>
                <w:bCs/>
                <w:sz w:val="20"/>
                <w:szCs w:val="20"/>
              </w:rPr>
              <w:t>H. et F.EN UNIFORME</w:t>
            </w:r>
          </w:p>
        </w:tc>
      </w:tr>
      <w:tr w:rsidR="00B81DEF" w:rsidRPr="00460F5E" w:rsidTr="00B81DEF">
        <w:trPr>
          <w:trHeight w:val="193"/>
        </w:trPr>
        <w:tc>
          <w:tcPr>
            <w:tcW w:w="1526" w:type="dxa"/>
            <w:shd w:val="clear" w:color="auto" w:fill="auto"/>
            <w:tcMar>
              <w:top w:w="15" w:type="dxa"/>
              <w:left w:w="108" w:type="dxa"/>
              <w:bottom w:w="0" w:type="dxa"/>
              <w:right w:w="108" w:type="dxa"/>
            </w:tcMar>
            <w:vAlign w:val="bottom"/>
            <w:hideMark/>
          </w:tcPr>
          <w:p w:rsidR="00911E81" w:rsidRPr="00460F5E" w:rsidRDefault="00B81DEF" w:rsidP="00460F5E">
            <w:pPr>
              <w:spacing w:after="0"/>
              <w:rPr>
                <w:rFonts w:cs="Tahoma"/>
              </w:rPr>
            </w:pPr>
            <w:r w:rsidRPr="00460F5E">
              <w:rPr>
                <w:rFonts w:cs="Tahoma"/>
                <w:b/>
                <w:bCs/>
              </w:rPr>
              <w:t xml:space="preserve">Nombre </w:t>
            </w:r>
            <w:r w:rsidR="00911E81" w:rsidRPr="00460F5E">
              <w:rPr>
                <w:rFonts w:cs="Tahoma"/>
                <w:b/>
                <w:bCs/>
              </w:rPr>
              <w:t xml:space="preserve"> PE </w:t>
            </w:r>
          </w:p>
        </w:tc>
        <w:tc>
          <w:tcPr>
            <w:tcW w:w="709" w:type="dxa"/>
            <w:shd w:val="clear" w:color="auto" w:fill="auto"/>
            <w:tcMar>
              <w:top w:w="15" w:type="dxa"/>
              <w:left w:w="108" w:type="dxa"/>
              <w:bottom w:w="0" w:type="dxa"/>
              <w:right w:w="108" w:type="dxa"/>
            </w:tcMar>
            <w:vAlign w:val="bottom"/>
            <w:hideMark/>
          </w:tcPr>
          <w:p w:rsidR="00911E81" w:rsidRPr="00460F5E" w:rsidRDefault="00911E81" w:rsidP="00460F5E">
            <w:pPr>
              <w:spacing w:after="0"/>
              <w:jc w:val="center"/>
              <w:rPr>
                <w:rFonts w:cs="Tahoma"/>
              </w:rPr>
            </w:pPr>
            <w:r w:rsidRPr="00460F5E">
              <w:rPr>
                <w:rFonts w:cs="Tahoma"/>
              </w:rPr>
              <w:t>65</w:t>
            </w:r>
          </w:p>
        </w:tc>
        <w:tc>
          <w:tcPr>
            <w:tcW w:w="708" w:type="dxa"/>
            <w:shd w:val="clear" w:color="auto" w:fill="auto"/>
            <w:tcMar>
              <w:top w:w="15" w:type="dxa"/>
              <w:left w:w="108" w:type="dxa"/>
              <w:bottom w:w="0" w:type="dxa"/>
              <w:right w:w="108" w:type="dxa"/>
            </w:tcMar>
            <w:vAlign w:val="bottom"/>
            <w:hideMark/>
          </w:tcPr>
          <w:p w:rsidR="00911E81" w:rsidRPr="00460F5E" w:rsidRDefault="00911E81" w:rsidP="00460F5E">
            <w:pPr>
              <w:spacing w:after="0"/>
              <w:jc w:val="center"/>
              <w:rPr>
                <w:rFonts w:cs="Tahoma"/>
              </w:rPr>
            </w:pPr>
            <w:r w:rsidRPr="00460F5E">
              <w:rPr>
                <w:rFonts w:cs="Tahoma"/>
              </w:rPr>
              <w:t>34</w:t>
            </w:r>
          </w:p>
        </w:tc>
        <w:tc>
          <w:tcPr>
            <w:tcW w:w="1308" w:type="dxa"/>
            <w:shd w:val="clear" w:color="auto" w:fill="auto"/>
            <w:tcMar>
              <w:top w:w="15" w:type="dxa"/>
              <w:left w:w="108" w:type="dxa"/>
              <w:bottom w:w="0" w:type="dxa"/>
              <w:right w:w="108" w:type="dxa"/>
            </w:tcMar>
            <w:vAlign w:val="bottom"/>
            <w:hideMark/>
          </w:tcPr>
          <w:p w:rsidR="00911E81" w:rsidRPr="00460F5E" w:rsidRDefault="00911E81" w:rsidP="00460F5E">
            <w:pPr>
              <w:spacing w:after="0"/>
              <w:jc w:val="center"/>
              <w:rPr>
                <w:rFonts w:cs="Tahoma"/>
              </w:rPr>
            </w:pPr>
            <w:r w:rsidRPr="00460F5E">
              <w:rPr>
                <w:rFonts w:cs="Tahoma"/>
              </w:rPr>
              <w:t>18</w:t>
            </w:r>
          </w:p>
        </w:tc>
        <w:tc>
          <w:tcPr>
            <w:tcW w:w="1527" w:type="dxa"/>
            <w:shd w:val="clear" w:color="auto" w:fill="auto"/>
            <w:tcMar>
              <w:top w:w="15" w:type="dxa"/>
              <w:left w:w="108" w:type="dxa"/>
              <w:bottom w:w="0" w:type="dxa"/>
              <w:right w:w="108" w:type="dxa"/>
            </w:tcMar>
            <w:vAlign w:val="bottom"/>
            <w:hideMark/>
          </w:tcPr>
          <w:p w:rsidR="00911E81" w:rsidRPr="00460F5E" w:rsidRDefault="00911E81" w:rsidP="00460F5E">
            <w:pPr>
              <w:spacing w:after="0"/>
              <w:jc w:val="center"/>
              <w:rPr>
                <w:rFonts w:cs="Tahoma"/>
              </w:rPr>
            </w:pPr>
            <w:r w:rsidRPr="00460F5E">
              <w:rPr>
                <w:rFonts w:cs="Tahoma"/>
              </w:rPr>
              <w:t>30</w:t>
            </w:r>
          </w:p>
        </w:tc>
        <w:tc>
          <w:tcPr>
            <w:tcW w:w="1418" w:type="dxa"/>
            <w:shd w:val="clear" w:color="auto" w:fill="auto"/>
            <w:tcMar>
              <w:top w:w="15" w:type="dxa"/>
              <w:left w:w="108" w:type="dxa"/>
              <w:bottom w:w="0" w:type="dxa"/>
              <w:right w:w="108" w:type="dxa"/>
            </w:tcMar>
            <w:vAlign w:val="bottom"/>
            <w:hideMark/>
          </w:tcPr>
          <w:p w:rsidR="00911E81" w:rsidRPr="00460F5E" w:rsidRDefault="00911E81" w:rsidP="00460F5E">
            <w:pPr>
              <w:spacing w:after="0"/>
              <w:jc w:val="center"/>
              <w:rPr>
                <w:rFonts w:cs="Tahoma"/>
              </w:rPr>
            </w:pPr>
            <w:r w:rsidRPr="00460F5E">
              <w:rPr>
                <w:rFonts w:cs="Tahoma"/>
              </w:rPr>
              <w:t>18</w:t>
            </w:r>
          </w:p>
        </w:tc>
        <w:tc>
          <w:tcPr>
            <w:tcW w:w="1077" w:type="dxa"/>
            <w:shd w:val="clear" w:color="auto" w:fill="auto"/>
            <w:tcMar>
              <w:top w:w="15" w:type="dxa"/>
              <w:left w:w="108" w:type="dxa"/>
              <w:bottom w:w="0" w:type="dxa"/>
              <w:right w:w="108" w:type="dxa"/>
            </w:tcMar>
            <w:vAlign w:val="bottom"/>
            <w:hideMark/>
          </w:tcPr>
          <w:p w:rsidR="00911E81" w:rsidRPr="00460F5E" w:rsidRDefault="00911E81" w:rsidP="00460F5E">
            <w:pPr>
              <w:spacing w:after="0"/>
              <w:jc w:val="center"/>
              <w:rPr>
                <w:rFonts w:cs="Tahoma"/>
              </w:rPr>
            </w:pPr>
            <w:r w:rsidRPr="00460F5E">
              <w:rPr>
                <w:rFonts w:cs="Tahoma"/>
              </w:rPr>
              <w:t>12</w:t>
            </w:r>
          </w:p>
        </w:tc>
        <w:tc>
          <w:tcPr>
            <w:tcW w:w="1474" w:type="dxa"/>
            <w:shd w:val="clear" w:color="auto" w:fill="auto"/>
            <w:tcMar>
              <w:top w:w="15" w:type="dxa"/>
              <w:left w:w="108" w:type="dxa"/>
              <w:bottom w:w="0" w:type="dxa"/>
              <w:right w:w="108" w:type="dxa"/>
            </w:tcMar>
            <w:vAlign w:val="bottom"/>
            <w:hideMark/>
          </w:tcPr>
          <w:p w:rsidR="00911E81" w:rsidRPr="00460F5E" w:rsidRDefault="00911E81" w:rsidP="00460F5E">
            <w:pPr>
              <w:spacing w:after="0"/>
              <w:jc w:val="center"/>
              <w:rPr>
                <w:rFonts w:cs="Tahoma"/>
              </w:rPr>
            </w:pPr>
            <w:r w:rsidRPr="00460F5E">
              <w:rPr>
                <w:rFonts w:cs="Tahoma"/>
              </w:rPr>
              <w:t>20</w:t>
            </w:r>
          </w:p>
        </w:tc>
      </w:tr>
    </w:tbl>
    <w:p w:rsidR="00911E81" w:rsidRPr="00460F5E" w:rsidRDefault="00911E81" w:rsidP="00460F5E">
      <w:pPr>
        <w:rPr>
          <w:rFonts w:cs="Tahoma"/>
        </w:rPr>
      </w:pPr>
    </w:p>
    <w:tbl>
      <w:tblPr>
        <w:tblW w:w="6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5424"/>
        <w:gridCol w:w="709"/>
      </w:tblGrid>
      <w:tr w:rsidR="00911E81" w:rsidRPr="00460F5E" w:rsidTr="00BC220A">
        <w:trPr>
          <w:trHeight w:val="240"/>
        </w:trPr>
        <w:tc>
          <w:tcPr>
            <w:tcW w:w="5424" w:type="dxa"/>
            <w:shd w:val="pct10" w:color="auto" w:fill="auto"/>
            <w:tcMar>
              <w:top w:w="15" w:type="dxa"/>
              <w:left w:w="37" w:type="dxa"/>
              <w:bottom w:w="0" w:type="dxa"/>
              <w:right w:w="37" w:type="dxa"/>
            </w:tcMar>
            <w:vAlign w:val="center"/>
            <w:hideMark/>
          </w:tcPr>
          <w:p w:rsidR="00911E81" w:rsidRPr="00460F5E" w:rsidRDefault="00911E81" w:rsidP="00460F5E">
            <w:pPr>
              <w:spacing w:after="0"/>
              <w:rPr>
                <w:rFonts w:cs="Tahoma"/>
              </w:rPr>
            </w:pPr>
            <w:r w:rsidRPr="00460F5E">
              <w:rPr>
                <w:rFonts w:cs="Tahoma"/>
                <w:b/>
                <w:bCs/>
              </w:rPr>
              <w:t>ONG/ SR</w:t>
            </w:r>
          </w:p>
        </w:tc>
        <w:tc>
          <w:tcPr>
            <w:tcW w:w="709" w:type="dxa"/>
            <w:shd w:val="pct10" w:color="auto" w:fill="auto"/>
            <w:tcMar>
              <w:top w:w="15" w:type="dxa"/>
              <w:left w:w="37" w:type="dxa"/>
              <w:bottom w:w="0" w:type="dxa"/>
              <w:right w:w="37" w:type="dxa"/>
            </w:tcMar>
            <w:vAlign w:val="center"/>
            <w:hideMark/>
          </w:tcPr>
          <w:p w:rsidR="00911E81" w:rsidRPr="00460F5E" w:rsidRDefault="00911E81" w:rsidP="00460F5E">
            <w:pPr>
              <w:spacing w:after="0"/>
              <w:rPr>
                <w:rFonts w:cs="Tahoma"/>
              </w:rPr>
            </w:pPr>
            <w:r w:rsidRPr="00460F5E">
              <w:rPr>
                <w:rFonts w:cs="Tahoma"/>
                <w:b/>
                <w:bCs/>
              </w:rPr>
              <w:t>Total</w:t>
            </w:r>
          </w:p>
        </w:tc>
      </w:tr>
      <w:tr w:rsidR="00911E81" w:rsidRPr="00460F5E" w:rsidTr="00BC220A">
        <w:trPr>
          <w:trHeight w:val="404"/>
        </w:trPr>
        <w:tc>
          <w:tcPr>
            <w:tcW w:w="5424"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rPr>
            </w:pPr>
            <w:r w:rsidRPr="00460F5E">
              <w:rPr>
                <w:rFonts w:cs="Tahoma"/>
                <w:b/>
                <w:bCs/>
              </w:rPr>
              <w:t xml:space="preserve">SR 1 : </w:t>
            </w:r>
            <w:r w:rsidRPr="00460F5E">
              <w:rPr>
                <w:rFonts w:cs="Tahoma"/>
              </w:rPr>
              <w:t>VIH-p: Conakry ; Nationale: HFU, Miniers, trav. P&amp;P.</w:t>
            </w:r>
          </w:p>
        </w:tc>
        <w:tc>
          <w:tcPr>
            <w:tcW w:w="709"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rPr>
            </w:pPr>
            <w:r w:rsidRPr="00460F5E">
              <w:rPr>
                <w:rFonts w:cs="Tahoma"/>
              </w:rPr>
              <w:t>119</w:t>
            </w:r>
          </w:p>
        </w:tc>
      </w:tr>
      <w:tr w:rsidR="00911E81" w:rsidRPr="00460F5E" w:rsidTr="00BC220A">
        <w:trPr>
          <w:trHeight w:val="236"/>
        </w:trPr>
        <w:tc>
          <w:tcPr>
            <w:tcW w:w="5424"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lang w:val="en-US"/>
              </w:rPr>
            </w:pPr>
            <w:r w:rsidRPr="00460F5E">
              <w:rPr>
                <w:rFonts w:cs="Tahoma"/>
                <w:b/>
                <w:bCs/>
                <w:lang w:val="en-US"/>
              </w:rPr>
              <w:t xml:space="preserve">SR 2: </w:t>
            </w:r>
            <w:r w:rsidRPr="00460F5E">
              <w:rPr>
                <w:rFonts w:cs="Tahoma"/>
                <w:lang w:val="en-US"/>
              </w:rPr>
              <w:t>TB &amp; VIH-p: Basse Guinee</w:t>
            </w:r>
          </w:p>
        </w:tc>
        <w:tc>
          <w:tcPr>
            <w:tcW w:w="709"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rPr>
            </w:pPr>
            <w:r w:rsidRPr="00460F5E">
              <w:rPr>
                <w:rFonts w:cs="Tahoma"/>
              </w:rPr>
              <w:t>36</w:t>
            </w:r>
          </w:p>
        </w:tc>
      </w:tr>
      <w:tr w:rsidR="00911E81" w:rsidRPr="00460F5E" w:rsidTr="00BC220A">
        <w:trPr>
          <w:trHeight w:val="83"/>
        </w:trPr>
        <w:tc>
          <w:tcPr>
            <w:tcW w:w="5424"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lang w:val="de-DE"/>
              </w:rPr>
            </w:pPr>
            <w:r w:rsidRPr="00460F5E">
              <w:rPr>
                <w:rFonts w:cs="Tahoma"/>
                <w:b/>
                <w:bCs/>
                <w:lang w:val="de-DE"/>
              </w:rPr>
              <w:t xml:space="preserve">SR 3: </w:t>
            </w:r>
            <w:r w:rsidRPr="00460F5E">
              <w:rPr>
                <w:rFonts w:cs="Tahoma"/>
                <w:lang w:val="de-DE"/>
              </w:rPr>
              <w:t>TB &amp;VIH-p: Haute Guinee</w:t>
            </w:r>
          </w:p>
        </w:tc>
        <w:tc>
          <w:tcPr>
            <w:tcW w:w="709"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rPr>
            </w:pPr>
            <w:r w:rsidRPr="00460F5E">
              <w:rPr>
                <w:rFonts w:cs="Tahoma"/>
              </w:rPr>
              <w:t>17</w:t>
            </w:r>
          </w:p>
        </w:tc>
      </w:tr>
      <w:tr w:rsidR="00911E81" w:rsidRPr="00460F5E" w:rsidTr="00BC220A">
        <w:trPr>
          <w:trHeight w:val="278"/>
        </w:trPr>
        <w:tc>
          <w:tcPr>
            <w:tcW w:w="5424"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lang w:val="en-US"/>
              </w:rPr>
            </w:pPr>
            <w:r w:rsidRPr="00460F5E">
              <w:rPr>
                <w:rFonts w:cs="Tahoma"/>
                <w:b/>
                <w:bCs/>
                <w:lang w:val="de-DE"/>
              </w:rPr>
              <w:lastRenderedPageBreak/>
              <w:t xml:space="preserve">SR 4: </w:t>
            </w:r>
            <w:r w:rsidRPr="00460F5E">
              <w:rPr>
                <w:rFonts w:cs="Tahoma"/>
                <w:lang w:val="de-DE"/>
              </w:rPr>
              <w:t xml:space="preserve">TB&amp; VIH-p: Moy. </w:t>
            </w:r>
            <w:r w:rsidRPr="00460F5E">
              <w:rPr>
                <w:rFonts w:cs="Tahoma"/>
                <w:lang w:val="en-US"/>
              </w:rPr>
              <w:t>Guinee</w:t>
            </w:r>
          </w:p>
        </w:tc>
        <w:tc>
          <w:tcPr>
            <w:tcW w:w="709"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rPr>
            </w:pPr>
            <w:r w:rsidRPr="00460F5E">
              <w:rPr>
                <w:rFonts w:cs="Tahoma"/>
              </w:rPr>
              <w:t>15</w:t>
            </w:r>
          </w:p>
        </w:tc>
      </w:tr>
      <w:tr w:rsidR="00911E81" w:rsidRPr="00460F5E" w:rsidTr="00BC220A">
        <w:trPr>
          <w:trHeight w:val="211"/>
        </w:trPr>
        <w:tc>
          <w:tcPr>
            <w:tcW w:w="5424"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rPr>
            </w:pPr>
            <w:r w:rsidRPr="00460F5E">
              <w:rPr>
                <w:rFonts w:cs="Tahoma"/>
                <w:b/>
                <w:bCs/>
              </w:rPr>
              <w:t xml:space="preserve">SR 5 : </w:t>
            </w:r>
            <w:r w:rsidRPr="00460F5E">
              <w:rPr>
                <w:rFonts w:cs="Tahoma"/>
              </w:rPr>
              <w:t xml:space="preserve">TB et VIH-p: Guinée forestière </w:t>
            </w:r>
          </w:p>
        </w:tc>
        <w:tc>
          <w:tcPr>
            <w:tcW w:w="709" w:type="dxa"/>
            <w:shd w:val="clear" w:color="auto" w:fill="auto"/>
            <w:tcMar>
              <w:top w:w="15" w:type="dxa"/>
              <w:left w:w="37" w:type="dxa"/>
              <w:bottom w:w="0" w:type="dxa"/>
              <w:right w:w="37" w:type="dxa"/>
            </w:tcMar>
            <w:vAlign w:val="center"/>
            <w:hideMark/>
          </w:tcPr>
          <w:p w:rsidR="00911E81" w:rsidRPr="00460F5E" w:rsidRDefault="00911E81" w:rsidP="00460F5E">
            <w:pPr>
              <w:spacing w:after="0"/>
              <w:rPr>
                <w:rFonts w:cs="Tahoma"/>
              </w:rPr>
            </w:pPr>
            <w:r w:rsidRPr="00460F5E">
              <w:rPr>
                <w:rFonts w:cs="Tahoma"/>
              </w:rPr>
              <w:t>10</w:t>
            </w:r>
          </w:p>
        </w:tc>
      </w:tr>
    </w:tbl>
    <w:p w:rsidR="00911E81" w:rsidRPr="00460F5E" w:rsidRDefault="00911E81" w:rsidP="00460F5E">
      <w:pPr>
        <w:rPr>
          <w:rFonts w:cs="Tahoma"/>
          <w:sz w:val="18"/>
          <w:szCs w:val="18"/>
        </w:rPr>
      </w:pPr>
      <w:r w:rsidRPr="00460F5E">
        <w:rPr>
          <w:rFonts w:cs="Tahoma"/>
          <w:sz w:val="18"/>
          <w:szCs w:val="18"/>
        </w:rPr>
        <w:sym w:font="Wingdings" w:char="F0E8"/>
      </w:r>
      <w:r w:rsidRPr="00460F5E">
        <w:rPr>
          <w:rFonts w:cs="Tahoma"/>
          <w:sz w:val="18"/>
          <w:szCs w:val="18"/>
        </w:rPr>
        <w:t xml:space="preserve"> Voir détails dans le slide 16 (de 25) PPT Plan-TB/VIH</w:t>
      </w:r>
    </w:p>
    <w:p w:rsidR="00911E81" w:rsidRPr="00460F5E" w:rsidRDefault="00911E81" w:rsidP="00460F5E">
      <w:pPr>
        <w:rPr>
          <w:rFonts w:cs="Tahoma"/>
        </w:rPr>
      </w:pPr>
    </w:p>
    <w:p w:rsidR="00911E81" w:rsidRPr="00460F5E" w:rsidRDefault="004E20E0" w:rsidP="00460F5E">
      <w:pPr>
        <w:pStyle w:val="Titre2"/>
        <w:rPr>
          <w:rStyle w:val="Accentuation"/>
          <w:i w:val="0"/>
          <w:iCs w:val="0"/>
        </w:rPr>
      </w:pPr>
      <w:bookmarkStart w:id="58" w:name="_Toc513041135"/>
      <w:bookmarkStart w:id="59" w:name="_Toc513044551"/>
      <w:bookmarkStart w:id="60" w:name="_Toc514049512"/>
      <w:r w:rsidRPr="00460F5E">
        <w:rPr>
          <w:rStyle w:val="Accentuation"/>
          <w:i w:val="0"/>
          <w:iCs w:val="0"/>
        </w:rPr>
        <w:t xml:space="preserve">5.3 </w:t>
      </w:r>
      <w:r w:rsidR="00911E81" w:rsidRPr="00460F5E">
        <w:rPr>
          <w:rStyle w:val="Accentuation"/>
          <w:i w:val="0"/>
          <w:iCs w:val="0"/>
        </w:rPr>
        <w:t>Innovations</w:t>
      </w:r>
      <w:bookmarkEnd w:id="58"/>
      <w:bookmarkEnd w:id="59"/>
      <w:bookmarkEnd w:id="60"/>
    </w:p>
    <w:p w:rsidR="00911E81" w:rsidRPr="00460F5E" w:rsidRDefault="00911E81" w:rsidP="00460F5E">
      <w:pPr>
        <w:pStyle w:val="Paragraphedeliste"/>
        <w:numPr>
          <w:ilvl w:val="0"/>
          <w:numId w:val="2"/>
        </w:numPr>
        <w:spacing w:after="0"/>
        <w:rPr>
          <w:rFonts w:cs="Tahoma"/>
        </w:rPr>
      </w:pPr>
      <w:r w:rsidRPr="00460F5E">
        <w:rPr>
          <w:rFonts w:cs="Tahoma"/>
        </w:rPr>
        <w:t>Renforcement du système de transport échantillons TB;</w:t>
      </w:r>
    </w:p>
    <w:p w:rsidR="00911E81" w:rsidRPr="00460F5E" w:rsidRDefault="00911E81" w:rsidP="00460F5E">
      <w:pPr>
        <w:pStyle w:val="Paragraphedeliste"/>
        <w:numPr>
          <w:ilvl w:val="0"/>
          <w:numId w:val="2"/>
        </w:numPr>
        <w:spacing w:after="0"/>
        <w:rPr>
          <w:rFonts w:cs="Tahoma"/>
        </w:rPr>
      </w:pPr>
      <w:r w:rsidRPr="00460F5E">
        <w:rPr>
          <w:rFonts w:cs="Tahoma"/>
        </w:rPr>
        <w:t>Décentralisation du labo et de la PEC TB-MR;</w:t>
      </w:r>
    </w:p>
    <w:p w:rsidR="00911E81" w:rsidRPr="00460F5E" w:rsidRDefault="00911E81" w:rsidP="00460F5E">
      <w:pPr>
        <w:pStyle w:val="Paragraphedeliste"/>
        <w:numPr>
          <w:ilvl w:val="0"/>
          <w:numId w:val="2"/>
        </w:numPr>
        <w:spacing w:after="0"/>
        <w:rPr>
          <w:rFonts w:cs="Tahoma"/>
        </w:rPr>
      </w:pPr>
      <w:r w:rsidRPr="00460F5E">
        <w:rPr>
          <w:rFonts w:cs="Tahoma"/>
        </w:rPr>
        <w:t>Mise en place d’un système Pharmacovigilance;</w:t>
      </w:r>
    </w:p>
    <w:p w:rsidR="00911E81" w:rsidRPr="00460F5E" w:rsidRDefault="00911E81" w:rsidP="00460F5E">
      <w:pPr>
        <w:pStyle w:val="Paragraphedeliste"/>
        <w:numPr>
          <w:ilvl w:val="0"/>
          <w:numId w:val="2"/>
        </w:numPr>
        <w:spacing w:after="0"/>
        <w:rPr>
          <w:rFonts w:cs="Tahoma"/>
        </w:rPr>
      </w:pPr>
      <w:r w:rsidRPr="00460F5E">
        <w:rPr>
          <w:rFonts w:cs="Tahoma"/>
        </w:rPr>
        <w:t>PEC conjointe renforcée des pop. Vulnérables: enfants, prisonniers, miniers, PVVIH…;</w:t>
      </w:r>
    </w:p>
    <w:p w:rsidR="00911E81" w:rsidRPr="00460F5E" w:rsidRDefault="00911E81" w:rsidP="00460F5E">
      <w:pPr>
        <w:pStyle w:val="Paragraphedeliste"/>
        <w:numPr>
          <w:ilvl w:val="0"/>
          <w:numId w:val="2"/>
        </w:numPr>
        <w:spacing w:after="0"/>
        <w:rPr>
          <w:rFonts w:cs="Tahoma"/>
        </w:rPr>
      </w:pPr>
      <w:r w:rsidRPr="00460F5E">
        <w:rPr>
          <w:rFonts w:cs="Tahoma"/>
        </w:rPr>
        <w:t>Prise en compte effectif de l’approche droits humains dans la lutte contre la TB et VIH prévention;</w:t>
      </w:r>
    </w:p>
    <w:p w:rsidR="00911E81" w:rsidRPr="00460F5E" w:rsidRDefault="00911E81" w:rsidP="00460F5E">
      <w:pPr>
        <w:pStyle w:val="Paragraphedeliste"/>
        <w:numPr>
          <w:ilvl w:val="0"/>
          <w:numId w:val="2"/>
        </w:numPr>
        <w:spacing w:after="0"/>
        <w:rPr>
          <w:rFonts w:cs="Tahoma"/>
        </w:rPr>
      </w:pPr>
      <w:r w:rsidRPr="00460F5E">
        <w:rPr>
          <w:rFonts w:cs="Tahoma"/>
        </w:rPr>
        <w:t>Intégration de l’approche sexo-spécifique et amicales aux adolescent(es) et jeunes lors de l’exécution du plan de formation;</w:t>
      </w:r>
    </w:p>
    <w:p w:rsidR="00911E81" w:rsidRPr="00460F5E" w:rsidRDefault="00911E81" w:rsidP="00460F5E">
      <w:pPr>
        <w:pStyle w:val="Paragraphedeliste"/>
        <w:numPr>
          <w:ilvl w:val="0"/>
          <w:numId w:val="2"/>
        </w:numPr>
        <w:spacing w:after="0"/>
        <w:rPr>
          <w:rFonts w:cs="Tahoma"/>
        </w:rPr>
      </w:pPr>
      <w:r w:rsidRPr="00460F5E">
        <w:rPr>
          <w:rFonts w:cs="Tahoma"/>
        </w:rPr>
        <w:t>Disponibilité du paquet VIH prévention au niveau des prisons et de OPROGEM;</w:t>
      </w:r>
    </w:p>
    <w:p w:rsidR="00911E81" w:rsidRPr="00460F5E" w:rsidRDefault="00911E81" w:rsidP="00460F5E">
      <w:pPr>
        <w:pStyle w:val="Paragraphedeliste"/>
        <w:numPr>
          <w:ilvl w:val="0"/>
          <w:numId w:val="2"/>
        </w:numPr>
        <w:spacing w:after="0"/>
        <w:rPr>
          <w:rFonts w:cs="Tahoma"/>
        </w:rPr>
      </w:pPr>
      <w:r w:rsidRPr="00460F5E">
        <w:rPr>
          <w:rFonts w:cs="Tahoma"/>
        </w:rPr>
        <w:t>Rapprochement des services de prévention VIH vers les cibles (04 unités mobiles médicalisées);</w:t>
      </w:r>
    </w:p>
    <w:p w:rsidR="00911E81" w:rsidRPr="00460F5E" w:rsidRDefault="00911E81" w:rsidP="00460F5E">
      <w:pPr>
        <w:pStyle w:val="Paragraphedeliste"/>
        <w:numPr>
          <w:ilvl w:val="0"/>
          <w:numId w:val="2"/>
        </w:numPr>
        <w:spacing w:after="0"/>
        <w:rPr>
          <w:rFonts w:cs="Tahoma"/>
        </w:rPr>
      </w:pPr>
      <w:r w:rsidRPr="00460F5E">
        <w:rPr>
          <w:rFonts w:cs="Tahoma"/>
        </w:rPr>
        <w:t>Prévention du VIH vers les adolescents et les jeunes à travers les nouvelles technologies, les réseaux sociaux.</w:t>
      </w:r>
    </w:p>
    <w:p w:rsidR="00911E81" w:rsidRPr="00460F5E" w:rsidRDefault="00911E81" w:rsidP="00460F5E">
      <w:pPr>
        <w:pStyle w:val="Paragraphedeliste"/>
        <w:numPr>
          <w:ilvl w:val="0"/>
          <w:numId w:val="2"/>
        </w:numPr>
        <w:spacing w:after="0"/>
        <w:rPr>
          <w:rFonts w:cs="Tahoma"/>
        </w:rPr>
      </w:pPr>
      <w:r w:rsidRPr="00460F5E">
        <w:rPr>
          <w:rFonts w:cs="Tahoma"/>
        </w:rPr>
        <w:t>Introduction des Pairs Educateurs (PE) au niveau des prisons</w:t>
      </w:r>
    </w:p>
    <w:p w:rsidR="00911E81" w:rsidRPr="00460F5E" w:rsidRDefault="00911E81" w:rsidP="00460F5E">
      <w:pPr>
        <w:pStyle w:val="Paragraphedeliste"/>
        <w:numPr>
          <w:ilvl w:val="0"/>
          <w:numId w:val="2"/>
        </w:numPr>
        <w:spacing w:after="0"/>
        <w:rPr>
          <w:rFonts w:cs="Tahoma"/>
        </w:rPr>
      </w:pPr>
      <w:r w:rsidRPr="00460F5E">
        <w:rPr>
          <w:rFonts w:cs="Tahoma"/>
        </w:rPr>
        <w:t>Mutualisation des supervisions du niveau central et régional</w:t>
      </w:r>
    </w:p>
    <w:p w:rsidR="00911E81" w:rsidRPr="00460F5E" w:rsidRDefault="00911E81" w:rsidP="00460F5E">
      <w:pPr>
        <w:spacing w:after="0"/>
        <w:rPr>
          <w:rFonts w:cs="Tahoma"/>
        </w:rPr>
      </w:pPr>
    </w:p>
    <w:p w:rsidR="00911E81" w:rsidRPr="00460F5E" w:rsidRDefault="004E20E0" w:rsidP="00460F5E">
      <w:pPr>
        <w:pStyle w:val="Titre2"/>
      </w:pPr>
      <w:bookmarkStart w:id="61" w:name="_Toc513041136"/>
      <w:bookmarkStart w:id="62" w:name="_Toc513044552"/>
      <w:bookmarkStart w:id="63" w:name="_Toc514049513"/>
      <w:r w:rsidRPr="00460F5E">
        <w:t xml:space="preserve">5.4 </w:t>
      </w:r>
      <w:r w:rsidR="00911E81" w:rsidRPr="00460F5E">
        <w:t>Activités de supervision par niveau</w:t>
      </w:r>
      <w:bookmarkEnd w:id="61"/>
      <w:bookmarkEnd w:id="62"/>
      <w:bookmarkEnd w:id="63"/>
    </w:p>
    <w:p w:rsidR="00911E81" w:rsidRPr="00460F5E" w:rsidRDefault="00911E81" w:rsidP="00460F5E">
      <w:pPr>
        <w:spacing w:after="0"/>
        <w:rPr>
          <w:rFonts w:cs="Tahoma"/>
          <w:b/>
        </w:rPr>
      </w:pPr>
      <w:r w:rsidRPr="00460F5E">
        <w:rPr>
          <w:rFonts w:cs="Tahoma"/>
          <w:b/>
        </w:rPr>
        <w:t>NIVEAU CENTRAL</w:t>
      </w:r>
    </w:p>
    <w:p w:rsidR="00911E81" w:rsidRPr="00460F5E" w:rsidRDefault="00911E81" w:rsidP="00460F5E">
      <w:pPr>
        <w:pStyle w:val="Paragraphedeliste"/>
        <w:numPr>
          <w:ilvl w:val="0"/>
          <w:numId w:val="3"/>
        </w:numPr>
        <w:spacing w:after="0"/>
        <w:rPr>
          <w:rFonts w:cs="Tahoma"/>
        </w:rPr>
      </w:pPr>
      <w:r w:rsidRPr="00460F5E">
        <w:rPr>
          <w:rFonts w:cs="Tahoma"/>
        </w:rPr>
        <w:t xml:space="preserve">Organiser des supervisions trimestrielles conjointes (Programmes, GAS TB/VIH) du niveau central vers le niveau Régional </w:t>
      </w:r>
    </w:p>
    <w:p w:rsidR="00911E81" w:rsidRPr="00460F5E" w:rsidRDefault="00911E81" w:rsidP="00460F5E">
      <w:pPr>
        <w:pStyle w:val="Paragraphedeliste"/>
        <w:numPr>
          <w:ilvl w:val="0"/>
          <w:numId w:val="3"/>
        </w:numPr>
        <w:spacing w:after="0"/>
        <w:rPr>
          <w:rFonts w:cs="Tahoma"/>
        </w:rPr>
      </w:pPr>
      <w:r w:rsidRPr="00460F5E">
        <w:rPr>
          <w:rFonts w:cs="Tahoma"/>
        </w:rPr>
        <w:t xml:space="preserve">Appuyer la supervision communautaire trimestrielle intégrée par les ONG SR en collaboration avec les DPS </w:t>
      </w:r>
    </w:p>
    <w:p w:rsidR="00911E81" w:rsidRPr="00460F5E" w:rsidRDefault="00911E81" w:rsidP="00460F5E">
      <w:pPr>
        <w:spacing w:after="0"/>
        <w:rPr>
          <w:rFonts w:cs="Tahoma"/>
          <w:b/>
        </w:rPr>
      </w:pPr>
    </w:p>
    <w:p w:rsidR="00911E81" w:rsidRPr="00460F5E" w:rsidRDefault="00911E81" w:rsidP="00460F5E">
      <w:pPr>
        <w:spacing w:after="0"/>
        <w:rPr>
          <w:rFonts w:cs="Tahoma"/>
          <w:b/>
        </w:rPr>
      </w:pPr>
      <w:r w:rsidRPr="00460F5E">
        <w:rPr>
          <w:rFonts w:cs="Tahoma"/>
          <w:b/>
        </w:rPr>
        <w:t>NIVEAU REGIONIAL</w:t>
      </w:r>
    </w:p>
    <w:p w:rsidR="00911E81" w:rsidRPr="00460F5E" w:rsidRDefault="00911E81" w:rsidP="00460F5E">
      <w:pPr>
        <w:pStyle w:val="Paragraphedeliste"/>
        <w:numPr>
          <w:ilvl w:val="0"/>
          <w:numId w:val="4"/>
        </w:numPr>
        <w:spacing w:after="0"/>
        <w:rPr>
          <w:rFonts w:cs="Tahoma"/>
        </w:rPr>
      </w:pPr>
      <w:r w:rsidRPr="00460F5E">
        <w:rPr>
          <w:rFonts w:cs="Tahoma"/>
        </w:rPr>
        <w:t>Appuyer la supervision communautaire trimestrielle intégrée des CS, CDT, par membres des ONG et les agents chargés des services à base communautaire (SBC) des DPS</w:t>
      </w:r>
    </w:p>
    <w:p w:rsidR="00911E81" w:rsidRPr="00460F5E" w:rsidRDefault="00911E81" w:rsidP="00460F5E">
      <w:pPr>
        <w:pStyle w:val="Paragraphedeliste"/>
        <w:numPr>
          <w:ilvl w:val="0"/>
          <w:numId w:val="4"/>
        </w:numPr>
        <w:spacing w:after="0"/>
        <w:rPr>
          <w:rFonts w:cs="Tahoma"/>
        </w:rPr>
      </w:pPr>
      <w:r w:rsidRPr="00460F5E">
        <w:rPr>
          <w:rFonts w:cs="Tahoma"/>
        </w:rPr>
        <w:t xml:space="preserve">Supervision trimestriel des SRS par zone d'activité </w:t>
      </w:r>
    </w:p>
    <w:p w:rsidR="00911E81" w:rsidRPr="00460F5E" w:rsidRDefault="00911E81" w:rsidP="00460F5E">
      <w:pPr>
        <w:spacing w:after="0"/>
        <w:rPr>
          <w:rFonts w:cs="Tahoma"/>
          <w:b/>
        </w:rPr>
      </w:pPr>
    </w:p>
    <w:p w:rsidR="00911E81" w:rsidRPr="00460F5E" w:rsidRDefault="00911E81" w:rsidP="00460F5E">
      <w:pPr>
        <w:spacing w:after="0"/>
        <w:rPr>
          <w:rFonts w:cs="Tahoma"/>
          <w:b/>
        </w:rPr>
      </w:pPr>
      <w:r w:rsidRPr="00460F5E">
        <w:rPr>
          <w:rFonts w:cs="Tahoma"/>
          <w:b/>
        </w:rPr>
        <w:t>NIVEAU COMMUNAUTAIRE</w:t>
      </w:r>
    </w:p>
    <w:p w:rsidR="00911E81" w:rsidRPr="00460F5E" w:rsidRDefault="00911E81" w:rsidP="00460F5E">
      <w:pPr>
        <w:pStyle w:val="Paragraphedeliste"/>
        <w:numPr>
          <w:ilvl w:val="0"/>
          <w:numId w:val="5"/>
        </w:numPr>
        <w:spacing w:after="0"/>
        <w:rPr>
          <w:rFonts w:cs="Tahoma"/>
        </w:rPr>
      </w:pPr>
      <w:r w:rsidRPr="00460F5E">
        <w:rPr>
          <w:rFonts w:cs="Tahoma"/>
        </w:rPr>
        <w:t xml:space="preserve">Réaliser la supervision conjointe intégrée trimestrielle avec implication de Partenaires </w:t>
      </w:r>
    </w:p>
    <w:p w:rsidR="00911E81" w:rsidRPr="00460F5E" w:rsidRDefault="00911E81" w:rsidP="00460F5E">
      <w:pPr>
        <w:pStyle w:val="Paragraphedeliste"/>
        <w:numPr>
          <w:ilvl w:val="0"/>
          <w:numId w:val="5"/>
        </w:numPr>
        <w:spacing w:after="0"/>
        <w:rPr>
          <w:rFonts w:cs="Tahoma"/>
        </w:rPr>
      </w:pPr>
      <w:r w:rsidRPr="00460F5E">
        <w:rPr>
          <w:rFonts w:cs="Tahoma"/>
        </w:rPr>
        <w:t>Réaliser une supervision trimestrielle des ONG SR par l'équipe centrale</w:t>
      </w:r>
    </w:p>
    <w:p w:rsidR="00911E81" w:rsidRPr="00460F5E" w:rsidRDefault="00911E81" w:rsidP="00460F5E">
      <w:pPr>
        <w:rPr>
          <w:rFonts w:cs="Tahoma"/>
        </w:rPr>
      </w:pPr>
    </w:p>
    <w:p w:rsidR="001B4D5A" w:rsidRDefault="001B4D5A">
      <w:pPr>
        <w:spacing w:after="200"/>
        <w:rPr>
          <w:rFonts w:asciiTheme="majorHAnsi" w:eastAsiaTheme="majorEastAsia" w:hAnsiTheme="majorHAnsi" w:cstheme="majorBidi"/>
          <w:b/>
          <w:bCs/>
          <w:color w:val="4F81BD" w:themeColor="accent1"/>
          <w:sz w:val="26"/>
          <w:szCs w:val="26"/>
        </w:rPr>
      </w:pPr>
      <w:bookmarkStart w:id="64" w:name="_Toc513041137"/>
      <w:bookmarkStart w:id="65" w:name="_Toc513044553"/>
      <w:bookmarkStart w:id="66" w:name="_Toc514049514"/>
      <w:r>
        <w:br w:type="page"/>
      </w:r>
    </w:p>
    <w:p w:rsidR="00911E81" w:rsidRPr="00460F5E" w:rsidRDefault="004E20E0" w:rsidP="00460F5E">
      <w:pPr>
        <w:pStyle w:val="Titre2"/>
        <w:rPr>
          <w:rFonts w:cs="Tahoma"/>
        </w:rPr>
      </w:pPr>
      <w:r w:rsidRPr="00460F5E">
        <w:lastRenderedPageBreak/>
        <w:t xml:space="preserve">5.5 </w:t>
      </w:r>
      <w:r w:rsidR="00911E81" w:rsidRPr="00460F5E">
        <w:t>Indicateurs</w:t>
      </w:r>
      <w:r w:rsidR="00745CC0" w:rsidRPr="00460F5E">
        <w:t xml:space="preserve"> </w:t>
      </w:r>
      <w:r w:rsidR="00911E81" w:rsidRPr="00460F5E">
        <w:rPr>
          <w:rFonts w:cs="Tahoma"/>
        </w:rPr>
        <w:t>de couvertures TB</w:t>
      </w:r>
      <w:bookmarkEnd w:id="64"/>
      <w:bookmarkEnd w:id="65"/>
      <w:bookmarkEnd w:id="66"/>
    </w:p>
    <w:p w:rsidR="00911E81" w:rsidRPr="00460F5E" w:rsidRDefault="00911E81" w:rsidP="00460F5E">
      <w:pPr>
        <w:spacing w:after="120"/>
        <w:rPr>
          <w:rFonts w:cs="Tahoma"/>
        </w:rPr>
      </w:pPr>
      <w:r w:rsidRPr="00460F5E">
        <w:rPr>
          <w:rFonts w:cs="Tahoma"/>
          <w:b/>
        </w:rPr>
        <w:t>TCP-1(M):</w:t>
      </w:r>
      <w:r w:rsidRPr="00460F5E">
        <w:rPr>
          <w:rFonts w:cs="Tahoma"/>
        </w:rPr>
        <w:t xml:space="preserve"> Nombre de cas déclarés de tuberculose, toutes formes confondues, bactériologiquement confirmés et cliniquement diagnostiqués, nouveaux cas et récidives</w:t>
      </w:r>
    </w:p>
    <w:p w:rsidR="00911E81" w:rsidRPr="00460F5E" w:rsidRDefault="00911E81" w:rsidP="00460F5E">
      <w:pPr>
        <w:spacing w:after="120"/>
        <w:rPr>
          <w:rFonts w:cs="Tahoma"/>
        </w:rPr>
      </w:pPr>
      <w:r w:rsidRPr="00460F5E">
        <w:rPr>
          <w:rFonts w:cs="Tahoma"/>
          <w:b/>
        </w:rPr>
        <w:t>TCP-2(M):</w:t>
      </w:r>
      <w:r w:rsidRPr="00460F5E">
        <w:rPr>
          <w:rFonts w:cs="Tahoma"/>
        </w:rPr>
        <w:t xml:space="preserve"> Taux de succès thérapeutique- toutes formes confondue: Pourcentage de cas de TB, toutes formes confondue, bactériologiquement confirmés et diagnostiqués cliniquement, traités avec succès (guéris et traitement terminé) parmi tous les cas de TB ayant commencé le traitement pendant une période déterminée, nouveaux cas et récidives</w:t>
      </w:r>
    </w:p>
    <w:p w:rsidR="00911E81" w:rsidRPr="00460F5E" w:rsidRDefault="00911E81" w:rsidP="00460F5E">
      <w:pPr>
        <w:spacing w:after="120"/>
        <w:rPr>
          <w:rFonts w:cs="Tahoma"/>
        </w:rPr>
      </w:pPr>
      <w:r w:rsidRPr="00460F5E">
        <w:rPr>
          <w:rFonts w:cs="Tahoma"/>
          <w:b/>
        </w:rPr>
        <w:t>TCP-5:</w:t>
      </w:r>
      <w:r w:rsidRPr="00460F5E">
        <w:rPr>
          <w:rFonts w:cs="Tahoma"/>
        </w:rPr>
        <w:t xml:space="preserve"> Nombre d'enfants âgés de moins de 5 en contact avec des patients tuberculeux qui ont commencé un traitement préventif à l'isoniazide</w:t>
      </w:r>
    </w:p>
    <w:p w:rsidR="00911E81" w:rsidRPr="00460F5E" w:rsidRDefault="00911E81" w:rsidP="00460F5E">
      <w:pPr>
        <w:spacing w:after="120"/>
        <w:rPr>
          <w:rFonts w:cs="Tahoma"/>
        </w:rPr>
      </w:pPr>
      <w:r w:rsidRPr="00460F5E">
        <w:rPr>
          <w:rFonts w:cs="Tahoma"/>
          <w:b/>
        </w:rPr>
        <w:t>MDR TB-2(M):</w:t>
      </w:r>
      <w:r w:rsidRPr="00460F5E">
        <w:rPr>
          <w:rFonts w:cs="Tahoma"/>
        </w:rPr>
        <w:t xml:space="preserve"> Nombre de cas de tuberculose, résistante à la rifampicine et/ou tuberculose multi résistante confirmés</w:t>
      </w:r>
    </w:p>
    <w:p w:rsidR="00911E81" w:rsidRPr="00460F5E" w:rsidRDefault="00911E81" w:rsidP="00460F5E">
      <w:pPr>
        <w:spacing w:after="120"/>
        <w:rPr>
          <w:rFonts w:cs="Tahoma"/>
        </w:rPr>
      </w:pPr>
      <w:r w:rsidRPr="00460F5E">
        <w:rPr>
          <w:rFonts w:cs="Tahoma"/>
          <w:b/>
        </w:rPr>
        <w:t>MDR TB-3(M):</w:t>
      </w:r>
      <w:r w:rsidRPr="00460F5E">
        <w:rPr>
          <w:rFonts w:cs="Tahoma"/>
        </w:rPr>
        <w:t xml:space="preserve"> Nombre de cas de tuberculose résistante à la rifampicine et/ou tuberculose multirésistante qui ont commencé un traitement de deuxième intention</w:t>
      </w:r>
    </w:p>
    <w:p w:rsidR="00911E81" w:rsidRPr="00460F5E" w:rsidRDefault="00911E81" w:rsidP="00460F5E">
      <w:pPr>
        <w:spacing w:after="120"/>
        <w:rPr>
          <w:rFonts w:cs="Tahoma"/>
        </w:rPr>
      </w:pPr>
      <w:r w:rsidRPr="00460F5E">
        <w:rPr>
          <w:rFonts w:cs="Tahoma"/>
          <w:b/>
        </w:rPr>
        <w:t>M&amp;E-1:</w:t>
      </w:r>
      <w:r w:rsidRPr="00460F5E">
        <w:rPr>
          <w:rFonts w:cs="Tahoma"/>
        </w:rPr>
        <w:t xml:space="preserve"> Pourcentage d’entités déclarantes présentant leurs rapports dans les délais selon les directives nationales</w:t>
      </w:r>
    </w:p>
    <w:p w:rsidR="00911E81" w:rsidRPr="00460F5E" w:rsidRDefault="00911E81" w:rsidP="00460F5E">
      <w:pPr>
        <w:spacing w:after="120"/>
        <w:rPr>
          <w:rFonts w:cs="Tahoma"/>
        </w:rPr>
      </w:pPr>
      <w:r w:rsidRPr="00460F5E">
        <w:rPr>
          <w:rFonts w:cs="Tahoma"/>
          <w:b/>
        </w:rPr>
        <w:t>TCP-7c:</w:t>
      </w:r>
      <w:r w:rsidRPr="00460F5E">
        <w:rPr>
          <w:rFonts w:cs="Tahoma"/>
        </w:rPr>
        <w:t xml:space="preserve"> Nombre de cas déclarés de tuberculose (toutes formes confondues) par les prestataires extérieurs au programme national de lutte contre la tuberculose — services communautaires</w:t>
      </w:r>
    </w:p>
    <w:p w:rsidR="00911E81" w:rsidRPr="00460F5E" w:rsidRDefault="00745CC0" w:rsidP="00460F5E">
      <w:pPr>
        <w:rPr>
          <w:b/>
          <w:sz w:val="24"/>
          <w:szCs w:val="24"/>
        </w:rPr>
      </w:pPr>
      <w:r w:rsidRPr="00460F5E">
        <w:rPr>
          <w:b/>
          <w:sz w:val="24"/>
          <w:szCs w:val="24"/>
        </w:rPr>
        <w:t>VIH</w:t>
      </w:r>
      <w:r w:rsidR="005065FF" w:rsidRPr="00460F5E">
        <w:rPr>
          <w:b/>
          <w:sz w:val="24"/>
          <w:szCs w:val="24"/>
        </w:rPr>
        <w:t xml:space="preserve"> - Co-infection TB</w:t>
      </w:r>
    </w:p>
    <w:p w:rsidR="00911E81" w:rsidRPr="00460F5E" w:rsidRDefault="00911E81" w:rsidP="00460F5E">
      <w:pPr>
        <w:spacing w:after="120"/>
        <w:rPr>
          <w:rFonts w:cs="Tahoma"/>
        </w:rPr>
      </w:pPr>
      <w:r w:rsidRPr="00460F5E">
        <w:rPr>
          <w:rFonts w:cs="Tahoma"/>
          <w:b/>
        </w:rPr>
        <w:t>TB/HIV-5:</w:t>
      </w:r>
      <w:r w:rsidRPr="00460F5E">
        <w:rPr>
          <w:rFonts w:cs="Tahoma"/>
        </w:rPr>
        <w:t xml:space="preserve"> Pourcentage de nouveaux patients TB et de rechute enregistrés dont le statut VIH est documenté</w:t>
      </w:r>
    </w:p>
    <w:p w:rsidR="00911E81" w:rsidRPr="00460F5E" w:rsidRDefault="00911E81" w:rsidP="00460F5E">
      <w:pPr>
        <w:spacing w:after="120"/>
        <w:rPr>
          <w:rFonts w:cs="Tahoma"/>
        </w:rPr>
      </w:pPr>
      <w:r w:rsidRPr="00460F5E">
        <w:rPr>
          <w:rFonts w:cs="Tahoma"/>
          <w:b/>
        </w:rPr>
        <w:t>TB/HIV-6(M):</w:t>
      </w:r>
      <w:r w:rsidRPr="00460F5E">
        <w:rPr>
          <w:rFonts w:cs="Tahoma"/>
        </w:rPr>
        <w:t xml:space="preserve"> Pourcentage de nouveaux patients  tuberculeux et de rechutes, séropositifs au VIH, sous traitement antirétroviral au cours du traitement de la tuberculose</w:t>
      </w:r>
    </w:p>
    <w:p w:rsidR="00911E81" w:rsidRPr="00460F5E" w:rsidRDefault="00911E81" w:rsidP="00460F5E">
      <w:pPr>
        <w:spacing w:after="120"/>
        <w:rPr>
          <w:rFonts w:cs="Tahoma"/>
        </w:rPr>
      </w:pPr>
      <w:r w:rsidRPr="00460F5E">
        <w:rPr>
          <w:rFonts w:cs="Tahoma"/>
          <w:b/>
        </w:rPr>
        <w:t>KP-1c(M):</w:t>
      </w:r>
      <w:r w:rsidRPr="00460F5E">
        <w:rPr>
          <w:rFonts w:cs="Tahoma"/>
        </w:rPr>
        <w:t xml:space="preserve"> Pourcentage de professionnels du sexe ayant bénéficié de programmes de prévention du VIH- paquet de services définis</w:t>
      </w:r>
    </w:p>
    <w:p w:rsidR="00911E81" w:rsidRPr="00460F5E" w:rsidRDefault="00911E81" w:rsidP="00460F5E">
      <w:pPr>
        <w:spacing w:after="120"/>
        <w:rPr>
          <w:rFonts w:cs="Tahoma"/>
        </w:rPr>
      </w:pPr>
      <w:r w:rsidRPr="00460F5E">
        <w:rPr>
          <w:rFonts w:cs="Tahoma"/>
          <w:b/>
        </w:rPr>
        <w:t>KP-3c(M):</w:t>
      </w:r>
      <w:r w:rsidRPr="00460F5E">
        <w:rPr>
          <w:rFonts w:cs="Tahoma"/>
        </w:rPr>
        <w:t xml:space="preserve"> Pourcentage de professionnels de sexe qui ont fait un test VIH au cours de la période de rapportage et qui connaissent les résultats</w:t>
      </w:r>
    </w:p>
    <w:p w:rsidR="00911E81" w:rsidRPr="00460F5E" w:rsidRDefault="00911E81" w:rsidP="00460F5E">
      <w:pPr>
        <w:spacing w:after="120"/>
        <w:rPr>
          <w:rFonts w:cs="Tahoma"/>
        </w:rPr>
      </w:pPr>
      <w:r w:rsidRPr="00460F5E">
        <w:rPr>
          <w:rFonts w:cs="Tahoma"/>
          <w:b/>
        </w:rPr>
        <w:t>KP-1a(M):</w:t>
      </w:r>
      <w:r w:rsidRPr="00460F5E">
        <w:rPr>
          <w:rFonts w:cs="Tahoma"/>
        </w:rPr>
        <w:t xml:space="preserve"> Pourcentage d'hommes ayant des rapports sexuels avec des hommes qui ont bénéficié de programmes de prévention du VIH (paquet de services définis)</w:t>
      </w:r>
    </w:p>
    <w:p w:rsidR="00911E81" w:rsidRPr="00460F5E" w:rsidRDefault="00911E81" w:rsidP="00460F5E">
      <w:pPr>
        <w:spacing w:after="120"/>
        <w:rPr>
          <w:rFonts w:cs="Tahoma"/>
        </w:rPr>
      </w:pPr>
      <w:r w:rsidRPr="00460F5E">
        <w:rPr>
          <w:rFonts w:cs="Tahoma"/>
          <w:b/>
        </w:rPr>
        <w:t>KP-3a(M):</w:t>
      </w:r>
      <w:r w:rsidRPr="00460F5E">
        <w:rPr>
          <w:rFonts w:cs="Tahoma"/>
        </w:rPr>
        <w:t xml:space="preserve"> Nombre et pourcentage d'hommes ayant des rapports sexuels avec des hommes qui ont fait un test VIH et connaissent les résultats.</w:t>
      </w:r>
    </w:p>
    <w:p w:rsidR="00251A8E" w:rsidRPr="00460F5E" w:rsidRDefault="00251A8E" w:rsidP="00460F5E">
      <w:bookmarkStart w:id="67" w:name="_Toc513041138"/>
      <w:bookmarkStart w:id="68" w:name="_Toc513044554"/>
    </w:p>
    <w:bookmarkEnd w:id="67"/>
    <w:bookmarkEnd w:id="68"/>
    <w:p w:rsidR="00A55B82" w:rsidRPr="009A5ED0" w:rsidRDefault="00A55B82" w:rsidP="00A55B82"/>
    <w:p w:rsidR="00A55B82" w:rsidRDefault="00A55B82" w:rsidP="00A55B82">
      <w:pPr>
        <w:jc w:val="both"/>
        <w:rPr>
          <w:rFonts w:ascii="Times New Roman" w:hAnsi="Times New Roman"/>
        </w:rPr>
      </w:pPr>
    </w:p>
    <w:p w:rsidR="00A55B82" w:rsidRDefault="00A55B82" w:rsidP="00A55B82">
      <w:pPr>
        <w:pStyle w:val="Titre2"/>
        <w:rPr>
          <w:lang w:val="en-US"/>
        </w:rPr>
      </w:pPr>
      <w:bookmarkStart w:id="69" w:name="_Toc514049515"/>
      <w:r w:rsidRPr="00460F5E">
        <w:rPr>
          <w:lang w:val="en-US"/>
        </w:rPr>
        <w:lastRenderedPageBreak/>
        <w:t>5.6 Program description</w:t>
      </w:r>
      <w:bookmarkEnd w:id="69"/>
    </w:p>
    <w:p w:rsidR="00911E81" w:rsidRPr="00460F5E" w:rsidRDefault="004E20E0" w:rsidP="00460F5E">
      <w:pPr>
        <w:pStyle w:val="Titre3"/>
        <w:rPr>
          <w:lang w:val="en-US"/>
        </w:rPr>
      </w:pPr>
      <w:bookmarkStart w:id="70" w:name="_Toc513041139"/>
      <w:r w:rsidRPr="00460F5E">
        <w:rPr>
          <w:lang w:val="en-US"/>
        </w:rPr>
        <w:t xml:space="preserve">5.6.1 </w:t>
      </w:r>
      <w:r w:rsidR="005065FF" w:rsidRPr="00460F5E">
        <w:rPr>
          <w:lang w:val="en-US"/>
        </w:rPr>
        <w:t>Tuberculosis</w:t>
      </w:r>
      <w:bookmarkEnd w:id="70"/>
    </w:p>
    <w:p w:rsidR="00911E81" w:rsidRPr="00460F5E" w:rsidRDefault="00911E81" w:rsidP="00460F5E">
      <w:pPr>
        <w:pStyle w:val="Default"/>
        <w:rPr>
          <w:rFonts w:ascii="Rockwell" w:hAnsi="Rockwell" w:cs="Tahoma"/>
          <w:sz w:val="22"/>
          <w:szCs w:val="22"/>
          <w:lang w:val="en-US"/>
        </w:rPr>
      </w:pPr>
      <w:r w:rsidRPr="00460F5E">
        <w:rPr>
          <w:rFonts w:ascii="Rockwell" w:hAnsi="Rockwell" w:cs="Tahoma"/>
          <w:sz w:val="22"/>
          <w:szCs w:val="22"/>
          <w:lang w:val="en-US"/>
        </w:rPr>
        <w:t xml:space="preserve">Tuberculosis (TB) remains a major public health problem in Guinea. The estimated TB mortality rate is 29 per 100,000, which represents a 68% decrease since 1990 (excluding TB/HIV co-infection). The estimated incidence is 177 per 100,000, and prevalence is estimated at 253 per 100,000 (a 57% decrease since 1999) (World TB Report 2015). TB/HIV co-infection incidence rates are elevated at 38/100 000. There are an estimated 230 MDR-TB expected. In 2015, 110 MDR-TB cases were diagnosed, which represents 48% of the estimated number to detect. </w:t>
      </w:r>
    </w:p>
    <w:p w:rsidR="00911E81" w:rsidRPr="00460F5E" w:rsidRDefault="00911E81" w:rsidP="00460F5E">
      <w:pPr>
        <w:pStyle w:val="Default"/>
        <w:rPr>
          <w:rFonts w:ascii="Rockwell" w:hAnsi="Rockwell" w:cs="Tahoma"/>
          <w:sz w:val="22"/>
          <w:szCs w:val="22"/>
          <w:lang w:val="en-US"/>
        </w:rPr>
      </w:pPr>
      <w:r w:rsidRPr="00460F5E">
        <w:rPr>
          <w:rFonts w:ascii="Rockwell" w:hAnsi="Rockwell" w:cs="Tahoma"/>
          <w:sz w:val="22"/>
          <w:szCs w:val="22"/>
          <w:lang w:val="en-US"/>
        </w:rPr>
        <w:t xml:space="preserve">From 2013-2016 Guinea struggled in the wake of the Ebola Virus Disease (EVD) Epidemic, which had a serious impact on health system, with the dramatic loss of 196 health workers and a decline in the population’s confidence in utilisation of public health services. In this context, the national TB program (Program National de Lutte Contre la Tuberculose (PNLAT)) was also impacted: several treatment centers were converted into Ebola treatment centers, community health workers were diverted to the Ebola effort, the scarce medical staff were focused on fighting or preventing the epidemic and the already weak data collection mechanisms were further eroded. </w:t>
      </w:r>
    </w:p>
    <w:p w:rsidR="00911E81" w:rsidRDefault="00911E81" w:rsidP="00460F5E">
      <w:pPr>
        <w:pStyle w:val="Default"/>
        <w:rPr>
          <w:rFonts w:ascii="Rockwell" w:hAnsi="Rockwell" w:cs="Tahoma"/>
          <w:sz w:val="22"/>
          <w:szCs w:val="22"/>
          <w:lang w:val="en-US"/>
        </w:rPr>
      </w:pPr>
      <w:r w:rsidRPr="00460F5E">
        <w:rPr>
          <w:rFonts w:ascii="Rockwell" w:hAnsi="Rockwell" w:cs="Tahoma"/>
          <w:sz w:val="22"/>
          <w:szCs w:val="22"/>
          <w:lang w:val="en-US"/>
        </w:rPr>
        <w:t xml:space="preserve">Consistent with the 2016-2020 National Strategic Plan (“Plan Stratégique de lutte antituberculeuse en Guinée 2016-2020”), the objectives of this grant is to support the PNLAT to improve case detection, treatment and prevention with a view to reducing overall prevalence and mortality. </w:t>
      </w:r>
    </w:p>
    <w:p w:rsidR="00A55B82" w:rsidRDefault="00A55B82" w:rsidP="00460F5E">
      <w:pPr>
        <w:pStyle w:val="Default"/>
        <w:rPr>
          <w:rFonts w:ascii="Rockwell" w:hAnsi="Rockwell" w:cs="Tahoma"/>
          <w:sz w:val="22"/>
          <w:szCs w:val="22"/>
          <w:lang w:val="en-US"/>
        </w:rPr>
      </w:pPr>
    </w:p>
    <w:p w:rsidR="00A55B82" w:rsidRPr="00460F5E" w:rsidRDefault="00A55B82" w:rsidP="00A55B82">
      <w:pPr>
        <w:pStyle w:val="Titre4"/>
        <w:rPr>
          <w:rFonts w:ascii="Rockwell" w:hAnsi="Rockwell" w:cs="Tahoma"/>
          <w:lang w:val="en-US"/>
        </w:rPr>
      </w:pPr>
      <w:r w:rsidRPr="00460F5E">
        <w:rPr>
          <w:rFonts w:ascii="Rockwell" w:hAnsi="Rockwell" w:cs="Tahoma"/>
          <w:lang w:val="en-US"/>
        </w:rPr>
        <w:t xml:space="preserve">Tuberculosis: </w:t>
      </w:r>
    </w:p>
    <w:p w:rsidR="00A55B82" w:rsidRPr="00460F5E" w:rsidRDefault="00A55B82" w:rsidP="00A55B82">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Renovate 3 treatment centers (“</w:t>
      </w:r>
      <w:r w:rsidRPr="00460F5E">
        <w:rPr>
          <w:rFonts w:ascii="Rockwell" w:hAnsi="Rockwell" w:cs="Tahoma"/>
          <w:i/>
          <w:iCs/>
          <w:color w:val="auto"/>
          <w:sz w:val="22"/>
          <w:szCs w:val="22"/>
          <w:lang w:val="en-US"/>
        </w:rPr>
        <w:t>centres de traitment</w:t>
      </w:r>
      <w:r w:rsidRPr="00460F5E">
        <w:rPr>
          <w:rFonts w:ascii="Rockwell" w:hAnsi="Rockwell" w:cs="Tahoma"/>
          <w:color w:val="auto"/>
          <w:sz w:val="22"/>
          <w:szCs w:val="22"/>
          <w:lang w:val="en-US"/>
        </w:rPr>
        <w:t xml:space="preserve">” (CDT) into areas currently not serviced; </w:t>
      </w:r>
    </w:p>
    <w:p w:rsidR="00A55B82" w:rsidRPr="00460F5E" w:rsidRDefault="00A55B82" w:rsidP="00A55B82">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Improve collaboration with the HIV treatment centers to ensure both testing and treatment of HIV and TB at all sites; </w:t>
      </w:r>
    </w:p>
    <w:p w:rsidR="00A55B82" w:rsidRPr="00460F5E" w:rsidRDefault="00A55B82" w:rsidP="00A55B82">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Increase case detection and treatment adherence in difficult to reach areas, including in areas that were severely impacted by EVD, through an expanded community health worker structure; </w:t>
      </w:r>
    </w:p>
    <w:p w:rsidR="00A55B82" w:rsidRPr="00460F5E" w:rsidRDefault="00A55B82" w:rsidP="00A55B82">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Strengthen diagnostics through the use of x-ray and GeneXPert platform for diagnosis of TB-HIV, MDR-TB and pediatric TB; </w:t>
      </w:r>
    </w:p>
    <w:p w:rsidR="00A55B82" w:rsidRPr="00460F5E" w:rsidRDefault="00A55B82" w:rsidP="00A55B82">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Build national capacity through two long-term, embedded international technical assistance providers: one to strengthen PNLAT program management, technical capacities, monitoring and evaluation; and the second to strengthen the lab support services (“</w:t>
      </w:r>
      <w:r w:rsidRPr="00460F5E">
        <w:rPr>
          <w:rFonts w:ascii="Rockwell" w:hAnsi="Rockwell" w:cs="Tahoma"/>
          <w:i/>
          <w:iCs/>
          <w:color w:val="auto"/>
          <w:sz w:val="22"/>
          <w:szCs w:val="22"/>
          <w:lang w:val="en-US"/>
        </w:rPr>
        <w:t>Laboratoire National de Reference (LNR</w:t>
      </w:r>
      <w:r w:rsidRPr="00460F5E">
        <w:rPr>
          <w:rFonts w:ascii="Rockwell" w:hAnsi="Rockwell" w:cs="Tahoma"/>
          <w:color w:val="auto"/>
          <w:sz w:val="22"/>
          <w:szCs w:val="22"/>
          <w:lang w:val="en-US"/>
        </w:rPr>
        <w:t xml:space="preserve">)); </w:t>
      </w:r>
    </w:p>
    <w:p w:rsidR="00A55B82" w:rsidRPr="00460F5E" w:rsidRDefault="00A55B82" w:rsidP="00A55B82">
      <w:pPr>
        <w:pStyle w:val="Default"/>
        <w:numPr>
          <w:ilvl w:val="0"/>
          <w:numId w:val="15"/>
        </w:numPr>
        <w:rPr>
          <w:rFonts w:ascii="Rockwell" w:hAnsi="Rockwell" w:cs="Tahoma"/>
          <w:color w:val="auto"/>
          <w:sz w:val="22"/>
          <w:szCs w:val="22"/>
          <w:lang w:val="en-US"/>
        </w:rPr>
      </w:pPr>
      <w:r w:rsidRPr="00460F5E">
        <w:rPr>
          <w:rFonts w:ascii="Rockwell" w:hAnsi="Rockwell" w:cs="Tahoma"/>
          <w:color w:val="auto"/>
          <w:sz w:val="22"/>
          <w:szCs w:val="22"/>
          <w:lang w:val="en-US"/>
        </w:rPr>
        <w:t xml:space="preserve">Implement the transition from long-course to short course MDR-TB treatment; </w:t>
      </w:r>
    </w:p>
    <w:p w:rsidR="00A55B82" w:rsidRPr="00460F5E" w:rsidRDefault="00A55B82" w:rsidP="00A55B82">
      <w:pPr>
        <w:pStyle w:val="Default"/>
        <w:numPr>
          <w:ilvl w:val="0"/>
          <w:numId w:val="15"/>
        </w:numPr>
        <w:rPr>
          <w:rFonts w:ascii="Rockwell" w:hAnsi="Rockwell" w:cs="Tahoma"/>
          <w:color w:val="auto"/>
          <w:sz w:val="22"/>
          <w:szCs w:val="22"/>
          <w:lang w:val="en-US"/>
        </w:rPr>
      </w:pPr>
      <w:r w:rsidRPr="00460F5E">
        <w:rPr>
          <w:rFonts w:ascii="Rockwell" w:hAnsi="Rockwell" w:cs="Tahoma"/>
          <w:color w:val="auto"/>
          <w:sz w:val="22"/>
          <w:szCs w:val="22"/>
          <w:lang w:val="en-US"/>
        </w:rPr>
        <w:t xml:space="preserve">Continue decentralization of TB supervision activities from the central level to the regions; </w:t>
      </w:r>
    </w:p>
    <w:p w:rsidR="00A55B82" w:rsidRPr="00460F5E" w:rsidRDefault="00A55B82" w:rsidP="00A55B82">
      <w:pPr>
        <w:pStyle w:val="Default"/>
        <w:numPr>
          <w:ilvl w:val="0"/>
          <w:numId w:val="15"/>
        </w:numPr>
        <w:rPr>
          <w:rFonts w:ascii="Rockwell" w:hAnsi="Rockwell" w:cs="Tahoma"/>
          <w:color w:val="auto"/>
          <w:sz w:val="22"/>
          <w:szCs w:val="22"/>
          <w:lang w:val="en-US"/>
        </w:rPr>
      </w:pPr>
      <w:r w:rsidRPr="00460F5E">
        <w:rPr>
          <w:rFonts w:ascii="Rockwell" w:hAnsi="Rockwell" w:cs="Tahoma"/>
          <w:color w:val="auto"/>
          <w:sz w:val="22"/>
          <w:szCs w:val="22"/>
          <w:lang w:val="en-US"/>
        </w:rPr>
        <w:t xml:space="preserve">Improve data collection and analysis with inclusion of DHIS2 TB module and training for its use (as part of national efforts to roll out DHIS2 designed to strengthen health management information systems (HMIS)); </w:t>
      </w:r>
    </w:p>
    <w:p w:rsidR="00A55B82" w:rsidRPr="00460F5E" w:rsidRDefault="00A55B82" w:rsidP="00A55B82">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-procurement of TB drugs, condoms and IST tests; </w:t>
      </w:r>
    </w:p>
    <w:p w:rsidR="00A55B82" w:rsidRPr="00460F5E" w:rsidRDefault="00A55B82" w:rsidP="00460F5E">
      <w:pPr>
        <w:pStyle w:val="Default"/>
        <w:rPr>
          <w:rFonts w:ascii="Rockwell" w:hAnsi="Rockwell" w:cs="Tahoma"/>
          <w:sz w:val="22"/>
          <w:szCs w:val="22"/>
          <w:lang w:val="en-US"/>
        </w:rPr>
      </w:pPr>
    </w:p>
    <w:p w:rsidR="00911E81" w:rsidRPr="00A55B82" w:rsidRDefault="00A55B82" w:rsidP="00A55B82">
      <w:pPr>
        <w:pStyle w:val="Titre3"/>
      </w:pPr>
      <w:bookmarkStart w:id="71" w:name="_Toc513041140"/>
      <w:r>
        <w:lastRenderedPageBreak/>
        <w:t xml:space="preserve">5.6.2 </w:t>
      </w:r>
      <w:r w:rsidR="005065FF" w:rsidRPr="00A55B82">
        <w:t>VIH</w:t>
      </w:r>
      <w:bookmarkEnd w:id="71"/>
    </w:p>
    <w:p w:rsidR="00A55B82" w:rsidRDefault="00A55B82" w:rsidP="00A55B82">
      <w:pPr>
        <w:pStyle w:val="Titre4"/>
      </w:pPr>
      <w:r>
        <w:t>Description du programme VIH</w:t>
      </w:r>
    </w:p>
    <w:p w:rsidR="00A55B82" w:rsidRPr="001B4D5A" w:rsidRDefault="00A55B82" w:rsidP="00A55B82">
      <w:pPr>
        <w:spacing w:before="100" w:after="100"/>
        <w:jc w:val="both"/>
        <w:rPr>
          <w:b/>
        </w:rPr>
      </w:pPr>
      <w:r w:rsidRPr="001B4D5A">
        <w:rPr>
          <w:b/>
        </w:rPr>
        <w:t>1. Contexte et Résumé</w:t>
      </w:r>
    </w:p>
    <w:p w:rsidR="00A55B82" w:rsidRPr="001B4D5A" w:rsidRDefault="00A55B82" w:rsidP="00A55B82">
      <w:pPr>
        <w:autoSpaceDE w:val="0"/>
        <w:autoSpaceDN w:val="0"/>
        <w:adjustRightInd w:val="0"/>
        <w:spacing w:after="0"/>
        <w:jc w:val="both"/>
        <w:rPr>
          <w:lang w:val="fr-CA"/>
        </w:rPr>
      </w:pPr>
      <w:r w:rsidRPr="001B4D5A">
        <w:rPr>
          <w:lang w:val="fr-CA"/>
        </w:rPr>
        <w:t>La Guinée est classée dans la catégorie des pays à épidémie généralisée avec une prévalence de 1,7% (</w:t>
      </w:r>
      <w:r w:rsidRPr="001B4D5A">
        <w:t>EDS-MICS 2012</w:t>
      </w:r>
      <w:r w:rsidRPr="001B4D5A">
        <w:rPr>
          <w:lang w:val="fr-CA"/>
        </w:rPr>
        <w:t xml:space="preserve">) au sein de la population générale. Cette prévalence est variable selon le sexe et la résidence. Elle est de 2,1% chez les femmes contre 1,2% chez les hommes et 2,7% en milieu urbain contre 1,2% en milieu rural. La frange jeune, 15 à 24 ans, de la population demeure affectée par la pandémie avec une séroprévalence de 2,5%. </w:t>
      </w:r>
    </w:p>
    <w:p w:rsidR="00A55B82" w:rsidRPr="001B4D5A" w:rsidRDefault="00A55B82" w:rsidP="00A55B82">
      <w:pPr>
        <w:tabs>
          <w:tab w:val="num" w:pos="720"/>
        </w:tabs>
        <w:autoSpaceDE w:val="0"/>
        <w:autoSpaceDN w:val="0"/>
        <w:adjustRightInd w:val="0"/>
        <w:spacing w:after="0"/>
        <w:jc w:val="both"/>
      </w:pPr>
      <w:r w:rsidRPr="001B4D5A">
        <w:t>Au sein des groupes de populations les plus à risque d’infection au VIH</w:t>
      </w:r>
      <w:r w:rsidRPr="001B4D5A">
        <w:rPr>
          <w:lang w:val="fr-CA"/>
        </w:rPr>
        <w:t xml:space="preserve">, selon ESCOMB 2017, </w:t>
      </w:r>
      <w:r w:rsidRPr="001B4D5A">
        <w:t>la prévalence est de:</w:t>
      </w:r>
    </w:p>
    <w:p w:rsidR="00A55B82" w:rsidRPr="001B4D5A" w:rsidRDefault="00A55B82" w:rsidP="00A55B82">
      <w:pPr>
        <w:numPr>
          <w:ilvl w:val="0"/>
          <w:numId w:val="125"/>
        </w:numPr>
        <w:autoSpaceDE w:val="0"/>
        <w:autoSpaceDN w:val="0"/>
        <w:adjustRightInd w:val="0"/>
        <w:spacing w:after="0"/>
        <w:jc w:val="both"/>
      </w:pPr>
      <w:r w:rsidRPr="001B4D5A">
        <w:rPr>
          <w:b/>
        </w:rPr>
        <w:t>0,70%</w:t>
      </w:r>
      <w:r w:rsidRPr="001B4D5A">
        <w:t xml:space="preserve"> chez les jeunes de  15 – 24 ans ;</w:t>
      </w:r>
    </w:p>
    <w:p w:rsidR="00A55B82" w:rsidRPr="001B4D5A" w:rsidRDefault="00A55B82" w:rsidP="00A55B82">
      <w:pPr>
        <w:numPr>
          <w:ilvl w:val="0"/>
          <w:numId w:val="125"/>
        </w:numPr>
        <w:autoSpaceDE w:val="0"/>
        <w:autoSpaceDN w:val="0"/>
        <w:adjustRightInd w:val="0"/>
        <w:spacing w:after="0"/>
        <w:jc w:val="both"/>
        <w:rPr>
          <w:lang w:val="en-US"/>
        </w:rPr>
      </w:pPr>
      <w:r w:rsidRPr="001B4D5A">
        <w:rPr>
          <w:b/>
          <w:bCs/>
        </w:rPr>
        <w:t xml:space="preserve">1,4% </w:t>
      </w:r>
      <w:r w:rsidRPr="001B4D5A">
        <w:t>chez les miniers ;</w:t>
      </w:r>
    </w:p>
    <w:p w:rsidR="00A55B82" w:rsidRPr="001B4D5A" w:rsidRDefault="00A55B82" w:rsidP="00A55B82">
      <w:pPr>
        <w:numPr>
          <w:ilvl w:val="0"/>
          <w:numId w:val="125"/>
        </w:numPr>
        <w:autoSpaceDE w:val="0"/>
        <w:autoSpaceDN w:val="0"/>
        <w:adjustRightInd w:val="0"/>
        <w:spacing w:after="0"/>
        <w:jc w:val="both"/>
        <w:rPr>
          <w:lang w:val="en-US"/>
        </w:rPr>
      </w:pPr>
      <w:r w:rsidRPr="001B4D5A">
        <w:t>2</w:t>
      </w:r>
      <w:r w:rsidRPr="001B4D5A">
        <w:rPr>
          <w:b/>
          <w:bCs/>
        </w:rPr>
        <w:t>,3%</w:t>
      </w:r>
      <w:r w:rsidRPr="001B4D5A">
        <w:t xml:space="preserve"> chez les routiers ;</w:t>
      </w:r>
    </w:p>
    <w:p w:rsidR="00A55B82" w:rsidRPr="001B4D5A" w:rsidRDefault="00A55B82" w:rsidP="00A55B82">
      <w:pPr>
        <w:numPr>
          <w:ilvl w:val="0"/>
          <w:numId w:val="125"/>
        </w:numPr>
        <w:autoSpaceDE w:val="0"/>
        <w:autoSpaceDN w:val="0"/>
        <w:adjustRightInd w:val="0"/>
        <w:spacing w:after="0"/>
        <w:jc w:val="both"/>
        <w:rPr>
          <w:lang w:val="en-US"/>
        </w:rPr>
      </w:pPr>
      <w:r w:rsidRPr="001B4D5A">
        <w:t>3</w:t>
      </w:r>
      <w:r w:rsidRPr="001B4D5A">
        <w:rPr>
          <w:b/>
          <w:bCs/>
        </w:rPr>
        <w:t>,8%</w:t>
      </w:r>
      <w:r w:rsidRPr="001B4D5A">
        <w:t xml:space="preserve"> chez les pêcheurs ;</w:t>
      </w:r>
    </w:p>
    <w:p w:rsidR="00A55B82" w:rsidRPr="001B4D5A" w:rsidRDefault="00A55B82" w:rsidP="00A55B82">
      <w:pPr>
        <w:numPr>
          <w:ilvl w:val="0"/>
          <w:numId w:val="125"/>
        </w:numPr>
        <w:autoSpaceDE w:val="0"/>
        <w:autoSpaceDN w:val="0"/>
        <w:adjustRightInd w:val="0"/>
        <w:spacing w:after="0"/>
        <w:jc w:val="both"/>
      </w:pPr>
      <w:r w:rsidRPr="001B4D5A">
        <w:t>3</w:t>
      </w:r>
      <w:r w:rsidRPr="001B4D5A">
        <w:rPr>
          <w:b/>
          <w:bCs/>
        </w:rPr>
        <w:t xml:space="preserve">,5% </w:t>
      </w:r>
      <w:r w:rsidRPr="001B4D5A">
        <w:t>chez les hommes en uniforme.</w:t>
      </w:r>
    </w:p>
    <w:p w:rsidR="00A55B82" w:rsidRPr="001B4D5A" w:rsidRDefault="00A55B82" w:rsidP="00A55B82">
      <w:pPr>
        <w:numPr>
          <w:ilvl w:val="0"/>
          <w:numId w:val="125"/>
        </w:numPr>
        <w:autoSpaceDE w:val="0"/>
        <w:autoSpaceDN w:val="0"/>
        <w:adjustRightInd w:val="0"/>
        <w:spacing w:after="0"/>
        <w:jc w:val="both"/>
      </w:pPr>
      <w:r w:rsidRPr="001B4D5A">
        <w:rPr>
          <w:b/>
          <w:bCs/>
        </w:rPr>
        <w:t xml:space="preserve">11,4% </w:t>
      </w:r>
      <w:r w:rsidRPr="001B4D5A">
        <w:t>chez les Hommes ayant des rapports Sexuels avec les Hommes (HSH)</w:t>
      </w:r>
    </w:p>
    <w:p w:rsidR="00A55B82" w:rsidRPr="001B4D5A" w:rsidRDefault="00A55B82" w:rsidP="00A55B82">
      <w:pPr>
        <w:numPr>
          <w:ilvl w:val="0"/>
          <w:numId w:val="125"/>
        </w:numPr>
        <w:autoSpaceDE w:val="0"/>
        <w:autoSpaceDN w:val="0"/>
        <w:adjustRightInd w:val="0"/>
        <w:spacing w:after="0"/>
        <w:jc w:val="both"/>
      </w:pPr>
      <w:r w:rsidRPr="001B4D5A">
        <w:rPr>
          <w:b/>
          <w:bCs/>
        </w:rPr>
        <w:t xml:space="preserve">10,7% </w:t>
      </w:r>
      <w:r w:rsidRPr="001B4D5A">
        <w:t>chez les Professionnelles du Sexe (PS) ;</w:t>
      </w:r>
    </w:p>
    <w:p w:rsidR="00A55B82" w:rsidRPr="001B4D5A" w:rsidRDefault="00A55B82" w:rsidP="00A55B82">
      <w:pPr>
        <w:numPr>
          <w:ilvl w:val="0"/>
          <w:numId w:val="125"/>
        </w:numPr>
        <w:autoSpaceDE w:val="0"/>
        <w:autoSpaceDN w:val="0"/>
        <w:adjustRightInd w:val="0"/>
        <w:spacing w:after="0"/>
        <w:jc w:val="both"/>
        <w:rPr>
          <w:lang w:val="en-US"/>
        </w:rPr>
      </w:pPr>
      <w:r w:rsidRPr="001B4D5A">
        <w:rPr>
          <w:b/>
          <w:bCs/>
        </w:rPr>
        <w:t>2,5% c</w:t>
      </w:r>
      <w:r w:rsidRPr="001B4D5A">
        <w:t>hez les détenus</w:t>
      </w:r>
    </w:p>
    <w:p w:rsidR="00A55B82" w:rsidRPr="001B4D5A" w:rsidRDefault="00A55B82" w:rsidP="00A55B82">
      <w:pPr>
        <w:autoSpaceDE w:val="0"/>
        <w:autoSpaceDN w:val="0"/>
        <w:adjustRightInd w:val="0"/>
        <w:spacing w:after="0"/>
        <w:jc w:val="both"/>
      </w:pPr>
      <w:r w:rsidRPr="001B4D5A">
        <w:t xml:space="preserve">Par rapport á la Co infection, la prévalence VIH est de </w:t>
      </w:r>
      <w:r w:rsidRPr="001B4D5A">
        <w:rPr>
          <w:b/>
          <w:bCs/>
        </w:rPr>
        <w:t xml:space="preserve">25% </w:t>
      </w:r>
      <w:r w:rsidRPr="001B4D5A">
        <w:rPr>
          <w:bCs/>
        </w:rPr>
        <w:t>ch</w:t>
      </w:r>
      <w:r w:rsidRPr="001B4D5A">
        <w:t>ez</w:t>
      </w:r>
      <w:r w:rsidRPr="001B4D5A">
        <w:rPr>
          <w:b/>
          <w:bCs/>
        </w:rPr>
        <w:t xml:space="preserve"> </w:t>
      </w:r>
      <w:r w:rsidRPr="001B4D5A">
        <w:t>les tuberculeux.</w:t>
      </w:r>
    </w:p>
    <w:p w:rsidR="00A55B82" w:rsidRPr="001B4D5A" w:rsidRDefault="00A55B82" w:rsidP="00A55B82">
      <w:pPr>
        <w:spacing w:after="0"/>
        <w:jc w:val="both"/>
      </w:pPr>
      <w:r w:rsidRPr="001B4D5A">
        <w:t>La propagation du VIH est favorisée par la persistance de certains comportements tels que le multi partenariat, la précocité des rapports sexuels et la non utilisation systématique du préservatif. Le risque de transmission est également renforcé par des facteurs sociaux et culturels qui contribuent à la discrimination et la stigmatisation d’une certaine catégorie de personnes notamment les PS et les HSH limitant ainsi leur accès aux services VIH. Il faut aussi noter le flou juridique voire le silence des lois guinéennes sur le statut et la protection de ces personnes.</w:t>
      </w:r>
    </w:p>
    <w:p w:rsidR="00A55B82" w:rsidRPr="001B4D5A" w:rsidRDefault="00A55B82" w:rsidP="00A55B82">
      <w:pPr>
        <w:spacing w:after="0"/>
        <w:jc w:val="both"/>
      </w:pPr>
    </w:p>
    <w:p w:rsidR="00A55B82" w:rsidRPr="001B4D5A" w:rsidRDefault="00A55B82" w:rsidP="00A55B82">
      <w:pPr>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jc w:val="both"/>
        <w:rPr>
          <w:b/>
          <w:color w:val="000000"/>
          <w:lang w:val="en-US"/>
        </w:rPr>
      </w:pPr>
      <w:r w:rsidRPr="001B4D5A">
        <w:rPr>
          <w:b/>
          <w:color w:val="000000"/>
          <w:lang w:val="en-US"/>
        </w:rPr>
        <w:t>Objectifs</w:t>
      </w:r>
    </w:p>
    <w:p w:rsidR="00A55B82" w:rsidRPr="001B4D5A" w:rsidRDefault="00A55B82" w:rsidP="00A55B82">
      <w:pPr>
        <w:pStyle w:val="Paragraphedeliste"/>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ind w:left="1080"/>
        <w:jc w:val="both"/>
        <w:rPr>
          <w:b/>
          <w:color w:val="000000"/>
          <w:sz w:val="10"/>
          <w:szCs w:val="10"/>
          <w:lang w:val="en-US"/>
        </w:rPr>
      </w:pPr>
    </w:p>
    <w:p w:rsidR="00A55B82" w:rsidRPr="001B4D5A" w:rsidRDefault="00A55B82" w:rsidP="00A55B82">
      <w:pPr>
        <w:spacing w:after="0"/>
        <w:jc w:val="both"/>
        <w:rPr>
          <w:b/>
          <w:color w:val="000000"/>
          <w:lang w:val="en-US"/>
        </w:rPr>
      </w:pPr>
      <w:r w:rsidRPr="001B4D5A">
        <w:rPr>
          <w:b/>
          <w:color w:val="000000"/>
          <w:lang w:val="en-US"/>
        </w:rPr>
        <w:t>Objectif global:</w:t>
      </w:r>
    </w:p>
    <w:p w:rsidR="00A55B82" w:rsidRPr="001B4D5A" w:rsidRDefault="00A55B82" w:rsidP="00A55B82">
      <w:pPr>
        <w:pStyle w:val="Paragraphedeliste"/>
        <w:spacing w:after="0"/>
        <w:ind w:left="1080"/>
        <w:jc w:val="both"/>
        <w:rPr>
          <w:b/>
          <w:color w:val="000000"/>
          <w:sz w:val="10"/>
          <w:szCs w:val="10"/>
          <w:lang w:val="en-US"/>
        </w:rPr>
      </w:pPr>
    </w:p>
    <w:p w:rsidR="00A55B82" w:rsidRPr="001B4D5A" w:rsidRDefault="00A55B82" w:rsidP="00A55B82">
      <w:pPr>
        <w:pStyle w:val="Default"/>
        <w:spacing w:line="276" w:lineRule="auto"/>
        <w:jc w:val="both"/>
        <w:rPr>
          <w:rFonts w:ascii="Rockwell" w:hAnsi="Rockwell" w:cs="Times New Roman"/>
          <w:b/>
          <w:sz w:val="22"/>
          <w:szCs w:val="22"/>
        </w:rPr>
      </w:pPr>
      <w:r w:rsidRPr="001B4D5A">
        <w:rPr>
          <w:rFonts w:ascii="Rockwell" w:hAnsi="Rockwell" w:cs="Times New Roman"/>
          <w:b/>
          <w:sz w:val="22"/>
          <w:szCs w:val="22"/>
        </w:rPr>
        <w:t>Réduire:</w:t>
      </w:r>
    </w:p>
    <w:p w:rsidR="00A55B82" w:rsidRPr="001B4D5A" w:rsidRDefault="00A55B82" w:rsidP="00A55B82">
      <w:pPr>
        <w:pStyle w:val="Default"/>
        <w:numPr>
          <w:ilvl w:val="0"/>
          <w:numId w:val="123"/>
        </w:numPr>
        <w:spacing w:after="196" w:line="276" w:lineRule="auto"/>
        <w:jc w:val="both"/>
        <w:rPr>
          <w:rFonts w:ascii="Rockwell" w:hAnsi="Rockwell" w:cs="Times New Roman"/>
          <w:sz w:val="22"/>
          <w:szCs w:val="22"/>
        </w:rPr>
      </w:pPr>
      <w:r w:rsidRPr="001B4D5A">
        <w:rPr>
          <w:rFonts w:ascii="Rockwell" w:hAnsi="Rockwell" w:cs="Times New Roman"/>
          <w:sz w:val="22"/>
          <w:szCs w:val="22"/>
        </w:rPr>
        <w:t xml:space="preserve">Les nouvelles infections de 50% et </w:t>
      </w:r>
    </w:p>
    <w:p w:rsidR="00A55B82" w:rsidRPr="001B4D5A" w:rsidRDefault="00A55B82" w:rsidP="00A55B82">
      <w:pPr>
        <w:pStyle w:val="Default"/>
        <w:numPr>
          <w:ilvl w:val="0"/>
          <w:numId w:val="123"/>
        </w:numPr>
        <w:spacing w:after="196" w:line="276" w:lineRule="auto"/>
        <w:jc w:val="both"/>
        <w:rPr>
          <w:rFonts w:ascii="Rockwell" w:hAnsi="Rockwell" w:cs="Times New Roman"/>
          <w:sz w:val="22"/>
          <w:szCs w:val="22"/>
        </w:rPr>
      </w:pPr>
      <w:r w:rsidRPr="001B4D5A">
        <w:rPr>
          <w:rFonts w:ascii="Rockwell" w:hAnsi="Rockwell" w:cs="Times New Roman"/>
          <w:sz w:val="22"/>
          <w:szCs w:val="22"/>
        </w:rPr>
        <w:t xml:space="preserve">La mortalité et la morbidité  des personnes vivant avec le VIH/SIDA d’au moins 50% d’ici 2020 </w:t>
      </w:r>
    </w:p>
    <w:p w:rsidR="00A55B82" w:rsidRPr="001B4D5A" w:rsidRDefault="00A55B82" w:rsidP="00A55B82">
      <w:pPr>
        <w:spacing w:after="0"/>
        <w:jc w:val="both"/>
      </w:pPr>
      <w:r w:rsidRPr="001B4D5A">
        <w:t xml:space="preserve">Améliorer l’accès </w:t>
      </w:r>
      <w:r w:rsidRPr="001B4D5A">
        <w:rPr>
          <w:rFonts w:eastAsia="SimSun"/>
        </w:rPr>
        <w:t>aux services de prévention, de soins et de traitement des populations clés (PS, HSH) et vulnérables (Pêcheurs, routiers, hommes en uniformes, miniers et détenus) dans le respect des droits humains</w:t>
      </w:r>
      <w:r w:rsidRPr="001B4D5A">
        <w:t>.</w:t>
      </w:r>
    </w:p>
    <w:p w:rsidR="00A55B82" w:rsidRPr="001B4D5A" w:rsidRDefault="00A55B82" w:rsidP="00A55B82">
      <w:pPr>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jc w:val="both"/>
        <w:rPr>
          <w:b/>
          <w:color w:val="000000"/>
        </w:rPr>
      </w:pPr>
    </w:p>
    <w:p w:rsidR="00A55B82" w:rsidRPr="001B4D5A" w:rsidRDefault="00A55B82" w:rsidP="00A55B82">
      <w:pPr>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jc w:val="both"/>
        <w:rPr>
          <w:b/>
          <w:color w:val="000000"/>
          <w:lang w:val="en-US"/>
        </w:rPr>
      </w:pPr>
      <w:r w:rsidRPr="001B4D5A">
        <w:rPr>
          <w:b/>
          <w:color w:val="000000"/>
          <w:lang w:val="en-US"/>
        </w:rPr>
        <w:t>Objectifs spécifiques</w:t>
      </w:r>
    </w:p>
    <w:p w:rsidR="00A55B82" w:rsidRPr="001B4D5A" w:rsidRDefault="00A55B82" w:rsidP="00A55B82">
      <w:pPr>
        <w:pStyle w:val="Paragraphedeliste"/>
        <w:numPr>
          <w:ilvl w:val="0"/>
          <w:numId w:val="124"/>
        </w:numPr>
        <w:spacing w:after="0"/>
        <w:jc w:val="both"/>
      </w:pPr>
      <w:r w:rsidRPr="001B4D5A">
        <w:t xml:space="preserve">Améliorer l’accès </w:t>
      </w:r>
      <w:r w:rsidRPr="001B4D5A">
        <w:rPr>
          <w:rFonts w:eastAsia="SimSun"/>
        </w:rPr>
        <w:t>aux services de prévention, de soins et de traitement des populations clés (PS, HSH) et vulnérables (Pêcheurs, routiers, hommes en uniformes, miniers et détenus) dans le respect des droits humains</w:t>
      </w:r>
      <w:r w:rsidRPr="001B4D5A">
        <w:t>.</w:t>
      </w:r>
    </w:p>
    <w:p w:rsidR="00A55B82" w:rsidRPr="001B4D5A" w:rsidRDefault="00A55B82" w:rsidP="00A55B82">
      <w:pPr>
        <w:numPr>
          <w:ilvl w:val="0"/>
          <w:numId w:val="124"/>
        </w:numPr>
        <w:autoSpaceDE w:val="0"/>
        <w:autoSpaceDN w:val="0"/>
        <w:adjustRightInd w:val="0"/>
        <w:spacing w:after="0"/>
        <w:jc w:val="both"/>
      </w:pPr>
      <w:r w:rsidRPr="001B4D5A">
        <w:lastRenderedPageBreak/>
        <w:t>Améliorer la couverture géographique des offres de services VIH á travers les Services Adaptés et les unités mobiles médicalisées, pour le dépistage VIH et la prise en charge des IST chez des PS et HSH ;</w:t>
      </w:r>
    </w:p>
    <w:p w:rsidR="00A55B82" w:rsidRPr="001B4D5A" w:rsidRDefault="00A55B82" w:rsidP="00A55B82">
      <w:pPr>
        <w:numPr>
          <w:ilvl w:val="0"/>
          <w:numId w:val="124"/>
        </w:numPr>
        <w:autoSpaceDE w:val="0"/>
        <w:autoSpaceDN w:val="0"/>
        <w:adjustRightInd w:val="0"/>
        <w:spacing w:after="0"/>
        <w:jc w:val="both"/>
      </w:pPr>
      <w:r w:rsidRPr="001B4D5A">
        <w:t>Renforcer les capacités du personnel de santé impliqué dans l’offre de services VIH auprès des PS et HSH ;</w:t>
      </w:r>
    </w:p>
    <w:p w:rsidR="00A55B82" w:rsidRPr="001B4D5A" w:rsidRDefault="00A55B82" w:rsidP="00A55B82">
      <w:pPr>
        <w:numPr>
          <w:ilvl w:val="0"/>
          <w:numId w:val="124"/>
        </w:numPr>
        <w:autoSpaceDE w:val="0"/>
        <w:autoSpaceDN w:val="0"/>
        <w:adjustRightInd w:val="0"/>
        <w:spacing w:after="0"/>
        <w:jc w:val="both"/>
      </w:pPr>
      <w:r w:rsidRPr="001B4D5A">
        <w:t>Renforcer les capacités des organisations communautaires y compris les associations des PS et HSH ;</w:t>
      </w:r>
    </w:p>
    <w:p w:rsidR="00A55B82" w:rsidRPr="001B4D5A" w:rsidRDefault="00A55B82" w:rsidP="00A55B82">
      <w:pPr>
        <w:numPr>
          <w:ilvl w:val="0"/>
          <w:numId w:val="124"/>
        </w:numPr>
        <w:autoSpaceDE w:val="0"/>
        <w:autoSpaceDN w:val="0"/>
        <w:adjustRightInd w:val="0"/>
        <w:spacing w:after="0"/>
        <w:jc w:val="both"/>
      </w:pPr>
      <w:r w:rsidRPr="001B4D5A">
        <w:t>Assurer le respect des droits humains pour les PS et HSH d’ici 2020.</w:t>
      </w:r>
    </w:p>
    <w:p w:rsidR="00A55B82" w:rsidRPr="001B4D5A" w:rsidRDefault="00A55B82" w:rsidP="00A55B82">
      <w:pPr>
        <w:autoSpaceDE w:val="0"/>
        <w:autoSpaceDN w:val="0"/>
        <w:adjustRightInd w:val="0"/>
        <w:spacing w:after="0"/>
        <w:ind w:left="360"/>
        <w:jc w:val="both"/>
      </w:pPr>
    </w:p>
    <w:p w:rsidR="00A55B82" w:rsidRPr="001B4D5A" w:rsidRDefault="00A55B82" w:rsidP="00A55B82">
      <w:pPr>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jc w:val="both"/>
        <w:rPr>
          <w:b/>
          <w:color w:val="000000"/>
        </w:rPr>
      </w:pPr>
      <w:r w:rsidRPr="001B4D5A">
        <w:rPr>
          <w:b/>
          <w:color w:val="000000"/>
        </w:rPr>
        <w:t>Groupes cibles / Bénéficiaires</w:t>
      </w:r>
    </w:p>
    <w:p w:rsidR="00A55B82" w:rsidRPr="001B4D5A" w:rsidRDefault="00A55B82" w:rsidP="00A55B82">
      <w:pPr>
        <w:pStyle w:val="Paragraphedeliste"/>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ind w:left="1080"/>
        <w:jc w:val="both"/>
        <w:rPr>
          <w:b/>
          <w:color w:val="000000"/>
        </w:rPr>
      </w:pPr>
    </w:p>
    <w:p w:rsidR="00A55B82" w:rsidRPr="001B4D5A" w:rsidRDefault="00A55B82" w:rsidP="00A55B82">
      <w:pPr>
        <w:spacing w:after="0"/>
        <w:jc w:val="both"/>
      </w:pPr>
      <w:r w:rsidRPr="001B4D5A">
        <w:t xml:space="preserve">Pour le cas spécifique de la présente subvention, deux populations clés sont concernées par ces interventions 1) les professionnelles du sexe (PS), 2) les hommes qui ont des rapports sexuels avec des hommes (HSH). </w:t>
      </w:r>
    </w:p>
    <w:p w:rsidR="00A55B82" w:rsidRPr="001B4D5A" w:rsidRDefault="00A55B82" w:rsidP="00A55B82">
      <w:pPr>
        <w:spacing w:after="0"/>
        <w:jc w:val="both"/>
      </w:pPr>
      <w:r w:rsidRPr="001B4D5A">
        <w:t xml:space="preserve">Les populations clés sont importantes pour la dynamique de la transmission du VIH au sein de la population générale. </w:t>
      </w:r>
    </w:p>
    <w:p w:rsidR="00A55B82" w:rsidRPr="001B4D5A" w:rsidRDefault="00A55B82" w:rsidP="00A55B82">
      <w:pPr>
        <w:spacing w:after="0"/>
        <w:jc w:val="both"/>
      </w:pPr>
      <w:r w:rsidRPr="001B4D5A">
        <w:t xml:space="preserve">Elles représentent des partenaires essentiels pour une réponse globale efficace à l'épidémie. </w:t>
      </w:r>
    </w:p>
    <w:p w:rsidR="00A55B82" w:rsidRPr="001B4D5A" w:rsidRDefault="00A55B82" w:rsidP="00A55B82">
      <w:pPr>
        <w:spacing w:after="0"/>
        <w:jc w:val="both"/>
      </w:pPr>
      <w:r w:rsidRPr="001B4D5A">
        <w:t>A ces cibles principales seront aussi intéressés les groupes à risque et vulnérables (Pêcheurs, routiers, hommes en uniformes, miniers et détenus).</w:t>
      </w:r>
    </w:p>
    <w:p w:rsidR="00A55B82" w:rsidRPr="001B4D5A" w:rsidRDefault="00A55B82" w:rsidP="00A55B82">
      <w:pPr>
        <w:spacing w:after="0"/>
        <w:jc w:val="both"/>
      </w:pPr>
    </w:p>
    <w:p w:rsidR="00A55B82" w:rsidRPr="001B4D5A" w:rsidRDefault="00A55B82" w:rsidP="00A55B82">
      <w:pPr>
        <w:spacing w:after="0"/>
        <w:jc w:val="both"/>
        <w:rPr>
          <w:sz w:val="10"/>
          <w:szCs w:val="10"/>
        </w:rPr>
      </w:pPr>
    </w:p>
    <w:p w:rsidR="00A55B82" w:rsidRPr="001B4D5A" w:rsidRDefault="00A55B82" w:rsidP="00A55B82">
      <w:pPr>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jc w:val="both"/>
        <w:rPr>
          <w:b/>
        </w:rPr>
      </w:pPr>
      <w:r w:rsidRPr="001B4D5A">
        <w:rPr>
          <w:b/>
          <w:color w:val="000000"/>
        </w:rPr>
        <w:t xml:space="preserve">Stratégies : </w:t>
      </w:r>
      <w:r w:rsidRPr="001B4D5A">
        <w:rPr>
          <w:b/>
        </w:rPr>
        <w:t>Les principales stratégies retenues à cet effet sont :</w:t>
      </w:r>
    </w:p>
    <w:p w:rsidR="00A55B82" w:rsidRPr="001B4D5A" w:rsidRDefault="00A55B82" w:rsidP="00A55B82">
      <w:pPr>
        <w:tabs>
          <w:tab w:val="left" w:pos="5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ind w:left="720"/>
        <w:jc w:val="both"/>
        <w:rPr>
          <w:b/>
          <w:color w:val="000000"/>
          <w:sz w:val="10"/>
          <w:szCs w:val="10"/>
        </w:rPr>
      </w:pPr>
    </w:p>
    <w:p w:rsidR="00A55B82" w:rsidRPr="001B4D5A" w:rsidRDefault="00A55B82" w:rsidP="00A55B82">
      <w:pPr>
        <w:numPr>
          <w:ilvl w:val="0"/>
          <w:numId w:val="124"/>
        </w:numPr>
        <w:autoSpaceDE w:val="0"/>
        <w:autoSpaceDN w:val="0"/>
        <w:adjustRightInd w:val="0"/>
        <w:spacing w:after="0"/>
        <w:jc w:val="both"/>
      </w:pPr>
      <w:bookmarkStart w:id="72" w:name="_Toc293653643"/>
      <w:r w:rsidRPr="001B4D5A">
        <w:t>La Prévention de la transmission du VIH chez les populations clés, leurs clients et autres populations vulnérables : (cibles : HSH, PS, population carcérale, jeunes, routiers, miniers, hommes en uniforme, pêcheurs, patients tuberculeux) </w:t>
      </w:r>
      <w:bookmarkEnd w:id="72"/>
    </w:p>
    <w:p w:rsidR="00A55B82" w:rsidRPr="001B4D5A" w:rsidRDefault="00A55B82" w:rsidP="00A55B82">
      <w:pPr>
        <w:numPr>
          <w:ilvl w:val="0"/>
          <w:numId w:val="124"/>
        </w:numPr>
        <w:autoSpaceDE w:val="0"/>
        <w:autoSpaceDN w:val="0"/>
        <w:adjustRightInd w:val="0"/>
        <w:spacing w:after="0"/>
        <w:jc w:val="both"/>
      </w:pPr>
      <w:r w:rsidRPr="001B4D5A">
        <w:t xml:space="preserve">Interventions pour le changement de comportement (CCC mass média, éducation par les pairs, éducation à base communautaire) </w:t>
      </w:r>
    </w:p>
    <w:p w:rsidR="00A55B82" w:rsidRPr="001B4D5A" w:rsidRDefault="00A55B82" w:rsidP="00A55B82">
      <w:pPr>
        <w:numPr>
          <w:ilvl w:val="0"/>
          <w:numId w:val="124"/>
        </w:numPr>
        <w:autoSpaceDE w:val="0"/>
        <w:autoSpaceDN w:val="0"/>
        <w:adjustRightInd w:val="0"/>
        <w:spacing w:after="0"/>
        <w:jc w:val="both"/>
      </w:pPr>
      <w:r w:rsidRPr="001B4D5A">
        <w:t>Le Conseil et dépistage volontaire du VIH</w:t>
      </w:r>
    </w:p>
    <w:p w:rsidR="00A55B82" w:rsidRPr="001B4D5A" w:rsidRDefault="00A55B82" w:rsidP="00A55B82">
      <w:pPr>
        <w:numPr>
          <w:ilvl w:val="0"/>
          <w:numId w:val="124"/>
        </w:numPr>
        <w:autoSpaceDE w:val="0"/>
        <w:autoSpaceDN w:val="0"/>
        <w:adjustRightInd w:val="0"/>
        <w:spacing w:after="0"/>
        <w:jc w:val="both"/>
      </w:pPr>
      <w:r w:rsidRPr="001B4D5A">
        <w:t>Le Renforcement des capacités des acteurs (professionnels de santé, pairs éducateurs issus des populations clés ainsi que les acteurs intervenant dans la réponse au VIH.)</w:t>
      </w:r>
      <w:bookmarkStart w:id="73" w:name="_Toc293653644"/>
    </w:p>
    <w:bookmarkEnd w:id="73"/>
    <w:p w:rsidR="00A55B82" w:rsidRPr="001B4D5A" w:rsidRDefault="00A55B82" w:rsidP="00A55B82">
      <w:pPr>
        <w:numPr>
          <w:ilvl w:val="0"/>
          <w:numId w:val="124"/>
        </w:numPr>
        <w:autoSpaceDE w:val="0"/>
        <w:autoSpaceDN w:val="0"/>
        <w:adjustRightInd w:val="0"/>
        <w:spacing w:after="0"/>
        <w:jc w:val="both"/>
      </w:pPr>
      <w:r w:rsidRPr="001B4D5A">
        <w:t>Le Dépistage et traitement des IST</w:t>
      </w:r>
    </w:p>
    <w:p w:rsidR="00A55B82" w:rsidRPr="001B4D5A" w:rsidRDefault="00A55B82" w:rsidP="00A55B82">
      <w:pPr>
        <w:numPr>
          <w:ilvl w:val="0"/>
          <w:numId w:val="124"/>
        </w:numPr>
        <w:autoSpaceDE w:val="0"/>
        <w:autoSpaceDN w:val="0"/>
        <w:adjustRightInd w:val="0"/>
        <w:spacing w:after="0"/>
        <w:jc w:val="both"/>
      </w:pPr>
      <w:r w:rsidRPr="001B4D5A">
        <w:t xml:space="preserve">La référence pour la Prise en charge des patients séropositifs en traitement antirétroviral </w:t>
      </w:r>
    </w:p>
    <w:p w:rsidR="00A55B82" w:rsidRPr="001B4D5A" w:rsidRDefault="00A55B82" w:rsidP="00A55B82">
      <w:pPr>
        <w:numPr>
          <w:ilvl w:val="0"/>
          <w:numId w:val="124"/>
        </w:numPr>
        <w:autoSpaceDE w:val="0"/>
        <w:autoSpaceDN w:val="0"/>
        <w:adjustRightInd w:val="0"/>
        <w:spacing w:after="0"/>
        <w:jc w:val="both"/>
      </w:pPr>
      <w:r w:rsidRPr="001B4D5A">
        <w:t>Le plaidoyer pour l’amélioration de l’environnement social et juridique pour une Protection des droits humains des PVVIH et populations clés dans le cadre de l’accès aux soins de santé notamment du VIH/SIDA</w:t>
      </w:r>
    </w:p>
    <w:p w:rsidR="00A55B82" w:rsidRPr="001B4D5A" w:rsidRDefault="00A55B82" w:rsidP="00A55B82">
      <w:pPr>
        <w:pStyle w:val="Titre4"/>
        <w:rPr>
          <w:rFonts w:ascii="Rockwell" w:hAnsi="Rockwell"/>
          <w:lang w:val="en-US"/>
        </w:rPr>
      </w:pPr>
      <w:r w:rsidRPr="001B4D5A">
        <w:rPr>
          <w:rFonts w:ascii="Rockwell" w:hAnsi="Rockwell"/>
          <w:lang w:val="en-US"/>
        </w:rPr>
        <w:t>Program description</w:t>
      </w:r>
    </w:p>
    <w:p w:rsidR="00911E81" w:rsidRPr="00460F5E" w:rsidRDefault="00911E81" w:rsidP="00460F5E">
      <w:pPr>
        <w:rPr>
          <w:rFonts w:cs="Tahoma"/>
          <w:lang w:val="en-US"/>
        </w:rPr>
      </w:pPr>
      <w:r w:rsidRPr="00460F5E">
        <w:rPr>
          <w:rFonts w:cs="Tahoma"/>
          <w:lang w:val="en-US"/>
        </w:rPr>
        <w:t xml:space="preserve">The HIV epidemic is generalised with a relatively low prevalence in the general population of 1.7% (DHS-MICS 2012). Prevalence is particularly high among women who represent 52% of all adults living with HIV. There are also significant variation among the capital (2.7%) and the other regions of the country (1% - 1.7%). Prevalence is concentrated in cities bordering Sierra Leone and Liberia, along the major road axes in the country and in mining areas. Results from a sentinel surveillance among pregnant women show an increase of HIV prevalence from 2.5% in 2008 to 3.5% in 2015, which can be partially explained by the context of service disruption during the Ebola epidemic (March 2014 – December 2015). </w:t>
      </w:r>
    </w:p>
    <w:p w:rsidR="00A21DAD" w:rsidRPr="00460F5E" w:rsidRDefault="00A21DAD" w:rsidP="00460F5E">
      <w:pPr>
        <w:pStyle w:val="Default"/>
        <w:rPr>
          <w:rFonts w:ascii="Rockwell" w:hAnsi="Rockwell" w:cs="Tahoma"/>
          <w:color w:val="auto"/>
          <w:sz w:val="22"/>
          <w:szCs w:val="22"/>
          <w:lang w:val="en-US"/>
        </w:rPr>
      </w:pPr>
    </w:p>
    <w:p w:rsidR="00A21DAD" w:rsidRPr="00460F5E" w:rsidRDefault="00911E81" w:rsidP="00460F5E">
      <w:pPr>
        <w:pStyle w:val="Default"/>
        <w:rPr>
          <w:rFonts w:ascii="Rockwell" w:hAnsi="Rockwell" w:cs="Tahoma"/>
          <w:color w:val="auto"/>
          <w:sz w:val="22"/>
          <w:szCs w:val="22"/>
          <w:lang w:val="en-US"/>
        </w:rPr>
      </w:pPr>
      <w:r w:rsidRPr="00460F5E">
        <w:rPr>
          <w:rFonts w:ascii="Rockwell" w:hAnsi="Rockwell" w:cs="Tahoma"/>
          <w:color w:val="auto"/>
          <w:sz w:val="22"/>
          <w:szCs w:val="22"/>
          <w:lang w:val="en-US"/>
        </w:rPr>
        <w:t xml:space="preserve">Trends based on SPECTRUM estimates show a slight decrease of the number of new infections (between 2013 and 2016) and reduction of the number of deaths (between 2012 and 2016). The 2015 IBBS, showed HIV prevalence among sex workers (SW) at 14.5%, TB patients at 23% and prisoners at 8,5%. In all other vulnerable populations (including fishermen, miners, men in uniform, truck drivers and young people) prevalence is lower than 5%. In all vulnerable populations included in the 2015 IBBS study, prevalence was lower than that found in IBBS conducted in 2012. For MSM, a separate study was conducted in 2017 based on a revised protocol and oversight of the study with expert international assistance overseen by an international PR. </w:t>
      </w:r>
    </w:p>
    <w:p w:rsidR="00A21DAD" w:rsidRPr="00460F5E" w:rsidRDefault="00A21DAD" w:rsidP="00460F5E">
      <w:pPr>
        <w:pStyle w:val="Default"/>
        <w:rPr>
          <w:rFonts w:ascii="Rockwell" w:hAnsi="Rockwell" w:cs="Tahoma"/>
          <w:color w:val="auto"/>
          <w:sz w:val="22"/>
          <w:szCs w:val="22"/>
          <w:lang w:val="en-US"/>
        </w:rPr>
      </w:pPr>
    </w:p>
    <w:p w:rsidR="00A21DAD" w:rsidRPr="00460F5E" w:rsidRDefault="00911E81" w:rsidP="00460F5E">
      <w:pPr>
        <w:pStyle w:val="Default"/>
        <w:rPr>
          <w:rFonts w:ascii="Rockwell" w:hAnsi="Rockwell" w:cs="Tahoma"/>
          <w:color w:val="auto"/>
          <w:sz w:val="22"/>
          <w:szCs w:val="22"/>
          <w:lang w:val="en-US"/>
        </w:rPr>
      </w:pPr>
      <w:r w:rsidRPr="00460F5E">
        <w:rPr>
          <w:rFonts w:ascii="Rockwell" w:hAnsi="Rockwell" w:cs="Tahoma"/>
          <w:color w:val="auto"/>
          <w:sz w:val="22"/>
          <w:szCs w:val="22"/>
          <w:lang w:val="en-US"/>
        </w:rPr>
        <w:t xml:space="preserve">Preliminary results of this recent study show a prevalence of 13% among MSMs, compared to 57% in 2012. This discrepancy is due to the quality of the methodology of the 2012 study on the MSM population. The 2013-2017 NSP is expected to be updated by the end of 2017 with support from expert consultants deployed through the UNAIDS’ Technical Support Facility (TSF). </w:t>
      </w:r>
    </w:p>
    <w:p w:rsidR="00A21DAD" w:rsidRPr="00460F5E" w:rsidRDefault="00A21DAD" w:rsidP="00460F5E">
      <w:pPr>
        <w:pStyle w:val="Default"/>
        <w:rPr>
          <w:rFonts w:ascii="Rockwell" w:hAnsi="Rockwell" w:cs="Tahoma"/>
          <w:color w:val="auto"/>
          <w:sz w:val="22"/>
          <w:szCs w:val="22"/>
          <w:lang w:val="en-US"/>
        </w:rPr>
      </w:pPr>
    </w:p>
    <w:p w:rsidR="00911E81" w:rsidRPr="00460F5E" w:rsidRDefault="00911E81" w:rsidP="00460F5E">
      <w:pPr>
        <w:pStyle w:val="Default"/>
        <w:rPr>
          <w:rFonts w:ascii="Rockwell" w:hAnsi="Rockwell" w:cs="Tahoma"/>
          <w:color w:val="auto"/>
          <w:sz w:val="22"/>
          <w:szCs w:val="22"/>
          <w:lang w:val="en-US"/>
        </w:rPr>
      </w:pPr>
      <w:r w:rsidRPr="00460F5E">
        <w:rPr>
          <w:rFonts w:ascii="Rockwell" w:hAnsi="Rockwell" w:cs="Tahoma"/>
          <w:color w:val="auto"/>
          <w:sz w:val="22"/>
          <w:szCs w:val="22"/>
          <w:lang w:val="en-US"/>
        </w:rPr>
        <w:t xml:space="preserve">Until the finalization of the program review and updating of the NSP, the programmatic interventions and targets are guided by the 18-month HIV emergency plan, developed by the CNLS, with strong inputs from the National HIV Program (PNPSCP) and technical support from UN agencies (UNAIDS, UNICEF, UNFPA, WHO), MSF-Belgium as well as PRs and SRs, taking into account the result of programmatic mapping and size estimation due in the middle of 2017 to adjust the interventions for key populations. The targets of the HIV Emergency Plan are aligned with actual results, which are, in turn, linked to the targets of the 2013-2017 National Strategic Plan. </w:t>
      </w:r>
    </w:p>
    <w:p w:rsidR="00911E81" w:rsidRPr="00460F5E" w:rsidRDefault="00911E81" w:rsidP="00460F5E">
      <w:pPr>
        <w:pStyle w:val="Default"/>
        <w:rPr>
          <w:rFonts w:ascii="Rockwell" w:hAnsi="Rockwell" w:cs="Tahoma"/>
          <w:color w:val="auto"/>
          <w:sz w:val="22"/>
          <w:szCs w:val="22"/>
          <w:lang w:val="en-US"/>
        </w:rPr>
      </w:pPr>
    </w:p>
    <w:p w:rsidR="00911E81" w:rsidRPr="00460F5E" w:rsidRDefault="004E20E0" w:rsidP="00460F5E">
      <w:pPr>
        <w:pStyle w:val="Titre3"/>
        <w:rPr>
          <w:lang w:val="en-US"/>
        </w:rPr>
      </w:pPr>
      <w:bookmarkStart w:id="74" w:name="_Toc513041141"/>
      <w:r w:rsidRPr="00460F5E">
        <w:rPr>
          <w:lang w:val="en-US"/>
        </w:rPr>
        <w:t xml:space="preserve">5.6.3 </w:t>
      </w:r>
      <w:r w:rsidR="00911E81" w:rsidRPr="00460F5E">
        <w:rPr>
          <w:lang w:val="en-US"/>
        </w:rPr>
        <w:t>Goals, Strategies and Activities</w:t>
      </w:r>
      <w:bookmarkEnd w:id="74"/>
      <w:r w:rsidR="00911E81" w:rsidRPr="00460F5E">
        <w:rPr>
          <w:lang w:val="en-US"/>
        </w:rPr>
        <w:t xml:space="preserve"> </w:t>
      </w:r>
    </w:p>
    <w:p w:rsidR="00BA56C4" w:rsidRPr="00460F5E" w:rsidRDefault="00BA56C4" w:rsidP="00460F5E">
      <w:pPr>
        <w:spacing w:after="120"/>
        <w:rPr>
          <w:b/>
          <w:lang w:val="en-US"/>
        </w:rPr>
      </w:pPr>
      <w:r w:rsidRPr="00460F5E">
        <w:rPr>
          <w:b/>
          <w:lang w:val="en-US"/>
        </w:rPr>
        <w:t>Program Goals and Impact Indicators</w:t>
      </w:r>
    </w:p>
    <w:p w:rsidR="00911E81" w:rsidRPr="00460F5E" w:rsidRDefault="00911E81" w:rsidP="00460F5E">
      <w:pPr>
        <w:pStyle w:val="Default"/>
        <w:rPr>
          <w:rFonts w:ascii="Rockwell" w:hAnsi="Rockwell" w:cs="Tahoma"/>
          <w:color w:val="auto"/>
          <w:sz w:val="22"/>
          <w:szCs w:val="22"/>
          <w:lang w:val="en-US"/>
        </w:rPr>
      </w:pPr>
      <w:r w:rsidRPr="00460F5E">
        <w:rPr>
          <w:rFonts w:ascii="Rockwell" w:hAnsi="Rockwell" w:cs="Tahoma"/>
          <w:b/>
          <w:bCs/>
          <w:i/>
          <w:iCs/>
          <w:color w:val="auto"/>
          <w:sz w:val="22"/>
          <w:szCs w:val="22"/>
          <w:lang w:val="en-US"/>
        </w:rPr>
        <w:t xml:space="preserve">Goals </w:t>
      </w:r>
      <w:r w:rsidR="00BA56C4" w:rsidRPr="00460F5E">
        <w:rPr>
          <w:rFonts w:ascii="Rockwell" w:hAnsi="Rockwell" w:cs="Tahoma"/>
          <w:b/>
          <w:bCs/>
          <w:i/>
          <w:iCs/>
          <w:color w:val="auto"/>
          <w:sz w:val="22"/>
          <w:szCs w:val="22"/>
          <w:lang w:val="en-US"/>
        </w:rPr>
        <w:t>(objectives)</w:t>
      </w:r>
    </w:p>
    <w:p w:rsidR="00BA56C4" w:rsidRPr="00460F5E" w:rsidRDefault="00BA56C4" w:rsidP="00460F5E">
      <w:pPr>
        <w:pStyle w:val="Paragraphedeliste"/>
        <w:numPr>
          <w:ilvl w:val="0"/>
          <w:numId w:val="117"/>
        </w:numPr>
        <w:autoSpaceDE w:val="0"/>
        <w:autoSpaceDN w:val="0"/>
        <w:adjustRightInd w:val="0"/>
        <w:spacing w:after="0" w:line="240" w:lineRule="auto"/>
        <w:rPr>
          <w:rFonts w:cs="Tahoma"/>
          <w:sz w:val="20"/>
          <w:szCs w:val="20"/>
        </w:rPr>
      </w:pPr>
      <w:r w:rsidRPr="00460F5E">
        <w:rPr>
          <w:rFonts w:cs="Tahoma"/>
          <w:sz w:val="20"/>
          <w:szCs w:val="20"/>
        </w:rPr>
        <w:t>Réduire de façon significative le poids de la tuberculose dans la population guinéenne en vue d’atteindre les cibles de la stratégie mondiale "End TB"</w:t>
      </w:r>
    </w:p>
    <w:p w:rsidR="00BA56C4" w:rsidRPr="00460F5E" w:rsidRDefault="00BA56C4" w:rsidP="00460F5E">
      <w:pPr>
        <w:pStyle w:val="Paragraphedeliste"/>
        <w:numPr>
          <w:ilvl w:val="0"/>
          <w:numId w:val="117"/>
        </w:numPr>
        <w:autoSpaceDE w:val="0"/>
        <w:autoSpaceDN w:val="0"/>
        <w:adjustRightInd w:val="0"/>
        <w:spacing w:after="0" w:line="240" w:lineRule="auto"/>
        <w:rPr>
          <w:rFonts w:cs="Tahoma"/>
          <w:sz w:val="20"/>
          <w:szCs w:val="20"/>
        </w:rPr>
      </w:pPr>
      <w:r w:rsidRPr="00460F5E">
        <w:rPr>
          <w:rFonts w:cs="Tahoma"/>
          <w:sz w:val="20"/>
          <w:szCs w:val="20"/>
        </w:rPr>
        <w:t>De 2018 à 2022, les nouvelles infections sont réduites de 37%</w:t>
      </w:r>
    </w:p>
    <w:p w:rsidR="00BA56C4" w:rsidRPr="00460F5E" w:rsidRDefault="00BA56C4" w:rsidP="00460F5E">
      <w:pPr>
        <w:pStyle w:val="Paragraphedeliste"/>
        <w:numPr>
          <w:ilvl w:val="0"/>
          <w:numId w:val="117"/>
        </w:numPr>
        <w:autoSpaceDE w:val="0"/>
        <w:autoSpaceDN w:val="0"/>
        <w:adjustRightInd w:val="0"/>
        <w:spacing w:after="0" w:line="240" w:lineRule="auto"/>
        <w:rPr>
          <w:rFonts w:cs="Tahoma"/>
          <w:sz w:val="20"/>
          <w:szCs w:val="20"/>
        </w:rPr>
      </w:pPr>
      <w:r w:rsidRPr="00460F5E">
        <w:rPr>
          <w:rFonts w:cs="Tahoma"/>
          <w:sz w:val="20"/>
          <w:szCs w:val="20"/>
        </w:rPr>
        <w:t>De 2018 à 2022, la mortalité et la morbidité des PVVIH sont réduites d'au moins 51%</w:t>
      </w:r>
    </w:p>
    <w:p w:rsidR="00CA38BF" w:rsidRPr="00460F5E" w:rsidRDefault="00CA38BF" w:rsidP="00460F5E">
      <w:pPr>
        <w:autoSpaceDE w:val="0"/>
        <w:autoSpaceDN w:val="0"/>
        <w:adjustRightInd w:val="0"/>
        <w:spacing w:after="0" w:line="240" w:lineRule="auto"/>
        <w:rPr>
          <w:rFonts w:cs="Tahoma"/>
          <w:b/>
          <w:bCs/>
          <w:sz w:val="20"/>
          <w:szCs w:val="20"/>
        </w:rPr>
      </w:pPr>
    </w:p>
    <w:p w:rsidR="00CA38BF" w:rsidRPr="00460F5E" w:rsidRDefault="00CA38BF" w:rsidP="00460F5E">
      <w:pPr>
        <w:spacing w:after="120"/>
        <w:rPr>
          <w:rFonts w:cs="Tahoma"/>
          <w:b/>
          <w:bCs/>
          <w:lang w:val="en-US"/>
        </w:rPr>
      </w:pPr>
      <w:r w:rsidRPr="00460F5E">
        <w:rPr>
          <w:rFonts w:cs="Tahoma"/>
          <w:b/>
          <w:bCs/>
          <w:lang w:val="en-US"/>
        </w:rPr>
        <w:t>Program Objectives and Outcome Indicators</w:t>
      </w:r>
    </w:p>
    <w:p w:rsidR="00CA38BF" w:rsidRPr="00460F5E" w:rsidRDefault="00CA38BF" w:rsidP="00460F5E">
      <w:pPr>
        <w:pStyle w:val="Paragraphedeliste"/>
        <w:numPr>
          <w:ilvl w:val="0"/>
          <w:numId w:val="118"/>
        </w:numPr>
        <w:autoSpaceDE w:val="0"/>
        <w:autoSpaceDN w:val="0"/>
        <w:adjustRightInd w:val="0"/>
        <w:spacing w:after="0" w:line="240" w:lineRule="auto"/>
        <w:rPr>
          <w:rFonts w:cs="Tahoma"/>
          <w:sz w:val="20"/>
          <w:szCs w:val="20"/>
        </w:rPr>
      </w:pPr>
      <w:r w:rsidRPr="00460F5E">
        <w:rPr>
          <w:rFonts w:cs="Tahoma"/>
          <w:sz w:val="20"/>
          <w:szCs w:val="20"/>
        </w:rPr>
        <w:t>Renforcer la capacité et la qualité du diagnostic de la tuberculose et intensifier le dépistage parmi les populations vulnérables et les IH pour au moins 97% des patients tuberculeux et faire bénéficier au moins 95% des malades coinfecté groupes à risque de façon à accroitre de 2,2% par an le nombre de cas de tuberculose détectés et mis au traitement.</w:t>
      </w:r>
    </w:p>
    <w:p w:rsidR="00CA38BF" w:rsidRPr="00460F5E" w:rsidRDefault="00CA38BF" w:rsidP="00460F5E">
      <w:pPr>
        <w:pStyle w:val="Paragraphedeliste"/>
        <w:numPr>
          <w:ilvl w:val="0"/>
          <w:numId w:val="118"/>
        </w:numPr>
        <w:autoSpaceDE w:val="0"/>
        <w:autoSpaceDN w:val="0"/>
        <w:adjustRightInd w:val="0"/>
        <w:spacing w:after="0" w:line="240" w:lineRule="auto"/>
        <w:rPr>
          <w:rFonts w:cs="Tahoma"/>
          <w:sz w:val="20"/>
          <w:szCs w:val="20"/>
        </w:rPr>
      </w:pPr>
      <w:r w:rsidRPr="00460F5E">
        <w:rPr>
          <w:rFonts w:cs="Tahoma"/>
          <w:sz w:val="20"/>
          <w:szCs w:val="20"/>
        </w:rPr>
        <w:t>Améliorer le taux de succès thérapeutique de 79% en 2014 à 87% en 2020.</w:t>
      </w:r>
    </w:p>
    <w:p w:rsidR="00CA38BF" w:rsidRPr="00460F5E" w:rsidRDefault="00CA38BF" w:rsidP="00460F5E">
      <w:pPr>
        <w:pStyle w:val="Paragraphedeliste"/>
        <w:numPr>
          <w:ilvl w:val="0"/>
          <w:numId w:val="118"/>
        </w:numPr>
        <w:autoSpaceDE w:val="0"/>
        <w:autoSpaceDN w:val="0"/>
        <w:adjustRightInd w:val="0"/>
        <w:spacing w:after="0" w:line="240" w:lineRule="auto"/>
        <w:rPr>
          <w:rFonts w:cs="Tahoma"/>
          <w:sz w:val="20"/>
          <w:szCs w:val="20"/>
        </w:rPr>
      </w:pPr>
      <w:r w:rsidRPr="00460F5E">
        <w:rPr>
          <w:rFonts w:cs="Tahoma"/>
          <w:sz w:val="20"/>
          <w:szCs w:val="20"/>
        </w:rPr>
        <w:t>Réaliser le dépistage du Vs du traitement ARV.</w:t>
      </w:r>
    </w:p>
    <w:p w:rsidR="00CA38BF" w:rsidRPr="00460F5E" w:rsidRDefault="00CA38BF" w:rsidP="00460F5E">
      <w:pPr>
        <w:pStyle w:val="Paragraphedeliste"/>
        <w:numPr>
          <w:ilvl w:val="0"/>
          <w:numId w:val="118"/>
        </w:numPr>
        <w:autoSpaceDE w:val="0"/>
        <w:autoSpaceDN w:val="0"/>
        <w:adjustRightInd w:val="0"/>
        <w:spacing w:after="0" w:line="240" w:lineRule="auto"/>
        <w:rPr>
          <w:rFonts w:cs="Tahoma"/>
          <w:sz w:val="20"/>
          <w:szCs w:val="20"/>
        </w:rPr>
      </w:pPr>
      <w:r w:rsidRPr="00460F5E">
        <w:rPr>
          <w:rFonts w:cs="Tahoma"/>
          <w:sz w:val="20"/>
          <w:szCs w:val="20"/>
        </w:rPr>
        <w:t>Détecter la résistance à la rifampicine chez au moins 90% des malades en retraitement et mettre sous traitement de deuxième ligne au moins 95% des cas confirmés TB-RR/MR.</w:t>
      </w:r>
    </w:p>
    <w:p w:rsidR="00CA38BF" w:rsidRPr="00460F5E" w:rsidRDefault="00CA38BF" w:rsidP="00460F5E">
      <w:pPr>
        <w:spacing w:after="0"/>
        <w:rPr>
          <w:rFonts w:cs="Tahoma"/>
          <w:b/>
          <w:bCs/>
          <w:sz w:val="16"/>
          <w:szCs w:val="16"/>
        </w:rPr>
      </w:pPr>
    </w:p>
    <w:p w:rsidR="00BA56C4" w:rsidRPr="00460F5E" w:rsidRDefault="00BA56C4" w:rsidP="00460F5E">
      <w:pPr>
        <w:pStyle w:val="Default"/>
        <w:rPr>
          <w:rFonts w:ascii="Rockwell" w:hAnsi="Rockwell" w:cs="Tahoma"/>
          <w:color w:val="auto"/>
          <w:sz w:val="22"/>
          <w:szCs w:val="22"/>
          <w:lang w:val="en-US"/>
        </w:rPr>
      </w:pPr>
      <w:r w:rsidRPr="00460F5E">
        <w:rPr>
          <w:rFonts w:ascii="Rockwell" w:hAnsi="Rockwell" w:cs="Tahoma"/>
          <w:b/>
          <w:bCs/>
          <w:i/>
          <w:iCs/>
          <w:color w:val="auto"/>
          <w:sz w:val="22"/>
          <w:szCs w:val="22"/>
          <w:lang w:val="en-US"/>
        </w:rPr>
        <w:t>Strategies (Anglais)</w:t>
      </w:r>
    </w:p>
    <w:p w:rsidR="00BA56C4" w:rsidRPr="00460F5E" w:rsidRDefault="00BA56C4" w:rsidP="00460F5E">
      <w:pPr>
        <w:pStyle w:val="Default"/>
        <w:numPr>
          <w:ilvl w:val="0"/>
          <w:numId w:val="16"/>
        </w:numPr>
        <w:rPr>
          <w:rFonts w:ascii="Rockwell" w:hAnsi="Rockwell" w:cs="Tahoma"/>
          <w:color w:val="auto"/>
          <w:sz w:val="22"/>
          <w:szCs w:val="22"/>
          <w:lang w:val="en-US"/>
        </w:rPr>
      </w:pPr>
      <w:r w:rsidRPr="00460F5E">
        <w:rPr>
          <w:rFonts w:ascii="Rockwell" w:hAnsi="Rockwell" w:cs="Tahoma"/>
          <w:color w:val="auto"/>
          <w:sz w:val="22"/>
          <w:szCs w:val="22"/>
          <w:lang w:val="en-US"/>
        </w:rPr>
        <w:t>Strengthen the capacity and quality of TB diagnosis by increasing testing among vulnerable and at-risk populations to increase by 2.2% case detection and treatment</w:t>
      </w:r>
    </w:p>
    <w:p w:rsidR="00BA56C4" w:rsidRPr="00460F5E" w:rsidRDefault="00BA56C4" w:rsidP="00460F5E">
      <w:pPr>
        <w:pStyle w:val="Default"/>
        <w:numPr>
          <w:ilvl w:val="0"/>
          <w:numId w:val="16"/>
        </w:numPr>
        <w:rPr>
          <w:rFonts w:ascii="Rockwell" w:hAnsi="Rockwell" w:cs="Tahoma"/>
          <w:color w:val="auto"/>
          <w:sz w:val="22"/>
          <w:szCs w:val="22"/>
          <w:lang w:val="en-US"/>
        </w:rPr>
      </w:pPr>
      <w:r w:rsidRPr="00460F5E">
        <w:rPr>
          <w:rFonts w:ascii="Rockwell" w:hAnsi="Rockwell" w:cs="Tahoma"/>
          <w:color w:val="auto"/>
          <w:sz w:val="22"/>
          <w:szCs w:val="22"/>
          <w:lang w:val="en-US"/>
        </w:rPr>
        <w:t>Improve the treatment success rate</w:t>
      </w:r>
    </w:p>
    <w:p w:rsidR="00BA56C4" w:rsidRPr="00460F5E" w:rsidRDefault="00BA56C4" w:rsidP="00460F5E">
      <w:pPr>
        <w:pStyle w:val="Default"/>
        <w:numPr>
          <w:ilvl w:val="0"/>
          <w:numId w:val="16"/>
        </w:numPr>
        <w:rPr>
          <w:rFonts w:ascii="Rockwell" w:hAnsi="Rockwell" w:cs="Tahoma"/>
          <w:color w:val="auto"/>
          <w:sz w:val="22"/>
          <w:szCs w:val="22"/>
          <w:lang w:val="en-US"/>
        </w:rPr>
      </w:pPr>
      <w:r w:rsidRPr="00460F5E">
        <w:rPr>
          <w:rFonts w:ascii="Rockwell" w:hAnsi="Rockwell" w:cs="Tahoma"/>
          <w:color w:val="auto"/>
          <w:sz w:val="22"/>
          <w:szCs w:val="22"/>
          <w:lang w:val="en-US"/>
        </w:rPr>
        <w:t>Test at least 85 % of TB patients for HIV and treat at least 90 % of co-infected patients</w:t>
      </w:r>
    </w:p>
    <w:p w:rsidR="00BA56C4" w:rsidRPr="00460F5E" w:rsidRDefault="00BA56C4" w:rsidP="00460F5E">
      <w:pPr>
        <w:pStyle w:val="Default"/>
        <w:numPr>
          <w:ilvl w:val="0"/>
          <w:numId w:val="16"/>
        </w:numPr>
        <w:rPr>
          <w:rFonts w:ascii="Rockwell" w:hAnsi="Rockwell" w:cs="Tahoma"/>
          <w:lang w:val="en-US"/>
        </w:rPr>
      </w:pPr>
      <w:r w:rsidRPr="00460F5E">
        <w:rPr>
          <w:rFonts w:ascii="Rockwell" w:hAnsi="Rockwell" w:cs="Tahoma"/>
          <w:color w:val="auto"/>
          <w:sz w:val="22"/>
          <w:szCs w:val="22"/>
          <w:lang w:val="en-US"/>
        </w:rPr>
        <w:t>Treat 90 % of confirmed MDR-TB with second-line treatment</w:t>
      </w:r>
    </w:p>
    <w:p w:rsidR="00BA56C4" w:rsidRPr="00460F5E" w:rsidRDefault="00BA56C4" w:rsidP="00460F5E">
      <w:pPr>
        <w:pStyle w:val="Default"/>
        <w:numPr>
          <w:ilvl w:val="0"/>
          <w:numId w:val="16"/>
        </w:numPr>
        <w:rPr>
          <w:rFonts w:ascii="Rockwell" w:hAnsi="Rockwell" w:cs="Tahoma"/>
          <w:lang w:val="en-US"/>
        </w:rPr>
      </w:pPr>
      <w:r w:rsidRPr="00460F5E">
        <w:rPr>
          <w:rFonts w:ascii="Rockwell" w:hAnsi="Rockwell" w:cs="Tahoma"/>
          <w:color w:val="auto"/>
          <w:sz w:val="22"/>
          <w:szCs w:val="22"/>
          <w:lang w:val="en-US"/>
        </w:rPr>
        <w:lastRenderedPageBreak/>
        <w:t xml:space="preserve">Extend DOTS to reach at least 10 % of TB patients referred by a community health worker </w:t>
      </w:r>
    </w:p>
    <w:p w:rsidR="00BA56C4" w:rsidRPr="00460F5E" w:rsidRDefault="00BA56C4" w:rsidP="00460F5E">
      <w:pPr>
        <w:pStyle w:val="Default"/>
        <w:numPr>
          <w:ilvl w:val="0"/>
          <w:numId w:val="16"/>
        </w:numPr>
        <w:rPr>
          <w:rFonts w:ascii="Rockwell" w:hAnsi="Rockwell" w:cs="Tahoma"/>
          <w:lang w:val="en-US"/>
        </w:rPr>
      </w:pPr>
      <w:r w:rsidRPr="00460F5E">
        <w:rPr>
          <w:rFonts w:ascii="Rockwell" w:hAnsi="Rockwell" w:cs="Tahoma"/>
          <w:color w:val="auto"/>
          <w:sz w:val="22"/>
          <w:szCs w:val="22"/>
          <w:lang w:val="en-US"/>
        </w:rPr>
        <w:t>Strengthen management and monitoring and evaluation capacities of the PNLAT</w:t>
      </w:r>
    </w:p>
    <w:p w:rsidR="00BA56C4" w:rsidRPr="00460F5E" w:rsidRDefault="00911E81" w:rsidP="00460F5E">
      <w:pPr>
        <w:pStyle w:val="Default"/>
        <w:numPr>
          <w:ilvl w:val="0"/>
          <w:numId w:val="16"/>
        </w:numPr>
        <w:rPr>
          <w:rFonts w:ascii="Rockwell" w:hAnsi="Rockwell" w:cs="Tahoma"/>
          <w:sz w:val="22"/>
          <w:szCs w:val="22"/>
          <w:lang w:val="en-US"/>
        </w:rPr>
      </w:pPr>
      <w:r w:rsidRPr="00460F5E">
        <w:rPr>
          <w:rFonts w:ascii="Rockwell" w:hAnsi="Rockwell" w:cs="Tahoma"/>
          <w:sz w:val="22"/>
          <w:szCs w:val="22"/>
          <w:lang w:val="en-US"/>
        </w:rPr>
        <w:t xml:space="preserve">Implement combined prevention strategies to ensure that at least 60% of the key groups (SW, MSM) adopt less risky behaviors regarding Sexually Transmitted Infections (STIs)/HIV by 2020; </w:t>
      </w:r>
    </w:p>
    <w:p w:rsidR="00911E81" w:rsidRPr="00460F5E" w:rsidRDefault="00911E81" w:rsidP="00460F5E">
      <w:pPr>
        <w:pStyle w:val="Default"/>
        <w:numPr>
          <w:ilvl w:val="0"/>
          <w:numId w:val="16"/>
        </w:numPr>
        <w:rPr>
          <w:rFonts w:ascii="Rockwell" w:hAnsi="Rockwell" w:cs="Tahoma"/>
          <w:sz w:val="22"/>
          <w:szCs w:val="22"/>
          <w:lang w:val="en-US"/>
        </w:rPr>
      </w:pPr>
      <w:r w:rsidRPr="00460F5E">
        <w:rPr>
          <w:rFonts w:ascii="Rockwell" w:hAnsi="Rockwell" w:cs="Tahoma"/>
          <w:color w:val="auto"/>
          <w:sz w:val="22"/>
          <w:szCs w:val="22"/>
          <w:lang w:val="en-US"/>
        </w:rPr>
        <w:t xml:space="preserve">Implement combined prevention strategies to ensure that at least 80% of adolescents and young people aged between 10 and 24 adopt less risky behaviors regarding STIs/HIV by 2020. </w:t>
      </w:r>
    </w:p>
    <w:p w:rsidR="00911E81" w:rsidRPr="00460F5E" w:rsidRDefault="00911E81" w:rsidP="00460F5E">
      <w:pPr>
        <w:pStyle w:val="Default"/>
        <w:rPr>
          <w:rFonts w:ascii="Rockwell" w:hAnsi="Rockwell" w:cs="Tahoma"/>
          <w:b/>
          <w:bCs/>
          <w:i/>
          <w:iCs/>
          <w:color w:val="auto"/>
          <w:sz w:val="22"/>
          <w:szCs w:val="22"/>
          <w:lang w:val="en-US"/>
        </w:rPr>
      </w:pPr>
    </w:p>
    <w:p w:rsidR="00911E81" w:rsidRPr="00460F5E" w:rsidRDefault="004E20E0" w:rsidP="00460F5E">
      <w:pPr>
        <w:pStyle w:val="Titre3"/>
      </w:pPr>
      <w:bookmarkStart w:id="75" w:name="_Toc513041142"/>
      <w:r w:rsidRPr="00460F5E">
        <w:t xml:space="preserve">5.6.4 </w:t>
      </w:r>
      <w:r w:rsidR="00911E81" w:rsidRPr="00460F5E">
        <w:t>Planned Activities</w:t>
      </w:r>
      <w:bookmarkEnd w:id="75"/>
      <w:r w:rsidR="00911E81" w:rsidRPr="00460F5E">
        <w:t xml:space="preserve"> </w:t>
      </w:r>
    </w:p>
    <w:p w:rsidR="00911E81" w:rsidRPr="00460F5E" w:rsidRDefault="00911E81" w:rsidP="00460F5E">
      <w:pPr>
        <w:pStyle w:val="Titre4"/>
        <w:rPr>
          <w:rFonts w:ascii="Rockwell" w:hAnsi="Rockwell" w:cs="Tahoma"/>
          <w:lang w:val="en-US"/>
        </w:rPr>
      </w:pPr>
      <w:r w:rsidRPr="00460F5E">
        <w:rPr>
          <w:rFonts w:ascii="Rockwell" w:hAnsi="Rockwell" w:cs="Tahoma"/>
          <w:lang w:val="en-US"/>
        </w:rPr>
        <w:t xml:space="preserve">HIV prevention: </w:t>
      </w:r>
    </w:p>
    <w:p w:rsidR="00911E81" w:rsidRPr="00460F5E" w:rsidRDefault="00911E81" w:rsidP="00460F5E">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Provide treatment for STIs and opportunistic infections; </w:t>
      </w:r>
    </w:p>
    <w:p w:rsidR="00911E81" w:rsidRPr="00460F5E" w:rsidRDefault="00911E81" w:rsidP="00460F5E">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Provide VCT services to the general population and high-risk groups, including patients diagnosed with TB; </w:t>
      </w:r>
    </w:p>
    <w:p w:rsidR="00911E81" w:rsidRPr="00460F5E" w:rsidRDefault="00911E81" w:rsidP="00460F5E">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Improve coordination between the HIV and TB programs at national, regional and district levels; </w:t>
      </w:r>
    </w:p>
    <w:p w:rsidR="00911E81" w:rsidRPr="00460F5E" w:rsidRDefault="00911E81" w:rsidP="00460F5E">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Provide a package of activities to prevent HIV transmission among key populations, their clients and other vulnerable populations; </w:t>
      </w:r>
    </w:p>
    <w:p w:rsidR="00911E81" w:rsidRPr="00460F5E" w:rsidRDefault="00911E81" w:rsidP="00460F5E">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Develop key advocacy and leadership interventions to reduce stigma and discrimination against key populations; </w:t>
      </w:r>
    </w:p>
    <w:p w:rsidR="00911E81" w:rsidRPr="00460F5E" w:rsidRDefault="00911E81" w:rsidP="00460F5E">
      <w:pPr>
        <w:pStyle w:val="Default"/>
        <w:numPr>
          <w:ilvl w:val="0"/>
          <w:numId w:val="14"/>
        </w:numPr>
        <w:rPr>
          <w:rFonts w:ascii="Rockwell" w:hAnsi="Rockwell" w:cs="Tahoma"/>
          <w:color w:val="auto"/>
          <w:sz w:val="22"/>
          <w:szCs w:val="22"/>
          <w:lang w:val="en-US"/>
        </w:rPr>
      </w:pPr>
      <w:r w:rsidRPr="00460F5E">
        <w:rPr>
          <w:rFonts w:ascii="Rockwell" w:hAnsi="Rockwell" w:cs="Tahoma"/>
          <w:color w:val="auto"/>
          <w:sz w:val="22"/>
          <w:szCs w:val="22"/>
          <w:lang w:val="en-US"/>
        </w:rPr>
        <w:t xml:space="preserve">Promote defence of human rights among key populations </w:t>
      </w:r>
    </w:p>
    <w:p w:rsidR="00BF665C" w:rsidRPr="00460F5E" w:rsidRDefault="00BF665C" w:rsidP="00460F5E">
      <w:pPr>
        <w:pStyle w:val="Default"/>
        <w:rPr>
          <w:rFonts w:ascii="Rockwell" w:hAnsi="Rockwell" w:cs="Tahoma"/>
          <w:color w:val="auto"/>
          <w:sz w:val="22"/>
          <w:szCs w:val="22"/>
          <w:lang w:val="en-US"/>
        </w:rPr>
      </w:pPr>
    </w:p>
    <w:p w:rsidR="00BF665C" w:rsidRPr="00460F5E" w:rsidRDefault="00BF665C" w:rsidP="00460F5E">
      <w:pPr>
        <w:pStyle w:val="Titre2"/>
      </w:pPr>
      <w:bookmarkStart w:id="76" w:name="_Toc513041143"/>
      <w:bookmarkStart w:id="77" w:name="_Toc513044555"/>
      <w:bookmarkStart w:id="78" w:name="_Toc514049516"/>
      <w:r w:rsidRPr="00460F5E">
        <w:t>5.7 Modules / Interventions</w:t>
      </w:r>
      <w:bookmarkEnd w:id="76"/>
      <w:bookmarkEnd w:id="77"/>
      <w:bookmarkEnd w:id="78"/>
      <w:r w:rsidRPr="00460F5E">
        <w:t xml:space="preserve"> </w:t>
      </w:r>
    </w:p>
    <w:tbl>
      <w:tblPr>
        <w:tblW w:w="9308" w:type="dxa"/>
        <w:tblCellMar>
          <w:left w:w="0" w:type="dxa"/>
          <w:right w:w="0" w:type="dxa"/>
        </w:tblCellMar>
        <w:tblLook w:val="04A0" w:firstRow="1" w:lastRow="0" w:firstColumn="1" w:lastColumn="0" w:noHBand="0" w:noVBand="1"/>
      </w:tblPr>
      <w:tblGrid>
        <w:gridCol w:w="3638"/>
        <w:gridCol w:w="5670"/>
      </w:tblGrid>
      <w:tr w:rsidR="00BF665C" w:rsidRPr="00460F5E" w:rsidTr="00A94EDB">
        <w:trPr>
          <w:trHeight w:val="477"/>
        </w:trPr>
        <w:tc>
          <w:tcPr>
            <w:tcW w:w="3638"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b/>
                <w:bCs/>
                <w:lang w:val="en-US"/>
              </w:rPr>
              <w:t xml:space="preserve">Modules </w:t>
            </w:r>
          </w:p>
        </w:tc>
        <w:tc>
          <w:tcPr>
            <w:tcW w:w="5670" w:type="dxa"/>
            <w:tcBorders>
              <w:top w:val="single" w:sz="8" w:space="0" w:color="FFFFFF"/>
              <w:left w:val="single" w:sz="8" w:space="0" w:color="FFFFFF"/>
              <w:bottom w:val="single" w:sz="24" w:space="0" w:color="FFFFFF"/>
              <w:right w:val="single" w:sz="8" w:space="0" w:color="FFFFFF"/>
            </w:tcBorders>
            <w:shd w:val="clear" w:color="auto" w:fill="4F81BD"/>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b/>
                <w:bCs/>
                <w:lang w:val="en-US"/>
              </w:rPr>
              <w:t xml:space="preserve">Interventions </w:t>
            </w:r>
          </w:p>
        </w:tc>
      </w:tr>
      <w:tr w:rsidR="00BF665C" w:rsidRPr="00460F5E" w:rsidTr="00A94EDB">
        <w:trPr>
          <w:trHeight w:val="430"/>
        </w:trPr>
        <w:tc>
          <w:tcPr>
            <w:tcW w:w="3638"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rsidR="00BF665C" w:rsidRPr="00460F5E" w:rsidRDefault="00BF665C" w:rsidP="00460F5E">
            <w:pPr>
              <w:spacing w:after="0"/>
              <w:rPr>
                <w:rFonts w:cs="Tahoma"/>
              </w:rPr>
            </w:pPr>
            <w:r w:rsidRPr="00460F5E">
              <w:rPr>
                <w:rFonts w:cs="Tahoma"/>
              </w:rPr>
              <w:t>Prise en charge et prévention de la tuberculose</w:t>
            </w:r>
          </w:p>
        </w:tc>
        <w:tc>
          <w:tcPr>
            <w:tcW w:w="567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BF665C" w:rsidRPr="00460F5E" w:rsidRDefault="00BF665C" w:rsidP="00460F5E">
            <w:pPr>
              <w:spacing w:after="0"/>
              <w:rPr>
                <w:rFonts w:cs="Tahoma"/>
              </w:rPr>
            </w:pPr>
            <w:r w:rsidRPr="00460F5E">
              <w:rPr>
                <w:rFonts w:cs="Tahoma"/>
              </w:rPr>
              <w:t>Activités concertées avec d'autres programmes et secteurs (prise en charge et prevention de la TB)</w:t>
            </w:r>
          </w:p>
        </w:tc>
      </w:tr>
      <w:tr w:rsidR="00BF665C" w:rsidRPr="00460F5E" w:rsidTr="00A94EDB">
        <w:trPr>
          <w:trHeight w:val="430"/>
        </w:trPr>
        <w:tc>
          <w:tcPr>
            <w:tcW w:w="3638" w:type="dxa"/>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rsidR="00BF665C" w:rsidRPr="00460F5E" w:rsidRDefault="00BF665C" w:rsidP="00460F5E">
            <w:pPr>
              <w:spacing w:after="0"/>
              <w:rPr>
                <w:rFonts w:cs="Tahoma"/>
              </w:rPr>
            </w:pPr>
            <w:r w:rsidRPr="00460F5E">
              <w:rPr>
                <w:rFonts w:cs="Tahoma"/>
              </w:rPr>
              <w:t>Prise en charge et prévention de la tuberculose</w:t>
            </w:r>
          </w:p>
        </w:tc>
        <w:tc>
          <w:tcPr>
            <w:tcW w:w="567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rsidR="00BF665C" w:rsidRPr="00460F5E" w:rsidRDefault="00BF665C" w:rsidP="00460F5E">
            <w:pPr>
              <w:spacing w:after="0"/>
              <w:rPr>
                <w:rFonts w:cs="Tahoma"/>
              </w:rPr>
            </w:pPr>
            <w:r w:rsidRPr="00460F5E">
              <w:rPr>
                <w:rFonts w:cs="Tahoma"/>
              </w:rPr>
              <w:t>Traitement</w:t>
            </w:r>
          </w:p>
        </w:tc>
      </w:tr>
      <w:tr w:rsidR="00BF665C" w:rsidRPr="00460F5E" w:rsidTr="00A94EDB">
        <w:trPr>
          <w:trHeight w:val="430"/>
        </w:trPr>
        <w:tc>
          <w:tcPr>
            <w:tcW w:w="3638" w:type="dxa"/>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rsidR="00BF665C" w:rsidRPr="00460F5E" w:rsidRDefault="00BF665C" w:rsidP="00460F5E">
            <w:pPr>
              <w:spacing w:after="0"/>
              <w:rPr>
                <w:rFonts w:cs="Tahoma"/>
              </w:rPr>
            </w:pPr>
            <w:r w:rsidRPr="00460F5E">
              <w:rPr>
                <w:rFonts w:cs="Tahoma"/>
              </w:rPr>
              <w:t>Tuberculose multirésistante</w:t>
            </w:r>
          </w:p>
        </w:tc>
        <w:tc>
          <w:tcPr>
            <w:tcW w:w="567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rsidR="00BF665C" w:rsidRPr="00460F5E" w:rsidRDefault="00BF665C" w:rsidP="00460F5E">
            <w:pPr>
              <w:spacing w:after="0"/>
              <w:rPr>
                <w:rFonts w:cs="Tahoma"/>
              </w:rPr>
            </w:pPr>
            <w:r w:rsidRPr="00460F5E">
              <w:rPr>
                <w:rFonts w:cs="Tahoma"/>
              </w:rPr>
              <w:t>Traitement : tuberculose multirésistante</w:t>
            </w:r>
          </w:p>
        </w:tc>
      </w:tr>
      <w:tr w:rsidR="00BF665C" w:rsidRPr="00460F5E" w:rsidTr="00A94EDB">
        <w:trPr>
          <w:trHeight w:val="430"/>
        </w:trPr>
        <w:tc>
          <w:tcPr>
            <w:tcW w:w="3638"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Tuberculose/VIH</w:t>
            </w:r>
          </w:p>
        </w:tc>
        <w:tc>
          <w:tcPr>
            <w:tcW w:w="567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Interventions conjointes de lutte contre la tuberculose et le VIH</w:t>
            </w:r>
          </w:p>
        </w:tc>
      </w:tr>
      <w:tr w:rsidR="00BF665C" w:rsidRPr="00460F5E" w:rsidTr="00A94EDB">
        <w:trPr>
          <w:trHeight w:val="430"/>
        </w:trPr>
        <w:tc>
          <w:tcPr>
            <w:tcW w:w="3638" w:type="dxa"/>
            <w:vMerge/>
            <w:tcBorders>
              <w:top w:val="single" w:sz="8" w:space="0" w:color="FFFFFF"/>
              <w:left w:val="single" w:sz="8" w:space="0" w:color="FFFFFF"/>
              <w:bottom w:val="single" w:sz="8" w:space="0" w:color="FFFFFF"/>
              <w:right w:val="single" w:sz="8" w:space="0" w:color="FFFFFF"/>
            </w:tcBorders>
            <w:vAlign w:val="center"/>
            <w:hideMark/>
          </w:tcPr>
          <w:p w:rsidR="00BF665C" w:rsidRPr="00460F5E" w:rsidRDefault="00BF665C" w:rsidP="00460F5E">
            <w:pPr>
              <w:spacing w:after="0"/>
              <w:rPr>
                <w:rFonts w:cs="Tahoma"/>
              </w:rPr>
            </w:pPr>
          </w:p>
        </w:tc>
        <w:tc>
          <w:tcPr>
            <w:tcW w:w="567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Prise en charge communautaire de la coinfection TB/VIH</w:t>
            </w:r>
          </w:p>
        </w:tc>
      </w:tr>
      <w:tr w:rsidR="00BF665C" w:rsidRPr="00460F5E" w:rsidTr="00A94EDB">
        <w:trPr>
          <w:trHeight w:val="626"/>
        </w:trPr>
        <w:tc>
          <w:tcPr>
            <w:tcW w:w="3638"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 xml:space="preserve">Programmes de prévention complets destinés aux populations clés </w:t>
            </w:r>
          </w:p>
        </w:tc>
        <w:tc>
          <w:tcPr>
            <w:tcW w:w="567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 xml:space="preserve">Interventions pour le changement de comportement ciblant les populations clés </w:t>
            </w:r>
          </w:p>
        </w:tc>
      </w:tr>
      <w:tr w:rsidR="00BF665C" w:rsidRPr="00460F5E" w:rsidTr="00A94EDB">
        <w:trPr>
          <w:trHeight w:val="626"/>
        </w:trPr>
        <w:tc>
          <w:tcPr>
            <w:tcW w:w="3638"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Programmes de prévention destinés aux adolescents et aux jeunes, scolarisés ou non</w:t>
            </w:r>
          </w:p>
        </w:tc>
        <w:tc>
          <w:tcPr>
            <w:tcW w:w="567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Changement de comportement dans le cadre des programmes destinés aux jeunes et aux adolescents</w:t>
            </w:r>
          </w:p>
        </w:tc>
      </w:tr>
      <w:tr w:rsidR="00BF665C" w:rsidRPr="00460F5E" w:rsidTr="00A94EDB">
        <w:trPr>
          <w:trHeight w:val="484"/>
        </w:trPr>
        <w:tc>
          <w:tcPr>
            <w:tcW w:w="3638" w:type="dxa"/>
            <w:vMerge/>
            <w:tcBorders>
              <w:top w:val="single" w:sz="8" w:space="0" w:color="FFFFFF"/>
              <w:left w:val="single" w:sz="8" w:space="0" w:color="FFFFFF"/>
              <w:bottom w:val="single" w:sz="8" w:space="0" w:color="FFFFFF"/>
              <w:right w:val="single" w:sz="8" w:space="0" w:color="FFFFFF"/>
            </w:tcBorders>
            <w:vAlign w:val="center"/>
            <w:hideMark/>
          </w:tcPr>
          <w:p w:rsidR="00BF665C" w:rsidRPr="00460F5E" w:rsidRDefault="00BF665C" w:rsidP="00460F5E">
            <w:pPr>
              <w:spacing w:after="0"/>
              <w:rPr>
                <w:rFonts w:cs="Tahoma"/>
              </w:rPr>
            </w:pPr>
          </w:p>
        </w:tc>
        <w:tc>
          <w:tcPr>
            <w:tcW w:w="567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Services de dépistage du VIH destinés aux adolescents et aux jeunes, scolarisés ou non</w:t>
            </w:r>
          </w:p>
        </w:tc>
      </w:tr>
      <w:tr w:rsidR="00BF665C" w:rsidRPr="00460F5E" w:rsidTr="00A94EDB">
        <w:trPr>
          <w:trHeight w:val="939"/>
        </w:trPr>
        <w:tc>
          <w:tcPr>
            <w:tcW w:w="3638"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lastRenderedPageBreak/>
              <w:t>Programmes visant à réduire les obstacles liés aux droits humains qui entravent l’accès aux services VIH</w:t>
            </w:r>
          </w:p>
        </w:tc>
        <w:tc>
          <w:tcPr>
            <w:tcW w:w="567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Interventions destinées à la réduction des barrières aux services de VIH relatives aux droits de l'Homme</w:t>
            </w:r>
          </w:p>
        </w:tc>
      </w:tr>
      <w:tr w:rsidR="00BF665C" w:rsidRPr="00460F5E" w:rsidTr="00A94EDB">
        <w:trPr>
          <w:trHeight w:val="626"/>
        </w:trPr>
        <w:tc>
          <w:tcPr>
            <w:tcW w:w="3638"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Programmes de prévention destinés à la population générale</w:t>
            </w:r>
          </w:p>
        </w:tc>
        <w:tc>
          <w:tcPr>
            <w:tcW w:w="567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Diagnostic et traitement des IST et autres services liés à la santé sexuelle pour les PS</w:t>
            </w:r>
          </w:p>
        </w:tc>
      </w:tr>
      <w:tr w:rsidR="00BF665C" w:rsidRPr="00460F5E" w:rsidTr="00A94EDB">
        <w:trPr>
          <w:trHeight w:val="939"/>
        </w:trPr>
        <w:tc>
          <w:tcPr>
            <w:tcW w:w="3638" w:type="dxa"/>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Programmes de prévention complets destinés aux hommes ayant des rapports sexuels avec des hommes (HSH)</w:t>
            </w:r>
          </w:p>
        </w:tc>
        <w:tc>
          <w:tcPr>
            <w:tcW w:w="567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Diagnostic et traitement des IST et autres services liés à la santé sexuelle pour les HSH</w:t>
            </w:r>
          </w:p>
        </w:tc>
      </w:tr>
      <w:tr w:rsidR="00BF665C" w:rsidRPr="00460F5E" w:rsidTr="00A94EDB">
        <w:trPr>
          <w:trHeight w:val="626"/>
        </w:trPr>
        <w:tc>
          <w:tcPr>
            <w:tcW w:w="3638"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Systèmes de santé résilients et pérennes</w:t>
            </w:r>
          </w:p>
        </w:tc>
        <w:tc>
          <w:tcPr>
            <w:tcW w:w="567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Système de gestion de l'information sanitaire et suivi et évaluation - Qualité du programme et des données</w:t>
            </w:r>
          </w:p>
        </w:tc>
      </w:tr>
      <w:tr w:rsidR="00BF665C" w:rsidRPr="00460F5E" w:rsidTr="00A94EDB">
        <w:trPr>
          <w:trHeight w:val="626"/>
        </w:trPr>
        <w:tc>
          <w:tcPr>
            <w:tcW w:w="3638" w:type="dxa"/>
            <w:vMerge/>
            <w:tcBorders>
              <w:top w:val="single" w:sz="8" w:space="0" w:color="FFFFFF"/>
              <w:left w:val="single" w:sz="8" w:space="0" w:color="FFFFFF"/>
              <w:bottom w:val="single" w:sz="8" w:space="0" w:color="FFFFFF"/>
              <w:right w:val="single" w:sz="8" w:space="0" w:color="FFFFFF"/>
            </w:tcBorders>
            <w:vAlign w:val="center"/>
            <w:hideMark/>
          </w:tcPr>
          <w:p w:rsidR="00BF665C" w:rsidRPr="00460F5E" w:rsidRDefault="00BF665C" w:rsidP="00460F5E">
            <w:pPr>
              <w:spacing w:after="0"/>
              <w:rPr>
                <w:rFonts w:cs="Tahoma"/>
              </w:rPr>
            </w:pPr>
          </w:p>
        </w:tc>
        <w:tc>
          <w:tcPr>
            <w:tcW w:w="5670" w:type="dxa"/>
            <w:tcBorders>
              <w:top w:val="single" w:sz="8" w:space="0" w:color="FFFFFF"/>
              <w:left w:val="single" w:sz="8" w:space="0" w:color="FFFFFF"/>
              <w:bottom w:val="single" w:sz="8" w:space="0" w:color="FFFFFF"/>
              <w:right w:val="single" w:sz="8" w:space="0" w:color="FFFFFF"/>
            </w:tcBorders>
            <w:shd w:val="clear" w:color="auto" w:fill="D0D8E8"/>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Autres interventions relatives aux achats et à la chaine d'approvisionnement</w:t>
            </w:r>
          </w:p>
        </w:tc>
      </w:tr>
      <w:tr w:rsidR="00BF665C" w:rsidRPr="00460F5E" w:rsidTr="00A94EDB">
        <w:trPr>
          <w:trHeight w:val="1012"/>
        </w:trPr>
        <w:tc>
          <w:tcPr>
            <w:tcW w:w="3638" w:type="dxa"/>
            <w:vMerge/>
            <w:tcBorders>
              <w:top w:val="single" w:sz="8" w:space="0" w:color="FFFFFF"/>
              <w:left w:val="single" w:sz="8" w:space="0" w:color="FFFFFF"/>
              <w:bottom w:val="single" w:sz="8" w:space="0" w:color="FFFFFF"/>
              <w:right w:val="single" w:sz="8" w:space="0" w:color="FFFFFF"/>
            </w:tcBorders>
            <w:vAlign w:val="center"/>
            <w:hideMark/>
          </w:tcPr>
          <w:p w:rsidR="00BF665C" w:rsidRPr="00460F5E" w:rsidRDefault="00BF665C" w:rsidP="00460F5E">
            <w:pPr>
              <w:spacing w:after="0"/>
              <w:rPr>
                <w:rFonts w:cs="Tahoma"/>
              </w:rPr>
            </w:pPr>
          </w:p>
        </w:tc>
        <w:tc>
          <w:tcPr>
            <w:tcW w:w="5670" w:type="dxa"/>
            <w:tcBorders>
              <w:top w:val="single" w:sz="8" w:space="0" w:color="FFFFFF"/>
              <w:left w:val="single" w:sz="8" w:space="0" w:color="FFFFFF"/>
              <w:bottom w:val="single" w:sz="8" w:space="0" w:color="FFFFFF"/>
              <w:right w:val="single" w:sz="8" w:space="0" w:color="FFFFFF"/>
            </w:tcBorders>
            <w:shd w:val="clear" w:color="auto" w:fill="E9EDF4"/>
            <w:tcMar>
              <w:top w:w="15" w:type="dxa"/>
              <w:left w:w="94" w:type="dxa"/>
              <w:bottom w:w="0" w:type="dxa"/>
              <w:right w:w="94" w:type="dxa"/>
            </w:tcMar>
            <w:hideMark/>
          </w:tcPr>
          <w:p w:rsidR="00BF665C" w:rsidRPr="00460F5E" w:rsidRDefault="00BF665C" w:rsidP="00460F5E">
            <w:pPr>
              <w:spacing w:after="0"/>
              <w:rPr>
                <w:rFonts w:cs="Tahoma"/>
              </w:rPr>
            </w:pPr>
            <w:r w:rsidRPr="00460F5E">
              <w:rPr>
                <w:rFonts w:cs="Tahoma"/>
              </w:rPr>
              <w:t>Ripostes et systèmes communautaires - Mobilisation sociale, renforcement des liens communautaires, de la collaboration et de la coordination</w:t>
            </w:r>
          </w:p>
        </w:tc>
      </w:tr>
    </w:tbl>
    <w:p w:rsidR="00BF665C" w:rsidRPr="00460F5E" w:rsidRDefault="00BF665C" w:rsidP="00460F5E">
      <w:pPr>
        <w:spacing w:after="0"/>
        <w:rPr>
          <w:rFonts w:cs="Tahoma"/>
        </w:rPr>
      </w:pPr>
    </w:p>
    <w:p w:rsidR="00CA38BF" w:rsidRPr="00460F5E" w:rsidRDefault="003D78C7" w:rsidP="00460F5E">
      <w:pPr>
        <w:pStyle w:val="Titre2"/>
        <w:rPr>
          <w:lang w:val="en-US"/>
        </w:rPr>
      </w:pPr>
      <w:bookmarkStart w:id="79" w:name="_Toc513041144"/>
      <w:bookmarkStart w:id="80" w:name="_Toc513044556"/>
      <w:bookmarkStart w:id="81" w:name="_Toc514049517"/>
      <w:r w:rsidRPr="00460F5E">
        <w:rPr>
          <w:lang w:val="en-US"/>
        </w:rPr>
        <w:t>5.8 Indicateurs de couverture</w:t>
      </w:r>
      <w:bookmarkEnd w:id="79"/>
      <w:bookmarkEnd w:id="80"/>
      <w:bookmarkEnd w:id="81"/>
    </w:p>
    <w:p w:rsidR="00027F01" w:rsidRPr="00460F5E" w:rsidRDefault="003D78C7" w:rsidP="00460F5E">
      <w:pPr>
        <w:pStyle w:val="Titre3"/>
        <w:rPr>
          <w:lang w:val="en-US"/>
        </w:rPr>
      </w:pPr>
      <w:bookmarkStart w:id="82" w:name="_Toc513041145"/>
      <w:r w:rsidRPr="00460F5E">
        <w:rPr>
          <w:lang w:val="en-US"/>
        </w:rPr>
        <w:t xml:space="preserve">5.8.1 </w:t>
      </w:r>
      <w:r w:rsidR="00027F01" w:rsidRPr="00460F5E">
        <w:rPr>
          <w:lang w:val="en-US"/>
        </w:rPr>
        <w:t>TB</w:t>
      </w:r>
      <w:bookmarkEnd w:id="82"/>
    </w:p>
    <w:tbl>
      <w:tblPr>
        <w:tblW w:w="10080" w:type="dxa"/>
        <w:tblInd w:w="55" w:type="dxa"/>
        <w:tblCellMar>
          <w:left w:w="70" w:type="dxa"/>
          <w:right w:w="70" w:type="dxa"/>
        </w:tblCellMar>
        <w:tblLook w:val="0420" w:firstRow="1" w:lastRow="0" w:firstColumn="0" w:lastColumn="0" w:noHBand="0" w:noVBand="1"/>
      </w:tblPr>
      <w:tblGrid>
        <w:gridCol w:w="3843"/>
        <w:gridCol w:w="1134"/>
        <w:gridCol w:w="992"/>
        <w:gridCol w:w="1153"/>
        <w:gridCol w:w="973"/>
        <w:gridCol w:w="992"/>
        <w:gridCol w:w="993"/>
      </w:tblGrid>
      <w:tr w:rsidR="00027F01" w:rsidRPr="00460F5E" w:rsidTr="000F0ACF">
        <w:trPr>
          <w:trHeight w:val="390"/>
        </w:trPr>
        <w:tc>
          <w:tcPr>
            <w:tcW w:w="3843" w:type="dxa"/>
            <w:vMerge w:val="restart"/>
            <w:tcBorders>
              <w:top w:val="single" w:sz="8" w:space="0" w:color="FFFFFF"/>
              <w:left w:val="single" w:sz="8" w:space="0" w:color="FFFFFF"/>
              <w:bottom w:val="single" w:sz="12" w:space="0" w:color="FFFFFF"/>
              <w:right w:val="single" w:sz="8" w:space="0" w:color="FFFFFF"/>
            </w:tcBorders>
            <w:shd w:val="clear" w:color="000000" w:fill="4F81BD"/>
            <w:vAlign w:val="center"/>
            <w:hideMark/>
          </w:tcPr>
          <w:p w:rsidR="00027F01" w:rsidRPr="00460F5E" w:rsidRDefault="00027F01"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val="en-US" w:eastAsia="fr-FR"/>
              </w:rPr>
              <w:t>Indicateurs de performance</w:t>
            </w:r>
          </w:p>
        </w:tc>
        <w:tc>
          <w:tcPr>
            <w:tcW w:w="3279" w:type="dxa"/>
            <w:gridSpan w:val="3"/>
            <w:tcBorders>
              <w:top w:val="single" w:sz="8" w:space="0" w:color="FFFFFF"/>
              <w:left w:val="nil"/>
              <w:bottom w:val="single" w:sz="12" w:space="0" w:color="FFFFFF"/>
              <w:right w:val="single" w:sz="8" w:space="0" w:color="FFFFFF"/>
            </w:tcBorders>
            <w:shd w:val="clear" w:color="000000" w:fill="4F81BD"/>
            <w:vAlign w:val="center"/>
            <w:hideMark/>
          </w:tcPr>
          <w:p w:rsidR="00027F01" w:rsidRPr="00460F5E" w:rsidRDefault="00027F01"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val="en-US" w:eastAsia="fr-FR"/>
              </w:rPr>
              <w:t>References</w:t>
            </w:r>
          </w:p>
        </w:tc>
        <w:tc>
          <w:tcPr>
            <w:tcW w:w="2958" w:type="dxa"/>
            <w:gridSpan w:val="3"/>
            <w:tcBorders>
              <w:top w:val="single" w:sz="8" w:space="0" w:color="FFFFFF"/>
              <w:left w:val="nil"/>
              <w:bottom w:val="single" w:sz="12" w:space="0" w:color="FFFFFF"/>
              <w:right w:val="single" w:sz="8" w:space="0" w:color="FFFFFF"/>
            </w:tcBorders>
            <w:shd w:val="clear" w:color="000000" w:fill="4F81BD"/>
            <w:vAlign w:val="center"/>
            <w:hideMark/>
          </w:tcPr>
          <w:p w:rsidR="00027F01" w:rsidRPr="00460F5E" w:rsidRDefault="00027F01"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val="en-US" w:eastAsia="fr-FR"/>
              </w:rPr>
              <w:t>Cible</w:t>
            </w:r>
          </w:p>
        </w:tc>
      </w:tr>
      <w:tr w:rsidR="00027F01" w:rsidRPr="00460F5E" w:rsidTr="000F0ACF">
        <w:trPr>
          <w:trHeight w:val="405"/>
        </w:trPr>
        <w:tc>
          <w:tcPr>
            <w:tcW w:w="3843" w:type="dxa"/>
            <w:vMerge/>
            <w:tcBorders>
              <w:top w:val="single" w:sz="8" w:space="0" w:color="FFFFFF"/>
              <w:left w:val="single" w:sz="8" w:space="0" w:color="FFFFFF"/>
              <w:bottom w:val="single" w:sz="12" w:space="0" w:color="FFFFFF"/>
              <w:right w:val="single" w:sz="8" w:space="0" w:color="FFFFFF"/>
            </w:tcBorders>
            <w:vAlign w:val="center"/>
            <w:hideMark/>
          </w:tcPr>
          <w:p w:rsidR="00027F01" w:rsidRPr="00460F5E" w:rsidRDefault="00027F01" w:rsidP="00460F5E">
            <w:pPr>
              <w:spacing w:after="0" w:line="240" w:lineRule="auto"/>
              <w:rPr>
                <w:rFonts w:eastAsia="Times New Roman" w:cs="Tahoma"/>
                <w:b/>
                <w:bCs/>
                <w:color w:val="FFFFFF"/>
                <w:lang w:eastAsia="fr-FR"/>
              </w:rPr>
            </w:pPr>
          </w:p>
        </w:tc>
        <w:tc>
          <w:tcPr>
            <w:tcW w:w="1134" w:type="dxa"/>
            <w:tcBorders>
              <w:top w:val="nil"/>
              <w:left w:val="nil"/>
              <w:bottom w:val="single" w:sz="8" w:space="0" w:color="FFFFFF"/>
              <w:right w:val="single" w:sz="8" w:space="0" w:color="FFFFFF"/>
            </w:tcBorders>
            <w:shd w:val="clear" w:color="000000" w:fill="4F81BD"/>
            <w:vAlign w:val="center"/>
            <w:hideMark/>
          </w:tcPr>
          <w:p w:rsidR="00027F01" w:rsidRPr="00460F5E" w:rsidRDefault="00027F01"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val="en-US" w:eastAsia="fr-FR"/>
              </w:rPr>
              <w:t>Valeur</w:t>
            </w:r>
          </w:p>
        </w:tc>
        <w:tc>
          <w:tcPr>
            <w:tcW w:w="992" w:type="dxa"/>
            <w:tcBorders>
              <w:top w:val="nil"/>
              <w:left w:val="nil"/>
              <w:bottom w:val="single" w:sz="8" w:space="0" w:color="FFFFFF"/>
              <w:right w:val="single" w:sz="8" w:space="0" w:color="FFFFFF"/>
            </w:tcBorders>
            <w:shd w:val="clear" w:color="000000" w:fill="4F81BD"/>
            <w:vAlign w:val="center"/>
            <w:hideMark/>
          </w:tcPr>
          <w:p w:rsidR="00027F01" w:rsidRPr="00460F5E" w:rsidRDefault="00027F01"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val="en-US" w:eastAsia="fr-FR"/>
              </w:rPr>
              <w:t>Annee</w:t>
            </w:r>
          </w:p>
        </w:tc>
        <w:tc>
          <w:tcPr>
            <w:tcW w:w="1153" w:type="dxa"/>
            <w:tcBorders>
              <w:top w:val="nil"/>
              <w:left w:val="nil"/>
              <w:bottom w:val="single" w:sz="8" w:space="0" w:color="FFFFFF"/>
              <w:right w:val="single" w:sz="8" w:space="0" w:color="FFFFFF"/>
            </w:tcBorders>
            <w:shd w:val="clear" w:color="000000" w:fill="4F81BD"/>
            <w:vAlign w:val="center"/>
            <w:hideMark/>
          </w:tcPr>
          <w:p w:rsidR="00027F01" w:rsidRPr="00460F5E" w:rsidRDefault="00027F01"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val="en-US" w:eastAsia="fr-FR"/>
              </w:rPr>
              <w:t>Sources</w:t>
            </w:r>
          </w:p>
        </w:tc>
        <w:tc>
          <w:tcPr>
            <w:tcW w:w="973" w:type="dxa"/>
            <w:tcBorders>
              <w:top w:val="nil"/>
              <w:left w:val="nil"/>
              <w:bottom w:val="single" w:sz="8" w:space="0" w:color="FFFFFF"/>
              <w:right w:val="single" w:sz="8" w:space="0" w:color="FFFFFF"/>
            </w:tcBorders>
            <w:shd w:val="clear" w:color="000000" w:fill="4F81BD"/>
            <w:vAlign w:val="center"/>
            <w:hideMark/>
          </w:tcPr>
          <w:p w:rsidR="00027F01" w:rsidRPr="00460F5E" w:rsidRDefault="00027F01"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val="en-US" w:eastAsia="fr-FR"/>
              </w:rPr>
              <w:t>2018</w:t>
            </w:r>
          </w:p>
        </w:tc>
        <w:tc>
          <w:tcPr>
            <w:tcW w:w="992" w:type="dxa"/>
            <w:tcBorders>
              <w:top w:val="nil"/>
              <w:left w:val="nil"/>
              <w:bottom w:val="single" w:sz="8" w:space="0" w:color="FFFFFF"/>
              <w:right w:val="single" w:sz="8" w:space="0" w:color="FFFFFF"/>
            </w:tcBorders>
            <w:shd w:val="clear" w:color="000000" w:fill="4F81BD"/>
            <w:vAlign w:val="center"/>
            <w:hideMark/>
          </w:tcPr>
          <w:p w:rsidR="00027F01" w:rsidRPr="00460F5E" w:rsidRDefault="00027F01"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val="en-US" w:eastAsia="fr-FR"/>
              </w:rPr>
              <w:t>2019</w:t>
            </w:r>
          </w:p>
        </w:tc>
        <w:tc>
          <w:tcPr>
            <w:tcW w:w="993" w:type="dxa"/>
            <w:tcBorders>
              <w:top w:val="nil"/>
              <w:left w:val="nil"/>
              <w:bottom w:val="single" w:sz="8" w:space="0" w:color="FFFFFF"/>
              <w:right w:val="single" w:sz="8" w:space="0" w:color="FFFFFF"/>
            </w:tcBorders>
            <w:shd w:val="clear" w:color="000000" w:fill="4F81BD"/>
            <w:vAlign w:val="center"/>
            <w:hideMark/>
          </w:tcPr>
          <w:p w:rsidR="00027F01" w:rsidRPr="00460F5E" w:rsidRDefault="00027F01"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val="en-US" w:eastAsia="fr-FR"/>
              </w:rPr>
              <w:t>2020</w:t>
            </w:r>
          </w:p>
        </w:tc>
      </w:tr>
      <w:tr w:rsidR="00027F01" w:rsidRPr="00460F5E" w:rsidTr="000F0ACF">
        <w:trPr>
          <w:trHeight w:val="405"/>
        </w:trPr>
        <w:tc>
          <w:tcPr>
            <w:tcW w:w="3843" w:type="dxa"/>
            <w:tcBorders>
              <w:top w:val="nil"/>
              <w:left w:val="single" w:sz="8" w:space="0" w:color="FFFFFF"/>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1"/>
              <w:rPr>
                <w:rFonts w:eastAsia="Times New Roman" w:cs="Tahoma"/>
                <w:b/>
                <w:bCs/>
                <w:color w:val="000000"/>
                <w:lang w:eastAsia="fr-FR"/>
              </w:rPr>
            </w:pPr>
            <w:r w:rsidRPr="00460F5E">
              <w:rPr>
                <w:rFonts w:eastAsia="Times New Roman" w:cs="Tahoma"/>
                <w:b/>
                <w:bCs/>
                <w:color w:val="000000"/>
                <w:lang w:val="en-US" w:eastAsia="fr-FR"/>
              </w:rPr>
              <w:t>Indicateurs de couvertures TB</w:t>
            </w:r>
          </w:p>
        </w:tc>
        <w:tc>
          <w:tcPr>
            <w:tcW w:w="1134" w:type="dxa"/>
            <w:tcBorders>
              <w:top w:val="nil"/>
              <w:left w:val="nil"/>
              <w:bottom w:val="single" w:sz="8" w:space="0" w:color="FFFFFF"/>
              <w:right w:val="single" w:sz="8" w:space="0" w:color="FFFFFF"/>
            </w:tcBorders>
            <w:shd w:val="clear" w:color="000000" w:fill="E9EDF4"/>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 </w:t>
            </w:r>
          </w:p>
        </w:tc>
        <w:tc>
          <w:tcPr>
            <w:tcW w:w="992" w:type="dxa"/>
            <w:tcBorders>
              <w:top w:val="nil"/>
              <w:left w:val="nil"/>
              <w:bottom w:val="single" w:sz="8" w:space="0" w:color="FFFFFF"/>
              <w:right w:val="single" w:sz="8" w:space="0" w:color="FFFFFF"/>
            </w:tcBorders>
            <w:shd w:val="clear" w:color="000000" w:fill="E9EDF4"/>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 </w:t>
            </w:r>
          </w:p>
        </w:tc>
        <w:tc>
          <w:tcPr>
            <w:tcW w:w="1153" w:type="dxa"/>
            <w:tcBorders>
              <w:top w:val="nil"/>
              <w:left w:val="nil"/>
              <w:bottom w:val="single" w:sz="8" w:space="0" w:color="FFFFFF"/>
              <w:right w:val="single" w:sz="8" w:space="0" w:color="FFFFFF"/>
            </w:tcBorders>
            <w:shd w:val="clear" w:color="000000" w:fill="E9EDF4"/>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 </w:t>
            </w:r>
          </w:p>
        </w:tc>
        <w:tc>
          <w:tcPr>
            <w:tcW w:w="973" w:type="dxa"/>
            <w:tcBorders>
              <w:top w:val="nil"/>
              <w:left w:val="nil"/>
              <w:bottom w:val="single" w:sz="8" w:space="0" w:color="FFFFFF"/>
              <w:right w:val="single" w:sz="8" w:space="0" w:color="FFFFFF"/>
            </w:tcBorders>
            <w:shd w:val="clear" w:color="000000" w:fill="E9EDF4"/>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 </w:t>
            </w:r>
          </w:p>
        </w:tc>
        <w:tc>
          <w:tcPr>
            <w:tcW w:w="992" w:type="dxa"/>
            <w:tcBorders>
              <w:top w:val="nil"/>
              <w:left w:val="nil"/>
              <w:bottom w:val="single" w:sz="8" w:space="0" w:color="FFFFFF"/>
              <w:right w:val="single" w:sz="8" w:space="0" w:color="FFFFFF"/>
            </w:tcBorders>
            <w:shd w:val="clear" w:color="000000" w:fill="E9EDF4"/>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 </w:t>
            </w:r>
          </w:p>
        </w:tc>
        <w:tc>
          <w:tcPr>
            <w:tcW w:w="993" w:type="dxa"/>
            <w:tcBorders>
              <w:top w:val="nil"/>
              <w:left w:val="nil"/>
              <w:bottom w:val="single" w:sz="8" w:space="0" w:color="FFFFFF"/>
              <w:right w:val="single" w:sz="8" w:space="0" w:color="FFFFFF"/>
            </w:tcBorders>
            <w:shd w:val="clear" w:color="000000" w:fill="E9EDF4"/>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eastAsia="fr-FR"/>
              </w:rPr>
              <w:t> </w:t>
            </w:r>
          </w:p>
        </w:tc>
      </w:tr>
      <w:tr w:rsidR="00027F01" w:rsidRPr="00460F5E" w:rsidTr="000F0ACF">
        <w:trPr>
          <w:trHeight w:val="1521"/>
        </w:trPr>
        <w:tc>
          <w:tcPr>
            <w:tcW w:w="3843" w:type="dxa"/>
            <w:tcBorders>
              <w:top w:val="nil"/>
              <w:left w:val="single" w:sz="8" w:space="0" w:color="FFFFFF"/>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eastAsia="fr-FR"/>
              </w:rPr>
              <w:t>TCP-1(M): Nombre de cas déclarés de tuberculose, toutes formes confondues, bactériologiquement confirmés et cliniquement diagnostiqués, nouveaux cas et récidives</w:t>
            </w:r>
          </w:p>
        </w:tc>
        <w:tc>
          <w:tcPr>
            <w:tcW w:w="1134"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12,631</w:t>
            </w:r>
          </w:p>
        </w:tc>
        <w:tc>
          <w:tcPr>
            <w:tcW w:w="992"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2016</w:t>
            </w:r>
          </w:p>
        </w:tc>
        <w:tc>
          <w:tcPr>
            <w:tcW w:w="115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PLNAT</w:t>
            </w:r>
          </w:p>
        </w:tc>
        <w:tc>
          <w:tcPr>
            <w:tcW w:w="97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val="en-US" w:eastAsia="fr-FR"/>
              </w:rPr>
              <w:t>13,569</w:t>
            </w:r>
          </w:p>
        </w:tc>
        <w:tc>
          <w:tcPr>
            <w:tcW w:w="992"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val="en-US" w:eastAsia="fr-FR"/>
              </w:rPr>
              <w:t>13,976</w:t>
            </w:r>
          </w:p>
        </w:tc>
        <w:tc>
          <w:tcPr>
            <w:tcW w:w="99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val="en-US" w:eastAsia="fr-FR"/>
              </w:rPr>
              <w:t>14,396</w:t>
            </w:r>
          </w:p>
        </w:tc>
      </w:tr>
      <w:tr w:rsidR="00027F01" w:rsidRPr="00460F5E" w:rsidTr="000F0ACF">
        <w:trPr>
          <w:trHeight w:val="1840"/>
        </w:trPr>
        <w:tc>
          <w:tcPr>
            <w:tcW w:w="3843" w:type="dxa"/>
            <w:tcBorders>
              <w:top w:val="nil"/>
              <w:left w:val="single" w:sz="8" w:space="0" w:color="FFFFFF"/>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eastAsia="fr-FR"/>
              </w:rPr>
              <w:t>TCP-2(M): Taux de succès thérapeutique- toutes formes confondue: Pourcentage de cas de TB, toutes formes confondue, bactériologiquement confirmés et diagnostiqués cliniquement, traités avec succès (guéris et traitement terminé) parmi tous les cas de TB ayant commencé le traitement pendant une période déterminée, nouveaux cas et récidives</w:t>
            </w:r>
          </w:p>
        </w:tc>
        <w:tc>
          <w:tcPr>
            <w:tcW w:w="1134"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82.3%</w:t>
            </w:r>
          </w:p>
        </w:tc>
        <w:tc>
          <w:tcPr>
            <w:tcW w:w="992"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2016</w:t>
            </w:r>
          </w:p>
        </w:tc>
        <w:tc>
          <w:tcPr>
            <w:tcW w:w="1153"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PLNAT</w:t>
            </w:r>
          </w:p>
        </w:tc>
        <w:tc>
          <w:tcPr>
            <w:tcW w:w="973"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85%</w:t>
            </w:r>
          </w:p>
        </w:tc>
        <w:tc>
          <w:tcPr>
            <w:tcW w:w="992"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86%</w:t>
            </w:r>
          </w:p>
        </w:tc>
        <w:tc>
          <w:tcPr>
            <w:tcW w:w="993"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87%</w:t>
            </w:r>
          </w:p>
        </w:tc>
      </w:tr>
      <w:tr w:rsidR="00027F01" w:rsidRPr="00460F5E" w:rsidTr="000F0ACF">
        <w:trPr>
          <w:trHeight w:val="1254"/>
        </w:trPr>
        <w:tc>
          <w:tcPr>
            <w:tcW w:w="3843" w:type="dxa"/>
            <w:tcBorders>
              <w:top w:val="nil"/>
              <w:left w:val="single" w:sz="8" w:space="0" w:color="FFFFFF"/>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eastAsia="fr-FR"/>
              </w:rPr>
              <w:lastRenderedPageBreak/>
              <w:t>TCP-5: Nombre d'enfants âgés de moins de 5 en contact avec des patients tuberculeux qui ont commencé un traitement préventif à l'isoniazide</w:t>
            </w:r>
          </w:p>
        </w:tc>
        <w:tc>
          <w:tcPr>
            <w:tcW w:w="1134"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2,54</w:t>
            </w:r>
          </w:p>
        </w:tc>
        <w:tc>
          <w:tcPr>
            <w:tcW w:w="992"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2016</w:t>
            </w:r>
          </w:p>
        </w:tc>
        <w:tc>
          <w:tcPr>
            <w:tcW w:w="115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 xml:space="preserve">PNLAT </w:t>
            </w:r>
          </w:p>
        </w:tc>
        <w:tc>
          <w:tcPr>
            <w:tcW w:w="97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3081</w:t>
            </w:r>
          </w:p>
        </w:tc>
        <w:tc>
          <w:tcPr>
            <w:tcW w:w="992"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3386</w:t>
            </w:r>
          </w:p>
        </w:tc>
        <w:tc>
          <w:tcPr>
            <w:tcW w:w="99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3728</w:t>
            </w:r>
          </w:p>
        </w:tc>
      </w:tr>
      <w:tr w:rsidR="00027F01" w:rsidRPr="00460F5E" w:rsidTr="000F0ACF">
        <w:trPr>
          <w:trHeight w:val="1515"/>
        </w:trPr>
        <w:tc>
          <w:tcPr>
            <w:tcW w:w="3843" w:type="dxa"/>
            <w:tcBorders>
              <w:top w:val="nil"/>
              <w:left w:val="single" w:sz="8" w:space="0" w:color="FFFFFF"/>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eastAsia="fr-FR"/>
              </w:rPr>
              <w:t>MDR TB-2(M): Nombre de cas de tuberculose, résistante à la rifampicine et/ou tuberculose multi résistante confirmés</w:t>
            </w:r>
          </w:p>
        </w:tc>
        <w:tc>
          <w:tcPr>
            <w:tcW w:w="1134"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178</w:t>
            </w:r>
          </w:p>
        </w:tc>
        <w:tc>
          <w:tcPr>
            <w:tcW w:w="992"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2016</w:t>
            </w:r>
          </w:p>
        </w:tc>
        <w:tc>
          <w:tcPr>
            <w:tcW w:w="1153"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LNR</w:t>
            </w:r>
          </w:p>
        </w:tc>
        <w:tc>
          <w:tcPr>
            <w:tcW w:w="973"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148</w:t>
            </w:r>
          </w:p>
        </w:tc>
        <w:tc>
          <w:tcPr>
            <w:tcW w:w="992"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277</w:t>
            </w:r>
          </w:p>
        </w:tc>
        <w:tc>
          <w:tcPr>
            <w:tcW w:w="993"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307</w:t>
            </w:r>
          </w:p>
        </w:tc>
      </w:tr>
      <w:tr w:rsidR="00027F01" w:rsidRPr="00460F5E" w:rsidTr="000F0ACF">
        <w:trPr>
          <w:trHeight w:val="1232"/>
        </w:trPr>
        <w:tc>
          <w:tcPr>
            <w:tcW w:w="3843" w:type="dxa"/>
            <w:tcBorders>
              <w:top w:val="nil"/>
              <w:left w:val="single" w:sz="8" w:space="0" w:color="FFFFFF"/>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eastAsia="fr-FR"/>
              </w:rPr>
              <w:t>MDR TB-3(M): Nombre de cas de tuberculose résistante à la rifampicine et/ou tuberculose multirésistante qui ont commencé un traitement de deuxième intention</w:t>
            </w:r>
          </w:p>
        </w:tc>
        <w:tc>
          <w:tcPr>
            <w:tcW w:w="1134"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137</w:t>
            </w:r>
          </w:p>
        </w:tc>
        <w:tc>
          <w:tcPr>
            <w:tcW w:w="992"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2016</w:t>
            </w:r>
          </w:p>
        </w:tc>
        <w:tc>
          <w:tcPr>
            <w:tcW w:w="115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LNR</w:t>
            </w:r>
          </w:p>
        </w:tc>
        <w:tc>
          <w:tcPr>
            <w:tcW w:w="97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223</w:t>
            </w:r>
          </w:p>
        </w:tc>
        <w:tc>
          <w:tcPr>
            <w:tcW w:w="992"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249</w:t>
            </w:r>
          </w:p>
        </w:tc>
        <w:tc>
          <w:tcPr>
            <w:tcW w:w="99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276</w:t>
            </w:r>
          </w:p>
        </w:tc>
      </w:tr>
      <w:tr w:rsidR="00027F01" w:rsidRPr="00460F5E" w:rsidTr="000F0ACF">
        <w:trPr>
          <w:trHeight w:val="1090"/>
        </w:trPr>
        <w:tc>
          <w:tcPr>
            <w:tcW w:w="3843" w:type="dxa"/>
            <w:tcBorders>
              <w:top w:val="nil"/>
              <w:left w:val="single" w:sz="8" w:space="0" w:color="FFFFFF"/>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eastAsia="fr-FR"/>
              </w:rPr>
              <w:t>M&amp;E-1: Pourcentage d’entités déclarantes présentant leurs rapports dans les délais selon les directives nationales</w:t>
            </w:r>
          </w:p>
        </w:tc>
        <w:tc>
          <w:tcPr>
            <w:tcW w:w="1134"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33%</w:t>
            </w:r>
          </w:p>
        </w:tc>
        <w:tc>
          <w:tcPr>
            <w:tcW w:w="992"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2016</w:t>
            </w:r>
          </w:p>
        </w:tc>
        <w:tc>
          <w:tcPr>
            <w:tcW w:w="1153"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val="en-US" w:eastAsia="fr-FR"/>
              </w:rPr>
              <w:t>Rapport T3</w:t>
            </w:r>
          </w:p>
        </w:tc>
        <w:tc>
          <w:tcPr>
            <w:tcW w:w="973"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70%</w:t>
            </w:r>
          </w:p>
        </w:tc>
        <w:tc>
          <w:tcPr>
            <w:tcW w:w="992"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80%</w:t>
            </w:r>
          </w:p>
        </w:tc>
        <w:tc>
          <w:tcPr>
            <w:tcW w:w="993" w:type="dxa"/>
            <w:tcBorders>
              <w:top w:val="nil"/>
              <w:left w:val="nil"/>
              <w:bottom w:val="single" w:sz="8" w:space="0" w:color="FFFFFF"/>
              <w:right w:val="single" w:sz="8" w:space="0" w:color="FFFFFF"/>
            </w:tcBorders>
            <w:shd w:val="clear" w:color="000000" w:fill="E9EDF4"/>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90%</w:t>
            </w:r>
          </w:p>
        </w:tc>
      </w:tr>
      <w:tr w:rsidR="00027F01" w:rsidRPr="00460F5E" w:rsidTr="003D78C7">
        <w:trPr>
          <w:trHeight w:val="115"/>
        </w:trPr>
        <w:tc>
          <w:tcPr>
            <w:tcW w:w="3843" w:type="dxa"/>
            <w:tcBorders>
              <w:top w:val="nil"/>
              <w:left w:val="single" w:sz="8" w:space="0" w:color="FFFFFF"/>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rPr>
                <w:rFonts w:eastAsia="Times New Roman" w:cs="Tahoma"/>
                <w:color w:val="000000"/>
                <w:lang w:eastAsia="fr-FR"/>
              </w:rPr>
            </w:pPr>
            <w:r w:rsidRPr="00460F5E">
              <w:rPr>
                <w:rFonts w:eastAsia="Times New Roman" w:cs="Tahoma"/>
                <w:color w:val="000000"/>
                <w:lang w:eastAsia="fr-FR"/>
              </w:rPr>
              <w:t>TCP-7c: Nombre de cas déclarés de tuberculose (toutes formes confondues) par les prestataires extérieurs au programme national de lutte contre la tuberculose — services communautaires</w:t>
            </w:r>
          </w:p>
        </w:tc>
        <w:tc>
          <w:tcPr>
            <w:tcW w:w="1134"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436</w:t>
            </w:r>
          </w:p>
        </w:tc>
        <w:tc>
          <w:tcPr>
            <w:tcW w:w="992"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2016</w:t>
            </w:r>
          </w:p>
        </w:tc>
        <w:tc>
          <w:tcPr>
            <w:tcW w:w="115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PNLAT</w:t>
            </w:r>
          </w:p>
        </w:tc>
        <w:tc>
          <w:tcPr>
            <w:tcW w:w="97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604</w:t>
            </w:r>
          </w:p>
        </w:tc>
        <w:tc>
          <w:tcPr>
            <w:tcW w:w="992"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855</w:t>
            </w:r>
          </w:p>
        </w:tc>
        <w:tc>
          <w:tcPr>
            <w:tcW w:w="993" w:type="dxa"/>
            <w:tcBorders>
              <w:top w:val="nil"/>
              <w:left w:val="nil"/>
              <w:bottom w:val="single" w:sz="8" w:space="0" w:color="FFFFFF"/>
              <w:right w:val="single" w:sz="8" w:space="0" w:color="FFFFFF"/>
            </w:tcBorders>
            <w:shd w:val="clear" w:color="000000" w:fill="D0D8E8"/>
            <w:vAlign w:val="center"/>
            <w:hideMark/>
          </w:tcPr>
          <w:p w:rsidR="00027F01" w:rsidRPr="00460F5E" w:rsidRDefault="00027F01" w:rsidP="00460F5E">
            <w:pPr>
              <w:spacing w:after="0" w:line="240" w:lineRule="auto"/>
              <w:ind w:firstLineChars="100" w:firstLine="220"/>
              <w:rPr>
                <w:rFonts w:eastAsia="Times New Roman" w:cs="Tahoma"/>
                <w:color w:val="000000"/>
                <w:lang w:eastAsia="fr-FR"/>
              </w:rPr>
            </w:pPr>
            <w:r w:rsidRPr="00460F5E">
              <w:rPr>
                <w:rFonts w:eastAsia="Times New Roman" w:cs="Tahoma"/>
                <w:color w:val="000000"/>
                <w:lang w:val="en-US" w:eastAsia="fr-FR"/>
              </w:rPr>
              <w:t>960</w:t>
            </w:r>
          </w:p>
        </w:tc>
      </w:tr>
    </w:tbl>
    <w:p w:rsidR="00027F01" w:rsidRPr="00460F5E" w:rsidRDefault="00027F01" w:rsidP="00460F5E">
      <w:pPr>
        <w:spacing w:after="0"/>
        <w:rPr>
          <w:rFonts w:cs="Tahoma"/>
          <w:sz w:val="16"/>
          <w:szCs w:val="16"/>
          <w:lang w:val="en-US"/>
        </w:rPr>
      </w:pPr>
    </w:p>
    <w:p w:rsidR="000B2E42" w:rsidRPr="00460F5E" w:rsidRDefault="009A43DD" w:rsidP="00460F5E">
      <w:pPr>
        <w:pStyle w:val="Titre3"/>
        <w:rPr>
          <w:lang w:val="en-US"/>
        </w:rPr>
      </w:pPr>
      <w:bookmarkStart w:id="83" w:name="_Toc513041146"/>
      <w:r w:rsidRPr="00460F5E">
        <w:rPr>
          <w:lang w:val="en-US"/>
        </w:rPr>
        <w:t xml:space="preserve">5.8.2 </w:t>
      </w:r>
      <w:r w:rsidR="000B2E42" w:rsidRPr="00460F5E">
        <w:rPr>
          <w:lang w:val="en-US"/>
        </w:rPr>
        <w:t>VIH / Sida</w:t>
      </w:r>
      <w:bookmarkEnd w:id="83"/>
    </w:p>
    <w:tbl>
      <w:tblPr>
        <w:tblW w:w="10140" w:type="dxa"/>
        <w:tblInd w:w="55" w:type="dxa"/>
        <w:tblCellMar>
          <w:left w:w="70" w:type="dxa"/>
          <w:right w:w="70" w:type="dxa"/>
        </w:tblCellMar>
        <w:tblLook w:val="0420" w:firstRow="1" w:lastRow="0" w:firstColumn="0" w:lastColumn="0" w:noHBand="0" w:noVBand="1"/>
      </w:tblPr>
      <w:tblGrid>
        <w:gridCol w:w="4480"/>
        <w:gridCol w:w="1000"/>
        <w:gridCol w:w="920"/>
        <w:gridCol w:w="1080"/>
        <w:gridCol w:w="900"/>
        <w:gridCol w:w="940"/>
        <w:gridCol w:w="820"/>
      </w:tblGrid>
      <w:tr w:rsidR="000B2E42" w:rsidRPr="00460F5E" w:rsidTr="00A94EDB">
        <w:trPr>
          <w:trHeight w:val="390"/>
        </w:trPr>
        <w:tc>
          <w:tcPr>
            <w:tcW w:w="4480" w:type="dxa"/>
            <w:vMerge w:val="restart"/>
            <w:tcBorders>
              <w:top w:val="single" w:sz="8" w:space="0" w:color="FFFFFF"/>
              <w:left w:val="single" w:sz="8" w:space="0" w:color="FFFFFF"/>
              <w:bottom w:val="single" w:sz="12" w:space="0" w:color="FFFFFF"/>
              <w:right w:val="nil"/>
            </w:tcBorders>
            <w:shd w:val="clear" w:color="000000" w:fill="4F81BD"/>
            <w:vAlign w:val="center"/>
            <w:hideMark/>
          </w:tcPr>
          <w:p w:rsidR="000B2E42" w:rsidRPr="00460F5E" w:rsidRDefault="000B2E42"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Indicateurs de performance</w:t>
            </w:r>
          </w:p>
        </w:tc>
        <w:tc>
          <w:tcPr>
            <w:tcW w:w="3000" w:type="dxa"/>
            <w:gridSpan w:val="3"/>
            <w:tcBorders>
              <w:top w:val="single" w:sz="8" w:space="0" w:color="FFFFFF"/>
              <w:left w:val="single" w:sz="8" w:space="0" w:color="FFFFFF"/>
              <w:bottom w:val="single" w:sz="12" w:space="0" w:color="FFFFFF"/>
              <w:right w:val="single" w:sz="8" w:space="0" w:color="FFFFFF"/>
            </w:tcBorders>
            <w:shd w:val="clear" w:color="000000" w:fill="4F81BD"/>
            <w:vAlign w:val="center"/>
            <w:hideMark/>
          </w:tcPr>
          <w:p w:rsidR="000B2E42" w:rsidRPr="00460F5E" w:rsidRDefault="000B2E42"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References</w:t>
            </w:r>
          </w:p>
        </w:tc>
        <w:tc>
          <w:tcPr>
            <w:tcW w:w="2660" w:type="dxa"/>
            <w:gridSpan w:val="3"/>
            <w:tcBorders>
              <w:top w:val="single" w:sz="8" w:space="0" w:color="FFFFFF"/>
              <w:left w:val="nil"/>
              <w:bottom w:val="single" w:sz="12" w:space="0" w:color="FFFFFF"/>
              <w:right w:val="single" w:sz="8" w:space="0" w:color="FFFFFF"/>
            </w:tcBorders>
            <w:shd w:val="clear" w:color="000000" w:fill="4F81BD"/>
            <w:vAlign w:val="center"/>
            <w:hideMark/>
          </w:tcPr>
          <w:p w:rsidR="000B2E42" w:rsidRPr="00460F5E" w:rsidRDefault="000B2E42"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Cible</w:t>
            </w:r>
          </w:p>
        </w:tc>
      </w:tr>
      <w:tr w:rsidR="000B2E42" w:rsidRPr="00460F5E" w:rsidTr="00A94EDB">
        <w:trPr>
          <w:trHeight w:val="405"/>
        </w:trPr>
        <w:tc>
          <w:tcPr>
            <w:tcW w:w="4480" w:type="dxa"/>
            <w:vMerge/>
            <w:tcBorders>
              <w:top w:val="single" w:sz="8" w:space="0" w:color="FFFFFF"/>
              <w:left w:val="single" w:sz="8" w:space="0" w:color="FFFFFF"/>
              <w:bottom w:val="single" w:sz="12" w:space="0" w:color="FFFFFF"/>
              <w:right w:val="nil"/>
            </w:tcBorders>
            <w:vAlign w:val="center"/>
            <w:hideMark/>
          </w:tcPr>
          <w:p w:rsidR="000B2E42" w:rsidRPr="00460F5E" w:rsidRDefault="000B2E42" w:rsidP="00460F5E">
            <w:pPr>
              <w:spacing w:after="0" w:line="240" w:lineRule="auto"/>
              <w:rPr>
                <w:rFonts w:eastAsia="Times New Roman" w:cs="Tahoma"/>
                <w:b/>
                <w:bCs/>
                <w:color w:val="FFFFFF"/>
                <w:lang w:eastAsia="fr-FR"/>
              </w:rPr>
            </w:pPr>
          </w:p>
        </w:tc>
        <w:tc>
          <w:tcPr>
            <w:tcW w:w="1000" w:type="dxa"/>
            <w:tcBorders>
              <w:top w:val="nil"/>
              <w:left w:val="single" w:sz="12" w:space="0" w:color="FFFFFF"/>
              <w:bottom w:val="single" w:sz="8" w:space="0" w:color="FFFFFF"/>
              <w:right w:val="single" w:sz="8" w:space="0" w:color="FFFFFF"/>
            </w:tcBorders>
            <w:shd w:val="clear" w:color="000000" w:fill="4F81BD"/>
            <w:vAlign w:val="center"/>
            <w:hideMark/>
          </w:tcPr>
          <w:p w:rsidR="000B2E42" w:rsidRPr="00460F5E" w:rsidRDefault="000B2E42"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Valeur</w:t>
            </w:r>
          </w:p>
        </w:tc>
        <w:tc>
          <w:tcPr>
            <w:tcW w:w="920" w:type="dxa"/>
            <w:tcBorders>
              <w:top w:val="nil"/>
              <w:left w:val="nil"/>
              <w:bottom w:val="single" w:sz="8" w:space="0" w:color="FFFFFF"/>
              <w:right w:val="single" w:sz="8" w:space="0" w:color="FFFFFF"/>
            </w:tcBorders>
            <w:shd w:val="clear" w:color="000000" w:fill="4F81BD"/>
            <w:vAlign w:val="center"/>
            <w:hideMark/>
          </w:tcPr>
          <w:p w:rsidR="000B2E42" w:rsidRPr="00460F5E" w:rsidRDefault="000B2E42"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Annee</w:t>
            </w:r>
          </w:p>
        </w:tc>
        <w:tc>
          <w:tcPr>
            <w:tcW w:w="1080" w:type="dxa"/>
            <w:tcBorders>
              <w:top w:val="nil"/>
              <w:left w:val="nil"/>
              <w:bottom w:val="single" w:sz="8" w:space="0" w:color="FFFFFF"/>
              <w:right w:val="single" w:sz="8" w:space="0" w:color="FFFFFF"/>
            </w:tcBorders>
            <w:shd w:val="clear" w:color="000000" w:fill="4F81BD"/>
            <w:vAlign w:val="center"/>
            <w:hideMark/>
          </w:tcPr>
          <w:p w:rsidR="000B2E42" w:rsidRPr="00460F5E" w:rsidRDefault="000B2E42"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Sources</w:t>
            </w:r>
          </w:p>
        </w:tc>
        <w:tc>
          <w:tcPr>
            <w:tcW w:w="900" w:type="dxa"/>
            <w:tcBorders>
              <w:top w:val="nil"/>
              <w:left w:val="nil"/>
              <w:bottom w:val="single" w:sz="8" w:space="0" w:color="FFFFFF"/>
              <w:right w:val="single" w:sz="8" w:space="0" w:color="FFFFFF"/>
            </w:tcBorders>
            <w:shd w:val="clear" w:color="000000" w:fill="4F81BD"/>
            <w:vAlign w:val="center"/>
            <w:hideMark/>
          </w:tcPr>
          <w:p w:rsidR="000B2E42" w:rsidRPr="00460F5E" w:rsidRDefault="000B2E42"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2018</w:t>
            </w:r>
          </w:p>
        </w:tc>
        <w:tc>
          <w:tcPr>
            <w:tcW w:w="940" w:type="dxa"/>
            <w:tcBorders>
              <w:top w:val="nil"/>
              <w:left w:val="nil"/>
              <w:bottom w:val="single" w:sz="8" w:space="0" w:color="FFFFFF"/>
              <w:right w:val="single" w:sz="8" w:space="0" w:color="FFFFFF"/>
            </w:tcBorders>
            <w:shd w:val="clear" w:color="000000" w:fill="4F81BD"/>
            <w:vAlign w:val="center"/>
            <w:hideMark/>
          </w:tcPr>
          <w:p w:rsidR="000B2E42" w:rsidRPr="00460F5E" w:rsidRDefault="000B2E42"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2019</w:t>
            </w:r>
          </w:p>
        </w:tc>
        <w:tc>
          <w:tcPr>
            <w:tcW w:w="820" w:type="dxa"/>
            <w:tcBorders>
              <w:top w:val="nil"/>
              <w:left w:val="nil"/>
              <w:bottom w:val="single" w:sz="8" w:space="0" w:color="FFFFFF"/>
              <w:right w:val="single" w:sz="8" w:space="0" w:color="FFFFFF"/>
            </w:tcBorders>
            <w:shd w:val="clear" w:color="000000" w:fill="4F81BD"/>
            <w:vAlign w:val="center"/>
            <w:hideMark/>
          </w:tcPr>
          <w:p w:rsidR="000B2E42" w:rsidRPr="00460F5E" w:rsidRDefault="000B2E42" w:rsidP="00460F5E">
            <w:pPr>
              <w:spacing w:after="0" w:line="240" w:lineRule="auto"/>
              <w:jc w:val="center"/>
              <w:rPr>
                <w:rFonts w:eastAsia="Times New Roman" w:cs="Tahoma"/>
                <w:b/>
                <w:bCs/>
                <w:color w:val="FFFFFF"/>
                <w:lang w:eastAsia="fr-FR"/>
              </w:rPr>
            </w:pPr>
            <w:r w:rsidRPr="00460F5E">
              <w:rPr>
                <w:rFonts w:eastAsia="Times New Roman" w:cs="Tahoma"/>
                <w:b/>
                <w:bCs/>
                <w:color w:val="FFFFFF"/>
                <w:lang w:eastAsia="fr-FR"/>
              </w:rPr>
              <w:t>2020</w:t>
            </w:r>
          </w:p>
        </w:tc>
      </w:tr>
      <w:tr w:rsidR="000B2E42" w:rsidRPr="00460F5E" w:rsidTr="00A94EDB">
        <w:trPr>
          <w:trHeight w:val="171"/>
        </w:trPr>
        <w:tc>
          <w:tcPr>
            <w:tcW w:w="4480" w:type="dxa"/>
            <w:tcBorders>
              <w:top w:val="nil"/>
              <w:left w:val="single" w:sz="8" w:space="0" w:color="FFFFFF"/>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b/>
                <w:bCs/>
                <w:color w:val="000000"/>
                <w:lang w:eastAsia="fr-FR"/>
              </w:rPr>
            </w:pPr>
            <w:r w:rsidRPr="00460F5E">
              <w:rPr>
                <w:rFonts w:eastAsia="Times New Roman" w:cs="Tahoma"/>
                <w:b/>
                <w:bCs/>
                <w:color w:val="000000"/>
                <w:lang w:eastAsia="fr-FR"/>
              </w:rPr>
              <w:t>Indicateurs de couvertures</w:t>
            </w:r>
          </w:p>
        </w:tc>
        <w:tc>
          <w:tcPr>
            <w:tcW w:w="1000" w:type="dxa"/>
            <w:tcBorders>
              <w:top w:val="nil"/>
              <w:left w:val="nil"/>
              <w:bottom w:val="single" w:sz="8" w:space="0" w:color="FFFFFF"/>
              <w:right w:val="single" w:sz="8" w:space="0" w:color="FFFFFF"/>
            </w:tcBorders>
            <w:shd w:val="clear" w:color="000000" w:fill="E9EDF4"/>
            <w:hideMark/>
          </w:tcPr>
          <w:p w:rsidR="000B2E42" w:rsidRPr="00460F5E" w:rsidRDefault="000B2E42" w:rsidP="00460F5E">
            <w:pPr>
              <w:spacing w:after="0" w:line="240" w:lineRule="auto"/>
              <w:rPr>
                <w:rFonts w:eastAsia="Times New Roman" w:cs="Tahoma"/>
                <w:lang w:eastAsia="fr-FR"/>
              </w:rPr>
            </w:pPr>
            <w:r w:rsidRPr="00460F5E">
              <w:rPr>
                <w:rFonts w:eastAsia="Times New Roman" w:cs="Tahoma"/>
                <w:lang w:eastAsia="fr-FR"/>
              </w:rPr>
              <w:t> </w:t>
            </w:r>
          </w:p>
        </w:tc>
        <w:tc>
          <w:tcPr>
            <w:tcW w:w="920" w:type="dxa"/>
            <w:tcBorders>
              <w:top w:val="nil"/>
              <w:left w:val="nil"/>
              <w:bottom w:val="single" w:sz="8" w:space="0" w:color="FFFFFF"/>
              <w:right w:val="single" w:sz="8" w:space="0" w:color="FFFFFF"/>
            </w:tcBorders>
            <w:shd w:val="clear" w:color="000000" w:fill="E9EDF4"/>
            <w:hideMark/>
          </w:tcPr>
          <w:p w:rsidR="000B2E42" w:rsidRPr="00460F5E" w:rsidRDefault="000B2E42" w:rsidP="00460F5E">
            <w:pPr>
              <w:spacing w:after="0" w:line="240" w:lineRule="auto"/>
              <w:rPr>
                <w:rFonts w:eastAsia="Times New Roman" w:cs="Tahoma"/>
                <w:lang w:eastAsia="fr-FR"/>
              </w:rPr>
            </w:pPr>
            <w:r w:rsidRPr="00460F5E">
              <w:rPr>
                <w:rFonts w:eastAsia="Times New Roman" w:cs="Tahoma"/>
                <w:lang w:eastAsia="fr-FR"/>
              </w:rPr>
              <w:t> </w:t>
            </w:r>
          </w:p>
        </w:tc>
        <w:tc>
          <w:tcPr>
            <w:tcW w:w="1080" w:type="dxa"/>
            <w:tcBorders>
              <w:top w:val="nil"/>
              <w:left w:val="nil"/>
              <w:bottom w:val="single" w:sz="8" w:space="0" w:color="FFFFFF"/>
              <w:right w:val="single" w:sz="8" w:space="0" w:color="FFFFFF"/>
            </w:tcBorders>
            <w:shd w:val="clear" w:color="000000" w:fill="E9EDF4"/>
            <w:hideMark/>
          </w:tcPr>
          <w:p w:rsidR="000B2E42" w:rsidRPr="00460F5E" w:rsidRDefault="000B2E42" w:rsidP="00460F5E">
            <w:pPr>
              <w:spacing w:after="0" w:line="240" w:lineRule="auto"/>
              <w:rPr>
                <w:rFonts w:eastAsia="Times New Roman" w:cs="Tahoma"/>
                <w:lang w:eastAsia="fr-FR"/>
              </w:rPr>
            </w:pPr>
            <w:r w:rsidRPr="00460F5E">
              <w:rPr>
                <w:rFonts w:eastAsia="Times New Roman" w:cs="Tahoma"/>
                <w:lang w:eastAsia="fr-FR"/>
              </w:rPr>
              <w:t> </w:t>
            </w:r>
          </w:p>
        </w:tc>
        <w:tc>
          <w:tcPr>
            <w:tcW w:w="900" w:type="dxa"/>
            <w:tcBorders>
              <w:top w:val="nil"/>
              <w:left w:val="nil"/>
              <w:bottom w:val="single" w:sz="8" w:space="0" w:color="FFFFFF"/>
              <w:right w:val="single" w:sz="8" w:space="0" w:color="FFFFFF"/>
            </w:tcBorders>
            <w:shd w:val="clear" w:color="000000" w:fill="E9EDF4"/>
            <w:hideMark/>
          </w:tcPr>
          <w:p w:rsidR="000B2E42" w:rsidRPr="00460F5E" w:rsidRDefault="000B2E42" w:rsidP="00460F5E">
            <w:pPr>
              <w:spacing w:after="0" w:line="240" w:lineRule="auto"/>
              <w:rPr>
                <w:rFonts w:eastAsia="Times New Roman" w:cs="Tahoma"/>
                <w:lang w:eastAsia="fr-FR"/>
              </w:rPr>
            </w:pPr>
            <w:r w:rsidRPr="00460F5E">
              <w:rPr>
                <w:rFonts w:eastAsia="Times New Roman" w:cs="Tahoma"/>
                <w:lang w:eastAsia="fr-FR"/>
              </w:rPr>
              <w:t> </w:t>
            </w:r>
          </w:p>
        </w:tc>
        <w:tc>
          <w:tcPr>
            <w:tcW w:w="940" w:type="dxa"/>
            <w:tcBorders>
              <w:top w:val="nil"/>
              <w:left w:val="nil"/>
              <w:bottom w:val="single" w:sz="8" w:space="0" w:color="FFFFFF"/>
              <w:right w:val="single" w:sz="8" w:space="0" w:color="FFFFFF"/>
            </w:tcBorders>
            <w:shd w:val="clear" w:color="000000" w:fill="E9EDF4"/>
            <w:hideMark/>
          </w:tcPr>
          <w:p w:rsidR="000B2E42" w:rsidRPr="00460F5E" w:rsidRDefault="000B2E42" w:rsidP="00460F5E">
            <w:pPr>
              <w:spacing w:after="0" w:line="240" w:lineRule="auto"/>
              <w:rPr>
                <w:rFonts w:eastAsia="Times New Roman" w:cs="Tahoma"/>
                <w:lang w:eastAsia="fr-FR"/>
              </w:rPr>
            </w:pPr>
            <w:r w:rsidRPr="00460F5E">
              <w:rPr>
                <w:rFonts w:eastAsia="Times New Roman" w:cs="Tahoma"/>
                <w:lang w:eastAsia="fr-FR"/>
              </w:rPr>
              <w:t> </w:t>
            </w:r>
          </w:p>
        </w:tc>
        <w:tc>
          <w:tcPr>
            <w:tcW w:w="820" w:type="dxa"/>
            <w:tcBorders>
              <w:top w:val="nil"/>
              <w:left w:val="nil"/>
              <w:bottom w:val="single" w:sz="8" w:space="0" w:color="FFFFFF"/>
              <w:right w:val="single" w:sz="8" w:space="0" w:color="FFFFFF"/>
            </w:tcBorders>
            <w:shd w:val="clear" w:color="000000" w:fill="E9EDF4"/>
            <w:hideMark/>
          </w:tcPr>
          <w:p w:rsidR="000B2E42" w:rsidRPr="00460F5E" w:rsidRDefault="000B2E42" w:rsidP="00460F5E">
            <w:pPr>
              <w:spacing w:after="0" w:line="240" w:lineRule="auto"/>
              <w:rPr>
                <w:rFonts w:eastAsia="Times New Roman" w:cs="Tahoma"/>
                <w:lang w:eastAsia="fr-FR"/>
              </w:rPr>
            </w:pPr>
            <w:r w:rsidRPr="00460F5E">
              <w:rPr>
                <w:rFonts w:eastAsia="Times New Roman" w:cs="Tahoma"/>
                <w:lang w:eastAsia="fr-FR"/>
              </w:rPr>
              <w:t> </w:t>
            </w:r>
          </w:p>
        </w:tc>
      </w:tr>
      <w:tr w:rsidR="000B2E42" w:rsidRPr="00460F5E" w:rsidTr="00A94EDB">
        <w:trPr>
          <w:trHeight w:val="739"/>
        </w:trPr>
        <w:tc>
          <w:tcPr>
            <w:tcW w:w="4480" w:type="dxa"/>
            <w:tcBorders>
              <w:top w:val="nil"/>
              <w:left w:val="single" w:sz="8" w:space="0" w:color="FFFFFF"/>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TB/HIV-5: Pourcentage de nouveaux patients TB et de rechute enregistrés dont le statut VIH est documenté</w:t>
            </w:r>
          </w:p>
        </w:tc>
        <w:tc>
          <w:tcPr>
            <w:tcW w:w="100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81.9%</w:t>
            </w:r>
          </w:p>
        </w:tc>
        <w:tc>
          <w:tcPr>
            <w:tcW w:w="92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2016</w:t>
            </w:r>
          </w:p>
        </w:tc>
        <w:tc>
          <w:tcPr>
            <w:tcW w:w="108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Rapport PNLAT</w:t>
            </w:r>
          </w:p>
        </w:tc>
        <w:tc>
          <w:tcPr>
            <w:tcW w:w="90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87%</w:t>
            </w:r>
          </w:p>
        </w:tc>
        <w:tc>
          <w:tcPr>
            <w:tcW w:w="94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88%</w:t>
            </w:r>
          </w:p>
        </w:tc>
        <w:tc>
          <w:tcPr>
            <w:tcW w:w="82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89%</w:t>
            </w:r>
          </w:p>
        </w:tc>
      </w:tr>
      <w:tr w:rsidR="000B2E42" w:rsidRPr="00460F5E" w:rsidTr="00A94EDB">
        <w:trPr>
          <w:trHeight w:val="1232"/>
        </w:trPr>
        <w:tc>
          <w:tcPr>
            <w:tcW w:w="4480" w:type="dxa"/>
            <w:tcBorders>
              <w:top w:val="nil"/>
              <w:left w:val="single" w:sz="8" w:space="0" w:color="FFFFFF"/>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TB/HIV-6(M): Pourcentage de nouveaux patients  tuberculeux et de rechutes, séropositifs au VIH, sous traitement antirétroviral au cours du traitement de la tuberculose</w:t>
            </w:r>
          </w:p>
        </w:tc>
        <w:tc>
          <w:tcPr>
            <w:tcW w:w="100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70.9%</w:t>
            </w:r>
          </w:p>
        </w:tc>
        <w:tc>
          <w:tcPr>
            <w:tcW w:w="92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2016</w:t>
            </w:r>
          </w:p>
        </w:tc>
        <w:tc>
          <w:tcPr>
            <w:tcW w:w="108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Rapport PNLAT</w:t>
            </w:r>
          </w:p>
        </w:tc>
        <w:tc>
          <w:tcPr>
            <w:tcW w:w="90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77%</w:t>
            </w:r>
          </w:p>
        </w:tc>
        <w:tc>
          <w:tcPr>
            <w:tcW w:w="94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80%</w:t>
            </w:r>
          </w:p>
        </w:tc>
        <w:tc>
          <w:tcPr>
            <w:tcW w:w="82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83%</w:t>
            </w:r>
          </w:p>
        </w:tc>
      </w:tr>
      <w:tr w:rsidR="000B2E42" w:rsidRPr="00460F5E" w:rsidTr="00A94EDB">
        <w:trPr>
          <w:trHeight w:val="1335"/>
        </w:trPr>
        <w:tc>
          <w:tcPr>
            <w:tcW w:w="4480" w:type="dxa"/>
            <w:tcBorders>
              <w:top w:val="nil"/>
              <w:left w:val="single" w:sz="8" w:space="0" w:color="FFFFFF"/>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KP-1c(M): Pourcentage de professionnels du sexe ayant bénéficié de programmes de prévention du VIH- paquet de services définis</w:t>
            </w:r>
          </w:p>
        </w:tc>
        <w:tc>
          <w:tcPr>
            <w:tcW w:w="100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15.8%</w:t>
            </w:r>
          </w:p>
        </w:tc>
        <w:tc>
          <w:tcPr>
            <w:tcW w:w="92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2017</w:t>
            </w:r>
          </w:p>
        </w:tc>
        <w:tc>
          <w:tcPr>
            <w:tcW w:w="108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Annexe 1</w:t>
            </w:r>
          </w:p>
        </w:tc>
        <w:tc>
          <w:tcPr>
            <w:tcW w:w="90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50%</w:t>
            </w:r>
          </w:p>
        </w:tc>
        <w:tc>
          <w:tcPr>
            <w:tcW w:w="94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70%</w:t>
            </w:r>
          </w:p>
        </w:tc>
        <w:tc>
          <w:tcPr>
            <w:tcW w:w="82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80%</w:t>
            </w:r>
          </w:p>
        </w:tc>
      </w:tr>
      <w:tr w:rsidR="000B2E42" w:rsidRPr="00460F5E" w:rsidTr="00A94EDB">
        <w:trPr>
          <w:trHeight w:val="817"/>
        </w:trPr>
        <w:tc>
          <w:tcPr>
            <w:tcW w:w="4480" w:type="dxa"/>
            <w:tcBorders>
              <w:top w:val="nil"/>
              <w:left w:val="single" w:sz="8" w:space="0" w:color="FFFFFF"/>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KP-3c(M): Pourcentage de professionnels de sexe qui ont fait un test VIH au cours de la période de rapportage et qui connaissent les résultats</w:t>
            </w:r>
          </w:p>
        </w:tc>
        <w:tc>
          <w:tcPr>
            <w:tcW w:w="100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4%</w:t>
            </w:r>
          </w:p>
        </w:tc>
        <w:tc>
          <w:tcPr>
            <w:tcW w:w="92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2017</w:t>
            </w:r>
          </w:p>
        </w:tc>
        <w:tc>
          <w:tcPr>
            <w:tcW w:w="108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Annexe 1</w:t>
            </w:r>
          </w:p>
        </w:tc>
        <w:tc>
          <w:tcPr>
            <w:tcW w:w="90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25%</w:t>
            </w:r>
          </w:p>
        </w:tc>
        <w:tc>
          <w:tcPr>
            <w:tcW w:w="94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49%</w:t>
            </w:r>
          </w:p>
        </w:tc>
        <w:tc>
          <w:tcPr>
            <w:tcW w:w="82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72%</w:t>
            </w:r>
          </w:p>
        </w:tc>
      </w:tr>
      <w:tr w:rsidR="000B2E42" w:rsidRPr="00460F5E" w:rsidTr="00A94EDB">
        <w:trPr>
          <w:trHeight w:val="1107"/>
        </w:trPr>
        <w:tc>
          <w:tcPr>
            <w:tcW w:w="4480" w:type="dxa"/>
            <w:tcBorders>
              <w:top w:val="nil"/>
              <w:left w:val="single" w:sz="8" w:space="0" w:color="FFFFFF"/>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lastRenderedPageBreak/>
              <w:t>KP-1a(M): Pourcentage d'hommes ayant des rapports sexuels avec des hommes qui ont bénéficié de programmes de prévention du VIH (paquet de services définis)</w:t>
            </w:r>
          </w:p>
        </w:tc>
        <w:tc>
          <w:tcPr>
            <w:tcW w:w="100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50.9%</w:t>
            </w:r>
          </w:p>
        </w:tc>
        <w:tc>
          <w:tcPr>
            <w:tcW w:w="92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2017</w:t>
            </w:r>
          </w:p>
        </w:tc>
        <w:tc>
          <w:tcPr>
            <w:tcW w:w="108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Annexe 1</w:t>
            </w:r>
          </w:p>
        </w:tc>
        <w:tc>
          <w:tcPr>
            <w:tcW w:w="90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50%</w:t>
            </w:r>
          </w:p>
        </w:tc>
        <w:tc>
          <w:tcPr>
            <w:tcW w:w="94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70%</w:t>
            </w:r>
          </w:p>
        </w:tc>
        <w:tc>
          <w:tcPr>
            <w:tcW w:w="820" w:type="dxa"/>
            <w:tcBorders>
              <w:top w:val="nil"/>
              <w:left w:val="nil"/>
              <w:bottom w:val="single" w:sz="8" w:space="0" w:color="FFFFFF"/>
              <w:right w:val="single" w:sz="8" w:space="0" w:color="FFFFFF"/>
            </w:tcBorders>
            <w:shd w:val="clear" w:color="000000" w:fill="D0D8E8"/>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80%</w:t>
            </w:r>
          </w:p>
        </w:tc>
      </w:tr>
      <w:tr w:rsidR="000B2E42" w:rsidRPr="00460F5E" w:rsidTr="00A94EDB">
        <w:trPr>
          <w:trHeight w:val="1082"/>
        </w:trPr>
        <w:tc>
          <w:tcPr>
            <w:tcW w:w="4480" w:type="dxa"/>
            <w:tcBorders>
              <w:top w:val="nil"/>
              <w:left w:val="single" w:sz="8" w:space="0" w:color="FFFFFF"/>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KP-3a(M): Nombre et pourcentage d'hommes ayant des rapports sexuels avec des hommes qui ont fait un test VIH et connaissent les résultats</w:t>
            </w:r>
          </w:p>
        </w:tc>
        <w:tc>
          <w:tcPr>
            <w:tcW w:w="100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7.7%</w:t>
            </w:r>
          </w:p>
        </w:tc>
        <w:tc>
          <w:tcPr>
            <w:tcW w:w="92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2017</w:t>
            </w:r>
          </w:p>
        </w:tc>
        <w:tc>
          <w:tcPr>
            <w:tcW w:w="108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Annexe 1</w:t>
            </w:r>
          </w:p>
        </w:tc>
        <w:tc>
          <w:tcPr>
            <w:tcW w:w="90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25%</w:t>
            </w:r>
          </w:p>
        </w:tc>
        <w:tc>
          <w:tcPr>
            <w:tcW w:w="94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49%</w:t>
            </w:r>
          </w:p>
        </w:tc>
        <w:tc>
          <w:tcPr>
            <w:tcW w:w="820" w:type="dxa"/>
            <w:tcBorders>
              <w:top w:val="nil"/>
              <w:left w:val="nil"/>
              <w:bottom w:val="single" w:sz="8" w:space="0" w:color="FFFFFF"/>
              <w:right w:val="single" w:sz="8" w:space="0" w:color="FFFFFF"/>
            </w:tcBorders>
            <w:shd w:val="clear" w:color="000000" w:fill="E9EDF4"/>
            <w:vAlign w:val="center"/>
            <w:hideMark/>
          </w:tcPr>
          <w:p w:rsidR="000B2E42" w:rsidRPr="00460F5E" w:rsidRDefault="000B2E42" w:rsidP="00460F5E">
            <w:pPr>
              <w:spacing w:after="0" w:line="240" w:lineRule="auto"/>
              <w:rPr>
                <w:rFonts w:eastAsia="Times New Roman" w:cs="Tahoma"/>
                <w:color w:val="000000"/>
                <w:lang w:eastAsia="fr-FR"/>
              </w:rPr>
            </w:pPr>
            <w:r w:rsidRPr="00460F5E">
              <w:rPr>
                <w:rFonts w:eastAsia="Times New Roman" w:cs="Tahoma"/>
                <w:color w:val="000000"/>
                <w:lang w:eastAsia="fr-FR"/>
              </w:rPr>
              <w:t>72%</w:t>
            </w:r>
          </w:p>
        </w:tc>
      </w:tr>
    </w:tbl>
    <w:p w:rsidR="000B2E42" w:rsidRPr="00460F5E" w:rsidRDefault="000B2E42" w:rsidP="00460F5E">
      <w:pPr>
        <w:spacing w:after="0"/>
        <w:rPr>
          <w:rFonts w:cs="Tahoma"/>
          <w:sz w:val="16"/>
          <w:szCs w:val="16"/>
          <w:lang w:val="en-US"/>
        </w:rPr>
      </w:pPr>
    </w:p>
    <w:p w:rsidR="001B4D5A" w:rsidRDefault="001B4D5A">
      <w:pPr>
        <w:spacing w:after="200"/>
        <w:rPr>
          <w:rFonts w:asciiTheme="majorHAnsi" w:eastAsiaTheme="majorEastAsia" w:hAnsiTheme="majorHAnsi" w:cstheme="majorBidi"/>
          <w:b/>
          <w:bCs/>
          <w:color w:val="365F91" w:themeColor="accent1" w:themeShade="BF"/>
          <w:sz w:val="28"/>
          <w:szCs w:val="28"/>
          <w:lang w:val="en-US"/>
        </w:rPr>
      </w:pPr>
      <w:bookmarkStart w:id="84" w:name="_Toc513041149"/>
      <w:bookmarkStart w:id="85" w:name="_Toc513044558"/>
      <w:bookmarkStart w:id="86" w:name="_Toc514049518"/>
      <w:r>
        <w:rPr>
          <w:lang w:val="en-US"/>
        </w:rPr>
        <w:br w:type="page"/>
      </w:r>
    </w:p>
    <w:p w:rsidR="00911E81" w:rsidRPr="00460F5E" w:rsidRDefault="00012EAE" w:rsidP="00460F5E">
      <w:pPr>
        <w:pStyle w:val="Titre1"/>
        <w:rPr>
          <w:lang w:val="en-US"/>
        </w:rPr>
      </w:pPr>
      <w:r w:rsidRPr="00460F5E">
        <w:rPr>
          <w:lang w:val="en-US"/>
        </w:rPr>
        <w:lastRenderedPageBreak/>
        <w:t xml:space="preserve">6. </w:t>
      </w:r>
      <w:r w:rsidR="004F0DF8" w:rsidRPr="00460F5E">
        <w:rPr>
          <w:lang w:val="en-US"/>
        </w:rPr>
        <w:t>CRS – CATHOLIC RELIEF SERVICE</w:t>
      </w:r>
      <w:bookmarkEnd w:id="84"/>
      <w:bookmarkEnd w:id="85"/>
      <w:bookmarkEnd w:id="86"/>
    </w:p>
    <w:p w:rsidR="003A47E5" w:rsidRPr="00460F5E" w:rsidRDefault="003A47E5" w:rsidP="00460F5E">
      <w:pPr>
        <w:rPr>
          <w:lang w:val="en-US"/>
        </w:rPr>
      </w:pPr>
      <w:r w:rsidRPr="00460F5E">
        <w:rPr>
          <w:b/>
          <w:lang w:val="en-US"/>
        </w:rPr>
        <w:t>Disease Component:</w:t>
      </w:r>
      <w:r w:rsidRPr="00460F5E">
        <w:rPr>
          <w:lang w:val="en-US"/>
        </w:rPr>
        <w:t xml:space="preserve"> Malaria</w:t>
      </w:r>
    </w:p>
    <w:p w:rsidR="003A47E5" w:rsidRPr="00460F5E" w:rsidRDefault="003A47E5" w:rsidP="00460F5E">
      <w:pPr>
        <w:rPr>
          <w:lang w:val="en-US"/>
        </w:rPr>
      </w:pPr>
      <w:r w:rsidRPr="00460F5E">
        <w:rPr>
          <w:b/>
          <w:lang w:val="en-US"/>
        </w:rPr>
        <w:t>Program Title:</w:t>
      </w:r>
      <w:r w:rsidRPr="00460F5E">
        <w:rPr>
          <w:lang w:val="en-US"/>
        </w:rPr>
        <w:t xml:space="preserve"> Strengthening Malaria Control Services in Guinea</w:t>
      </w:r>
    </w:p>
    <w:p w:rsidR="003A47E5" w:rsidRPr="00460F5E" w:rsidRDefault="003A47E5" w:rsidP="00460F5E">
      <w:pPr>
        <w:rPr>
          <w:lang w:val="en-US"/>
        </w:rPr>
      </w:pPr>
      <w:r w:rsidRPr="00460F5E">
        <w:rPr>
          <w:b/>
          <w:lang w:val="en-US"/>
        </w:rPr>
        <w:t>Grant Name:</w:t>
      </w:r>
      <w:r w:rsidRPr="00460F5E">
        <w:rPr>
          <w:lang w:val="en-US"/>
        </w:rPr>
        <w:t xml:space="preserve"> GIN-M-CRS</w:t>
      </w:r>
    </w:p>
    <w:p w:rsidR="003A47E5" w:rsidRPr="00460F5E" w:rsidRDefault="003A47E5" w:rsidP="00460F5E">
      <w:pPr>
        <w:rPr>
          <w:lang w:val="en-US"/>
        </w:rPr>
      </w:pPr>
      <w:r w:rsidRPr="00460F5E">
        <w:rPr>
          <w:b/>
          <w:lang w:val="en-US"/>
        </w:rPr>
        <w:t>GA Number:</w:t>
      </w:r>
      <w:r w:rsidRPr="00460F5E">
        <w:rPr>
          <w:lang w:val="en-US"/>
        </w:rPr>
        <w:t xml:space="preserve"> 1454</w:t>
      </w:r>
    </w:p>
    <w:p w:rsidR="003A47E5" w:rsidRPr="00460F5E" w:rsidRDefault="003A47E5" w:rsidP="00460F5E">
      <w:pPr>
        <w:rPr>
          <w:lang w:val="en-US"/>
        </w:rPr>
      </w:pPr>
      <w:r w:rsidRPr="00460F5E">
        <w:rPr>
          <w:b/>
          <w:lang w:val="en-US"/>
        </w:rPr>
        <w:t>Grant Funds:</w:t>
      </w:r>
      <w:r w:rsidRPr="00460F5E">
        <w:rPr>
          <w:lang w:val="en-US"/>
        </w:rPr>
        <w:t xml:space="preserve"> Up to the amount of USD 55,663,302.00 or its equivalent in other currencies</w:t>
      </w:r>
    </w:p>
    <w:p w:rsidR="003A47E5" w:rsidRPr="00460F5E" w:rsidRDefault="003A47E5" w:rsidP="00460F5E">
      <w:pPr>
        <w:rPr>
          <w:lang w:val="en-US"/>
        </w:rPr>
      </w:pPr>
      <w:r w:rsidRPr="00460F5E">
        <w:rPr>
          <w:b/>
          <w:lang w:val="en-US"/>
        </w:rPr>
        <w:t>Implementation Period:</w:t>
      </w:r>
      <w:r w:rsidRPr="00460F5E">
        <w:rPr>
          <w:lang w:val="en-US"/>
        </w:rPr>
        <w:t xml:space="preserve"> From 1 January 2018 to 31 December 2020 (inclusive)</w:t>
      </w:r>
    </w:p>
    <w:p w:rsidR="003A47E5" w:rsidRPr="00460F5E" w:rsidRDefault="003A47E5" w:rsidP="00460F5E">
      <w:pPr>
        <w:rPr>
          <w:lang w:val="en-US"/>
        </w:rPr>
      </w:pPr>
    </w:p>
    <w:p w:rsidR="00783960" w:rsidRPr="00460F5E" w:rsidRDefault="009A43DD" w:rsidP="00460F5E">
      <w:pPr>
        <w:pStyle w:val="Titre2"/>
      </w:pPr>
      <w:bookmarkStart w:id="87" w:name="_Toc513041150"/>
      <w:bookmarkStart w:id="88" w:name="_Toc513044559"/>
      <w:bookmarkStart w:id="89" w:name="_Toc514049519"/>
      <w:r w:rsidRPr="00460F5E">
        <w:t xml:space="preserve">6.1 </w:t>
      </w:r>
      <w:r w:rsidR="00785FF1" w:rsidRPr="00460F5E">
        <w:t>Décaissement</w:t>
      </w:r>
      <w:r w:rsidR="00C21CAD" w:rsidRPr="00460F5E">
        <w:t>s annuelles</w:t>
      </w:r>
      <w:bookmarkEnd w:id="87"/>
      <w:bookmarkEnd w:id="88"/>
      <w:bookmarkEnd w:id="89"/>
    </w:p>
    <w:p w:rsidR="00785FF1" w:rsidRPr="00460F5E" w:rsidRDefault="00785FF1" w:rsidP="00460F5E">
      <w:pPr>
        <w:autoSpaceDE w:val="0"/>
        <w:autoSpaceDN w:val="0"/>
        <w:adjustRightInd w:val="0"/>
        <w:spacing w:after="0" w:line="240" w:lineRule="auto"/>
        <w:rPr>
          <w:rFonts w:cs="Georgia"/>
          <w:color w:val="000000"/>
        </w:rPr>
      </w:pPr>
      <w:r w:rsidRPr="00460F5E">
        <w:rPr>
          <w:rFonts w:cs="Georgia"/>
          <w:color w:val="000000"/>
        </w:rPr>
        <w:t>La présente décision annuelle de décaissement couvre la période du 1er janvier 2018 au 31 décembre 2018, plus un période tampon du 1</w:t>
      </w:r>
      <w:r w:rsidRPr="00460F5E">
        <w:rPr>
          <w:rFonts w:cs="Georgia"/>
          <w:color w:val="000000"/>
          <w:sz w:val="14"/>
          <w:szCs w:val="14"/>
        </w:rPr>
        <w:t xml:space="preserve">er </w:t>
      </w:r>
      <w:r w:rsidRPr="00460F5E">
        <w:rPr>
          <w:rFonts w:cs="Georgia"/>
          <w:color w:val="000000"/>
        </w:rPr>
        <w:t xml:space="preserve">janvier 2019 au 30 juin 2019. </w:t>
      </w:r>
    </w:p>
    <w:p w:rsidR="00785FF1" w:rsidRPr="00460F5E" w:rsidRDefault="00785FF1" w:rsidP="00460F5E">
      <w:pPr>
        <w:autoSpaceDE w:val="0"/>
        <w:autoSpaceDN w:val="0"/>
        <w:adjustRightInd w:val="0"/>
        <w:spacing w:after="0" w:line="240" w:lineRule="auto"/>
        <w:rPr>
          <w:rFonts w:cs="Georgia"/>
          <w:color w:val="000000"/>
        </w:rPr>
      </w:pPr>
      <w:r w:rsidRPr="00460F5E">
        <w:rPr>
          <w:rFonts w:cs="Georgia"/>
          <w:color w:val="000000"/>
        </w:rPr>
        <w:t xml:space="preserve">Le budget approuvé pour ces 18 mois se monte à US$ 35,800,558.37. Cette première décision annuelle plus période tampon s’aligne sur ce budget. Le décaissement au récipiendaire principal (PR) et troisième parties sera effectué sur une base trimestrielle en 6 transferts de fonds, comme décrit ci-après : </w:t>
      </w:r>
    </w:p>
    <w:p w:rsidR="00785FF1" w:rsidRPr="00460F5E" w:rsidRDefault="00785FF1" w:rsidP="00460F5E">
      <w:pPr>
        <w:autoSpaceDE w:val="0"/>
        <w:autoSpaceDN w:val="0"/>
        <w:adjustRightInd w:val="0"/>
        <w:spacing w:after="0" w:line="240" w:lineRule="auto"/>
        <w:rPr>
          <w:rFonts w:cs="Georgia"/>
          <w:color w:val="000000"/>
        </w:rPr>
      </w:pPr>
    </w:p>
    <w:p w:rsidR="00785FF1" w:rsidRPr="00460F5E" w:rsidRDefault="00785FF1" w:rsidP="00460F5E">
      <w:pPr>
        <w:autoSpaceDE w:val="0"/>
        <w:autoSpaceDN w:val="0"/>
        <w:adjustRightInd w:val="0"/>
        <w:spacing w:after="0" w:line="240" w:lineRule="auto"/>
        <w:rPr>
          <w:rFonts w:cs="Georgia"/>
          <w:color w:val="000000"/>
        </w:rPr>
      </w:pPr>
      <w:r w:rsidRPr="00460F5E">
        <w:rPr>
          <w:rFonts w:cs="Georgia"/>
          <w:color w:val="000000"/>
        </w:rPr>
        <w:t xml:space="preserve">Transfert de fonds n° 1 : US$ 4,385,713.23 pour le PR Q1 </w:t>
      </w:r>
    </w:p>
    <w:p w:rsidR="00785FF1" w:rsidRPr="00460F5E" w:rsidRDefault="00785FF1" w:rsidP="00460F5E">
      <w:pPr>
        <w:autoSpaceDE w:val="0"/>
        <w:autoSpaceDN w:val="0"/>
        <w:adjustRightInd w:val="0"/>
        <w:spacing w:after="0" w:line="240" w:lineRule="auto"/>
        <w:rPr>
          <w:rFonts w:cs="Georgia"/>
          <w:color w:val="000000"/>
        </w:rPr>
      </w:pPr>
      <w:r w:rsidRPr="00460F5E">
        <w:rPr>
          <w:rFonts w:cs="Georgia"/>
          <w:color w:val="000000"/>
        </w:rPr>
        <w:t xml:space="preserve">Transfert de fonds n° 2 : US$ 2,463,455.54 pour le PR Q2 </w:t>
      </w:r>
    </w:p>
    <w:p w:rsidR="00785FF1" w:rsidRPr="00460F5E" w:rsidRDefault="00785FF1" w:rsidP="00460F5E">
      <w:pPr>
        <w:autoSpaceDE w:val="0"/>
        <w:autoSpaceDN w:val="0"/>
        <w:adjustRightInd w:val="0"/>
        <w:spacing w:after="0" w:line="240" w:lineRule="auto"/>
        <w:rPr>
          <w:rFonts w:cs="Georgia"/>
          <w:color w:val="000000"/>
        </w:rPr>
      </w:pPr>
      <w:r w:rsidRPr="00460F5E">
        <w:rPr>
          <w:rFonts w:cs="Georgia"/>
          <w:color w:val="000000"/>
        </w:rPr>
        <w:t xml:space="preserve">Transfert de fonds n° 3: US$ 2,000,085.35 pour le PR Q3 </w:t>
      </w:r>
    </w:p>
    <w:p w:rsidR="00785FF1" w:rsidRPr="00460F5E" w:rsidRDefault="00785FF1" w:rsidP="00460F5E">
      <w:pPr>
        <w:autoSpaceDE w:val="0"/>
        <w:autoSpaceDN w:val="0"/>
        <w:adjustRightInd w:val="0"/>
        <w:spacing w:after="0" w:line="240" w:lineRule="auto"/>
        <w:rPr>
          <w:rFonts w:cs="Georgia"/>
          <w:color w:val="000000"/>
        </w:rPr>
      </w:pPr>
      <w:r w:rsidRPr="00460F5E">
        <w:rPr>
          <w:rFonts w:cs="Georgia"/>
          <w:color w:val="000000"/>
        </w:rPr>
        <w:t xml:space="preserve">Transfert de fonds n° 4: US$ 2,484,458.46 pour le PR Q4 </w:t>
      </w:r>
    </w:p>
    <w:p w:rsidR="00785FF1" w:rsidRPr="00460F5E" w:rsidRDefault="00785FF1" w:rsidP="00460F5E">
      <w:pPr>
        <w:autoSpaceDE w:val="0"/>
        <w:autoSpaceDN w:val="0"/>
        <w:adjustRightInd w:val="0"/>
        <w:spacing w:after="0" w:line="240" w:lineRule="auto"/>
        <w:rPr>
          <w:rFonts w:cs="Georgia"/>
          <w:color w:val="000000"/>
        </w:rPr>
      </w:pPr>
      <w:r w:rsidRPr="00460F5E">
        <w:rPr>
          <w:rFonts w:cs="Georgia"/>
          <w:color w:val="000000"/>
        </w:rPr>
        <w:t xml:space="preserve">Transfert de fonds n° 5: US$ 15,776,627.94 pour le PR Q5 </w:t>
      </w:r>
    </w:p>
    <w:p w:rsidR="00785FF1" w:rsidRPr="00460F5E" w:rsidRDefault="00785FF1" w:rsidP="00460F5E">
      <w:pPr>
        <w:autoSpaceDE w:val="0"/>
        <w:autoSpaceDN w:val="0"/>
        <w:adjustRightInd w:val="0"/>
        <w:spacing w:after="0" w:line="240" w:lineRule="auto"/>
        <w:rPr>
          <w:rFonts w:cs="Georgia"/>
          <w:color w:val="000000"/>
        </w:rPr>
      </w:pPr>
      <w:r w:rsidRPr="00460F5E">
        <w:rPr>
          <w:rFonts w:cs="Georgia"/>
          <w:color w:val="000000"/>
        </w:rPr>
        <w:t xml:space="preserve">Transfer de fonds no 6 : US$ 6,602,467.33 pour le PR Q6 </w:t>
      </w:r>
    </w:p>
    <w:p w:rsidR="00785FF1" w:rsidRPr="00460F5E" w:rsidRDefault="00785FF1" w:rsidP="00460F5E">
      <w:pPr>
        <w:autoSpaceDE w:val="0"/>
        <w:autoSpaceDN w:val="0"/>
        <w:adjustRightInd w:val="0"/>
        <w:spacing w:after="0" w:line="240" w:lineRule="auto"/>
        <w:rPr>
          <w:rFonts w:cs="Georgia"/>
          <w:color w:val="000000"/>
        </w:rPr>
      </w:pPr>
      <w:r w:rsidRPr="00460F5E">
        <w:rPr>
          <w:rFonts w:cs="Georgia"/>
          <w:color w:val="000000"/>
        </w:rPr>
        <w:t xml:space="preserve">Tous les décaissements pour le PR sera conditionnel à la réception de la cash balance de la fin de la période précédente. </w:t>
      </w:r>
    </w:p>
    <w:p w:rsidR="00785FF1" w:rsidRPr="00460F5E" w:rsidRDefault="00785FF1" w:rsidP="00460F5E">
      <w:r w:rsidRPr="00460F5E">
        <w:rPr>
          <w:rFonts w:cs="Georgia"/>
          <w:color w:val="000000"/>
        </w:rPr>
        <w:t>Un total de US$ 2,087,750.52 sera décaisser pour l’approvisionnement par PPM ou Wambo, conditionnel à la réception de devis de prix signé.</w:t>
      </w:r>
    </w:p>
    <w:p w:rsidR="00C21CAD" w:rsidRPr="00460F5E" w:rsidRDefault="00C21CAD" w:rsidP="00460F5E">
      <w:pPr>
        <w:rPr>
          <w:i/>
          <w:sz w:val="18"/>
          <w:szCs w:val="18"/>
        </w:rPr>
      </w:pPr>
      <w:r w:rsidRPr="00460F5E">
        <w:rPr>
          <w:i/>
          <w:sz w:val="18"/>
          <w:szCs w:val="18"/>
        </w:rPr>
        <w:t>Source : Lettre de gestion relative au premier décaissement pour GIN-M-CRS – 12.04.2018</w:t>
      </w:r>
    </w:p>
    <w:p w:rsidR="003A47E5" w:rsidRPr="00460F5E" w:rsidRDefault="003A47E5" w:rsidP="00460F5E"/>
    <w:p w:rsidR="00C21CAD" w:rsidRPr="00460F5E" w:rsidRDefault="009A43DD" w:rsidP="00460F5E">
      <w:pPr>
        <w:pStyle w:val="Titre2"/>
      </w:pPr>
      <w:bookmarkStart w:id="90" w:name="_Toc513041151"/>
      <w:bookmarkStart w:id="91" w:name="_Toc513044560"/>
      <w:bookmarkStart w:id="92" w:name="_Toc514049520"/>
      <w:r w:rsidRPr="00460F5E">
        <w:t xml:space="preserve">6.2 </w:t>
      </w:r>
      <w:r w:rsidR="00C21CAD" w:rsidRPr="00460F5E">
        <w:t>Partenaires de mise en œuvre</w:t>
      </w:r>
      <w:r w:rsidR="008855BD" w:rsidRPr="00460F5E">
        <w:t xml:space="preserve"> - Cartographie</w:t>
      </w:r>
      <w:bookmarkEnd w:id="90"/>
      <w:bookmarkEnd w:id="91"/>
      <w:bookmarkEnd w:id="92"/>
    </w:p>
    <w:p w:rsidR="00911E81" w:rsidRPr="00460F5E" w:rsidRDefault="00911E81" w:rsidP="00460F5E">
      <w:pPr>
        <w:spacing w:after="0"/>
        <w:rPr>
          <w:rFonts w:cs="Tahoma"/>
        </w:rPr>
      </w:pPr>
      <w:r w:rsidRPr="00460F5E">
        <w:rPr>
          <w:rFonts w:cs="Tahoma"/>
          <w:b/>
        </w:rPr>
        <w:t>Couverture Géographique :</w:t>
      </w:r>
      <w:r w:rsidRPr="00460F5E">
        <w:rPr>
          <w:rFonts w:cs="Tahoma"/>
        </w:rPr>
        <w:t xml:space="preserve"> 5 régions administratives (Kindia, Mamou, Faranah, Kankan et N’Zérékoré)</w:t>
      </w:r>
    </w:p>
    <w:p w:rsidR="00911E81" w:rsidRPr="00460F5E" w:rsidRDefault="00911E81" w:rsidP="00460F5E">
      <w:pPr>
        <w:spacing w:after="0"/>
        <w:rPr>
          <w:rFonts w:cs="Tahoma"/>
          <w:lang w:val="en-US"/>
        </w:rPr>
      </w:pPr>
      <w:r w:rsidRPr="00460F5E">
        <w:rPr>
          <w:rFonts w:cs="Tahoma"/>
          <w:b/>
          <w:lang w:val="en-US"/>
        </w:rPr>
        <w:t>Sous-recipiendaires:</w:t>
      </w:r>
      <w:r w:rsidRPr="00460F5E">
        <w:rPr>
          <w:rFonts w:cs="Tahoma"/>
          <w:lang w:val="en-US"/>
        </w:rPr>
        <w:t xml:space="preserve"> PNLP - Plan - Child fund  </w:t>
      </w:r>
    </w:p>
    <w:p w:rsidR="00911E81" w:rsidRPr="00460F5E" w:rsidRDefault="00911E81" w:rsidP="00460F5E">
      <w:pPr>
        <w:spacing w:after="0"/>
        <w:rPr>
          <w:rFonts w:cs="Tahoma"/>
          <w:lang w:val="en-US"/>
        </w:rPr>
      </w:pPr>
      <w:r w:rsidRPr="00460F5E">
        <w:rPr>
          <w:rFonts w:cs="Tahoma"/>
          <w:b/>
          <w:lang w:val="en-US"/>
        </w:rPr>
        <w:t>SSR:</w:t>
      </w:r>
      <w:r w:rsidRPr="00460F5E">
        <w:rPr>
          <w:rFonts w:cs="Tahoma"/>
          <w:lang w:val="en-US"/>
        </w:rPr>
        <w:t xml:space="preserve"> 15 ONG locales couvrant 19 prefectures </w:t>
      </w:r>
    </w:p>
    <w:p w:rsidR="00911E81" w:rsidRPr="00460F5E" w:rsidRDefault="00911E81" w:rsidP="00460F5E">
      <w:pPr>
        <w:spacing w:after="0"/>
        <w:rPr>
          <w:rFonts w:cs="Tahoma"/>
          <w:lang w:val="en-US"/>
        </w:rPr>
      </w:pPr>
      <w:r w:rsidRPr="00460F5E">
        <w:rPr>
          <w:rFonts w:cs="Tahoma"/>
          <w:b/>
          <w:lang w:val="en-US"/>
        </w:rPr>
        <w:t>ChildFund:</w:t>
      </w:r>
      <w:r w:rsidRPr="00460F5E">
        <w:rPr>
          <w:rFonts w:cs="Tahoma"/>
          <w:lang w:val="en-US"/>
        </w:rPr>
        <w:t xml:space="preserve"> FDD, CAM, APIC, FMK, AFVDD, IGVD</w:t>
      </w:r>
    </w:p>
    <w:p w:rsidR="00911E81" w:rsidRPr="00460F5E" w:rsidRDefault="00911E81" w:rsidP="00460F5E">
      <w:pPr>
        <w:spacing w:after="0"/>
        <w:rPr>
          <w:rFonts w:cs="Tahoma"/>
          <w:lang w:val="en-US"/>
        </w:rPr>
      </w:pPr>
      <w:r w:rsidRPr="00460F5E">
        <w:rPr>
          <w:rFonts w:cs="Tahoma"/>
          <w:b/>
          <w:lang w:val="en-US"/>
        </w:rPr>
        <w:t>Plan:</w:t>
      </w:r>
      <w:r w:rsidRPr="00460F5E">
        <w:rPr>
          <w:rFonts w:cs="Tahoma"/>
          <w:lang w:val="en-US"/>
        </w:rPr>
        <w:t xml:space="preserve"> GAAP, AJP, FUDD, APIF, AJVDM, ZaliAC, AACG, GACOBO</w:t>
      </w:r>
    </w:p>
    <w:p w:rsidR="008855BD" w:rsidRPr="00460F5E" w:rsidRDefault="008855BD" w:rsidP="00460F5E">
      <w:pPr>
        <w:spacing w:after="0"/>
        <w:rPr>
          <w:rFonts w:cs="Tahoma"/>
          <w:lang w:val="en-US"/>
        </w:rPr>
      </w:pPr>
    </w:p>
    <w:p w:rsidR="00911E81" w:rsidRPr="00460F5E" w:rsidRDefault="00911E81" w:rsidP="00460F5E">
      <w:pPr>
        <w:spacing w:after="0"/>
        <w:rPr>
          <w:rFonts w:cs="Tahoma"/>
          <w:sz w:val="12"/>
          <w:szCs w:val="12"/>
          <w:lang w:val="en-US"/>
        </w:rPr>
      </w:pPr>
    </w:p>
    <w:p w:rsidR="00911E81" w:rsidRPr="00460F5E" w:rsidRDefault="00911E81" w:rsidP="00460F5E">
      <w:pPr>
        <w:rPr>
          <w:rFonts w:cs="Tahoma"/>
        </w:rPr>
      </w:pPr>
      <w:r w:rsidRPr="00460F5E">
        <w:rPr>
          <w:rFonts w:cs="Tahoma"/>
          <w:noProof/>
          <w:lang w:eastAsia="fr-FR"/>
        </w:rPr>
        <w:lastRenderedPageBreak/>
        <w:drawing>
          <wp:inline distT="0" distB="0" distL="0" distR="0" wp14:anchorId="55E41CB6" wp14:editId="2B2E66A2">
            <wp:extent cx="5972810" cy="3156585"/>
            <wp:effectExtent l="0" t="0" r="8890" b="5715"/>
            <wp:docPr id="1026" name="Picture 2" descr="C:\Users\GOETZ\Documents\04.5_NouvAout-Docs-rel-ICN-Work\01_ICN-PT-Productions-Techniques\15_Cartographie-FM-Inoue\05_sent-CRS-10.08\Implementation Map NFM Grant.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C:\Users\GOETZ\Documents\04.5_NouvAout-Docs-rel-ICN-Work\01_ICN-PT-Productions-Techniques\15_Cartographie-FM-Inoue\05_sent-CRS-10.08\Implementation Map NFM Grant.png"/>
                    <pic:cNvPicPr>
                      <a:picLocks noGrp="1"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72810" cy="3156585"/>
                    </a:xfrm>
                    <a:prstGeom prst="rect">
                      <a:avLst/>
                    </a:prstGeom>
                    <a:noFill/>
                    <a:extLst/>
                  </pic:spPr>
                </pic:pic>
              </a:graphicData>
            </a:graphic>
          </wp:inline>
        </w:drawing>
      </w:r>
    </w:p>
    <w:p w:rsidR="008C280B" w:rsidRPr="00460F5E" w:rsidRDefault="008C280B" w:rsidP="00460F5E">
      <w:pPr>
        <w:spacing w:after="120"/>
        <w:jc w:val="both"/>
        <w:rPr>
          <w:b/>
          <w:sz w:val="24"/>
        </w:rPr>
      </w:pPr>
    </w:p>
    <w:p w:rsidR="00EF1989" w:rsidRPr="00460F5E" w:rsidRDefault="009A43DD" w:rsidP="00460F5E">
      <w:pPr>
        <w:pStyle w:val="Titre2"/>
      </w:pPr>
      <w:bookmarkStart w:id="93" w:name="_Toc513041152"/>
      <w:bookmarkStart w:id="94" w:name="_Toc513044561"/>
      <w:bookmarkStart w:id="95" w:name="_Toc514049521"/>
      <w:r w:rsidRPr="00460F5E">
        <w:t xml:space="preserve">6.3 </w:t>
      </w:r>
      <w:r w:rsidR="008C280B" w:rsidRPr="00460F5E">
        <w:t xml:space="preserve">Présentation </w:t>
      </w:r>
      <w:r w:rsidR="00EF1989" w:rsidRPr="00460F5E">
        <w:t>Subvention paludisme</w:t>
      </w:r>
      <w:r w:rsidRPr="00460F5E">
        <w:t xml:space="preserve"> (Réunion MS/PTF, Mars 18)</w:t>
      </w:r>
      <w:bookmarkEnd w:id="93"/>
      <w:bookmarkEnd w:id="94"/>
      <w:bookmarkEnd w:id="95"/>
    </w:p>
    <w:p w:rsidR="00EF1989" w:rsidRPr="00460F5E" w:rsidRDefault="00EF1989" w:rsidP="00460F5E">
      <w:pPr>
        <w:spacing w:after="120"/>
        <w:rPr>
          <w:rFonts w:cs="Times New Roman"/>
          <w:bCs/>
          <w:sz w:val="24"/>
          <w:szCs w:val="24"/>
        </w:rPr>
      </w:pPr>
      <w:r w:rsidRPr="00460F5E">
        <w:rPr>
          <w:rFonts w:cs="Times New Roman"/>
          <w:bCs/>
          <w:sz w:val="24"/>
          <w:szCs w:val="24"/>
        </w:rPr>
        <w:t>Les objectifs du Projet sont tirés du Plan Stratégique National 2018-2022 du PNLP qui est en adéquation avec la Politique Nationale de lutte contre le paludisme. Tous ces documents sont en parfait alignement avec le PNDS, le PRRSS et avec la lettre de mission du Ministère de la santé</w:t>
      </w:r>
    </w:p>
    <w:p w:rsidR="00EF1989" w:rsidRPr="00460F5E" w:rsidRDefault="00EF1989" w:rsidP="00460F5E">
      <w:pPr>
        <w:rPr>
          <w:rFonts w:cs="Times New Roman"/>
          <w:b/>
          <w:bCs/>
          <w:sz w:val="24"/>
          <w:szCs w:val="24"/>
        </w:rPr>
      </w:pPr>
      <w:r w:rsidRPr="00460F5E">
        <w:rPr>
          <w:rFonts w:cs="Times New Roman"/>
          <w:b/>
          <w:bCs/>
          <w:sz w:val="24"/>
          <w:szCs w:val="24"/>
        </w:rPr>
        <w:t>Domaines couverts :</w:t>
      </w:r>
    </w:p>
    <w:p w:rsidR="008C280B" w:rsidRPr="00460F5E" w:rsidRDefault="00EF1989" w:rsidP="00460F5E">
      <w:pPr>
        <w:pStyle w:val="Paragraphedeliste"/>
        <w:numPr>
          <w:ilvl w:val="0"/>
          <w:numId w:val="76"/>
        </w:numPr>
        <w:spacing w:after="200"/>
        <w:jc w:val="both"/>
        <w:rPr>
          <w:rFonts w:cs="Times New Roman"/>
        </w:rPr>
      </w:pPr>
      <w:r w:rsidRPr="00460F5E">
        <w:rPr>
          <w:rFonts w:cs="Times New Roman"/>
          <w:bCs/>
          <w:sz w:val="24"/>
          <w:szCs w:val="24"/>
        </w:rPr>
        <w:t xml:space="preserve">Prévention du paludisme </w:t>
      </w:r>
    </w:p>
    <w:p w:rsidR="008C280B" w:rsidRPr="00460F5E" w:rsidRDefault="00EF1989" w:rsidP="00460F5E">
      <w:pPr>
        <w:pStyle w:val="Paragraphedeliste"/>
        <w:numPr>
          <w:ilvl w:val="1"/>
          <w:numId w:val="76"/>
        </w:numPr>
        <w:spacing w:after="200"/>
        <w:jc w:val="both"/>
        <w:rPr>
          <w:rFonts w:cs="Times New Roman"/>
        </w:rPr>
      </w:pPr>
      <w:r w:rsidRPr="00460F5E">
        <w:rPr>
          <w:rFonts w:cs="Times New Roman"/>
          <w:bCs/>
          <w:sz w:val="24"/>
          <w:szCs w:val="24"/>
        </w:rPr>
        <w:t>Communication centrale par le PNLP</w:t>
      </w:r>
    </w:p>
    <w:p w:rsidR="008C280B" w:rsidRPr="00460F5E" w:rsidRDefault="00EF1989" w:rsidP="00460F5E">
      <w:pPr>
        <w:pStyle w:val="Paragraphedeliste"/>
        <w:numPr>
          <w:ilvl w:val="1"/>
          <w:numId w:val="76"/>
        </w:numPr>
        <w:spacing w:after="200"/>
        <w:jc w:val="both"/>
        <w:rPr>
          <w:rFonts w:cs="Times New Roman"/>
        </w:rPr>
      </w:pPr>
      <w:r w:rsidRPr="00460F5E">
        <w:rPr>
          <w:rFonts w:cs="Times New Roman"/>
          <w:bCs/>
          <w:sz w:val="24"/>
          <w:szCs w:val="24"/>
        </w:rPr>
        <w:t>Communication de proximité par PLAN et ChildFund</w:t>
      </w:r>
    </w:p>
    <w:p w:rsidR="008C280B" w:rsidRPr="00460F5E" w:rsidRDefault="00EF1989" w:rsidP="00460F5E">
      <w:pPr>
        <w:pStyle w:val="Paragraphedeliste"/>
        <w:numPr>
          <w:ilvl w:val="1"/>
          <w:numId w:val="76"/>
        </w:numPr>
        <w:spacing w:after="200"/>
        <w:jc w:val="both"/>
        <w:rPr>
          <w:rFonts w:cs="Times New Roman"/>
        </w:rPr>
      </w:pPr>
      <w:r w:rsidRPr="00460F5E">
        <w:rPr>
          <w:rFonts w:cs="Times New Roman"/>
          <w:bCs/>
          <w:sz w:val="24"/>
          <w:szCs w:val="24"/>
        </w:rPr>
        <w:t>Campagne de distribution de masse MILDA en 2019</w:t>
      </w:r>
    </w:p>
    <w:p w:rsidR="008C280B" w:rsidRPr="00460F5E" w:rsidRDefault="00EF1989" w:rsidP="00460F5E">
      <w:pPr>
        <w:pStyle w:val="Paragraphedeliste"/>
        <w:numPr>
          <w:ilvl w:val="1"/>
          <w:numId w:val="76"/>
        </w:numPr>
        <w:spacing w:after="200"/>
        <w:jc w:val="both"/>
        <w:rPr>
          <w:rFonts w:cs="Times New Roman"/>
        </w:rPr>
      </w:pPr>
      <w:r w:rsidRPr="00460F5E">
        <w:rPr>
          <w:rFonts w:cs="Times New Roman"/>
          <w:bCs/>
          <w:sz w:val="24"/>
          <w:szCs w:val="24"/>
        </w:rPr>
        <w:t>Distribution de MILDA en routine</w:t>
      </w:r>
      <w:r w:rsidRPr="00460F5E">
        <w:rPr>
          <w:rFonts w:cs="Times New Roman"/>
        </w:rPr>
        <w:t xml:space="preserve"> chez la femme enceinte en CPN et enfants moins d’un an en vaccination</w:t>
      </w:r>
    </w:p>
    <w:p w:rsidR="00EF1989" w:rsidRPr="00460F5E" w:rsidRDefault="00EF1989" w:rsidP="00460F5E">
      <w:pPr>
        <w:pStyle w:val="Paragraphedeliste"/>
        <w:numPr>
          <w:ilvl w:val="1"/>
          <w:numId w:val="76"/>
        </w:numPr>
        <w:spacing w:after="200"/>
        <w:jc w:val="both"/>
        <w:rPr>
          <w:rFonts w:cs="Times New Roman"/>
        </w:rPr>
      </w:pPr>
      <w:r w:rsidRPr="00460F5E">
        <w:rPr>
          <w:rFonts w:cs="Times New Roman"/>
        </w:rPr>
        <w:t xml:space="preserve">Campagne Chimioprophylaxie du paludisme saisonnier à Mandiana, Kouroussa, Siguiri, Kankan et Dabola chaque année de Juillet à Octobre ciblant les enfants de 3 </w:t>
      </w:r>
      <w:bookmarkStart w:id="96" w:name="_Hlk509260581"/>
      <w:r w:rsidRPr="00460F5E">
        <w:rPr>
          <w:rFonts w:cs="Times New Roman"/>
        </w:rPr>
        <w:t>à</w:t>
      </w:r>
      <w:bookmarkEnd w:id="96"/>
      <w:r w:rsidRPr="00460F5E">
        <w:rPr>
          <w:rFonts w:cs="Times New Roman"/>
        </w:rPr>
        <w:t xml:space="preserve"> 59 mois.</w:t>
      </w:r>
    </w:p>
    <w:p w:rsidR="00EF1989" w:rsidRPr="00460F5E" w:rsidRDefault="00EF1989" w:rsidP="00460F5E">
      <w:pPr>
        <w:pStyle w:val="Paragraphedeliste"/>
        <w:numPr>
          <w:ilvl w:val="0"/>
          <w:numId w:val="76"/>
        </w:numPr>
        <w:spacing w:after="200"/>
        <w:jc w:val="both"/>
        <w:rPr>
          <w:rFonts w:cs="Times New Roman"/>
        </w:rPr>
      </w:pPr>
      <w:r w:rsidRPr="00460F5E">
        <w:rPr>
          <w:rFonts w:cs="Times New Roman"/>
        </w:rPr>
        <w:t>Appui au système de santé pour la prise en charge du paludisme</w:t>
      </w:r>
    </w:p>
    <w:p w:rsidR="00EF1989" w:rsidRPr="00460F5E" w:rsidRDefault="00EF1989" w:rsidP="00460F5E">
      <w:pPr>
        <w:pStyle w:val="Paragraphedeliste"/>
        <w:numPr>
          <w:ilvl w:val="0"/>
          <w:numId w:val="77"/>
        </w:numPr>
        <w:rPr>
          <w:rFonts w:cs="Times New Roman"/>
        </w:rPr>
      </w:pPr>
      <w:r w:rsidRPr="00460F5E">
        <w:rPr>
          <w:rFonts w:cs="Times New Roman"/>
        </w:rPr>
        <w:t>Diagnostic et prise en charge au niveau des formations sanitaires</w:t>
      </w:r>
    </w:p>
    <w:p w:rsidR="00EF1989" w:rsidRPr="00460F5E" w:rsidRDefault="00EF1989" w:rsidP="00460F5E">
      <w:pPr>
        <w:pStyle w:val="Paragraphedeliste"/>
        <w:numPr>
          <w:ilvl w:val="0"/>
          <w:numId w:val="77"/>
        </w:numPr>
        <w:rPr>
          <w:rFonts w:cs="Times New Roman"/>
        </w:rPr>
      </w:pPr>
      <w:r w:rsidRPr="00460F5E">
        <w:rPr>
          <w:rFonts w:cs="Times New Roman"/>
        </w:rPr>
        <w:t>Diagnostic et prise en charge au niveau communautaire</w:t>
      </w:r>
    </w:p>
    <w:p w:rsidR="00EF1989" w:rsidRPr="00460F5E" w:rsidRDefault="00EF1989" w:rsidP="00460F5E">
      <w:pPr>
        <w:pStyle w:val="Paragraphedeliste"/>
        <w:ind w:left="1440"/>
        <w:rPr>
          <w:rFonts w:cs="Times New Roman"/>
        </w:rPr>
      </w:pPr>
      <w:r w:rsidRPr="00460F5E">
        <w:rPr>
          <w:rFonts w:cs="Times New Roman"/>
        </w:rPr>
        <w:t xml:space="preserve"> </w:t>
      </w:r>
    </w:p>
    <w:p w:rsidR="00EF1989" w:rsidRPr="00460F5E" w:rsidRDefault="00EF1989" w:rsidP="00460F5E">
      <w:pPr>
        <w:pStyle w:val="Paragraphedeliste"/>
        <w:numPr>
          <w:ilvl w:val="0"/>
          <w:numId w:val="78"/>
        </w:numPr>
        <w:spacing w:after="200"/>
        <w:jc w:val="both"/>
        <w:rPr>
          <w:rFonts w:cs="Times New Roman"/>
        </w:rPr>
      </w:pPr>
      <w:r w:rsidRPr="00460F5E">
        <w:rPr>
          <w:rFonts w:cs="Times New Roman"/>
        </w:rPr>
        <w:t>Surveillance entomologique, évaluations recherche</w:t>
      </w:r>
    </w:p>
    <w:p w:rsidR="00EF1989" w:rsidRPr="00460F5E" w:rsidRDefault="00EF1989" w:rsidP="00460F5E">
      <w:pPr>
        <w:pStyle w:val="Paragraphedeliste"/>
        <w:numPr>
          <w:ilvl w:val="0"/>
          <w:numId w:val="79"/>
        </w:numPr>
        <w:rPr>
          <w:rFonts w:cs="Times New Roman"/>
        </w:rPr>
      </w:pPr>
      <w:r w:rsidRPr="00460F5E">
        <w:rPr>
          <w:rFonts w:cs="Times New Roman"/>
        </w:rPr>
        <w:t>Surveillance entomologique</w:t>
      </w:r>
    </w:p>
    <w:p w:rsidR="00EF1989" w:rsidRPr="00460F5E" w:rsidRDefault="00EF1989" w:rsidP="00460F5E">
      <w:pPr>
        <w:pStyle w:val="Paragraphedeliste"/>
        <w:numPr>
          <w:ilvl w:val="0"/>
          <w:numId w:val="79"/>
        </w:numPr>
        <w:rPr>
          <w:rFonts w:cs="Times New Roman"/>
        </w:rPr>
      </w:pPr>
      <w:r w:rsidRPr="00460F5E">
        <w:rPr>
          <w:rFonts w:cs="Times New Roman"/>
        </w:rPr>
        <w:t>Contribution à l’EDS</w:t>
      </w:r>
    </w:p>
    <w:p w:rsidR="00EF1989" w:rsidRPr="00460F5E" w:rsidRDefault="00EF1989" w:rsidP="00460F5E">
      <w:pPr>
        <w:pStyle w:val="Paragraphedeliste"/>
        <w:numPr>
          <w:ilvl w:val="0"/>
          <w:numId w:val="79"/>
        </w:numPr>
        <w:rPr>
          <w:rFonts w:cs="Times New Roman"/>
        </w:rPr>
      </w:pPr>
      <w:r w:rsidRPr="00460F5E">
        <w:rPr>
          <w:rFonts w:cs="Times New Roman"/>
        </w:rPr>
        <w:t>Contribution à l’enquête MICS palu</w:t>
      </w:r>
    </w:p>
    <w:p w:rsidR="00EF1989" w:rsidRPr="00460F5E" w:rsidRDefault="00EF1989" w:rsidP="00460F5E">
      <w:pPr>
        <w:pStyle w:val="Paragraphedeliste"/>
        <w:numPr>
          <w:ilvl w:val="0"/>
          <w:numId w:val="79"/>
        </w:numPr>
        <w:rPr>
          <w:rFonts w:cs="Times New Roman"/>
        </w:rPr>
      </w:pPr>
      <w:r w:rsidRPr="00460F5E">
        <w:rPr>
          <w:rFonts w:cs="Times New Roman"/>
        </w:rPr>
        <w:t>Enquête EUV</w:t>
      </w:r>
    </w:p>
    <w:p w:rsidR="00EF1989" w:rsidRPr="00460F5E" w:rsidRDefault="00EF1989" w:rsidP="00460F5E">
      <w:pPr>
        <w:pStyle w:val="Paragraphedeliste"/>
        <w:numPr>
          <w:ilvl w:val="0"/>
          <w:numId w:val="79"/>
        </w:numPr>
        <w:rPr>
          <w:rFonts w:cs="Times New Roman"/>
        </w:rPr>
      </w:pPr>
      <w:r w:rsidRPr="00460F5E">
        <w:rPr>
          <w:rFonts w:cs="Times New Roman"/>
        </w:rPr>
        <w:lastRenderedPageBreak/>
        <w:t>Enquête utilisation des services de prévention et prise en charge du paludisme</w:t>
      </w:r>
    </w:p>
    <w:p w:rsidR="008C280B" w:rsidRPr="00460F5E" w:rsidRDefault="008C280B" w:rsidP="00460F5E">
      <w:pPr>
        <w:pStyle w:val="Paragraphedeliste"/>
        <w:ind w:left="1440"/>
        <w:rPr>
          <w:rFonts w:cs="Times New Roman"/>
        </w:rPr>
      </w:pPr>
    </w:p>
    <w:p w:rsidR="00EF1989" w:rsidRPr="00460F5E" w:rsidRDefault="00EF1989" w:rsidP="00460F5E">
      <w:pPr>
        <w:pStyle w:val="Paragraphedeliste"/>
        <w:numPr>
          <w:ilvl w:val="0"/>
          <w:numId w:val="78"/>
        </w:numPr>
        <w:spacing w:after="200"/>
        <w:jc w:val="both"/>
        <w:rPr>
          <w:rFonts w:cs="Times New Roman"/>
        </w:rPr>
      </w:pPr>
      <w:r w:rsidRPr="00460F5E">
        <w:rPr>
          <w:rFonts w:cs="Times New Roman"/>
        </w:rPr>
        <w:t>Renforcement du Système de santé à travers l’appui à la Pharmacie Centrale de Guinée, au SNIS/BSD, DNPM et à la Direction Nationale de la santé communautaire</w:t>
      </w:r>
      <w:r w:rsidRPr="00460F5E">
        <w:rPr>
          <w:rFonts w:cs="Times New Roman"/>
          <w:bCs/>
          <w:sz w:val="24"/>
          <w:szCs w:val="24"/>
        </w:rPr>
        <w:t xml:space="preserve"> </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Contribution à la construction du dépôt préfabriqué de COYAH</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Frais d’interconnexion des dépôts de la PCG</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Assistance technique</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Approvisionnement et distribution des intrants antipaludiques en collaboration avec PMI</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Paiements des frais de stockage et de distribution des intrants antipaludiques</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Primes au staff du BSD</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Appui en équipements et frais de supervision pour le SNIS de routine et utilisation de la plateforme DHIS2</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Reprographie des outils SNIS</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Appui à la formation des cadres du BSD</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Salaires à cinq contractuels de la cellule IT du Ministère</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Primes au staff de DNPM</w:t>
      </w:r>
    </w:p>
    <w:p w:rsidR="00EF1989" w:rsidRPr="00460F5E" w:rsidRDefault="00EF1989" w:rsidP="00460F5E">
      <w:pPr>
        <w:pStyle w:val="Paragraphedeliste"/>
        <w:numPr>
          <w:ilvl w:val="0"/>
          <w:numId w:val="80"/>
        </w:numPr>
        <w:rPr>
          <w:rFonts w:cs="Times New Roman"/>
          <w:bCs/>
          <w:sz w:val="24"/>
          <w:szCs w:val="24"/>
        </w:rPr>
      </w:pPr>
      <w:r w:rsidRPr="00460F5E">
        <w:rPr>
          <w:rFonts w:cs="Times New Roman"/>
          <w:bCs/>
          <w:sz w:val="24"/>
          <w:szCs w:val="24"/>
        </w:rPr>
        <w:t>Appui à la supervision et assurance qualité des médicaments</w:t>
      </w:r>
    </w:p>
    <w:p w:rsidR="00EF1989" w:rsidRPr="00460F5E" w:rsidRDefault="00EF1989" w:rsidP="00460F5E">
      <w:pPr>
        <w:pStyle w:val="Paragraphedeliste"/>
        <w:ind w:left="1440"/>
        <w:rPr>
          <w:rFonts w:cs="Times New Roman"/>
        </w:rPr>
      </w:pPr>
    </w:p>
    <w:p w:rsidR="00EF1989" w:rsidRPr="00460F5E" w:rsidRDefault="00EF1989" w:rsidP="00460F5E">
      <w:pPr>
        <w:rPr>
          <w:rFonts w:cs="Times New Roman"/>
          <w:b/>
          <w:bCs/>
          <w:sz w:val="24"/>
          <w:szCs w:val="24"/>
        </w:rPr>
      </w:pPr>
      <w:r w:rsidRPr="00460F5E">
        <w:rPr>
          <w:rFonts w:cs="Times New Roman"/>
          <w:b/>
          <w:bCs/>
          <w:sz w:val="24"/>
          <w:szCs w:val="24"/>
        </w:rPr>
        <w:t xml:space="preserve">Cibles/Services : </w:t>
      </w:r>
    </w:p>
    <w:p w:rsidR="00EF1989" w:rsidRPr="00460F5E" w:rsidRDefault="00EF1989" w:rsidP="00460F5E">
      <w:pPr>
        <w:spacing w:after="0" w:line="240" w:lineRule="auto"/>
        <w:rPr>
          <w:rFonts w:cs="Times New Roman"/>
        </w:rPr>
      </w:pPr>
      <w:r w:rsidRPr="00460F5E">
        <w:rPr>
          <w:rFonts w:cs="Times New Roman"/>
        </w:rPr>
        <w:t xml:space="preserve">Les principaux résultats ci-dessous sont attendus pour les trois années de mise en œuvre en collaboration avec PMI et sous le leadership du PNLP : </w:t>
      </w:r>
    </w:p>
    <w:p w:rsidR="00EF1989" w:rsidRPr="00460F5E" w:rsidRDefault="00EF1989" w:rsidP="00460F5E">
      <w:pPr>
        <w:pStyle w:val="Paragraphedeliste"/>
        <w:numPr>
          <w:ilvl w:val="0"/>
          <w:numId w:val="81"/>
        </w:numPr>
        <w:spacing w:after="0" w:line="240" w:lineRule="auto"/>
        <w:jc w:val="both"/>
        <w:rPr>
          <w:rFonts w:cs="Times New Roman"/>
        </w:rPr>
      </w:pPr>
      <w:r w:rsidRPr="00460F5E">
        <w:rPr>
          <w:rFonts w:cs="Times New Roman"/>
        </w:rPr>
        <w:t>Contribution à la distribution de masse de 8,824,156 MILDA dans tout le pays</w:t>
      </w:r>
    </w:p>
    <w:p w:rsidR="00EF1989" w:rsidRPr="00460F5E" w:rsidRDefault="00EF1989" w:rsidP="00460F5E">
      <w:pPr>
        <w:pStyle w:val="Paragraphedeliste"/>
        <w:numPr>
          <w:ilvl w:val="0"/>
          <w:numId w:val="81"/>
        </w:numPr>
        <w:spacing w:after="0" w:line="240" w:lineRule="auto"/>
        <w:jc w:val="both"/>
        <w:rPr>
          <w:rFonts w:cs="Times New Roman"/>
        </w:rPr>
      </w:pPr>
      <w:r w:rsidRPr="00460F5E">
        <w:rPr>
          <w:rFonts w:cs="Times New Roman"/>
        </w:rPr>
        <w:t>Distribution de 3 038 196 MILDA en routine aux femmes enceintes et enfants de moins de 1 an dans tout le pays à travers les formations sanitaires.</w:t>
      </w:r>
    </w:p>
    <w:p w:rsidR="00EF1989" w:rsidRPr="00460F5E" w:rsidRDefault="00EF1989" w:rsidP="00460F5E">
      <w:pPr>
        <w:pStyle w:val="Paragraphedeliste"/>
        <w:numPr>
          <w:ilvl w:val="0"/>
          <w:numId w:val="81"/>
        </w:numPr>
        <w:spacing w:after="0" w:line="240" w:lineRule="auto"/>
        <w:jc w:val="both"/>
        <w:rPr>
          <w:rFonts w:cs="Times New Roman"/>
        </w:rPr>
      </w:pPr>
      <w:r w:rsidRPr="00460F5E">
        <w:rPr>
          <w:rFonts w:cs="Times New Roman"/>
        </w:rPr>
        <w:t>Appui aux DRS, DPS, formations sanitaires et ASC pour le traitement de 4 633 631 de cas de paludisme confirmés dans tout le pays.</w:t>
      </w:r>
    </w:p>
    <w:p w:rsidR="00EF1989" w:rsidRPr="00460F5E" w:rsidRDefault="00EF1989" w:rsidP="00460F5E">
      <w:pPr>
        <w:pStyle w:val="Paragraphedeliste"/>
        <w:numPr>
          <w:ilvl w:val="0"/>
          <w:numId w:val="81"/>
        </w:numPr>
        <w:spacing w:after="0" w:line="240" w:lineRule="auto"/>
        <w:jc w:val="both"/>
        <w:rPr>
          <w:rFonts w:cs="Times New Roman"/>
        </w:rPr>
      </w:pPr>
      <w:r w:rsidRPr="00460F5E">
        <w:rPr>
          <w:rFonts w:cs="Times New Roman"/>
        </w:rPr>
        <w:t xml:space="preserve">Appui aux DRS, DPS formations sanitaires pour l’administration de trois doses de SP à 941 893 femmes enceintes fréquentant les services CPN dans tout le pays </w:t>
      </w:r>
    </w:p>
    <w:p w:rsidR="00EF1989" w:rsidRPr="00460F5E" w:rsidRDefault="00EF1989" w:rsidP="00460F5E">
      <w:pPr>
        <w:pStyle w:val="Paragraphedeliste"/>
        <w:numPr>
          <w:ilvl w:val="0"/>
          <w:numId w:val="81"/>
        </w:numPr>
        <w:spacing w:after="0" w:line="240" w:lineRule="auto"/>
        <w:jc w:val="both"/>
        <w:rPr>
          <w:rFonts w:cs="Times New Roman"/>
        </w:rPr>
      </w:pPr>
      <w:r w:rsidRPr="00460F5E">
        <w:rPr>
          <w:rFonts w:cs="Times New Roman"/>
        </w:rPr>
        <w:t xml:space="preserve">Appui au PNLP pour la mise en œuvre de la campagne CPS chaque année dans cinq districts éligibles et ciblant 2 070 906 enfants de 3 à 59 mois </w:t>
      </w:r>
    </w:p>
    <w:p w:rsidR="00EF1989" w:rsidRPr="00460F5E" w:rsidRDefault="00EF1989" w:rsidP="00460F5E">
      <w:pPr>
        <w:spacing w:after="0" w:line="240" w:lineRule="auto"/>
        <w:rPr>
          <w:rFonts w:cs="Times New Roman"/>
        </w:rPr>
      </w:pPr>
    </w:p>
    <w:p w:rsidR="00EF1989" w:rsidRPr="00460F5E" w:rsidRDefault="00EF1989" w:rsidP="00460F5E">
      <w:pPr>
        <w:spacing w:after="0" w:line="240" w:lineRule="auto"/>
        <w:rPr>
          <w:rFonts w:cs="Times New Roman"/>
        </w:rPr>
      </w:pPr>
      <w:r w:rsidRPr="00460F5E">
        <w:rPr>
          <w:rFonts w:cs="Times New Roman"/>
        </w:rPr>
        <w:t>Les résultats attendus pour ce qui est du renforcement du système de santé sont les suivants :</w:t>
      </w:r>
    </w:p>
    <w:p w:rsidR="00EF1989" w:rsidRPr="00460F5E" w:rsidRDefault="00EF1989" w:rsidP="00460F5E">
      <w:pPr>
        <w:pStyle w:val="Paragraphedeliste"/>
        <w:numPr>
          <w:ilvl w:val="0"/>
          <w:numId w:val="82"/>
        </w:numPr>
        <w:spacing w:after="0" w:line="240" w:lineRule="auto"/>
        <w:jc w:val="both"/>
        <w:rPr>
          <w:rFonts w:cs="Times New Roman"/>
        </w:rPr>
      </w:pPr>
      <w:r w:rsidRPr="00460F5E">
        <w:rPr>
          <w:rFonts w:cs="Times New Roman"/>
        </w:rPr>
        <w:t>Amélioration des conditions de stockage au niveau central des produits de santé en contribuant à la construction de l’’entrepôt préfabriqué de Coyah</w:t>
      </w:r>
    </w:p>
    <w:p w:rsidR="00EF1989" w:rsidRPr="00460F5E" w:rsidRDefault="00EF1989" w:rsidP="00460F5E">
      <w:pPr>
        <w:pStyle w:val="Paragraphedeliste"/>
        <w:numPr>
          <w:ilvl w:val="0"/>
          <w:numId w:val="82"/>
        </w:numPr>
        <w:spacing w:after="0" w:line="240" w:lineRule="auto"/>
        <w:jc w:val="both"/>
        <w:rPr>
          <w:rFonts w:cs="Times New Roman"/>
        </w:rPr>
      </w:pPr>
      <w:r w:rsidRPr="00460F5E">
        <w:rPr>
          <w:rFonts w:cs="Times New Roman"/>
        </w:rPr>
        <w:t>La plateforme DHIS2 est déployée dans tout le pays et les données sont disponibles en temps réel</w:t>
      </w:r>
    </w:p>
    <w:p w:rsidR="00EF1989" w:rsidRPr="00460F5E" w:rsidRDefault="00EF1989" w:rsidP="00460F5E">
      <w:pPr>
        <w:pStyle w:val="Paragraphedeliste"/>
        <w:numPr>
          <w:ilvl w:val="0"/>
          <w:numId w:val="82"/>
        </w:numPr>
        <w:spacing w:after="0" w:line="240" w:lineRule="auto"/>
        <w:jc w:val="both"/>
        <w:rPr>
          <w:rFonts w:cs="Times New Roman"/>
        </w:rPr>
      </w:pPr>
      <w:r w:rsidRPr="00460F5E">
        <w:rPr>
          <w:rFonts w:cs="Times New Roman"/>
        </w:rPr>
        <w:t>Amélioration de la disponibilité des intrants de qualité à tous les niveaux de la pyramide à travers le renforcement :</w:t>
      </w:r>
    </w:p>
    <w:p w:rsidR="00EF1989" w:rsidRPr="00460F5E" w:rsidRDefault="00EF1989" w:rsidP="00460F5E">
      <w:pPr>
        <w:pStyle w:val="Paragraphedeliste"/>
        <w:numPr>
          <w:ilvl w:val="0"/>
          <w:numId w:val="83"/>
        </w:numPr>
        <w:spacing w:after="0" w:line="240" w:lineRule="auto"/>
        <w:contextualSpacing w:val="0"/>
        <w:jc w:val="both"/>
        <w:rPr>
          <w:rFonts w:cs="Times New Roman"/>
        </w:rPr>
      </w:pPr>
      <w:r w:rsidRPr="00460F5E">
        <w:rPr>
          <w:rFonts w:cs="Times New Roman"/>
        </w:rPr>
        <w:t xml:space="preserve">des capacités des ressources humaines impliqués dans la gestion des intrants. </w:t>
      </w:r>
    </w:p>
    <w:p w:rsidR="00EF1989" w:rsidRPr="00460F5E" w:rsidRDefault="00EF1989" w:rsidP="00460F5E">
      <w:pPr>
        <w:pStyle w:val="Paragraphedeliste"/>
        <w:numPr>
          <w:ilvl w:val="0"/>
          <w:numId w:val="83"/>
        </w:numPr>
        <w:spacing w:after="0" w:line="240" w:lineRule="auto"/>
        <w:contextualSpacing w:val="0"/>
        <w:jc w:val="both"/>
        <w:rPr>
          <w:rFonts w:cs="Times New Roman"/>
        </w:rPr>
      </w:pPr>
      <w:r w:rsidRPr="00460F5E">
        <w:rPr>
          <w:rFonts w:cs="Times New Roman"/>
        </w:rPr>
        <w:t>du système d’information logistique</w:t>
      </w:r>
    </w:p>
    <w:p w:rsidR="00EF1989" w:rsidRPr="00460F5E" w:rsidRDefault="00EF1989" w:rsidP="00460F5E">
      <w:pPr>
        <w:pStyle w:val="Paragraphedeliste"/>
        <w:spacing w:after="0" w:line="240" w:lineRule="auto"/>
        <w:ind w:left="3478"/>
        <w:contextualSpacing w:val="0"/>
        <w:rPr>
          <w:rFonts w:cs="Times New Roman"/>
        </w:rPr>
      </w:pPr>
    </w:p>
    <w:p w:rsidR="00EF1989" w:rsidRPr="00460F5E" w:rsidRDefault="00EF1989" w:rsidP="00460F5E">
      <w:pPr>
        <w:spacing w:after="0" w:line="240" w:lineRule="auto"/>
        <w:rPr>
          <w:rFonts w:cs="Times New Roman"/>
          <w:b/>
          <w:bCs/>
          <w:sz w:val="24"/>
          <w:szCs w:val="24"/>
        </w:rPr>
      </w:pPr>
      <w:r w:rsidRPr="00460F5E">
        <w:rPr>
          <w:rFonts w:cs="Times New Roman"/>
          <w:b/>
          <w:bCs/>
          <w:sz w:val="24"/>
          <w:szCs w:val="24"/>
        </w:rPr>
        <w:t>Zone d’intervention :</w:t>
      </w:r>
    </w:p>
    <w:p w:rsidR="00EF1989" w:rsidRPr="00460F5E" w:rsidRDefault="00EF1989" w:rsidP="00460F5E">
      <w:pPr>
        <w:pStyle w:val="Paragraphedeliste"/>
        <w:numPr>
          <w:ilvl w:val="0"/>
          <w:numId w:val="84"/>
        </w:numPr>
        <w:spacing w:after="0" w:line="240" w:lineRule="auto"/>
        <w:jc w:val="both"/>
        <w:rPr>
          <w:rFonts w:cs="Times New Roman"/>
        </w:rPr>
      </w:pPr>
      <w:r w:rsidRPr="00460F5E">
        <w:rPr>
          <w:rFonts w:cs="Times New Roman"/>
        </w:rPr>
        <w:t xml:space="preserve">Couverture nationale pour les activités de renforcement de la chaine d’approvisionnement et le système d’information sanitaire. </w:t>
      </w:r>
    </w:p>
    <w:p w:rsidR="00EF1989" w:rsidRPr="00460F5E" w:rsidRDefault="00EF1989" w:rsidP="00460F5E">
      <w:pPr>
        <w:pStyle w:val="Paragraphedeliste"/>
        <w:numPr>
          <w:ilvl w:val="0"/>
          <w:numId w:val="84"/>
        </w:numPr>
        <w:spacing w:after="0" w:line="240" w:lineRule="auto"/>
        <w:jc w:val="both"/>
        <w:rPr>
          <w:rFonts w:cs="Times New Roman"/>
        </w:rPr>
      </w:pPr>
      <w:r w:rsidRPr="00460F5E">
        <w:rPr>
          <w:rFonts w:cs="Times New Roman"/>
        </w:rPr>
        <w:lastRenderedPageBreak/>
        <w:t>Dix-neuf préfectures sont couvertes dans les régions de Kankan, Nzérékoré, Kindia, Faranah et Mamou pour l’appui au diagnostic et traitement du paludisme</w:t>
      </w:r>
    </w:p>
    <w:p w:rsidR="00EF1989" w:rsidRPr="00460F5E" w:rsidRDefault="00EF1989" w:rsidP="00460F5E">
      <w:pPr>
        <w:pStyle w:val="Paragraphedeliste"/>
        <w:numPr>
          <w:ilvl w:val="0"/>
          <w:numId w:val="84"/>
        </w:numPr>
        <w:spacing w:after="0" w:line="240" w:lineRule="auto"/>
        <w:jc w:val="both"/>
        <w:rPr>
          <w:rFonts w:cs="Times New Roman"/>
        </w:rPr>
      </w:pPr>
      <w:r w:rsidRPr="00460F5E">
        <w:rPr>
          <w:rFonts w:cs="Times New Roman"/>
        </w:rPr>
        <w:t>La distribution des moustiquaires en routine et pour la campagne de 2019.</w:t>
      </w:r>
    </w:p>
    <w:p w:rsidR="00EF1989" w:rsidRPr="00460F5E" w:rsidRDefault="00EF1989" w:rsidP="00460F5E">
      <w:pPr>
        <w:pStyle w:val="Paragraphedeliste"/>
        <w:numPr>
          <w:ilvl w:val="0"/>
          <w:numId w:val="84"/>
        </w:numPr>
        <w:spacing w:after="0" w:line="240" w:lineRule="auto"/>
        <w:jc w:val="both"/>
        <w:rPr>
          <w:rFonts w:cs="Times New Roman"/>
        </w:rPr>
      </w:pPr>
      <w:r w:rsidRPr="00460F5E">
        <w:rPr>
          <w:rFonts w:cs="Times New Roman"/>
        </w:rPr>
        <w:t xml:space="preserve">La prévention du paludisme chez la femme enceinte à travers le traitement Préventif intermittent </w:t>
      </w:r>
    </w:p>
    <w:p w:rsidR="00EF1989" w:rsidRPr="00460F5E" w:rsidRDefault="00EF1989" w:rsidP="00460F5E">
      <w:pPr>
        <w:pStyle w:val="Paragraphedeliste"/>
        <w:numPr>
          <w:ilvl w:val="0"/>
          <w:numId w:val="84"/>
        </w:numPr>
        <w:spacing w:after="0" w:line="240" w:lineRule="auto"/>
        <w:jc w:val="both"/>
        <w:rPr>
          <w:rFonts w:cs="Times New Roman"/>
        </w:rPr>
      </w:pPr>
      <w:r w:rsidRPr="00460F5E">
        <w:rPr>
          <w:rFonts w:cs="Times New Roman"/>
        </w:rPr>
        <w:t>La chimio prévention du paludisme saisonnier en faveur des enfants de moins de 5 ans dans 5 districts sanitaires éligibles notamment Kankan, Mandiana, Siguiri, Dabola, et Kouroussa.</w:t>
      </w:r>
    </w:p>
    <w:p w:rsidR="00EF1989" w:rsidRPr="00460F5E" w:rsidRDefault="00EF1989" w:rsidP="00460F5E">
      <w:pPr>
        <w:spacing w:after="0" w:line="240" w:lineRule="auto"/>
        <w:rPr>
          <w:rFonts w:cs="Times New Roman"/>
        </w:rPr>
      </w:pPr>
    </w:p>
    <w:p w:rsidR="00EF1989" w:rsidRPr="00460F5E" w:rsidRDefault="00EF1989" w:rsidP="00460F5E">
      <w:pPr>
        <w:rPr>
          <w:rFonts w:cs="Times New Roman"/>
          <w:b/>
          <w:bCs/>
          <w:sz w:val="24"/>
          <w:szCs w:val="24"/>
        </w:rPr>
      </w:pPr>
      <w:r w:rsidRPr="00460F5E">
        <w:rPr>
          <w:rFonts w:cs="Times New Roman"/>
          <w:b/>
          <w:bCs/>
          <w:sz w:val="24"/>
          <w:szCs w:val="24"/>
        </w:rPr>
        <w:t>Mécanismes de financement :</w:t>
      </w:r>
    </w:p>
    <w:p w:rsidR="00EF1989" w:rsidRPr="00460F5E" w:rsidRDefault="00EF1989" w:rsidP="00460F5E">
      <w:pPr>
        <w:pStyle w:val="Paragraphedeliste"/>
        <w:numPr>
          <w:ilvl w:val="0"/>
          <w:numId w:val="85"/>
        </w:numPr>
        <w:rPr>
          <w:rFonts w:cs="Times New Roman"/>
          <w:bCs/>
          <w:sz w:val="24"/>
          <w:szCs w:val="24"/>
        </w:rPr>
      </w:pPr>
      <w:r w:rsidRPr="00460F5E">
        <w:rPr>
          <w:rFonts w:cs="Times New Roman"/>
          <w:bCs/>
          <w:sz w:val="24"/>
          <w:szCs w:val="24"/>
        </w:rPr>
        <w:t>Contractualisation avec PLAN Guinée, ChildFund qui contractualisent à leur tour avec 15 ONG locales pour la communication de proximité</w:t>
      </w:r>
    </w:p>
    <w:p w:rsidR="00EF1989" w:rsidRPr="00460F5E" w:rsidRDefault="00EF1989" w:rsidP="00460F5E">
      <w:pPr>
        <w:pStyle w:val="Paragraphedeliste"/>
        <w:numPr>
          <w:ilvl w:val="0"/>
          <w:numId w:val="85"/>
        </w:numPr>
        <w:rPr>
          <w:rFonts w:cs="Times New Roman"/>
          <w:bCs/>
          <w:sz w:val="24"/>
          <w:szCs w:val="24"/>
        </w:rPr>
      </w:pPr>
      <w:r w:rsidRPr="00460F5E">
        <w:rPr>
          <w:rFonts w:cs="Times New Roman"/>
          <w:bCs/>
          <w:sz w:val="24"/>
          <w:szCs w:val="24"/>
        </w:rPr>
        <w:t>Contractualisation avec le PNLP pour la mise en œuvre des activités essentielles de prévention et prise en charge du paludisme</w:t>
      </w:r>
    </w:p>
    <w:p w:rsidR="00EF1989" w:rsidRPr="00460F5E" w:rsidRDefault="00EF1989" w:rsidP="00460F5E">
      <w:pPr>
        <w:pStyle w:val="Paragraphedeliste"/>
        <w:numPr>
          <w:ilvl w:val="0"/>
          <w:numId w:val="85"/>
        </w:numPr>
        <w:rPr>
          <w:rFonts w:cs="Times New Roman"/>
          <w:bCs/>
          <w:sz w:val="24"/>
          <w:szCs w:val="24"/>
        </w:rPr>
      </w:pPr>
      <w:r w:rsidRPr="00460F5E">
        <w:rPr>
          <w:rFonts w:cs="Times New Roman"/>
          <w:bCs/>
          <w:sz w:val="24"/>
          <w:szCs w:val="24"/>
        </w:rPr>
        <w:t>Contractualisation avec le BSD, DNPM, PCG pour les activités de renforcement du système de santé.</w:t>
      </w:r>
    </w:p>
    <w:p w:rsidR="00EF1989" w:rsidRPr="00460F5E" w:rsidRDefault="00EF1989" w:rsidP="00460F5E">
      <w:pPr>
        <w:rPr>
          <w:rFonts w:cs="Times New Roman"/>
          <w:b/>
          <w:bCs/>
          <w:sz w:val="24"/>
          <w:szCs w:val="24"/>
        </w:rPr>
      </w:pPr>
    </w:p>
    <w:p w:rsidR="00EF1989" w:rsidRPr="00460F5E" w:rsidRDefault="00EF1989" w:rsidP="00460F5E">
      <w:pPr>
        <w:rPr>
          <w:rFonts w:cs="Times New Roman"/>
          <w:b/>
          <w:bCs/>
          <w:sz w:val="24"/>
          <w:szCs w:val="24"/>
        </w:rPr>
      </w:pPr>
      <w:r w:rsidRPr="00460F5E">
        <w:rPr>
          <w:rFonts w:cs="Times New Roman"/>
          <w:b/>
          <w:bCs/>
          <w:sz w:val="24"/>
          <w:szCs w:val="24"/>
        </w:rPr>
        <w:t>Gap de financement : 3,500,000 MILDA pour la campagne de masse de 2019</w:t>
      </w:r>
    </w:p>
    <w:p w:rsidR="00EF1989" w:rsidRPr="00460F5E" w:rsidRDefault="00EF1989" w:rsidP="00460F5E">
      <w:pPr>
        <w:rPr>
          <w:rFonts w:cs="Times New Roman"/>
          <w:b/>
          <w:bCs/>
          <w:sz w:val="24"/>
          <w:szCs w:val="24"/>
        </w:rPr>
      </w:pPr>
      <w:r w:rsidRPr="00460F5E">
        <w:rPr>
          <w:rFonts w:cs="Times New Roman"/>
          <w:b/>
          <w:bCs/>
          <w:sz w:val="24"/>
          <w:szCs w:val="24"/>
        </w:rPr>
        <w:t xml:space="preserve">Difficultés institutionnelles et opérationnelles rencontrées : </w:t>
      </w:r>
    </w:p>
    <w:p w:rsidR="00EF1989" w:rsidRPr="00460F5E" w:rsidRDefault="00EF1989" w:rsidP="00460F5E">
      <w:pPr>
        <w:spacing w:after="120"/>
        <w:rPr>
          <w:rFonts w:cs="Times New Roman"/>
          <w:b/>
          <w:bCs/>
          <w:sz w:val="24"/>
          <w:szCs w:val="24"/>
        </w:rPr>
      </w:pPr>
      <w:r w:rsidRPr="00460F5E">
        <w:rPr>
          <w:rFonts w:cs="Times New Roman"/>
          <w:b/>
          <w:bCs/>
          <w:sz w:val="24"/>
          <w:szCs w:val="24"/>
        </w:rPr>
        <w:t>Perspectives :</w:t>
      </w:r>
    </w:p>
    <w:p w:rsidR="00EF1989" w:rsidRPr="00460F5E" w:rsidRDefault="00EF1989" w:rsidP="00460F5E">
      <w:pPr>
        <w:jc w:val="both"/>
        <w:rPr>
          <w:rFonts w:cs="Times New Roman"/>
          <w:bCs/>
          <w:sz w:val="24"/>
          <w:szCs w:val="24"/>
        </w:rPr>
      </w:pPr>
      <w:r w:rsidRPr="00460F5E">
        <w:rPr>
          <w:rFonts w:cs="Times New Roman"/>
          <w:bCs/>
          <w:sz w:val="24"/>
          <w:szCs w:val="24"/>
        </w:rPr>
        <w:t>Formuler des recommandations pour :</w:t>
      </w:r>
    </w:p>
    <w:p w:rsidR="00EF1989" w:rsidRPr="00460F5E" w:rsidRDefault="00EF1989" w:rsidP="00460F5E">
      <w:pPr>
        <w:pStyle w:val="Paragraphedeliste"/>
        <w:numPr>
          <w:ilvl w:val="0"/>
          <w:numId w:val="86"/>
        </w:numPr>
        <w:spacing w:after="200"/>
        <w:jc w:val="both"/>
        <w:rPr>
          <w:rFonts w:cs="Times New Roman"/>
          <w:bCs/>
          <w:sz w:val="24"/>
          <w:szCs w:val="24"/>
        </w:rPr>
      </w:pPr>
      <w:r w:rsidRPr="00460F5E">
        <w:rPr>
          <w:rFonts w:cs="Times New Roman"/>
          <w:bCs/>
          <w:sz w:val="24"/>
          <w:szCs w:val="24"/>
        </w:rPr>
        <w:t>Nécessité de renforcer la nouvelle direction de l’épidémiologie pour une harmonisation des investissements du Fonds mondial pour les trois maladies</w:t>
      </w:r>
    </w:p>
    <w:p w:rsidR="00EF1989" w:rsidRPr="00460F5E" w:rsidRDefault="00EF1989" w:rsidP="00460F5E">
      <w:pPr>
        <w:pStyle w:val="Paragraphedeliste"/>
        <w:numPr>
          <w:ilvl w:val="0"/>
          <w:numId w:val="86"/>
        </w:numPr>
        <w:spacing w:after="200"/>
        <w:jc w:val="both"/>
        <w:rPr>
          <w:rFonts w:cs="Times New Roman"/>
          <w:bCs/>
          <w:sz w:val="24"/>
          <w:szCs w:val="24"/>
        </w:rPr>
      </w:pPr>
      <w:r w:rsidRPr="00460F5E">
        <w:rPr>
          <w:rFonts w:cs="Times New Roman"/>
          <w:bCs/>
          <w:sz w:val="24"/>
          <w:szCs w:val="24"/>
        </w:rPr>
        <w:t>Nécessité de plaidoyer pour une contribution accrue de la contrepartie gouvernementale a la lutte contre les trois maladies</w:t>
      </w:r>
    </w:p>
    <w:p w:rsidR="00EF1989" w:rsidRPr="00460F5E" w:rsidRDefault="00EF1989" w:rsidP="00460F5E">
      <w:pPr>
        <w:pStyle w:val="Paragraphedeliste"/>
        <w:numPr>
          <w:ilvl w:val="0"/>
          <w:numId w:val="86"/>
        </w:numPr>
        <w:spacing w:after="200"/>
        <w:jc w:val="both"/>
        <w:rPr>
          <w:rFonts w:cs="Times New Roman"/>
          <w:bCs/>
          <w:sz w:val="24"/>
          <w:szCs w:val="24"/>
        </w:rPr>
      </w:pPr>
      <w:r w:rsidRPr="00460F5E">
        <w:rPr>
          <w:rFonts w:cs="Times New Roman"/>
          <w:bCs/>
          <w:sz w:val="24"/>
          <w:szCs w:val="24"/>
        </w:rPr>
        <w:t>Nécessité d’un plan de relève de la part du Ministère de la sante pour la prise en charge des staffs contractuels et ceux recevant les primes au compte des subventions du Fonds mondial</w:t>
      </w:r>
    </w:p>
    <w:p w:rsidR="00EF1989" w:rsidRPr="00460F5E" w:rsidRDefault="00EF1989" w:rsidP="00460F5E">
      <w:pPr>
        <w:pStyle w:val="Paragraphedeliste"/>
        <w:numPr>
          <w:ilvl w:val="0"/>
          <w:numId w:val="86"/>
        </w:numPr>
        <w:spacing w:after="200"/>
        <w:jc w:val="both"/>
        <w:rPr>
          <w:rFonts w:cs="Times New Roman"/>
          <w:bCs/>
          <w:sz w:val="24"/>
          <w:szCs w:val="24"/>
        </w:rPr>
      </w:pPr>
      <w:r w:rsidRPr="00460F5E">
        <w:rPr>
          <w:rFonts w:cs="Times New Roman"/>
          <w:bCs/>
          <w:sz w:val="24"/>
          <w:szCs w:val="24"/>
        </w:rPr>
        <w:t>Nécessité d’une clarté sur le statut juridique de la PCG</w:t>
      </w:r>
    </w:p>
    <w:p w:rsidR="00EF1989" w:rsidRPr="00460F5E" w:rsidRDefault="00EF1989" w:rsidP="00460F5E">
      <w:pPr>
        <w:pStyle w:val="Paragraphedeliste"/>
        <w:numPr>
          <w:ilvl w:val="0"/>
          <w:numId w:val="86"/>
        </w:numPr>
        <w:spacing w:after="200"/>
        <w:jc w:val="both"/>
        <w:rPr>
          <w:rFonts w:cs="Times New Roman"/>
          <w:bCs/>
          <w:sz w:val="24"/>
          <w:szCs w:val="24"/>
        </w:rPr>
      </w:pPr>
      <w:r w:rsidRPr="00460F5E">
        <w:rPr>
          <w:rFonts w:cs="Times New Roman"/>
          <w:bCs/>
          <w:sz w:val="24"/>
          <w:szCs w:val="24"/>
        </w:rPr>
        <w:t>Nécessité d’une feuille de route pour la mise en œuvre de la stratégie santé communautaire.</w:t>
      </w:r>
    </w:p>
    <w:p w:rsidR="00EF1989" w:rsidRPr="00460F5E" w:rsidRDefault="00EF1989" w:rsidP="00460F5E">
      <w:r w:rsidRPr="00460F5E">
        <w:rPr>
          <w:b/>
          <w:sz w:val="24"/>
        </w:rPr>
        <w:t>NB :</w:t>
      </w:r>
      <w:r w:rsidRPr="00460F5E">
        <w:t xml:space="preserve"> </w:t>
      </w:r>
      <w:r w:rsidRPr="00460F5E">
        <w:rPr>
          <w:rFonts w:cs="Times New Roman"/>
          <w:bCs/>
          <w:sz w:val="24"/>
          <w:szCs w:val="24"/>
        </w:rPr>
        <w:t>Les aspects concernant l’objectif 4 et le résultat attendu 4 seront traités dans les travaux de groupe</w:t>
      </w:r>
      <w:r w:rsidRPr="00460F5E">
        <w:t>.</w:t>
      </w:r>
    </w:p>
    <w:p w:rsidR="008855BD" w:rsidRPr="00460F5E" w:rsidRDefault="008855BD" w:rsidP="00460F5E">
      <w:pPr>
        <w:rPr>
          <w:i/>
          <w:sz w:val="18"/>
          <w:szCs w:val="18"/>
        </w:rPr>
      </w:pPr>
      <w:r w:rsidRPr="00460F5E">
        <w:rPr>
          <w:i/>
          <w:sz w:val="18"/>
          <w:szCs w:val="18"/>
        </w:rPr>
        <w:t>Source : CRS - présentation des partenaires techniques et financiers à la retraite du ministère de la sante, (21-23 mars 2018)</w:t>
      </w:r>
    </w:p>
    <w:p w:rsidR="00F872C9" w:rsidRPr="00460F5E" w:rsidRDefault="00F872C9" w:rsidP="00460F5E"/>
    <w:p w:rsidR="00FC0352" w:rsidRPr="00460F5E" w:rsidRDefault="00FC0352" w:rsidP="00460F5E"/>
    <w:p w:rsidR="00012EAE" w:rsidRPr="00460F5E" w:rsidRDefault="00012EAE" w:rsidP="00460F5E">
      <w:pPr>
        <w:spacing w:after="200"/>
        <w:rPr>
          <w:rFonts w:asciiTheme="majorHAnsi" w:eastAsiaTheme="majorEastAsia" w:hAnsiTheme="majorHAnsi" w:cstheme="majorBidi"/>
          <w:b/>
          <w:bCs/>
          <w:color w:val="4F81BD" w:themeColor="accent1"/>
          <w:sz w:val="26"/>
          <w:szCs w:val="26"/>
        </w:rPr>
      </w:pPr>
      <w:bookmarkStart w:id="97" w:name="_Toc513041153"/>
      <w:bookmarkStart w:id="98" w:name="_Toc513044562"/>
      <w:r w:rsidRPr="00460F5E">
        <w:br w:type="page"/>
      </w:r>
    </w:p>
    <w:p w:rsidR="00FC0352" w:rsidRPr="00460F5E" w:rsidRDefault="009A43DD" w:rsidP="00460F5E">
      <w:pPr>
        <w:pStyle w:val="Titre2"/>
      </w:pPr>
      <w:bookmarkStart w:id="99" w:name="_Toc514049522"/>
      <w:r w:rsidRPr="00460F5E">
        <w:lastRenderedPageBreak/>
        <w:t>6.4 Proposition Paludisme (CRS)</w:t>
      </w:r>
      <w:bookmarkEnd w:id="97"/>
      <w:bookmarkEnd w:id="98"/>
      <w:bookmarkEnd w:id="99"/>
    </w:p>
    <w:p w:rsidR="00FC0352" w:rsidRPr="00460F5E" w:rsidRDefault="00FC0352" w:rsidP="00460F5E">
      <w:pPr>
        <w:spacing w:after="0"/>
        <w:rPr>
          <w:rFonts w:cs="Tahoma"/>
        </w:rPr>
      </w:pPr>
    </w:p>
    <w:p w:rsidR="00FC0352" w:rsidRPr="00460F5E" w:rsidRDefault="00FC0352" w:rsidP="00460F5E">
      <w:pPr>
        <w:pStyle w:val="Default"/>
        <w:rPr>
          <w:rFonts w:ascii="Rockwell" w:hAnsi="Rockwell" w:cs="Tahoma"/>
        </w:rPr>
      </w:pPr>
    </w:p>
    <w:p w:rsidR="00FC0352" w:rsidRPr="00460F5E" w:rsidRDefault="00FC0352" w:rsidP="00460F5E">
      <w:pPr>
        <w:pStyle w:val="Default"/>
        <w:rPr>
          <w:rFonts w:ascii="Rockwell" w:hAnsi="Rockwell" w:cs="Tahoma"/>
          <w:sz w:val="22"/>
          <w:szCs w:val="22"/>
        </w:rPr>
      </w:pPr>
      <w:r w:rsidRPr="00460F5E">
        <w:rPr>
          <w:rFonts w:ascii="Rockwell" w:hAnsi="Rockwell" w:cs="Tahoma"/>
          <w:b/>
          <w:bCs/>
          <w:sz w:val="22"/>
          <w:szCs w:val="22"/>
        </w:rPr>
        <w:t xml:space="preserve">A. PROGRAM DESCRIPTION </w:t>
      </w:r>
    </w:p>
    <w:p w:rsidR="00FC0352" w:rsidRPr="00460F5E" w:rsidRDefault="00693A19" w:rsidP="00460F5E">
      <w:pPr>
        <w:pStyle w:val="Titre3"/>
        <w:rPr>
          <w:lang w:val="en-US"/>
        </w:rPr>
      </w:pPr>
      <w:bookmarkStart w:id="100" w:name="_Toc513041154"/>
      <w:r w:rsidRPr="00460F5E">
        <w:rPr>
          <w:lang w:val="en-US"/>
        </w:rPr>
        <w:t xml:space="preserve">6.4.1 </w:t>
      </w:r>
      <w:r w:rsidR="00FC0352" w:rsidRPr="00460F5E">
        <w:rPr>
          <w:lang w:val="en-US"/>
        </w:rPr>
        <w:t>Background and Rationale for the Program</w:t>
      </w:r>
      <w:bookmarkEnd w:id="100"/>
      <w:r w:rsidR="00FC0352" w:rsidRPr="00460F5E">
        <w:rPr>
          <w:lang w:val="en-US"/>
        </w:rPr>
        <w:t xml:space="preserve"> </w:t>
      </w:r>
    </w:p>
    <w:p w:rsidR="00FC0352" w:rsidRPr="00460F5E" w:rsidRDefault="00FC0352" w:rsidP="00460F5E">
      <w:pPr>
        <w:pStyle w:val="Default"/>
        <w:rPr>
          <w:rFonts w:ascii="Rockwell" w:hAnsi="Rockwell" w:cs="Tahoma"/>
          <w:sz w:val="22"/>
          <w:szCs w:val="22"/>
          <w:lang w:val="en-US"/>
        </w:rPr>
      </w:pPr>
      <w:r w:rsidRPr="00460F5E">
        <w:rPr>
          <w:rFonts w:ascii="Rockwell" w:hAnsi="Rockwell" w:cs="Tahoma"/>
          <w:sz w:val="22"/>
          <w:szCs w:val="22"/>
          <w:lang w:val="en-US"/>
        </w:rPr>
        <w:t xml:space="preserve">In Guinea, malaria is an endemically stable disease with long seasonal outbreaks lasting six to eight months and Guinea’s entire population (12,093,349 in 2016) is exposed. In terms of levels of endemicity, there are four main areas: </w:t>
      </w:r>
    </w:p>
    <w:p w:rsidR="00FC0352" w:rsidRPr="00460F5E" w:rsidRDefault="00FC0352" w:rsidP="00460F5E">
      <w:pPr>
        <w:pStyle w:val="Default"/>
        <w:numPr>
          <w:ilvl w:val="0"/>
          <w:numId w:val="102"/>
        </w:numPr>
        <w:rPr>
          <w:rFonts w:ascii="Rockwell" w:hAnsi="Rockwell" w:cs="Tahoma"/>
          <w:sz w:val="22"/>
          <w:szCs w:val="22"/>
          <w:lang w:val="en-US"/>
        </w:rPr>
      </w:pPr>
      <w:r w:rsidRPr="00460F5E">
        <w:rPr>
          <w:rFonts w:ascii="Rockwell" w:hAnsi="Rockwell" w:cs="Tahoma"/>
          <w:sz w:val="22"/>
          <w:szCs w:val="22"/>
          <w:lang w:val="en-US"/>
        </w:rPr>
        <w:t xml:space="preserve">A hypoendemic area located in Lower Guinea, comprised of two regions on the Atlantic coast (the cities of Conakry and Kamsar). The predominant vector is Anophèles melas. </w:t>
      </w:r>
    </w:p>
    <w:p w:rsidR="00FC0352" w:rsidRPr="00460F5E" w:rsidRDefault="00FC0352" w:rsidP="00460F5E">
      <w:pPr>
        <w:pStyle w:val="Default"/>
        <w:numPr>
          <w:ilvl w:val="0"/>
          <w:numId w:val="102"/>
        </w:numPr>
        <w:rPr>
          <w:rFonts w:ascii="Rockwell" w:hAnsi="Rockwell" w:cs="Tahoma"/>
          <w:sz w:val="22"/>
          <w:szCs w:val="22"/>
          <w:lang w:val="en-US"/>
        </w:rPr>
      </w:pPr>
      <w:r w:rsidRPr="00460F5E">
        <w:rPr>
          <w:rFonts w:ascii="Rockwell" w:hAnsi="Rockwell" w:cs="Tahoma"/>
          <w:sz w:val="22"/>
          <w:szCs w:val="22"/>
          <w:lang w:val="en-US"/>
        </w:rPr>
        <w:t xml:space="preserve">A mesoendemic area, which concerns the northern border with Senegal, Mali and Guinea Bissau where rainfall is low and the major vector is A. funestus, and the Atlantic coast where rainfall is high and A. melas dominates. </w:t>
      </w:r>
    </w:p>
    <w:p w:rsidR="00FC0352" w:rsidRPr="00460F5E" w:rsidRDefault="00FC0352" w:rsidP="00460F5E">
      <w:pPr>
        <w:pStyle w:val="Default"/>
        <w:numPr>
          <w:ilvl w:val="0"/>
          <w:numId w:val="102"/>
        </w:numPr>
        <w:rPr>
          <w:rFonts w:ascii="Rockwell" w:hAnsi="Rockwell" w:cs="Tahoma"/>
          <w:sz w:val="22"/>
          <w:szCs w:val="22"/>
          <w:lang w:val="en-US"/>
        </w:rPr>
      </w:pPr>
      <w:r w:rsidRPr="00460F5E">
        <w:rPr>
          <w:rFonts w:ascii="Rockwell" w:hAnsi="Rockwell" w:cs="Tahoma"/>
          <w:sz w:val="22"/>
          <w:szCs w:val="22"/>
          <w:lang w:val="en-US"/>
        </w:rPr>
        <w:t xml:space="preserve">A hyperendemic area, with high rainfall (six to ten months of rain from March to December) extending from south-east Lower Guinea to the Guinean tropical rainforest (border with Liberia and Côte d’Ivoire). The dominant vector is A. gambiae ss. </w:t>
      </w:r>
    </w:p>
    <w:p w:rsidR="00FC0352" w:rsidRPr="00460F5E" w:rsidRDefault="00FC0352" w:rsidP="00460F5E">
      <w:pPr>
        <w:pStyle w:val="Default"/>
        <w:numPr>
          <w:ilvl w:val="0"/>
          <w:numId w:val="102"/>
        </w:numPr>
        <w:rPr>
          <w:rFonts w:ascii="Rockwell" w:hAnsi="Rockwell" w:cs="Tahoma"/>
          <w:sz w:val="22"/>
          <w:szCs w:val="22"/>
          <w:lang w:val="en-US"/>
        </w:rPr>
      </w:pPr>
      <w:r w:rsidRPr="00460F5E">
        <w:rPr>
          <w:rFonts w:ascii="Rockwell" w:hAnsi="Rockwell" w:cs="Tahoma"/>
          <w:sz w:val="22"/>
          <w:szCs w:val="22"/>
          <w:lang w:val="en-US"/>
        </w:rPr>
        <w:t xml:space="preserve">A holoendemic area located in Upper Guinea, a heavily irrigated area made up of savannah and open country, with average rainfall. The dominant vectors are A. funestus and A. arabiensis. </w:t>
      </w:r>
    </w:p>
    <w:p w:rsidR="00FC0352" w:rsidRPr="00460F5E" w:rsidRDefault="00FC0352" w:rsidP="00460F5E">
      <w:pPr>
        <w:pStyle w:val="Default"/>
        <w:rPr>
          <w:rFonts w:ascii="Rockwell" w:hAnsi="Rockwell" w:cs="Tahoma"/>
          <w:sz w:val="22"/>
          <w:szCs w:val="22"/>
          <w:lang w:val="en-US"/>
        </w:rPr>
      </w:pPr>
      <w:r w:rsidRPr="00460F5E">
        <w:rPr>
          <w:rFonts w:ascii="Rockwell" w:hAnsi="Rockwell" w:cs="Tahoma"/>
          <w:sz w:val="22"/>
          <w:szCs w:val="22"/>
          <w:lang w:val="en-US"/>
        </w:rPr>
        <w:t xml:space="preserve">Malaria is number one reason for seeking consultation and main cause of death in many health districts. The lifetime risk of maternal death is one of the worst in the world, 679/100.000 live birth and the infant mortality 61/1000 live birth (source: World Bank 2015). The current epidemiological context and progress toward targets confirms the relevance of the program continuation submitted by the CCM. Guinea remains in the malaria control phase and malaria is still endemic throughout the entire country. </w:t>
      </w:r>
    </w:p>
    <w:p w:rsidR="00FC0352" w:rsidRPr="00460F5E" w:rsidRDefault="00FC0352" w:rsidP="00460F5E">
      <w:pPr>
        <w:pStyle w:val="Default"/>
        <w:rPr>
          <w:rFonts w:ascii="Rockwell" w:hAnsi="Rockwell" w:cs="Tahoma"/>
          <w:sz w:val="22"/>
          <w:szCs w:val="22"/>
          <w:lang w:val="en-US"/>
        </w:rPr>
      </w:pPr>
    </w:p>
    <w:p w:rsidR="00FC0352" w:rsidRPr="00460F5E" w:rsidRDefault="00FC0352" w:rsidP="00460F5E">
      <w:pPr>
        <w:pStyle w:val="Default"/>
        <w:rPr>
          <w:rFonts w:ascii="Rockwell" w:hAnsi="Rockwell" w:cs="Tahoma"/>
          <w:sz w:val="22"/>
          <w:szCs w:val="22"/>
          <w:lang w:val="en-US"/>
        </w:rPr>
      </w:pPr>
      <w:r w:rsidRPr="00460F5E">
        <w:rPr>
          <w:rFonts w:ascii="Rockwell" w:hAnsi="Rockwell" w:cs="Tahoma"/>
          <w:sz w:val="22"/>
          <w:szCs w:val="22"/>
          <w:lang w:val="en-US"/>
        </w:rPr>
        <w:t xml:space="preserve">According to the preliminary results of household survey (source: Multiple Indicator Cluster Survey MICS-malaria 2016), malaria prevalence has decreased by 65%, from 44% in 2012 to 15% in 2016, though important regional variations persist (see program continuation request). Such progress was possible due to successful implementation of the National Strategic Plan (NSP) 2013-2017. </w:t>
      </w:r>
    </w:p>
    <w:p w:rsidR="00FC0352" w:rsidRPr="00460F5E" w:rsidRDefault="00FC0352" w:rsidP="00460F5E">
      <w:pPr>
        <w:rPr>
          <w:lang w:val="en-US"/>
        </w:rPr>
      </w:pPr>
      <w:r w:rsidRPr="00460F5E">
        <w:rPr>
          <w:lang w:val="en-US"/>
        </w:rPr>
        <w:t xml:space="preserve">National coverage survey of malaria control interventions (source: Enquête Nationale de Couverture des interventions de lutte contre le paludisme en Guinée ENACIP 2015) showed that at 71% of households, have at least one long lasting insecticidal net (LLIN) – an increase from 53% in 2012 and use of LLINs in the previous night was reported in almost half of all households (47%). </w:t>
      </w:r>
    </w:p>
    <w:p w:rsidR="00FC0352" w:rsidRPr="00460F5E" w:rsidRDefault="00FC0352" w:rsidP="00460F5E">
      <w:pPr>
        <w:pStyle w:val="Default"/>
        <w:rPr>
          <w:rFonts w:ascii="Rockwell" w:hAnsi="Rockwell" w:cs="Tahoma"/>
          <w:color w:val="auto"/>
          <w:sz w:val="22"/>
          <w:szCs w:val="22"/>
          <w:lang w:val="en-US"/>
        </w:rPr>
      </w:pPr>
      <w:r w:rsidRPr="00460F5E">
        <w:rPr>
          <w:rFonts w:ascii="Rockwell" w:hAnsi="Rockwell" w:cs="Tahoma"/>
          <w:color w:val="auto"/>
          <w:sz w:val="22"/>
          <w:szCs w:val="22"/>
          <w:lang w:val="en-US"/>
        </w:rPr>
        <w:t xml:space="preserve">Guinea remains in the malaria control phase and malaria is still endemic throughout the entire country. </w:t>
      </w:r>
    </w:p>
    <w:p w:rsidR="00FC0352" w:rsidRPr="00460F5E" w:rsidRDefault="00FC0352" w:rsidP="00460F5E">
      <w:pPr>
        <w:pStyle w:val="Default"/>
        <w:rPr>
          <w:rFonts w:ascii="Rockwell" w:hAnsi="Rockwell" w:cs="Tahoma"/>
          <w:color w:val="auto"/>
          <w:sz w:val="22"/>
          <w:szCs w:val="22"/>
          <w:lang w:val="en-US"/>
        </w:rPr>
      </w:pPr>
      <w:r w:rsidRPr="00460F5E">
        <w:rPr>
          <w:rFonts w:ascii="Rockwell" w:hAnsi="Rockwell" w:cs="Tahoma"/>
          <w:color w:val="auto"/>
          <w:sz w:val="22"/>
          <w:szCs w:val="22"/>
          <w:lang w:val="en-US"/>
        </w:rPr>
        <w:t xml:space="preserve">The program proposes to maintain focus on key prevention and treatment activities, currently implemented in Guinea: mainly LLIN mass campaigns as well as routine LLIN distribution; Intermittent preventive treatment (IPT) for pregnant women; facility- and community-based case management and seasonal Malaria Chemoprophylaxis. </w:t>
      </w:r>
    </w:p>
    <w:p w:rsidR="00FC0352" w:rsidRPr="00460F5E" w:rsidRDefault="00FC0352" w:rsidP="00460F5E">
      <w:pPr>
        <w:pStyle w:val="Default"/>
        <w:rPr>
          <w:rFonts w:ascii="Rockwell" w:hAnsi="Rockwell" w:cs="Tahoma"/>
          <w:b/>
          <w:bCs/>
          <w:color w:val="auto"/>
          <w:sz w:val="22"/>
          <w:szCs w:val="22"/>
          <w:lang w:val="en-US"/>
        </w:rPr>
      </w:pPr>
    </w:p>
    <w:p w:rsidR="00012EAE" w:rsidRPr="00460F5E" w:rsidRDefault="00012EAE" w:rsidP="00460F5E">
      <w:pPr>
        <w:rPr>
          <w:lang w:val="en-US"/>
        </w:rPr>
      </w:pPr>
      <w:bookmarkStart w:id="101" w:name="_Toc513041155"/>
    </w:p>
    <w:p w:rsidR="00012EAE" w:rsidRPr="00460F5E" w:rsidRDefault="00012EAE" w:rsidP="00460F5E">
      <w:pPr>
        <w:rPr>
          <w:lang w:val="en-US"/>
        </w:rPr>
      </w:pPr>
    </w:p>
    <w:p w:rsidR="00FC0352" w:rsidRPr="00460F5E" w:rsidRDefault="00693A19" w:rsidP="00460F5E">
      <w:pPr>
        <w:pStyle w:val="Titre3"/>
        <w:rPr>
          <w:lang w:val="en-US"/>
        </w:rPr>
      </w:pPr>
      <w:r w:rsidRPr="00460F5E">
        <w:rPr>
          <w:lang w:val="en-US"/>
        </w:rPr>
        <w:lastRenderedPageBreak/>
        <w:t xml:space="preserve">6.4.2 </w:t>
      </w:r>
      <w:r w:rsidR="00FC0352" w:rsidRPr="00460F5E">
        <w:rPr>
          <w:lang w:val="en-US"/>
        </w:rPr>
        <w:t>Goals, Strategies and Activities</w:t>
      </w:r>
      <w:bookmarkEnd w:id="101"/>
      <w:r w:rsidR="00FC0352" w:rsidRPr="00460F5E">
        <w:rPr>
          <w:lang w:val="en-US"/>
        </w:rPr>
        <w:t xml:space="preserve"> </w:t>
      </w:r>
    </w:p>
    <w:p w:rsidR="00FC0352" w:rsidRPr="00460F5E" w:rsidRDefault="00FC0352" w:rsidP="00460F5E">
      <w:pPr>
        <w:pStyle w:val="Default"/>
        <w:rPr>
          <w:rFonts w:ascii="Rockwell" w:hAnsi="Rockwell" w:cs="Tahoma"/>
          <w:color w:val="auto"/>
          <w:sz w:val="22"/>
          <w:szCs w:val="22"/>
          <w:lang w:val="en-US"/>
        </w:rPr>
      </w:pPr>
      <w:r w:rsidRPr="00460F5E">
        <w:rPr>
          <w:rFonts w:ascii="Rockwell" w:hAnsi="Rockwell" w:cs="Tahoma"/>
          <w:b/>
          <w:bCs/>
          <w:color w:val="auto"/>
          <w:sz w:val="22"/>
          <w:szCs w:val="22"/>
          <w:lang w:val="en-US"/>
        </w:rPr>
        <w:t xml:space="preserve">Goal: </w:t>
      </w:r>
    </w:p>
    <w:p w:rsidR="00FC0352" w:rsidRPr="00460F5E" w:rsidRDefault="00FC0352" w:rsidP="00460F5E">
      <w:pPr>
        <w:pStyle w:val="Default"/>
        <w:numPr>
          <w:ilvl w:val="0"/>
          <w:numId w:val="101"/>
        </w:numPr>
        <w:rPr>
          <w:rFonts w:ascii="Rockwell" w:hAnsi="Rockwell" w:cs="Tahoma"/>
          <w:color w:val="auto"/>
          <w:sz w:val="22"/>
          <w:szCs w:val="22"/>
          <w:lang w:val="en-US"/>
        </w:rPr>
      </w:pPr>
      <w:r w:rsidRPr="00460F5E">
        <w:rPr>
          <w:rFonts w:ascii="Rockwell" w:hAnsi="Rockwell" w:cs="Tahoma"/>
          <w:color w:val="auto"/>
          <w:sz w:val="22"/>
          <w:szCs w:val="22"/>
          <w:lang w:val="en-US"/>
        </w:rPr>
        <w:t xml:space="preserve">By the end of 2022, lead the country towards pre-elimination by reducing malaria-related morbidity and mortality by 50% compared to 2016. </w:t>
      </w:r>
    </w:p>
    <w:p w:rsidR="00FC0352" w:rsidRPr="00460F5E" w:rsidRDefault="00FC0352" w:rsidP="00460F5E">
      <w:pPr>
        <w:pStyle w:val="Default"/>
        <w:rPr>
          <w:rFonts w:ascii="Rockwell" w:hAnsi="Rockwell" w:cs="Tahoma"/>
          <w:color w:val="auto"/>
          <w:sz w:val="22"/>
          <w:szCs w:val="22"/>
          <w:lang w:val="en-US"/>
        </w:rPr>
      </w:pPr>
      <w:r w:rsidRPr="00460F5E">
        <w:rPr>
          <w:rFonts w:ascii="Rockwell" w:hAnsi="Rockwell" w:cs="Tahoma"/>
          <w:b/>
          <w:bCs/>
          <w:color w:val="auto"/>
          <w:sz w:val="22"/>
          <w:szCs w:val="22"/>
          <w:lang w:val="en-US"/>
        </w:rPr>
        <w:t xml:space="preserve">Strategies: </w:t>
      </w:r>
    </w:p>
    <w:p w:rsidR="00FC0352" w:rsidRPr="00460F5E" w:rsidRDefault="00FC0352" w:rsidP="00460F5E">
      <w:pPr>
        <w:pStyle w:val="Default"/>
        <w:numPr>
          <w:ilvl w:val="0"/>
          <w:numId w:val="101"/>
        </w:numPr>
        <w:rPr>
          <w:rFonts w:ascii="Rockwell" w:hAnsi="Rockwell" w:cs="Tahoma"/>
          <w:color w:val="auto"/>
          <w:sz w:val="22"/>
          <w:szCs w:val="22"/>
          <w:lang w:val="en-US"/>
        </w:rPr>
      </w:pPr>
      <w:r w:rsidRPr="00460F5E">
        <w:rPr>
          <w:rFonts w:ascii="Rockwell" w:hAnsi="Rockwell" w:cs="Tahoma"/>
          <w:color w:val="auto"/>
          <w:sz w:val="22"/>
          <w:szCs w:val="22"/>
          <w:lang w:val="en-US"/>
        </w:rPr>
        <w:t xml:space="preserve">Ensure the protection of at least 90% of the population with effective prevention measures against malaria. </w:t>
      </w:r>
    </w:p>
    <w:p w:rsidR="00FC0352" w:rsidRPr="00460F5E" w:rsidRDefault="00FC0352" w:rsidP="00460F5E">
      <w:pPr>
        <w:pStyle w:val="Default"/>
        <w:numPr>
          <w:ilvl w:val="0"/>
          <w:numId w:val="101"/>
        </w:numPr>
        <w:rPr>
          <w:rFonts w:ascii="Rockwell" w:hAnsi="Rockwell" w:cs="Tahoma"/>
          <w:color w:val="auto"/>
          <w:sz w:val="22"/>
          <w:szCs w:val="22"/>
          <w:lang w:val="en-US"/>
        </w:rPr>
      </w:pPr>
      <w:r w:rsidRPr="00460F5E">
        <w:rPr>
          <w:rFonts w:ascii="Rockwell" w:hAnsi="Rockwell" w:cs="Tahoma"/>
          <w:color w:val="auto"/>
          <w:sz w:val="22"/>
          <w:szCs w:val="22"/>
          <w:lang w:val="en-US"/>
        </w:rPr>
        <w:t xml:space="preserve">Ensure correct and early management of at least 90% of malaria cases • Strengthen the population's level of knowledge on malaria prevention and treatment measures. </w:t>
      </w:r>
    </w:p>
    <w:p w:rsidR="00FC0352" w:rsidRPr="00460F5E" w:rsidRDefault="00FC0352" w:rsidP="00460F5E">
      <w:pPr>
        <w:pStyle w:val="Default"/>
        <w:numPr>
          <w:ilvl w:val="0"/>
          <w:numId w:val="101"/>
        </w:numPr>
        <w:rPr>
          <w:rFonts w:ascii="Rockwell" w:hAnsi="Rockwell" w:cs="Tahoma"/>
          <w:color w:val="auto"/>
          <w:sz w:val="22"/>
          <w:szCs w:val="22"/>
          <w:lang w:val="en-US"/>
        </w:rPr>
      </w:pPr>
      <w:r w:rsidRPr="00460F5E">
        <w:rPr>
          <w:rFonts w:ascii="Rockwell" w:hAnsi="Rockwell" w:cs="Tahoma"/>
          <w:color w:val="auto"/>
          <w:sz w:val="22"/>
          <w:szCs w:val="22"/>
          <w:lang w:val="en-US"/>
        </w:rPr>
        <w:t xml:space="preserve">Strengthen the program's management, partnership and coordination capacities on all levels. </w:t>
      </w:r>
    </w:p>
    <w:p w:rsidR="00FC0352" w:rsidRPr="00460F5E" w:rsidRDefault="00FC0352" w:rsidP="00460F5E">
      <w:pPr>
        <w:pStyle w:val="Default"/>
        <w:numPr>
          <w:ilvl w:val="0"/>
          <w:numId w:val="101"/>
        </w:numPr>
        <w:rPr>
          <w:rFonts w:ascii="Rockwell" w:hAnsi="Rockwell" w:cs="Tahoma"/>
          <w:color w:val="auto"/>
          <w:sz w:val="22"/>
          <w:szCs w:val="22"/>
          <w:lang w:val="en-US"/>
        </w:rPr>
      </w:pPr>
      <w:r w:rsidRPr="00460F5E">
        <w:rPr>
          <w:rFonts w:ascii="Rockwell" w:hAnsi="Rockwell" w:cs="Tahoma"/>
          <w:color w:val="auto"/>
          <w:sz w:val="22"/>
          <w:szCs w:val="22"/>
          <w:lang w:val="en-US"/>
        </w:rPr>
        <w:t xml:space="preserve">Strengthen the Supply Chain Management and the Health Management Information Systems of the country (HSS interventions) </w:t>
      </w:r>
    </w:p>
    <w:p w:rsidR="00FC0352" w:rsidRPr="00460F5E" w:rsidRDefault="00FC0352" w:rsidP="00460F5E">
      <w:pPr>
        <w:pStyle w:val="Default"/>
        <w:rPr>
          <w:rFonts w:ascii="Rockwell" w:hAnsi="Rockwell" w:cs="Tahoma"/>
          <w:color w:val="auto"/>
          <w:sz w:val="22"/>
          <w:szCs w:val="22"/>
          <w:lang w:val="en-US"/>
        </w:rPr>
      </w:pPr>
    </w:p>
    <w:p w:rsidR="00FC0352" w:rsidRPr="00460F5E" w:rsidRDefault="00693A19" w:rsidP="00460F5E">
      <w:pPr>
        <w:pStyle w:val="Titre3"/>
        <w:rPr>
          <w:lang w:val="en-US"/>
        </w:rPr>
      </w:pPr>
      <w:bookmarkStart w:id="102" w:name="_Toc513041156"/>
      <w:r w:rsidRPr="00460F5E">
        <w:rPr>
          <w:lang w:val="en-US"/>
        </w:rPr>
        <w:t>6.4.3 Activities</w:t>
      </w:r>
      <w:bookmarkEnd w:id="102"/>
    </w:p>
    <w:p w:rsidR="00FC0352" w:rsidRPr="00460F5E" w:rsidRDefault="00FC0352" w:rsidP="00460F5E">
      <w:pPr>
        <w:pStyle w:val="Default"/>
        <w:numPr>
          <w:ilvl w:val="0"/>
          <w:numId w:val="100"/>
        </w:numPr>
        <w:rPr>
          <w:rFonts w:ascii="Rockwell" w:hAnsi="Rockwell" w:cs="Tahoma"/>
          <w:color w:val="auto"/>
          <w:sz w:val="22"/>
          <w:szCs w:val="22"/>
          <w:lang w:val="en-US"/>
        </w:rPr>
      </w:pPr>
      <w:r w:rsidRPr="00460F5E">
        <w:rPr>
          <w:rFonts w:ascii="Rockwell" w:hAnsi="Rockwell" w:cs="Tahoma"/>
          <w:color w:val="auto"/>
          <w:sz w:val="22"/>
          <w:szCs w:val="22"/>
          <w:lang w:val="en-US"/>
        </w:rPr>
        <w:t xml:space="preserve">Achieve universal coverage with LLINs through the organization of a national mass campaign in 2019 and scaling-up of the continuous distribution of net (including schools and community and private sectors in order to maximize the renewal of the LLINs. Specific approaches will be developed to work with the community). </w:t>
      </w:r>
    </w:p>
    <w:p w:rsidR="00FC0352" w:rsidRPr="00460F5E" w:rsidRDefault="00FC0352" w:rsidP="00460F5E">
      <w:pPr>
        <w:pStyle w:val="Default"/>
        <w:numPr>
          <w:ilvl w:val="0"/>
          <w:numId w:val="100"/>
        </w:numPr>
        <w:rPr>
          <w:rFonts w:ascii="Rockwell" w:hAnsi="Rockwell" w:cs="Tahoma"/>
          <w:color w:val="auto"/>
          <w:sz w:val="22"/>
          <w:szCs w:val="22"/>
          <w:lang w:val="en-US"/>
        </w:rPr>
      </w:pPr>
      <w:r w:rsidRPr="00460F5E">
        <w:rPr>
          <w:rFonts w:ascii="Rockwell" w:hAnsi="Rockwell" w:cs="Tahoma"/>
          <w:color w:val="auto"/>
          <w:sz w:val="22"/>
          <w:szCs w:val="22"/>
          <w:lang w:val="en-US"/>
        </w:rPr>
        <w:t xml:space="preserve">Strengthen malaria prevention in children and in pregnant through Seasonal Malaria Chemoprophylaxis and Intermittent Preventive Treatment (IPTp) in 10 districts. </w:t>
      </w:r>
    </w:p>
    <w:p w:rsidR="00FC0352" w:rsidRPr="00460F5E" w:rsidRDefault="00FC0352" w:rsidP="00460F5E">
      <w:pPr>
        <w:pStyle w:val="Default"/>
        <w:numPr>
          <w:ilvl w:val="0"/>
          <w:numId w:val="100"/>
        </w:numPr>
        <w:rPr>
          <w:rFonts w:ascii="Rockwell" w:hAnsi="Rockwell" w:cs="Tahoma"/>
          <w:color w:val="auto"/>
          <w:sz w:val="22"/>
          <w:szCs w:val="22"/>
          <w:lang w:val="en-US"/>
        </w:rPr>
      </w:pPr>
      <w:r w:rsidRPr="00460F5E">
        <w:rPr>
          <w:rFonts w:ascii="Rockwell" w:hAnsi="Rockwell" w:cs="Tahoma"/>
          <w:color w:val="auto"/>
          <w:sz w:val="22"/>
          <w:szCs w:val="22"/>
          <w:lang w:val="en-US"/>
        </w:rPr>
        <w:t xml:space="preserve">Strengthen facility and community based management of malaria cases by reinforcing the community health component to cover a larger number of suspected malaria cases </w:t>
      </w:r>
    </w:p>
    <w:p w:rsidR="00FC0352" w:rsidRPr="00460F5E" w:rsidRDefault="00FC0352" w:rsidP="00460F5E">
      <w:pPr>
        <w:pStyle w:val="Default"/>
        <w:numPr>
          <w:ilvl w:val="0"/>
          <w:numId w:val="100"/>
        </w:numPr>
        <w:rPr>
          <w:rFonts w:ascii="Rockwell" w:hAnsi="Rockwell" w:cs="Tahoma"/>
          <w:color w:val="auto"/>
          <w:sz w:val="22"/>
          <w:szCs w:val="22"/>
          <w:lang w:val="en-US"/>
        </w:rPr>
      </w:pPr>
      <w:r w:rsidRPr="00460F5E">
        <w:rPr>
          <w:rFonts w:ascii="Rockwell" w:hAnsi="Rockwell" w:cs="Tahoma"/>
          <w:color w:val="auto"/>
          <w:sz w:val="22"/>
          <w:szCs w:val="22"/>
          <w:lang w:val="en-US"/>
        </w:rPr>
        <w:t xml:space="preserve">Implement behaviour change communication through mass media (radio broadcasts) and community-based IEC/BCC activities expanded to other sectors and ministries, including communication, education and environment. </w:t>
      </w:r>
    </w:p>
    <w:p w:rsidR="00FC0352" w:rsidRPr="00460F5E" w:rsidRDefault="00FC0352" w:rsidP="00460F5E">
      <w:pPr>
        <w:pStyle w:val="Default"/>
        <w:numPr>
          <w:ilvl w:val="0"/>
          <w:numId w:val="100"/>
        </w:numPr>
        <w:rPr>
          <w:rFonts w:ascii="Rockwell" w:hAnsi="Rockwell" w:cs="Tahoma"/>
          <w:color w:val="auto"/>
          <w:sz w:val="22"/>
          <w:szCs w:val="22"/>
          <w:lang w:val="en-US"/>
        </w:rPr>
      </w:pPr>
      <w:r w:rsidRPr="00460F5E">
        <w:rPr>
          <w:rFonts w:ascii="Rockwell" w:hAnsi="Rockwell" w:cs="Tahoma"/>
          <w:color w:val="auto"/>
          <w:sz w:val="22"/>
          <w:szCs w:val="22"/>
          <w:lang w:val="en-US"/>
        </w:rPr>
        <w:t xml:space="preserve">Reinforce program management and coordination, including partnership around the fight against malaria. </w:t>
      </w:r>
    </w:p>
    <w:p w:rsidR="00FC0352" w:rsidRPr="00460F5E" w:rsidRDefault="00FC0352" w:rsidP="00460F5E">
      <w:pPr>
        <w:pStyle w:val="Default"/>
        <w:numPr>
          <w:ilvl w:val="0"/>
          <w:numId w:val="100"/>
        </w:numPr>
        <w:rPr>
          <w:rFonts w:ascii="Rockwell" w:hAnsi="Rockwell" w:cs="Tahoma"/>
          <w:color w:val="auto"/>
          <w:sz w:val="22"/>
          <w:szCs w:val="22"/>
          <w:lang w:val="en-US"/>
        </w:rPr>
      </w:pPr>
      <w:r w:rsidRPr="00460F5E">
        <w:rPr>
          <w:rFonts w:ascii="Rockwell" w:hAnsi="Rockwell" w:cs="Tahoma"/>
          <w:color w:val="auto"/>
          <w:sz w:val="22"/>
          <w:szCs w:val="22"/>
          <w:lang w:val="en-US"/>
        </w:rPr>
        <w:t xml:space="preserve">Strengthening of surveillance, supervision, monitoring and evaluation of the malaria control program, integration of malaria reporting into DHIS2. </w:t>
      </w:r>
    </w:p>
    <w:p w:rsidR="00FC0352" w:rsidRPr="00460F5E" w:rsidRDefault="00FC0352" w:rsidP="00460F5E">
      <w:pPr>
        <w:pStyle w:val="Default"/>
        <w:numPr>
          <w:ilvl w:val="0"/>
          <w:numId w:val="100"/>
        </w:numPr>
        <w:rPr>
          <w:rFonts w:ascii="Rockwell" w:hAnsi="Rockwell" w:cs="Tahoma"/>
          <w:color w:val="auto"/>
          <w:sz w:val="22"/>
          <w:szCs w:val="22"/>
          <w:lang w:val="en-US"/>
        </w:rPr>
      </w:pPr>
      <w:r w:rsidRPr="00460F5E">
        <w:rPr>
          <w:rFonts w:ascii="Rockwell" w:hAnsi="Rockwell" w:cs="Tahoma"/>
          <w:color w:val="auto"/>
          <w:sz w:val="22"/>
          <w:szCs w:val="22"/>
          <w:lang w:val="en-US"/>
        </w:rPr>
        <w:t xml:space="preserve">Improve performance of the national Health Management Information System (SNIS). </w:t>
      </w:r>
    </w:p>
    <w:p w:rsidR="00FC0352" w:rsidRPr="00460F5E" w:rsidRDefault="00FC0352" w:rsidP="00460F5E">
      <w:pPr>
        <w:pStyle w:val="Default"/>
        <w:numPr>
          <w:ilvl w:val="0"/>
          <w:numId w:val="100"/>
        </w:numPr>
        <w:rPr>
          <w:rFonts w:ascii="Rockwell" w:hAnsi="Rockwell" w:cs="Tahoma"/>
          <w:color w:val="auto"/>
          <w:sz w:val="22"/>
          <w:szCs w:val="22"/>
          <w:lang w:val="en-US"/>
        </w:rPr>
      </w:pPr>
      <w:r w:rsidRPr="00460F5E">
        <w:rPr>
          <w:rFonts w:ascii="Rockwell" w:hAnsi="Rockwell" w:cs="Tahoma"/>
          <w:color w:val="auto"/>
          <w:sz w:val="22"/>
          <w:szCs w:val="22"/>
          <w:lang w:val="en-US"/>
        </w:rPr>
        <w:t xml:space="preserve">Reinforce the procurement and supply chain management in terms of storage, distribution and stock management; but also at central level to reinforce integrated logistics for health products. </w:t>
      </w:r>
    </w:p>
    <w:p w:rsidR="00FC0352" w:rsidRPr="00460F5E" w:rsidRDefault="00FC0352" w:rsidP="00460F5E">
      <w:pPr>
        <w:pStyle w:val="Default"/>
        <w:numPr>
          <w:ilvl w:val="0"/>
          <w:numId w:val="100"/>
        </w:numPr>
        <w:rPr>
          <w:rFonts w:ascii="Rockwell" w:hAnsi="Rockwell" w:cs="Tahoma"/>
          <w:color w:val="auto"/>
          <w:sz w:val="22"/>
          <w:szCs w:val="22"/>
          <w:lang w:val="en-US"/>
        </w:rPr>
      </w:pPr>
      <w:r w:rsidRPr="00460F5E">
        <w:rPr>
          <w:rFonts w:ascii="Rockwell" w:hAnsi="Rockwell" w:cs="Tahoma"/>
          <w:color w:val="auto"/>
          <w:sz w:val="22"/>
          <w:szCs w:val="22"/>
          <w:lang w:val="en-US"/>
        </w:rPr>
        <w:t xml:space="preserve">Support to community health strategy (Strengthening community participation in the planning and delivery of health services to the people). </w:t>
      </w:r>
    </w:p>
    <w:p w:rsidR="00FC0352" w:rsidRPr="00460F5E" w:rsidRDefault="00FC0352" w:rsidP="00460F5E">
      <w:pPr>
        <w:pStyle w:val="Default"/>
        <w:numPr>
          <w:ilvl w:val="0"/>
          <w:numId w:val="100"/>
        </w:numPr>
        <w:rPr>
          <w:rFonts w:ascii="Rockwell" w:hAnsi="Rockwell" w:cs="Tahoma"/>
          <w:color w:val="auto"/>
          <w:sz w:val="20"/>
          <w:szCs w:val="20"/>
          <w:lang w:val="en-US"/>
        </w:rPr>
      </w:pPr>
      <w:r w:rsidRPr="00460F5E">
        <w:rPr>
          <w:rFonts w:ascii="Rockwell" w:hAnsi="Rockwell" w:cs="Tahoma"/>
          <w:color w:val="auto"/>
          <w:sz w:val="22"/>
          <w:szCs w:val="22"/>
          <w:lang w:val="en-US"/>
        </w:rPr>
        <w:t xml:space="preserve">Improve storage and distribution system of the Central Pharmacy of Guinea (PCG). </w:t>
      </w:r>
      <w:r w:rsidRPr="00460F5E">
        <w:rPr>
          <w:rFonts w:ascii="Rockwell" w:hAnsi="Rockwell" w:cs="Tahoma"/>
          <w:color w:val="auto"/>
          <w:sz w:val="20"/>
          <w:szCs w:val="20"/>
          <w:lang w:val="en-US"/>
        </w:rPr>
        <w:t xml:space="preserve">3 </w:t>
      </w:r>
    </w:p>
    <w:p w:rsidR="00012EAE" w:rsidRPr="00460F5E" w:rsidRDefault="00012EAE" w:rsidP="00460F5E">
      <w:pPr>
        <w:rPr>
          <w:lang w:val="en-US"/>
        </w:rPr>
      </w:pPr>
      <w:bookmarkStart w:id="103" w:name="_Toc513041157"/>
    </w:p>
    <w:p w:rsidR="00FC0352" w:rsidRPr="00460F5E" w:rsidRDefault="00693A19" w:rsidP="00460F5E">
      <w:pPr>
        <w:pStyle w:val="Titre3"/>
        <w:rPr>
          <w:lang w:val="en-US"/>
        </w:rPr>
      </w:pPr>
      <w:r w:rsidRPr="00460F5E">
        <w:rPr>
          <w:lang w:val="en-US"/>
        </w:rPr>
        <w:t xml:space="preserve">6.4.4 </w:t>
      </w:r>
      <w:r w:rsidR="00FC0352" w:rsidRPr="00460F5E">
        <w:rPr>
          <w:lang w:val="en-US"/>
        </w:rPr>
        <w:t>Target Group/Beneficiaries</w:t>
      </w:r>
      <w:bookmarkEnd w:id="103"/>
      <w:r w:rsidR="00FC0352" w:rsidRPr="00460F5E">
        <w:rPr>
          <w:lang w:val="en-US"/>
        </w:rPr>
        <w:t xml:space="preserve"> </w:t>
      </w:r>
    </w:p>
    <w:p w:rsidR="00FC0352" w:rsidRPr="00460F5E" w:rsidRDefault="00FC0352" w:rsidP="00460F5E">
      <w:pPr>
        <w:pStyle w:val="Default"/>
        <w:rPr>
          <w:rFonts w:ascii="Rockwell" w:hAnsi="Rockwell" w:cs="Tahoma"/>
          <w:color w:val="auto"/>
          <w:sz w:val="22"/>
          <w:szCs w:val="22"/>
          <w:lang w:val="en-US"/>
        </w:rPr>
      </w:pPr>
      <w:r w:rsidRPr="00460F5E">
        <w:rPr>
          <w:rFonts w:ascii="Rockwell" w:hAnsi="Rockwell" w:cs="Tahoma"/>
          <w:color w:val="auto"/>
          <w:sz w:val="22"/>
          <w:szCs w:val="22"/>
          <w:lang w:val="en-US"/>
        </w:rPr>
        <w:t xml:space="preserve">• General population </w:t>
      </w:r>
    </w:p>
    <w:p w:rsidR="00FC0352" w:rsidRPr="00460F5E" w:rsidRDefault="00FC0352" w:rsidP="00460F5E">
      <w:pPr>
        <w:pStyle w:val="Default"/>
        <w:rPr>
          <w:rFonts w:ascii="Rockwell" w:hAnsi="Rockwell" w:cs="Tahoma"/>
          <w:color w:val="auto"/>
          <w:sz w:val="22"/>
          <w:szCs w:val="22"/>
          <w:lang w:val="en-US"/>
        </w:rPr>
      </w:pPr>
      <w:r w:rsidRPr="00460F5E">
        <w:rPr>
          <w:rFonts w:ascii="Rockwell" w:hAnsi="Rockwell" w:cs="Tahoma"/>
          <w:color w:val="auto"/>
          <w:sz w:val="22"/>
          <w:szCs w:val="22"/>
          <w:lang w:val="en-US"/>
        </w:rPr>
        <w:t xml:space="preserve">• Children under five years old </w:t>
      </w:r>
    </w:p>
    <w:p w:rsidR="00FC0352" w:rsidRPr="00460F5E" w:rsidRDefault="00FC0352" w:rsidP="00460F5E">
      <w:pPr>
        <w:spacing w:after="0"/>
        <w:rPr>
          <w:rFonts w:cs="Tahoma"/>
          <w:lang w:val="en-US"/>
        </w:rPr>
      </w:pPr>
      <w:r w:rsidRPr="00460F5E">
        <w:rPr>
          <w:rFonts w:cs="Tahoma"/>
          <w:lang w:val="en-US"/>
        </w:rPr>
        <w:t>• Pregnant women</w:t>
      </w:r>
    </w:p>
    <w:p w:rsidR="00693A19" w:rsidRPr="00460F5E" w:rsidRDefault="00693A19" w:rsidP="00460F5E">
      <w:pPr>
        <w:spacing w:after="0"/>
        <w:rPr>
          <w:rFonts w:cs="Tahoma"/>
          <w:lang w:val="en-US"/>
        </w:rPr>
      </w:pPr>
    </w:p>
    <w:p w:rsidR="00F71CFD" w:rsidRPr="00460F5E" w:rsidRDefault="00F71CFD" w:rsidP="00460F5E">
      <w:pPr>
        <w:spacing w:after="0"/>
        <w:rPr>
          <w:rFonts w:cs="Tahoma"/>
          <w:lang w:val="en-US"/>
        </w:rPr>
      </w:pPr>
    </w:p>
    <w:p w:rsidR="00F71CFD" w:rsidRPr="00460F5E" w:rsidRDefault="00F71CFD" w:rsidP="00460F5E">
      <w:pPr>
        <w:pStyle w:val="Titre2"/>
        <w:rPr>
          <w:lang w:val="en-US"/>
        </w:rPr>
      </w:pPr>
      <w:bookmarkStart w:id="104" w:name="_Toc514049523"/>
      <w:r w:rsidRPr="00460F5E">
        <w:rPr>
          <w:lang w:val="en-US"/>
        </w:rPr>
        <w:lastRenderedPageBreak/>
        <w:t>6.5 Indicateurs Paludisme</w:t>
      </w:r>
      <w:bookmarkEnd w:id="104"/>
    </w:p>
    <w:p w:rsidR="00F71CFD" w:rsidRPr="00460F5E" w:rsidRDefault="00F71CFD" w:rsidP="00460F5E">
      <w:pPr>
        <w:pStyle w:val="Titre3"/>
        <w:rPr>
          <w:lang w:val="en-US"/>
        </w:rPr>
      </w:pPr>
      <w:r w:rsidRPr="00460F5E">
        <w:rPr>
          <w:lang w:val="en-US"/>
        </w:rPr>
        <w:t>6.6.1 Program Goals and Impact Indicators</w:t>
      </w:r>
    </w:p>
    <w:p w:rsidR="00F71CFD" w:rsidRPr="00460F5E" w:rsidRDefault="00F71CFD" w:rsidP="00460F5E">
      <w:pPr>
        <w:autoSpaceDE w:val="0"/>
        <w:autoSpaceDN w:val="0"/>
        <w:adjustRightInd w:val="0"/>
        <w:spacing w:after="0" w:line="240" w:lineRule="auto"/>
        <w:rPr>
          <w:rFonts w:cs="Tahoma"/>
          <w:sz w:val="20"/>
          <w:szCs w:val="20"/>
        </w:rPr>
      </w:pPr>
      <w:r w:rsidRPr="00460F5E">
        <w:rPr>
          <w:rFonts w:cs="Tahoma"/>
          <w:sz w:val="20"/>
          <w:szCs w:val="20"/>
        </w:rPr>
        <w:t>D’ici la fin 2022, amener le pays vers la pré-élimination en réduisant la morbidité et la mortalité liées au paludisme de 50 % par rapport à 2016.</w:t>
      </w:r>
    </w:p>
    <w:p w:rsidR="00F71CFD" w:rsidRPr="00460F5E" w:rsidRDefault="00F71CFD" w:rsidP="00460F5E">
      <w:pPr>
        <w:pStyle w:val="Titre3"/>
      </w:pPr>
      <w:bookmarkStart w:id="105" w:name="_GoBack"/>
      <w:r w:rsidRPr="00460F5E">
        <w:t>6.6.2 Program Objectives and Outcome Indicators</w:t>
      </w:r>
    </w:p>
    <w:p w:rsidR="00F71CFD" w:rsidRPr="00460F5E" w:rsidRDefault="00F71CFD" w:rsidP="00460F5E">
      <w:pPr>
        <w:pStyle w:val="Paragraphedeliste"/>
        <w:numPr>
          <w:ilvl w:val="0"/>
          <w:numId w:val="114"/>
        </w:numPr>
        <w:autoSpaceDE w:val="0"/>
        <w:autoSpaceDN w:val="0"/>
        <w:adjustRightInd w:val="0"/>
        <w:spacing w:after="0" w:line="240" w:lineRule="auto"/>
        <w:rPr>
          <w:rFonts w:cs="Tahoma"/>
          <w:sz w:val="20"/>
          <w:szCs w:val="20"/>
        </w:rPr>
      </w:pPr>
      <w:r w:rsidRPr="00460F5E">
        <w:rPr>
          <w:rFonts w:cs="Tahoma"/>
          <w:sz w:val="20"/>
          <w:szCs w:val="20"/>
        </w:rPr>
        <w:t>Assurer la protection d’au moins 90 % de la population avec des mesures de préventions efficaces contre le paludisme.</w:t>
      </w:r>
    </w:p>
    <w:p w:rsidR="00F71CFD" w:rsidRPr="00460F5E" w:rsidRDefault="00F71CFD" w:rsidP="00460F5E">
      <w:pPr>
        <w:pStyle w:val="Paragraphedeliste"/>
        <w:numPr>
          <w:ilvl w:val="0"/>
          <w:numId w:val="114"/>
        </w:numPr>
        <w:autoSpaceDE w:val="0"/>
        <w:autoSpaceDN w:val="0"/>
        <w:adjustRightInd w:val="0"/>
        <w:spacing w:after="0" w:line="240" w:lineRule="auto"/>
        <w:rPr>
          <w:rFonts w:cs="Tahoma"/>
          <w:sz w:val="20"/>
          <w:szCs w:val="20"/>
        </w:rPr>
      </w:pPr>
      <w:r w:rsidRPr="00460F5E">
        <w:rPr>
          <w:rFonts w:cs="Tahoma"/>
          <w:sz w:val="20"/>
          <w:szCs w:val="20"/>
        </w:rPr>
        <w:t>Assurer une prise en charge correcte et précoce d’au moins 90% des cas de paludisme.</w:t>
      </w:r>
    </w:p>
    <w:p w:rsidR="00F71CFD" w:rsidRPr="00460F5E" w:rsidRDefault="00F71CFD" w:rsidP="00460F5E">
      <w:pPr>
        <w:pStyle w:val="Paragraphedeliste"/>
        <w:numPr>
          <w:ilvl w:val="0"/>
          <w:numId w:val="114"/>
        </w:numPr>
        <w:autoSpaceDE w:val="0"/>
        <w:autoSpaceDN w:val="0"/>
        <w:adjustRightInd w:val="0"/>
        <w:spacing w:after="0" w:line="240" w:lineRule="auto"/>
        <w:rPr>
          <w:rFonts w:cs="Tahoma"/>
          <w:sz w:val="20"/>
          <w:szCs w:val="20"/>
        </w:rPr>
      </w:pPr>
      <w:r w:rsidRPr="00460F5E">
        <w:rPr>
          <w:rFonts w:cs="Tahoma"/>
          <w:sz w:val="20"/>
          <w:szCs w:val="20"/>
        </w:rPr>
        <w:t>Renforcer les capacités de gestion, de partenariat, de coordination, de communication et de SE du Programme de lutte contre le paludisme à tous les niveaux.</w:t>
      </w:r>
    </w:p>
    <w:p w:rsidR="00EC2A37" w:rsidRPr="00460F5E" w:rsidRDefault="00EC2A37" w:rsidP="00460F5E">
      <w:pPr>
        <w:autoSpaceDE w:val="0"/>
        <w:autoSpaceDN w:val="0"/>
        <w:adjustRightInd w:val="0"/>
        <w:spacing w:after="0" w:line="240" w:lineRule="auto"/>
        <w:rPr>
          <w:rFonts w:cs="Tahoma"/>
          <w:sz w:val="20"/>
          <w:szCs w:val="20"/>
        </w:rPr>
      </w:pPr>
    </w:p>
    <w:p w:rsidR="00EC2A37" w:rsidRPr="00460F5E" w:rsidRDefault="00EC2A37" w:rsidP="00460F5E">
      <w:pPr>
        <w:pStyle w:val="Paragraphedeliste"/>
        <w:numPr>
          <w:ilvl w:val="0"/>
          <w:numId w:val="119"/>
        </w:numPr>
        <w:autoSpaceDE w:val="0"/>
        <w:autoSpaceDN w:val="0"/>
        <w:adjustRightInd w:val="0"/>
        <w:spacing w:after="0" w:line="240" w:lineRule="auto"/>
        <w:rPr>
          <w:rFonts w:cs="Tahoma"/>
          <w:sz w:val="20"/>
          <w:szCs w:val="20"/>
        </w:rPr>
      </w:pPr>
      <w:r w:rsidRPr="00460F5E">
        <w:rPr>
          <w:rFonts w:cs="Tahoma"/>
          <w:sz w:val="20"/>
          <w:szCs w:val="20"/>
        </w:rPr>
        <w:t>Voir indicateurs en détails en Annexe</w:t>
      </w:r>
    </w:p>
    <w:p w:rsidR="00F71CFD" w:rsidRPr="00460F5E" w:rsidRDefault="00F71CFD" w:rsidP="00460F5E">
      <w:pPr>
        <w:spacing w:after="0"/>
        <w:rPr>
          <w:rFonts w:cs="Tahoma"/>
        </w:rPr>
      </w:pPr>
    </w:p>
    <w:p w:rsidR="00EC2A37" w:rsidRPr="00460F5E" w:rsidRDefault="00EC2A37" w:rsidP="00460F5E">
      <w:pPr>
        <w:autoSpaceDE w:val="0"/>
        <w:autoSpaceDN w:val="0"/>
        <w:adjustRightInd w:val="0"/>
        <w:spacing w:after="0" w:line="240" w:lineRule="auto"/>
        <w:rPr>
          <w:rFonts w:cs="Tahoma"/>
          <w:lang w:val="en-US"/>
        </w:rPr>
      </w:pPr>
      <w:bookmarkStart w:id="106" w:name="_Toc513041158"/>
      <w:bookmarkStart w:id="107" w:name="_Toc513044563"/>
      <w:r w:rsidRPr="00460F5E">
        <w:rPr>
          <w:rFonts w:cs="Tahoma"/>
          <w:lang w:val="en-US"/>
        </w:rPr>
        <w:t>Malaria I-5: Malaria parasite prevalence: Proportion of children aged 6-59 months with malaria infection Guinea 15,3% 2016</w:t>
      </w:r>
    </w:p>
    <w:p w:rsidR="00EC2A37" w:rsidRPr="00460F5E" w:rsidRDefault="00EC2A37" w:rsidP="00460F5E">
      <w:pPr>
        <w:pStyle w:val="Titre4"/>
        <w:rPr>
          <w:lang w:val="en-US"/>
        </w:rPr>
      </w:pPr>
      <w:r w:rsidRPr="00460F5E">
        <w:rPr>
          <w:lang w:val="en-US"/>
        </w:rPr>
        <w:t>Vector control</w:t>
      </w:r>
    </w:p>
    <w:p w:rsidR="00EC2A37" w:rsidRPr="00460F5E" w:rsidRDefault="00EC2A37" w:rsidP="00460F5E">
      <w:pPr>
        <w:autoSpaceDE w:val="0"/>
        <w:autoSpaceDN w:val="0"/>
        <w:adjustRightInd w:val="0"/>
        <w:spacing w:after="0" w:line="240" w:lineRule="auto"/>
        <w:rPr>
          <w:rFonts w:cs="Tahoma"/>
          <w:lang w:val="en-US"/>
        </w:rPr>
      </w:pPr>
      <w:r w:rsidRPr="00460F5E">
        <w:rPr>
          <w:rFonts w:cs="Tahoma"/>
          <w:lang w:val="en-US"/>
        </w:rPr>
        <w:t>VC-1(M): Number of long-lasting insecticidal nets distributed to at risk populations through mass campaigns</w:t>
      </w:r>
    </w:p>
    <w:p w:rsidR="00EC2A37" w:rsidRPr="00460F5E" w:rsidRDefault="00EC2A37" w:rsidP="00460F5E">
      <w:pPr>
        <w:autoSpaceDE w:val="0"/>
        <w:autoSpaceDN w:val="0"/>
        <w:adjustRightInd w:val="0"/>
        <w:spacing w:after="0" w:line="240" w:lineRule="auto"/>
        <w:rPr>
          <w:rFonts w:cs="Tahoma"/>
          <w:b/>
          <w:lang w:val="en-US"/>
        </w:rPr>
      </w:pPr>
    </w:p>
    <w:p w:rsidR="00EC2A37" w:rsidRPr="00460F5E" w:rsidRDefault="00EC2A37" w:rsidP="00460F5E">
      <w:pPr>
        <w:autoSpaceDE w:val="0"/>
        <w:autoSpaceDN w:val="0"/>
        <w:adjustRightInd w:val="0"/>
        <w:spacing w:after="0" w:line="240" w:lineRule="auto"/>
        <w:rPr>
          <w:rFonts w:cs="Tahoma"/>
          <w:lang w:val="en-US"/>
        </w:rPr>
      </w:pPr>
      <w:r w:rsidRPr="00460F5E">
        <w:rPr>
          <w:rFonts w:cs="Tahoma"/>
          <w:lang w:val="en-US"/>
        </w:rPr>
        <w:t>VC-3(M): Number of long-lasting insecticidal nets distributed to targeted risk groups through continuous distribution</w:t>
      </w:r>
    </w:p>
    <w:p w:rsidR="00EC2A37" w:rsidRPr="00460F5E" w:rsidRDefault="00EC2A37" w:rsidP="00460F5E">
      <w:pPr>
        <w:pStyle w:val="Titre4"/>
        <w:rPr>
          <w:lang w:val="en-US"/>
        </w:rPr>
      </w:pPr>
      <w:r w:rsidRPr="00460F5E">
        <w:rPr>
          <w:lang w:val="en-US"/>
        </w:rPr>
        <w:t>Specific prevention interventions (SPI)</w:t>
      </w:r>
    </w:p>
    <w:p w:rsidR="00EC2A37" w:rsidRPr="00460F5E" w:rsidRDefault="00EC2A37" w:rsidP="00460F5E">
      <w:pPr>
        <w:autoSpaceDE w:val="0"/>
        <w:autoSpaceDN w:val="0"/>
        <w:adjustRightInd w:val="0"/>
        <w:spacing w:after="0" w:line="240" w:lineRule="auto"/>
        <w:rPr>
          <w:rFonts w:cs="Tahoma"/>
          <w:lang w:val="en-US"/>
        </w:rPr>
      </w:pPr>
      <w:r w:rsidRPr="00460F5E">
        <w:rPr>
          <w:rFonts w:cs="Tahoma"/>
          <w:lang w:val="en-US"/>
        </w:rPr>
        <w:t>SPI-1: Proportion of pregnant women attending antenatal clinics who received three or more doses of intermittent preventive treatment for malaria</w:t>
      </w:r>
    </w:p>
    <w:p w:rsidR="00EC2A37" w:rsidRPr="00460F5E" w:rsidRDefault="00EC2A37" w:rsidP="00460F5E">
      <w:pPr>
        <w:autoSpaceDE w:val="0"/>
        <w:autoSpaceDN w:val="0"/>
        <w:adjustRightInd w:val="0"/>
        <w:spacing w:after="0" w:line="240" w:lineRule="auto"/>
        <w:rPr>
          <w:rFonts w:cs="Tahoma"/>
          <w:b/>
          <w:bCs/>
          <w:sz w:val="16"/>
          <w:szCs w:val="16"/>
          <w:lang w:val="en-US"/>
        </w:rPr>
      </w:pPr>
    </w:p>
    <w:p w:rsidR="00EC2A37" w:rsidRPr="00460F5E" w:rsidRDefault="00EC2A37" w:rsidP="00460F5E">
      <w:pPr>
        <w:autoSpaceDE w:val="0"/>
        <w:autoSpaceDN w:val="0"/>
        <w:adjustRightInd w:val="0"/>
        <w:spacing w:after="0" w:line="240" w:lineRule="auto"/>
        <w:rPr>
          <w:rFonts w:cs="Tahoma"/>
          <w:lang w:val="en-US"/>
        </w:rPr>
      </w:pPr>
      <w:r w:rsidRPr="00460F5E">
        <w:rPr>
          <w:rFonts w:cs="Tahoma"/>
          <w:lang w:val="en-US"/>
        </w:rPr>
        <w:t>SPI-2: Percentage of children aged 3–59 months who received the full number of courses of SMC (3 or 4) per transmission season in the targeted areas</w:t>
      </w:r>
    </w:p>
    <w:p w:rsidR="00EC2A37" w:rsidRPr="00460F5E" w:rsidRDefault="00EC2A37" w:rsidP="00460F5E">
      <w:pPr>
        <w:pStyle w:val="Titre4"/>
        <w:rPr>
          <w:lang w:val="en-US"/>
        </w:rPr>
      </w:pPr>
      <w:r w:rsidRPr="00460F5E">
        <w:rPr>
          <w:lang w:val="en-US"/>
        </w:rPr>
        <w:t>Case management</w:t>
      </w:r>
    </w:p>
    <w:p w:rsidR="00EC2A37" w:rsidRPr="00460F5E" w:rsidRDefault="00EC2A37" w:rsidP="00460F5E">
      <w:pPr>
        <w:autoSpaceDE w:val="0"/>
        <w:autoSpaceDN w:val="0"/>
        <w:adjustRightInd w:val="0"/>
        <w:spacing w:after="0" w:line="240" w:lineRule="auto"/>
        <w:rPr>
          <w:rFonts w:cs="Tahoma"/>
          <w:lang w:val="en-US"/>
        </w:rPr>
      </w:pPr>
      <w:r w:rsidRPr="00460F5E">
        <w:rPr>
          <w:rFonts w:cs="Tahoma"/>
          <w:lang w:val="en-US"/>
        </w:rPr>
        <w:t>CM-1a(M): Proportion of suspected malaria cases that receive a parasitological test at public sector health facilities</w:t>
      </w:r>
    </w:p>
    <w:p w:rsidR="00EC2A37" w:rsidRPr="00460F5E" w:rsidRDefault="00EC2A37" w:rsidP="00460F5E">
      <w:pPr>
        <w:autoSpaceDE w:val="0"/>
        <w:autoSpaceDN w:val="0"/>
        <w:adjustRightInd w:val="0"/>
        <w:spacing w:after="0" w:line="240" w:lineRule="auto"/>
        <w:rPr>
          <w:rFonts w:cs="Tahoma"/>
          <w:lang w:val="en-US"/>
        </w:rPr>
      </w:pPr>
    </w:p>
    <w:p w:rsidR="00EC2A37" w:rsidRPr="00460F5E" w:rsidRDefault="00EC2A37" w:rsidP="00460F5E">
      <w:pPr>
        <w:autoSpaceDE w:val="0"/>
        <w:autoSpaceDN w:val="0"/>
        <w:adjustRightInd w:val="0"/>
        <w:spacing w:after="0" w:line="240" w:lineRule="auto"/>
        <w:rPr>
          <w:rFonts w:cs="Tahoma"/>
          <w:lang w:val="en-US"/>
        </w:rPr>
      </w:pPr>
      <w:r w:rsidRPr="00460F5E">
        <w:rPr>
          <w:rFonts w:cs="Tahoma"/>
          <w:lang w:val="en-US"/>
        </w:rPr>
        <w:t>CM-1b(M): Proportion of suspected malaria cases that receive a parasitological test in the Community</w:t>
      </w:r>
    </w:p>
    <w:p w:rsidR="00EC2A37" w:rsidRPr="00460F5E" w:rsidRDefault="00EC2A37" w:rsidP="00460F5E">
      <w:pPr>
        <w:autoSpaceDE w:val="0"/>
        <w:autoSpaceDN w:val="0"/>
        <w:adjustRightInd w:val="0"/>
        <w:spacing w:after="0" w:line="240" w:lineRule="auto"/>
        <w:rPr>
          <w:rFonts w:cs="Tahoma"/>
          <w:lang w:val="en-US"/>
        </w:rPr>
      </w:pPr>
    </w:p>
    <w:p w:rsidR="00EC2A37" w:rsidRPr="001B4D5A" w:rsidRDefault="00EC2A37" w:rsidP="00460F5E">
      <w:pPr>
        <w:autoSpaceDE w:val="0"/>
        <w:autoSpaceDN w:val="0"/>
        <w:adjustRightInd w:val="0"/>
        <w:spacing w:after="0" w:line="240" w:lineRule="auto"/>
        <w:rPr>
          <w:rFonts w:cs="Tahoma"/>
          <w:lang w:val="en-US"/>
        </w:rPr>
      </w:pPr>
      <w:r w:rsidRPr="001B4D5A">
        <w:rPr>
          <w:rFonts w:cs="Tahoma"/>
          <w:lang w:val="en-US"/>
        </w:rPr>
        <w:t>CM-2a(M): Proportion of confirmed malaria cases that received first-line antimalarial</w:t>
      </w:r>
    </w:p>
    <w:p w:rsidR="00EC2A37" w:rsidRPr="001B4D5A" w:rsidRDefault="00EC2A37" w:rsidP="00460F5E">
      <w:pPr>
        <w:autoSpaceDE w:val="0"/>
        <w:autoSpaceDN w:val="0"/>
        <w:adjustRightInd w:val="0"/>
        <w:spacing w:after="0" w:line="240" w:lineRule="auto"/>
        <w:rPr>
          <w:rFonts w:cs="Tahoma"/>
          <w:lang w:val="en-US"/>
        </w:rPr>
      </w:pPr>
      <w:r w:rsidRPr="001B4D5A">
        <w:rPr>
          <w:rFonts w:cs="Tahoma"/>
          <w:lang w:val="en-US"/>
        </w:rPr>
        <w:t>treatment at public sector health facilities</w:t>
      </w:r>
    </w:p>
    <w:p w:rsidR="00EC2A37" w:rsidRPr="001B4D5A" w:rsidRDefault="00EC2A37" w:rsidP="00460F5E">
      <w:pPr>
        <w:autoSpaceDE w:val="0"/>
        <w:autoSpaceDN w:val="0"/>
        <w:adjustRightInd w:val="0"/>
        <w:spacing w:after="0" w:line="240" w:lineRule="auto"/>
        <w:rPr>
          <w:rFonts w:cs="Tahoma"/>
          <w:b/>
          <w:lang w:val="en-US"/>
        </w:rPr>
      </w:pPr>
    </w:p>
    <w:p w:rsidR="00EC2A37" w:rsidRPr="001B4D5A" w:rsidRDefault="00EC2A37" w:rsidP="00460F5E">
      <w:pPr>
        <w:autoSpaceDE w:val="0"/>
        <w:autoSpaceDN w:val="0"/>
        <w:adjustRightInd w:val="0"/>
        <w:spacing w:after="0" w:line="240" w:lineRule="auto"/>
        <w:rPr>
          <w:rFonts w:cs="Tahoma"/>
          <w:lang w:val="en-US"/>
        </w:rPr>
      </w:pPr>
      <w:r w:rsidRPr="001B4D5A">
        <w:rPr>
          <w:rFonts w:cs="Tahoma"/>
          <w:lang w:val="en-US"/>
        </w:rPr>
        <w:t>CM-2c(M): Proportion of confirmed malaria cases that received first line antimalarial treatment at private sector sites</w:t>
      </w:r>
    </w:p>
    <w:p w:rsidR="00EC2A37" w:rsidRPr="001B4D5A" w:rsidRDefault="00EC2A37" w:rsidP="00460F5E">
      <w:pPr>
        <w:pStyle w:val="Titre4"/>
        <w:rPr>
          <w:lang w:val="en-US"/>
        </w:rPr>
      </w:pPr>
      <w:r w:rsidRPr="001B4D5A">
        <w:rPr>
          <w:lang w:val="en-US"/>
        </w:rPr>
        <w:t>RSSH: Health management information systems and M&amp;E</w:t>
      </w:r>
    </w:p>
    <w:p w:rsidR="00EC2A37" w:rsidRPr="001B4D5A" w:rsidRDefault="00EC2A37" w:rsidP="00460F5E">
      <w:pPr>
        <w:autoSpaceDE w:val="0"/>
        <w:autoSpaceDN w:val="0"/>
        <w:adjustRightInd w:val="0"/>
        <w:spacing w:after="0" w:line="240" w:lineRule="auto"/>
        <w:rPr>
          <w:rFonts w:cs="Tahoma"/>
          <w:lang w:val="en-US"/>
        </w:rPr>
      </w:pPr>
      <w:r w:rsidRPr="001B4D5A">
        <w:rPr>
          <w:rFonts w:cs="Tahoma"/>
          <w:lang w:val="en-US"/>
        </w:rPr>
        <w:t>M&amp;E-1: Percentage of HMIS or other routine reporting units submitting timely reports</w:t>
      </w:r>
    </w:p>
    <w:p w:rsidR="00EC2A37" w:rsidRPr="001B4D5A" w:rsidRDefault="00EC2A37" w:rsidP="00460F5E">
      <w:pPr>
        <w:autoSpaceDE w:val="0"/>
        <w:autoSpaceDN w:val="0"/>
        <w:adjustRightInd w:val="0"/>
        <w:spacing w:after="0" w:line="240" w:lineRule="auto"/>
        <w:rPr>
          <w:rFonts w:cs="Tahoma"/>
          <w:lang w:val="en-US"/>
        </w:rPr>
      </w:pPr>
      <w:r w:rsidRPr="001B4D5A">
        <w:rPr>
          <w:rFonts w:cs="Tahoma"/>
          <w:lang w:val="en-US"/>
        </w:rPr>
        <w:t>according to national guidelines</w:t>
      </w:r>
    </w:p>
    <w:p w:rsidR="00EC2A37" w:rsidRPr="001B4D5A" w:rsidRDefault="00EC2A37" w:rsidP="00460F5E">
      <w:pPr>
        <w:pStyle w:val="Titre4"/>
        <w:rPr>
          <w:lang w:val="en-US"/>
        </w:rPr>
      </w:pPr>
      <w:r w:rsidRPr="001B4D5A">
        <w:rPr>
          <w:lang w:val="en-US"/>
        </w:rPr>
        <w:t>RSSH: Procurement and supply chain management systems</w:t>
      </w:r>
    </w:p>
    <w:p w:rsidR="00EC2A37" w:rsidRPr="001B4D5A" w:rsidRDefault="00EC2A37" w:rsidP="00460F5E">
      <w:pPr>
        <w:autoSpaceDE w:val="0"/>
        <w:autoSpaceDN w:val="0"/>
        <w:adjustRightInd w:val="0"/>
        <w:spacing w:after="0" w:line="240" w:lineRule="auto"/>
        <w:rPr>
          <w:rFonts w:cs="Tahoma"/>
          <w:lang w:val="en-US"/>
        </w:rPr>
      </w:pPr>
      <w:r w:rsidRPr="001B4D5A">
        <w:rPr>
          <w:rFonts w:cs="Tahoma"/>
          <w:lang w:val="en-US"/>
        </w:rPr>
        <w:t>PSM-2: Percentage of health facilities with essential medicines and life-saving commodities in Stock. Percentage of entities that did not declare a stock-out of essential medications</w:t>
      </w:r>
    </w:p>
    <w:bookmarkEnd w:id="105"/>
    <w:p w:rsidR="00EC2A37" w:rsidRPr="001B4D5A" w:rsidRDefault="00EC2A37" w:rsidP="00460F5E">
      <w:pPr>
        <w:autoSpaceDE w:val="0"/>
        <w:autoSpaceDN w:val="0"/>
        <w:adjustRightInd w:val="0"/>
        <w:spacing w:after="0" w:line="240" w:lineRule="auto"/>
        <w:rPr>
          <w:rFonts w:cs="Tahoma"/>
          <w:sz w:val="16"/>
          <w:szCs w:val="16"/>
          <w:lang w:val="en-US"/>
        </w:rPr>
      </w:pPr>
    </w:p>
    <w:p w:rsidR="00911E81" w:rsidRPr="001B4D5A" w:rsidRDefault="000A7421" w:rsidP="00460F5E">
      <w:pPr>
        <w:pStyle w:val="Titre1"/>
      </w:pPr>
      <w:bookmarkStart w:id="108" w:name="_Toc513041178"/>
      <w:bookmarkStart w:id="109" w:name="_Toc513044566"/>
      <w:bookmarkStart w:id="110" w:name="_Toc514049524"/>
      <w:bookmarkEnd w:id="106"/>
      <w:bookmarkEnd w:id="107"/>
      <w:r w:rsidRPr="001B4D5A">
        <w:t>7. MINISTERE SANTE PUBLIQUE – RSS</w:t>
      </w:r>
      <w:bookmarkEnd w:id="108"/>
      <w:bookmarkEnd w:id="109"/>
      <w:bookmarkEnd w:id="110"/>
    </w:p>
    <w:p w:rsidR="0084758A" w:rsidRPr="001B4D5A" w:rsidRDefault="000A7421" w:rsidP="00460F5E">
      <w:pPr>
        <w:pStyle w:val="Titre2"/>
      </w:pPr>
      <w:bookmarkStart w:id="111" w:name="_Toc513041179"/>
      <w:bookmarkStart w:id="112" w:name="_Toc513044567"/>
      <w:bookmarkStart w:id="113" w:name="_Toc514049525"/>
      <w:r w:rsidRPr="001B4D5A">
        <w:t xml:space="preserve">7.1 </w:t>
      </w:r>
      <w:r w:rsidR="0084758A" w:rsidRPr="001B4D5A">
        <w:t>Proposition</w:t>
      </w:r>
      <w:bookmarkEnd w:id="111"/>
      <w:bookmarkEnd w:id="112"/>
      <w:bookmarkEnd w:id="113"/>
      <w:r w:rsidR="0084758A" w:rsidRPr="001B4D5A">
        <w:t xml:space="preserve"> </w:t>
      </w:r>
    </w:p>
    <w:p w:rsidR="00911E81" w:rsidRPr="001B4D5A" w:rsidRDefault="00911E81" w:rsidP="00460F5E">
      <w:pPr>
        <w:spacing w:after="0" w:line="240" w:lineRule="auto"/>
        <w:jc w:val="both"/>
        <w:rPr>
          <w:rFonts w:cs="Tahoma"/>
        </w:rPr>
      </w:pPr>
      <w:r w:rsidRPr="001B4D5A">
        <w:rPr>
          <w:rFonts w:cs="Tahoma"/>
        </w:rPr>
        <w:t>Le développement de ce système communautaire passe nécessairement par la mise en œuvre des six axes stratégiques suivants :</w:t>
      </w:r>
    </w:p>
    <w:p w:rsidR="00911E81" w:rsidRPr="001B4D5A" w:rsidRDefault="00911E81" w:rsidP="00460F5E">
      <w:pPr>
        <w:pStyle w:val="Textebrut"/>
        <w:ind w:left="30"/>
        <w:rPr>
          <w:rFonts w:ascii="Rockwell" w:hAnsi="Rockwell" w:cs="Tahoma"/>
          <w:sz w:val="24"/>
          <w:szCs w:val="24"/>
        </w:rPr>
      </w:pPr>
    </w:p>
    <w:p w:rsidR="00911E81" w:rsidRPr="001B4D5A" w:rsidRDefault="00911E81" w:rsidP="00460F5E">
      <w:pPr>
        <w:numPr>
          <w:ilvl w:val="0"/>
          <w:numId w:val="50"/>
        </w:numPr>
        <w:spacing w:after="0" w:line="240" w:lineRule="auto"/>
        <w:jc w:val="both"/>
        <w:rPr>
          <w:rFonts w:cs="Tahoma"/>
        </w:rPr>
      </w:pPr>
      <w:r w:rsidRPr="001B4D5A">
        <w:rPr>
          <w:rFonts w:cs="Tahoma"/>
        </w:rPr>
        <w:t>Renforcement de l’organisation et du fonctionnement des structures de santé de base (centres de santé et postes de santé), y compris le système de référence et de contre-référence ;</w:t>
      </w:r>
    </w:p>
    <w:p w:rsidR="00911E81" w:rsidRPr="001B4D5A" w:rsidRDefault="00911E81" w:rsidP="00460F5E">
      <w:pPr>
        <w:numPr>
          <w:ilvl w:val="0"/>
          <w:numId w:val="50"/>
        </w:numPr>
        <w:spacing w:after="0" w:line="240" w:lineRule="auto"/>
        <w:jc w:val="both"/>
        <w:rPr>
          <w:rFonts w:cs="Tahoma"/>
        </w:rPr>
      </w:pPr>
      <w:r w:rsidRPr="001B4D5A">
        <w:rPr>
          <w:rFonts w:cs="Tahoma"/>
        </w:rPr>
        <w:t>Amélioration de  l’accès, de la demande et de l’utilisation des services de santé de base ;</w:t>
      </w:r>
    </w:p>
    <w:p w:rsidR="00911E81" w:rsidRPr="001B4D5A" w:rsidRDefault="00911E81" w:rsidP="00460F5E">
      <w:pPr>
        <w:numPr>
          <w:ilvl w:val="0"/>
          <w:numId w:val="50"/>
        </w:numPr>
        <w:spacing w:after="0" w:line="240" w:lineRule="auto"/>
        <w:jc w:val="both"/>
        <w:rPr>
          <w:rFonts w:cs="Tahoma"/>
        </w:rPr>
      </w:pPr>
      <w:r w:rsidRPr="001B4D5A">
        <w:rPr>
          <w:rFonts w:cs="Tahoma"/>
        </w:rPr>
        <w:t>Harmonisation des interventions socio-sanitaires ;</w:t>
      </w:r>
    </w:p>
    <w:p w:rsidR="00911E81" w:rsidRPr="001B4D5A" w:rsidRDefault="00911E81" w:rsidP="00460F5E">
      <w:pPr>
        <w:numPr>
          <w:ilvl w:val="0"/>
          <w:numId w:val="50"/>
        </w:numPr>
        <w:spacing w:after="0" w:line="240" w:lineRule="auto"/>
        <w:jc w:val="both"/>
        <w:rPr>
          <w:rFonts w:cs="Tahoma"/>
        </w:rPr>
      </w:pPr>
      <w:r w:rsidRPr="001B4D5A">
        <w:rPr>
          <w:rFonts w:cs="Tahoma"/>
        </w:rPr>
        <w:t>Développement des approches multisectorielle et pluridisciplinaire dans l’élaboration et la mise en œuvre des interventions communautaires ;</w:t>
      </w:r>
    </w:p>
    <w:p w:rsidR="00911E81" w:rsidRPr="001B4D5A" w:rsidRDefault="00911E81" w:rsidP="00460F5E">
      <w:pPr>
        <w:numPr>
          <w:ilvl w:val="0"/>
          <w:numId w:val="50"/>
        </w:numPr>
        <w:spacing w:after="0" w:line="240" w:lineRule="auto"/>
        <w:jc w:val="both"/>
        <w:rPr>
          <w:rFonts w:cs="Tahoma"/>
        </w:rPr>
      </w:pPr>
      <w:r w:rsidRPr="001B4D5A">
        <w:rPr>
          <w:rFonts w:cs="Tahoma"/>
        </w:rPr>
        <w:t>Renforcement de la responsabilisation et de l’engagement de la communauté sur les actions socio-sanitaires de la population en général, de la mère et de l’enfant en particulier ;</w:t>
      </w:r>
    </w:p>
    <w:p w:rsidR="00911E81" w:rsidRPr="001B4D5A" w:rsidRDefault="00911E81" w:rsidP="00460F5E">
      <w:pPr>
        <w:numPr>
          <w:ilvl w:val="0"/>
          <w:numId w:val="50"/>
        </w:numPr>
        <w:spacing w:after="0" w:line="240" w:lineRule="auto"/>
        <w:jc w:val="both"/>
        <w:rPr>
          <w:rFonts w:cs="Tahoma"/>
        </w:rPr>
      </w:pPr>
      <w:r w:rsidRPr="001B4D5A">
        <w:rPr>
          <w:rFonts w:cs="Tahoma"/>
        </w:rPr>
        <w:t>Développement de la recherche opérationnelle et vulgarisation des bonnes pratiques</w:t>
      </w:r>
    </w:p>
    <w:p w:rsidR="00911E81" w:rsidRPr="001B4D5A" w:rsidRDefault="00911E81" w:rsidP="00460F5E">
      <w:pPr>
        <w:spacing w:after="0" w:line="240" w:lineRule="auto"/>
        <w:jc w:val="both"/>
        <w:rPr>
          <w:rFonts w:cs="Tahoma"/>
          <w:sz w:val="24"/>
          <w:szCs w:val="24"/>
        </w:rPr>
      </w:pPr>
    </w:p>
    <w:p w:rsidR="00911E81" w:rsidRPr="001B4D5A" w:rsidRDefault="00911E81" w:rsidP="00460F5E">
      <w:pPr>
        <w:spacing w:after="0" w:line="240" w:lineRule="auto"/>
        <w:jc w:val="both"/>
        <w:rPr>
          <w:rFonts w:cs="Tahoma"/>
        </w:rPr>
      </w:pPr>
      <w:r w:rsidRPr="001B4D5A">
        <w:rPr>
          <w:rFonts w:cs="Tahoma"/>
        </w:rPr>
        <w:t>Pour chaque axe stratégique, des actions essentielles sont développées dans le cadre national de mise en œuvre de la santé communautaire pour relever les défis liés aux problèmes ci-dessous :</w:t>
      </w:r>
    </w:p>
    <w:p w:rsidR="00911E81" w:rsidRPr="001B4D5A" w:rsidRDefault="00911E81" w:rsidP="00460F5E">
      <w:pPr>
        <w:spacing w:after="0" w:line="240" w:lineRule="auto"/>
        <w:jc w:val="both"/>
        <w:rPr>
          <w:rFonts w:cs="Tahoma"/>
        </w:rPr>
      </w:pPr>
    </w:p>
    <w:p w:rsidR="00911E81" w:rsidRPr="001B4D5A" w:rsidRDefault="00911E81" w:rsidP="00460F5E">
      <w:pPr>
        <w:numPr>
          <w:ilvl w:val="0"/>
          <w:numId w:val="48"/>
        </w:numPr>
        <w:spacing w:after="0" w:line="240" w:lineRule="auto"/>
        <w:ind w:left="567" w:hanging="283"/>
        <w:contextualSpacing/>
        <w:jc w:val="both"/>
        <w:rPr>
          <w:rFonts w:cs="Tahoma"/>
          <w:sz w:val="24"/>
          <w:szCs w:val="24"/>
        </w:rPr>
      </w:pPr>
      <w:r w:rsidRPr="001B4D5A">
        <w:rPr>
          <w:rFonts w:cs="Tahoma"/>
          <w:sz w:val="24"/>
          <w:szCs w:val="24"/>
        </w:rPr>
        <w:t>L’insuffisance d’équité dans l’accès aux structures de santé sur le territoire ;</w:t>
      </w:r>
    </w:p>
    <w:p w:rsidR="00911E81" w:rsidRPr="001B4D5A" w:rsidRDefault="00911E81" w:rsidP="00460F5E">
      <w:pPr>
        <w:numPr>
          <w:ilvl w:val="0"/>
          <w:numId w:val="48"/>
        </w:numPr>
        <w:spacing w:after="0" w:line="240" w:lineRule="auto"/>
        <w:ind w:left="567" w:hanging="283"/>
        <w:contextualSpacing/>
        <w:jc w:val="both"/>
        <w:rPr>
          <w:rFonts w:cs="Tahoma"/>
          <w:sz w:val="24"/>
          <w:szCs w:val="24"/>
        </w:rPr>
      </w:pPr>
      <w:r w:rsidRPr="001B4D5A">
        <w:rPr>
          <w:rFonts w:cs="Tahoma"/>
          <w:sz w:val="24"/>
          <w:szCs w:val="24"/>
        </w:rPr>
        <w:t>L’insuffisance d’intégration de la santé communautaire dans le système de santé publique ;</w:t>
      </w:r>
    </w:p>
    <w:p w:rsidR="00911E81" w:rsidRPr="001B4D5A" w:rsidRDefault="00911E81" w:rsidP="00460F5E">
      <w:pPr>
        <w:numPr>
          <w:ilvl w:val="0"/>
          <w:numId w:val="48"/>
        </w:numPr>
        <w:spacing w:after="0" w:line="240" w:lineRule="auto"/>
        <w:ind w:left="567" w:hanging="283"/>
        <w:contextualSpacing/>
        <w:jc w:val="both"/>
        <w:rPr>
          <w:rFonts w:cs="Tahoma"/>
          <w:sz w:val="24"/>
          <w:szCs w:val="24"/>
        </w:rPr>
      </w:pPr>
      <w:r w:rsidRPr="001B4D5A">
        <w:rPr>
          <w:rFonts w:cs="Tahoma"/>
          <w:sz w:val="24"/>
          <w:szCs w:val="24"/>
        </w:rPr>
        <w:t>L’insuffisance de la couverture de l’offre communautaire (soins et création de la demande) ;</w:t>
      </w:r>
    </w:p>
    <w:p w:rsidR="00911E81" w:rsidRPr="001B4D5A" w:rsidRDefault="00911E81" w:rsidP="00460F5E">
      <w:pPr>
        <w:numPr>
          <w:ilvl w:val="0"/>
          <w:numId w:val="48"/>
        </w:numPr>
        <w:spacing w:after="0" w:line="240" w:lineRule="auto"/>
        <w:ind w:left="567" w:hanging="283"/>
        <w:contextualSpacing/>
        <w:jc w:val="both"/>
        <w:rPr>
          <w:rFonts w:cs="Tahoma"/>
          <w:sz w:val="24"/>
          <w:szCs w:val="24"/>
        </w:rPr>
      </w:pPr>
      <w:r w:rsidRPr="001B4D5A">
        <w:rPr>
          <w:rFonts w:cs="Tahoma"/>
          <w:sz w:val="24"/>
          <w:szCs w:val="24"/>
        </w:rPr>
        <w:t>L’insuffisance du paquet de services de santé communautaire et de leur qualité ;</w:t>
      </w:r>
    </w:p>
    <w:p w:rsidR="00911E81" w:rsidRPr="001B4D5A" w:rsidRDefault="00911E81" w:rsidP="00460F5E">
      <w:pPr>
        <w:numPr>
          <w:ilvl w:val="0"/>
          <w:numId w:val="48"/>
        </w:numPr>
        <w:spacing w:after="0" w:line="240" w:lineRule="auto"/>
        <w:ind w:left="567" w:hanging="283"/>
        <w:contextualSpacing/>
        <w:jc w:val="both"/>
        <w:rPr>
          <w:rFonts w:cs="Tahoma"/>
          <w:sz w:val="24"/>
          <w:szCs w:val="24"/>
        </w:rPr>
      </w:pPr>
      <w:r w:rsidRPr="001B4D5A">
        <w:rPr>
          <w:rFonts w:cs="Tahoma"/>
          <w:sz w:val="24"/>
          <w:szCs w:val="24"/>
        </w:rPr>
        <w:t>La faible motivation des acteurs de mise en œuvre de la santé communautaire ;</w:t>
      </w:r>
    </w:p>
    <w:p w:rsidR="00911E81" w:rsidRPr="001B4D5A" w:rsidRDefault="00911E81" w:rsidP="00460F5E">
      <w:pPr>
        <w:numPr>
          <w:ilvl w:val="0"/>
          <w:numId w:val="48"/>
        </w:numPr>
        <w:spacing w:after="0" w:line="240" w:lineRule="auto"/>
        <w:ind w:left="567" w:hanging="283"/>
        <w:contextualSpacing/>
        <w:jc w:val="both"/>
        <w:rPr>
          <w:rFonts w:cs="Tahoma"/>
          <w:sz w:val="24"/>
          <w:szCs w:val="24"/>
        </w:rPr>
      </w:pPr>
      <w:r w:rsidRPr="001B4D5A">
        <w:rPr>
          <w:rFonts w:cs="Tahoma"/>
          <w:sz w:val="24"/>
          <w:szCs w:val="24"/>
        </w:rPr>
        <w:t>La faible qualité de la logistique et du système d’approvisionnement ;</w:t>
      </w:r>
    </w:p>
    <w:p w:rsidR="00A042F2" w:rsidRPr="001B4D5A" w:rsidRDefault="00A042F2" w:rsidP="00460F5E">
      <w:pPr>
        <w:numPr>
          <w:ilvl w:val="0"/>
          <w:numId w:val="48"/>
        </w:numPr>
        <w:spacing w:after="0" w:line="240" w:lineRule="auto"/>
        <w:ind w:left="567" w:hanging="283"/>
        <w:contextualSpacing/>
        <w:jc w:val="both"/>
        <w:rPr>
          <w:rFonts w:cs="Tahoma"/>
          <w:sz w:val="24"/>
          <w:szCs w:val="24"/>
        </w:rPr>
      </w:pPr>
      <w:r w:rsidRPr="001B4D5A">
        <w:rPr>
          <w:rFonts w:cs="Tahoma"/>
          <w:sz w:val="24"/>
          <w:szCs w:val="24"/>
        </w:rPr>
        <w:t>L’insuffisance de l’organisation et de la structure managériale ;</w:t>
      </w:r>
    </w:p>
    <w:p w:rsidR="00A042F2" w:rsidRPr="001B4D5A" w:rsidRDefault="00A042F2" w:rsidP="00460F5E">
      <w:pPr>
        <w:numPr>
          <w:ilvl w:val="0"/>
          <w:numId w:val="48"/>
        </w:numPr>
        <w:spacing w:after="0" w:line="240" w:lineRule="auto"/>
        <w:ind w:left="567" w:hanging="283"/>
        <w:contextualSpacing/>
        <w:jc w:val="both"/>
        <w:rPr>
          <w:rFonts w:cs="Tahoma"/>
          <w:sz w:val="24"/>
          <w:szCs w:val="24"/>
        </w:rPr>
      </w:pPr>
      <w:r w:rsidRPr="001B4D5A">
        <w:rPr>
          <w:rFonts w:cs="Tahoma"/>
          <w:sz w:val="24"/>
          <w:szCs w:val="24"/>
        </w:rPr>
        <w:t>La mal-adaptation du cadre législatif et réglementaire ;</w:t>
      </w:r>
    </w:p>
    <w:p w:rsidR="00A042F2" w:rsidRPr="001B4D5A" w:rsidRDefault="00A042F2" w:rsidP="00460F5E">
      <w:pPr>
        <w:numPr>
          <w:ilvl w:val="0"/>
          <w:numId w:val="48"/>
        </w:numPr>
        <w:spacing w:after="0" w:line="240" w:lineRule="auto"/>
        <w:ind w:left="567" w:hanging="283"/>
        <w:contextualSpacing/>
        <w:jc w:val="both"/>
        <w:rPr>
          <w:rFonts w:cs="Tahoma"/>
          <w:sz w:val="24"/>
          <w:szCs w:val="24"/>
        </w:rPr>
      </w:pPr>
      <w:r w:rsidRPr="001B4D5A">
        <w:rPr>
          <w:rFonts w:cs="Tahoma"/>
          <w:sz w:val="24"/>
          <w:szCs w:val="24"/>
        </w:rPr>
        <w:t>La faible articulation entre les services administratifs sanitaires et les autorités locales.</w:t>
      </w:r>
    </w:p>
    <w:p w:rsidR="001B4D5A" w:rsidRPr="001B4D5A" w:rsidRDefault="001B4D5A" w:rsidP="00460F5E">
      <w:pPr>
        <w:spacing w:after="0" w:line="240" w:lineRule="auto"/>
        <w:jc w:val="both"/>
        <w:rPr>
          <w:rFonts w:cs="Tahoma"/>
        </w:rPr>
      </w:pPr>
    </w:p>
    <w:p w:rsidR="001B4D5A" w:rsidRPr="001B4D5A" w:rsidRDefault="001B4D5A" w:rsidP="00460F5E">
      <w:pPr>
        <w:spacing w:after="0" w:line="240" w:lineRule="auto"/>
        <w:jc w:val="both"/>
        <w:rPr>
          <w:rFonts w:cs="Tahoma"/>
        </w:rPr>
      </w:pPr>
    </w:p>
    <w:p w:rsidR="00A042F2" w:rsidRPr="001B4D5A" w:rsidRDefault="00A042F2" w:rsidP="00460F5E">
      <w:pPr>
        <w:spacing w:after="0" w:line="240" w:lineRule="auto"/>
        <w:jc w:val="both"/>
        <w:rPr>
          <w:rFonts w:eastAsia="Times New Roman" w:cs="Tahoma"/>
        </w:rPr>
      </w:pPr>
      <w:r w:rsidRPr="001B4D5A">
        <w:rPr>
          <w:rFonts w:cs="Tahoma"/>
        </w:rPr>
        <w:t>Dans le cadre de cette demande de financement, certains critères ont conduit au choix de deux districts sanitaires (Kindia et Télimelé) de la région de Kindia. Il s’agit notamment :</w:t>
      </w:r>
    </w:p>
    <w:p w:rsidR="00A042F2" w:rsidRPr="001B4D5A" w:rsidRDefault="00A042F2" w:rsidP="00460F5E">
      <w:pPr>
        <w:numPr>
          <w:ilvl w:val="0"/>
          <w:numId w:val="48"/>
        </w:numPr>
        <w:spacing w:after="0" w:line="240" w:lineRule="auto"/>
        <w:ind w:left="360"/>
        <w:jc w:val="both"/>
        <w:rPr>
          <w:rFonts w:eastAsia="Times New Roman" w:cs="Tahoma"/>
        </w:rPr>
      </w:pPr>
      <w:r w:rsidRPr="001B4D5A">
        <w:rPr>
          <w:rFonts w:eastAsia="Times New Roman" w:cs="Tahoma"/>
        </w:rPr>
        <w:t>Le taux de mortalité néonatale est de 15/1000 Naissances Vivantes avec un taux national de 20/1000 Naissances Vivantes</w:t>
      </w:r>
    </w:p>
    <w:p w:rsidR="00A042F2" w:rsidRPr="001B4D5A" w:rsidRDefault="00A042F2" w:rsidP="00460F5E">
      <w:pPr>
        <w:spacing w:after="0" w:line="240" w:lineRule="auto"/>
        <w:jc w:val="both"/>
        <w:rPr>
          <w:rFonts w:eastAsia="Times New Roman" w:cs="Tahoma"/>
        </w:rPr>
      </w:pPr>
    </w:p>
    <w:p w:rsidR="00A042F2" w:rsidRPr="001B4D5A" w:rsidRDefault="00A042F2" w:rsidP="00460F5E">
      <w:pPr>
        <w:numPr>
          <w:ilvl w:val="0"/>
          <w:numId w:val="48"/>
        </w:numPr>
        <w:spacing w:after="0" w:line="240" w:lineRule="auto"/>
        <w:ind w:left="360"/>
        <w:jc w:val="both"/>
        <w:rPr>
          <w:rFonts w:eastAsia="Times New Roman" w:cs="Tahoma"/>
        </w:rPr>
      </w:pPr>
      <w:r w:rsidRPr="001B4D5A">
        <w:rPr>
          <w:rFonts w:eastAsia="Times New Roman" w:cs="Tahoma"/>
        </w:rPr>
        <w:t>Le taux de mortalité infanto juvénile est de 92/1000 Naissances Vivantes sur une moyenne nationale de 88/1000 Naissances Vivantes.</w:t>
      </w:r>
    </w:p>
    <w:p w:rsidR="00A042F2" w:rsidRPr="001B4D5A" w:rsidRDefault="00A042F2" w:rsidP="00460F5E">
      <w:pPr>
        <w:spacing w:after="0" w:line="240" w:lineRule="auto"/>
        <w:jc w:val="both"/>
        <w:rPr>
          <w:rFonts w:eastAsia="Times New Roman" w:cs="Tahoma"/>
        </w:rPr>
      </w:pPr>
    </w:p>
    <w:p w:rsidR="00A042F2" w:rsidRPr="001B4D5A" w:rsidRDefault="00A042F2" w:rsidP="00460F5E">
      <w:pPr>
        <w:numPr>
          <w:ilvl w:val="0"/>
          <w:numId w:val="48"/>
        </w:numPr>
        <w:spacing w:after="0" w:line="240" w:lineRule="auto"/>
        <w:ind w:left="360"/>
        <w:jc w:val="both"/>
        <w:rPr>
          <w:rFonts w:eastAsia="Times New Roman" w:cs="Tahoma"/>
        </w:rPr>
      </w:pPr>
      <w:r w:rsidRPr="001B4D5A">
        <w:rPr>
          <w:rFonts w:eastAsia="Times New Roman" w:cs="Tahoma"/>
        </w:rPr>
        <w:lastRenderedPageBreak/>
        <w:t>Le taux de mortalité maternelle au niveau national est passé de 724 en 2012 selon EDSIV à 550/100000 naissances vivantes  en 2016 (réf : MICS Palu 2016), le taux global de fécondité est estimé à 169 avec un risque à vie de décès maternels de 0,029.</w:t>
      </w:r>
    </w:p>
    <w:p w:rsidR="00A042F2" w:rsidRPr="001B4D5A" w:rsidRDefault="00A042F2" w:rsidP="00460F5E">
      <w:pPr>
        <w:spacing w:after="0" w:line="240" w:lineRule="auto"/>
        <w:jc w:val="both"/>
        <w:rPr>
          <w:rFonts w:eastAsia="Times New Roman" w:cs="Tahoma"/>
        </w:rPr>
      </w:pPr>
    </w:p>
    <w:p w:rsidR="00A042F2" w:rsidRPr="001B4D5A" w:rsidRDefault="00A042F2" w:rsidP="00460F5E">
      <w:pPr>
        <w:numPr>
          <w:ilvl w:val="0"/>
          <w:numId w:val="48"/>
        </w:numPr>
        <w:spacing w:after="0" w:line="240" w:lineRule="auto"/>
        <w:ind w:left="360"/>
        <w:jc w:val="both"/>
        <w:rPr>
          <w:rFonts w:eastAsia="Times New Roman" w:cs="Tahoma"/>
        </w:rPr>
      </w:pPr>
      <w:r w:rsidRPr="001B4D5A">
        <w:rPr>
          <w:rFonts w:eastAsia="Times New Roman" w:cs="Tahoma"/>
        </w:rPr>
        <w:t>Sur le plan de vaccination de routine, le pourcentage des enfants complétement vaccinés (carte et histoire) est de 53%. Cette couverture est de 42% dans la région de Kindia (Enquête CV 2016).</w:t>
      </w:r>
    </w:p>
    <w:p w:rsidR="00A042F2" w:rsidRPr="001B4D5A" w:rsidRDefault="00A042F2" w:rsidP="00460F5E">
      <w:pPr>
        <w:numPr>
          <w:ilvl w:val="0"/>
          <w:numId w:val="48"/>
        </w:numPr>
        <w:spacing w:after="0" w:line="240" w:lineRule="auto"/>
        <w:ind w:left="360"/>
        <w:jc w:val="both"/>
        <w:rPr>
          <w:rFonts w:eastAsia="Times New Roman" w:cs="Tahoma"/>
        </w:rPr>
      </w:pPr>
      <w:r w:rsidRPr="001B4D5A">
        <w:rPr>
          <w:rFonts w:eastAsia="Times New Roman" w:cs="Tahoma"/>
        </w:rPr>
        <w:t xml:space="preserve">Sur le plan des ressources humaines, les préfectures de Kindia et de Télimélé disposent de 280 ASC recensés mais non motivés financièrement sur un besoin de 1319 ASC, afin de couvrir ces deux districts sanitaires selon la politique nationale de la santé communautaire.  </w:t>
      </w:r>
    </w:p>
    <w:p w:rsidR="00A042F2" w:rsidRPr="001B4D5A" w:rsidRDefault="00A042F2" w:rsidP="00460F5E">
      <w:pPr>
        <w:rPr>
          <w:rFonts w:eastAsia="Times New Roman" w:cs="Tahoma"/>
        </w:rPr>
      </w:pPr>
    </w:p>
    <w:p w:rsidR="0084758A" w:rsidRPr="001B4D5A" w:rsidRDefault="00A042F2" w:rsidP="00460F5E">
      <w:pPr>
        <w:numPr>
          <w:ilvl w:val="0"/>
          <w:numId w:val="48"/>
        </w:numPr>
        <w:autoSpaceDE w:val="0"/>
        <w:autoSpaceDN w:val="0"/>
        <w:adjustRightInd w:val="0"/>
        <w:spacing w:after="0" w:line="240" w:lineRule="auto"/>
        <w:ind w:left="360"/>
        <w:jc w:val="both"/>
        <w:rPr>
          <w:rFonts w:eastAsia="Times New Roman" w:cs="Tahoma"/>
        </w:rPr>
      </w:pPr>
      <w:r w:rsidRPr="001B4D5A">
        <w:rPr>
          <w:rFonts w:eastAsia="Times New Roman" w:cs="Tahoma"/>
        </w:rPr>
        <w:t xml:space="preserve">Les plans de décentralisation et de déconcentration élaborés par la République de Guinée en 2014 avec l’appui financier de l’Union Européenne permettent le </w:t>
      </w:r>
      <w:r w:rsidRPr="001B4D5A">
        <w:rPr>
          <w:rFonts w:eastAsia="Calibri" w:cs="Tahoma"/>
          <w:color w:val="000000"/>
        </w:rPr>
        <w:t>transfert et la délégation de gestion de certaines compétences encore actuellement dévolues à l’Etat aux collectivités locales.</w:t>
      </w:r>
      <w:r w:rsidRPr="001B4D5A">
        <w:rPr>
          <w:rFonts w:eastAsia="Times New Roman" w:cs="Tahoma"/>
        </w:rPr>
        <w:t xml:space="preserve"> La mise en œuvre de cette subvention s’appuiera   sur les expériences acquises du projet pilote réalisé à Kindia. </w:t>
      </w:r>
    </w:p>
    <w:p w:rsidR="0084758A" w:rsidRPr="001B4D5A" w:rsidRDefault="0084758A" w:rsidP="00460F5E">
      <w:pPr>
        <w:pStyle w:val="Paragraphedeliste"/>
        <w:rPr>
          <w:rFonts w:eastAsia="Times New Roman" w:cs="Tahoma"/>
        </w:rPr>
      </w:pPr>
    </w:p>
    <w:p w:rsidR="00A042F2" w:rsidRPr="001B4D5A" w:rsidRDefault="000A7421" w:rsidP="00460F5E">
      <w:pPr>
        <w:pStyle w:val="Titre3"/>
        <w:rPr>
          <w:rFonts w:eastAsia="Times New Roman"/>
        </w:rPr>
      </w:pPr>
      <w:bookmarkStart w:id="114" w:name="_Toc513041180"/>
      <w:r w:rsidRPr="001B4D5A">
        <w:rPr>
          <w:rFonts w:eastAsia="Times New Roman"/>
        </w:rPr>
        <w:t xml:space="preserve">7.1.1 </w:t>
      </w:r>
      <w:r w:rsidR="00A042F2" w:rsidRPr="001B4D5A">
        <w:rPr>
          <w:rFonts w:eastAsia="Times New Roman"/>
        </w:rPr>
        <w:t>Ce système de pérennisation des interventions vise les dix compétences définies comme pouvant être transférées aux communes :</w:t>
      </w:r>
      <w:bookmarkEnd w:id="114"/>
      <w:r w:rsidR="00A042F2" w:rsidRPr="001B4D5A">
        <w:rPr>
          <w:rFonts w:eastAsia="Times New Roman"/>
        </w:rPr>
        <w:t xml:space="preserve"> </w:t>
      </w:r>
    </w:p>
    <w:p w:rsidR="00A042F2" w:rsidRPr="001B4D5A" w:rsidRDefault="00A042F2" w:rsidP="00460F5E">
      <w:pPr>
        <w:autoSpaceDE w:val="0"/>
        <w:autoSpaceDN w:val="0"/>
        <w:adjustRightInd w:val="0"/>
        <w:spacing w:after="134" w:line="240" w:lineRule="auto"/>
        <w:rPr>
          <w:rFonts w:eastAsia="Times New Roman" w:cs="Tahoma"/>
        </w:rPr>
      </w:pPr>
      <w:r w:rsidRPr="001B4D5A">
        <w:rPr>
          <w:rFonts w:eastAsia="Times New Roman" w:cs="Tahoma"/>
        </w:rPr>
        <w:t xml:space="preserve">1. l’élaboration, la mise en œuvre et l’évaluation du Plan Communal de Développement en matière de santé ; </w:t>
      </w:r>
    </w:p>
    <w:p w:rsidR="00A042F2" w:rsidRPr="001B4D5A" w:rsidRDefault="00A042F2" w:rsidP="00460F5E">
      <w:pPr>
        <w:autoSpaceDE w:val="0"/>
        <w:autoSpaceDN w:val="0"/>
        <w:adjustRightInd w:val="0"/>
        <w:spacing w:after="134" w:line="240" w:lineRule="auto"/>
        <w:rPr>
          <w:rFonts w:eastAsia="Times New Roman" w:cs="Tahoma"/>
        </w:rPr>
      </w:pPr>
      <w:r w:rsidRPr="001B4D5A">
        <w:rPr>
          <w:rFonts w:eastAsia="Times New Roman" w:cs="Tahoma"/>
        </w:rPr>
        <w:t xml:space="preserve">2. l’allocation de subventions pour le financement des activités des centres de santé selon les critères définis annuellement ; </w:t>
      </w:r>
    </w:p>
    <w:p w:rsidR="00A042F2" w:rsidRPr="001B4D5A" w:rsidRDefault="00A042F2" w:rsidP="00460F5E">
      <w:pPr>
        <w:autoSpaceDE w:val="0"/>
        <w:autoSpaceDN w:val="0"/>
        <w:adjustRightInd w:val="0"/>
        <w:spacing w:after="134" w:line="240" w:lineRule="auto"/>
        <w:rPr>
          <w:rFonts w:eastAsia="Times New Roman" w:cs="Tahoma"/>
        </w:rPr>
      </w:pPr>
      <w:r w:rsidRPr="001B4D5A">
        <w:rPr>
          <w:rFonts w:eastAsia="Times New Roman" w:cs="Tahoma"/>
        </w:rPr>
        <w:t xml:space="preserve">3. la mise en place de fonds de roulement (stock initial de médicaments essentiels) du dépôt de vente des centres et postes de santé ; </w:t>
      </w:r>
    </w:p>
    <w:p w:rsidR="00A042F2" w:rsidRPr="001B4D5A" w:rsidRDefault="00A042F2" w:rsidP="00460F5E">
      <w:pPr>
        <w:autoSpaceDE w:val="0"/>
        <w:autoSpaceDN w:val="0"/>
        <w:adjustRightInd w:val="0"/>
        <w:spacing w:after="134" w:line="240" w:lineRule="auto"/>
        <w:rPr>
          <w:rFonts w:eastAsia="Times New Roman" w:cs="Tahoma"/>
        </w:rPr>
      </w:pPr>
      <w:r w:rsidRPr="001B4D5A">
        <w:rPr>
          <w:rFonts w:eastAsia="Times New Roman" w:cs="Tahoma"/>
        </w:rPr>
        <w:t xml:space="preserve">4. la contribution pour la prise en charge de certains agents au compte des centres et postes de santé, ainsi que les agents de santé communautaires; </w:t>
      </w:r>
    </w:p>
    <w:p w:rsidR="00A042F2" w:rsidRPr="001B4D5A" w:rsidRDefault="00A042F2" w:rsidP="00460F5E">
      <w:pPr>
        <w:autoSpaceDE w:val="0"/>
        <w:autoSpaceDN w:val="0"/>
        <w:adjustRightInd w:val="0"/>
        <w:spacing w:after="134" w:line="240" w:lineRule="auto"/>
        <w:rPr>
          <w:rFonts w:eastAsia="Times New Roman" w:cs="Tahoma"/>
        </w:rPr>
      </w:pPr>
      <w:r w:rsidRPr="001B4D5A">
        <w:rPr>
          <w:rFonts w:eastAsia="Times New Roman" w:cs="Tahoma"/>
        </w:rPr>
        <w:t xml:space="preserve">5. la maîtrise d’ouvrage des travaux de constructions/réhabilitations et l’équipement des centres et postes de santé ; </w:t>
      </w:r>
    </w:p>
    <w:p w:rsidR="00A042F2" w:rsidRPr="001B4D5A" w:rsidRDefault="00A042F2" w:rsidP="00460F5E">
      <w:pPr>
        <w:autoSpaceDE w:val="0"/>
        <w:autoSpaceDN w:val="0"/>
        <w:adjustRightInd w:val="0"/>
        <w:spacing w:after="134" w:line="240" w:lineRule="auto"/>
        <w:rPr>
          <w:rFonts w:eastAsia="Times New Roman" w:cs="Tahoma"/>
        </w:rPr>
      </w:pPr>
      <w:r w:rsidRPr="001B4D5A">
        <w:rPr>
          <w:rFonts w:eastAsia="Times New Roman" w:cs="Tahoma"/>
        </w:rPr>
        <w:t xml:space="preserve">6. la délivrance et/ou le retrait des autorisations de création des centres de santé ; </w:t>
      </w:r>
    </w:p>
    <w:p w:rsidR="00A042F2" w:rsidRPr="001B4D5A" w:rsidRDefault="00A042F2" w:rsidP="00460F5E">
      <w:pPr>
        <w:autoSpaceDE w:val="0"/>
        <w:autoSpaceDN w:val="0"/>
        <w:adjustRightInd w:val="0"/>
        <w:spacing w:after="134" w:line="240" w:lineRule="auto"/>
        <w:rPr>
          <w:rFonts w:eastAsia="Times New Roman" w:cs="Tahoma"/>
        </w:rPr>
      </w:pPr>
      <w:r w:rsidRPr="001B4D5A">
        <w:rPr>
          <w:rFonts w:eastAsia="Times New Roman" w:cs="Tahoma"/>
        </w:rPr>
        <w:t xml:space="preserve">7. le suivi et le contrôle de gestion des Comités de santé ; </w:t>
      </w:r>
    </w:p>
    <w:p w:rsidR="00A042F2" w:rsidRPr="001B4D5A" w:rsidRDefault="00A042F2" w:rsidP="00460F5E">
      <w:pPr>
        <w:autoSpaceDE w:val="0"/>
        <w:autoSpaceDN w:val="0"/>
        <w:adjustRightInd w:val="0"/>
        <w:spacing w:after="134" w:line="240" w:lineRule="auto"/>
        <w:rPr>
          <w:rFonts w:eastAsia="Times New Roman" w:cs="Tahoma"/>
        </w:rPr>
      </w:pPr>
      <w:r w:rsidRPr="001B4D5A">
        <w:rPr>
          <w:rFonts w:eastAsia="Times New Roman" w:cs="Tahoma"/>
        </w:rPr>
        <w:t xml:space="preserve">8. l’hygiène publique (assainissement du milieu, sécurité sanitaires des aliments ; utilisation des latrines et de l’eau potable…) ; </w:t>
      </w:r>
    </w:p>
    <w:p w:rsidR="0084758A" w:rsidRPr="001B4D5A" w:rsidRDefault="00A042F2" w:rsidP="00460F5E">
      <w:r w:rsidRPr="001B4D5A">
        <w:t xml:space="preserve">9. la campagne d’information et la participation aux campagnes sanitaires (mobilisation sociale) </w:t>
      </w:r>
    </w:p>
    <w:p w:rsidR="00A042F2" w:rsidRPr="001B4D5A" w:rsidRDefault="00A042F2" w:rsidP="00460F5E">
      <w:r w:rsidRPr="001B4D5A">
        <w:t xml:space="preserve">10. le suivi et le contrôle de la transmission effective des données du système d’information sanitaire (y compris les données financières). </w:t>
      </w:r>
    </w:p>
    <w:p w:rsidR="00A042F2" w:rsidRPr="001B4D5A" w:rsidRDefault="00A042F2" w:rsidP="00460F5E">
      <w:pPr>
        <w:pStyle w:val="Paragraphedeliste"/>
        <w:numPr>
          <w:ilvl w:val="0"/>
          <w:numId w:val="73"/>
        </w:numPr>
        <w:spacing w:after="0" w:line="240" w:lineRule="auto"/>
        <w:jc w:val="both"/>
        <w:rPr>
          <w:rFonts w:eastAsia="Times New Roman" w:cs="Tahoma"/>
        </w:rPr>
      </w:pPr>
      <w:r w:rsidRPr="001B4D5A">
        <w:rPr>
          <w:rFonts w:eastAsia="Times New Roman" w:cs="Tahoma"/>
        </w:rPr>
        <w:t xml:space="preserve">Dans ces districts sélectionnés, l’allocation de fonds catalytique du Fonds mondial ne pourra couvrir que 80% des besoins. </w:t>
      </w:r>
    </w:p>
    <w:p w:rsidR="00A042F2" w:rsidRPr="001B4D5A" w:rsidRDefault="00A042F2" w:rsidP="00460F5E">
      <w:pPr>
        <w:spacing w:after="0" w:line="240" w:lineRule="auto"/>
        <w:ind w:left="720"/>
        <w:jc w:val="both"/>
        <w:rPr>
          <w:rFonts w:eastAsia="Times New Roman" w:cs="Tahoma"/>
        </w:rPr>
      </w:pPr>
    </w:p>
    <w:p w:rsidR="00A042F2" w:rsidRPr="001B4D5A" w:rsidRDefault="00A042F2" w:rsidP="00460F5E">
      <w:pPr>
        <w:spacing w:after="0" w:line="240" w:lineRule="auto"/>
        <w:jc w:val="both"/>
        <w:rPr>
          <w:rFonts w:eastAsia="Times New Roman" w:cs="Tahoma"/>
        </w:rPr>
      </w:pPr>
      <w:r w:rsidRPr="001B4D5A">
        <w:rPr>
          <w:rFonts w:eastAsia="Times New Roman" w:cs="Tahoma"/>
        </w:rPr>
        <w:t xml:space="preserve">On note également, la faible contribution des PTF dans le développement des activités communautaires malgré la disponibilité des ressources humaines au niveau des CS/PS et des DPS. Le district sanitaire de Kindia compte un total de 349 agents de santé toutes catégories socioprofessionnelles et 168  agents de santé travaillent à la DPS de Télimelé. L’accessibilité </w:t>
      </w:r>
      <w:r w:rsidRPr="001B4D5A">
        <w:rPr>
          <w:rFonts w:eastAsia="Times New Roman" w:cs="Tahoma"/>
        </w:rPr>
        <w:lastRenderedPageBreak/>
        <w:t>géographique  des (2) districts facilitera le suivi rapproché par les équipes cadres du niveau central et des districts sanitaires du processus de mise en œuvre des interventions proposées et figure parmi les   facteurs qui ont motivé le choix des préfectures  de Kindia et de Télimélé.</w:t>
      </w:r>
    </w:p>
    <w:p w:rsidR="00A042F2" w:rsidRPr="001B4D5A" w:rsidRDefault="00A042F2" w:rsidP="00460F5E">
      <w:pPr>
        <w:spacing w:after="0" w:line="240" w:lineRule="auto"/>
        <w:jc w:val="both"/>
        <w:rPr>
          <w:rFonts w:eastAsia="Times New Roman" w:cs="Tahoma"/>
        </w:rPr>
      </w:pPr>
    </w:p>
    <w:p w:rsidR="00A042F2" w:rsidRPr="001B4D5A" w:rsidRDefault="00A042F2" w:rsidP="00460F5E">
      <w:pPr>
        <w:spacing w:after="0" w:line="240" w:lineRule="auto"/>
        <w:jc w:val="both"/>
        <w:rPr>
          <w:rFonts w:eastAsia="Times New Roman" w:cs="Tahoma"/>
        </w:rPr>
      </w:pPr>
    </w:p>
    <w:p w:rsidR="00A042F2" w:rsidRPr="001B4D5A" w:rsidRDefault="000A7421" w:rsidP="00460F5E">
      <w:pPr>
        <w:pStyle w:val="Titre3"/>
      </w:pPr>
      <w:bookmarkStart w:id="115" w:name="_Toc513041181"/>
      <w:r w:rsidRPr="001B4D5A">
        <w:t xml:space="preserve">7.1.2 </w:t>
      </w:r>
      <w:r w:rsidR="00A042F2" w:rsidRPr="001B4D5A">
        <w:t>Les interventions suivantes seront développées selon les deux modules du domaine stratégique prioritaire ci-dessous :</w:t>
      </w:r>
      <w:bookmarkEnd w:id="115"/>
    </w:p>
    <w:p w:rsidR="00A042F2" w:rsidRPr="001B4D5A" w:rsidRDefault="00A042F2" w:rsidP="00460F5E">
      <w:pPr>
        <w:pStyle w:val="Titre4"/>
      </w:pPr>
      <w:r w:rsidRPr="001B4D5A">
        <w:t xml:space="preserve">Le développement des ressources humaines au niveau communautaire : </w:t>
      </w:r>
    </w:p>
    <w:p w:rsidR="00A042F2" w:rsidRPr="001B4D5A" w:rsidRDefault="00A042F2" w:rsidP="00460F5E">
      <w:pPr>
        <w:pStyle w:val="Paragraphedeliste"/>
        <w:numPr>
          <w:ilvl w:val="0"/>
          <w:numId w:val="74"/>
        </w:numPr>
        <w:spacing w:after="160" w:line="259" w:lineRule="auto"/>
        <w:jc w:val="both"/>
        <w:rPr>
          <w:rFonts w:cs="Tahoma"/>
          <w:szCs w:val="24"/>
        </w:rPr>
      </w:pPr>
      <w:r w:rsidRPr="001B4D5A">
        <w:rPr>
          <w:rFonts w:cs="Tahoma"/>
          <w:szCs w:val="24"/>
        </w:rPr>
        <w:t xml:space="preserve">Rendre disponibles des Agents de Santé Communautaires (ASC) motivés et de qualité selon les normes d’effectifs définies dans le document de politique de santé communautaire du Ministère de la santé, « un agent de santé communautaire pour 650 habitants » (Février 2017). Cette disponibilité ne sera efficace que par la mise en œuvre des interventions portant sur la rémunération, la motivation et la fidélisation. Il sera aussi question de la mise en place d’une plateforme nationale pour faciliter l’harmonisation des activités liées aux ressources humaines pour la santé dans le pays. Des réflexions sont en cours pour la mise en place d’une plateforme en santé communautaire ; </w:t>
      </w:r>
    </w:p>
    <w:p w:rsidR="00A042F2" w:rsidRPr="001B4D5A" w:rsidRDefault="00A042F2" w:rsidP="00460F5E">
      <w:pPr>
        <w:pStyle w:val="Paragraphedeliste"/>
        <w:numPr>
          <w:ilvl w:val="0"/>
          <w:numId w:val="74"/>
        </w:numPr>
        <w:spacing w:after="160" w:line="259" w:lineRule="auto"/>
        <w:jc w:val="both"/>
        <w:rPr>
          <w:rFonts w:cs="Tahoma"/>
          <w:color w:val="FF0000"/>
          <w:szCs w:val="24"/>
        </w:rPr>
      </w:pPr>
      <w:r w:rsidRPr="001B4D5A">
        <w:rPr>
          <w:rFonts w:cs="Tahoma"/>
          <w:szCs w:val="24"/>
        </w:rPr>
        <w:t>Renforcer les capacités techniques des personnels de santé des structures de base des districts sanitaires de Kindia et de Télimélé (CS, PS), « 28 CS et 118 PS » ;</w:t>
      </w:r>
    </w:p>
    <w:p w:rsidR="00A042F2" w:rsidRPr="001B4D5A" w:rsidRDefault="00A042F2" w:rsidP="00460F5E">
      <w:pPr>
        <w:pStyle w:val="Paragraphedeliste"/>
        <w:numPr>
          <w:ilvl w:val="0"/>
          <w:numId w:val="74"/>
        </w:numPr>
        <w:spacing w:after="160" w:line="259" w:lineRule="auto"/>
        <w:jc w:val="both"/>
        <w:rPr>
          <w:rFonts w:cs="Tahoma"/>
          <w:szCs w:val="24"/>
        </w:rPr>
      </w:pPr>
      <w:r w:rsidRPr="001B4D5A">
        <w:rPr>
          <w:rFonts w:cs="Tahoma"/>
          <w:szCs w:val="24"/>
        </w:rPr>
        <w:t>Renforcer la capacité de supervision intégrée des DPS/DRS et du niveau central ;</w:t>
      </w:r>
    </w:p>
    <w:p w:rsidR="00A042F2" w:rsidRPr="001B4D5A" w:rsidRDefault="00A042F2" w:rsidP="00460F5E">
      <w:pPr>
        <w:pStyle w:val="Paragraphedeliste"/>
        <w:numPr>
          <w:ilvl w:val="0"/>
          <w:numId w:val="74"/>
        </w:numPr>
        <w:spacing w:after="160" w:line="259" w:lineRule="auto"/>
        <w:jc w:val="both"/>
        <w:rPr>
          <w:rFonts w:cs="Tahoma"/>
          <w:szCs w:val="24"/>
        </w:rPr>
      </w:pPr>
      <w:r w:rsidRPr="001B4D5A">
        <w:rPr>
          <w:rFonts w:cs="Tahoma"/>
          <w:szCs w:val="24"/>
        </w:rPr>
        <w:t>Promouvoir le dialogue social à travers les organisations à base communautaire ;</w:t>
      </w:r>
    </w:p>
    <w:p w:rsidR="00A042F2" w:rsidRPr="001B4D5A" w:rsidRDefault="00A042F2" w:rsidP="00460F5E">
      <w:pPr>
        <w:pStyle w:val="Paragraphedeliste"/>
        <w:numPr>
          <w:ilvl w:val="0"/>
          <w:numId w:val="74"/>
        </w:numPr>
        <w:spacing w:after="160" w:line="259" w:lineRule="auto"/>
        <w:jc w:val="both"/>
        <w:rPr>
          <w:rFonts w:cs="Tahoma"/>
          <w:szCs w:val="24"/>
        </w:rPr>
      </w:pPr>
      <w:r w:rsidRPr="001B4D5A">
        <w:rPr>
          <w:rFonts w:cs="Tahoma"/>
          <w:szCs w:val="24"/>
        </w:rPr>
        <w:t>Retenir et renforcer le personnel de santé dans les 2 districts sanitaires et la DRS (1 DRS, 2 DPS, 28 CS, 118 PS).</w:t>
      </w:r>
    </w:p>
    <w:p w:rsidR="001B4D5A" w:rsidRPr="001B4D5A" w:rsidRDefault="001B4D5A" w:rsidP="00460F5E">
      <w:pPr>
        <w:pStyle w:val="Titre4"/>
      </w:pPr>
    </w:p>
    <w:p w:rsidR="00A042F2" w:rsidRPr="001B4D5A" w:rsidRDefault="00A042F2" w:rsidP="00460F5E">
      <w:pPr>
        <w:pStyle w:val="Titre4"/>
      </w:pPr>
      <w:r w:rsidRPr="001B4D5A">
        <w:t xml:space="preserve">Les prestations des services intégrés au niveau communautaire : </w:t>
      </w:r>
    </w:p>
    <w:p w:rsidR="00A042F2" w:rsidRPr="001B4D5A" w:rsidRDefault="00A042F2" w:rsidP="00460F5E">
      <w:pPr>
        <w:jc w:val="both"/>
        <w:rPr>
          <w:rFonts w:cs="Tahoma"/>
        </w:rPr>
      </w:pPr>
      <w:r w:rsidRPr="001B4D5A">
        <w:rPr>
          <w:rFonts w:cs="Tahoma"/>
        </w:rPr>
        <w:t>Les prestations de services tiennent compte des activités promotionnelles, préventives et curatives contre le VIH/sida, la tuberculose et le paludisme et la santé maternelle, néonatale, infantile, des jeunes et des adolescents au niveau communautaire et des structures de base. Il s’agira essentiellement de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Faciliter le dépistage du VIH et du paludisme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Faciliter le dépistage précoce de la tuberculose chez les enfants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Assurer la distribution des contraceptifs, des moustiquaires imprégnées d’insecticides et des préservatifs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Assurer l’administration de la chimio-prophylaxie saisonnière du paludisme chez les enfants de 0 à 5 ans et les femmes enceintes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Assurer la médiation pour l’utilisation de la PTME dans la communauté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Rendre disponible les médicaments et produits de santé au niveau communautaire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Améliorer le système d’information sanitaire au niveau communautaire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Renforcer le plateau technique des structures de santé de base (CS, PS) en petits matériels de soins d’urgence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Doter les agents de santé communautaires en kits ASC selon les normes définies par la politique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Renforcer le leadership, le management et la gouvernance au niveau des districts sanitaires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lastRenderedPageBreak/>
        <w:t>Renforcer les capacités des Organisations de la Société Civile (OSC) en communication et mobilisation sociale ;</w:t>
      </w:r>
    </w:p>
    <w:p w:rsidR="00A042F2" w:rsidRPr="001B4D5A" w:rsidRDefault="00A042F2" w:rsidP="00460F5E">
      <w:pPr>
        <w:pStyle w:val="Paragraphedeliste"/>
        <w:numPr>
          <w:ilvl w:val="0"/>
          <w:numId w:val="75"/>
        </w:numPr>
        <w:spacing w:after="160" w:line="259" w:lineRule="auto"/>
        <w:jc w:val="both"/>
        <w:rPr>
          <w:rFonts w:cs="Tahoma"/>
        </w:rPr>
      </w:pPr>
      <w:r w:rsidRPr="001B4D5A">
        <w:rPr>
          <w:rFonts w:cs="Tahoma"/>
        </w:rPr>
        <w:t>Faciliter l’orientation des cas vers les structures de base.</w:t>
      </w:r>
    </w:p>
    <w:p w:rsidR="00FE1688" w:rsidRDefault="00A042F2" w:rsidP="00460F5E">
      <w:pPr>
        <w:jc w:val="both"/>
        <w:rPr>
          <w:rFonts w:cs="Tahoma"/>
        </w:rPr>
      </w:pPr>
      <w:r w:rsidRPr="001B4D5A">
        <w:rPr>
          <w:rFonts w:cs="Tahoma"/>
        </w:rPr>
        <w:t xml:space="preserve">Les investissements supplémentaires proposés dans le cadre des ressources humaines et la prestation de services intégrés contribueront à maximiser l’impact de lutte contre la maladie en Guinée comme le montre le tableau ci-dessous. </w:t>
      </w:r>
    </w:p>
    <w:p w:rsidR="00FE1688" w:rsidRPr="00FE1688" w:rsidRDefault="00FE1688" w:rsidP="00460F5E">
      <w:pPr>
        <w:jc w:val="both"/>
        <w:rPr>
          <w:rFonts w:cs="Tahoma"/>
          <w:sz w:val="4"/>
          <w:szCs w:val="4"/>
        </w:rPr>
      </w:pPr>
    </w:p>
    <w:p w:rsidR="00A042F2" w:rsidRPr="00460F5E" w:rsidRDefault="00A042F2" w:rsidP="00460F5E">
      <w:pPr>
        <w:jc w:val="both"/>
        <w:rPr>
          <w:rFonts w:cs="Tahoma"/>
        </w:rPr>
      </w:pPr>
      <w:r w:rsidRPr="001B4D5A">
        <w:rPr>
          <w:rFonts w:cs="Tahoma"/>
        </w:rPr>
        <w:t xml:space="preserve">Sur les </w:t>
      </w:r>
      <w:r w:rsidRPr="001B4D5A">
        <w:rPr>
          <w:rFonts w:cs="Tahoma"/>
          <w:b/>
        </w:rPr>
        <w:t>3 000 000</w:t>
      </w:r>
      <w:r w:rsidRPr="001B4D5A">
        <w:rPr>
          <w:rFonts w:cs="Tahoma"/>
        </w:rPr>
        <w:t xml:space="preserve"> USD alloués, </w:t>
      </w:r>
      <w:r w:rsidRPr="001B4D5A">
        <w:rPr>
          <w:rFonts w:cs="Tahoma"/>
          <w:b/>
        </w:rPr>
        <w:t>2 312 174 USD</w:t>
      </w:r>
      <w:r w:rsidRPr="001B4D5A">
        <w:rPr>
          <w:rFonts w:cs="Tahoma"/>
        </w:rPr>
        <w:t xml:space="preserve"> seront affectés aux ressources humaines, </w:t>
      </w:r>
      <w:r w:rsidRPr="001B4D5A">
        <w:rPr>
          <w:rFonts w:cs="Tahoma"/>
          <w:b/>
        </w:rPr>
        <w:t>237 826 USD</w:t>
      </w:r>
      <w:r w:rsidRPr="001B4D5A">
        <w:rPr>
          <w:rFonts w:cs="Tahoma"/>
        </w:rPr>
        <w:t xml:space="preserve"> à la prestation de services intégrés et </w:t>
      </w:r>
      <w:r w:rsidRPr="001B4D5A">
        <w:rPr>
          <w:rFonts w:cs="Tahoma"/>
          <w:b/>
        </w:rPr>
        <w:t>450 000 USD</w:t>
      </w:r>
      <w:r w:rsidRPr="001B4D5A">
        <w:rPr>
          <w:rFonts w:cs="Tahoma"/>
        </w:rPr>
        <w:t xml:space="preserve"> comme frais de gestion.</w:t>
      </w:r>
    </w:p>
    <w:p w:rsidR="002A038A" w:rsidRPr="003F303F" w:rsidRDefault="002A038A" w:rsidP="00460F5E">
      <w:pPr>
        <w:rPr>
          <w:sz w:val="12"/>
          <w:szCs w:val="12"/>
        </w:rPr>
      </w:pPr>
    </w:p>
    <w:p w:rsidR="00FE1688" w:rsidRPr="006358DC" w:rsidRDefault="00FE1688" w:rsidP="00FE1688">
      <w:pPr>
        <w:rPr>
          <w:b/>
        </w:rPr>
      </w:pPr>
      <w:bookmarkStart w:id="116" w:name="_Toc514049954"/>
      <w:r w:rsidRPr="006358DC">
        <w:rPr>
          <w:rFonts w:eastAsia="Arial"/>
          <w:b/>
          <w:bdr w:val="nil"/>
        </w:rPr>
        <w:t xml:space="preserve">Module </w:t>
      </w:r>
      <w:r w:rsidRPr="006358DC">
        <w:rPr>
          <w:b/>
        </w:rPr>
        <w:t>Développement des ressources humaines au niveau communautaire</w:t>
      </w:r>
      <w:bookmarkEnd w:id="116"/>
      <w:r w:rsidRPr="006358DC">
        <w:rPr>
          <w:b/>
        </w:rPr>
        <w:t> </w:t>
      </w:r>
    </w:p>
    <w:tbl>
      <w:tblPr>
        <w:tblW w:w="879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519"/>
        <w:gridCol w:w="1280"/>
      </w:tblGrid>
      <w:tr w:rsidR="00FE1688" w:rsidRPr="00460F5E" w:rsidTr="0075107F">
        <w:trPr>
          <w:trHeight w:val="533"/>
          <w:jc w:val="center"/>
        </w:trPr>
        <w:tc>
          <w:tcPr>
            <w:tcW w:w="7519" w:type="dxa"/>
            <w:shd w:val="clear" w:color="auto" w:fill="F2F2F2"/>
            <w:vAlign w:val="center"/>
          </w:tcPr>
          <w:p w:rsidR="00FE1688" w:rsidRPr="00936FED" w:rsidRDefault="00FE1688" w:rsidP="0075107F">
            <w:pPr>
              <w:spacing w:after="0" w:line="240" w:lineRule="auto"/>
              <w:jc w:val="center"/>
              <w:rPr>
                <w:rFonts w:eastAsia="Calibri" w:cs="Tahoma"/>
                <w:color w:val="AEAAAA"/>
              </w:rPr>
            </w:pPr>
            <w:r w:rsidRPr="00936FED">
              <w:rPr>
                <w:rFonts w:eastAsia="Arial" w:cs="Tahoma"/>
                <w:b/>
                <w:bCs/>
                <w:bdr w:val="nil"/>
              </w:rPr>
              <w:t xml:space="preserve">Brève description des activités à entreprendre </w:t>
            </w:r>
          </w:p>
        </w:tc>
        <w:tc>
          <w:tcPr>
            <w:tcW w:w="1280" w:type="dxa"/>
            <w:shd w:val="clear" w:color="auto" w:fill="F2F2F2"/>
            <w:vAlign w:val="center"/>
          </w:tcPr>
          <w:p w:rsidR="00FE1688" w:rsidRPr="00460F5E" w:rsidRDefault="00FE1688" w:rsidP="0075107F">
            <w:pPr>
              <w:spacing w:after="0" w:line="240" w:lineRule="auto"/>
              <w:jc w:val="center"/>
              <w:rPr>
                <w:rFonts w:eastAsia="Arial" w:cs="Tahoma"/>
                <w:b/>
                <w:bCs/>
                <w:sz w:val="20"/>
                <w:szCs w:val="20"/>
                <w:bdr w:val="nil"/>
              </w:rPr>
            </w:pPr>
            <w:r w:rsidRPr="00460F5E">
              <w:rPr>
                <w:rFonts w:eastAsia="Arial" w:cs="Tahoma"/>
                <w:b/>
                <w:bCs/>
                <w:sz w:val="20"/>
                <w:szCs w:val="20"/>
                <w:bdr w:val="nil"/>
              </w:rPr>
              <w:t>Montant demandé</w:t>
            </w:r>
          </w:p>
        </w:tc>
      </w:tr>
      <w:tr w:rsidR="00FE1688" w:rsidRPr="00460F5E" w:rsidTr="0075107F">
        <w:trPr>
          <w:trHeight w:val="400"/>
          <w:jc w:val="center"/>
        </w:trPr>
        <w:tc>
          <w:tcPr>
            <w:tcW w:w="7519" w:type="dxa"/>
            <w:vAlign w:val="center"/>
          </w:tcPr>
          <w:p w:rsidR="00FE1688" w:rsidRPr="00460F5E" w:rsidRDefault="00FE1688" w:rsidP="0075107F">
            <w:pPr>
              <w:spacing w:after="0" w:line="240" w:lineRule="auto"/>
              <w:rPr>
                <w:rFonts w:cs="Tahoma"/>
                <w:b/>
                <w:sz w:val="20"/>
                <w:szCs w:val="20"/>
              </w:rPr>
            </w:pPr>
            <w:r w:rsidRPr="007C6435">
              <w:rPr>
                <w:rFonts w:cs="Tahoma"/>
                <w:sz w:val="20"/>
                <w:szCs w:val="20"/>
              </w:rPr>
              <w:t>Rendre disponibles et fonctionnels 1055 Agents de Santé Communautaire (ASC) motivés et de qualifiés dans 2 districts sanitaires (Kindia et Télimelé) selon les normes d’effectifs définies dans le document de politique de santé communautaire du Ministère de la santé</w:t>
            </w:r>
          </w:p>
        </w:tc>
        <w:tc>
          <w:tcPr>
            <w:tcW w:w="1280" w:type="dxa"/>
          </w:tcPr>
          <w:p w:rsidR="00FE1688" w:rsidRPr="00460F5E" w:rsidRDefault="00FE1688" w:rsidP="0075107F">
            <w:pPr>
              <w:spacing w:after="0" w:line="240" w:lineRule="auto"/>
              <w:rPr>
                <w:rFonts w:eastAsia="Calibri" w:cs="Tahoma"/>
                <w:sz w:val="20"/>
                <w:szCs w:val="20"/>
              </w:rPr>
            </w:pPr>
          </w:p>
        </w:tc>
      </w:tr>
      <w:tr w:rsidR="00FE1688" w:rsidRPr="00460F5E" w:rsidTr="0075107F">
        <w:trPr>
          <w:trHeight w:val="400"/>
          <w:jc w:val="center"/>
        </w:trPr>
        <w:tc>
          <w:tcPr>
            <w:tcW w:w="7519" w:type="dxa"/>
            <w:vAlign w:val="center"/>
          </w:tcPr>
          <w:p w:rsidR="00FE1688" w:rsidRPr="00460F5E" w:rsidRDefault="00FE1688" w:rsidP="0075107F">
            <w:pPr>
              <w:spacing w:after="0" w:line="240" w:lineRule="auto"/>
              <w:rPr>
                <w:rFonts w:eastAsia="Calibri" w:cs="Tahoma"/>
                <w:sz w:val="20"/>
                <w:szCs w:val="20"/>
              </w:rPr>
            </w:pPr>
            <w:r w:rsidRPr="00460F5E">
              <w:rPr>
                <w:rFonts w:cs="Tahoma"/>
                <w:b/>
                <w:sz w:val="20"/>
                <w:szCs w:val="20"/>
              </w:rPr>
              <w:t xml:space="preserve">Recrutement 80% ASC  dans les 2 districts soit 1055 sur  1319 ASC attendus. </w:t>
            </w:r>
          </w:p>
        </w:tc>
        <w:tc>
          <w:tcPr>
            <w:tcW w:w="1280" w:type="dxa"/>
          </w:tcPr>
          <w:p w:rsidR="00FE1688" w:rsidRPr="00460F5E" w:rsidRDefault="00FE1688" w:rsidP="0075107F">
            <w:pPr>
              <w:spacing w:after="0" w:line="240" w:lineRule="auto"/>
              <w:rPr>
                <w:rFonts w:eastAsia="Calibri" w:cs="Tahoma"/>
                <w:sz w:val="20"/>
                <w:szCs w:val="20"/>
              </w:rPr>
            </w:pPr>
          </w:p>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w:t>
            </w:r>
          </w:p>
        </w:tc>
      </w:tr>
      <w:tr w:rsidR="00FE1688" w:rsidRPr="00460F5E" w:rsidTr="0075107F">
        <w:trPr>
          <w:trHeight w:val="1431"/>
          <w:jc w:val="center"/>
        </w:trPr>
        <w:tc>
          <w:tcPr>
            <w:tcW w:w="7519" w:type="dxa"/>
            <w:vAlign w:val="center"/>
          </w:tcPr>
          <w:p w:rsidR="00FE1688" w:rsidRPr="00460F5E" w:rsidRDefault="00FE1688" w:rsidP="0075107F">
            <w:pPr>
              <w:spacing w:after="0" w:line="240" w:lineRule="auto"/>
              <w:rPr>
                <w:rFonts w:eastAsia="Calibri" w:cs="Tahoma"/>
                <w:sz w:val="20"/>
                <w:szCs w:val="20"/>
              </w:rPr>
            </w:pPr>
            <w:r w:rsidRPr="00460F5E">
              <w:rPr>
                <w:rFonts w:cs="Tahoma"/>
                <w:b/>
              </w:rPr>
              <w:t>Rémunération financière des ASC :</w:t>
            </w:r>
            <w:r w:rsidRPr="00460F5E">
              <w:rPr>
                <w:rFonts w:cs="Tahoma"/>
              </w:rPr>
              <w:t xml:space="preserve"> </w:t>
            </w:r>
            <w:r w:rsidRPr="00460F5E">
              <w:rPr>
                <w:rFonts w:eastAsia="Calibri" w:cs="Tahoma"/>
                <w:sz w:val="20"/>
                <w:szCs w:val="20"/>
              </w:rPr>
              <w:t>La rémunération des ASC sera sur la base des contrats de performance établis entre la DPS, la commune et l’ASC au taux du SMIG (</w:t>
            </w:r>
            <w:r w:rsidRPr="00460F5E">
              <w:rPr>
                <w:rFonts w:eastAsia="Calibri" w:cs="Tahoma"/>
                <w:b/>
                <w:sz w:val="20"/>
                <w:szCs w:val="20"/>
              </w:rPr>
              <w:t xml:space="preserve">50 </w:t>
            </w:r>
            <w:r w:rsidRPr="00460F5E">
              <w:rPr>
                <w:rFonts w:eastAsia="Calibri" w:cs="Tahoma"/>
                <w:sz w:val="20"/>
                <w:szCs w:val="20"/>
              </w:rPr>
              <w:t xml:space="preserve">USD/mois/pers). </w:t>
            </w:r>
          </w:p>
          <w:p w:rsidR="00FE1688" w:rsidRPr="00460F5E" w:rsidRDefault="00FE1688" w:rsidP="0075107F">
            <w:pPr>
              <w:spacing w:after="0" w:line="240" w:lineRule="auto"/>
              <w:rPr>
                <w:rFonts w:eastAsia="Calibri" w:cs="Tahoma"/>
                <w:sz w:val="20"/>
                <w:szCs w:val="20"/>
              </w:rPr>
            </w:pPr>
            <w:r w:rsidRPr="00460F5E">
              <w:rPr>
                <w:rFonts w:eastAsia="Calibri" w:cs="Tahoma"/>
                <w:b/>
                <w:sz w:val="20"/>
                <w:szCs w:val="20"/>
              </w:rPr>
              <w:t xml:space="preserve">996 </w:t>
            </w:r>
            <w:r w:rsidRPr="00460F5E">
              <w:rPr>
                <w:rFonts w:eastAsia="Calibri" w:cs="Tahoma"/>
                <w:sz w:val="20"/>
                <w:szCs w:val="20"/>
              </w:rPr>
              <w:t>ASC au cours de la 1</w:t>
            </w:r>
            <w:r w:rsidRPr="00460F5E">
              <w:rPr>
                <w:rFonts w:eastAsia="Calibri" w:cs="Tahoma"/>
                <w:sz w:val="20"/>
                <w:szCs w:val="20"/>
                <w:vertAlign w:val="superscript"/>
              </w:rPr>
              <w:t>ère</w:t>
            </w:r>
            <w:r w:rsidRPr="00460F5E">
              <w:rPr>
                <w:rFonts w:eastAsia="Calibri" w:cs="Tahoma"/>
                <w:sz w:val="20"/>
                <w:szCs w:val="20"/>
              </w:rPr>
              <w:t xml:space="preserve"> année, </w:t>
            </w:r>
            <w:r w:rsidRPr="00460F5E">
              <w:rPr>
                <w:rFonts w:eastAsia="Calibri" w:cs="Tahoma"/>
                <w:b/>
                <w:sz w:val="20"/>
                <w:szCs w:val="20"/>
              </w:rPr>
              <w:t xml:space="preserve">1025 </w:t>
            </w:r>
            <w:r w:rsidRPr="00460F5E">
              <w:rPr>
                <w:rFonts w:eastAsia="Calibri" w:cs="Tahoma"/>
                <w:sz w:val="20"/>
                <w:szCs w:val="20"/>
              </w:rPr>
              <w:t>ASC au cours de la 2</w:t>
            </w:r>
            <w:r w:rsidRPr="00460F5E">
              <w:rPr>
                <w:rFonts w:eastAsia="Calibri" w:cs="Tahoma"/>
                <w:sz w:val="20"/>
                <w:szCs w:val="20"/>
                <w:vertAlign w:val="superscript"/>
              </w:rPr>
              <w:t>ème</w:t>
            </w:r>
            <w:r w:rsidRPr="00460F5E">
              <w:rPr>
                <w:rFonts w:eastAsia="Calibri" w:cs="Tahoma"/>
                <w:sz w:val="20"/>
                <w:szCs w:val="20"/>
              </w:rPr>
              <w:t xml:space="preserve"> année et  </w:t>
            </w:r>
            <w:r w:rsidRPr="00460F5E">
              <w:rPr>
                <w:rFonts w:eastAsia="Calibri" w:cs="Tahoma"/>
                <w:b/>
                <w:sz w:val="20"/>
                <w:szCs w:val="20"/>
              </w:rPr>
              <w:t>1055</w:t>
            </w:r>
            <w:r w:rsidRPr="00460F5E">
              <w:rPr>
                <w:rFonts w:eastAsia="Calibri" w:cs="Tahoma"/>
                <w:sz w:val="20"/>
                <w:szCs w:val="20"/>
              </w:rPr>
              <w:t xml:space="preserve"> ASC la 3</w:t>
            </w:r>
            <w:r w:rsidRPr="00460F5E">
              <w:rPr>
                <w:rFonts w:eastAsia="Calibri" w:cs="Tahoma"/>
                <w:sz w:val="20"/>
                <w:szCs w:val="20"/>
                <w:vertAlign w:val="superscript"/>
              </w:rPr>
              <w:t>ème</w:t>
            </w:r>
            <w:r w:rsidRPr="00460F5E">
              <w:rPr>
                <w:rFonts w:eastAsia="Calibri" w:cs="Tahoma"/>
                <w:sz w:val="20"/>
                <w:szCs w:val="20"/>
              </w:rPr>
              <w:t xml:space="preserve"> année.</w:t>
            </w:r>
          </w:p>
        </w:tc>
        <w:tc>
          <w:tcPr>
            <w:tcW w:w="1280" w:type="dxa"/>
          </w:tcPr>
          <w:p w:rsidR="00FE1688" w:rsidRPr="00460F5E" w:rsidRDefault="00FE1688" w:rsidP="0075107F">
            <w:pPr>
              <w:spacing w:after="0" w:line="240" w:lineRule="auto"/>
              <w:rPr>
                <w:rFonts w:cs="Tahoma"/>
                <w:bCs/>
                <w:color w:val="000000"/>
                <w:sz w:val="16"/>
                <w:szCs w:val="16"/>
              </w:rPr>
            </w:pPr>
          </w:p>
          <w:p w:rsidR="00FE1688" w:rsidRPr="00460F5E" w:rsidRDefault="00FE1688" w:rsidP="0075107F">
            <w:pPr>
              <w:spacing w:after="0" w:line="240" w:lineRule="auto"/>
              <w:rPr>
                <w:rFonts w:cs="Tahoma"/>
                <w:bCs/>
                <w:color w:val="000000"/>
                <w:sz w:val="16"/>
                <w:szCs w:val="16"/>
              </w:rPr>
            </w:pPr>
          </w:p>
          <w:p w:rsidR="00FE1688" w:rsidRPr="00460F5E" w:rsidRDefault="00FE1688" w:rsidP="0075107F">
            <w:pPr>
              <w:spacing w:after="0" w:line="240" w:lineRule="auto"/>
              <w:rPr>
                <w:rFonts w:eastAsia="Calibri" w:cs="Tahoma"/>
                <w:sz w:val="20"/>
                <w:szCs w:val="20"/>
              </w:rPr>
            </w:pPr>
            <w:r w:rsidRPr="00460F5E">
              <w:rPr>
                <w:rFonts w:cs="Tahoma"/>
                <w:bCs/>
                <w:color w:val="000000"/>
                <w:sz w:val="20"/>
                <w:szCs w:val="20"/>
              </w:rPr>
              <w:t xml:space="preserve"> 1 845 600 USD</w:t>
            </w:r>
          </w:p>
        </w:tc>
      </w:tr>
      <w:tr w:rsidR="00FE1688" w:rsidRPr="00460F5E" w:rsidTr="0075107F">
        <w:trPr>
          <w:trHeight w:val="524"/>
          <w:jc w:val="center"/>
        </w:trPr>
        <w:tc>
          <w:tcPr>
            <w:tcW w:w="7519" w:type="dxa"/>
            <w:vAlign w:val="center"/>
          </w:tcPr>
          <w:p w:rsidR="00FE1688" w:rsidRPr="00460F5E" w:rsidRDefault="00FE1688" w:rsidP="0075107F">
            <w:pPr>
              <w:spacing w:after="0" w:line="240" w:lineRule="auto"/>
              <w:rPr>
                <w:rFonts w:eastAsia="Calibri" w:cs="Tahoma"/>
                <w:sz w:val="20"/>
                <w:szCs w:val="20"/>
              </w:rPr>
            </w:pPr>
            <w:r w:rsidRPr="00460F5E">
              <w:rPr>
                <w:rFonts w:eastAsia="Calibri" w:cs="Tahoma"/>
                <w:b/>
                <w:sz w:val="20"/>
                <w:szCs w:val="20"/>
              </w:rPr>
              <w:t>Révision et adaptation des supports intégrés de formation</w:t>
            </w:r>
            <w:r w:rsidRPr="00460F5E">
              <w:rPr>
                <w:rFonts w:eastAsia="Calibri" w:cs="Tahoma"/>
                <w:sz w:val="20"/>
                <w:szCs w:val="20"/>
              </w:rPr>
              <w:t xml:space="preserve"> (modules SSP, manuel du participant, guide du formateur, Boite à images) </w:t>
            </w:r>
          </w:p>
        </w:tc>
        <w:tc>
          <w:tcPr>
            <w:tcW w:w="1280" w:type="dxa"/>
          </w:tcPr>
          <w:p w:rsidR="00FE1688" w:rsidRPr="00460F5E" w:rsidRDefault="00FE1688" w:rsidP="0075107F">
            <w:pPr>
              <w:spacing w:after="0" w:line="240" w:lineRule="auto"/>
              <w:rPr>
                <w:rFonts w:cs="Tahoma"/>
                <w:bCs/>
                <w:color w:val="000000"/>
                <w:sz w:val="20"/>
                <w:szCs w:val="20"/>
              </w:rPr>
            </w:pPr>
            <w:r w:rsidRPr="00460F5E">
              <w:rPr>
                <w:rFonts w:cs="Tahoma"/>
                <w:bCs/>
                <w:color w:val="000000"/>
                <w:sz w:val="20"/>
                <w:szCs w:val="20"/>
              </w:rPr>
              <w:t>2</w:t>
            </w:r>
            <w:r>
              <w:rPr>
                <w:rFonts w:cs="Tahoma"/>
                <w:bCs/>
                <w:color w:val="000000"/>
                <w:sz w:val="20"/>
                <w:szCs w:val="20"/>
              </w:rPr>
              <w:t>.</w:t>
            </w:r>
            <w:r w:rsidRPr="00460F5E">
              <w:rPr>
                <w:rFonts w:cs="Tahoma"/>
                <w:bCs/>
                <w:color w:val="000000"/>
                <w:sz w:val="20"/>
                <w:szCs w:val="20"/>
              </w:rPr>
              <w:t>400 USD</w:t>
            </w:r>
          </w:p>
        </w:tc>
      </w:tr>
      <w:tr w:rsidR="00FE1688" w:rsidRPr="00460F5E" w:rsidTr="0075107F">
        <w:trPr>
          <w:trHeight w:val="405"/>
          <w:jc w:val="center"/>
        </w:trPr>
        <w:tc>
          <w:tcPr>
            <w:tcW w:w="7519" w:type="dxa"/>
            <w:vAlign w:val="center"/>
          </w:tcPr>
          <w:p w:rsidR="00FE1688" w:rsidRPr="00460F5E" w:rsidRDefault="00FE1688" w:rsidP="0075107F">
            <w:pPr>
              <w:spacing w:after="0" w:line="240" w:lineRule="auto"/>
              <w:rPr>
                <w:rFonts w:eastAsia="Calibri" w:cs="Tahoma"/>
                <w:sz w:val="20"/>
                <w:szCs w:val="20"/>
              </w:rPr>
            </w:pPr>
            <w:r>
              <w:rPr>
                <w:rFonts w:cs="Tahoma"/>
                <w:b/>
                <w:sz w:val="20"/>
                <w:szCs w:val="20"/>
              </w:rPr>
              <w:t>Formation des formateurs </w:t>
            </w:r>
          </w:p>
        </w:tc>
        <w:tc>
          <w:tcPr>
            <w:tcW w:w="1280" w:type="dxa"/>
          </w:tcPr>
          <w:p w:rsidR="00FE1688" w:rsidRPr="00460F5E" w:rsidRDefault="00FE1688" w:rsidP="0075107F">
            <w:pPr>
              <w:spacing w:after="0" w:line="240" w:lineRule="auto"/>
              <w:rPr>
                <w:rFonts w:cs="Tahoma"/>
                <w:bCs/>
                <w:color w:val="000000"/>
                <w:sz w:val="20"/>
                <w:szCs w:val="20"/>
              </w:rPr>
            </w:pPr>
            <w:r w:rsidRPr="00460F5E">
              <w:rPr>
                <w:rFonts w:cs="Tahoma"/>
                <w:sz w:val="20"/>
                <w:szCs w:val="20"/>
              </w:rPr>
              <w:t>16</w:t>
            </w:r>
            <w:r>
              <w:rPr>
                <w:rFonts w:cs="Tahoma"/>
                <w:sz w:val="20"/>
                <w:szCs w:val="20"/>
              </w:rPr>
              <w:t>.</w:t>
            </w:r>
            <w:r w:rsidRPr="00460F5E">
              <w:rPr>
                <w:rFonts w:cs="Tahoma"/>
                <w:sz w:val="20"/>
                <w:szCs w:val="20"/>
              </w:rPr>
              <w:t>000 USD</w:t>
            </w:r>
          </w:p>
        </w:tc>
      </w:tr>
      <w:tr w:rsidR="00FE1688" w:rsidRPr="00460F5E" w:rsidTr="0075107F">
        <w:trPr>
          <w:trHeight w:val="983"/>
          <w:jc w:val="center"/>
        </w:trPr>
        <w:tc>
          <w:tcPr>
            <w:tcW w:w="7519" w:type="dxa"/>
            <w:vAlign w:val="center"/>
          </w:tcPr>
          <w:p w:rsidR="00FE1688" w:rsidRPr="00460F5E" w:rsidRDefault="00FE1688" w:rsidP="0075107F">
            <w:pPr>
              <w:spacing w:after="0" w:line="240" w:lineRule="auto"/>
              <w:rPr>
                <w:rFonts w:cs="Tahoma"/>
                <w:b/>
                <w:sz w:val="20"/>
                <w:szCs w:val="20"/>
              </w:rPr>
            </w:pPr>
            <w:r w:rsidRPr="00460F5E">
              <w:rPr>
                <w:rFonts w:cs="Tahoma"/>
                <w:b/>
                <w:sz w:val="20"/>
                <w:szCs w:val="20"/>
              </w:rPr>
              <w:t xml:space="preserve">Formation des 1055 ASC </w:t>
            </w:r>
            <w:r w:rsidRPr="009B1546">
              <w:rPr>
                <w:rFonts w:cs="Tahoma"/>
                <w:b/>
                <w:sz w:val="20"/>
                <w:szCs w:val="20"/>
              </w:rPr>
              <w:t>des 2 districts de Kindia et Télimelé</w:t>
            </w:r>
          </w:p>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 xml:space="preserve">Cette formation se fera par cohortes : </w:t>
            </w:r>
          </w:p>
          <w:p w:rsidR="00FE1688" w:rsidRPr="00460F5E" w:rsidRDefault="00FE1688" w:rsidP="0075107F">
            <w:pPr>
              <w:spacing w:after="0" w:line="240" w:lineRule="auto"/>
              <w:rPr>
                <w:rFonts w:cs="Tahoma"/>
                <w:sz w:val="20"/>
                <w:szCs w:val="20"/>
              </w:rPr>
            </w:pPr>
            <w:r w:rsidRPr="00460F5E">
              <w:rPr>
                <w:rFonts w:eastAsia="Calibri" w:cs="Tahoma"/>
                <w:b/>
                <w:sz w:val="20"/>
                <w:szCs w:val="20"/>
              </w:rPr>
              <w:t xml:space="preserve">996 </w:t>
            </w:r>
            <w:r w:rsidRPr="00460F5E">
              <w:rPr>
                <w:rFonts w:cs="Tahoma"/>
                <w:b/>
                <w:sz w:val="20"/>
                <w:szCs w:val="20"/>
              </w:rPr>
              <w:t xml:space="preserve"> </w:t>
            </w:r>
            <w:r w:rsidRPr="00460F5E">
              <w:rPr>
                <w:rFonts w:cs="Tahoma"/>
                <w:sz w:val="20"/>
                <w:szCs w:val="20"/>
              </w:rPr>
              <w:t>en 1</w:t>
            </w:r>
            <w:r w:rsidRPr="00460F5E">
              <w:rPr>
                <w:rFonts w:cs="Tahoma"/>
                <w:sz w:val="20"/>
                <w:szCs w:val="20"/>
                <w:vertAlign w:val="superscript"/>
              </w:rPr>
              <w:t>ère</w:t>
            </w:r>
            <w:r w:rsidRPr="00460F5E">
              <w:rPr>
                <w:rFonts w:cs="Tahoma"/>
                <w:sz w:val="20"/>
                <w:szCs w:val="20"/>
              </w:rPr>
              <w:t xml:space="preserve"> année = 249000 USD, </w:t>
            </w:r>
          </w:p>
          <w:p w:rsidR="00FE1688" w:rsidRPr="00460F5E" w:rsidRDefault="00FE1688" w:rsidP="0075107F">
            <w:pPr>
              <w:spacing w:after="0" w:line="240" w:lineRule="auto"/>
              <w:rPr>
                <w:rFonts w:cs="Tahoma"/>
                <w:sz w:val="20"/>
                <w:szCs w:val="20"/>
              </w:rPr>
            </w:pPr>
            <w:r w:rsidRPr="00460F5E">
              <w:rPr>
                <w:rFonts w:cs="Tahoma"/>
                <w:b/>
                <w:sz w:val="20"/>
                <w:szCs w:val="20"/>
              </w:rPr>
              <w:t>29</w:t>
            </w:r>
            <w:r w:rsidRPr="00460F5E">
              <w:rPr>
                <w:rFonts w:cs="Tahoma"/>
                <w:sz w:val="20"/>
                <w:szCs w:val="20"/>
              </w:rPr>
              <w:t xml:space="preserve"> en 2</w:t>
            </w:r>
            <w:r w:rsidRPr="00460F5E">
              <w:rPr>
                <w:rFonts w:cs="Tahoma"/>
                <w:sz w:val="20"/>
                <w:szCs w:val="20"/>
                <w:vertAlign w:val="superscript"/>
              </w:rPr>
              <w:t>ème</w:t>
            </w:r>
            <w:r w:rsidRPr="00460F5E">
              <w:rPr>
                <w:rFonts w:cs="Tahoma"/>
                <w:sz w:val="20"/>
                <w:szCs w:val="20"/>
              </w:rPr>
              <w:t xml:space="preserve"> année   = 7250 USD </w:t>
            </w:r>
          </w:p>
          <w:p w:rsidR="00FE1688" w:rsidRPr="00460F5E" w:rsidRDefault="00FE1688" w:rsidP="0075107F">
            <w:pPr>
              <w:spacing w:after="0" w:line="240" w:lineRule="auto"/>
              <w:rPr>
                <w:rFonts w:eastAsia="Calibri" w:cs="Tahoma"/>
                <w:sz w:val="20"/>
                <w:szCs w:val="20"/>
              </w:rPr>
            </w:pPr>
            <w:r w:rsidRPr="00460F5E">
              <w:rPr>
                <w:rFonts w:cs="Tahoma"/>
                <w:b/>
                <w:sz w:val="20"/>
                <w:szCs w:val="20"/>
              </w:rPr>
              <w:t xml:space="preserve">30 </w:t>
            </w:r>
            <w:r w:rsidRPr="00460F5E">
              <w:rPr>
                <w:rFonts w:cs="Tahoma"/>
                <w:sz w:val="20"/>
                <w:szCs w:val="20"/>
              </w:rPr>
              <w:t>à la 3</w:t>
            </w:r>
            <w:r w:rsidRPr="00460F5E">
              <w:rPr>
                <w:rFonts w:cs="Tahoma"/>
                <w:sz w:val="20"/>
                <w:szCs w:val="20"/>
                <w:vertAlign w:val="superscript"/>
              </w:rPr>
              <w:t>ème</w:t>
            </w:r>
            <w:r w:rsidRPr="00460F5E">
              <w:rPr>
                <w:rFonts w:cs="Tahoma"/>
                <w:sz w:val="20"/>
                <w:szCs w:val="20"/>
              </w:rPr>
              <w:t xml:space="preserve"> année = 7500 USD au coût de 50 USD par agent et par jour.</w:t>
            </w:r>
          </w:p>
        </w:tc>
        <w:tc>
          <w:tcPr>
            <w:tcW w:w="1280"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 xml:space="preserve">263 750 USD  </w:t>
            </w:r>
          </w:p>
        </w:tc>
      </w:tr>
      <w:tr w:rsidR="00FE1688" w:rsidRPr="00460F5E" w:rsidTr="0075107F">
        <w:trPr>
          <w:trHeight w:val="400"/>
          <w:jc w:val="center"/>
        </w:trPr>
        <w:tc>
          <w:tcPr>
            <w:tcW w:w="7519" w:type="dxa"/>
            <w:vAlign w:val="center"/>
          </w:tcPr>
          <w:p w:rsidR="00FE1688" w:rsidRPr="00460F5E" w:rsidRDefault="00FE1688" w:rsidP="0075107F">
            <w:pPr>
              <w:spacing w:after="0" w:line="240" w:lineRule="auto"/>
              <w:rPr>
                <w:rFonts w:cs="Tahoma"/>
                <w:b/>
              </w:rPr>
            </w:pPr>
            <w:r w:rsidRPr="00460F5E">
              <w:rPr>
                <w:rFonts w:cs="Tahoma"/>
                <w:b/>
              </w:rPr>
              <w:t>Supervision des ASC par l’équipe du centre de santé</w:t>
            </w:r>
            <w:r>
              <w:rPr>
                <w:rFonts w:cs="Tahoma"/>
                <w:b/>
              </w:rPr>
              <w:t xml:space="preserve"> (1055)</w:t>
            </w:r>
          </w:p>
          <w:p w:rsidR="00FE1688" w:rsidRPr="00460F5E" w:rsidRDefault="00FE1688" w:rsidP="0075107F">
            <w:pPr>
              <w:spacing w:after="0" w:line="240" w:lineRule="auto"/>
              <w:rPr>
                <w:rFonts w:eastAsia="Calibri" w:cs="Tahoma"/>
                <w:sz w:val="20"/>
                <w:szCs w:val="20"/>
              </w:rPr>
            </w:pPr>
            <w:r w:rsidRPr="00460F5E">
              <w:rPr>
                <w:rFonts w:cs="Tahoma"/>
              </w:rPr>
              <w:t xml:space="preserve">La supervision des ASC se fera de façon concertée et intégrée par le chef de centre de santé, le chargé PEV, un membre du COSAH. Eventuellement y participeront les OSC partenaires au niveau local. </w:t>
            </w:r>
          </w:p>
        </w:tc>
        <w:tc>
          <w:tcPr>
            <w:tcW w:w="1280"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21</w:t>
            </w:r>
            <w:r>
              <w:rPr>
                <w:rFonts w:eastAsia="Calibri" w:cs="Tahoma"/>
                <w:sz w:val="20"/>
                <w:szCs w:val="20"/>
              </w:rPr>
              <w:t>.</w:t>
            </w:r>
            <w:r w:rsidRPr="00460F5E">
              <w:rPr>
                <w:rFonts w:eastAsia="Calibri" w:cs="Tahoma"/>
                <w:sz w:val="20"/>
                <w:szCs w:val="20"/>
              </w:rPr>
              <w:t>504  USD</w:t>
            </w:r>
          </w:p>
        </w:tc>
      </w:tr>
      <w:tr w:rsidR="00FE1688" w:rsidRPr="00460F5E" w:rsidTr="0075107F">
        <w:trPr>
          <w:trHeight w:val="983"/>
          <w:jc w:val="center"/>
        </w:trPr>
        <w:tc>
          <w:tcPr>
            <w:tcW w:w="7519" w:type="dxa"/>
            <w:vAlign w:val="center"/>
          </w:tcPr>
          <w:p w:rsidR="00FE1688" w:rsidRPr="00460F5E" w:rsidRDefault="00FE1688" w:rsidP="0075107F">
            <w:pPr>
              <w:spacing w:after="0" w:line="240" w:lineRule="auto"/>
              <w:rPr>
                <w:rFonts w:eastAsia="Calibri" w:cs="Tahoma"/>
                <w:sz w:val="20"/>
                <w:szCs w:val="20"/>
              </w:rPr>
            </w:pPr>
            <w:r w:rsidRPr="00460F5E">
              <w:rPr>
                <w:rFonts w:eastAsia="Calibri" w:cs="Tahoma"/>
                <w:b/>
                <w:sz w:val="20"/>
                <w:szCs w:val="20"/>
              </w:rPr>
              <w:t>Supervision des CS par la  DPS</w:t>
            </w:r>
            <w:r w:rsidRPr="00460F5E">
              <w:rPr>
                <w:rFonts w:eastAsia="Calibri" w:cs="Tahoma"/>
                <w:sz w:val="20"/>
                <w:szCs w:val="20"/>
              </w:rPr>
              <w:t xml:space="preserve">  y compris les chauffeurs (Per diem, carburant, fournitures, frais d’entretien). La DPS effectuera une supervision formative  une fois par mois dans chaque CS. </w:t>
            </w:r>
          </w:p>
          <w:p w:rsidR="00FE1688" w:rsidRPr="00460F5E" w:rsidRDefault="00FE1688" w:rsidP="0075107F">
            <w:pPr>
              <w:spacing w:after="0" w:line="240" w:lineRule="auto"/>
              <w:rPr>
                <w:rFonts w:eastAsia="Calibri" w:cs="Tahoma"/>
                <w:b/>
                <w:sz w:val="20"/>
                <w:szCs w:val="20"/>
              </w:rPr>
            </w:pPr>
            <w:r w:rsidRPr="00460F5E">
              <w:rPr>
                <w:rFonts w:eastAsia="Calibri" w:cs="Tahoma"/>
                <w:b/>
                <w:sz w:val="20"/>
                <w:szCs w:val="20"/>
              </w:rPr>
              <w:t>Supervision des DPS par la DRS</w:t>
            </w:r>
          </w:p>
          <w:p w:rsidR="00FE1688" w:rsidRPr="00460F5E" w:rsidRDefault="00FE1688" w:rsidP="0075107F">
            <w:pPr>
              <w:spacing w:after="0" w:line="240" w:lineRule="auto"/>
              <w:rPr>
                <w:rFonts w:eastAsia="Calibri" w:cs="Tahoma"/>
                <w:sz w:val="20"/>
                <w:szCs w:val="20"/>
              </w:rPr>
            </w:pPr>
            <w:r w:rsidRPr="00460F5E">
              <w:rPr>
                <w:rFonts w:eastAsia="Calibri" w:cs="Tahoma"/>
                <w:b/>
                <w:sz w:val="20"/>
                <w:szCs w:val="20"/>
              </w:rPr>
              <w:t>Supervision de la DRS par le niveau central</w:t>
            </w:r>
            <w:r w:rsidRPr="00460F5E">
              <w:rPr>
                <w:rFonts w:eastAsia="Calibri" w:cs="Tahoma"/>
                <w:sz w:val="20"/>
                <w:szCs w:val="20"/>
              </w:rPr>
              <w:t xml:space="preserve"> : </w:t>
            </w:r>
          </w:p>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 xml:space="preserve">Des outils standardisés de supervision sont  disponibles au BSD. </w:t>
            </w:r>
          </w:p>
        </w:tc>
        <w:tc>
          <w:tcPr>
            <w:tcW w:w="1280"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109 320 USD</w:t>
            </w:r>
          </w:p>
        </w:tc>
      </w:tr>
      <w:tr w:rsidR="00FE1688" w:rsidRPr="00460F5E" w:rsidTr="0075107F">
        <w:trPr>
          <w:trHeight w:val="56"/>
          <w:jc w:val="center"/>
        </w:trPr>
        <w:tc>
          <w:tcPr>
            <w:tcW w:w="8799" w:type="dxa"/>
            <w:gridSpan w:val="2"/>
            <w:vAlign w:val="center"/>
          </w:tcPr>
          <w:p w:rsidR="00FE1688" w:rsidRPr="009B1546" w:rsidRDefault="00FE1688" w:rsidP="0075107F">
            <w:pPr>
              <w:spacing w:after="0" w:line="240" w:lineRule="auto"/>
              <w:rPr>
                <w:rFonts w:cs="Tahoma"/>
                <w:b/>
              </w:rPr>
            </w:pPr>
            <w:r w:rsidRPr="00460F5E">
              <w:rPr>
                <w:rFonts w:cs="Tahoma"/>
                <w:b/>
              </w:rPr>
              <w:t>Renforcer les capacités de la direction nationale de la prévention et de la santé communautaire</w:t>
            </w:r>
          </w:p>
        </w:tc>
      </w:tr>
      <w:tr w:rsidR="00FE1688" w:rsidRPr="00460F5E" w:rsidTr="0075107F">
        <w:trPr>
          <w:trHeight w:val="334"/>
          <w:jc w:val="center"/>
        </w:trPr>
        <w:tc>
          <w:tcPr>
            <w:tcW w:w="7519" w:type="dxa"/>
            <w:vAlign w:val="center"/>
          </w:tcPr>
          <w:p w:rsidR="00FE1688" w:rsidRPr="00460F5E" w:rsidRDefault="00FE1688" w:rsidP="0075107F">
            <w:pPr>
              <w:spacing w:after="0" w:line="240" w:lineRule="auto"/>
              <w:rPr>
                <w:rFonts w:eastAsia="Calibri" w:cs="Tahoma"/>
                <w:color w:val="FF0000"/>
                <w:sz w:val="20"/>
                <w:szCs w:val="20"/>
              </w:rPr>
            </w:pPr>
            <w:r w:rsidRPr="00460F5E">
              <w:rPr>
                <w:rFonts w:eastAsia="Calibri" w:cs="Tahoma"/>
                <w:b/>
                <w:sz w:val="20"/>
                <w:szCs w:val="20"/>
              </w:rPr>
              <w:t>Logistique : 1 véhicule (DNPSC).</w:t>
            </w:r>
            <w:r w:rsidRPr="00460F5E">
              <w:rPr>
                <w:rFonts w:eastAsia="Calibri" w:cs="Tahoma"/>
                <w:sz w:val="20"/>
                <w:szCs w:val="20"/>
              </w:rPr>
              <w:t xml:space="preserve"> Pour la mise en œuvre de cette subvention, il est prévu d’acheter 1 véhicule 4X4 (DNPSC) y compris les frais de fonctionnement </w:t>
            </w:r>
          </w:p>
        </w:tc>
        <w:tc>
          <w:tcPr>
            <w:tcW w:w="1280" w:type="dxa"/>
          </w:tcPr>
          <w:p w:rsidR="00FE1688" w:rsidRPr="00460F5E" w:rsidRDefault="00FE1688" w:rsidP="0075107F">
            <w:pPr>
              <w:spacing w:after="0" w:line="240" w:lineRule="auto"/>
              <w:rPr>
                <w:rFonts w:eastAsia="Calibri" w:cs="Tahoma"/>
                <w:color w:val="FF0000"/>
                <w:sz w:val="20"/>
                <w:szCs w:val="20"/>
              </w:rPr>
            </w:pPr>
            <w:r w:rsidRPr="00460F5E">
              <w:rPr>
                <w:rFonts w:eastAsia="Calibri" w:cs="Tahoma"/>
                <w:sz w:val="20"/>
                <w:szCs w:val="20"/>
              </w:rPr>
              <w:t>51</w:t>
            </w:r>
            <w:r>
              <w:rPr>
                <w:rFonts w:eastAsia="Calibri" w:cs="Tahoma"/>
                <w:sz w:val="20"/>
                <w:szCs w:val="20"/>
              </w:rPr>
              <w:t>.</w:t>
            </w:r>
            <w:r w:rsidRPr="00460F5E">
              <w:rPr>
                <w:rFonts w:eastAsia="Calibri" w:cs="Tahoma"/>
                <w:sz w:val="20"/>
                <w:szCs w:val="20"/>
              </w:rPr>
              <w:t>600 USD</w:t>
            </w:r>
          </w:p>
        </w:tc>
      </w:tr>
      <w:tr w:rsidR="00FE1688" w:rsidRPr="00460F5E" w:rsidTr="0075107F">
        <w:trPr>
          <w:trHeight w:val="398"/>
          <w:jc w:val="center"/>
        </w:trPr>
        <w:tc>
          <w:tcPr>
            <w:tcW w:w="8799" w:type="dxa"/>
            <w:gridSpan w:val="2"/>
            <w:vAlign w:val="center"/>
          </w:tcPr>
          <w:p w:rsidR="00FE1688" w:rsidRPr="00460F5E" w:rsidRDefault="00FE1688" w:rsidP="0075107F">
            <w:pPr>
              <w:spacing w:after="0" w:line="240" w:lineRule="auto"/>
              <w:rPr>
                <w:rFonts w:eastAsia="Calibri" w:cs="Tahoma"/>
                <w:sz w:val="20"/>
                <w:szCs w:val="20"/>
              </w:rPr>
            </w:pPr>
            <w:r w:rsidRPr="00460F5E">
              <w:rPr>
                <w:rFonts w:cs="Tahoma"/>
                <w:b/>
              </w:rPr>
              <w:t>Promouvoir le dialogue social à travers les Organisations de la Société Civile (OSC) au niveau communautaire</w:t>
            </w:r>
          </w:p>
        </w:tc>
      </w:tr>
      <w:tr w:rsidR="00FE1688" w:rsidRPr="00460F5E" w:rsidTr="0075107F">
        <w:trPr>
          <w:trHeight w:val="836"/>
          <w:jc w:val="center"/>
        </w:trPr>
        <w:tc>
          <w:tcPr>
            <w:tcW w:w="7519" w:type="dxa"/>
            <w:vAlign w:val="center"/>
          </w:tcPr>
          <w:p w:rsidR="00FE1688" w:rsidRPr="00460F5E" w:rsidRDefault="00FE1688" w:rsidP="0075107F">
            <w:pPr>
              <w:spacing w:after="0" w:line="240" w:lineRule="auto"/>
              <w:rPr>
                <w:rFonts w:eastAsia="Calibri" w:cs="Tahoma"/>
                <w:sz w:val="20"/>
                <w:szCs w:val="20"/>
              </w:rPr>
            </w:pPr>
            <w:r w:rsidRPr="00460F5E">
              <w:rPr>
                <w:rFonts w:eastAsia="Calibri" w:cs="Tahoma"/>
                <w:b/>
                <w:sz w:val="20"/>
                <w:szCs w:val="20"/>
              </w:rPr>
              <w:lastRenderedPageBreak/>
              <w:t xml:space="preserve">Réactualiser la cartographie des OSC dans les 2 districts sanitaires : </w:t>
            </w:r>
            <w:r w:rsidRPr="00460F5E">
              <w:rPr>
                <w:rFonts w:eastAsia="Calibri" w:cs="Tahoma"/>
                <w:sz w:val="20"/>
                <w:szCs w:val="20"/>
              </w:rPr>
              <w:t xml:space="preserve">Au niveau des districts, la cartographie existante sera actualisée pour prendre en compte les OSC locales. </w:t>
            </w:r>
          </w:p>
        </w:tc>
        <w:tc>
          <w:tcPr>
            <w:tcW w:w="1280"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1</w:t>
            </w:r>
            <w:r>
              <w:rPr>
                <w:rFonts w:eastAsia="Calibri" w:cs="Tahoma"/>
                <w:sz w:val="20"/>
                <w:szCs w:val="20"/>
              </w:rPr>
              <w:t>.</w:t>
            </w:r>
            <w:r w:rsidRPr="00460F5E">
              <w:rPr>
                <w:rFonts w:eastAsia="Calibri" w:cs="Tahoma"/>
                <w:sz w:val="20"/>
                <w:szCs w:val="20"/>
              </w:rPr>
              <w:t>000 USD</w:t>
            </w:r>
          </w:p>
        </w:tc>
      </w:tr>
      <w:tr w:rsidR="00FE1688" w:rsidRPr="00460F5E" w:rsidTr="0075107F">
        <w:trPr>
          <w:trHeight w:val="429"/>
          <w:jc w:val="center"/>
        </w:trPr>
        <w:tc>
          <w:tcPr>
            <w:tcW w:w="7519" w:type="dxa"/>
            <w:tcBorders>
              <w:bottom w:val="single" w:sz="4" w:space="0" w:color="808080"/>
            </w:tcBorders>
            <w:vAlign w:val="center"/>
          </w:tcPr>
          <w:p w:rsidR="00FE1688" w:rsidRPr="00460F5E" w:rsidRDefault="00FE1688" w:rsidP="0075107F">
            <w:pPr>
              <w:spacing w:after="0" w:line="240" w:lineRule="auto"/>
              <w:rPr>
                <w:rFonts w:eastAsia="Calibri" w:cs="Tahoma"/>
                <w:sz w:val="20"/>
                <w:szCs w:val="20"/>
              </w:rPr>
            </w:pPr>
            <w:r w:rsidRPr="00460F5E">
              <w:rPr>
                <w:rFonts w:eastAsia="Calibri" w:cs="Tahoma"/>
                <w:b/>
                <w:sz w:val="20"/>
                <w:szCs w:val="20"/>
              </w:rPr>
              <w:t xml:space="preserve">Former en techniques de communication et de mobilisation sociale 20 membres des OSC locales. </w:t>
            </w:r>
          </w:p>
        </w:tc>
        <w:tc>
          <w:tcPr>
            <w:tcW w:w="1280" w:type="dxa"/>
            <w:tcBorders>
              <w:bottom w:val="single" w:sz="4" w:space="0" w:color="808080"/>
            </w:tcBorders>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1</w:t>
            </w:r>
            <w:r>
              <w:rPr>
                <w:rFonts w:eastAsia="Calibri" w:cs="Tahoma"/>
                <w:sz w:val="20"/>
                <w:szCs w:val="20"/>
              </w:rPr>
              <w:t>.</w:t>
            </w:r>
            <w:r w:rsidRPr="00460F5E">
              <w:rPr>
                <w:rFonts w:eastAsia="Calibri" w:cs="Tahoma"/>
                <w:sz w:val="20"/>
                <w:szCs w:val="20"/>
              </w:rPr>
              <w:t>000 USD</w:t>
            </w:r>
          </w:p>
        </w:tc>
      </w:tr>
      <w:tr w:rsidR="00FE1688" w:rsidRPr="00460F5E" w:rsidTr="0075107F">
        <w:trPr>
          <w:trHeight w:val="436"/>
          <w:jc w:val="center"/>
        </w:trPr>
        <w:tc>
          <w:tcPr>
            <w:tcW w:w="7519" w:type="dxa"/>
            <w:shd w:val="pct5" w:color="auto" w:fill="auto"/>
            <w:vAlign w:val="center"/>
          </w:tcPr>
          <w:p w:rsidR="00FE1688" w:rsidRPr="00460F5E" w:rsidRDefault="00FE1688" w:rsidP="0075107F">
            <w:pPr>
              <w:spacing w:after="0" w:line="240" w:lineRule="auto"/>
              <w:rPr>
                <w:rFonts w:eastAsia="Calibri" w:cs="Tahoma"/>
                <w:sz w:val="20"/>
                <w:szCs w:val="20"/>
              </w:rPr>
            </w:pPr>
            <w:r w:rsidRPr="00460F5E">
              <w:rPr>
                <w:rFonts w:eastAsia="Arial" w:cs="Tahoma"/>
                <w:b/>
                <w:bCs/>
                <w:sz w:val="20"/>
                <w:szCs w:val="20"/>
                <w:bdr w:val="nil"/>
              </w:rPr>
              <w:t>Sous Total</w:t>
            </w:r>
          </w:p>
        </w:tc>
        <w:tc>
          <w:tcPr>
            <w:tcW w:w="1280" w:type="dxa"/>
            <w:shd w:val="pct5" w:color="auto" w:fill="auto"/>
          </w:tcPr>
          <w:p w:rsidR="00FE1688" w:rsidRPr="00460F5E" w:rsidRDefault="00FE1688" w:rsidP="0075107F">
            <w:pPr>
              <w:spacing w:after="0" w:line="240" w:lineRule="auto"/>
              <w:rPr>
                <w:rFonts w:eastAsia="Calibri" w:cs="Tahoma"/>
                <w:sz w:val="20"/>
                <w:szCs w:val="20"/>
              </w:rPr>
            </w:pPr>
            <w:r w:rsidRPr="00460F5E">
              <w:rPr>
                <w:rFonts w:eastAsia="Calibri" w:cs="Tahoma"/>
                <w:b/>
                <w:sz w:val="20"/>
                <w:szCs w:val="20"/>
              </w:rPr>
              <w:t>2 312 174 USD</w:t>
            </w:r>
          </w:p>
        </w:tc>
      </w:tr>
    </w:tbl>
    <w:p w:rsidR="00FE1688" w:rsidRPr="00460F5E" w:rsidRDefault="00FE1688" w:rsidP="00FE1688">
      <w:pPr>
        <w:jc w:val="both"/>
        <w:rPr>
          <w:rFonts w:cs="Tahoma"/>
          <w:i/>
          <w:lang w:val="en-GB"/>
        </w:rPr>
      </w:pPr>
    </w:p>
    <w:p w:rsidR="00FE1688" w:rsidRPr="006358DC" w:rsidRDefault="00FE1688" w:rsidP="00FE1688">
      <w:pPr>
        <w:rPr>
          <w:b/>
        </w:rPr>
      </w:pPr>
      <w:bookmarkStart w:id="117" w:name="_Toc514049955"/>
      <w:r w:rsidRPr="006358DC">
        <w:rPr>
          <w:b/>
        </w:rPr>
        <w:t>Module Ressources humaines et prestations de services intégrés au niveau communautaire</w:t>
      </w:r>
      <w:bookmarkEnd w:id="117"/>
      <w:r w:rsidRPr="006358DC">
        <w:rPr>
          <w:b/>
        </w:rPr>
        <w:t> </w:t>
      </w:r>
    </w:p>
    <w:tbl>
      <w:tblPr>
        <w:tblW w:w="8788" w:type="dxa"/>
        <w:tblInd w:w="39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513"/>
        <w:gridCol w:w="1275"/>
      </w:tblGrid>
      <w:tr w:rsidR="00FE1688" w:rsidRPr="00936FED" w:rsidTr="0075107F">
        <w:trPr>
          <w:trHeight w:val="321"/>
        </w:trPr>
        <w:tc>
          <w:tcPr>
            <w:tcW w:w="7513" w:type="dxa"/>
            <w:shd w:val="clear" w:color="auto" w:fill="F2F2F2"/>
            <w:vAlign w:val="center"/>
          </w:tcPr>
          <w:p w:rsidR="00FE1688" w:rsidRPr="00936FED" w:rsidRDefault="00FE1688" w:rsidP="0075107F">
            <w:pPr>
              <w:spacing w:after="0" w:line="240" w:lineRule="auto"/>
              <w:jc w:val="center"/>
              <w:rPr>
                <w:rFonts w:eastAsia="Calibri" w:cs="Tahoma"/>
                <w:color w:val="AEAAAA"/>
              </w:rPr>
            </w:pPr>
            <w:r w:rsidRPr="00936FED">
              <w:rPr>
                <w:rFonts w:eastAsia="Arial" w:cs="Tahoma"/>
                <w:b/>
                <w:bCs/>
                <w:bdr w:val="nil"/>
              </w:rPr>
              <w:t xml:space="preserve">Brève description des activités à entreprendre </w:t>
            </w:r>
          </w:p>
        </w:tc>
        <w:tc>
          <w:tcPr>
            <w:tcW w:w="1275" w:type="dxa"/>
            <w:shd w:val="clear" w:color="auto" w:fill="F2F2F2"/>
            <w:vAlign w:val="center"/>
          </w:tcPr>
          <w:p w:rsidR="00FE1688" w:rsidRPr="00936FED" w:rsidRDefault="00FE1688" w:rsidP="0075107F">
            <w:pPr>
              <w:spacing w:after="0" w:line="240" w:lineRule="auto"/>
              <w:jc w:val="center"/>
              <w:rPr>
                <w:rFonts w:eastAsia="Calibri" w:cs="Tahoma"/>
                <w:b/>
                <w:bCs/>
                <w:sz w:val="20"/>
                <w:szCs w:val="20"/>
              </w:rPr>
            </w:pPr>
            <w:r w:rsidRPr="00936FED">
              <w:rPr>
                <w:rFonts w:eastAsia="Arial" w:cs="Tahoma"/>
                <w:b/>
                <w:bCs/>
                <w:sz w:val="20"/>
                <w:szCs w:val="20"/>
                <w:bdr w:val="nil"/>
              </w:rPr>
              <w:t>Montant demandé</w:t>
            </w:r>
          </w:p>
        </w:tc>
      </w:tr>
      <w:tr w:rsidR="00FE1688" w:rsidRPr="00460F5E" w:rsidTr="0075107F">
        <w:trPr>
          <w:trHeight w:val="400"/>
        </w:trPr>
        <w:tc>
          <w:tcPr>
            <w:tcW w:w="7513" w:type="dxa"/>
            <w:vAlign w:val="center"/>
          </w:tcPr>
          <w:p w:rsidR="00FE1688" w:rsidRPr="00460F5E" w:rsidRDefault="00FE1688" w:rsidP="0075107F">
            <w:pPr>
              <w:spacing w:after="0" w:line="240" w:lineRule="auto"/>
              <w:rPr>
                <w:rFonts w:eastAsia="Calibri" w:cs="Tahoma"/>
                <w:sz w:val="20"/>
                <w:szCs w:val="20"/>
              </w:rPr>
            </w:pPr>
            <w:r w:rsidRPr="00460F5E">
              <w:rPr>
                <w:rFonts w:cs="Tahoma"/>
              </w:rPr>
              <w:t>Rendre disponibles les médicaments et produits de santé au niveau communautaire</w:t>
            </w:r>
          </w:p>
        </w:tc>
        <w:tc>
          <w:tcPr>
            <w:tcW w:w="1275" w:type="dxa"/>
            <w:vAlign w:val="center"/>
          </w:tcPr>
          <w:p w:rsidR="00FE1688" w:rsidRPr="00460F5E" w:rsidRDefault="00FE1688" w:rsidP="0075107F">
            <w:pPr>
              <w:spacing w:after="0" w:line="240" w:lineRule="auto"/>
              <w:rPr>
                <w:rFonts w:eastAsia="Calibri" w:cs="Tahoma"/>
                <w:sz w:val="20"/>
                <w:szCs w:val="20"/>
              </w:rPr>
            </w:pPr>
          </w:p>
        </w:tc>
      </w:tr>
      <w:tr w:rsidR="00FE1688" w:rsidRPr="00460F5E" w:rsidTr="0075107F">
        <w:trPr>
          <w:trHeight w:val="400"/>
        </w:trPr>
        <w:tc>
          <w:tcPr>
            <w:tcW w:w="7513" w:type="dxa"/>
            <w:vAlign w:val="center"/>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 xml:space="preserve">Formation en logistique des médicaments y compris les autres intrants.  Cette formation concerne les CCS et ASC. </w:t>
            </w:r>
          </w:p>
        </w:tc>
        <w:tc>
          <w:tcPr>
            <w:tcW w:w="1275" w:type="dxa"/>
            <w:vAlign w:val="center"/>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w:t>
            </w:r>
          </w:p>
        </w:tc>
      </w:tr>
      <w:tr w:rsidR="00FE1688" w:rsidRPr="00460F5E" w:rsidTr="0075107F">
        <w:trPr>
          <w:trHeight w:val="400"/>
        </w:trPr>
        <w:tc>
          <w:tcPr>
            <w:tcW w:w="7513" w:type="dxa"/>
            <w:vAlign w:val="center"/>
          </w:tcPr>
          <w:p w:rsidR="00FE1688" w:rsidRPr="00460F5E" w:rsidRDefault="00FE1688" w:rsidP="0075107F">
            <w:pPr>
              <w:spacing w:after="0" w:line="240" w:lineRule="auto"/>
              <w:rPr>
                <w:rFonts w:eastAsia="Calibri" w:cs="Tahoma"/>
                <w:sz w:val="20"/>
                <w:szCs w:val="20"/>
              </w:rPr>
            </w:pPr>
            <w:r w:rsidRPr="00460F5E">
              <w:rPr>
                <w:rFonts w:eastAsia="Calibri" w:cs="Tahoma"/>
                <w:b/>
                <w:sz w:val="20"/>
                <w:szCs w:val="20"/>
              </w:rPr>
              <w:t>Estimation des besoins en médicament des ASC</w:t>
            </w:r>
            <w:r w:rsidRPr="00460F5E">
              <w:rPr>
                <w:rFonts w:eastAsia="Calibri" w:cs="Tahoma"/>
                <w:sz w:val="20"/>
                <w:szCs w:val="20"/>
              </w:rPr>
              <w:t xml:space="preserve"> : Organiser une réunion de quantification des besoins en médicament des ASC. Cette réunion permettra d’obtenir la consommation mensuelle par type de médicament. </w:t>
            </w:r>
          </w:p>
        </w:tc>
        <w:tc>
          <w:tcPr>
            <w:tcW w:w="1275"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1</w:t>
            </w:r>
            <w:r>
              <w:rPr>
                <w:rFonts w:eastAsia="Calibri" w:cs="Tahoma"/>
                <w:sz w:val="20"/>
                <w:szCs w:val="20"/>
              </w:rPr>
              <w:t>.</w:t>
            </w:r>
            <w:r w:rsidRPr="00460F5E">
              <w:rPr>
                <w:rFonts w:eastAsia="Calibri" w:cs="Tahoma"/>
                <w:sz w:val="20"/>
                <w:szCs w:val="20"/>
              </w:rPr>
              <w:t>640 USD</w:t>
            </w:r>
          </w:p>
        </w:tc>
      </w:tr>
      <w:tr w:rsidR="00FE1688" w:rsidRPr="00460F5E" w:rsidTr="0075107F">
        <w:trPr>
          <w:trHeight w:val="618"/>
        </w:trPr>
        <w:tc>
          <w:tcPr>
            <w:tcW w:w="7513" w:type="dxa"/>
            <w:vAlign w:val="center"/>
          </w:tcPr>
          <w:p w:rsidR="00FE1688" w:rsidRPr="00460F5E" w:rsidRDefault="00FE1688" w:rsidP="0075107F">
            <w:pPr>
              <w:spacing w:after="0" w:line="240" w:lineRule="auto"/>
              <w:jc w:val="both"/>
              <w:rPr>
                <w:rFonts w:eastAsia="Calibri" w:cs="Tahoma"/>
                <w:sz w:val="20"/>
                <w:szCs w:val="20"/>
              </w:rPr>
            </w:pPr>
            <w:r w:rsidRPr="00460F5E">
              <w:rPr>
                <w:rFonts w:eastAsia="Calibri" w:cs="Tahoma"/>
                <w:sz w:val="20"/>
                <w:szCs w:val="20"/>
              </w:rPr>
              <w:t xml:space="preserve">Approvisionnement des ASC en médicaments et produits de santé : chaque ASC sera doté d’un lot de médicaments renouvelable en fonction de la consommation moyenne mensuelle. Le rythme de dotation se fera conformément au circuit national tel que défini dans le document de logistique intégrée. </w:t>
            </w:r>
          </w:p>
        </w:tc>
        <w:tc>
          <w:tcPr>
            <w:tcW w:w="1275"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w:t>
            </w:r>
          </w:p>
        </w:tc>
      </w:tr>
      <w:tr w:rsidR="00FE1688" w:rsidRPr="00460F5E" w:rsidTr="0075107F">
        <w:trPr>
          <w:trHeight w:val="376"/>
        </w:trPr>
        <w:tc>
          <w:tcPr>
            <w:tcW w:w="7513" w:type="dxa"/>
            <w:vAlign w:val="center"/>
          </w:tcPr>
          <w:p w:rsidR="00FE1688" w:rsidRPr="00460F5E" w:rsidRDefault="00FE1688" w:rsidP="0075107F">
            <w:pPr>
              <w:spacing w:after="0" w:line="240" w:lineRule="auto"/>
              <w:rPr>
                <w:rFonts w:eastAsia="Calibri" w:cs="Tahoma"/>
                <w:sz w:val="20"/>
                <w:szCs w:val="20"/>
              </w:rPr>
            </w:pPr>
            <w:r w:rsidRPr="00460F5E">
              <w:rPr>
                <w:rFonts w:cs="Tahoma"/>
                <w:sz w:val="20"/>
              </w:rPr>
              <w:t>Améliorer le Système d’information sanitaire au niveau communautaire</w:t>
            </w:r>
          </w:p>
        </w:tc>
        <w:tc>
          <w:tcPr>
            <w:tcW w:w="1275" w:type="dxa"/>
          </w:tcPr>
          <w:p w:rsidR="00FE1688" w:rsidRPr="00460F5E" w:rsidRDefault="00FE1688" w:rsidP="0075107F">
            <w:pPr>
              <w:spacing w:after="0" w:line="240" w:lineRule="auto"/>
              <w:rPr>
                <w:rFonts w:eastAsia="Calibri" w:cs="Tahoma"/>
                <w:sz w:val="20"/>
                <w:szCs w:val="20"/>
              </w:rPr>
            </w:pPr>
          </w:p>
        </w:tc>
      </w:tr>
      <w:tr w:rsidR="00FE1688" w:rsidRPr="00460F5E" w:rsidTr="0075107F">
        <w:trPr>
          <w:trHeight w:val="455"/>
        </w:trPr>
        <w:tc>
          <w:tcPr>
            <w:tcW w:w="7513" w:type="dxa"/>
            <w:vAlign w:val="center"/>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 xml:space="preserve">Prise en charge des frais de transmission des données par les ASC : les ASC seront dotés de téléphones portables dans les kits avec des moyens de recharge. </w:t>
            </w:r>
          </w:p>
        </w:tc>
        <w:tc>
          <w:tcPr>
            <w:tcW w:w="1275" w:type="dxa"/>
          </w:tcPr>
          <w:p w:rsidR="00FE1688" w:rsidRPr="00460F5E" w:rsidRDefault="00FE1688" w:rsidP="0075107F">
            <w:pPr>
              <w:spacing w:after="0" w:line="240" w:lineRule="auto"/>
              <w:rPr>
                <w:rFonts w:eastAsia="Calibri" w:cs="Tahoma"/>
                <w:sz w:val="20"/>
                <w:szCs w:val="20"/>
              </w:rPr>
            </w:pPr>
            <w:r>
              <w:rPr>
                <w:rFonts w:eastAsia="Calibri" w:cs="Tahoma"/>
                <w:sz w:val="20"/>
                <w:szCs w:val="20"/>
              </w:rPr>
              <w:t>110.</w:t>
            </w:r>
            <w:r w:rsidRPr="00460F5E">
              <w:rPr>
                <w:rFonts w:eastAsia="Calibri" w:cs="Tahoma"/>
                <w:sz w:val="20"/>
                <w:szCs w:val="20"/>
              </w:rPr>
              <w:t>736 USD</w:t>
            </w:r>
          </w:p>
        </w:tc>
      </w:tr>
      <w:tr w:rsidR="00FE1688" w:rsidRPr="00460F5E" w:rsidTr="0075107F">
        <w:trPr>
          <w:trHeight w:val="419"/>
        </w:trPr>
        <w:tc>
          <w:tcPr>
            <w:tcW w:w="7513" w:type="dxa"/>
            <w:vAlign w:val="center"/>
          </w:tcPr>
          <w:p w:rsidR="00FE1688" w:rsidRPr="00460F5E" w:rsidRDefault="00FE1688" w:rsidP="0075107F">
            <w:pPr>
              <w:spacing w:after="0" w:line="240" w:lineRule="auto"/>
              <w:rPr>
                <w:rFonts w:eastAsia="Calibri" w:cs="Tahoma"/>
                <w:sz w:val="20"/>
                <w:szCs w:val="20"/>
              </w:rPr>
            </w:pPr>
            <w:r w:rsidRPr="00460F5E">
              <w:rPr>
                <w:rFonts w:cs="Tahoma"/>
              </w:rPr>
              <w:t>Doter les agents de santé communautaire en kit ASC selon les normes définies par la politique</w:t>
            </w:r>
          </w:p>
        </w:tc>
        <w:tc>
          <w:tcPr>
            <w:tcW w:w="1275" w:type="dxa"/>
          </w:tcPr>
          <w:p w:rsidR="00FE1688" w:rsidRPr="00460F5E" w:rsidRDefault="00FE1688" w:rsidP="0075107F">
            <w:pPr>
              <w:spacing w:after="0" w:line="240" w:lineRule="auto"/>
              <w:rPr>
                <w:rFonts w:eastAsia="Calibri" w:cs="Tahoma"/>
                <w:sz w:val="20"/>
                <w:szCs w:val="20"/>
              </w:rPr>
            </w:pPr>
          </w:p>
        </w:tc>
      </w:tr>
      <w:tr w:rsidR="00FE1688" w:rsidRPr="00460F5E" w:rsidTr="0075107F">
        <w:trPr>
          <w:trHeight w:val="419"/>
        </w:trPr>
        <w:tc>
          <w:tcPr>
            <w:tcW w:w="7513" w:type="dxa"/>
            <w:vAlign w:val="center"/>
          </w:tcPr>
          <w:p w:rsidR="00FE1688" w:rsidRPr="00460F5E" w:rsidRDefault="00FE1688" w:rsidP="0075107F">
            <w:pPr>
              <w:spacing w:after="0" w:line="240" w:lineRule="auto"/>
              <w:rPr>
                <w:rFonts w:eastAsia="Calibri" w:cs="Tahoma"/>
                <w:sz w:val="20"/>
                <w:szCs w:val="20"/>
              </w:rPr>
            </w:pPr>
            <w:r w:rsidRPr="00460F5E">
              <w:rPr>
                <w:rFonts w:eastAsia="Calibri" w:cs="Tahoma"/>
                <w:b/>
                <w:sz w:val="20"/>
                <w:szCs w:val="20"/>
              </w:rPr>
              <w:t>Doter les ASC en équipements matériels et produits de santé</w:t>
            </w:r>
            <w:r w:rsidRPr="00460F5E">
              <w:rPr>
                <w:rFonts w:eastAsia="Calibri" w:cs="Tahoma"/>
                <w:sz w:val="20"/>
                <w:szCs w:val="20"/>
              </w:rPr>
              <w:t xml:space="preserve"> : tous les ASC des 2 districts recevront des kits selon la liste nationale définie dans le cadre de mise en œuvre de la santé communautaire. </w:t>
            </w:r>
          </w:p>
        </w:tc>
        <w:tc>
          <w:tcPr>
            <w:tcW w:w="1275"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105</w:t>
            </w:r>
            <w:r>
              <w:rPr>
                <w:rFonts w:eastAsia="Calibri" w:cs="Tahoma"/>
                <w:sz w:val="20"/>
                <w:szCs w:val="20"/>
              </w:rPr>
              <w:t>.</w:t>
            </w:r>
            <w:r w:rsidRPr="00460F5E">
              <w:rPr>
                <w:rFonts w:eastAsia="Calibri" w:cs="Tahoma"/>
                <w:sz w:val="20"/>
                <w:szCs w:val="20"/>
              </w:rPr>
              <w:t>500 USD</w:t>
            </w:r>
          </w:p>
        </w:tc>
      </w:tr>
      <w:tr w:rsidR="00FE1688" w:rsidRPr="00460F5E" w:rsidTr="0075107F">
        <w:trPr>
          <w:trHeight w:val="419"/>
        </w:trPr>
        <w:tc>
          <w:tcPr>
            <w:tcW w:w="7513" w:type="dxa"/>
            <w:vAlign w:val="center"/>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 xml:space="preserve">Le comité régional multisectoriel de coordination du secteur de santé se tiendra une fois par semestre au chef-lieu de la </w:t>
            </w:r>
            <w:r w:rsidRPr="00460F5E">
              <w:rPr>
                <w:rFonts w:eastAsia="Calibri" w:cs="Tahoma"/>
                <w:b/>
                <w:sz w:val="20"/>
                <w:szCs w:val="20"/>
              </w:rPr>
              <w:t>région.</w:t>
            </w:r>
            <w:r w:rsidRPr="00460F5E">
              <w:rPr>
                <w:rFonts w:eastAsia="Calibri" w:cs="Tahoma"/>
                <w:sz w:val="20"/>
                <w:szCs w:val="20"/>
              </w:rPr>
              <w:t xml:space="preserve"> </w:t>
            </w:r>
          </w:p>
        </w:tc>
        <w:tc>
          <w:tcPr>
            <w:tcW w:w="1275"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2</w:t>
            </w:r>
            <w:r>
              <w:rPr>
                <w:rFonts w:eastAsia="Calibri" w:cs="Tahoma"/>
                <w:sz w:val="20"/>
                <w:szCs w:val="20"/>
              </w:rPr>
              <w:t>.</w:t>
            </w:r>
            <w:r w:rsidRPr="00460F5E">
              <w:rPr>
                <w:rFonts w:eastAsia="Calibri" w:cs="Tahoma"/>
                <w:sz w:val="20"/>
                <w:szCs w:val="20"/>
              </w:rPr>
              <w:t>700 USD</w:t>
            </w:r>
          </w:p>
        </w:tc>
      </w:tr>
      <w:tr w:rsidR="00FE1688" w:rsidRPr="00460F5E" w:rsidTr="0075107F">
        <w:trPr>
          <w:trHeight w:val="419"/>
        </w:trPr>
        <w:tc>
          <w:tcPr>
            <w:tcW w:w="7513" w:type="dxa"/>
            <w:vAlign w:val="center"/>
          </w:tcPr>
          <w:p w:rsidR="00FE1688" w:rsidRPr="00A71824" w:rsidRDefault="00FE1688" w:rsidP="0075107F">
            <w:pPr>
              <w:spacing w:after="0" w:line="240" w:lineRule="auto"/>
              <w:rPr>
                <w:rFonts w:eastAsia="Calibri" w:cs="Tahoma"/>
                <w:sz w:val="20"/>
                <w:szCs w:val="20"/>
              </w:rPr>
            </w:pPr>
            <w:r w:rsidRPr="00460F5E">
              <w:rPr>
                <w:rFonts w:eastAsia="Calibri" w:cs="Tahoma"/>
                <w:sz w:val="20"/>
                <w:szCs w:val="20"/>
              </w:rPr>
              <w:t xml:space="preserve">Tenue des instances de coordination selon le manuel national de gestion : Le comité préfectoral multisectoriel de coordination du secteur de santé doit se tenir une fois par semestre au chef-lieu de la </w:t>
            </w:r>
            <w:r w:rsidRPr="00460F5E">
              <w:rPr>
                <w:rFonts w:eastAsia="Calibri" w:cs="Tahoma"/>
                <w:b/>
                <w:sz w:val="20"/>
                <w:szCs w:val="20"/>
              </w:rPr>
              <w:t>préfecture</w:t>
            </w:r>
          </w:p>
        </w:tc>
        <w:tc>
          <w:tcPr>
            <w:tcW w:w="1275"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2</w:t>
            </w:r>
            <w:r>
              <w:rPr>
                <w:rFonts w:eastAsia="Calibri" w:cs="Tahoma"/>
                <w:sz w:val="20"/>
                <w:szCs w:val="20"/>
              </w:rPr>
              <w:t>.</w:t>
            </w:r>
            <w:r w:rsidRPr="00460F5E">
              <w:rPr>
                <w:rFonts w:eastAsia="Calibri" w:cs="Tahoma"/>
                <w:sz w:val="20"/>
                <w:szCs w:val="20"/>
              </w:rPr>
              <w:t>250 USD</w:t>
            </w:r>
          </w:p>
        </w:tc>
      </w:tr>
      <w:tr w:rsidR="00FE1688" w:rsidRPr="00460F5E" w:rsidTr="0075107F">
        <w:trPr>
          <w:trHeight w:val="419"/>
        </w:trPr>
        <w:tc>
          <w:tcPr>
            <w:tcW w:w="7513" w:type="dxa"/>
            <w:vAlign w:val="center"/>
          </w:tcPr>
          <w:p w:rsidR="00FE1688" w:rsidRPr="00A71824" w:rsidRDefault="00FE1688" w:rsidP="0075107F">
            <w:pPr>
              <w:spacing w:after="0" w:line="240" w:lineRule="auto"/>
              <w:rPr>
                <w:rFonts w:eastAsia="Calibri" w:cs="Tahoma"/>
                <w:sz w:val="20"/>
                <w:szCs w:val="20"/>
              </w:rPr>
            </w:pPr>
            <w:r w:rsidRPr="00460F5E">
              <w:rPr>
                <w:rFonts w:eastAsia="Calibri" w:cs="Tahoma"/>
                <w:sz w:val="20"/>
                <w:szCs w:val="20"/>
              </w:rPr>
              <w:t xml:space="preserve">Tenue des instances de coordination selon le manuel national de gestion : le comité de coordination multisectoriel </w:t>
            </w:r>
            <w:r w:rsidRPr="00460F5E">
              <w:rPr>
                <w:rFonts w:eastAsia="Calibri" w:cs="Tahoma"/>
                <w:b/>
                <w:sz w:val="20"/>
                <w:szCs w:val="20"/>
              </w:rPr>
              <w:t>sous préfectoral</w:t>
            </w:r>
            <w:r w:rsidRPr="00460F5E">
              <w:rPr>
                <w:rFonts w:eastAsia="Calibri" w:cs="Tahoma"/>
                <w:sz w:val="20"/>
                <w:szCs w:val="20"/>
              </w:rPr>
              <w:t xml:space="preserve"> de santé doit se tenir une fois par trimestre au chef-lieu de la sous-préfecture</w:t>
            </w:r>
          </w:p>
        </w:tc>
        <w:tc>
          <w:tcPr>
            <w:tcW w:w="1275"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3</w:t>
            </w:r>
            <w:r>
              <w:rPr>
                <w:rFonts w:eastAsia="Calibri" w:cs="Tahoma"/>
                <w:sz w:val="20"/>
                <w:szCs w:val="20"/>
              </w:rPr>
              <w:t>.</w:t>
            </w:r>
            <w:r w:rsidRPr="00460F5E">
              <w:rPr>
                <w:rFonts w:eastAsia="Calibri" w:cs="Tahoma"/>
                <w:sz w:val="20"/>
                <w:szCs w:val="20"/>
              </w:rPr>
              <w:t>000 USD</w:t>
            </w:r>
          </w:p>
        </w:tc>
      </w:tr>
      <w:tr w:rsidR="00FE1688" w:rsidRPr="00460F5E" w:rsidTr="0075107F">
        <w:trPr>
          <w:trHeight w:val="419"/>
        </w:trPr>
        <w:tc>
          <w:tcPr>
            <w:tcW w:w="7513" w:type="dxa"/>
            <w:tcBorders>
              <w:bottom w:val="single" w:sz="4" w:space="0" w:color="auto"/>
            </w:tcBorders>
            <w:vAlign w:val="center"/>
          </w:tcPr>
          <w:p w:rsidR="00FE1688" w:rsidRPr="00460F5E" w:rsidRDefault="00FE1688" w:rsidP="0075107F">
            <w:pPr>
              <w:rPr>
                <w:rFonts w:cs="Tahoma"/>
              </w:rPr>
            </w:pPr>
            <w:r w:rsidRPr="00460F5E">
              <w:rPr>
                <w:rFonts w:eastAsia="Calibri" w:cs="Tahoma"/>
                <w:sz w:val="20"/>
                <w:szCs w:val="20"/>
              </w:rPr>
              <w:t xml:space="preserve">Réunions mensuelles techniques seront organisées au chef-lieu du district pour l’analyse et la validation des données collectées au niveau des structures </w:t>
            </w:r>
            <w:r>
              <w:rPr>
                <w:rFonts w:eastAsia="Calibri" w:cs="Tahoma"/>
                <w:sz w:val="20"/>
                <w:szCs w:val="20"/>
              </w:rPr>
              <w:t>de santé de base (CS, PS, ASC)</w:t>
            </w:r>
          </w:p>
        </w:tc>
        <w:tc>
          <w:tcPr>
            <w:tcW w:w="1275" w:type="dxa"/>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12</w:t>
            </w:r>
            <w:r>
              <w:rPr>
                <w:rFonts w:eastAsia="Calibri" w:cs="Tahoma"/>
                <w:sz w:val="20"/>
                <w:szCs w:val="20"/>
              </w:rPr>
              <w:t>.</w:t>
            </w:r>
            <w:r w:rsidRPr="00460F5E">
              <w:rPr>
                <w:rFonts w:eastAsia="Calibri" w:cs="Tahoma"/>
                <w:sz w:val="20"/>
                <w:szCs w:val="20"/>
              </w:rPr>
              <w:t>000 USD</w:t>
            </w:r>
          </w:p>
        </w:tc>
      </w:tr>
      <w:tr w:rsidR="00FE1688" w:rsidRPr="00460F5E" w:rsidTr="0075107F">
        <w:trPr>
          <w:trHeight w:val="410"/>
        </w:trPr>
        <w:tc>
          <w:tcPr>
            <w:tcW w:w="7513" w:type="dxa"/>
            <w:tcBorders>
              <w:top w:val="single" w:sz="4" w:space="0" w:color="auto"/>
              <w:left w:val="single" w:sz="4" w:space="0" w:color="auto"/>
              <w:bottom w:val="single" w:sz="4" w:space="0" w:color="auto"/>
              <w:right w:val="single" w:sz="4" w:space="0" w:color="auto"/>
            </w:tcBorders>
            <w:shd w:val="clear" w:color="auto" w:fill="F2F2F2"/>
            <w:vAlign w:val="center"/>
          </w:tcPr>
          <w:p w:rsidR="00FE1688" w:rsidRPr="00460F5E" w:rsidRDefault="00FE1688" w:rsidP="0075107F">
            <w:pPr>
              <w:spacing w:after="0" w:line="240" w:lineRule="auto"/>
              <w:rPr>
                <w:rFonts w:eastAsia="Calibri" w:cs="Tahoma"/>
                <w:sz w:val="20"/>
                <w:szCs w:val="20"/>
              </w:rPr>
            </w:pPr>
            <w:r w:rsidRPr="00460F5E">
              <w:rPr>
                <w:rFonts w:eastAsia="Calibri" w:cs="Tahoma"/>
                <w:sz w:val="20"/>
                <w:szCs w:val="20"/>
              </w:rPr>
              <w:t>Sous Total 2</w:t>
            </w:r>
          </w:p>
        </w:tc>
        <w:tc>
          <w:tcPr>
            <w:tcW w:w="1275" w:type="dxa"/>
            <w:tcBorders>
              <w:left w:val="single" w:sz="4" w:space="0" w:color="auto"/>
            </w:tcBorders>
          </w:tcPr>
          <w:p w:rsidR="00FE1688" w:rsidRPr="00460F5E" w:rsidRDefault="00FE1688" w:rsidP="0075107F">
            <w:pPr>
              <w:spacing w:after="0" w:line="240" w:lineRule="auto"/>
              <w:rPr>
                <w:rFonts w:eastAsia="Calibri" w:cs="Tahoma"/>
                <w:sz w:val="20"/>
                <w:szCs w:val="20"/>
              </w:rPr>
            </w:pPr>
            <w:r>
              <w:rPr>
                <w:rFonts w:eastAsia="Calibri" w:cs="Tahoma"/>
                <w:sz w:val="20"/>
                <w:szCs w:val="20"/>
              </w:rPr>
              <w:t>237.</w:t>
            </w:r>
            <w:r w:rsidRPr="00460F5E">
              <w:rPr>
                <w:rFonts w:eastAsia="Calibri" w:cs="Tahoma"/>
                <w:sz w:val="20"/>
                <w:szCs w:val="20"/>
              </w:rPr>
              <w:t>826 USD</w:t>
            </w:r>
          </w:p>
        </w:tc>
      </w:tr>
      <w:tr w:rsidR="00FE1688" w:rsidRPr="00460F5E" w:rsidTr="0075107F">
        <w:trPr>
          <w:trHeight w:val="410"/>
        </w:trPr>
        <w:tc>
          <w:tcPr>
            <w:tcW w:w="7513" w:type="dxa"/>
            <w:tcBorders>
              <w:top w:val="single" w:sz="4" w:space="0" w:color="auto"/>
              <w:left w:val="single" w:sz="4" w:space="0" w:color="auto"/>
              <w:bottom w:val="single" w:sz="4" w:space="0" w:color="auto"/>
              <w:right w:val="single" w:sz="4" w:space="0" w:color="auto"/>
            </w:tcBorders>
            <w:shd w:val="clear" w:color="auto" w:fill="F2F2F2"/>
            <w:vAlign w:val="center"/>
          </w:tcPr>
          <w:p w:rsidR="00FE1688" w:rsidRPr="00460F5E" w:rsidRDefault="00FE1688" w:rsidP="0075107F">
            <w:pPr>
              <w:spacing w:after="0" w:line="240" w:lineRule="auto"/>
              <w:rPr>
                <w:rFonts w:eastAsia="Calibri" w:cs="Tahoma"/>
                <w:sz w:val="20"/>
                <w:szCs w:val="20"/>
              </w:rPr>
            </w:pPr>
            <w:r w:rsidRPr="00460F5E">
              <w:rPr>
                <w:rFonts w:eastAsia="Arial" w:cs="Tahoma"/>
                <w:b/>
                <w:bCs/>
                <w:sz w:val="20"/>
                <w:szCs w:val="20"/>
                <w:bdr w:val="nil"/>
              </w:rPr>
              <w:t>MONTANT TOTAL (sous total1+sous total2)</w:t>
            </w:r>
          </w:p>
        </w:tc>
        <w:tc>
          <w:tcPr>
            <w:tcW w:w="1275" w:type="dxa"/>
            <w:tcBorders>
              <w:left w:val="single" w:sz="4" w:space="0" w:color="auto"/>
            </w:tcBorders>
          </w:tcPr>
          <w:p w:rsidR="00FE1688" w:rsidRPr="00460F5E" w:rsidRDefault="00FE1688" w:rsidP="0075107F">
            <w:pPr>
              <w:spacing w:after="0" w:line="240" w:lineRule="auto"/>
              <w:rPr>
                <w:rFonts w:eastAsia="Calibri" w:cs="Tahoma"/>
                <w:b/>
                <w:sz w:val="20"/>
                <w:szCs w:val="20"/>
              </w:rPr>
            </w:pPr>
            <w:r w:rsidRPr="00460F5E">
              <w:rPr>
                <w:rFonts w:eastAsia="Calibri" w:cs="Tahoma"/>
                <w:b/>
                <w:sz w:val="20"/>
                <w:szCs w:val="20"/>
              </w:rPr>
              <w:t>2 550 000 USD</w:t>
            </w:r>
          </w:p>
        </w:tc>
      </w:tr>
      <w:tr w:rsidR="00FE1688" w:rsidRPr="00460F5E" w:rsidTr="0075107F">
        <w:trPr>
          <w:trHeight w:val="410"/>
        </w:trPr>
        <w:tc>
          <w:tcPr>
            <w:tcW w:w="7513" w:type="dxa"/>
            <w:tcBorders>
              <w:top w:val="single" w:sz="4" w:space="0" w:color="auto"/>
              <w:left w:val="single" w:sz="4" w:space="0" w:color="auto"/>
              <w:bottom w:val="single" w:sz="4" w:space="0" w:color="auto"/>
              <w:right w:val="single" w:sz="4" w:space="0" w:color="auto"/>
            </w:tcBorders>
            <w:shd w:val="clear" w:color="auto" w:fill="F2F2F2"/>
            <w:vAlign w:val="center"/>
          </w:tcPr>
          <w:p w:rsidR="00FE1688" w:rsidRPr="00460F5E" w:rsidRDefault="00FE1688" w:rsidP="0075107F">
            <w:pPr>
              <w:spacing w:after="0" w:line="240" w:lineRule="auto"/>
              <w:rPr>
                <w:rFonts w:eastAsia="Arial" w:cs="Tahoma"/>
                <w:b/>
                <w:bCs/>
                <w:sz w:val="20"/>
                <w:szCs w:val="20"/>
                <w:bdr w:val="nil"/>
              </w:rPr>
            </w:pPr>
            <w:r w:rsidRPr="00460F5E">
              <w:rPr>
                <w:rFonts w:eastAsia="Arial" w:cs="Tahoma"/>
                <w:b/>
                <w:bCs/>
                <w:sz w:val="20"/>
                <w:szCs w:val="20"/>
                <w:bdr w:val="nil"/>
              </w:rPr>
              <w:t>FRAIS DE GESTION (15%) du montant demandé</w:t>
            </w:r>
          </w:p>
        </w:tc>
        <w:tc>
          <w:tcPr>
            <w:tcW w:w="1275" w:type="dxa"/>
            <w:tcBorders>
              <w:left w:val="single" w:sz="4" w:space="0" w:color="auto"/>
            </w:tcBorders>
          </w:tcPr>
          <w:p w:rsidR="00FE1688" w:rsidRPr="00460F5E" w:rsidRDefault="00FE1688" w:rsidP="0075107F">
            <w:pPr>
              <w:spacing w:after="0" w:line="240" w:lineRule="auto"/>
              <w:rPr>
                <w:rFonts w:eastAsia="Calibri" w:cs="Tahoma"/>
                <w:b/>
                <w:sz w:val="20"/>
                <w:szCs w:val="20"/>
              </w:rPr>
            </w:pPr>
            <w:r w:rsidRPr="00460F5E">
              <w:rPr>
                <w:rFonts w:eastAsia="Calibri" w:cs="Tahoma"/>
                <w:b/>
                <w:sz w:val="20"/>
                <w:szCs w:val="20"/>
              </w:rPr>
              <w:t>450 000 USD</w:t>
            </w:r>
          </w:p>
        </w:tc>
      </w:tr>
      <w:tr w:rsidR="00FE1688" w:rsidRPr="00460F5E" w:rsidTr="0075107F">
        <w:trPr>
          <w:trHeight w:val="410"/>
        </w:trPr>
        <w:tc>
          <w:tcPr>
            <w:tcW w:w="7513" w:type="dxa"/>
            <w:tcBorders>
              <w:top w:val="single" w:sz="4" w:space="0" w:color="auto"/>
              <w:left w:val="single" w:sz="4" w:space="0" w:color="auto"/>
              <w:bottom w:val="single" w:sz="4" w:space="0" w:color="auto"/>
              <w:right w:val="single" w:sz="4" w:space="0" w:color="auto"/>
            </w:tcBorders>
            <w:shd w:val="clear" w:color="auto" w:fill="F2F2F2"/>
            <w:vAlign w:val="center"/>
          </w:tcPr>
          <w:p w:rsidR="00FE1688" w:rsidRPr="00460F5E" w:rsidRDefault="00FE1688" w:rsidP="0075107F">
            <w:pPr>
              <w:spacing w:after="0" w:line="240" w:lineRule="auto"/>
              <w:rPr>
                <w:rFonts w:eastAsia="Arial" w:cs="Tahoma"/>
                <w:b/>
                <w:bCs/>
                <w:sz w:val="20"/>
                <w:szCs w:val="20"/>
                <w:bdr w:val="nil"/>
              </w:rPr>
            </w:pPr>
            <w:r w:rsidRPr="00460F5E">
              <w:rPr>
                <w:rFonts w:eastAsia="Arial" w:cs="Tahoma"/>
                <w:b/>
                <w:bCs/>
                <w:sz w:val="20"/>
                <w:szCs w:val="20"/>
                <w:bdr w:val="nil"/>
              </w:rPr>
              <w:t>MONTANT TOTAL DEMANDE POUR LE RSS COMMUNAUTAIRE</w:t>
            </w:r>
          </w:p>
        </w:tc>
        <w:tc>
          <w:tcPr>
            <w:tcW w:w="1275" w:type="dxa"/>
            <w:tcBorders>
              <w:left w:val="single" w:sz="4" w:space="0" w:color="auto"/>
            </w:tcBorders>
          </w:tcPr>
          <w:p w:rsidR="00FE1688" w:rsidRPr="00460F5E" w:rsidRDefault="00FE1688" w:rsidP="0075107F">
            <w:pPr>
              <w:spacing w:after="0" w:line="240" w:lineRule="auto"/>
              <w:rPr>
                <w:rFonts w:eastAsia="Calibri" w:cs="Tahoma"/>
                <w:b/>
                <w:sz w:val="20"/>
                <w:szCs w:val="20"/>
              </w:rPr>
            </w:pPr>
            <w:r w:rsidRPr="00460F5E">
              <w:rPr>
                <w:rFonts w:eastAsia="Calibri" w:cs="Tahoma"/>
                <w:b/>
                <w:sz w:val="20"/>
                <w:szCs w:val="20"/>
              </w:rPr>
              <w:t xml:space="preserve"> 3 000 000USD</w:t>
            </w:r>
          </w:p>
        </w:tc>
      </w:tr>
    </w:tbl>
    <w:p w:rsidR="00FE1688" w:rsidRDefault="00FE1688" w:rsidP="00FE1688">
      <w:pPr>
        <w:rPr>
          <w:rFonts w:cs="Tahoma"/>
        </w:rPr>
      </w:pPr>
    </w:p>
    <w:p w:rsidR="00FE1688" w:rsidRPr="00C40AAC" w:rsidRDefault="00FE1688" w:rsidP="00460F5E">
      <w:pPr>
        <w:rPr>
          <w:sz w:val="20"/>
          <w:szCs w:val="20"/>
        </w:rPr>
      </w:pPr>
    </w:p>
    <w:sectPr w:rsidR="00FE1688" w:rsidRPr="00C40AAC" w:rsidSect="00B81660">
      <w:headerReference w:type="default" r:id="rId19"/>
      <w:footerReference w:type="default" r:id="rId20"/>
      <w:pgSz w:w="11906" w:h="16838"/>
      <w:pgMar w:top="1134" w:right="1134" w:bottom="1021"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E720B" w:rsidRDefault="00CE720B" w:rsidP="003712CB">
      <w:pPr>
        <w:spacing w:after="0" w:line="240" w:lineRule="auto"/>
      </w:pPr>
      <w:r>
        <w:separator/>
      </w:r>
    </w:p>
  </w:endnote>
  <w:endnote w:type="continuationSeparator" w:id="0">
    <w:p w:rsidR="00CE720B" w:rsidRDefault="00CE720B" w:rsidP="003712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Rockwell">
    <w:panose1 w:val="02060603020205020403"/>
    <w:charset w:val="00"/>
    <w:family w:val="roman"/>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Helv">
    <w:panose1 w:val="020B060402020203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1010"/>
      <w:gridCol w:w="8731"/>
    </w:tblGrid>
    <w:tr w:rsidR="00FB330D" w:rsidTr="00786CB9">
      <w:tc>
        <w:tcPr>
          <w:tcW w:w="1010" w:type="dxa"/>
        </w:tcPr>
        <w:p w:rsidR="00FB330D" w:rsidRPr="00786CB9" w:rsidRDefault="00FB330D">
          <w:pPr>
            <w:pStyle w:val="Pieddepage"/>
            <w:jc w:val="right"/>
            <w:rPr>
              <w:bCs/>
              <w:color w:val="4F81BD" w:themeColor="accent1"/>
              <w:sz w:val="18"/>
              <w:szCs w:val="18"/>
              <w14:numForm w14:val="oldStyle"/>
            </w:rPr>
          </w:pPr>
          <w:r w:rsidRPr="00786CB9">
            <w:rPr>
              <w:sz w:val="18"/>
              <w:szCs w:val="18"/>
              <w14:shadow w14:blurRad="50800" w14:dist="38100" w14:dir="2700000" w14:sx="100000" w14:sy="100000" w14:kx="0" w14:ky="0" w14:algn="tl">
                <w14:srgbClr w14:val="000000">
                  <w14:alpha w14:val="60000"/>
                </w14:srgbClr>
              </w14:shadow>
              <w14:numForm w14:val="oldStyle"/>
            </w:rPr>
            <w:fldChar w:fldCharType="begin"/>
          </w:r>
          <w:r w:rsidRPr="00786CB9">
            <w:rPr>
              <w:sz w:val="18"/>
              <w:szCs w:val="18"/>
              <w14:shadow w14:blurRad="50800" w14:dist="38100" w14:dir="2700000" w14:sx="100000" w14:sy="100000" w14:kx="0" w14:ky="0" w14:algn="tl">
                <w14:srgbClr w14:val="000000">
                  <w14:alpha w14:val="60000"/>
                </w14:srgbClr>
              </w14:shadow>
              <w14:numForm w14:val="oldStyle"/>
            </w:rPr>
            <w:instrText>PAGE   \* MERGEFORMAT</w:instrText>
          </w:r>
          <w:r w:rsidRPr="00786CB9">
            <w:rPr>
              <w:sz w:val="18"/>
              <w:szCs w:val="18"/>
              <w14:shadow w14:blurRad="50800" w14:dist="38100" w14:dir="2700000" w14:sx="100000" w14:sy="100000" w14:kx="0" w14:ky="0" w14:algn="tl">
                <w14:srgbClr w14:val="000000">
                  <w14:alpha w14:val="60000"/>
                </w14:srgbClr>
              </w14:shadow>
              <w14:numForm w14:val="oldStyle"/>
            </w:rPr>
            <w:fldChar w:fldCharType="separate"/>
          </w:r>
          <w:r w:rsidR="00B063FB" w:rsidRPr="00B063FB">
            <w:rPr>
              <w:bCs/>
              <w:noProof/>
              <w:color w:val="4F81BD" w:themeColor="accent1"/>
              <w:sz w:val="18"/>
              <w:szCs w:val="18"/>
              <w14:shadow w14:blurRad="50800" w14:dist="38100" w14:dir="2700000" w14:sx="100000" w14:sy="100000" w14:kx="0" w14:ky="0" w14:algn="tl">
                <w14:srgbClr w14:val="000000">
                  <w14:alpha w14:val="60000"/>
                </w14:srgbClr>
              </w14:shadow>
              <w14:numForm w14:val="oldStyle"/>
            </w:rPr>
            <w:t>32</w:t>
          </w:r>
          <w:r w:rsidRPr="00786CB9">
            <w:rPr>
              <w:bCs/>
              <w:color w:val="4F81BD" w:themeColor="accent1"/>
              <w:sz w:val="18"/>
              <w:szCs w:val="18"/>
              <w14:shadow w14:blurRad="50800" w14:dist="38100" w14:dir="2700000" w14:sx="100000" w14:sy="100000" w14:kx="0" w14:ky="0" w14:algn="tl">
                <w14:srgbClr w14:val="000000">
                  <w14:alpha w14:val="60000"/>
                </w14:srgbClr>
              </w14:shadow>
              <w14:numForm w14:val="oldStyle"/>
            </w:rPr>
            <w:fldChar w:fldCharType="end"/>
          </w:r>
        </w:p>
      </w:tc>
      <w:tc>
        <w:tcPr>
          <w:tcW w:w="8731" w:type="dxa"/>
        </w:tcPr>
        <w:p w:rsidR="00FB330D" w:rsidRPr="00786CB9" w:rsidRDefault="00FB330D" w:rsidP="00786CB9">
          <w:pPr>
            <w:pStyle w:val="Pieddepage"/>
            <w:jc w:val="center"/>
            <w:rPr>
              <w:sz w:val="18"/>
              <w:szCs w:val="18"/>
            </w:rPr>
          </w:pPr>
          <w:r w:rsidRPr="0015389A">
            <w:rPr>
              <w:sz w:val="18"/>
              <w:szCs w:val="18"/>
            </w:rPr>
            <w:t>Fiches signalétiques Subventions FM VIH, TB, Paludisme, RSS 2018 - 2020</w:t>
          </w:r>
        </w:p>
      </w:tc>
    </w:tr>
  </w:tbl>
  <w:p w:rsidR="00FB330D" w:rsidRDefault="00FB330D" w:rsidP="00786CB9">
    <w:pPr>
      <w:pStyle w:val="Pieddepage"/>
      <w:tabs>
        <w:tab w:val="left" w:pos="2622"/>
        <w:tab w:val="right" w:pos="9525"/>
      </w:tabs>
    </w:pPr>
    <w:r>
      <w:rPr>
        <w:noProof/>
        <w:lang w:eastAsia="fr-FR"/>
      </w:rPr>
      <w:drawing>
        <wp:inline distT="0" distB="0" distL="0" distR="0" wp14:anchorId="3217350D" wp14:editId="3F5AF356">
          <wp:extent cx="5760720" cy="106041"/>
          <wp:effectExtent l="0" t="0" r="0" b="8890"/>
          <wp:docPr id="1" name="Image 1" descr="http://www.kiwilab.fr/userfiles/images/omb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kiwilab.fr/userfiles/images/ombr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flipV="1">
                    <a:off x="0" y="0"/>
                    <a:ext cx="5760720" cy="106041"/>
                  </a:xfrm>
                  <a:prstGeom prst="rect">
                    <a:avLst/>
                  </a:prstGeom>
                  <a:noFill/>
                  <a:ln>
                    <a:noFill/>
                  </a:ln>
                </pic:spPr>
              </pic:pic>
            </a:graphicData>
          </a:graphic>
        </wp:inline>
      </w:drawing>
    </w:r>
  </w:p>
  <w:p w:rsidR="00FB330D" w:rsidRDefault="00FB330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E720B" w:rsidRDefault="00CE720B" w:rsidP="003712CB">
      <w:pPr>
        <w:spacing w:after="0" w:line="240" w:lineRule="auto"/>
      </w:pPr>
      <w:r>
        <w:separator/>
      </w:r>
    </w:p>
  </w:footnote>
  <w:footnote w:type="continuationSeparator" w:id="0">
    <w:p w:rsidR="00CE720B" w:rsidRDefault="00CE720B" w:rsidP="003712CB">
      <w:pPr>
        <w:spacing w:after="0" w:line="240" w:lineRule="auto"/>
      </w:pPr>
      <w:r>
        <w:continuationSeparator/>
      </w:r>
    </w:p>
  </w:footnote>
  <w:footnote w:id="1">
    <w:p w:rsidR="00FB330D" w:rsidRPr="00BD39FF" w:rsidRDefault="00FB330D">
      <w:pPr>
        <w:pStyle w:val="Notedebasdepage"/>
        <w:rPr>
          <w:rFonts w:ascii="Rockwell" w:hAnsi="Rockwell"/>
          <w:sz w:val="18"/>
          <w:szCs w:val="18"/>
        </w:rPr>
      </w:pPr>
      <w:r w:rsidRPr="00BD39FF">
        <w:rPr>
          <w:rStyle w:val="Appelnotedebasdep"/>
          <w:rFonts w:ascii="Rockwell" w:hAnsi="Rockwell"/>
          <w:sz w:val="18"/>
          <w:szCs w:val="18"/>
        </w:rPr>
        <w:footnoteRef/>
      </w:r>
      <w:r w:rsidRPr="00BD39FF">
        <w:rPr>
          <w:rFonts w:ascii="Rockwell" w:hAnsi="Rockwell"/>
          <w:sz w:val="18"/>
          <w:szCs w:val="18"/>
        </w:rPr>
        <w:t xml:space="preserve">   Présentation Powerpoint Coordinateur PNPCSP Dr. Koita lors de la cérémonie de lancement des subventions fonds mondial 2018-2020</w:t>
      </w:r>
    </w:p>
  </w:footnote>
  <w:footnote w:id="2">
    <w:p w:rsidR="00FB330D" w:rsidRPr="00BD39FF" w:rsidRDefault="00FB330D">
      <w:pPr>
        <w:pStyle w:val="Notedebasdepage"/>
        <w:rPr>
          <w:rFonts w:ascii="Rockwell" w:hAnsi="Rockwell"/>
          <w:sz w:val="18"/>
          <w:szCs w:val="18"/>
        </w:rPr>
      </w:pPr>
      <w:r w:rsidRPr="00BD39FF">
        <w:rPr>
          <w:rStyle w:val="Appelnotedebasdep"/>
          <w:rFonts w:ascii="Rockwell" w:hAnsi="Rockwell"/>
          <w:sz w:val="18"/>
          <w:szCs w:val="18"/>
        </w:rPr>
        <w:footnoteRef/>
      </w:r>
      <w:r w:rsidRPr="00BD39FF">
        <w:rPr>
          <w:rFonts w:ascii="Rockwell" w:hAnsi="Rockwell"/>
          <w:sz w:val="18"/>
          <w:szCs w:val="18"/>
        </w:rPr>
        <w:t xml:space="preserve"> Présentation Powerpoint Coordinateur PNPCSP Dr. Koita lors de la cérémonie de lancement des subventions fonds mondial 2018-2020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330D" w:rsidRDefault="00FB330D" w:rsidP="006E1A46">
    <w:pPr>
      <w:pStyle w:val="En-tte"/>
      <w:jc w:val="center"/>
    </w:pPr>
    <w:r>
      <w:rPr>
        <w:noProof/>
        <w:lang w:eastAsia="fr-FR"/>
      </w:rPr>
      <w:drawing>
        <wp:inline distT="0" distB="0" distL="0" distR="0" wp14:anchorId="5631E52D" wp14:editId="5331C72A">
          <wp:extent cx="3302758" cy="633960"/>
          <wp:effectExtent l="0" t="0" r="0" b="0"/>
          <wp:docPr id="2" name="Image 1"/>
          <wp:cNvGraphicFramePr/>
          <a:graphic xmlns:a="http://schemas.openxmlformats.org/drawingml/2006/main">
            <a:graphicData uri="http://schemas.openxmlformats.org/drawingml/2006/picture">
              <pic:pic xmlns:pic="http://schemas.openxmlformats.org/drawingml/2006/picture">
                <pic:nvPicPr>
                  <pic:cNvPr id="2" name="Image 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13261" cy="635976"/>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B0BAE"/>
    <w:multiLevelType w:val="hybridMultilevel"/>
    <w:tmpl w:val="7A0A606E"/>
    <w:lvl w:ilvl="0" w:tplc="AEA44294">
      <w:start w:val="5"/>
      <w:numFmt w:val="bullet"/>
      <w:lvlText w:val="-"/>
      <w:lvlJc w:val="left"/>
      <w:pPr>
        <w:ind w:left="720" w:hanging="360"/>
      </w:pPr>
      <w:rPr>
        <w:rFonts w:ascii="Times New Roman" w:eastAsia="Cambria" w:hAnsi="Times New Roman" w:cs="Times New Roman"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827CAE"/>
    <w:multiLevelType w:val="hybridMultilevel"/>
    <w:tmpl w:val="00FAEEB4"/>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865AB9"/>
    <w:multiLevelType w:val="hybridMultilevel"/>
    <w:tmpl w:val="63BC96E6"/>
    <w:lvl w:ilvl="0" w:tplc="B1CA4A08">
      <w:start w:val="2"/>
      <w:numFmt w:val="bullet"/>
      <w:lvlText w:val="-"/>
      <w:lvlJc w:val="left"/>
      <w:pPr>
        <w:tabs>
          <w:tab w:val="num" w:pos="720"/>
        </w:tabs>
        <w:ind w:left="720" w:hanging="360"/>
      </w:pPr>
      <w:rPr>
        <w:rFonts w:ascii="Book Antiqua" w:eastAsia="Times New Roman" w:hAnsi="Book Antiqua" w:cs="Times New Roman" w:hint="default"/>
      </w:rPr>
    </w:lvl>
    <w:lvl w:ilvl="1" w:tplc="5FBE738A">
      <w:start w:val="1"/>
      <w:numFmt w:val="decimal"/>
      <w:lvlText w:val="%2."/>
      <w:lvlJc w:val="left"/>
      <w:pPr>
        <w:tabs>
          <w:tab w:val="num" w:pos="1440"/>
        </w:tabs>
        <w:ind w:left="1440" w:hanging="360"/>
      </w:pPr>
    </w:lvl>
    <w:lvl w:ilvl="2" w:tplc="E96EB37E" w:tentative="1">
      <w:start w:val="1"/>
      <w:numFmt w:val="bullet"/>
      <w:lvlText w:val="•"/>
      <w:lvlJc w:val="left"/>
      <w:pPr>
        <w:tabs>
          <w:tab w:val="num" w:pos="2160"/>
        </w:tabs>
        <w:ind w:left="2160" w:hanging="360"/>
      </w:pPr>
      <w:rPr>
        <w:rFonts w:ascii="Arial" w:hAnsi="Arial" w:hint="default"/>
      </w:rPr>
    </w:lvl>
    <w:lvl w:ilvl="3" w:tplc="7F86A296" w:tentative="1">
      <w:start w:val="1"/>
      <w:numFmt w:val="bullet"/>
      <w:lvlText w:val="•"/>
      <w:lvlJc w:val="left"/>
      <w:pPr>
        <w:tabs>
          <w:tab w:val="num" w:pos="2880"/>
        </w:tabs>
        <w:ind w:left="2880" w:hanging="360"/>
      </w:pPr>
      <w:rPr>
        <w:rFonts w:ascii="Arial" w:hAnsi="Arial" w:hint="default"/>
      </w:rPr>
    </w:lvl>
    <w:lvl w:ilvl="4" w:tplc="E1CE33A4" w:tentative="1">
      <w:start w:val="1"/>
      <w:numFmt w:val="bullet"/>
      <w:lvlText w:val="•"/>
      <w:lvlJc w:val="left"/>
      <w:pPr>
        <w:tabs>
          <w:tab w:val="num" w:pos="3600"/>
        </w:tabs>
        <w:ind w:left="3600" w:hanging="360"/>
      </w:pPr>
      <w:rPr>
        <w:rFonts w:ascii="Arial" w:hAnsi="Arial" w:hint="default"/>
      </w:rPr>
    </w:lvl>
    <w:lvl w:ilvl="5" w:tplc="94201FBA" w:tentative="1">
      <w:start w:val="1"/>
      <w:numFmt w:val="bullet"/>
      <w:lvlText w:val="•"/>
      <w:lvlJc w:val="left"/>
      <w:pPr>
        <w:tabs>
          <w:tab w:val="num" w:pos="4320"/>
        </w:tabs>
        <w:ind w:left="4320" w:hanging="360"/>
      </w:pPr>
      <w:rPr>
        <w:rFonts w:ascii="Arial" w:hAnsi="Arial" w:hint="default"/>
      </w:rPr>
    </w:lvl>
    <w:lvl w:ilvl="6" w:tplc="8472A240" w:tentative="1">
      <w:start w:val="1"/>
      <w:numFmt w:val="bullet"/>
      <w:lvlText w:val="•"/>
      <w:lvlJc w:val="left"/>
      <w:pPr>
        <w:tabs>
          <w:tab w:val="num" w:pos="5040"/>
        </w:tabs>
        <w:ind w:left="5040" w:hanging="360"/>
      </w:pPr>
      <w:rPr>
        <w:rFonts w:ascii="Arial" w:hAnsi="Arial" w:hint="default"/>
      </w:rPr>
    </w:lvl>
    <w:lvl w:ilvl="7" w:tplc="EB9ECE5E" w:tentative="1">
      <w:start w:val="1"/>
      <w:numFmt w:val="bullet"/>
      <w:lvlText w:val="•"/>
      <w:lvlJc w:val="left"/>
      <w:pPr>
        <w:tabs>
          <w:tab w:val="num" w:pos="5760"/>
        </w:tabs>
        <w:ind w:left="5760" w:hanging="360"/>
      </w:pPr>
      <w:rPr>
        <w:rFonts w:ascii="Arial" w:hAnsi="Arial" w:hint="default"/>
      </w:rPr>
    </w:lvl>
    <w:lvl w:ilvl="8" w:tplc="A626717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992AC3"/>
    <w:multiLevelType w:val="hybridMultilevel"/>
    <w:tmpl w:val="7AC20230"/>
    <w:lvl w:ilvl="0" w:tplc="675EDD9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43B0CBF"/>
    <w:multiLevelType w:val="hybridMultilevel"/>
    <w:tmpl w:val="5EAED846"/>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4E57331"/>
    <w:multiLevelType w:val="hybridMultilevel"/>
    <w:tmpl w:val="BA26E174"/>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4F25F69"/>
    <w:multiLevelType w:val="hybridMultilevel"/>
    <w:tmpl w:val="2430B12C"/>
    <w:lvl w:ilvl="0" w:tplc="040C0011">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05A41458"/>
    <w:multiLevelType w:val="hybridMultilevel"/>
    <w:tmpl w:val="1DC6B68C"/>
    <w:lvl w:ilvl="0" w:tplc="B682259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3621AD"/>
    <w:multiLevelType w:val="hybridMultilevel"/>
    <w:tmpl w:val="25F214C0"/>
    <w:lvl w:ilvl="0" w:tplc="509279F0">
      <w:start w:val="3"/>
      <w:numFmt w:val="bullet"/>
      <w:lvlText w:val="-"/>
      <w:lvlJc w:val="left"/>
      <w:pPr>
        <w:ind w:left="360" w:hanging="360"/>
      </w:pPr>
      <w:rPr>
        <w:rFonts w:ascii="Arial" w:eastAsiaTheme="minorEastAsia" w:hAnsi="Arial" w:cs="Aria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9" w15:restartNumberingAfterBreak="0">
    <w:nsid w:val="0B254BEC"/>
    <w:multiLevelType w:val="hybridMultilevel"/>
    <w:tmpl w:val="E3167962"/>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E33787F"/>
    <w:multiLevelType w:val="hybridMultilevel"/>
    <w:tmpl w:val="F11EAFAA"/>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ED06EE2"/>
    <w:multiLevelType w:val="hybridMultilevel"/>
    <w:tmpl w:val="39502842"/>
    <w:lvl w:ilvl="0" w:tplc="080C000F">
      <w:start w:val="1"/>
      <w:numFmt w:val="decimal"/>
      <w:lvlText w:val="%1."/>
      <w:lvlJc w:val="left"/>
      <w:pPr>
        <w:ind w:left="360" w:hanging="360"/>
      </w:pPr>
    </w:lvl>
    <w:lvl w:ilvl="1" w:tplc="080C0019">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12" w15:restartNumberingAfterBreak="0">
    <w:nsid w:val="0EF6135B"/>
    <w:multiLevelType w:val="hybridMultilevel"/>
    <w:tmpl w:val="6F045C3E"/>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F393AF2"/>
    <w:multiLevelType w:val="multilevel"/>
    <w:tmpl w:val="0718A7E4"/>
    <w:lvl w:ilvl="0">
      <w:start w:val="2"/>
      <w:numFmt w:val="decimal"/>
      <w:lvlText w:val="%1."/>
      <w:lvlJc w:val="left"/>
      <w:pPr>
        <w:ind w:left="1080" w:hanging="360"/>
      </w:pPr>
    </w:lvl>
    <w:lvl w:ilvl="1">
      <w:start w:val="1"/>
      <w:numFmt w:val="decimal"/>
      <w:isLgl/>
      <w:lvlText w:val="%1.%2"/>
      <w:lvlJc w:val="left"/>
      <w:pPr>
        <w:ind w:left="1080" w:hanging="360"/>
      </w:pPr>
    </w:lvl>
    <w:lvl w:ilvl="2">
      <w:start w:val="1"/>
      <w:numFmt w:val="decimal"/>
      <w:isLgl/>
      <w:lvlText w:val="%1.%2.%3"/>
      <w:lvlJc w:val="left"/>
      <w:pPr>
        <w:ind w:left="1440" w:hanging="720"/>
      </w:pPr>
    </w:lvl>
    <w:lvl w:ilvl="3">
      <w:start w:val="1"/>
      <w:numFmt w:val="decimal"/>
      <w:isLgl/>
      <w:lvlText w:val="%1.%2.%3.%4"/>
      <w:lvlJc w:val="left"/>
      <w:pPr>
        <w:ind w:left="1440" w:hanging="720"/>
      </w:pPr>
    </w:lvl>
    <w:lvl w:ilvl="4">
      <w:start w:val="1"/>
      <w:numFmt w:val="decimal"/>
      <w:isLgl/>
      <w:lvlText w:val="%1.%2.%3.%4.%5"/>
      <w:lvlJc w:val="left"/>
      <w:pPr>
        <w:ind w:left="1800" w:hanging="1080"/>
      </w:pPr>
    </w:lvl>
    <w:lvl w:ilvl="5">
      <w:start w:val="1"/>
      <w:numFmt w:val="decimal"/>
      <w:isLgl/>
      <w:lvlText w:val="%1.%2.%3.%4.%5.%6"/>
      <w:lvlJc w:val="left"/>
      <w:pPr>
        <w:ind w:left="1800" w:hanging="1080"/>
      </w:pPr>
    </w:lvl>
    <w:lvl w:ilvl="6">
      <w:start w:val="1"/>
      <w:numFmt w:val="decimal"/>
      <w:isLgl/>
      <w:lvlText w:val="%1.%2.%3.%4.%5.%6.%7"/>
      <w:lvlJc w:val="left"/>
      <w:pPr>
        <w:ind w:left="2160" w:hanging="1440"/>
      </w:pPr>
    </w:lvl>
    <w:lvl w:ilvl="7">
      <w:start w:val="1"/>
      <w:numFmt w:val="decimal"/>
      <w:isLgl/>
      <w:lvlText w:val="%1.%2.%3.%4.%5.%6.%7.%8"/>
      <w:lvlJc w:val="left"/>
      <w:pPr>
        <w:ind w:left="2160" w:hanging="1440"/>
      </w:pPr>
    </w:lvl>
    <w:lvl w:ilvl="8">
      <w:start w:val="1"/>
      <w:numFmt w:val="decimal"/>
      <w:isLgl/>
      <w:lvlText w:val="%1.%2.%3.%4.%5.%6.%7.%8.%9"/>
      <w:lvlJc w:val="left"/>
      <w:pPr>
        <w:ind w:left="2160" w:hanging="1440"/>
      </w:pPr>
    </w:lvl>
  </w:abstractNum>
  <w:abstractNum w:abstractNumId="14" w15:restartNumberingAfterBreak="0">
    <w:nsid w:val="0FC1140B"/>
    <w:multiLevelType w:val="hybridMultilevel"/>
    <w:tmpl w:val="27567338"/>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FC80FE6"/>
    <w:multiLevelType w:val="hybridMultilevel"/>
    <w:tmpl w:val="2DB4A108"/>
    <w:lvl w:ilvl="0" w:tplc="040C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01D4DBF"/>
    <w:multiLevelType w:val="hybridMultilevel"/>
    <w:tmpl w:val="B1220536"/>
    <w:lvl w:ilvl="0" w:tplc="B1CA4A08">
      <w:start w:val="2"/>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125D3ED0"/>
    <w:multiLevelType w:val="hybridMultilevel"/>
    <w:tmpl w:val="DCA40FDE"/>
    <w:lvl w:ilvl="0" w:tplc="B1CA4A08">
      <w:start w:val="2"/>
      <w:numFmt w:val="bullet"/>
      <w:lvlText w:val="-"/>
      <w:lvlJc w:val="left"/>
      <w:pPr>
        <w:ind w:left="1068" w:hanging="360"/>
      </w:pPr>
      <w:rPr>
        <w:rFonts w:ascii="Book Antiqua" w:eastAsia="Times New Roman" w:hAnsi="Book Antiqua" w:cs="Times New Roman" w:hint="default"/>
      </w:rPr>
    </w:lvl>
    <w:lvl w:ilvl="1" w:tplc="B1CA4A08">
      <w:start w:val="2"/>
      <w:numFmt w:val="bullet"/>
      <w:lvlText w:val="-"/>
      <w:lvlJc w:val="left"/>
      <w:pPr>
        <w:ind w:left="1788" w:hanging="360"/>
      </w:pPr>
      <w:rPr>
        <w:rFonts w:ascii="Book Antiqua" w:eastAsia="Times New Roman" w:hAnsi="Book Antiqua" w:cs="Times New Roman" w:hint="default"/>
      </w:r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8" w15:restartNumberingAfterBreak="0">
    <w:nsid w:val="129E6C7B"/>
    <w:multiLevelType w:val="hybridMultilevel"/>
    <w:tmpl w:val="0BDAFCEA"/>
    <w:lvl w:ilvl="0" w:tplc="080C0001">
      <w:start w:val="1"/>
      <w:numFmt w:val="bullet"/>
      <w:lvlText w:val=""/>
      <w:lvlJc w:val="left"/>
      <w:pPr>
        <w:ind w:left="718" w:hanging="360"/>
      </w:pPr>
      <w:rPr>
        <w:rFonts w:ascii="Symbol" w:hAnsi="Symbol" w:hint="default"/>
      </w:rPr>
    </w:lvl>
    <w:lvl w:ilvl="1" w:tplc="080C0003" w:tentative="1">
      <w:start w:val="1"/>
      <w:numFmt w:val="bullet"/>
      <w:lvlText w:val="o"/>
      <w:lvlJc w:val="left"/>
      <w:pPr>
        <w:ind w:left="1438" w:hanging="360"/>
      </w:pPr>
      <w:rPr>
        <w:rFonts w:ascii="Courier New" w:hAnsi="Courier New" w:cs="Courier New" w:hint="default"/>
      </w:rPr>
    </w:lvl>
    <w:lvl w:ilvl="2" w:tplc="080C0005" w:tentative="1">
      <w:start w:val="1"/>
      <w:numFmt w:val="bullet"/>
      <w:lvlText w:val=""/>
      <w:lvlJc w:val="left"/>
      <w:pPr>
        <w:ind w:left="2158" w:hanging="360"/>
      </w:pPr>
      <w:rPr>
        <w:rFonts w:ascii="Wingdings" w:hAnsi="Wingdings" w:hint="default"/>
      </w:rPr>
    </w:lvl>
    <w:lvl w:ilvl="3" w:tplc="080C0001" w:tentative="1">
      <w:start w:val="1"/>
      <w:numFmt w:val="bullet"/>
      <w:lvlText w:val=""/>
      <w:lvlJc w:val="left"/>
      <w:pPr>
        <w:ind w:left="2878" w:hanging="360"/>
      </w:pPr>
      <w:rPr>
        <w:rFonts w:ascii="Symbol" w:hAnsi="Symbol" w:hint="default"/>
      </w:rPr>
    </w:lvl>
    <w:lvl w:ilvl="4" w:tplc="080C0003" w:tentative="1">
      <w:start w:val="1"/>
      <w:numFmt w:val="bullet"/>
      <w:lvlText w:val="o"/>
      <w:lvlJc w:val="left"/>
      <w:pPr>
        <w:ind w:left="3598" w:hanging="360"/>
      </w:pPr>
      <w:rPr>
        <w:rFonts w:ascii="Courier New" w:hAnsi="Courier New" w:cs="Courier New" w:hint="default"/>
      </w:rPr>
    </w:lvl>
    <w:lvl w:ilvl="5" w:tplc="080C0005" w:tentative="1">
      <w:start w:val="1"/>
      <w:numFmt w:val="bullet"/>
      <w:lvlText w:val=""/>
      <w:lvlJc w:val="left"/>
      <w:pPr>
        <w:ind w:left="4318" w:hanging="360"/>
      </w:pPr>
      <w:rPr>
        <w:rFonts w:ascii="Wingdings" w:hAnsi="Wingdings" w:hint="default"/>
      </w:rPr>
    </w:lvl>
    <w:lvl w:ilvl="6" w:tplc="080C0001" w:tentative="1">
      <w:start w:val="1"/>
      <w:numFmt w:val="bullet"/>
      <w:lvlText w:val=""/>
      <w:lvlJc w:val="left"/>
      <w:pPr>
        <w:ind w:left="5038" w:hanging="360"/>
      </w:pPr>
      <w:rPr>
        <w:rFonts w:ascii="Symbol" w:hAnsi="Symbol" w:hint="default"/>
      </w:rPr>
    </w:lvl>
    <w:lvl w:ilvl="7" w:tplc="080C0003" w:tentative="1">
      <w:start w:val="1"/>
      <w:numFmt w:val="bullet"/>
      <w:lvlText w:val="o"/>
      <w:lvlJc w:val="left"/>
      <w:pPr>
        <w:ind w:left="5758" w:hanging="360"/>
      </w:pPr>
      <w:rPr>
        <w:rFonts w:ascii="Courier New" w:hAnsi="Courier New" w:cs="Courier New" w:hint="default"/>
      </w:rPr>
    </w:lvl>
    <w:lvl w:ilvl="8" w:tplc="080C0005" w:tentative="1">
      <w:start w:val="1"/>
      <w:numFmt w:val="bullet"/>
      <w:lvlText w:val=""/>
      <w:lvlJc w:val="left"/>
      <w:pPr>
        <w:ind w:left="6478" w:hanging="360"/>
      </w:pPr>
      <w:rPr>
        <w:rFonts w:ascii="Wingdings" w:hAnsi="Wingdings" w:hint="default"/>
      </w:rPr>
    </w:lvl>
  </w:abstractNum>
  <w:abstractNum w:abstractNumId="19" w15:restartNumberingAfterBreak="0">
    <w:nsid w:val="12CE1020"/>
    <w:multiLevelType w:val="multilevel"/>
    <w:tmpl w:val="57CC909A"/>
    <w:lvl w:ilvl="0">
      <w:start w:val="1"/>
      <w:numFmt w:val="decimal"/>
      <w:lvlText w:val="%1."/>
      <w:lvlJc w:val="left"/>
      <w:pPr>
        <w:ind w:left="360" w:hanging="360"/>
      </w:pPr>
      <w:rPr>
        <w:rFonts w:asciiTheme="majorHAnsi" w:eastAsiaTheme="majorEastAsia" w:hAnsiTheme="majorHAnsi" w:cstheme="majorBidi"/>
      </w:rPr>
    </w:lvl>
    <w:lvl w:ilvl="1">
      <w:start w:val="1"/>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 w15:restartNumberingAfterBreak="0">
    <w:nsid w:val="135B4D19"/>
    <w:multiLevelType w:val="hybridMultilevel"/>
    <w:tmpl w:val="E2D803CE"/>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37A757E"/>
    <w:multiLevelType w:val="hybridMultilevel"/>
    <w:tmpl w:val="646621F6"/>
    <w:lvl w:ilvl="0" w:tplc="509279F0">
      <w:start w:val="3"/>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13893346"/>
    <w:multiLevelType w:val="multilevel"/>
    <w:tmpl w:val="931E61BA"/>
    <w:lvl w:ilvl="0">
      <w:start w:val="1"/>
      <w:numFmt w:val="decimal"/>
      <w:lvlText w:val="%1."/>
      <w:lvlJc w:val="left"/>
      <w:pPr>
        <w:ind w:left="720" w:hanging="360"/>
      </w:pPr>
    </w:lvl>
    <w:lvl w:ilvl="1">
      <w:start w:val="4"/>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14885642"/>
    <w:multiLevelType w:val="hybridMultilevel"/>
    <w:tmpl w:val="F51CE150"/>
    <w:lvl w:ilvl="0" w:tplc="B1CA4A08">
      <w:start w:val="2"/>
      <w:numFmt w:val="bullet"/>
      <w:lvlText w:val="-"/>
      <w:lvlJc w:val="left"/>
      <w:pPr>
        <w:ind w:left="720" w:hanging="360"/>
      </w:pPr>
      <w:rPr>
        <w:rFonts w:ascii="Book Antiqua" w:eastAsia="Times New Roman" w:hAnsi="Book Antiqua" w:cs="Times New Roman" w:hint="default"/>
      </w:rPr>
    </w:lvl>
    <w:lvl w:ilvl="1" w:tplc="B1CA4A08">
      <w:start w:val="2"/>
      <w:numFmt w:val="bullet"/>
      <w:lvlText w:val="-"/>
      <w:lvlJc w:val="left"/>
      <w:pPr>
        <w:ind w:left="1440" w:hanging="360"/>
      </w:pPr>
      <w:rPr>
        <w:rFonts w:ascii="Book Antiqua" w:eastAsia="Times New Roman" w:hAnsi="Book Antiqu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9D0BDA"/>
    <w:multiLevelType w:val="hybridMultilevel"/>
    <w:tmpl w:val="159A2FB8"/>
    <w:lvl w:ilvl="0" w:tplc="14C6518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14F22A43"/>
    <w:multiLevelType w:val="hybridMultilevel"/>
    <w:tmpl w:val="2A1C026E"/>
    <w:lvl w:ilvl="0" w:tplc="675EDD9A">
      <w:start w:val="1"/>
      <w:numFmt w:val="decimal"/>
      <w:lvlText w:val="%1."/>
      <w:lvlJc w:val="left"/>
      <w:pPr>
        <w:tabs>
          <w:tab w:val="num" w:pos="720"/>
        </w:tabs>
        <w:ind w:left="720" w:hanging="360"/>
      </w:pPr>
      <w:rPr>
        <w:rFonts w:hint="default"/>
      </w:rPr>
    </w:lvl>
    <w:lvl w:ilvl="1" w:tplc="5FBE738A">
      <w:start w:val="1"/>
      <w:numFmt w:val="decimal"/>
      <w:lvlText w:val="%2."/>
      <w:lvlJc w:val="left"/>
      <w:pPr>
        <w:tabs>
          <w:tab w:val="num" w:pos="1440"/>
        </w:tabs>
        <w:ind w:left="1440" w:hanging="360"/>
      </w:pPr>
    </w:lvl>
    <w:lvl w:ilvl="2" w:tplc="E96EB37E" w:tentative="1">
      <w:start w:val="1"/>
      <w:numFmt w:val="bullet"/>
      <w:lvlText w:val="•"/>
      <w:lvlJc w:val="left"/>
      <w:pPr>
        <w:tabs>
          <w:tab w:val="num" w:pos="2160"/>
        </w:tabs>
        <w:ind w:left="2160" w:hanging="360"/>
      </w:pPr>
      <w:rPr>
        <w:rFonts w:ascii="Arial" w:hAnsi="Arial" w:hint="default"/>
      </w:rPr>
    </w:lvl>
    <w:lvl w:ilvl="3" w:tplc="7F86A296" w:tentative="1">
      <w:start w:val="1"/>
      <w:numFmt w:val="bullet"/>
      <w:lvlText w:val="•"/>
      <w:lvlJc w:val="left"/>
      <w:pPr>
        <w:tabs>
          <w:tab w:val="num" w:pos="2880"/>
        </w:tabs>
        <w:ind w:left="2880" w:hanging="360"/>
      </w:pPr>
      <w:rPr>
        <w:rFonts w:ascii="Arial" w:hAnsi="Arial" w:hint="default"/>
      </w:rPr>
    </w:lvl>
    <w:lvl w:ilvl="4" w:tplc="E1CE33A4" w:tentative="1">
      <w:start w:val="1"/>
      <w:numFmt w:val="bullet"/>
      <w:lvlText w:val="•"/>
      <w:lvlJc w:val="left"/>
      <w:pPr>
        <w:tabs>
          <w:tab w:val="num" w:pos="3600"/>
        </w:tabs>
        <w:ind w:left="3600" w:hanging="360"/>
      </w:pPr>
      <w:rPr>
        <w:rFonts w:ascii="Arial" w:hAnsi="Arial" w:hint="default"/>
      </w:rPr>
    </w:lvl>
    <w:lvl w:ilvl="5" w:tplc="94201FBA" w:tentative="1">
      <w:start w:val="1"/>
      <w:numFmt w:val="bullet"/>
      <w:lvlText w:val="•"/>
      <w:lvlJc w:val="left"/>
      <w:pPr>
        <w:tabs>
          <w:tab w:val="num" w:pos="4320"/>
        </w:tabs>
        <w:ind w:left="4320" w:hanging="360"/>
      </w:pPr>
      <w:rPr>
        <w:rFonts w:ascii="Arial" w:hAnsi="Arial" w:hint="default"/>
      </w:rPr>
    </w:lvl>
    <w:lvl w:ilvl="6" w:tplc="8472A240" w:tentative="1">
      <w:start w:val="1"/>
      <w:numFmt w:val="bullet"/>
      <w:lvlText w:val="•"/>
      <w:lvlJc w:val="left"/>
      <w:pPr>
        <w:tabs>
          <w:tab w:val="num" w:pos="5040"/>
        </w:tabs>
        <w:ind w:left="5040" w:hanging="360"/>
      </w:pPr>
      <w:rPr>
        <w:rFonts w:ascii="Arial" w:hAnsi="Arial" w:hint="default"/>
      </w:rPr>
    </w:lvl>
    <w:lvl w:ilvl="7" w:tplc="EB9ECE5E" w:tentative="1">
      <w:start w:val="1"/>
      <w:numFmt w:val="bullet"/>
      <w:lvlText w:val="•"/>
      <w:lvlJc w:val="left"/>
      <w:pPr>
        <w:tabs>
          <w:tab w:val="num" w:pos="5760"/>
        </w:tabs>
        <w:ind w:left="5760" w:hanging="360"/>
      </w:pPr>
      <w:rPr>
        <w:rFonts w:ascii="Arial" w:hAnsi="Arial" w:hint="default"/>
      </w:rPr>
    </w:lvl>
    <w:lvl w:ilvl="8" w:tplc="A626717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155342A1"/>
    <w:multiLevelType w:val="hybridMultilevel"/>
    <w:tmpl w:val="9B4EAF52"/>
    <w:lvl w:ilvl="0" w:tplc="675EDD9A">
      <w:start w:val="1"/>
      <w:numFmt w:val="decimal"/>
      <w:lvlText w:val="%1."/>
      <w:lvlJc w:val="left"/>
      <w:pPr>
        <w:tabs>
          <w:tab w:val="num" w:pos="720"/>
        </w:tabs>
        <w:ind w:left="720" w:hanging="360"/>
      </w:pPr>
      <w:rPr>
        <w:rFonts w:hint="default"/>
      </w:rPr>
    </w:lvl>
    <w:lvl w:ilvl="1" w:tplc="5FBE738A">
      <w:start w:val="1"/>
      <w:numFmt w:val="decimal"/>
      <w:lvlText w:val="%2."/>
      <w:lvlJc w:val="left"/>
      <w:pPr>
        <w:tabs>
          <w:tab w:val="num" w:pos="1440"/>
        </w:tabs>
        <w:ind w:left="1440" w:hanging="360"/>
      </w:pPr>
    </w:lvl>
    <w:lvl w:ilvl="2" w:tplc="E96EB37E" w:tentative="1">
      <w:start w:val="1"/>
      <w:numFmt w:val="bullet"/>
      <w:lvlText w:val="•"/>
      <w:lvlJc w:val="left"/>
      <w:pPr>
        <w:tabs>
          <w:tab w:val="num" w:pos="2160"/>
        </w:tabs>
        <w:ind w:left="2160" w:hanging="360"/>
      </w:pPr>
      <w:rPr>
        <w:rFonts w:ascii="Arial" w:hAnsi="Arial" w:hint="default"/>
      </w:rPr>
    </w:lvl>
    <w:lvl w:ilvl="3" w:tplc="7F86A296" w:tentative="1">
      <w:start w:val="1"/>
      <w:numFmt w:val="bullet"/>
      <w:lvlText w:val="•"/>
      <w:lvlJc w:val="left"/>
      <w:pPr>
        <w:tabs>
          <w:tab w:val="num" w:pos="2880"/>
        </w:tabs>
        <w:ind w:left="2880" w:hanging="360"/>
      </w:pPr>
      <w:rPr>
        <w:rFonts w:ascii="Arial" w:hAnsi="Arial" w:hint="default"/>
      </w:rPr>
    </w:lvl>
    <w:lvl w:ilvl="4" w:tplc="E1CE33A4" w:tentative="1">
      <w:start w:val="1"/>
      <w:numFmt w:val="bullet"/>
      <w:lvlText w:val="•"/>
      <w:lvlJc w:val="left"/>
      <w:pPr>
        <w:tabs>
          <w:tab w:val="num" w:pos="3600"/>
        </w:tabs>
        <w:ind w:left="3600" w:hanging="360"/>
      </w:pPr>
      <w:rPr>
        <w:rFonts w:ascii="Arial" w:hAnsi="Arial" w:hint="default"/>
      </w:rPr>
    </w:lvl>
    <w:lvl w:ilvl="5" w:tplc="94201FBA" w:tentative="1">
      <w:start w:val="1"/>
      <w:numFmt w:val="bullet"/>
      <w:lvlText w:val="•"/>
      <w:lvlJc w:val="left"/>
      <w:pPr>
        <w:tabs>
          <w:tab w:val="num" w:pos="4320"/>
        </w:tabs>
        <w:ind w:left="4320" w:hanging="360"/>
      </w:pPr>
      <w:rPr>
        <w:rFonts w:ascii="Arial" w:hAnsi="Arial" w:hint="default"/>
      </w:rPr>
    </w:lvl>
    <w:lvl w:ilvl="6" w:tplc="8472A240" w:tentative="1">
      <w:start w:val="1"/>
      <w:numFmt w:val="bullet"/>
      <w:lvlText w:val="•"/>
      <w:lvlJc w:val="left"/>
      <w:pPr>
        <w:tabs>
          <w:tab w:val="num" w:pos="5040"/>
        </w:tabs>
        <w:ind w:left="5040" w:hanging="360"/>
      </w:pPr>
      <w:rPr>
        <w:rFonts w:ascii="Arial" w:hAnsi="Arial" w:hint="default"/>
      </w:rPr>
    </w:lvl>
    <w:lvl w:ilvl="7" w:tplc="EB9ECE5E" w:tentative="1">
      <w:start w:val="1"/>
      <w:numFmt w:val="bullet"/>
      <w:lvlText w:val="•"/>
      <w:lvlJc w:val="left"/>
      <w:pPr>
        <w:tabs>
          <w:tab w:val="num" w:pos="5760"/>
        </w:tabs>
        <w:ind w:left="5760" w:hanging="360"/>
      </w:pPr>
      <w:rPr>
        <w:rFonts w:ascii="Arial" w:hAnsi="Arial" w:hint="default"/>
      </w:rPr>
    </w:lvl>
    <w:lvl w:ilvl="8" w:tplc="A626717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19AE5DFA"/>
    <w:multiLevelType w:val="hybridMultilevel"/>
    <w:tmpl w:val="6ED2D934"/>
    <w:lvl w:ilvl="0" w:tplc="D80AA4C6">
      <w:start w:val="1"/>
      <w:numFmt w:val="lowerLetter"/>
      <w:lvlText w:val="%1)"/>
      <w:lvlJc w:val="left"/>
      <w:pPr>
        <w:ind w:left="720" w:hanging="360"/>
      </w:pPr>
      <w:rPr>
        <w:rFonts w:hint="default"/>
      </w:rPr>
    </w:lvl>
    <w:lvl w:ilvl="1" w:tplc="E23E1C22" w:tentative="1">
      <w:start w:val="1"/>
      <w:numFmt w:val="lowerLetter"/>
      <w:lvlText w:val="%2."/>
      <w:lvlJc w:val="left"/>
      <w:pPr>
        <w:ind w:left="1440" w:hanging="360"/>
      </w:pPr>
    </w:lvl>
    <w:lvl w:ilvl="2" w:tplc="C270B5C0" w:tentative="1">
      <w:start w:val="1"/>
      <w:numFmt w:val="lowerRoman"/>
      <w:lvlText w:val="%3."/>
      <w:lvlJc w:val="right"/>
      <w:pPr>
        <w:ind w:left="2160" w:hanging="180"/>
      </w:pPr>
    </w:lvl>
    <w:lvl w:ilvl="3" w:tplc="29D6474A" w:tentative="1">
      <w:start w:val="1"/>
      <w:numFmt w:val="decimal"/>
      <w:lvlText w:val="%4."/>
      <w:lvlJc w:val="left"/>
      <w:pPr>
        <w:ind w:left="2880" w:hanging="360"/>
      </w:pPr>
    </w:lvl>
    <w:lvl w:ilvl="4" w:tplc="48903786" w:tentative="1">
      <w:start w:val="1"/>
      <w:numFmt w:val="lowerLetter"/>
      <w:lvlText w:val="%5."/>
      <w:lvlJc w:val="left"/>
      <w:pPr>
        <w:ind w:left="3600" w:hanging="360"/>
      </w:pPr>
    </w:lvl>
    <w:lvl w:ilvl="5" w:tplc="84A2A44C" w:tentative="1">
      <w:start w:val="1"/>
      <w:numFmt w:val="lowerRoman"/>
      <w:lvlText w:val="%6."/>
      <w:lvlJc w:val="right"/>
      <w:pPr>
        <w:ind w:left="4320" w:hanging="180"/>
      </w:pPr>
    </w:lvl>
    <w:lvl w:ilvl="6" w:tplc="A692B3FC" w:tentative="1">
      <w:start w:val="1"/>
      <w:numFmt w:val="decimal"/>
      <w:lvlText w:val="%7."/>
      <w:lvlJc w:val="left"/>
      <w:pPr>
        <w:ind w:left="5040" w:hanging="360"/>
      </w:pPr>
    </w:lvl>
    <w:lvl w:ilvl="7" w:tplc="5C104FC6" w:tentative="1">
      <w:start w:val="1"/>
      <w:numFmt w:val="lowerLetter"/>
      <w:lvlText w:val="%8."/>
      <w:lvlJc w:val="left"/>
      <w:pPr>
        <w:ind w:left="5760" w:hanging="360"/>
      </w:pPr>
    </w:lvl>
    <w:lvl w:ilvl="8" w:tplc="B1CEB90E" w:tentative="1">
      <w:start w:val="1"/>
      <w:numFmt w:val="lowerRoman"/>
      <w:lvlText w:val="%9."/>
      <w:lvlJc w:val="right"/>
      <w:pPr>
        <w:ind w:left="6480" w:hanging="180"/>
      </w:pPr>
    </w:lvl>
  </w:abstractNum>
  <w:abstractNum w:abstractNumId="28" w15:restartNumberingAfterBreak="0">
    <w:nsid w:val="1A0D0BF3"/>
    <w:multiLevelType w:val="hybridMultilevel"/>
    <w:tmpl w:val="9DEC00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1AC24C3A"/>
    <w:multiLevelType w:val="multilevel"/>
    <w:tmpl w:val="72406804"/>
    <w:lvl w:ilvl="0">
      <w:start w:val="1"/>
      <w:numFmt w:val="decimal"/>
      <w:lvlText w:val="%1."/>
      <w:lvlJc w:val="left"/>
      <w:pPr>
        <w:tabs>
          <w:tab w:val="num" w:pos="720"/>
        </w:tabs>
        <w:ind w:left="720" w:hanging="360"/>
      </w:pPr>
    </w:lvl>
    <w:lvl w:ilvl="1">
      <w:start w:val="6"/>
      <w:numFmt w:val="decimal"/>
      <w:isLgl/>
      <w:lvlText w:val="%1.%2"/>
      <w:lvlJc w:val="left"/>
      <w:pPr>
        <w:ind w:left="915" w:hanging="555"/>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1B6D563A"/>
    <w:multiLevelType w:val="hybridMultilevel"/>
    <w:tmpl w:val="2E78082C"/>
    <w:lvl w:ilvl="0" w:tplc="080C000F">
      <w:start w:val="1"/>
      <w:numFmt w:val="decimal"/>
      <w:lvlText w:val="%1."/>
      <w:lvlJc w:val="left"/>
      <w:pPr>
        <w:ind w:left="360" w:hanging="360"/>
      </w:pPr>
    </w:lvl>
    <w:lvl w:ilvl="1" w:tplc="080C0019">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31" w15:restartNumberingAfterBreak="0">
    <w:nsid w:val="1EC3627B"/>
    <w:multiLevelType w:val="hybridMultilevel"/>
    <w:tmpl w:val="B3929B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FAD6E6C"/>
    <w:multiLevelType w:val="hybridMultilevel"/>
    <w:tmpl w:val="FB28BC24"/>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1FD1533C"/>
    <w:multiLevelType w:val="hybridMultilevel"/>
    <w:tmpl w:val="D8FE3C98"/>
    <w:lvl w:ilvl="0" w:tplc="B1CA4A08">
      <w:start w:val="2"/>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1FDB4FCD"/>
    <w:multiLevelType w:val="multilevel"/>
    <w:tmpl w:val="C75A7DD8"/>
    <w:lvl w:ilvl="0">
      <w:start w:val="1"/>
      <w:numFmt w:val="decimal"/>
      <w:lvlText w:val="%1."/>
      <w:lvlJc w:val="left"/>
      <w:pPr>
        <w:tabs>
          <w:tab w:val="num" w:pos="720"/>
        </w:tabs>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 w15:restartNumberingAfterBreak="0">
    <w:nsid w:val="1FE70888"/>
    <w:multiLevelType w:val="hybridMultilevel"/>
    <w:tmpl w:val="071293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2CD4E3E"/>
    <w:multiLevelType w:val="hybridMultilevel"/>
    <w:tmpl w:val="D54EA22E"/>
    <w:lvl w:ilvl="0" w:tplc="AEA44294">
      <w:start w:val="5"/>
      <w:numFmt w:val="bullet"/>
      <w:lvlText w:val="-"/>
      <w:lvlJc w:val="left"/>
      <w:pPr>
        <w:ind w:left="720" w:hanging="360"/>
      </w:pPr>
      <w:rPr>
        <w:rFonts w:ascii="Times New Roman" w:eastAsia="Cambria" w:hAnsi="Times New Roman" w:cs="Times New Roman"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52950CD"/>
    <w:multiLevelType w:val="multilevel"/>
    <w:tmpl w:val="0DC21716"/>
    <w:lvl w:ilvl="0">
      <w:start w:val="7"/>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273F6047"/>
    <w:multiLevelType w:val="hybridMultilevel"/>
    <w:tmpl w:val="BEECF982"/>
    <w:lvl w:ilvl="0" w:tplc="93582322">
      <w:start w:val="1"/>
      <w:numFmt w:val="bullet"/>
      <w:lvlText w:val=""/>
      <w:lvlJc w:val="left"/>
      <w:pPr>
        <w:tabs>
          <w:tab w:val="num" w:pos="720"/>
        </w:tabs>
        <w:ind w:left="720" w:hanging="360"/>
      </w:pPr>
      <w:rPr>
        <w:rFonts w:ascii="Wingdings" w:hAnsi="Wingdings" w:hint="default"/>
      </w:rPr>
    </w:lvl>
    <w:lvl w:ilvl="1" w:tplc="19B0D88C">
      <w:start w:val="1"/>
      <w:numFmt w:val="bullet"/>
      <w:lvlText w:val=""/>
      <w:lvlJc w:val="left"/>
      <w:pPr>
        <w:tabs>
          <w:tab w:val="num" w:pos="1440"/>
        </w:tabs>
        <w:ind w:left="1440" w:hanging="360"/>
      </w:pPr>
      <w:rPr>
        <w:rFonts w:ascii="Wingdings" w:hAnsi="Wingdings" w:hint="default"/>
      </w:rPr>
    </w:lvl>
    <w:lvl w:ilvl="2" w:tplc="ECF07BE2">
      <w:start w:val="1"/>
      <w:numFmt w:val="bullet"/>
      <w:lvlText w:val=""/>
      <w:lvlJc w:val="left"/>
      <w:pPr>
        <w:tabs>
          <w:tab w:val="num" w:pos="2160"/>
        </w:tabs>
        <w:ind w:left="2160" w:hanging="360"/>
      </w:pPr>
      <w:rPr>
        <w:rFonts w:ascii="Wingdings" w:hAnsi="Wingdings" w:hint="default"/>
      </w:rPr>
    </w:lvl>
    <w:lvl w:ilvl="3" w:tplc="00F4D216">
      <w:start w:val="1"/>
      <w:numFmt w:val="bullet"/>
      <w:lvlText w:val=""/>
      <w:lvlJc w:val="left"/>
      <w:pPr>
        <w:tabs>
          <w:tab w:val="num" w:pos="2880"/>
        </w:tabs>
        <w:ind w:left="2880" w:hanging="360"/>
      </w:pPr>
      <w:rPr>
        <w:rFonts w:ascii="Wingdings" w:hAnsi="Wingdings" w:hint="default"/>
      </w:rPr>
    </w:lvl>
    <w:lvl w:ilvl="4" w:tplc="1FC4E870">
      <w:start w:val="1"/>
      <w:numFmt w:val="bullet"/>
      <w:lvlText w:val=""/>
      <w:lvlJc w:val="left"/>
      <w:pPr>
        <w:tabs>
          <w:tab w:val="num" w:pos="3600"/>
        </w:tabs>
        <w:ind w:left="3600" w:hanging="360"/>
      </w:pPr>
      <w:rPr>
        <w:rFonts w:ascii="Wingdings" w:hAnsi="Wingdings" w:hint="default"/>
      </w:rPr>
    </w:lvl>
    <w:lvl w:ilvl="5" w:tplc="C4347710">
      <w:start w:val="1"/>
      <w:numFmt w:val="bullet"/>
      <w:lvlText w:val=""/>
      <w:lvlJc w:val="left"/>
      <w:pPr>
        <w:tabs>
          <w:tab w:val="num" w:pos="4320"/>
        </w:tabs>
        <w:ind w:left="4320" w:hanging="360"/>
      </w:pPr>
      <w:rPr>
        <w:rFonts w:ascii="Wingdings" w:hAnsi="Wingdings" w:hint="default"/>
      </w:rPr>
    </w:lvl>
    <w:lvl w:ilvl="6" w:tplc="04D848CC">
      <w:start w:val="1"/>
      <w:numFmt w:val="bullet"/>
      <w:lvlText w:val=""/>
      <w:lvlJc w:val="left"/>
      <w:pPr>
        <w:tabs>
          <w:tab w:val="num" w:pos="5040"/>
        </w:tabs>
        <w:ind w:left="5040" w:hanging="360"/>
      </w:pPr>
      <w:rPr>
        <w:rFonts w:ascii="Wingdings" w:hAnsi="Wingdings" w:hint="default"/>
      </w:rPr>
    </w:lvl>
    <w:lvl w:ilvl="7" w:tplc="23585AD4">
      <w:start w:val="1"/>
      <w:numFmt w:val="bullet"/>
      <w:lvlText w:val=""/>
      <w:lvlJc w:val="left"/>
      <w:pPr>
        <w:tabs>
          <w:tab w:val="num" w:pos="5760"/>
        </w:tabs>
        <w:ind w:left="5760" w:hanging="360"/>
      </w:pPr>
      <w:rPr>
        <w:rFonts w:ascii="Wingdings" w:hAnsi="Wingdings" w:hint="default"/>
      </w:rPr>
    </w:lvl>
    <w:lvl w:ilvl="8" w:tplc="FD962E02">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83D785F"/>
    <w:multiLevelType w:val="hybridMultilevel"/>
    <w:tmpl w:val="2DFA1458"/>
    <w:lvl w:ilvl="0" w:tplc="5A221D74">
      <w:numFmt w:val="bullet"/>
      <w:lvlText w:val="-"/>
      <w:lvlJc w:val="left"/>
      <w:pPr>
        <w:ind w:left="1080" w:hanging="360"/>
      </w:pPr>
      <w:rPr>
        <w:rFonts w:ascii="Calibri" w:hAnsi="Calibri" w:cs="Times New Roman" w:hint="default"/>
        <w:b w:val="0"/>
        <w:i w:val="0"/>
        <w:color w:val="auto"/>
        <w:sz w:val="20"/>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40" w15:restartNumberingAfterBreak="0">
    <w:nsid w:val="28503EAC"/>
    <w:multiLevelType w:val="hybridMultilevel"/>
    <w:tmpl w:val="34EA3D2C"/>
    <w:lvl w:ilvl="0" w:tplc="B1CA4A08">
      <w:start w:val="2"/>
      <w:numFmt w:val="bullet"/>
      <w:lvlText w:val="-"/>
      <w:lvlJc w:val="left"/>
      <w:pPr>
        <w:tabs>
          <w:tab w:val="num" w:pos="720"/>
        </w:tabs>
        <w:ind w:left="720" w:hanging="360"/>
      </w:pPr>
      <w:rPr>
        <w:rFonts w:ascii="Book Antiqua" w:eastAsia="Times New Roman" w:hAnsi="Book Antiqua" w:cs="Times New Roman" w:hint="default"/>
      </w:rPr>
    </w:lvl>
    <w:lvl w:ilvl="1" w:tplc="6A640E48">
      <w:start w:val="8196"/>
      <w:numFmt w:val="bullet"/>
      <w:lvlText w:val="•"/>
      <w:lvlJc w:val="left"/>
      <w:pPr>
        <w:tabs>
          <w:tab w:val="num" w:pos="1440"/>
        </w:tabs>
        <w:ind w:left="1440" w:hanging="360"/>
      </w:pPr>
      <w:rPr>
        <w:rFonts w:ascii="Arial" w:hAnsi="Arial" w:hint="default"/>
      </w:rPr>
    </w:lvl>
    <w:lvl w:ilvl="2" w:tplc="3A3A4FFA">
      <w:start w:val="8196"/>
      <w:numFmt w:val="bullet"/>
      <w:lvlText w:val="•"/>
      <w:lvlJc w:val="left"/>
      <w:pPr>
        <w:tabs>
          <w:tab w:val="num" w:pos="2160"/>
        </w:tabs>
        <w:ind w:left="2160" w:hanging="360"/>
      </w:pPr>
      <w:rPr>
        <w:rFonts w:ascii="Arial" w:hAnsi="Arial" w:hint="default"/>
      </w:rPr>
    </w:lvl>
    <w:lvl w:ilvl="3" w:tplc="9D7E8FA2" w:tentative="1">
      <w:start w:val="1"/>
      <w:numFmt w:val="bullet"/>
      <w:lvlText w:val="•"/>
      <w:lvlJc w:val="left"/>
      <w:pPr>
        <w:tabs>
          <w:tab w:val="num" w:pos="2880"/>
        </w:tabs>
        <w:ind w:left="2880" w:hanging="360"/>
      </w:pPr>
      <w:rPr>
        <w:rFonts w:ascii="Arial" w:hAnsi="Arial" w:hint="default"/>
      </w:rPr>
    </w:lvl>
    <w:lvl w:ilvl="4" w:tplc="B7140302" w:tentative="1">
      <w:start w:val="1"/>
      <w:numFmt w:val="bullet"/>
      <w:lvlText w:val="•"/>
      <w:lvlJc w:val="left"/>
      <w:pPr>
        <w:tabs>
          <w:tab w:val="num" w:pos="3600"/>
        </w:tabs>
        <w:ind w:left="3600" w:hanging="360"/>
      </w:pPr>
      <w:rPr>
        <w:rFonts w:ascii="Arial" w:hAnsi="Arial" w:hint="default"/>
      </w:rPr>
    </w:lvl>
    <w:lvl w:ilvl="5" w:tplc="B9D84190" w:tentative="1">
      <w:start w:val="1"/>
      <w:numFmt w:val="bullet"/>
      <w:lvlText w:val="•"/>
      <w:lvlJc w:val="left"/>
      <w:pPr>
        <w:tabs>
          <w:tab w:val="num" w:pos="4320"/>
        </w:tabs>
        <w:ind w:left="4320" w:hanging="360"/>
      </w:pPr>
      <w:rPr>
        <w:rFonts w:ascii="Arial" w:hAnsi="Arial" w:hint="default"/>
      </w:rPr>
    </w:lvl>
    <w:lvl w:ilvl="6" w:tplc="9A0657B4" w:tentative="1">
      <w:start w:val="1"/>
      <w:numFmt w:val="bullet"/>
      <w:lvlText w:val="•"/>
      <w:lvlJc w:val="left"/>
      <w:pPr>
        <w:tabs>
          <w:tab w:val="num" w:pos="5040"/>
        </w:tabs>
        <w:ind w:left="5040" w:hanging="360"/>
      </w:pPr>
      <w:rPr>
        <w:rFonts w:ascii="Arial" w:hAnsi="Arial" w:hint="default"/>
      </w:rPr>
    </w:lvl>
    <w:lvl w:ilvl="7" w:tplc="EE0CC7C8" w:tentative="1">
      <w:start w:val="1"/>
      <w:numFmt w:val="bullet"/>
      <w:lvlText w:val="•"/>
      <w:lvlJc w:val="left"/>
      <w:pPr>
        <w:tabs>
          <w:tab w:val="num" w:pos="5760"/>
        </w:tabs>
        <w:ind w:left="5760" w:hanging="360"/>
      </w:pPr>
      <w:rPr>
        <w:rFonts w:ascii="Arial" w:hAnsi="Arial" w:hint="default"/>
      </w:rPr>
    </w:lvl>
    <w:lvl w:ilvl="8" w:tplc="CC2098D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2A251A93"/>
    <w:multiLevelType w:val="hybridMultilevel"/>
    <w:tmpl w:val="800A8504"/>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C8D6095"/>
    <w:multiLevelType w:val="hybridMultilevel"/>
    <w:tmpl w:val="DC483C78"/>
    <w:lvl w:ilvl="0" w:tplc="9A065232">
      <w:start w:val="6"/>
      <w:numFmt w:val="bullet"/>
      <w:lvlText w:val=""/>
      <w:lvlJc w:val="left"/>
      <w:pPr>
        <w:ind w:left="720" w:hanging="360"/>
      </w:pPr>
      <w:rPr>
        <w:rFonts w:ascii="Wingdings" w:eastAsiaTheme="minorHAnsi" w:hAnsi="Wingdings" w:cs="Tahom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2D0D10A1"/>
    <w:multiLevelType w:val="hybridMultilevel"/>
    <w:tmpl w:val="D266300A"/>
    <w:lvl w:ilvl="0" w:tplc="9E96615E">
      <w:start w:val="16"/>
      <w:numFmt w:val="bullet"/>
      <w:lvlText w:val="-"/>
      <w:lvlJc w:val="left"/>
      <w:pPr>
        <w:ind w:left="720" w:hanging="360"/>
      </w:pPr>
      <w:rPr>
        <w:rFonts w:ascii="Arial" w:eastAsia="Cambria" w:hAnsi="Arial" w:cs="Wingdings" w:hint="default"/>
      </w:rPr>
    </w:lvl>
    <w:lvl w:ilvl="1" w:tplc="040C0003" w:tentative="1">
      <w:start w:val="1"/>
      <w:numFmt w:val="bullet"/>
      <w:lvlText w:val="o"/>
      <w:lvlJc w:val="left"/>
      <w:pPr>
        <w:ind w:left="1440" w:hanging="360"/>
      </w:pPr>
      <w:rPr>
        <w:rFonts w:ascii="Courier New" w:hAnsi="Courier New" w:cs="MS Gothic"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MS Gothic"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MS Gothic"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2DBD749A"/>
    <w:multiLevelType w:val="hybridMultilevel"/>
    <w:tmpl w:val="05BE90B0"/>
    <w:lvl w:ilvl="0" w:tplc="B1CA4A08">
      <w:start w:val="2"/>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5" w15:restartNumberingAfterBreak="0">
    <w:nsid w:val="2E6E7ECB"/>
    <w:multiLevelType w:val="hybridMultilevel"/>
    <w:tmpl w:val="16B2FACA"/>
    <w:lvl w:ilvl="0" w:tplc="C15A144E">
      <w:start w:val="1"/>
      <w:numFmt w:val="bullet"/>
      <w:lvlText w:val="•"/>
      <w:lvlJc w:val="left"/>
      <w:pPr>
        <w:tabs>
          <w:tab w:val="num" w:pos="720"/>
        </w:tabs>
        <w:ind w:left="720" w:hanging="360"/>
      </w:pPr>
      <w:rPr>
        <w:rFonts w:ascii="Arial" w:hAnsi="Arial" w:hint="default"/>
      </w:rPr>
    </w:lvl>
    <w:lvl w:ilvl="1" w:tplc="040C0005">
      <w:start w:val="1"/>
      <w:numFmt w:val="bullet"/>
      <w:lvlText w:val=""/>
      <w:lvlJc w:val="left"/>
      <w:pPr>
        <w:tabs>
          <w:tab w:val="num" w:pos="1440"/>
        </w:tabs>
        <w:ind w:left="1440" w:hanging="360"/>
      </w:pPr>
      <w:rPr>
        <w:rFonts w:ascii="Wingdings" w:hAnsi="Wingdings" w:hint="default"/>
      </w:rPr>
    </w:lvl>
    <w:lvl w:ilvl="2" w:tplc="040C0005">
      <w:start w:val="1"/>
      <w:numFmt w:val="bullet"/>
      <w:lvlText w:val=""/>
      <w:lvlJc w:val="left"/>
      <w:pPr>
        <w:tabs>
          <w:tab w:val="num" w:pos="2160"/>
        </w:tabs>
        <w:ind w:left="2160" w:hanging="360"/>
      </w:pPr>
      <w:rPr>
        <w:rFonts w:ascii="Wingdings" w:hAnsi="Wingdings" w:hint="default"/>
      </w:rPr>
    </w:lvl>
    <w:lvl w:ilvl="3" w:tplc="9D7E8FA2" w:tentative="1">
      <w:start w:val="1"/>
      <w:numFmt w:val="bullet"/>
      <w:lvlText w:val="•"/>
      <w:lvlJc w:val="left"/>
      <w:pPr>
        <w:tabs>
          <w:tab w:val="num" w:pos="2880"/>
        </w:tabs>
        <w:ind w:left="2880" w:hanging="360"/>
      </w:pPr>
      <w:rPr>
        <w:rFonts w:ascii="Arial" w:hAnsi="Arial" w:hint="default"/>
      </w:rPr>
    </w:lvl>
    <w:lvl w:ilvl="4" w:tplc="B7140302" w:tentative="1">
      <w:start w:val="1"/>
      <w:numFmt w:val="bullet"/>
      <w:lvlText w:val="•"/>
      <w:lvlJc w:val="left"/>
      <w:pPr>
        <w:tabs>
          <w:tab w:val="num" w:pos="3600"/>
        </w:tabs>
        <w:ind w:left="3600" w:hanging="360"/>
      </w:pPr>
      <w:rPr>
        <w:rFonts w:ascii="Arial" w:hAnsi="Arial" w:hint="default"/>
      </w:rPr>
    </w:lvl>
    <w:lvl w:ilvl="5" w:tplc="B9D84190" w:tentative="1">
      <w:start w:val="1"/>
      <w:numFmt w:val="bullet"/>
      <w:lvlText w:val="•"/>
      <w:lvlJc w:val="left"/>
      <w:pPr>
        <w:tabs>
          <w:tab w:val="num" w:pos="4320"/>
        </w:tabs>
        <w:ind w:left="4320" w:hanging="360"/>
      </w:pPr>
      <w:rPr>
        <w:rFonts w:ascii="Arial" w:hAnsi="Arial" w:hint="default"/>
      </w:rPr>
    </w:lvl>
    <w:lvl w:ilvl="6" w:tplc="9A0657B4" w:tentative="1">
      <w:start w:val="1"/>
      <w:numFmt w:val="bullet"/>
      <w:lvlText w:val="•"/>
      <w:lvlJc w:val="left"/>
      <w:pPr>
        <w:tabs>
          <w:tab w:val="num" w:pos="5040"/>
        </w:tabs>
        <w:ind w:left="5040" w:hanging="360"/>
      </w:pPr>
      <w:rPr>
        <w:rFonts w:ascii="Arial" w:hAnsi="Arial" w:hint="default"/>
      </w:rPr>
    </w:lvl>
    <w:lvl w:ilvl="7" w:tplc="EE0CC7C8" w:tentative="1">
      <w:start w:val="1"/>
      <w:numFmt w:val="bullet"/>
      <w:lvlText w:val="•"/>
      <w:lvlJc w:val="left"/>
      <w:pPr>
        <w:tabs>
          <w:tab w:val="num" w:pos="5760"/>
        </w:tabs>
        <w:ind w:left="5760" w:hanging="360"/>
      </w:pPr>
      <w:rPr>
        <w:rFonts w:ascii="Arial" w:hAnsi="Arial" w:hint="default"/>
      </w:rPr>
    </w:lvl>
    <w:lvl w:ilvl="8" w:tplc="CC2098D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2EC60DCB"/>
    <w:multiLevelType w:val="hybridMultilevel"/>
    <w:tmpl w:val="C936DAB8"/>
    <w:lvl w:ilvl="0" w:tplc="509279F0">
      <w:start w:val="3"/>
      <w:numFmt w:val="bullet"/>
      <w:lvlText w:val="-"/>
      <w:lvlJc w:val="left"/>
      <w:pPr>
        <w:ind w:left="720" w:hanging="360"/>
      </w:pPr>
      <w:rPr>
        <w:rFonts w:ascii="Arial" w:eastAsiaTheme="minorEastAsia" w:hAnsi="Arial" w:cs="Aria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7" w15:restartNumberingAfterBreak="0">
    <w:nsid w:val="2F3E0857"/>
    <w:multiLevelType w:val="hybridMultilevel"/>
    <w:tmpl w:val="89FCFF9E"/>
    <w:lvl w:ilvl="0" w:tplc="080C000F">
      <w:start w:val="1"/>
      <w:numFmt w:val="decimal"/>
      <w:lvlText w:val="%1."/>
      <w:lvlJc w:val="left"/>
      <w:pPr>
        <w:ind w:left="360" w:hanging="360"/>
      </w:p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48" w15:restartNumberingAfterBreak="0">
    <w:nsid w:val="2F795F14"/>
    <w:multiLevelType w:val="hybridMultilevel"/>
    <w:tmpl w:val="80803354"/>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30014617"/>
    <w:multiLevelType w:val="hybridMultilevel"/>
    <w:tmpl w:val="50B4712A"/>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32536321"/>
    <w:multiLevelType w:val="hybridMultilevel"/>
    <w:tmpl w:val="45D0C4E8"/>
    <w:lvl w:ilvl="0" w:tplc="B1CA4A08">
      <w:start w:val="2"/>
      <w:numFmt w:val="bullet"/>
      <w:lvlText w:val="-"/>
      <w:lvlJc w:val="left"/>
      <w:pPr>
        <w:tabs>
          <w:tab w:val="num" w:pos="720"/>
        </w:tabs>
        <w:ind w:left="720" w:hanging="360"/>
      </w:pPr>
      <w:rPr>
        <w:rFonts w:ascii="Book Antiqua" w:eastAsia="Times New Roman" w:hAnsi="Book Antiqua" w:cs="Times New Roman" w:hint="default"/>
      </w:rPr>
    </w:lvl>
    <w:lvl w:ilvl="1" w:tplc="19B0D88C">
      <w:start w:val="1"/>
      <w:numFmt w:val="bullet"/>
      <w:lvlText w:val=""/>
      <w:lvlJc w:val="left"/>
      <w:pPr>
        <w:tabs>
          <w:tab w:val="num" w:pos="1440"/>
        </w:tabs>
        <w:ind w:left="1440" w:hanging="360"/>
      </w:pPr>
      <w:rPr>
        <w:rFonts w:ascii="Wingdings" w:hAnsi="Wingdings" w:hint="default"/>
      </w:rPr>
    </w:lvl>
    <w:lvl w:ilvl="2" w:tplc="ECF07BE2">
      <w:start w:val="1"/>
      <w:numFmt w:val="bullet"/>
      <w:lvlText w:val=""/>
      <w:lvlJc w:val="left"/>
      <w:pPr>
        <w:tabs>
          <w:tab w:val="num" w:pos="2160"/>
        </w:tabs>
        <w:ind w:left="2160" w:hanging="360"/>
      </w:pPr>
      <w:rPr>
        <w:rFonts w:ascii="Wingdings" w:hAnsi="Wingdings" w:hint="default"/>
      </w:rPr>
    </w:lvl>
    <w:lvl w:ilvl="3" w:tplc="00F4D216">
      <w:start w:val="1"/>
      <w:numFmt w:val="bullet"/>
      <w:lvlText w:val=""/>
      <w:lvlJc w:val="left"/>
      <w:pPr>
        <w:tabs>
          <w:tab w:val="num" w:pos="2880"/>
        </w:tabs>
        <w:ind w:left="2880" w:hanging="360"/>
      </w:pPr>
      <w:rPr>
        <w:rFonts w:ascii="Wingdings" w:hAnsi="Wingdings" w:hint="default"/>
      </w:rPr>
    </w:lvl>
    <w:lvl w:ilvl="4" w:tplc="1FC4E870">
      <w:start w:val="1"/>
      <w:numFmt w:val="bullet"/>
      <w:lvlText w:val=""/>
      <w:lvlJc w:val="left"/>
      <w:pPr>
        <w:tabs>
          <w:tab w:val="num" w:pos="3600"/>
        </w:tabs>
        <w:ind w:left="3600" w:hanging="360"/>
      </w:pPr>
      <w:rPr>
        <w:rFonts w:ascii="Wingdings" w:hAnsi="Wingdings" w:hint="default"/>
      </w:rPr>
    </w:lvl>
    <w:lvl w:ilvl="5" w:tplc="C4347710">
      <w:start w:val="1"/>
      <w:numFmt w:val="bullet"/>
      <w:lvlText w:val=""/>
      <w:lvlJc w:val="left"/>
      <w:pPr>
        <w:tabs>
          <w:tab w:val="num" w:pos="4320"/>
        </w:tabs>
        <w:ind w:left="4320" w:hanging="360"/>
      </w:pPr>
      <w:rPr>
        <w:rFonts w:ascii="Wingdings" w:hAnsi="Wingdings" w:hint="default"/>
      </w:rPr>
    </w:lvl>
    <w:lvl w:ilvl="6" w:tplc="04D848CC">
      <w:start w:val="1"/>
      <w:numFmt w:val="bullet"/>
      <w:lvlText w:val=""/>
      <w:lvlJc w:val="left"/>
      <w:pPr>
        <w:tabs>
          <w:tab w:val="num" w:pos="5040"/>
        </w:tabs>
        <w:ind w:left="5040" w:hanging="360"/>
      </w:pPr>
      <w:rPr>
        <w:rFonts w:ascii="Wingdings" w:hAnsi="Wingdings" w:hint="default"/>
      </w:rPr>
    </w:lvl>
    <w:lvl w:ilvl="7" w:tplc="23585AD4">
      <w:start w:val="1"/>
      <w:numFmt w:val="bullet"/>
      <w:lvlText w:val=""/>
      <w:lvlJc w:val="left"/>
      <w:pPr>
        <w:tabs>
          <w:tab w:val="num" w:pos="5760"/>
        </w:tabs>
        <w:ind w:left="5760" w:hanging="360"/>
      </w:pPr>
      <w:rPr>
        <w:rFonts w:ascii="Wingdings" w:hAnsi="Wingdings" w:hint="default"/>
      </w:rPr>
    </w:lvl>
    <w:lvl w:ilvl="8" w:tplc="FD962E02">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5362375"/>
    <w:multiLevelType w:val="hybridMultilevel"/>
    <w:tmpl w:val="144E32D8"/>
    <w:lvl w:ilvl="0" w:tplc="B1CA4A08">
      <w:start w:val="2"/>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2" w15:restartNumberingAfterBreak="0">
    <w:nsid w:val="39A0788D"/>
    <w:multiLevelType w:val="hybridMultilevel"/>
    <w:tmpl w:val="1F4A9B36"/>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3A8702E4"/>
    <w:multiLevelType w:val="hybridMultilevel"/>
    <w:tmpl w:val="11CAF586"/>
    <w:lvl w:ilvl="0" w:tplc="C15A144E">
      <w:start w:val="1"/>
      <w:numFmt w:val="bullet"/>
      <w:lvlText w:val="•"/>
      <w:lvlJc w:val="left"/>
      <w:pPr>
        <w:tabs>
          <w:tab w:val="num" w:pos="720"/>
        </w:tabs>
        <w:ind w:left="720" w:hanging="360"/>
      </w:pPr>
      <w:rPr>
        <w:rFonts w:ascii="Arial" w:hAnsi="Arial" w:hint="default"/>
      </w:rPr>
    </w:lvl>
    <w:lvl w:ilvl="1" w:tplc="6A640E48">
      <w:start w:val="8196"/>
      <w:numFmt w:val="bullet"/>
      <w:lvlText w:val="•"/>
      <w:lvlJc w:val="left"/>
      <w:pPr>
        <w:tabs>
          <w:tab w:val="num" w:pos="1440"/>
        </w:tabs>
        <w:ind w:left="1440" w:hanging="360"/>
      </w:pPr>
      <w:rPr>
        <w:rFonts w:ascii="Arial" w:hAnsi="Arial" w:hint="default"/>
      </w:rPr>
    </w:lvl>
    <w:lvl w:ilvl="2" w:tplc="3A3A4FFA">
      <w:start w:val="8196"/>
      <w:numFmt w:val="bullet"/>
      <w:lvlText w:val="•"/>
      <w:lvlJc w:val="left"/>
      <w:pPr>
        <w:tabs>
          <w:tab w:val="num" w:pos="2160"/>
        </w:tabs>
        <w:ind w:left="2160" w:hanging="360"/>
      </w:pPr>
      <w:rPr>
        <w:rFonts w:ascii="Arial" w:hAnsi="Arial" w:hint="default"/>
      </w:rPr>
    </w:lvl>
    <w:lvl w:ilvl="3" w:tplc="9D7E8FA2" w:tentative="1">
      <w:start w:val="1"/>
      <w:numFmt w:val="bullet"/>
      <w:lvlText w:val="•"/>
      <w:lvlJc w:val="left"/>
      <w:pPr>
        <w:tabs>
          <w:tab w:val="num" w:pos="2880"/>
        </w:tabs>
        <w:ind w:left="2880" w:hanging="360"/>
      </w:pPr>
      <w:rPr>
        <w:rFonts w:ascii="Arial" w:hAnsi="Arial" w:hint="default"/>
      </w:rPr>
    </w:lvl>
    <w:lvl w:ilvl="4" w:tplc="B7140302" w:tentative="1">
      <w:start w:val="1"/>
      <w:numFmt w:val="bullet"/>
      <w:lvlText w:val="•"/>
      <w:lvlJc w:val="left"/>
      <w:pPr>
        <w:tabs>
          <w:tab w:val="num" w:pos="3600"/>
        </w:tabs>
        <w:ind w:left="3600" w:hanging="360"/>
      </w:pPr>
      <w:rPr>
        <w:rFonts w:ascii="Arial" w:hAnsi="Arial" w:hint="default"/>
      </w:rPr>
    </w:lvl>
    <w:lvl w:ilvl="5" w:tplc="B9D84190" w:tentative="1">
      <w:start w:val="1"/>
      <w:numFmt w:val="bullet"/>
      <w:lvlText w:val="•"/>
      <w:lvlJc w:val="left"/>
      <w:pPr>
        <w:tabs>
          <w:tab w:val="num" w:pos="4320"/>
        </w:tabs>
        <w:ind w:left="4320" w:hanging="360"/>
      </w:pPr>
      <w:rPr>
        <w:rFonts w:ascii="Arial" w:hAnsi="Arial" w:hint="default"/>
      </w:rPr>
    </w:lvl>
    <w:lvl w:ilvl="6" w:tplc="9A0657B4" w:tentative="1">
      <w:start w:val="1"/>
      <w:numFmt w:val="bullet"/>
      <w:lvlText w:val="•"/>
      <w:lvlJc w:val="left"/>
      <w:pPr>
        <w:tabs>
          <w:tab w:val="num" w:pos="5040"/>
        </w:tabs>
        <w:ind w:left="5040" w:hanging="360"/>
      </w:pPr>
      <w:rPr>
        <w:rFonts w:ascii="Arial" w:hAnsi="Arial" w:hint="default"/>
      </w:rPr>
    </w:lvl>
    <w:lvl w:ilvl="7" w:tplc="EE0CC7C8" w:tentative="1">
      <w:start w:val="1"/>
      <w:numFmt w:val="bullet"/>
      <w:lvlText w:val="•"/>
      <w:lvlJc w:val="left"/>
      <w:pPr>
        <w:tabs>
          <w:tab w:val="num" w:pos="5760"/>
        </w:tabs>
        <w:ind w:left="5760" w:hanging="360"/>
      </w:pPr>
      <w:rPr>
        <w:rFonts w:ascii="Arial" w:hAnsi="Arial" w:hint="default"/>
      </w:rPr>
    </w:lvl>
    <w:lvl w:ilvl="8" w:tplc="CC2098D0"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3BE86923"/>
    <w:multiLevelType w:val="hybridMultilevel"/>
    <w:tmpl w:val="BE86A486"/>
    <w:lvl w:ilvl="0" w:tplc="D4821988">
      <w:start w:val="1"/>
      <w:numFmt w:val="decimal"/>
      <w:lvlText w:val="%1."/>
      <w:lvlJc w:val="left"/>
      <w:pPr>
        <w:ind w:left="720" w:hanging="360"/>
      </w:pPr>
      <w:rPr>
        <w:rFonts w:eastAsiaTheme="minorEastAsia"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5" w15:restartNumberingAfterBreak="0">
    <w:nsid w:val="3C1065CB"/>
    <w:multiLevelType w:val="hybridMultilevel"/>
    <w:tmpl w:val="AFAE4EEE"/>
    <w:lvl w:ilvl="0" w:tplc="B1CA4A08">
      <w:start w:val="2"/>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6" w15:restartNumberingAfterBreak="0">
    <w:nsid w:val="3C333AEB"/>
    <w:multiLevelType w:val="hybridMultilevel"/>
    <w:tmpl w:val="30CA4690"/>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7" w15:restartNumberingAfterBreak="0">
    <w:nsid w:val="3C387BD3"/>
    <w:multiLevelType w:val="hybridMultilevel"/>
    <w:tmpl w:val="32263584"/>
    <w:lvl w:ilvl="0" w:tplc="509279F0">
      <w:start w:val="3"/>
      <w:numFmt w:val="bullet"/>
      <w:lvlText w:val="-"/>
      <w:lvlJc w:val="left"/>
      <w:pPr>
        <w:ind w:left="360" w:hanging="360"/>
      </w:pPr>
      <w:rPr>
        <w:rFonts w:ascii="Arial" w:eastAsiaTheme="minorEastAsia" w:hAnsi="Arial" w:cs="Arial" w:hint="default"/>
      </w:rPr>
    </w:lvl>
    <w:lvl w:ilvl="1" w:tplc="080C0003">
      <w:start w:val="1"/>
      <w:numFmt w:val="bullet"/>
      <w:lvlText w:val="o"/>
      <w:lvlJc w:val="left"/>
      <w:pPr>
        <w:ind w:left="1080" w:hanging="360"/>
      </w:pPr>
      <w:rPr>
        <w:rFonts w:ascii="Courier New" w:hAnsi="Courier New" w:cs="Courier New" w:hint="default"/>
      </w:rPr>
    </w:lvl>
    <w:lvl w:ilvl="2" w:tplc="080C0005">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58" w15:restartNumberingAfterBreak="0">
    <w:nsid w:val="41965EE8"/>
    <w:multiLevelType w:val="hybridMultilevel"/>
    <w:tmpl w:val="A83C750A"/>
    <w:lvl w:ilvl="0" w:tplc="CCC4F47A">
      <w:start w:val="1"/>
      <w:numFmt w:val="lowerLetter"/>
      <w:lvlText w:val="%1)"/>
      <w:lvlJc w:val="left"/>
      <w:pPr>
        <w:ind w:left="705" w:hanging="705"/>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9" w15:restartNumberingAfterBreak="0">
    <w:nsid w:val="424C1592"/>
    <w:multiLevelType w:val="hybridMultilevel"/>
    <w:tmpl w:val="BE86A486"/>
    <w:lvl w:ilvl="0" w:tplc="D4821988">
      <w:start w:val="1"/>
      <w:numFmt w:val="decimal"/>
      <w:lvlText w:val="%1."/>
      <w:lvlJc w:val="left"/>
      <w:pPr>
        <w:ind w:left="720" w:hanging="360"/>
      </w:pPr>
      <w:rPr>
        <w:rFonts w:eastAsiaTheme="minorEastAsia"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424E5AD2"/>
    <w:multiLevelType w:val="hybridMultilevel"/>
    <w:tmpl w:val="2E78082C"/>
    <w:lvl w:ilvl="0" w:tplc="080C000F">
      <w:start w:val="1"/>
      <w:numFmt w:val="decimal"/>
      <w:lvlText w:val="%1."/>
      <w:lvlJc w:val="left"/>
      <w:pPr>
        <w:ind w:left="360" w:hanging="360"/>
      </w:pPr>
    </w:lvl>
    <w:lvl w:ilvl="1" w:tplc="080C0019">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61" w15:restartNumberingAfterBreak="0">
    <w:nsid w:val="454410C5"/>
    <w:multiLevelType w:val="hybridMultilevel"/>
    <w:tmpl w:val="154C54A4"/>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459B0371"/>
    <w:multiLevelType w:val="hybridMultilevel"/>
    <w:tmpl w:val="63FEA272"/>
    <w:lvl w:ilvl="0" w:tplc="5A221D74">
      <w:numFmt w:val="bullet"/>
      <w:lvlText w:val="-"/>
      <w:lvlJc w:val="left"/>
      <w:pPr>
        <w:ind w:left="720" w:hanging="360"/>
      </w:pPr>
      <w:rPr>
        <w:rFonts w:ascii="Calibri" w:hAnsi="Calibri" w:cs="Times New Roman" w:hint="default"/>
        <w:b w:val="0"/>
        <w:i w:val="0"/>
        <w:color w:val="auto"/>
        <w:sz w:val="20"/>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3" w15:restartNumberingAfterBreak="0">
    <w:nsid w:val="45A346B7"/>
    <w:multiLevelType w:val="hybridMultilevel"/>
    <w:tmpl w:val="3AF4F45E"/>
    <w:lvl w:ilvl="0" w:tplc="5A221D74">
      <w:numFmt w:val="bullet"/>
      <w:lvlText w:val="-"/>
      <w:lvlJc w:val="left"/>
      <w:pPr>
        <w:ind w:left="720" w:hanging="360"/>
      </w:pPr>
      <w:rPr>
        <w:rFonts w:ascii="Calibri" w:hAnsi="Calibri" w:cs="Times New Roman" w:hint="default"/>
        <w:b w:val="0"/>
        <w:i w:val="0"/>
        <w:color w:val="auto"/>
        <w:sz w:val="20"/>
      </w:rPr>
    </w:lvl>
    <w:lvl w:ilvl="1" w:tplc="080C0003">
      <w:start w:val="1"/>
      <w:numFmt w:val="bullet"/>
      <w:lvlText w:val="o"/>
      <w:lvlJc w:val="left"/>
      <w:pPr>
        <w:ind w:left="1440" w:hanging="360"/>
      </w:pPr>
      <w:rPr>
        <w:rFonts w:ascii="Courier New" w:hAnsi="Courier New" w:cs="Courier New" w:hint="default"/>
      </w:rPr>
    </w:lvl>
    <w:lvl w:ilvl="2" w:tplc="509279F0">
      <w:start w:val="3"/>
      <w:numFmt w:val="bullet"/>
      <w:lvlText w:val="-"/>
      <w:lvlJc w:val="left"/>
      <w:pPr>
        <w:ind w:left="2160" w:hanging="360"/>
      </w:pPr>
      <w:rPr>
        <w:rFonts w:ascii="Arial" w:eastAsiaTheme="minorEastAsia" w:hAnsi="Arial" w:cs="Arial" w:hint="default"/>
      </w:rPr>
    </w:lvl>
    <w:lvl w:ilvl="3" w:tplc="080C000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4" w15:restartNumberingAfterBreak="0">
    <w:nsid w:val="465E508B"/>
    <w:multiLevelType w:val="hybridMultilevel"/>
    <w:tmpl w:val="65001AB2"/>
    <w:lvl w:ilvl="0" w:tplc="B1CA4A08">
      <w:start w:val="2"/>
      <w:numFmt w:val="bullet"/>
      <w:lvlText w:val="-"/>
      <w:lvlJc w:val="left"/>
      <w:pPr>
        <w:ind w:left="720" w:hanging="360"/>
      </w:pPr>
      <w:rPr>
        <w:rFonts w:ascii="Book Antiqua" w:eastAsia="Times New Roman" w:hAnsi="Book Antiqu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87E445D"/>
    <w:multiLevelType w:val="hybridMultilevel"/>
    <w:tmpl w:val="A11E9480"/>
    <w:lvl w:ilvl="0" w:tplc="9DB0FEF0">
      <w:start w:val="1"/>
      <w:numFmt w:val="bullet"/>
      <w:lvlText w:val="-"/>
      <w:lvlJc w:val="left"/>
      <w:pPr>
        <w:ind w:left="720" w:hanging="360"/>
      </w:pPr>
      <w:rPr>
        <w:rFonts w:ascii="Georgia" w:eastAsia="Arial" w:hAnsi="Georg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91318BC"/>
    <w:multiLevelType w:val="hybridMultilevel"/>
    <w:tmpl w:val="4CFAA172"/>
    <w:lvl w:ilvl="0" w:tplc="B1CA4A08">
      <w:start w:val="2"/>
      <w:numFmt w:val="bullet"/>
      <w:lvlText w:val="-"/>
      <w:lvlJc w:val="left"/>
      <w:pPr>
        <w:tabs>
          <w:tab w:val="num" w:pos="720"/>
        </w:tabs>
        <w:ind w:left="720" w:hanging="360"/>
      </w:pPr>
      <w:rPr>
        <w:rFonts w:ascii="Book Antiqua" w:eastAsia="Times New Roman" w:hAnsi="Book Antiqua" w:cs="Times New Roman" w:hint="default"/>
      </w:rPr>
    </w:lvl>
    <w:lvl w:ilvl="1" w:tplc="5FBE738A">
      <w:start w:val="1"/>
      <w:numFmt w:val="decimal"/>
      <w:lvlText w:val="%2."/>
      <w:lvlJc w:val="left"/>
      <w:pPr>
        <w:tabs>
          <w:tab w:val="num" w:pos="1440"/>
        </w:tabs>
        <w:ind w:left="1440" w:hanging="360"/>
      </w:pPr>
    </w:lvl>
    <w:lvl w:ilvl="2" w:tplc="E96EB37E" w:tentative="1">
      <w:start w:val="1"/>
      <w:numFmt w:val="bullet"/>
      <w:lvlText w:val="•"/>
      <w:lvlJc w:val="left"/>
      <w:pPr>
        <w:tabs>
          <w:tab w:val="num" w:pos="2160"/>
        </w:tabs>
        <w:ind w:left="2160" w:hanging="360"/>
      </w:pPr>
      <w:rPr>
        <w:rFonts w:ascii="Arial" w:hAnsi="Arial" w:hint="default"/>
      </w:rPr>
    </w:lvl>
    <w:lvl w:ilvl="3" w:tplc="7F86A296" w:tentative="1">
      <w:start w:val="1"/>
      <w:numFmt w:val="bullet"/>
      <w:lvlText w:val="•"/>
      <w:lvlJc w:val="left"/>
      <w:pPr>
        <w:tabs>
          <w:tab w:val="num" w:pos="2880"/>
        </w:tabs>
        <w:ind w:left="2880" w:hanging="360"/>
      </w:pPr>
      <w:rPr>
        <w:rFonts w:ascii="Arial" w:hAnsi="Arial" w:hint="default"/>
      </w:rPr>
    </w:lvl>
    <w:lvl w:ilvl="4" w:tplc="E1CE33A4" w:tentative="1">
      <w:start w:val="1"/>
      <w:numFmt w:val="bullet"/>
      <w:lvlText w:val="•"/>
      <w:lvlJc w:val="left"/>
      <w:pPr>
        <w:tabs>
          <w:tab w:val="num" w:pos="3600"/>
        </w:tabs>
        <w:ind w:left="3600" w:hanging="360"/>
      </w:pPr>
      <w:rPr>
        <w:rFonts w:ascii="Arial" w:hAnsi="Arial" w:hint="default"/>
      </w:rPr>
    </w:lvl>
    <w:lvl w:ilvl="5" w:tplc="94201FBA" w:tentative="1">
      <w:start w:val="1"/>
      <w:numFmt w:val="bullet"/>
      <w:lvlText w:val="•"/>
      <w:lvlJc w:val="left"/>
      <w:pPr>
        <w:tabs>
          <w:tab w:val="num" w:pos="4320"/>
        </w:tabs>
        <w:ind w:left="4320" w:hanging="360"/>
      </w:pPr>
      <w:rPr>
        <w:rFonts w:ascii="Arial" w:hAnsi="Arial" w:hint="default"/>
      </w:rPr>
    </w:lvl>
    <w:lvl w:ilvl="6" w:tplc="8472A240" w:tentative="1">
      <w:start w:val="1"/>
      <w:numFmt w:val="bullet"/>
      <w:lvlText w:val="•"/>
      <w:lvlJc w:val="left"/>
      <w:pPr>
        <w:tabs>
          <w:tab w:val="num" w:pos="5040"/>
        </w:tabs>
        <w:ind w:left="5040" w:hanging="360"/>
      </w:pPr>
      <w:rPr>
        <w:rFonts w:ascii="Arial" w:hAnsi="Arial" w:hint="default"/>
      </w:rPr>
    </w:lvl>
    <w:lvl w:ilvl="7" w:tplc="EB9ECE5E" w:tentative="1">
      <w:start w:val="1"/>
      <w:numFmt w:val="bullet"/>
      <w:lvlText w:val="•"/>
      <w:lvlJc w:val="left"/>
      <w:pPr>
        <w:tabs>
          <w:tab w:val="num" w:pos="5760"/>
        </w:tabs>
        <w:ind w:left="5760" w:hanging="360"/>
      </w:pPr>
      <w:rPr>
        <w:rFonts w:ascii="Arial" w:hAnsi="Arial" w:hint="default"/>
      </w:rPr>
    </w:lvl>
    <w:lvl w:ilvl="8" w:tplc="A626717A"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498D5E06"/>
    <w:multiLevelType w:val="hybridMultilevel"/>
    <w:tmpl w:val="A13E733C"/>
    <w:lvl w:ilvl="0" w:tplc="AFB2C8B6">
      <w:start w:val="3"/>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499B77FF"/>
    <w:multiLevelType w:val="hybridMultilevel"/>
    <w:tmpl w:val="2A4E7298"/>
    <w:lvl w:ilvl="0" w:tplc="509279F0">
      <w:start w:val="3"/>
      <w:numFmt w:val="bullet"/>
      <w:lvlText w:val="-"/>
      <w:lvlJc w:val="left"/>
      <w:pPr>
        <w:ind w:left="360" w:hanging="360"/>
      </w:pPr>
      <w:rPr>
        <w:rFonts w:ascii="Arial" w:eastAsiaTheme="minorEastAsia" w:hAnsi="Arial" w:cs="Aria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69" w15:restartNumberingAfterBreak="0">
    <w:nsid w:val="4C481DC9"/>
    <w:multiLevelType w:val="hybridMultilevel"/>
    <w:tmpl w:val="E3CCB52A"/>
    <w:lvl w:ilvl="0" w:tplc="040C0005">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70" w15:restartNumberingAfterBreak="0">
    <w:nsid w:val="4C576329"/>
    <w:multiLevelType w:val="hybridMultilevel"/>
    <w:tmpl w:val="6C08CB48"/>
    <w:lvl w:ilvl="0" w:tplc="675EDD9A">
      <w:start w:val="1"/>
      <w:numFmt w:val="decimal"/>
      <w:lvlText w:val="%1."/>
      <w:lvlJc w:val="left"/>
      <w:pPr>
        <w:tabs>
          <w:tab w:val="num" w:pos="720"/>
        </w:tabs>
        <w:ind w:left="720" w:hanging="360"/>
      </w:pPr>
      <w:rPr>
        <w:rFonts w:hint="default"/>
      </w:rPr>
    </w:lvl>
    <w:lvl w:ilvl="1" w:tplc="675EDD9A">
      <w:start w:val="1"/>
      <w:numFmt w:val="decimal"/>
      <w:lvlText w:val="%2."/>
      <w:lvlJc w:val="left"/>
      <w:pPr>
        <w:tabs>
          <w:tab w:val="num" w:pos="1440"/>
        </w:tabs>
        <w:ind w:left="1440" w:hanging="360"/>
      </w:pPr>
      <w:rPr>
        <w:rFonts w:hint="default"/>
      </w:rPr>
    </w:lvl>
    <w:lvl w:ilvl="2" w:tplc="E96EB37E" w:tentative="1">
      <w:start w:val="1"/>
      <w:numFmt w:val="bullet"/>
      <w:lvlText w:val="•"/>
      <w:lvlJc w:val="left"/>
      <w:pPr>
        <w:tabs>
          <w:tab w:val="num" w:pos="2160"/>
        </w:tabs>
        <w:ind w:left="2160" w:hanging="360"/>
      </w:pPr>
      <w:rPr>
        <w:rFonts w:ascii="Arial" w:hAnsi="Arial" w:hint="default"/>
      </w:rPr>
    </w:lvl>
    <w:lvl w:ilvl="3" w:tplc="7F86A296" w:tentative="1">
      <w:start w:val="1"/>
      <w:numFmt w:val="bullet"/>
      <w:lvlText w:val="•"/>
      <w:lvlJc w:val="left"/>
      <w:pPr>
        <w:tabs>
          <w:tab w:val="num" w:pos="2880"/>
        </w:tabs>
        <w:ind w:left="2880" w:hanging="360"/>
      </w:pPr>
      <w:rPr>
        <w:rFonts w:ascii="Arial" w:hAnsi="Arial" w:hint="default"/>
      </w:rPr>
    </w:lvl>
    <w:lvl w:ilvl="4" w:tplc="E1CE33A4" w:tentative="1">
      <w:start w:val="1"/>
      <w:numFmt w:val="bullet"/>
      <w:lvlText w:val="•"/>
      <w:lvlJc w:val="left"/>
      <w:pPr>
        <w:tabs>
          <w:tab w:val="num" w:pos="3600"/>
        </w:tabs>
        <w:ind w:left="3600" w:hanging="360"/>
      </w:pPr>
      <w:rPr>
        <w:rFonts w:ascii="Arial" w:hAnsi="Arial" w:hint="default"/>
      </w:rPr>
    </w:lvl>
    <w:lvl w:ilvl="5" w:tplc="94201FBA" w:tentative="1">
      <w:start w:val="1"/>
      <w:numFmt w:val="bullet"/>
      <w:lvlText w:val="•"/>
      <w:lvlJc w:val="left"/>
      <w:pPr>
        <w:tabs>
          <w:tab w:val="num" w:pos="4320"/>
        </w:tabs>
        <w:ind w:left="4320" w:hanging="360"/>
      </w:pPr>
      <w:rPr>
        <w:rFonts w:ascii="Arial" w:hAnsi="Arial" w:hint="default"/>
      </w:rPr>
    </w:lvl>
    <w:lvl w:ilvl="6" w:tplc="8472A240" w:tentative="1">
      <w:start w:val="1"/>
      <w:numFmt w:val="bullet"/>
      <w:lvlText w:val="•"/>
      <w:lvlJc w:val="left"/>
      <w:pPr>
        <w:tabs>
          <w:tab w:val="num" w:pos="5040"/>
        </w:tabs>
        <w:ind w:left="5040" w:hanging="360"/>
      </w:pPr>
      <w:rPr>
        <w:rFonts w:ascii="Arial" w:hAnsi="Arial" w:hint="default"/>
      </w:rPr>
    </w:lvl>
    <w:lvl w:ilvl="7" w:tplc="EB9ECE5E" w:tentative="1">
      <w:start w:val="1"/>
      <w:numFmt w:val="bullet"/>
      <w:lvlText w:val="•"/>
      <w:lvlJc w:val="left"/>
      <w:pPr>
        <w:tabs>
          <w:tab w:val="num" w:pos="5760"/>
        </w:tabs>
        <w:ind w:left="5760" w:hanging="360"/>
      </w:pPr>
      <w:rPr>
        <w:rFonts w:ascii="Arial" w:hAnsi="Arial" w:hint="default"/>
      </w:rPr>
    </w:lvl>
    <w:lvl w:ilvl="8" w:tplc="A626717A"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4CAC31F4"/>
    <w:multiLevelType w:val="hybridMultilevel"/>
    <w:tmpl w:val="A7501A60"/>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4E2B1666"/>
    <w:multiLevelType w:val="hybridMultilevel"/>
    <w:tmpl w:val="D298A040"/>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4E6B21FC"/>
    <w:multiLevelType w:val="hybridMultilevel"/>
    <w:tmpl w:val="09F0778C"/>
    <w:lvl w:ilvl="0" w:tplc="B1CA4A08">
      <w:start w:val="2"/>
      <w:numFmt w:val="bullet"/>
      <w:lvlText w:val="-"/>
      <w:lvlJc w:val="left"/>
      <w:pPr>
        <w:ind w:left="720" w:hanging="360"/>
      </w:pPr>
      <w:rPr>
        <w:rFonts w:ascii="Book Antiqua" w:eastAsia="Times New Roman" w:hAnsi="Book Antiqu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F483F66"/>
    <w:multiLevelType w:val="hybridMultilevel"/>
    <w:tmpl w:val="C2D4C338"/>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519A3A05"/>
    <w:multiLevelType w:val="hybridMultilevel"/>
    <w:tmpl w:val="5254B1C8"/>
    <w:lvl w:ilvl="0" w:tplc="AD4CAA10">
      <w:start w:val="1"/>
      <w:numFmt w:val="bullet"/>
      <w:lvlText w:val="-"/>
      <w:lvlJc w:val="left"/>
      <w:pPr>
        <w:ind w:left="360" w:hanging="360"/>
      </w:pPr>
      <w:rPr>
        <w:rFonts w:ascii="Times New Roman" w:eastAsia="Times New Roman" w:hAnsi="Times New Roman" w:hint="default"/>
      </w:rPr>
    </w:lvl>
    <w:lvl w:ilvl="1" w:tplc="080C0003">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76" w15:restartNumberingAfterBreak="0">
    <w:nsid w:val="542018C5"/>
    <w:multiLevelType w:val="hybridMultilevel"/>
    <w:tmpl w:val="FF064E98"/>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54422B1F"/>
    <w:multiLevelType w:val="hybridMultilevel"/>
    <w:tmpl w:val="E20209C2"/>
    <w:lvl w:ilvl="0" w:tplc="A79E0316">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Wingdings"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54E77B55"/>
    <w:multiLevelType w:val="hybridMultilevel"/>
    <w:tmpl w:val="718A4F9C"/>
    <w:lvl w:ilvl="0" w:tplc="B1CA4A08">
      <w:start w:val="2"/>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9" w15:restartNumberingAfterBreak="0">
    <w:nsid w:val="58A73E2D"/>
    <w:multiLevelType w:val="hybridMultilevel"/>
    <w:tmpl w:val="311A34F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59D870BF"/>
    <w:multiLevelType w:val="hybridMultilevel"/>
    <w:tmpl w:val="39502842"/>
    <w:lvl w:ilvl="0" w:tplc="080C000F">
      <w:start w:val="1"/>
      <w:numFmt w:val="decimal"/>
      <w:lvlText w:val="%1."/>
      <w:lvlJc w:val="left"/>
      <w:pPr>
        <w:ind w:left="360" w:hanging="360"/>
      </w:p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81" w15:restartNumberingAfterBreak="0">
    <w:nsid w:val="5C060971"/>
    <w:multiLevelType w:val="hybridMultilevel"/>
    <w:tmpl w:val="D0F4CB2C"/>
    <w:lvl w:ilvl="0" w:tplc="F982A1A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5C2429FC"/>
    <w:multiLevelType w:val="hybridMultilevel"/>
    <w:tmpl w:val="A5DEBB4C"/>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5D932DA4"/>
    <w:multiLevelType w:val="hybridMultilevel"/>
    <w:tmpl w:val="59E895E0"/>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5DEA2F27"/>
    <w:multiLevelType w:val="hybridMultilevel"/>
    <w:tmpl w:val="5FBA0126"/>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5" w15:restartNumberingAfterBreak="0">
    <w:nsid w:val="601A1F12"/>
    <w:multiLevelType w:val="hybridMultilevel"/>
    <w:tmpl w:val="76D2B03C"/>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60741DC6"/>
    <w:multiLevelType w:val="hybridMultilevel"/>
    <w:tmpl w:val="E02EE72C"/>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61A00A1A"/>
    <w:multiLevelType w:val="hybridMultilevel"/>
    <w:tmpl w:val="5198B7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63004F70"/>
    <w:multiLevelType w:val="hybridMultilevel"/>
    <w:tmpl w:val="7B500F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64DC10B8"/>
    <w:multiLevelType w:val="hybridMultilevel"/>
    <w:tmpl w:val="D03405C4"/>
    <w:lvl w:ilvl="0" w:tplc="BD60B212">
      <w:start w:val="2"/>
      <w:numFmt w:val="upperRoman"/>
      <w:lvlText w:val="%1."/>
      <w:lvlJc w:val="left"/>
      <w:pPr>
        <w:ind w:left="720" w:hanging="720"/>
      </w:pPr>
      <w:rPr>
        <w:rFonts w:hint="default"/>
      </w:r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90" w15:restartNumberingAfterBreak="0">
    <w:nsid w:val="67881C5E"/>
    <w:multiLevelType w:val="hybridMultilevel"/>
    <w:tmpl w:val="E01E643A"/>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67946F7A"/>
    <w:multiLevelType w:val="hybridMultilevel"/>
    <w:tmpl w:val="DA625C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6A37025E"/>
    <w:multiLevelType w:val="hybridMultilevel"/>
    <w:tmpl w:val="0CDC92D6"/>
    <w:lvl w:ilvl="0" w:tplc="EC08855C">
      <w:numFmt w:val="bullet"/>
      <w:lvlText w:val="-"/>
      <w:lvlJc w:val="left"/>
      <w:pPr>
        <w:ind w:left="720" w:hanging="360"/>
      </w:pPr>
      <w:rPr>
        <w:rFonts w:ascii="Georgia" w:eastAsia="Cambria" w:hAnsi="Georgi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B2F3DC3"/>
    <w:multiLevelType w:val="hybridMultilevel"/>
    <w:tmpl w:val="6AEA31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15:restartNumberingAfterBreak="0">
    <w:nsid w:val="6BD04806"/>
    <w:multiLevelType w:val="hybridMultilevel"/>
    <w:tmpl w:val="A44462BC"/>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6BFA214E"/>
    <w:multiLevelType w:val="hybridMultilevel"/>
    <w:tmpl w:val="801E705C"/>
    <w:lvl w:ilvl="0" w:tplc="F734502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6D0115DE"/>
    <w:multiLevelType w:val="hybridMultilevel"/>
    <w:tmpl w:val="ACA8311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15:restartNumberingAfterBreak="0">
    <w:nsid w:val="6D3A0F4D"/>
    <w:multiLevelType w:val="hybridMultilevel"/>
    <w:tmpl w:val="61AC826A"/>
    <w:lvl w:ilvl="0" w:tplc="887C5D26">
      <w:start w:val="1"/>
      <w:numFmt w:val="bullet"/>
      <w:lvlText w:val=""/>
      <w:lvlJc w:val="left"/>
      <w:pPr>
        <w:ind w:left="720" w:hanging="360"/>
      </w:pPr>
      <w:rPr>
        <w:rFonts w:ascii="Symbol" w:hAnsi="Symbol" w:hint="default"/>
      </w:rPr>
    </w:lvl>
    <w:lvl w:ilvl="1" w:tplc="0D4C62B6">
      <w:start w:val="1"/>
      <w:numFmt w:val="bullet"/>
      <w:lvlText w:val="o"/>
      <w:lvlJc w:val="left"/>
      <w:pPr>
        <w:ind w:left="1440" w:hanging="360"/>
      </w:pPr>
      <w:rPr>
        <w:rFonts w:ascii="Courier New" w:hAnsi="Courier New" w:hint="default"/>
      </w:rPr>
    </w:lvl>
    <w:lvl w:ilvl="2" w:tplc="8042D4B0">
      <w:start w:val="1"/>
      <w:numFmt w:val="bullet"/>
      <w:lvlText w:val=""/>
      <w:lvlJc w:val="left"/>
      <w:pPr>
        <w:ind w:left="2160" w:hanging="360"/>
      </w:pPr>
      <w:rPr>
        <w:rFonts w:ascii="Wingdings" w:hAnsi="Wingdings" w:hint="default"/>
      </w:rPr>
    </w:lvl>
    <w:lvl w:ilvl="3" w:tplc="DC00AF08">
      <w:start w:val="1"/>
      <w:numFmt w:val="bullet"/>
      <w:lvlText w:val=""/>
      <w:lvlJc w:val="left"/>
      <w:pPr>
        <w:ind w:left="2880" w:hanging="360"/>
      </w:pPr>
      <w:rPr>
        <w:rFonts w:ascii="Symbol" w:hAnsi="Symbol" w:hint="default"/>
      </w:rPr>
    </w:lvl>
    <w:lvl w:ilvl="4" w:tplc="517A052C">
      <w:start w:val="1"/>
      <w:numFmt w:val="bullet"/>
      <w:lvlText w:val="o"/>
      <w:lvlJc w:val="left"/>
      <w:pPr>
        <w:ind w:left="3600" w:hanging="360"/>
      </w:pPr>
      <w:rPr>
        <w:rFonts w:ascii="Courier New" w:hAnsi="Courier New" w:hint="default"/>
      </w:rPr>
    </w:lvl>
    <w:lvl w:ilvl="5" w:tplc="D08C2070">
      <w:start w:val="1"/>
      <w:numFmt w:val="bullet"/>
      <w:lvlText w:val=""/>
      <w:lvlJc w:val="left"/>
      <w:pPr>
        <w:ind w:left="4320" w:hanging="360"/>
      </w:pPr>
      <w:rPr>
        <w:rFonts w:ascii="Wingdings" w:hAnsi="Wingdings" w:hint="default"/>
      </w:rPr>
    </w:lvl>
    <w:lvl w:ilvl="6" w:tplc="E6CCA838">
      <w:start w:val="1"/>
      <w:numFmt w:val="bullet"/>
      <w:lvlText w:val=""/>
      <w:lvlJc w:val="left"/>
      <w:pPr>
        <w:ind w:left="5040" w:hanging="360"/>
      </w:pPr>
      <w:rPr>
        <w:rFonts w:ascii="Symbol" w:hAnsi="Symbol" w:hint="default"/>
      </w:rPr>
    </w:lvl>
    <w:lvl w:ilvl="7" w:tplc="0D666CA6">
      <w:start w:val="1"/>
      <w:numFmt w:val="bullet"/>
      <w:lvlText w:val="o"/>
      <w:lvlJc w:val="left"/>
      <w:pPr>
        <w:ind w:left="5760" w:hanging="360"/>
      </w:pPr>
      <w:rPr>
        <w:rFonts w:ascii="Courier New" w:hAnsi="Courier New" w:hint="default"/>
      </w:rPr>
    </w:lvl>
    <w:lvl w:ilvl="8" w:tplc="B69AA338">
      <w:start w:val="1"/>
      <w:numFmt w:val="bullet"/>
      <w:lvlText w:val=""/>
      <w:lvlJc w:val="left"/>
      <w:pPr>
        <w:ind w:left="6480" w:hanging="360"/>
      </w:pPr>
      <w:rPr>
        <w:rFonts w:ascii="Wingdings" w:hAnsi="Wingdings" w:hint="default"/>
      </w:rPr>
    </w:lvl>
  </w:abstractNum>
  <w:abstractNum w:abstractNumId="98" w15:restartNumberingAfterBreak="0">
    <w:nsid w:val="6E271A17"/>
    <w:multiLevelType w:val="multilevel"/>
    <w:tmpl w:val="91980510"/>
    <w:lvl w:ilvl="0">
      <w:start w:val="1"/>
      <w:numFmt w:val="decimal"/>
      <w:lvlText w:val="%1."/>
      <w:lvlJc w:val="left"/>
      <w:pPr>
        <w:tabs>
          <w:tab w:val="num" w:pos="720"/>
        </w:tabs>
        <w:ind w:left="720" w:hanging="360"/>
      </w:pPr>
    </w:lvl>
    <w:lvl w:ilvl="1">
      <w:start w:val="6"/>
      <w:numFmt w:val="decimal"/>
      <w:isLgl/>
      <w:lvlText w:val="%1.%2"/>
      <w:lvlJc w:val="left"/>
      <w:pPr>
        <w:ind w:left="915" w:hanging="55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9" w15:restartNumberingAfterBreak="0">
    <w:nsid w:val="6E324E88"/>
    <w:multiLevelType w:val="hybridMultilevel"/>
    <w:tmpl w:val="082A7A6A"/>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6E4A56B8"/>
    <w:multiLevelType w:val="hybridMultilevel"/>
    <w:tmpl w:val="56E6129E"/>
    <w:lvl w:ilvl="0" w:tplc="454C0318">
      <w:start w:val="1"/>
      <w:numFmt w:val="bullet"/>
      <w:lvlText w:val="-"/>
      <w:lvlJc w:val="left"/>
      <w:pPr>
        <w:ind w:left="720" w:hanging="360"/>
      </w:pPr>
      <w:rPr>
        <w:rFonts w:ascii="Arial" w:eastAsia="Cambr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6E7715FE"/>
    <w:multiLevelType w:val="hybridMultilevel"/>
    <w:tmpl w:val="F9B41054"/>
    <w:lvl w:ilvl="0" w:tplc="509279F0">
      <w:start w:val="3"/>
      <w:numFmt w:val="bullet"/>
      <w:lvlText w:val="-"/>
      <w:lvlJc w:val="left"/>
      <w:pPr>
        <w:ind w:left="360" w:hanging="360"/>
      </w:pPr>
      <w:rPr>
        <w:rFonts w:ascii="Arial" w:eastAsiaTheme="minorEastAsia" w:hAnsi="Arial" w:cs="Arial" w:hint="default"/>
      </w:rPr>
    </w:lvl>
    <w:lvl w:ilvl="1" w:tplc="080C0003">
      <w:start w:val="1"/>
      <w:numFmt w:val="bullet"/>
      <w:lvlText w:val="o"/>
      <w:lvlJc w:val="left"/>
      <w:pPr>
        <w:ind w:left="1080" w:hanging="360"/>
      </w:pPr>
      <w:rPr>
        <w:rFonts w:ascii="Courier New" w:hAnsi="Courier New" w:cs="Courier New" w:hint="default"/>
      </w:rPr>
    </w:lvl>
    <w:lvl w:ilvl="2" w:tplc="080C0005">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02" w15:restartNumberingAfterBreak="0">
    <w:nsid w:val="6FBD68CB"/>
    <w:multiLevelType w:val="hybridMultilevel"/>
    <w:tmpl w:val="7CD2F98E"/>
    <w:lvl w:ilvl="0" w:tplc="454C0318">
      <w:start w:val="1"/>
      <w:numFmt w:val="bullet"/>
      <w:lvlText w:val="-"/>
      <w:lvlJc w:val="left"/>
      <w:pPr>
        <w:ind w:left="1080" w:hanging="360"/>
      </w:pPr>
      <w:rPr>
        <w:rFonts w:ascii="Arial" w:eastAsia="Cambria" w:hAnsi="Arial" w:cs="Arial" w:hint="default"/>
      </w:rPr>
    </w:lvl>
    <w:lvl w:ilvl="1" w:tplc="1BBC5512">
      <w:start w:val="1"/>
      <w:numFmt w:val="bullet"/>
      <w:lvlText w:val="o"/>
      <w:lvlJc w:val="left"/>
      <w:pPr>
        <w:ind w:left="1800" w:hanging="360"/>
      </w:pPr>
      <w:rPr>
        <w:rFonts w:ascii="Courier New" w:hAnsi="Courier New" w:cs="Courier New" w:hint="default"/>
      </w:rPr>
    </w:lvl>
    <w:lvl w:ilvl="2" w:tplc="F7065CEE" w:tentative="1">
      <w:start w:val="1"/>
      <w:numFmt w:val="bullet"/>
      <w:lvlText w:val=""/>
      <w:lvlJc w:val="left"/>
      <w:pPr>
        <w:ind w:left="2520" w:hanging="360"/>
      </w:pPr>
      <w:rPr>
        <w:rFonts w:ascii="Wingdings" w:hAnsi="Wingdings" w:hint="default"/>
      </w:rPr>
    </w:lvl>
    <w:lvl w:ilvl="3" w:tplc="AB7638D6" w:tentative="1">
      <w:start w:val="1"/>
      <w:numFmt w:val="bullet"/>
      <w:lvlText w:val=""/>
      <w:lvlJc w:val="left"/>
      <w:pPr>
        <w:ind w:left="3240" w:hanging="360"/>
      </w:pPr>
      <w:rPr>
        <w:rFonts w:ascii="Symbol" w:hAnsi="Symbol" w:hint="default"/>
      </w:rPr>
    </w:lvl>
    <w:lvl w:ilvl="4" w:tplc="B3AA2886" w:tentative="1">
      <w:start w:val="1"/>
      <w:numFmt w:val="bullet"/>
      <w:lvlText w:val="o"/>
      <w:lvlJc w:val="left"/>
      <w:pPr>
        <w:ind w:left="3960" w:hanging="360"/>
      </w:pPr>
      <w:rPr>
        <w:rFonts w:ascii="Courier New" w:hAnsi="Courier New" w:cs="Courier New" w:hint="default"/>
      </w:rPr>
    </w:lvl>
    <w:lvl w:ilvl="5" w:tplc="F5BE0BD6" w:tentative="1">
      <w:start w:val="1"/>
      <w:numFmt w:val="bullet"/>
      <w:lvlText w:val=""/>
      <w:lvlJc w:val="left"/>
      <w:pPr>
        <w:ind w:left="4680" w:hanging="360"/>
      </w:pPr>
      <w:rPr>
        <w:rFonts w:ascii="Wingdings" w:hAnsi="Wingdings" w:hint="default"/>
      </w:rPr>
    </w:lvl>
    <w:lvl w:ilvl="6" w:tplc="7E223D8C" w:tentative="1">
      <w:start w:val="1"/>
      <w:numFmt w:val="bullet"/>
      <w:lvlText w:val=""/>
      <w:lvlJc w:val="left"/>
      <w:pPr>
        <w:ind w:left="5400" w:hanging="360"/>
      </w:pPr>
      <w:rPr>
        <w:rFonts w:ascii="Symbol" w:hAnsi="Symbol" w:hint="default"/>
      </w:rPr>
    </w:lvl>
    <w:lvl w:ilvl="7" w:tplc="727A0B04" w:tentative="1">
      <w:start w:val="1"/>
      <w:numFmt w:val="bullet"/>
      <w:lvlText w:val="o"/>
      <w:lvlJc w:val="left"/>
      <w:pPr>
        <w:ind w:left="6120" w:hanging="360"/>
      </w:pPr>
      <w:rPr>
        <w:rFonts w:ascii="Courier New" w:hAnsi="Courier New" w:cs="Courier New" w:hint="default"/>
      </w:rPr>
    </w:lvl>
    <w:lvl w:ilvl="8" w:tplc="147885A2" w:tentative="1">
      <w:start w:val="1"/>
      <w:numFmt w:val="bullet"/>
      <w:lvlText w:val=""/>
      <w:lvlJc w:val="left"/>
      <w:pPr>
        <w:ind w:left="6840" w:hanging="360"/>
      </w:pPr>
      <w:rPr>
        <w:rFonts w:ascii="Wingdings" w:hAnsi="Wingdings" w:hint="default"/>
      </w:rPr>
    </w:lvl>
  </w:abstractNum>
  <w:abstractNum w:abstractNumId="103" w15:restartNumberingAfterBreak="0">
    <w:nsid w:val="708D1C93"/>
    <w:multiLevelType w:val="hybridMultilevel"/>
    <w:tmpl w:val="7AAEEAA0"/>
    <w:lvl w:ilvl="0" w:tplc="691CEE0A">
      <w:start w:val="1"/>
      <w:numFmt w:val="upp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4" w15:restartNumberingAfterBreak="0">
    <w:nsid w:val="71E83494"/>
    <w:multiLevelType w:val="hybridMultilevel"/>
    <w:tmpl w:val="2478861E"/>
    <w:lvl w:ilvl="0" w:tplc="040C0001">
      <w:start w:val="1"/>
      <w:numFmt w:val="bullet"/>
      <w:lvlText w:val=""/>
      <w:lvlJc w:val="left"/>
      <w:pPr>
        <w:tabs>
          <w:tab w:val="num" w:pos="360"/>
        </w:tabs>
        <w:ind w:left="360" w:hanging="360"/>
      </w:pPr>
      <w:rPr>
        <w:rFonts w:ascii="Symbol" w:hAnsi="Symbol" w:hint="default"/>
      </w:rPr>
    </w:lvl>
    <w:lvl w:ilvl="1" w:tplc="AFCCC328">
      <w:start w:val="1"/>
      <w:numFmt w:val="bullet"/>
      <w:lvlText w:val=""/>
      <w:lvlJc w:val="left"/>
      <w:pPr>
        <w:tabs>
          <w:tab w:val="num" w:pos="1080"/>
        </w:tabs>
        <w:ind w:left="1080" w:hanging="360"/>
      </w:pPr>
      <w:rPr>
        <w:rFonts w:ascii="Wingdings 3" w:hAnsi="Wingdings 3" w:hint="default"/>
      </w:rPr>
    </w:lvl>
    <w:lvl w:ilvl="2" w:tplc="8BF2447A" w:tentative="1">
      <w:start w:val="1"/>
      <w:numFmt w:val="bullet"/>
      <w:lvlText w:val=""/>
      <w:lvlJc w:val="left"/>
      <w:pPr>
        <w:tabs>
          <w:tab w:val="num" w:pos="1800"/>
        </w:tabs>
        <w:ind w:left="1800" w:hanging="360"/>
      </w:pPr>
      <w:rPr>
        <w:rFonts w:ascii="Wingdings 3" w:hAnsi="Wingdings 3" w:hint="default"/>
      </w:rPr>
    </w:lvl>
    <w:lvl w:ilvl="3" w:tplc="78DC13DA" w:tentative="1">
      <w:start w:val="1"/>
      <w:numFmt w:val="bullet"/>
      <w:lvlText w:val=""/>
      <w:lvlJc w:val="left"/>
      <w:pPr>
        <w:tabs>
          <w:tab w:val="num" w:pos="2520"/>
        </w:tabs>
        <w:ind w:left="2520" w:hanging="360"/>
      </w:pPr>
      <w:rPr>
        <w:rFonts w:ascii="Wingdings 3" w:hAnsi="Wingdings 3" w:hint="default"/>
      </w:rPr>
    </w:lvl>
    <w:lvl w:ilvl="4" w:tplc="04C456F4" w:tentative="1">
      <w:start w:val="1"/>
      <w:numFmt w:val="bullet"/>
      <w:lvlText w:val=""/>
      <w:lvlJc w:val="left"/>
      <w:pPr>
        <w:tabs>
          <w:tab w:val="num" w:pos="3240"/>
        </w:tabs>
        <w:ind w:left="3240" w:hanging="360"/>
      </w:pPr>
      <w:rPr>
        <w:rFonts w:ascii="Wingdings 3" w:hAnsi="Wingdings 3" w:hint="default"/>
      </w:rPr>
    </w:lvl>
    <w:lvl w:ilvl="5" w:tplc="4ABA5742" w:tentative="1">
      <w:start w:val="1"/>
      <w:numFmt w:val="bullet"/>
      <w:lvlText w:val=""/>
      <w:lvlJc w:val="left"/>
      <w:pPr>
        <w:tabs>
          <w:tab w:val="num" w:pos="3960"/>
        </w:tabs>
        <w:ind w:left="3960" w:hanging="360"/>
      </w:pPr>
      <w:rPr>
        <w:rFonts w:ascii="Wingdings 3" w:hAnsi="Wingdings 3" w:hint="default"/>
      </w:rPr>
    </w:lvl>
    <w:lvl w:ilvl="6" w:tplc="086C6EBA" w:tentative="1">
      <w:start w:val="1"/>
      <w:numFmt w:val="bullet"/>
      <w:lvlText w:val=""/>
      <w:lvlJc w:val="left"/>
      <w:pPr>
        <w:tabs>
          <w:tab w:val="num" w:pos="4680"/>
        </w:tabs>
        <w:ind w:left="4680" w:hanging="360"/>
      </w:pPr>
      <w:rPr>
        <w:rFonts w:ascii="Wingdings 3" w:hAnsi="Wingdings 3" w:hint="default"/>
      </w:rPr>
    </w:lvl>
    <w:lvl w:ilvl="7" w:tplc="4A7A7720" w:tentative="1">
      <w:start w:val="1"/>
      <w:numFmt w:val="bullet"/>
      <w:lvlText w:val=""/>
      <w:lvlJc w:val="left"/>
      <w:pPr>
        <w:tabs>
          <w:tab w:val="num" w:pos="5400"/>
        </w:tabs>
        <w:ind w:left="5400" w:hanging="360"/>
      </w:pPr>
      <w:rPr>
        <w:rFonts w:ascii="Wingdings 3" w:hAnsi="Wingdings 3" w:hint="default"/>
      </w:rPr>
    </w:lvl>
    <w:lvl w:ilvl="8" w:tplc="AC04A13C" w:tentative="1">
      <w:start w:val="1"/>
      <w:numFmt w:val="bullet"/>
      <w:lvlText w:val=""/>
      <w:lvlJc w:val="left"/>
      <w:pPr>
        <w:tabs>
          <w:tab w:val="num" w:pos="6120"/>
        </w:tabs>
        <w:ind w:left="6120" w:hanging="360"/>
      </w:pPr>
      <w:rPr>
        <w:rFonts w:ascii="Wingdings 3" w:hAnsi="Wingdings 3" w:hint="default"/>
      </w:rPr>
    </w:lvl>
  </w:abstractNum>
  <w:abstractNum w:abstractNumId="105" w15:restartNumberingAfterBreak="0">
    <w:nsid w:val="721A1630"/>
    <w:multiLevelType w:val="hybridMultilevel"/>
    <w:tmpl w:val="24F084A4"/>
    <w:lvl w:ilvl="0" w:tplc="9C9A2B0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3071F2A"/>
    <w:multiLevelType w:val="hybridMultilevel"/>
    <w:tmpl w:val="8718029A"/>
    <w:lvl w:ilvl="0" w:tplc="8ACC307C">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7" w15:restartNumberingAfterBreak="0">
    <w:nsid w:val="7314105B"/>
    <w:multiLevelType w:val="hybridMultilevel"/>
    <w:tmpl w:val="C8B2E916"/>
    <w:lvl w:ilvl="0" w:tplc="5A221D74">
      <w:numFmt w:val="bullet"/>
      <w:lvlText w:val="-"/>
      <w:lvlJc w:val="left"/>
      <w:pPr>
        <w:ind w:left="360" w:hanging="360"/>
      </w:pPr>
      <w:rPr>
        <w:rFonts w:ascii="Calibri" w:hAnsi="Calibri" w:cs="Times New Roman" w:hint="default"/>
        <w:b w:val="0"/>
        <w:i w:val="0"/>
        <w:color w:val="auto"/>
        <w:sz w:val="20"/>
      </w:rPr>
    </w:lvl>
    <w:lvl w:ilvl="1" w:tplc="080C0003">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108" w15:restartNumberingAfterBreak="0">
    <w:nsid w:val="732D5F57"/>
    <w:multiLevelType w:val="multilevel"/>
    <w:tmpl w:val="931E61BA"/>
    <w:lvl w:ilvl="0">
      <w:start w:val="1"/>
      <w:numFmt w:val="decimal"/>
      <w:lvlText w:val="%1."/>
      <w:lvlJc w:val="left"/>
      <w:pPr>
        <w:ind w:left="720" w:hanging="360"/>
      </w:pPr>
    </w:lvl>
    <w:lvl w:ilvl="1">
      <w:start w:val="4"/>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9" w15:restartNumberingAfterBreak="0">
    <w:nsid w:val="75020D14"/>
    <w:multiLevelType w:val="multilevel"/>
    <w:tmpl w:val="E148151A"/>
    <w:lvl w:ilvl="0">
      <w:start w:val="1"/>
      <w:numFmt w:val="lowerLetter"/>
      <w:lvlText w:val="%1."/>
      <w:lvlJc w:val="left"/>
      <w:pPr>
        <w:tabs>
          <w:tab w:val="num" w:pos="720"/>
        </w:tabs>
        <w:ind w:left="720" w:hanging="360"/>
      </w:pPr>
    </w:lvl>
    <w:lvl w:ilvl="1">
      <w:start w:val="2"/>
      <w:numFmt w:val="lowerLetter"/>
      <w:lvlText w:val="%2)"/>
      <w:lvlJc w:val="left"/>
      <w:pPr>
        <w:ind w:left="1440" w:hanging="360"/>
      </w:pPr>
      <w:rPr>
        <w:rFonts w:hint="default"/>
      </w:rPr>
    </w:lvl>
    <w:lvl w:ilvl="2">
      <w:start w:val="26"/>
      <w:numFmt w:val="bullet"/>
      <w:lvlText w:val=""/>
      <w:lvlJc w:val="left"/>
      <w:pPr>
        <w:ind w:left="2160" w:hanging="360"/>
      </w:pPr>
      <w:rPr>
        <w:rFonts w:ascii="Wingdings" w:eastAsiaTheme="minorHAnsi" w:hAnsi="Wingdings" w:cs="Tahoma" w:hint="default"/>
      </w:rPr>
    </w:lvl>
    <w:lvl w:ilvl="3">
      <w:start w:val="30"/>
      <w:numFmt w:val="decimal"/>
      <w:lvlText w:val="%4"/>
      <w:lvlJc w:val="left"/>
      <w:pPr>
        <w:ind w:left="2880" w:hanging="360"/>
      </w:pPr>
      <w:rPr>
        <w:rFonts w:cstheme="minorBidi" w:hint="default"/>
        <w:color w:val="auto"/>
      </w:r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0" w15:restartNumberingAfterBreak="0">
    <w:nsid w:val="75910A21"/>
    <w:multiLevelType w:val="hybridMultilevel"/>
    <w:tmpl w:val="5B7E514E"/>
    <w:lvl w:ilvl="0" w:tplc="BFB64AC8">
      <w:start w:val="4"/>
      <w:numFmt w:val="upperLetter"/>
      <w:lvlText w:val="%1-"/>
      <w:lvlJc w:val="left"/>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1" w15:restartNumberingAfterBreak="0">
    <w:nsid w:val="769A499B"/>
    <w:multiLevelType w:val="multilevel"/>
    <w:tmpl w:val="931E61BA"/>
    <w:lvl w:ilvl="0">
      <w:start w:val="1"/>
      <w:numFmt w:val="decimal"/>
      <w:lvlText w:val="%1."/>
      <w:lvlJc w:val="left"/>
      <w:pPr>
        <w:ind w:left="720" w:hanging="360"/>
      </w:pPr>
    </w:lvl>
    <w:lvl w:ilvl="1">
      <w:start w:val="4"/>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2" w15:restartNumberingAfterBreak="0">
    <w:nsid w:val="76C94B4E"/>
    <w:multiLevelType w:val="hybridMultilevel"/>
    <w:tmpl w:val="68C4AF50"/>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78384490"/>
    <w:multiLevelType w:val="hybridMultilevel"/>
    <w:tmpl w:val="25547B14"/>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78C31E77"/>
    <w:multiLevelType w:val="hybridMultilevel"/>
    <w:tmpl w:val="040CBE16"/>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7985456F"/>
    <w:multiLevelType w:val="hybridMultilevel"/>
    <w:tmpl w:val="0734C096"/>
    <w:lvl w:ilvl="0" w:tplc="B1CA4A08">
      <w:start w:val="2"/>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6" w15:restartNumberingAfterBreak="0">
    <w:nsid w:val="798E0BE4"/>
    <w:multiLevelType w:val="hybridMultilevel"/>
    <w:tmpl w:val="ABF2FF0A"/>
    <w:lvl w:ilvl="0" w:tplc="B1CA4A08">
      <w:start w:val="2"/>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7" w15:restartNumberingAfterBreak="0">
    <w:nsid w:val="79FD1F76"/>
    <w:multiLevelType w:val="hybridMultilevel"/>
    <w:tmpl w:val="4790B46A"/>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8" w15:restartNumberingAfterBreak="0">
    <w:nsid w:val="7A0735F1"/>
    <w:multiLevelType w:val="hybridMultilevel"/>
    <w:tmpl w:val="94B44A6E"/>
    <w:lvl w:ilvl="0" w:tplc="040C0013">
      <w:start w:val="1"/>
      <w:numFmt w:val="upp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9" w15:restartNumberingAfterBreak="0">
    <w:nsid w:val="7A764E0F"/>
    <w:multiLevelType w:val="hybridMultilevel"/>
    <w:tmpl w:val="E1923DA8"/>
    <w:lvl w:ilvl="0" w:tplc="8BA6D3C6">
      <w:start w:val="1"/>
      <w:numFmt w:val="lowerRoman"/>
      <w:lvlText w:val="%1)"/>
      <w:lvlJc w:val="left"/>
      <w:pPr>
        <w:ind w:left="1145" w:hanging="720"/>
      </w:pPr>
      <w:rPr>
        <w:rFonts w:hint="default"/>
      </w:rPr>
    </w:lvl>
    <w:lvl w:ilvl="1" w:tplc="08090019" w:tentative="1">
      <w:start w:val="1"/>
      <w:numFmt w:val="lowerLetter"/>
      <w:lvlText w:val="%2."/>
      <w:lvlJc w:val="left"/>
      <w:pPr>
        <w:ind w:left="1157" w:hanging="360"/>
      </w:pPr>
    </w:lvl>
    <w:lvl w:ilvl="2" w:tplc="0809001B" w:tentative="1">
      <w:start w:val="1"/>
      <w:numFmt w:val="lowerRoman"/>
      <w:lvlText w:val="%3."/>
      <w:lvlJc w:val="right"/>
      <w:pPr>
        <w:ind w:left="1877" w:hanging="180"/>
      </w:pPr>
    </w:lvl>
    <w:lvl w:ilvl="3" w:tplc="0809000F" w:tentative="1">
      <w:start w:val="1"/>
      <w:numFmt w:val="decimal"/>
      <w:lvlText w:val="%4."/>
      <w:lvlJc w:val="left"/>
      <w:pPr>
        <w:ind w:left="2597" w:hanging="360"/>
      </w:pPr>
    </w:lvl>
    <w:lvl w:ilvl="4" w:tplc="08090019" w:tentative="1">
      <w:start w:val="1"/>
      <w:numFmt w:val="lowerLetter"/>
      <w:lvlText w:val="%5."/>
      <w:lvlJc w:val="left"/>
      <w:pPr>
        <w:ind w:left="3317" w:hanging="360"/>
      </w:pPr>
    </w:lvl>
    <w:lvl w:ilvl="5" w:tplc="0809001B" w:tentative="1">
      <w:start w:val="1"/>
      <w:numFmt w:val="lowerRoman"/>
      <w:lvlText w:val="%6."/>
      <w:lvlJc w:val="right"/>
      <w:pPr>
        <w:ind w:left="4037" w:hanging="180"/>
      </w:pPr>
    </w:lvl>
    <w:lvl w:ilvl="6" w:tplc="0809000F" w:tentative="1">
      <w:start w:val="1"/>
      <w:numFmt w:val="decimal"/>
      <w:lvlText w:val="%7."/>
      <w:lvlJc w:val="left"/>
      <w:pPr>
        <w:ind w:left="4757" w:hanging="360"/>
      </w:pPr>
    </w:lvl>
    <w:lvl w:ilvl="7" w:tplc="08090019" w:tentative="1">
      <w:start w:val="1"/>
      <w:numFmt w:val="lowerLetter"/>
      <w:lvlText w:val="%8."/>
      <w:lvlJc w:val="left"/>
      <w:pPr>
        <w:ind w:left="5477" w:hanging="360"/>
      </w:pPr>
    </w:lvl>
    <w:lvl w:ilvl="8" w:tplc="0809001B" w:tentative="1">
      <w:start w:val="1"/>
      <w:numFmt w:val="lowerRoman"/>
      <w:lvlText w:val="%9."/>
      <w:lvlJc w:val="right"/>
      <w:pPr>
        <w:ind w:left="6197" w:hanging="180"/>
      </w:pPr>
    </w:lvl>
  </w:abstractNum>
  <w:abstractNum w:abstractNumId="120" w15:restartNumberingAfterBreak="0">
    <w:nsid w:val="7AA72D71"/>
    <w:multiLevelType w:val="hybridMultilevel"/>
    <w:tmpl w:val="02C0E356"/>
    <w:lvl w:ilvl="0" w:tplc="675EDD9A">
      <w:start w:val="1"/>
      <w:numFmt w:val="decimal"/>
      <w:lvlText w:val="%1."/>
      <w:lvlJc w:val="left"/>
      <w:pPr>
        <w:tabs>
          <w:tab w:val="num" w:pos="720"/>
        </w:tabs>
        <w:ind w:left="720" w:hanging="360"/>
      </w:pPr>
      <w:rPr>
        <w:rFonts w:hint="default"/>
      </w:rPr>
    </w:lvl>
    <w:lvl w:ilvl="1" w:tplc="5FBE738A">
      <w:start w:val="1"/>
      <w:numFmt w:val="decimal"/>
      <w:lvlText w:val="%2."/>
      <w:lvlJc w:val="left"/>
      <w:pPr>
        <w:tabs>
          <w:tab w:val="num" w:pos="1440"/>
        </w:tabs>
        <w:ind w:left="1440" w:hanging="360"/>
      </w:pPr>
    </w:lvl>
    <w:lvl w:ilvl="2" w:tplc="E96EB37E" w:tentative="1">
      <w:start w:val="1"/>
      <w:numFmt w:val="bullet"/>
      <w:lvlText w:val="•"/>
      <w:lvlJc w:val="left"/>
      <w:pPr>
        <w:tabs>
          <w:tab w:val="num" w:pos="2160"/>
        </w:tabs>
        <w:ind w:left="2160" w:hanging="360"/>
      </w:pPr>
      <w:rPr>
        <w:rFonts w:ascii="Arial" w:hAnsi="Arial" w:hint="default"/>
      </w:rPr>
    </w:lvl>
    <w:lvl w:ilvl="3" w:tplc="7F86A296" w:tentative="1">
      <w:start w:val="1"/>
      <w:numFmt w:val="bullet"/>
      <w:lvlText w:val="•"/>
      <w:lvlJc w:val="left"/>
      <w:pPr>
        <w:tabs>
          <w:tab w:val="num" w:pos="2880"/>
        </w:tabs>
        <w:ind w:left="2880" w:hanging="360"/>
      </w:pPr>
      <w:rPr>
        <w:rFonts w:ascii="Arial" w:hAnsi="Arial" w:hint="default"/>
      </w:rPr>
    </w:lvl>
    <w:lvl w:ilvl="4" w:tplc="E1CE33A4" w:tentative="1">
      <w:start w:val="1"/>
      <w:numFmt w:val="bullet"/>
      <w:lvlText w:val="•"/>
      <w:lvlJc w:val="left"/>
      <w:pPr>
        <w:tabs>
          <w:tab w:val="num" w:pos="3600"/>
        </w:tabs>
        <w:ind w:left="3600" w:hanging="360"/>
      </w:pPr>
      <w:rPr>
        <w:rFonts w:ascii="Arial" w:hAnsi="Arial" w:hint="default"/>
      </w:rPr>
    </w:lvl>
    <w:lvl w:ilvl="5" w:tplc="94201FBA" w:tentative="1">
      <w:start w:val="1"/>
      <w:numFmt w:val="bullet"/>
      <w:lvlText w:val="•"/>
      <w:lvlJc w:val="left"/>
      <w:pPr>
        <w:tabs>
          <w:tab w:val="num" w:pos="4320"/>
        </w:tabs>
        <w:ind w:left="4320" w:hanging="360"/>
      </w:pPr>
      <w:rPr>
        <w:rFonts w:ascii="Arial" w:hAnsi="Arial" w:hint="default"/>
      </w:rPr>
    </w:lvl>
    <w:lvl w:ilvl="6" w:tplc="8472A240" w:tentative="1">
      <w:start w:val="1"/>
      <w:numFmt w:val="bullet"/>
      <w:lvlText w:val="•"/>
      <w:lvlJc w:val="left"/>
      <w:pPr>
        <w:tabs>
          <w:tab w:val="num" w:pos="5040"/>
        </w:tabs>
        <w:ind w:left="5040" w:hanging="360"/>
      </w:pPr>
      <w:rPr>
        <w:rFonts w:ascii="Arial" w:hAnsi="Arial" w:hint="default"/>
      </w:rPr>
    </w:lvl>
    <w:lvl w:ilvl="7" w:tplc="EB9ECE5E" w:tentative="1">
      <w:start w:val="1"/>
      <w:numFmt w:val="bullet"/>
      <w:lvlText w:val="•"/>
      <w:lvlJc w:val="left"/>
      <w:pPr>
        <w:tabs>
          <w:tab w:val="num" w:pos="5760"/>
        </w:tabs>
        <w:ind w:left="5760" w:hanging="360"/>
      </w:pPr>
      <w:rPr>
        <w:rFonts w:ascii="Arial" w:hAnsi="Arial" w:hint="default"/>
      </w:rPr>
    </w:lvl>
    <w:lvl w:ilvl="8" w:tplc="A626717A"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7C3664F0"/>
    <w:multiLevelType w:val="hybridMultilevel"/>
    <w:tmpl w:val="3BE88874"/>
    <w:lvl w:ilvl="0" w:tplc="B1CA4A08">
      <w:start w:val="2"/>
      <w:numFmt w:val="bullet"/>
      <w:lvlText w:val="-"/>
      <w:lvlJc w:val="left"/>
      <w:pPr>
        <w:ind w:left="360" w:hanging="360"/>
      </w:pPr>
      <w:rPr>
        <w:rFonts w:ascii="Book Antiqua" w:eastAsia="Times New Roman" w:hAnsi="Book Antiqua"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2" w15:restartNumberingAfterBreak="0">
    <w:nsid w:val="7CC90680"/>
    <w:multiLevelType w:val="hybridMultilevel"/>
    <w:tmpl w:val="18061778"/>
    <w:lvl w:ilvl="0" w:tplc="509279F0">
      <w:start w:val="3"/>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7E916285"/>
    <w:multiLevelType w:val="hybridMultilevel"/>
    <w:tmpl w:val="3C3AE700"/>
    <w:lvl w:ilvl="0" w:tplc="B1CA4A08">
      <w:start w:val="2"/>
      <w:numFmt w:val="bullet"/>
      <w:lvlText w:val="-"/>
      <w:lvlJc w:val="left"/>
      <w:pPr>
        <w:ind w:left="720" w:hanging="360"/>
      </w:pPr>
      <w:rPr>
        <w:rFonts w:ascii="Book Antiqua" w:eastAsia="Times New Roman" w:hAnsi="Book Antiqua" w:cs="Times New Roman"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7FA5438D"/>
    <w:multiLevelType w:val="hybridMultilevel"/>
    <w:tmpl w:val="8982DCAE"/>
    <w:lvl w:ilvl="0" w:tplc="B1CA4A08">
      <w:start w:val="2"/>
      <w:numFmt w:val="bullet"/>
      <w:lvlText w:val="-"/>
      <w:lvlJc w:val="left"/>
      <w:pPr>
        <w:ind w:left="720" w:hanging="360"/>
      </w:pPr>
      <w:rPr>
        <w:rFonts w:ascii="Book Antiqua" w:eastAsia="Times New Roman" w:hAnsi="Book Antiqu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9"/>
  </w:num>
  <w:num w:numId="2">
    <w:abstractNumId w:val="99"/>
  </w:num>
  <w:num w:numId="3">
    <w:abstractNumId w:val="1"/>
  </w:num>
  <w:num w:numId="4">
    <w:abstractNumId w:val="76"/>
  </w:num>
  <w:num w:numId="5">
    <w:abstractNumId w:val="72"/>
  </w:num>
  <w:num w:numId="6">
    <w:abstractNumId w:val="83"/>
  </w:num>
  <w:num w:numId="7">
    <w:abstractNumId w:val="82"/>
  </w:num>
  <w:num w:numId="8">
    <w:abstractNumId w:val="112"/>
  </w:num>
  <w:num w:numId="9">
    <w:abstractNumId w:val="12"/>
  </w:num>
  <w:num w:numId="10">
    <w:abstractNumId w:val="9"/>
  </w:num>
  <w:num w:numId="11">
    <w:abstractNumId w:val="4"/>
  </w:num>
  <w:num w:numId="12">
    <w:abstractNumId w:val="20"/>
  </w:num>
  <w:num w:numId="13">
    <w:abstractNumId w:val="74"/>
  </w:num>
  <w:num w:numId="14">
    <w:abstractNumId w:val="28"/>
  </w:num>
  <w:num w:numId="15">
    <w:abstractNumId w:val="87"/>
  </w:num>
  <w:num w:numId="16">
    <w:abstractNumId w:val="31"/>
  </w:num>
  <w:num w:numId="17">
    <w:abstractNumId w:val="93"/>
  </w:num>
  <w:num w:numId="18">
    <w:abstractNumId w:val="106"/>
  </w:num>
  <w:num w:numId="19">
    <w:abstractNumId w:val="17"/>
  </w:num>
  <w:num w:numId="20">
    <w:abstractNumId w:val="52"/>
  </w:num>
  <w:num w:numId="21">
    <w:abstractNumId w:val="90"/>
  </w:num>
  <w:num w:numId="22">
    <w:abstractNumId w:val="113"/>
  </w:num>
  <w:num w:numId="23">
    <w:abstractNumId w:val="109"/>
  </w:num>
  <w:num w:numId="24">
    <w:abstractNumId w:val="92"/>
  </w:num>
  <w:num w:numId="25">
    <w:abstractNumId w:val="104"/>
  </w:num>
  <w:num w:numId="26">
    <w:abstractNumId w:val="118"/>
  </w:num>
  <w:num w:numId="27">
    <w:abstractNumId w:val="88"/>
  </w:num>
  <w:num w:numId="28">
    <w:abstractNumId w:val="91"/>
  </w:num>
  <w:num w:numId="29">
    <w:abstractNumId w:val="79"/>
  </w:num>
  <w:num w:numId="30">
    <w:abstractNumId w:val="6"/>
  </w:num>
  <w:num w:numId="31">
    <w:abstractNumId w:val="101"/>
  </w:num>
  <w:num w:numId="32">
    <w:abstractNumId w:val="46"/>
  </w:num>
  <w:num w:numId="33">
    <w:abstractNumId w:val="8"/>
  </w:num>
  <w:num w:numId="34">
    <w:abstractNumId w:val="68"/>
  </w:num>
  <w:num w:numId="35">
    <w:abstractNumId w:val="75"/>
  </w:num>
  <w:num w:numId="36">
    <w:abstractNumId w:val="47"/>
  </w:num>
  <w:num w:numId="37">
    <w:abstractNumId w:val="11"/>
  </w:num>
  <w:num w:numId="38">
    <w:abstractNumId w:val="62"/>
  </w:num>
  <w:num w:numId="39">
    <w:abstractNumId w:val="39"/>
  </w:num>
  <w:num w:numId="40">
    <w:abstractNumId w:val="89"/>
  </w:num>
  <w:num w:numId="41">
    <w:abstractNumId w:val="80"/>
  </w:num>
  <w:num w:numId="42">
    <w:abstractNumId w:val="60"/>
  </w:num>
  <w:num w:numId="43">
    <w:abstractNumId w:val="107"/>
  </w:num>
  <w:num w:numId="44">
    <w:abstractNumId w:val="30"/>
  </w:num>
  <w:num w:numId="45">
    <w:abstractNumId w:val="57"/>
  </w:num>
  <w:num w:numId="46">
    <w:abstractNumId w:val="18"/>
  </w:num>
  <w:num w:numId="47">
    <w:abstractNumId w:val="63"/>
  </w:num>
  <w:num w:numId="48">
    <w:abstractNumId w:val="102"/>
  </w:num>
  <w:num w:numId="49">
    <w:abstractNumId w:val="100"/>
  </w:num>
  <w:num w:numId="50">
    <w:abstractNumId w:val="111"/>
  </w:num>
  <w:num w:numId="51">
    <w:abstractNumId w:val="97"/>
  </w:num>
  <w:num w:numId="52">
    <w:abstractNumId w:val="21"/>
  </w:num>
  <w:num w:numId="53">
    <w:abstractNumId w:val="122"/>
  </w:num>
  <w:num w:numId="54">
    <w:abstractNumId w:val="59"/>
  </w:num>
  <w:num w:numId="55">
    <w:abstractNumId w:val="7"/>
  </w:num>
  <w:num w:numId="56">
    <w:abstractNumId w:val="114"/>
  </w:num>
  <w:num w:numId="57">
    <w:abstractNumId w:val="24"/>
  </w:num>
  <w:num w:numId="58">
    <w:abstractNumId w:val="67"/>
  </w:num>
  <w:num w:numId="59">
    <w:abstractNumId w:val="110"/>
  </w:num>
  <w:num w:numId="60">
    <w:abstractNumId w:val="54"/>
  </w:num>
  <w:num w:numId="61">
    <w:abstractNumId w:val="105"/>
  </w:num>
  <w:num w:numId="62">
    <w:abstractNumId w:val="27"/>
  </w:num>
  <w:num w:numId="63">
    <w:abstractNumId w:val="53"/>
  </w:num>
  <w:num w:numId="64">
    <w:abstractNumId w:val="29"/>
  </w:num>
  <w:num w:numId="65">
    <w:abstractNumId w:val="34"/>
  </w:num>
  <w:num w:numId="66">
    <w:abstractNumId w:val="98"/>
  </w:num>
  <w:num w:numId="67">
    <w:abstractNumId w:val="81"/>
  </w:num>
  <w:num w:numId="68">
    <w:abstractNumId w:val="95"/>
  </w:num>
  <w:num w:numId="69">
    <w:abstractNumId w:val="65"/>
  </w:num>
  <w:num w:numId="70">
    <w:abstractNumId w:val="119"/>
  </w:num>
  <w:num w:numId="71">
    <w:abstractNumId w:val="19"/>
  </w:num>
  <w:num w:numId="72">
    <w:abstractNumId w:val="103"/>
  </w:num>
  <w:num w:numId="73">
    <w:abstractNumId w:val="86"/>
  </w:num>
  <w:num w:numId="74">
    <w:abstractNumId w:val="61"/>
  </w:num>
  <w:num w:numId="75">
    <w:abstractNumId w:val="5"/>
  </w:num>
  <w:num w:numId="76">
    <w:abstractNumId w:val="123"/>
  </w:num>
  <w:num w:numId="77">
    <w:abstractNumId w:val="84"/>
  </w:num>
  <w:num w:numId="78">
    <w:abstractNumId w:val="41"/>
  </w:num>
  <w:num w:numId="79">
    <w:abstractNumId w:val="117"/>
  </w:num>
  <w:num w:numId="80">
    <w:abstractNumId w:val="56"/>
  </w:num>
  <w:num w:numId="81">
    <w:abstractNumId w:val="23"/>
  </w:num>
  <w:num w:numId="82">
    <w:abstractNumId w:val="73"/>
  </w:num>
  <w:num w:numId="83">
    <w:abstractNumId w:val="15"/>
  </w:num>
  <w:num w:numId="84">
    <w:abstractNumId w:val="64"/>
  </w:num>
  <w:num w:numId="85">
    <w:abstractNumId w:val="10"/>
  </w:num>
  <w:num w:numId="86">
    <w:abstractNumId w:val="94"/>
  </w:num>
  <w:num w:numId="87">
    <w:abstractNumId w:val="58"/>
  </w:num>
  <w:num w:numId="88">
    <w:abstractNumId w:val="40"/>
  </w:num>
  <w:num w:numId="89">
    <w:abstractNumId w:val="45"/>
  </w:num>
  <w:num w:numId="90">
    <w:abstractNumId w:val="2"/>
  </w:num>
  <w:num w:numId="91">
    <w:abstractNumId w:val="66"/>
  </w:num>
  <w:num w:numId="92">
    <w:abstractNumId w:val="25"/>
  </w:num>
  <w:num w:numId="93">
    <w:abstractNumId w:val="70"/>
  </w:num>
  <w:num w:numId="94">
    <w:abstractNumId w:val="26"/>
  </w:num>
  <w:num w:numId="95">
    <w:abstractNumId w:val="120"/>
  </w:num>
  <w:num w:numId="96">
    <w:abstractNumId w:val="0"/>
  </w:num>
  <w:num w:numId="97">
    <w:abstractNumId w:val="36"/>
  </w:num>
  <w:num w:numId="98">
    <w:abstractNumId w:val="77"/>
  </w:num>
  <w:num w:numId="99">
    <w:abstractNumId w:val="43"/>
  </w:num>
  <w:num w:numId="100">
    <w:abstractNumId w:val="85"/>
  </w:num>
  <w:num w:numId="101">
    <w:abstractNumId w:val="71"/>
  </w:num>
  <w:num w:numId="102">
    <w:abstractNumId w:val="124"/>
  </w:num>
  <w:num w:numId="103">
    <w:abstractNumId w:val="32"/>
  </w:num>
  <w:num w:numId="104">
    <w:abstractNumId w:val="16"/>
  </w:num>
  <w:num w:numId="105">
    <w:abstractNumId w:val="33"/>
  </w:num>
  <w:num w:numId="106">
    <w:abstractNumId w:val="121"/>
  </w:num>
  <w:num w:numId="107">
    <w:abstractNumId w:val="115"/>
  </w:num>
  <w:num w:numId="108">
    <w:abstractNumId w:val="44"/>
  </w:num>
  <w:num w:numId="109">
    <w:abstractNumId w:val="78"/>
  </w:num>
  <w:num w:numId="110">
    <w:abstractNumId w:val="55"/>
  </w:num>
  <w:num w:numId="111">
    <w:abstractNumId w:val="51"/>
  </w:num>
  <w:num w:numId="112">
    <w:abstractNumId w:val="116"/>
  </w:num>
  <w:num w:numId="113">
    <w:abstractNumId w:val="14"/>
  </w:num>
  <w:num w:numId="114">
    <w:abstractNumId w:val="3"/>
  </w:num>
  <w:num w:numId="115">
    <w:abstractNumId w:val="37"/>
  </w:num>
  <w:num w:numId="116">
    <w:abstractNumId w:val="35"/>
  </w:num>
  <w:num w:numId="117">
    <w:abstractNumId w:val="22"/>
  </w:num>
  <w:num w:numId="118">
    <w:abstractNumId w:val="108"/>
  </w:num>
  <w:num w:numId="119">
    <w:abstractNumId w:val="42"/>
  </w:num>
  <w:num w:numId="120">
    <w:abstractNumId w:val="48"/>
  </w:num>
  <w:num w:numId="121">
    <w:abstractNumId w:val="38"/>
  </w:num>
  <w:num w:numId="122">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69"/>
  </w:num>
  <w:num w:numId="125">
    <w:abstractNumId w:val="50"/>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754B"/>
    <w:rsid w:val="000018A3"/>
    <w:rsid w:val="00010B29"/>
    <w:rsid w:val="00012EAE"/>
    <w:rsid w:val="000140B0"/>
    <w:rsid w:val="000151C5"/>
    <w:rsid w:val="00022A54"/>
    <w:rsid w:val="00027F01"/>
    <w:rsid w:val="00032F4C"/>
    <w:rsid w:val="0003746E"/>
    <w:rsid w:val="000374BD"/>
    <w:rsid w:val="00047228"/>
    <w:rsid w:val="00051C36"/>
    <w:rsid w:val="00053B66"/>
    <w:rsid w:val="00064675"/>
    <w:rsid w:val="000665ED"/>
    <w:rsid w:val="00073D6C"/>
    <w:rsid w:val="00076FD0"/>
    <w:rsid w:val="00077B4D"/>
    <w:rsid w:val="00083EDF"/>
    <w:rsid w:val="00090D4D"/>
    <w:rsid w:val="00096B21"/>
    <w:rsid w:val="000A7421"/>
    <w:rsid w:val="000B2E42"/>
    <w:rsid w:val="000B7E8C"/>
    <w:rsid w:val="000C0084"/>
    <w:rsid w:val="000C142D"/>
    <w:rsid w:val="000C34B0"/>
    <w:rsid w:val="000C64E9"/>
    <w:rsid w:val="000C6585"/>
    <w:rsid w:val="000D4ED5"/>
    <w:rsid w:val="000D74FE"/>
    <w:rsid w:val="000E50A6"/>
    <w:rsid w:val="000E78CC"/>
    <w:rsid w:val="000F0ACF"/>
    <w:rsid w:val="00100394"/>
    <w:rsid w:val="0010125D"/>
    <w:rsid w:val="001134C2"/>
    <w:rsid w:val="00132CB4"/>
    <w:rsid w:val="00136EA4"/>
    <w:rsid w:val="00140AB0"/>
    <w:rsid w:val="00141DB6"/>
    <w:rsid w:val="00142D73"/>
    <w:rsid w:val="00143AB0"/>
    <w:rsid w:val="0015389A"/>
    <w:rsid w:val="00167F85"/>
    <w:rsid w:val="001712D5"/>
    <w:rsid w:val="001768C6"/>
    <w:rsid w:val="0019156B"/>
    <w:rsid w:val="00192F1E"/>
    <w:rsid w:val="001943E2"/>
    <w:rsid w:val="00196236"/>
    <w:rsid w:val="001A36FF"/>
    <w:rsid w:val="001B4205"/>
    <w:rsid w:val="001B4D5A"/>
    <w:rsid w:val="001B7BB0"/>
    <w:rsid w:val="001C754B"/>
    <w:rsid w:val="001D1DEC"/>
    <w:rsid w:val="001D4CB7"/>
    <w:rsid w:val="001D65C1"/>
    <w:rsid w:val="001E55D5"/>
    <w:rsid w:val="001F23B9"/>
    <w:rsid w:val="00215096"/>
    <w:rsid w:val="00220571"/>
    <w:rsid w:val="00220B4B"/>
    <w:rsid w:val="002218F9"/>
    <w:rsid w:val="00231ED8"/>
    <w:rsid w:val="0024445A"/>
    <w:rsid w:val="00247053"/>
    <w:rsid w:val="00251A8E"/>
    <w:rsid w:val="002561FD"/>
    <w:rsid w:val="00257855"/>
    <w:rsid w:val="002638C0"/>
    <w:rsid w:val="00270C55"/>
    <w:rsid w:val="00283827"/>
    <w:rsid w:val="00291AEA"/>
    <w:rsid w:val="0029678F"/>
    <w:rsid w:val="002A038A"/>
    <w:rsid w:val="002A6B90"/>
    <w:rsid w:val="002B3DC7"/>
    <w:rsid w:val="002B7173"/>
    <w:rsid w:val="002D0A71"/>
    <w:rsid w:val="002E4BDB"/>
    <w:rsid w:val="002F2399"/>
    <w:rsid w:val="00305AAD"/>
    <w:rsid w:val="00314415"/>
    <w:rsid w:val="003249B7"/>
    <w:rsid w:val="00366510"/>
    <w:rsid w:val="003712CB"/>
    <w:rsid w:val="00374723"/>
    <w:rsid w:val="00392113"/>
    <w:rsid w:val="003979C4"/>
    <w:rsid w:val="003A39B5"/>
    <w:rsid w:val="003A47E5"/>
    <w:rsid w:val="003A507E"/>
    <w:rsid w:val="003A56BD"/>
    <w:rsid w:val="003A7537"/>
    <w:rsid w:val="003A765C"/>
    <w:rsid w:val="003C1522"/>
    <w:rsid w:val="003C5489"/>
    <w:rsid w:val="003D78C7"/>
    <w:rsid w:val="003E005A"/>
    <w:rsid w:val="003E53AA"/>
    <w:rsid w:val="003F303F"/>
    <w:rsid w:val="00411316"/>
    <w:rsid w:val="00411C3C"/>
    <w:rsid w:val="0041444F"/>
    <w:rsid w:val="00430E7A"/>
    <w:rsid w:val="00434F97"/>
    <w:rsid w:val="00442A02"/>
    <w:rsid w:val="004608DF"/>
    <w:rsid w:val="00460F5E"/>
    <w:rsid w:val="00462409"/>
    <w:rsid w:val="004755C6"/>
    <w:rsid w:val="00486BDC"/>
    <w:rsid w:val="0049416B"/>
    <w:rsid w:val="00495418"/>
    <w:rsid w:val="004D6C51"/>
    <w:rsid w:val="004E0DA5"/>
    <w:rsid w:val="004E20E0"/>
    <w:rsid w:val="004E20E8"/>
    <w:rsid w:val="004E566E"/>
    <w:rsid w:val="004F0DF8"/>
    <w:rsid w:val="004F318A"/>
    <w:rsid w:val="004F6237"/>
    <w:rsid w:val="004F6359"/>
    <w:rsid w:val="005065FF"/>
    <w:rsid w:val="00514F4B"/>
    <w:rsid w:val="00524BFC"/>
    <w:rsid w:val="00577286"/>
    <w:rsid w:val="00584109"/>
    <w:rsid w:val="005A1E42"/>
    <w:rsid w:val="005C0293"/>
    <w:rsid w:val="005C21DB"/>
    <w:rsid w:val="005C656E"/>
    <w:rsid w:val="005C7A3B"/>
    <w:rsid w:val="005D3DB2"/>
    <w:rsid w:val="005E2D5A"/>
    <w:rsid w:val="005F0D4B"/>
    <w:rsid w:val="0060325E"/>
    <w:rsid w:val="0061400F"/>
    <w:rsid w:val="0062609B"/>
    <w:rsid w:val="0064248A"/>
    <w:rsid w:val="006469C2"/>
    <w:rsid w:val="00653D3F"/>
    <w:rsid w:val="0068125A"/>
    <w:rsid w:val="006829BC"/>
    <w:rsid w:val="00693A19"/>
    <w:rsid w:val="006948BE"/>
    <w:rsid w:val="006A64BE"/>
    <w:rsid w:val="006B3E1F"/>
    <w:rsid w:val="006B5FA7"/>
    <w:rsid w:val="006D3F58"/>
    <w:rsid w:val="006E1A46"/>
    <w:rsid w:val="00711717"/>
    <w:rsid w:val="0071752E"/>
    <w:rsid w:val="007261C7"/>
    <w:rsid w:val="00745648"/>
    <w:rsid w:val="00745CC0"/>
    <w:rsid w:val="00762E22"/>
    <w:rsid w:val="007661E3"/>
    <w:rsid w:val="00772EDE"/>
    <w:rsid w:val="00783960"/>
    <w:rsid w:val="00785FF1"/>
    <w:rsid w:val="00786CB9"/>
    <w:rsid w:val="00787255"/>
    <w:rsid w:val="0078793C"/>
    <w:rsid w:val="00797393"/>
    <w:rsid w:val="007B490B"/>
    <w:rsid w:val="007C2D87"/>
    <w:rsid w:val="007D03B2"/>
    <w:rsid w:val="007D244E"/>
    <w:rsid w:val="007E18F4"/>
    <w:rsid w:val="007E219C"/>
    <w:rsid w:val="007E23AB"/>
    <w:rsid w:val="007F341B"/>
    <w:rsid w:val="00817B94"/>
    <w:rsid w:val="0083076B"/>
    <w:rsid w:val="0083298F"/>
    <w:rsid w:val="008338C8"/>
    <w:rsid w:val="008359D5"/>
    <w:rsid w:val="0083710C"/>
    <w:rsid w:val="00843798"/>
    <w:rsid w:val="00843B8C"/>
    <w:rsid w:val="0084758A"/>
    <w:rsid w:val="00854A02"/>
    <w:rsid w:val="008773A0"/>
    <w:rsid w:val="008855BD"/>
    <w:rsid w:val="00897965"/>
    <w:rsid w:val="008A6D91"/>
    <w:rsid w:val="008B065C"/>
    <w:rsid w:val="008B0ED2"/>
    <w:rsid w:val="008B137A"/>
    <w:rsid w:val="008C280B"/>
    <w:rsid w:val="008C2F79"/>
    <w:rsid w:val="008E66F6"/>
    <w:rsid w:val="008F3377"/>
    <w:rsid w:val="008F6B69"/>
    <w:rsid w:val="00911E81"/>
    <w:rsid w:val="009227EB"/>
    <w:rsid w:val="0093242A"/>
    <w:rsid w:val="00934FB4"/>
    <w:rsid w:val="00937217"/>
    <w:rsid w:val="0094128E"/>
    <w:rsid w:val="00951592"/>
    <w:rsid w:val="0097079D"/>
    <w:rsid w:val="00977C53"/>
    <w:rsid w:val="00977FBA"/>
    <w:rsid w:val="00992600"/>
    <w:rsid w:val="009966AE"/>
    <w:rsid w:val="009A2786"/>
    <w:rsid w:val="009A43DD"/>
    <w:rsid w:val="009A5ED0"/>
    <w:rsid w:val="009A6C5B"/>
    <w:rsid w:val="009B021E"/>
    <w:rsid w:val="009B1360"/>
    <w:rsid w:val="009B1D36"/>
    <w:rsid w:val="009B1E8B"/>
    <w:rsid w:val="009B382F"/>
    <w:rsid w:val="009B77B3"/>
    <w:rsid w:val="009C6D5B"/>
    <w:rsid w:val="009E1765"/>
    <w:rsid w:val="009E383B"/>
    <w:rsid w:val="009E47AF"/>
    <w:rsid w:val="009F05DC"/>
    <w:rsid w:val="009F68AB"/>
    <w:rsid w:val="009F6951"/>
    <w:rsid w:val="00A03921"/>
    <w:rsid w:val="00A042F2"/>
    <w:rsid w:val="00A04C10"/>
    <w:rsid w:val="00A129B2"/>
    <w:rsid w:val="00A21DAD"/>
    <w:rsid w:val="00A2450A"/>
    <w:rsid w:val="00A54E73"/>
    <w:rsid w:val="00A55B82"/>
    <w:rsid w:val="00A579A2"/>
    <w:rsid w:val="00A60D11"/>
    <w:rsid w:val="00A71EC0"/>
    <w:rsid w:val="00A738BA"/>
    <w:rsid w:val="00A7629C"/>
    <w:rsid w:val="00A824DA"/>
    <w:rsid w:val="00A829E6"/>
    <w:rsid w:val="00A94EDB"/>
    <w:rsid w:val="00AB5F7D"/>
    <w:rsid w:val="00AB6CA1"/>
    <w:rsid w:val="00AC5F5F"/>
    <w:rsid w:val="00AD2091"/>
    <w:rsid w:val="00AF4721"/>
    <w:rsid w:val="00B02B71"/>
    <w:rsid w:val="00B02D23"/>
    <w:rsid w:val="00B05332"/>
    <w:rsid w:val="00B063FB"/>
    <w:rsid w:val="00B07F80"/>
    <w:rsid w:val="00B2114C"/>
    <w:rsid w:val="00B271B7"/>
    <w:rsid w:val="00B361C3"/>
    <w:rsid w:val="00B41E6E"/>
    <w:rsid w:val="00B4523A"/>
    <w:rsid w:val="00B5747A"/>
    <w:rsid w:val="00B72BDE"/>
    <w:rsid w:val="00B81660"/>
    <w:rsid w:val="00B81DEF"/>
    <w:rsid w:val="00B92F55"/>
    <w:rsid w:val="00B972CC"/>
    <w:rsid w:val="00BA3275"/>
    <w:rsid w:val="00BA40CE"/>
    <w:rsid w:val="00BA56C4"/>
    <w:rsid w:val="00BA78FA"/>
    <w:rsid w:val="00BB1F0A"/>
    <w:rsid w:val="00BB6B28"/>
    <w:rsid w:val="00BC05EF"/>
    <w:rsid w:val="00BC220A"/>
    <w:rsid w:val="00BD39FF"/>
    <w:rsid w:val="00BE2412"/>
    <w:rsid w:val="00BF665C"/>
    <w:rsid w:val="00C00160"/>
    <w:rsid w:val="00C01241"/>
    <w:rsid w:val="00C204FD"/>
    <w:rsid w:val="00C21CAD"/>
    <w:rsid w:val="00C2601C"/>
    <w:rsid w:val="00C26B4D"/>
    <w:rsid w:val="00C36029"/>
    <w:rsid w:val="00C40AAC"/>
    <w:rsid w:val="00C45AE2"/>
    <w:rsid w:val="00C53463"/>
    <w:rsid w:val="00C53DFB"/>
    <w:rsid w:val="00C62226"/>
    <w:rsid w:val="00C647D1"/>
    <w:rsid w:val="00C7229B"/>
    <w:rsid w:val="00C80BAB"/>
    <w:rsid w:val="00C94B3C"/>
    <w:rsid w:val="00CA38BF"/>
    <w:rsid w:val="00CB71FF"/>
    <w:rsid w:val="00CD1E22"/>
    <w:rsid w:val="00CE720B"/>
    <w:rsid w:val="00D02DD4"/>
    <w:rsid w:val="00D07FE8"/>
    <w:rsid w:val="00D156C6"/>
    <w:rsid w:val="00D23E3F"/>
    <w:rsid w:val="00D34BC7"/>
    <w:rsid w:val="00D34C14"/>
    <w:rsid w:val="00D35F8C"/>
    <w:rsid w:val="00D460F0"/>
    <w:rsid w:val="00D606C3"/>
    <w:rsid w:val="00D6277A"/>
    <w:rsid w:val="00D71EF4"/>
    <w:rsid w:val="00D7716B"/>
    <w:rsid w:val="00D776DC"/>
    <w:rsid w:val="00D8398B"/>
    <w:rsid w:val="00D84FA7"/>
    <w:rsid w:val="00D93A5C"/>
    <w:rsid w:val="00DA5B9B"/>
    <w:rsid w:val="00DD46B5"/>
    <w:rsid w:val="00DD592A"/>
    <w:rsid w:val="00DF5595"/>
    <w:rsid w:val="00E01176"/>
    <w:rsid w:val="00E01757"/>
    <w:rsid w:val="00E05A95"/>
    <w:rsid w:val="00E13BA1"/>
    <w:rsid w:val="00E1647F"/>
    <w:rsid w:val="00E26416"/>
    <w:rsid w:val="00E42159"/>
    <w:rsid w:val="00E428D7"/>
    <w:rsid w:val="00E4621D"/>
    <w:rsid w:val="00E46A58"/>
    <w:rsid w:val="00E5267C"/>
    <w:rsid w:val="00E7179D"/>
    <w:rsid w:val="00E75DCA"/>
    <w:rsid w:val="00E812DC"/>
    <w:rsid w:val="00E818B7"/>
    <w:rsid w:val="00E8770E"/>
    <w:rsid w:val="00E9216D"/>
    <w:rsid w:val="00E92D93"/>
    <w:rsid w:val="00E94678"/>
    <w:rsid w:val="00EC11BB"/>
    <w:rsid w:val="00EC1381"/>
    <w:rsid w:val="00EC2A37"/>
    <w:rsid w:val="00ED045A"/>
    <w:rsid w:val="00ED4D4D"/>
    <w:rsid w:val="00EF1989"/>
    <w:rsid w:val="00EF511A"/>
    <w:rsid w:val="00EF5FAF"/>
    <w:rsid w:val="00EF6D92"/>
    <w:rsid w:val="00F0549D"/>
    <w:rsid w:val="00F14F2E"/>
    <w:rsid w:val="00F543D5"/>
    <w:rsid w:val="00F60754"/>
    <w:rsid w:val="00F63378"/>
    <w:rsid w:val="00F657D8"/>
    <w:rsid w:val="00F71CFD"/>
    <w:rsid w:val="00F730AC"/>
    <w:rsid w:val="00F7367C"/>
    <w:rsid w:val="00F776FD"/>
    <w:rsid w:val="00F77959"/>
    <w:rsid w:val="00F872C9"/>
    <w:rsid w:val="00FA0EC0"/>
    <w:rsid w:val="00FB330D"/>
    <w:rsid w:val="00FC0352"/>
    <w:rsid w:val="00FD30B9"/>
    <w:rsid w:val="00FE02CC"/>
    <w:rsid w:val="00FE168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9E4CCAB-596D-4D8A-B82C-25F410517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271B7"/>
    <w:pPr>
      <w:spacing w:after="60"/>
    </w:pPr>
    <w:rPr>
      <w:rFonts w:ascii="Rockwell" w:hAnsi="Rockwell"/>
    </w:rPr>
  </w:style>
  <w:style w:type="paragraph" w:styleId="Titre1">
    <w:name w:val="heading 1"/>
    <w:basedOn w:val="Normal"/>
    <w:next w:val="Normal"/>
    <w:link w:val="Titre1Car"/>
    <w:uiPriority w:val="9"/>
    <w:qFormat/>
    <w:rsid w:val="00A21DAD"/>
    <w:pPr>
      <w:keepNext/>
      <w:keepLines/>
      <w:spacing w:before="480" w:after="12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8B065C"/>
    <w:pPr>
      <w:keepNext/>
      <w:keepLines/>
      <w:spacing w:before="200" w:after="12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A21DAD"/>
    <w:pPr>
      <w:keepNext/>
      <w:keepLines/>
      <w:spacing w:before="200" w:after="12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A2450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3A75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aliases w:val="References,Colorful List - Accent 11,Bullets,List Paragraph nowy,Liste 1,Numbered List Paragraph,List Paragraph (numbered (a)),- List tir,liste 1,puce 1,Puces,Titre1,Liste couleur - Accent 111,MCHIP_list paragraph,Recommendation,????"/>
    <w:basedOn w:val="Normal"/>
    <w:link w:val="ParagraphedelisteCar"/>
    <w:uiPriority w:val="34"/>
    <w:qFormat/>
    <w:rsid w:val="00077B4D"/>
    <w:pPr>
      <w:ind w:left="720"/>
      <w:contextualSpacing/>
    </w:pPr>
  </w:style>
  <w:style w:type="character" w:customStyle="1" w:styleId="ParagraphedelisteCar">
    <w:name w:val="Paragraphe de liste Car"/>
    <w:aliases w:val="References Car,Colorful List - Accent 11 Car,Bullets Car,List Paragraph nowy Car,Liste 1 Car,Numbered List Paragraph Car,List Paragraph (numbered (a)) Car,- List tir Car,liste 1 Car,puce 1 Car,Puces Car,Titre1 Car,???? Car"/>
    <w:link w:val="Paragraphedeliste"/>
    <w:uiPriority w:val="34"/>
    <w:qFormat/>
    <w:rsid w:val="00077B4D"/>
  </w:style>
  <w:style w:type="paragraph" w:styleId="En-tte">
    <w:name w:val="header"/>
    <w:basedOn w:val="Normal"/>
    <w:link w:val="En-tteCar"/>
    <w:uiPriority w:val="99"/>
    <w:unhideWhenUsed/>
    <w:rsid w:val="003712CB"/>
    <w:pPr>
      <w:tabs>
        <w:tab w:val="center" w:pos="4536"/>
        <w:tab w:val="right" w:pos="9072"/>
      </w:tabs>
      <w:spacing w:after="0" w:line="240" w:lineRule="auto"/>
    </w:pPr>
  </w:style>
  <w:style w:type="character" w:customStyle="1" w:styleId="En-tteCar">
    <w:name w:val="En-tête Car"/>
    <w:basedOn w:val="Policepardfaut"/>
    <w:link w:val="En-tte"/>
    <w:uiPriority w:val="99"/>
    <w:rsid w:val="003712CB"/>
  </w:style>
  <w:style w:type="paragraph" w:styleId="Pieddepage">
    <w:name w:val="footer"/>
    <w:basedOn w:val="Normal"/>
    <w:link w:val="PieddepageCar"/>
    <w:uiPriority w:val="99"/>
    <w:unhideWhenUsed/>
    <w:rsid w:val="003712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712CB"/>
  </w:style>
  <w:style w:type="paragraph" w:styleId="Textedebulles">
    <w:name w:val="Balloon Text"/>
    <w:basedOn w:val="Normal"/>
    <w:link w:val="TextedebullesCar"/>
    <w:uiPriority w:val="99"/>
    <w:semiHidden/>
    <w:unhideWhenUsed/>
    <w:rsid w:val="003712C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712CB"/>
    <w:rPr>
      <w:rFonts w:ascii="Tahoma" w:hAnsi="Tahoma" w:cs="Tahoma"/>
      <w:sz w:val="16"/>
      <w:szCs w:val="16"/>
    </w:rPr>
  </w:style>
  <w:style w:type="character" w:customStyle="1" w:styleId="Titre2Car">
    <w:name w:val="Titre 2 Car"/>
    <w:basedOn w:val="Policepardfaut"/>
    <w:link w:val="Titre2"/>
    <w:uiPriority w:val="9"/>
    <w:rsid w:val="008B065C"/>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link w:val="Titre3"/>
    <w:uiPriority w:val="9"/>
    <w:rsid w:val="00A21DAD"/>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rsid w:val="00A2450A"/>
    <w:rPr>
      <w:rFonts w:asciiTheme="majorHAnsi" w:eastAsiaTheme="majorEastAsia" w:hAnsiTheme="majorHAnsi" w:cstheme="majorBidi"/>
      <w:b/>
      <w:bCs/>
      <w:i/>
      <w:iCs/>
      <w:color w:val="4F81BD" w:themeColor="accent1"/>
    </w:rPr>
  </w:style>
  <w:style w:type="character" w:styleId="Lienhypertexte">
    <w:name w:val="Hyperlink"/>
    <w:basedOn w:val="Policepardfaut"/>
    <w:uiPriority w:val="99"/>
    <w:unhideWhenUsed/>
    <w:rsid w:val="000374BD"/>
    <w:rPr>
      <w:color w:val="0000FF" w:themeColor="hyperlink"/>
      <w:u w:val="single"/>
    </w:rPr>
  </w:style>
  <w:style w:type="character" w:customStyle="1" w:styleId="Titre1Car">
    <w:name w:val="Titre 1 Car"/>
    <w:basedOn w:val="Policepardfaut"/>
    <w:link w:val="Titre1"/>
    <w:uiPriority w:val="9"/>
    <w:rsid w:val="00A21DAD"/>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911E81"/>
    <w:pPr>
      <w:autoSpaceDE w:val="0"/>
      <w:autoSpaceDN w:val="0"/>
      <w:adjustRightInd w:val="0"/>
      <w:spacing w:after="0" w:line="240" w:lineRule="auto"/>
    </w:pPr>
    <w:rPr>
      <w:rFonts w:ascii="Arial" w:hAnsi="Arial" w:cs="Arial"/>
      <w:color w:val="000000"/>
      <w:sz w:val="24"/>
      <w:szCs w:val="24"/>
    </w:rPr>
  </w:style>
  <w:style w:type="character" w:customStyle="1" w:styleId="NotedebasdepageCar">
    <w:name w:val="Note de bas de page Car"/>
    <w:aliases w:val="Footnote Text Char Char Car,Footnote Text English Car,Footnote ak Car,Footnote ak Char Car,Footnotes Char Car,Footnotes Char Char Car,fn Car,fn Char Car,fn Char Char Car,fn cafc Car,footnote text Car,footnote text Char Car,ft Car"/>
    <w:link w:val="Notedebasdepage"/>
    <w:uiPriority w:val="99"/>
    <w:locked/>
    <w:rsid w:val="00911E81"/>
    <w:rPr>
      <w:rFonts w:ascii="Georgia" w:eastAsia="Times New Roman" w:hAnsi="Georgia" w:cs="Times New Roman"/>
      <w:sz w:val="20"/>
      <w:szCs w:val="20"/>
    </w:rPr>
  </w:style>
  <w:style w:type="paragraph" w:styleId="Notedebasdepage">
    <w:name w:val="footnote text"/>
    <w:aliases w:val="Footnote Text Char Char,Footnote Text English,Footnote ak,Footnote ak Char,Footnotes Char,Footnotes Char Char,fn,fn Char,fn Char Char,fn cafc,footnote text,footnote text Char,footnote text Char Char Char Ch,ft"/>
    <w:basedOn w:val="Normal"/>
    <w:link w:val="NotedebasdepageCar"/>
    <w:uiPriority w:val="99"/>
    <w:unhideWhenUsed/>
    <w:rsid w:val="00911E81"/>
    <w:pPr>
      <w:spacing w:after="0" w:line="240" w:lineRule="auto"/>
    </w:pPr>
    <w:rPr>
      <w:rFonts w:ascii="Georgia" w:eastAsia="Times New Roman" w:hAnsi="Georgia" w:cs="Times New Roman"/>
      <w:sz w:val="20"/>
      <w:szCs w:val="20"/>
    </w:rPr>
  </w:style>
  <w:style w:type="character" w:customStyle="1" w:styleId="NotedebasdepageCar1">
    <w:name w:val="Note de bas de page Car1"/>
    <w:basedOn w:val="Policepardfaut"/>
    <w:uiPriority w:val="99"/>
    <w:semiHidden/>
    <w:rsid w:val="00911E81"/>
    <w:rPr>
      <w:rFonts w:ascii="Tahoma" w:hAnsi="Tahoma"/>
      <w:sz w:val="20"/>
      <w:szCs w:val="20"/>
    </w:rPr>
  </w:style>
  <w:style w:type="character" w:styleId="Appelnotedebasdep">
    <w:name w:val="footnote reference"/>
    <w:aliases w:val="ftref"/>
    <w:uiPriority w:val="99"/>
    <w:unhideWhenUsed/>
    <w:rsid w:val="00911E81"/>
    <w:rPr>
      <w:vertAlign w:val="superscript"/>
    </w:rPr>
  </w:style>
  <w:style w:type="paragraph" w:customStyle="1" w:styleId="Grillemoyenne1-Accent21">
    <w:name w:val="Grille moyenne 1 - Accent 21"/>
    <w:basedOn w:val="Normal"/>
    <w:uiPriority w:val="34"/>
    <w:qFormat/>
    <w:rsid w:val="00911E81"/>
    <w:pPr>
      <w:spacing w:after="0" w:line="240" w:lineRule="auto"/>
      <w:ind w:left="720"/>
      <w:contextualSpacing/>
    </w:pPr>
    <w:rPr>
      <w:rFonts w:ascii="Georgia" w:eastAsia="MS Mincho" w:hAnsi="Georgia" w:cs="Times New Roman"/>
      <w:szCs w:val="24"/>
      <w:lang w:val="en-US"/>
    </w:rPr>
  </w:style>
  <w:style w:type="paragraph" w:styleId="Commentaire">
    <w:name w:val="annotation text"/>
    <w:basedOn w:val="Normal"/>
    <w:link w:val="CommentaireCar"/>
    <w:uiPriority w:val="99"/>
    <w:unhideWhenUsed/>
    <w:rsid w:val="00911E81"/>
    <w:pPr>
      <w:spacing w:after="0" w:line="240" w:lineRule="auto"/>
    </w:pPr>
    <w:rPr>
      <w:rFonts w:ascii="Georgia" w:eastAsiaTheme="minorEastAsia" w:hAnsi="Georgia"/>
      <w:sz w:val="20"/>
      <w:szCs w:val="20"/>
      <w:lang w:val="en-US"/>
    </w:rPr>
  </w:style>
  <w:style w:type="character" w:customStyle="1" w:styleId="CommentaireCar">
    <w:name w:val="Commentaire Car"/>
    <w:basedOn w:val="Policepardfaut"/>
    <w:link w:val="Commentaire"/>
    <w:uiPriority w:val="99"/>
    <w:rsid w:val="00911E81"/>
    <w:rPr>
      <w:rFonts w:ascii="Georgia" w:eastAsiaTheme="minorEastAsia" w:hAnsi="Georgia"/>
      <w:sz w:val="20"/>
      <w:szCs w:val="20"/>
      <w:lang w:val="en-US"/>
    </w:rPr>
  </w:style>
  <w:style w:type="character" w:customStyle="1" w:styleId="shorttext">
    <w:name w:val="short_text"/>
    <w:basedOn w:val="Policepardfaut"/>
    <w:rsid w:val="00911E81"/>
  </w:style>
  <w:style w:type="paragraph" w:styleId="Textebrut">
    <w:name w:val="Plain Text"/>
    <w:basedOn w:val="Normal"/>
    <w:link w:val="TextebrutCar"/>
    <w:rsid w:val="00911E81"/>
    <w:pPr>
      <w:spacing w:after="0" w:line="240" w:lineRule="auto"/>
    </w:pPr>
    <w:rPr>
      <w:rFonts w:ascii="Courier New" w:eastAsia="Times New Roman" w:hAnsi="Courier New" w:cs="Times New Roman"/>
      <w:sz w:val="20"/>
      <w:szCs w:val="20"/>
      <w:lang w:eastAsia="fr-FR"/>
    </w:rPr>
  </w:style>
  <w:style w:type="character" w:customStyle="1" w:styleId="TextebrutCar">
    <w:name w:val="Texte brut Car"/>
    <w:basedOn w:val="Policepardfaut"/>
    <w:link w:val="Textebrut"/>
    <w:rsid w:val="00911E81"/>
    <w:rPr>
      <w:rFonts w:ascii="Courier New" w:eastAsia="Times New Roman" w:hAnsi="Courier New" w:cs="Times New Roman"/>
      <w:sz w:val="20"/>
      <w:szCs w:val="20"/>
      <w:lang w:eastAsia="fr-FR"/>
    </w:rPr>
  </w:style>
  <w:style w:type="paragraph" w:customStyle="1" w:styleId="BodyLetter">
    <w:name w:val="Body Letter"/>
    <w:qFormat/>
    <w:rsid w:val="00A042F2"/>
    <w:pPr>
      <w:spacing w:after="0" w:line="264" w:lineRule="exact"/>
    </w:pPr>
    <w:rPr>
      <w:rFonts w:ascii="Georgia" w:eastAsia="MS Mincho" w:hAnsi="Georgia" w:cs="Helv"/>
      <w:color w:val="000000"/>
      <w:szCs w:val="24"/>
      <w:lang w:val="en-US"/>
    </w:rPr>
  </w:style>
  <w:style w:type="character" w:styleId="Accentuation">
    <w:name w:val="Emphasis"/>
    <w:basedOn w:val="Policepardfaut"/>
    <w:uiPriority w:val="20"/>
    <w:qFormat/>
    <w:rsid w:val="00B81DEF"/>
    <w:rPr>
      <w:i/>
      <w:iCs/>
    </w:rPr>
  </w:style>
  <w:style w:type="paragraph" w:styleId="Notedefin">
    <w:name w:val="endnote text"/>
    <w:basedOn w:val="Normal"/>
    <w:link w:val="NotedefinCar"/>
    <w:uiPriority w:val="99"/>
    <w:semiHidden/>
    <w:unhideWhenUsed/>
    <w:rsid w:val="008C2F79"/>
    <w:pPr>
      <w:spacing w:after="0" w:line="240" w:lineRule="auto"/>
    </w:pPr>
    <w:rPr>
      <w:sz w:val="20"/>
      <w:szCs w:val="20"/>
    </w:rPr>
  </w:style>
  <w:style w:type="character" w:customStyle="1" w:styleId="NotedefinCar">
    <w:name w:val="Note de fin Car"/>
    <w:basedOn w:val="Policepardfaut"/>
    <w:link w:val="Notedefin"/>
    <w:uiPriority w:val="99"/>
    <w:semiHidden/>
    <w:rsid w:val="008C2F79"/>
    <w:rPr>
      <w:rFonts w:ascii="Tahoma" w:hAnsi="Tahoma"/>
      <w:sz w:val="20"/>
      <w:szCs w:val="20"/>
    </w:rPr>
  </w:style>
  <w:style w:type="character" w:styleId="Appeldenotedefin">
    <w:name w:val="endnote reference"/>
    <w:basedOn w:val="Policepardfaut"/>
    <w:uiPriority w:val="99"/>
    <w:semiHidden/>
    <w:unhideWhenUsed/>
    <w:rsid w:val="008C2F79"/>
    <w:rPr>
      <w:vertAlign w:val="superscript"/>
    </w:rPr>
  </w:style>
  <w:style w:type="paragraph" w:styleId="En-ttedetabledesmatires">
    <w:name w:val="TOC Heading"/>
    <w:basedOn w:val="Titre1"/>
    <w:next w:val="Normal"/>
    <w:uiPriority w:val="39"/>
    <w:unhideWhenUsed/>
    <w:qFormat/>
    <w:rsid w:val="001F23B9"/>
    <w:pPr>
      <w:spacing w:after="0"/>
      <w:outlineLvl w:val="9"/>
    </w:pPr>
    <w:rPr>
      <w:lang w:eastAsia="fr-FR"/>
    </w:rPr>
  </w:style>
  <w:style w:type="paragraph" w:styleId="TM2">
    <w:name w:val="toc 2"/>
    <w:basedOn w:val="Normal"/>
    <w:next w:val="Normal"/>
    <w:autoRedefine/>
    <w:uiPriority w:val="39"/>
    <w:unhideWhenUsed/>
    <w:rsid w:val="001F23B9"/>
    <w:pPr>
      <w:spacing w:after="100"/>
      <w:ind w:left="220"/>
    </w:pPr>
  </w:style>
  <w:style w:type="paragraph" w:styleId="TM1">
    <w:name w:val="toc 1"/>
    <w:basedOn w:val="Normal"/>
    <w:next w:val="Normal"/>
    <w:autoRedefine/>
    <w:uiPriority w:val="39"/>
    <w:unhideWhenUsed/>
    <w:rsid w:val="001F23B9"/>
    <w:pPr>
      <w:spacing w:after="100"/>
    </w:pPr>
  </w:style>
  <w:style w:type="paragraph" w:styleId="TM3">
    <w:name w:val="toc 3"/>
    <w:basedOn w:val="Normal"/>
    <w:next w:val="Normal"/>
    <w:autoRedefine/>
    <w:uiPriority w:val="39"/>
    <w:unhideWhenUsed/>
    <w:rsid w:val="001F23B9"/>
    <w:pPr>
      <w:spacing w:after="100"/>
      <w:ind w:left="440"/>
    </w:pPr>
  </w:style>
  <w:style w:type="paragraph" w:customStyle="1" w:styleId="Body">
    <w:name w:val="Body"/>
    <w:basedOn w:val="Normal"/>
    <w:qFormat/>
    <w:rsid w:val="00FC0352"/>
    <w:pPr>
      <w:spacing w:after="160" w:line="260" w:lineRule="exact"/>
    </w:pPr>
    <w:rPr>
      <w:rFonts w:ascii="Georgia" w:eastAsia="Cambria" w:hAnsi="Georgia" w:cs="Helv"/>
      <w:color w:val="595959"/>
    </w:rPr>
  </w:style>
  <w:style w:type="character" w:styleId="lev">
    <w:name w:val="Strong"/>
    <w:uiPriority w:val="22"/>
    <w:qFormat/>
    <w:rsid w:val="00FC0352"/>
    <w:rPr>
      <w:b/>
      <w:bCs/>
    </w:rPr>
  </w:style>
  <w:style w:type="paragraph" w:customStyle="1" w:styleId="MFBody">
    <w:name w:val="MF Body"/>
    <w:basedOn w:val="Normal"/>
    <w:rsid w:val="00FC0352"/>
    <w:pPr>
      <w:spacing w:after="0" w:line="260" w:lineRule="exact"/>
    </w:pPr>
    <w:rPr>
      <w:rFonts w:ascii="Georgia" w:eastAsia="MS Mincho" w:hAnsi="Georgia" w:cs="Helv"/>
      <w:color w:val="000000"/>
      <w:szCs w:val="24"/>
    </w:rPr>
  </w:style>
  <w:style w:type="paragraph" w:customStyle="1" w:styleId="Paragraphedeliste1">
    <w:name w:val="Paragraphe de liste1"/>
    <w:basedOn w:val="Normal"/>
    <w:uiPriority w:val="34"/>
    <w:qFormat/>
    <w:rsid w:val="00A55B82"/>
    <w:pPr>
      <w:spacing w:after="200"/>
      <w:ind w:left="720"/>
      <w:contextualSpacing/>
    </w:pPr>
    <w:rPr>
      <w:rFonts w:ascii="Georgia" w:eastAsia="Times New Roman" w:hAnsi="Georgia" w:cs="Times New Roman"/>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36408">
      <w:bodyDiv w:val="1"/>
      <w:marLeft w:val="0"/>
      <w:marRight w:val="0"/>
      <w:marTop w:val="0"/>
      <w:marBottom w:val="0"/>
      <w:divBdr>
        <w:top w:val="none" w:sz="0" w:space="0" w:color="auto"/>
        <w:left w:val="none" w:sz="0" w:space="0" w:color="auto"/>
        <w:bottom w:val="none" w:sz="0" w:space="0" w:color="auto"/>
        <w:right w:val="none" w:sz="0" w:space="0" w:color="auto"/>
      </w:divBdr>
    </w:div>
    <w:div w:id="40176206">
      <w:bodyDiv w:val="1"/>
      <w:marLeft w:val="0"/>
      <w:marRight w:val="0"/>
      <w:marTop w:val="0"/>
      <w:marBottom w:val="0"/>
      <w:divBdr>
        <w:top w:val="none" w:sz="0" w:space="0" w:color="auto"/>
        <w:left w:val="none" w:sz="0" w:space="0" w:color="auto"/>
        <w:bottom w:val="none" w:sz="0" w:space="0" w:color="auto"/>
        <w:right w:val="none" w:sz="0" w:space="0" w:color="auto"/>
      </w:divBdr>
    </w:div>
    <w:div w:id="82995769">
      <w:bodyDiv w:val="1"/>
      <w:marLeft w:val="0"/>
      <w:marRight w:val="0"/>
      <w:marTop w:val="0"/>
      <w:marBottom w:val="0"/>
      <w:divBdr>
        <w:top w:val="none" w:sz="0" w:space="0" w:color="auto"/>
        <w:left w:val="none" w:sz="0" w:space="0" w:color="auto"/>
        <w:bottom w:val="none" w:sz="0" w:space="0" w:color="auto"/>
        <w:right w:val="none" w:sz="0" w:space="0" w:color="auto"/>
      </w:divBdr>
    </w:div>
    <w:div w:id="244728479">
      <w:bodyDiv w:val="1"/>
      <w:marLeft w:val="0"/>
      <w:marRight w:val="0"/>
      <w:marTop w:val="0"/>
      <w:marBottom w:val="0"/>
      <w:divBdr>
        <w:top w:val="none" w:sz="0" w:space="0" w:color="auto"/>
        <w:left w:val="none" w:sz="0" w:space="0" w:color="auto"/>
        <w:bottom w:val="none" w:sz="0" w:space="0" w:color="auto"/>
        <w:right w:val="none" w:sz="0" w:space="0" w:color="auto"/>
      </w:divBdr>
    </w:div>
    <w:div w:id="329871567">
      <w:bodyDiv w:val="1"/>
      <w:marLeft w:val="0"/>
      <w:marRight w:val="0"/>
      <w:marTop w:val="0"/>
      <w:marBottom w:val="0"/>
      <w:divBdr>
        <w:top w:val="none" w:sz="0" w:space="0" w:color="auto"/>
        <w:left w:val="none" w:sz="0" w:space="0" w:color="auto"/>
        <w:bottom w:val="none" w:sz="0" w:space="0" w:color="auto"/>
        <w:right w:val="none" w:sz="0" w:space="0" w:color="auto"/>
      </w:divBdr>
    </w:div>
    <w:div w:id="478038390">
      <w:bodyDiv w:val="1"/>
      <w:marLeft w:val="0"/>
      <w:marRight w:val="0"/>
      <w:marTop w:val="0"/>
      <w:marBottom w:val="0"/>
      <w:divBdr>
        <w:top w:val="none" w:sz="0" w:space="0" w:color="auto"/>
        <w:left w:val="none" w:sz="0" w:space="0" w:color="auto"/>
        <w:bottom w:val="none" w:sz="0" w:space="0" w:color="auto"/>
        <w:right w:val="none" w:sz="0" w:space="0" w:color="auto"/>
      </w:divBdr>
      <w:divsChild>
        <w:div w:id="20785580">
          <w:marLeft w:val="1080"/>
          <w:marRight w:val="0"/>
          <w:marTop w:val="100"/>
          <w:marBottom w:val="0"/>
          <w:divBdr>
            <w:top w:val="none" w:sz="0" w:space="0" w:color="auto"/>
            <w:left w:val="none" w:sz="0" w:space="0" w:color="auto"/>
            <w:bottom w:val="none" w:sz="0" w:space="0" w:color="auto"/>
            <w:right w:val="none" w:sz="0" w:space="0" w:color="auto"/>
          </w:divBdr>
        </w:div>
        <w:div w:id="23752440">
          <w:marLeft w:val="360"/>
          <w:marRight w:val="0"/>
          <w:marTop w:val="200"/>
          <w:marBottom w:val="0"/>
          <w:divBdr>
            <w:top w:val="none" w:sz="0" w:space="0" w:color="auto"/>
            <w:left w:val="none" w:sz="0" w:space="0" w:color="auto"/>
            <w:bottom w:val="none" w:sz="0" w:space="0" w:color="auto"/>
            <w:right w:val="none" w:sz="0" w:space="0" w:color="auto"/>
          </w:divBdr>
        </w:div>
        <w:div w:id="51738526">
          <w:marLeft w:val="360"/>
          <w:marRight w:val="0"/>
          <w:marTop w:val="200"/>
          <w:marBottom w:val="0"/>
          <w:divBdr>
            <w:top w:val="none" w:sz="0" w:space="0" w:color="auto"/>
            <w:left w:val="none" w:sz="0" w:space="0" w:color="auto"/>
            <w:bottom w:val="none" w:sz="0" w:space="0" w:color="auto"/>
            <w:right w:val="none" w:sz="0" w:space="0" w:color="auto"/>
          </w:divBdr>
        </w:div>
        <w:div w:id="69037662">
          <w:marLeft w:val="547"/>
          <w:marRight w:val="0"/>
          <w:marTop w:val="200"/>
          <w:marBottom w:val="0"/>
          <w:divBdr>
            <w:top w:val="none" w:sz="0" w:space="0" w:color="auto"/>
            <w:left w:val="none" w:sz="0" w:space="0" w:color="auto"/>
            <w:bottom w:val="none" w:sz="0" w:space="0" w:color="auto"/>
            <w:right w:val="none" w:sz="0" w:space="0" w:color="auto"/>
          </w:divBdr>
        </w:div>
        <w:div w:id="87117424">
          <w:marLeft w:val="360"/>
          <w:marRight w:val="0"/>
          <w:marTop w:val="200"/>
          <w:marBottom w:val="0"/>
          <w:divBdr>
            <w:top w:val="none" w:sz="0" w:space="0" w:color="auto"/>
            <w:left w:val="none" w:sz="0" w:space="0" w:color="auto"/>
            <w:bottom w:val="none" w:sz="0" w:space="0" w:color="auto"/>
            <w:right w:val="none" w:sz="0" w:space="0" w:color="auto"/>
          </w:divBdr>
        </w:div>
        <w:div w:id="163250863">
          <w:marLeft w:val="1080"/>
          <w:marRight w:val="0"/>
          <w:marTop w:val="100"/>
          <w:marBottom w:val="0"/>
          <w:divBdr>
            <w:top w:val="none" w:sz="0" w:space="0" w:color="auto"/>
            <w:left w:val="none" w:sz="0" w:space="0" w:color="auto"/>
            <w:bottom w:val="none" w:sz="0" w:space="0" w:color="auto"/>
            <w:right w:val="none" w:sz="0" w:space="0" w:color="auto"/>
          </w:divBdr>
        </w:div>
        <w:div w:id="212743141">
          <w:marLeft w:val="360"/>
          <w:marRight w:val="0"/>
          <w:marTop w:val="200"/>
          <w:marBottom w:val="0"/>
          <w:divBdr>
            <w:top w:val="none" w:sz="0" w:space="0" w:color="auto"/>
            <w:left w:val="none" w:sz="0" w:space="0" w:color="auto"/>
            <w:bottom w:val="none" w:sz="0" w:space="0" w:color="auto"/>
            <w:right w:val="none" w:sz="0" w:space="0" w:color="auto"/>
          </w:divBdr>
        </w:div>
        <w:div w:id="220098440">
          <w:marLeft w:val="1440"/>
          <w:marRight w:val="0"/>
          <w:marTop w:val="100"/>
          <w:marBottom w:val="0"/>
          <w:divBdr>
            <w:top w:val="none" w:sz="0" w:space="0" w:color="auto"/>
            <w:left w:val="none" w:sz="0" w:space="0" w:color="auto"/>
            <w:bottom w:val="none" w:sz="0" w:space="0" w:color="auto"/>
            <w:right w:val="none" w:sz="0" w:space="0" w:color="auto"/>
          </w:divBdr>
        </w:div>
        <w:div w:id="320935384">
          <w:marLeft w:val="1080"/>
          <w:marRight w:val="0"/>
          <w:marTop w:val="200"/>
          <w:marBottom w:val="0"/>
          <w:divBdr>
            <w:top w:val="none" w:sz="0" w:space="0" w:color="auto"/>
            <w:left w:val="none" w:sz="0" w:space="0" w:color="auto"/>
            <w:bottom w:val="none" w:sz="0" w:space="0" w:color="auto"/>
            <w:right w:val="none" w:sz="0" w:space="0" w:color="auto"/>
          </w:divBdr>
        </w:div>
        <w:div w:id="352076461">
          <w:marLeft w:val="360"/>
          <w:marRight w:val="0"/>
          <w:marTop w:val="200"/>
          <w:marBottom w:val="0"/>
          <w:divBdr>
            <w:top w:val="none" w:sz="0" w:space="0" w:color="auto"/>
            <w:left w:val="none" w:sz="0" w:space="0" w:color="auto"/>
            <w:bottom w:val="none" w:sz="0" w:space="0" w:color="auto"/>
            <w:right w:val="none" w:sz="0" w:space="0" w:color="auto"/>
          </w:divBdr>
        </w:div>
        <w:div w:id="372459416">
          <w:marLeft w:val="360"/>
          <w:marRight w:val="0"/>
          <w:marTop w:val="200"/>
          <w:marBottom w:val="0"/>
          <w:divBdr>
            <w:top w:val="none" w:sz="0" w:space="0" w:color="auto"/>
            <w:left w:val="none" w:sz="0" w:space="0" w:color="auto"/>
            <w:bottom w:val="none" w:sz="0" w:space="0" w:color="auto"/>
            <w:right w:val="none" w:sz="0" w:space="0" w:color="auto"/>
          </w:divBdr>
        </w:div>
        <w:div w:id="389767661">
          <w:marLeft w:val="1440"/>
          <w:marRight w:val="0"/>
          <w:marTop w:val="100"/>
          <w:marBottom w:val="0"/>
          <w:divBdr>
            <w:top w:val="none" w:sz="0" w:space="0" w:color="auto"/>
            <w:left w:val="none" w:sz="0" w:space="0" w:color="auto"/>
            <w:bottom w:val="none" w:sz="0" w:space="0" w:color="auto"/>
            <w:right w:val="none" w:sz="0" w:space="0" w:color="auto"/>
          </w:divBdr>
        </w:div>
        <w:div w:id="403915727">
          <w:marLeft w:val="1440"/>
          <w:marRight w:val="0"/>
          <w:marTop w:val="100"/>
          <w:marBottom w:val="0"/>
          <w:divBdr>
            <w:top w:val="none" w:sz="0" w:space="0" w:color="auto"/>
            <w:left w:val="none" w:sz="0" w:space="0" w:color="auto"/>
            <w:bottom w:val="none" w:sz="0" w:space="0" w:color="auto"/>
            <w:right w:val="none" w:sz="0" w:space="0" w:color="auto"/>
          </w:divBdr>
        </w:div>
        <w:div w:id="464586503">
          <w:marLeft w:val="1080"/>
          <w:marRight w:val="0"/>
          <w:marTop w:val="200"/>
          <w:marBottom w:val="0"/>
          <w:divBdr>
            <w:top w:val="none" w:sz="0" w:space="0" w:color="auto"/>
            <w:left w:val="none" w:sz="0" w:space="0" w:color="auto"/>
            <w:bottom w:val="none" w:sz="0" w:space="0" w:color="auto"/>
            <w:right w:val="none" w:sz="0" w:space="0" w:color="auto"/>
          </w:divBdr>
        </w:div>
        <w:div w:id="467355438">
          <w:marLeft w:val="1080"/>
          <w:marRight w:val="0"/>
          <w:marTop w:val="100"/>
          <w:marBottom w:val="0"/>
          <w:divBdr>
            <w:top w:val="none" w:sz="0" w:space="0" w:color="auto"/>
            <w:left w:val="none" w:sz="0" w:space="0" w:color="auto"/>
            <w:bottom w:val="none" w:sz="0" w:space="0" w:color="auto"/>
            <w:right w:val="none" w:sz="0" w:space="0" w:color="auto"/>
          </w:divBdr>
        </w:div>
        <w:div w:id="491262122">
          <w:marLeft w:val="547"/>
          <w:marRight w:val="0"/>
          <w:marTop w:val="200"/>
          <w:marBottom w:val="0"/>
          <w:divBdr>
            <w:top w:val="none" w:sz="0" w:space="0" w:color="auto"/>
            <w:left w:val="none" w:sz="0" w:space="0" w:color="auto"/>
            <w:bottom w:val="none" w:sz="0" w:space="0" w:color="auto"/>
            <w:right w:val="none" w:sz="0" w:space="0" w:color="auto"/>
          </w:divBdr>
        </w:div>
        <w:div w:id="538276389">
          <w:marLeft w:val="1440"/>
          <w:marRight w:val="0"/>
          <w:marTop w:val="100"/>
          <w:marBottom w:val="0"/>
          <w:divBdr>
            <w:top w:val="none" w:sz="0" w:space="0" w:color="auto"/>
            <w:left w:val="none" w:sz="0" w:space="0" w:color="auto"/>
            <w:bottom w:val="none" w:sz="0" w:space="0" w:color="auto"/>
            <w:right w:val="none" w:sz="0" w:space="0" w:color="auto"/>
          </w:divBdr>
        </w:div>
        <w:div w:id="742335480">
          <w:marLeft w:val="1080"/>
          <w:marRight w:val="0"/>
          <w:marTop w:val="100"/>
          <w:marBottom w:val="0"/>
          <w:divBdr>
            <w:top w:val="none" w:sz="0" w:space="0" w:color="auto"/>
            <w:left w:val="none" w:sz="0" w:space="0" w:color="auto"/>
            <w:bottom w:val="none" w:sz="0" w:space="0" w:color="auto"/>
            <w:right w:val="none" w:sz="0" w:space="0" w:color="auto"/>
          </w:divBdr>
        </w:div>
        <w:div w:id="760567535">
          <w:marLeft w:val="360"/>
          <w:marRight w:val="0"/>
          <w:marTop w:val="200"/>
          <w:marBottom w:val="0"/>
          <w:divBdr>
            <w:top w:val="none" w:sz="0" w:space="0" w:color="auto"/>
            <w:left w:val="none" w:sz="0" w:space="0" w:color="auto"/>
            <w:bottom w:val="none" w:sz="0" w:space="0" w:color="auto"/>
            <w:right w:val="none" w:sz="0" w:space="0" w:color="auto"/>
          </w:divBdr>
        </w:div>
        <w:div w:id="828441134">
          <w:marLeft w:val="360"/>
          <w:marRight w:val="0"/>
          <w:marTop w:val="200"/>
          <w:marBottom w:val="0"/>
          <w:divBdr>
            <w:top w:val="none" w:sz="0" w:space="0" w:color="auto"/>
            <w:left w:val="none" w:sz="0" w:space="0" w:color="auto"/>
            <w:bottom w:val="none" w:sz="0" w:space="0" w:color="auto"/>
            <w:right w:val="none" w:sz="0" w:space="0" w:color="auto"/>
          </w:divBdr>
        </w:div>
        <w:div w:id="837114438">
          <w:marLeft w:val="360"/>
          <w:marRight w:val="0"/>
          <w:marTop w:val="200"/>
          <w:marBottom w:val="0"/>
          <w:divBdr>
            <w:top w:val="none" w:sz="0" w:space="0" w:color="auto"/>
            <w:left w:val="none" w:sz="0" w:space="0" w:color="auto"/>
            <w:bottom w:val="none" w:sz="0" w:space="0" w:color="auto"/>
            <w:right w:val="none" w:sz="0" w:space="0" w:color="auto"/>
          </w:divBdr>
        </w:div>
        <w:div w:id="955285189">
          <w:marLeft w:val="1440"/>
          <w:marRight w:val="0"/>
          <w:marTop w:val="100"/>
          <w:marBottom w:val="0"/>
          <w:divBdr>
            <w:top w:val="none" w:sz="0" w:space="0" w:color="auto"/>
            <w:left w:val="none" w:sz="0" w:space="0" w:color="auto"/>
            <w:bottom w:val="none" w:sz="0" w:space="0" w:color="auto"/>
            <w:right w:val="none" w:sz="0" w:space="0" w:color="auto"/>
          </w:divBdr>
        </w:div>
        <w:div w:id="974137566">
          <w:marLeft w:val="547"/>
          <w:marRight w:val="0"/>
          <w:marTop w:val="200"/>
          <w:marBottom w:val="0"/>
          <w:divBdr>
            <w:top w:val="none" w:sz="0" w:space="0" w:color="auto"/>
            <w:left w:val="none" w:sz="0" w:space="0" w:color="auto"/>
            <w:bottom w:val="none" w:sz="0" w:space="0" w:color="auto"/>
            <w:right w:val="none" w:sz="0" w:space="0" w:color="auto"/>
          </w:divBdr>
        </w:div>
        <w:div w:id="994650009">
          <w:marLeft w:val="547"/>
          <w:marRight w:val="0"/>
          <w:marTop w:val="200"/>
          <w:marBottom w:val="0"/>
          <w:divBdr>
            <w:top w:val="none" w:sz="0" w:space="0" w:color="auto"/>
            <w:left w:val="none" w:sz="0" w:space="0" w:color="auto"/>
            <w:bottom w:val="none" w:sz="0" w:space="0" w:color="auto"/>
            <w:right w:val="none" w:sz="0" w:space="0" w:color="auto"/>
          </w:divBdr>
        </w:div>
        <w:div w:id="1018388859">
          <w:marLeft w:val="1440"/>
          <w:marRight w:val="0"/>
          <w:marTop w:val="100"/>
          <w:marBottom w:val="0"/>
          <w:divBdr>
            <w:top w:val="none" w:sz="0" w:space="0" w:color="auto"/>
            <w:left w:val="none" w:sz="0" w:space="0" w:color="auto"/>
            <w:bottom w:val="none" w:sz="0" w:space="0" w:color="auto"/>
            <w:right w:val="none" w:sz="0" w:space="0" w:color="auto"/>
          </w:divBdr>
        </w:div>
        <w:div w:id="1020743645">
          <w:marLeft w:val="360"/>
          <w:marRight w:val="0"/>
          <w:marTop w:val="200"/>
          <w:marBottom w:val="0"/>
          <w:divBdr>
            <w:top w:val="none" w:sz="0" w:space="0" w:color="auto"/>
            <w:left w:val="none" w:sz="0" w:space="0" w:color="auto"/>
            <w:bottom w:val="none" w:sz="0" w:space="0" w:color="auto"/>
            <w:right w:val="none" w:sz="0" w:space="0" w:color="auto"/>
          </w:divBdr>
        </w:div>
        <w:div w:id="1100293043">
          <w:marLeft w:val="1440"/>
          <w:marRight w:val="0"/>
          <w:marTop w:val="100"/>
          <w:marBottom w:val="0"/>
          <w:divBdr>
            <w:top w:val="none" w:sz="0" w:space="0" w:color="auto"/>
            <w:left w:val="none" w:sz="0" w:space="0" w:color="auto"/>
            <w:bottom w:val="none" w:sz="0" w:space="0" w:color="auto"/>
            <w:right w:val="none" w:sz="0" w:space="0" w:color="auto"/>
          </w:divBdr>
        </w:div>
        <w:div w:id="1120607952">
          <w:marLeft w:val="360"/>
          <w:marRight w:val="0"/>
          <w:marTop w:val="200"/>
          <w:marBottom w:val="0"/>
          <w:divBdr>
            <w:top w:val="none" w:sz="0" w:space="0" w:color="auto"/>
            <w:left w:val="none" w:sz="0" w:space="0" w:color="auto"/>
            <w:bottom w:val="none" w:sz="0" w:space="0" w:color="auto"/>
            <w:right w:val="none" w:sz="0" w:space="0" w:color="auto"/>
          </w:divBdr>
        </w:div>
        <w:div w:id="1124814430">
          <w:marLeft w:val="360"/>
          <w:marRight w:val="0"/>
          <w:marTop w:val="200"/>
          <w:marBottom w:val="0"/>
          <w:divBdr>
            <w:top w:val="none" w:sz="0" w:space="0" w:color="auto"/>
            <w:left w:val="none" w:sz="0" w:space="0" w:color="auto"/>
            <w:bottom w:val="none" w:sz="0" w:space="0" w:color="auto"/>
            <w:right w:val="none" w:sz="0" w:space="0" w:color="auto"/>
          </w:divBdr>
        </w:div>
        <w:div w:id="1196692386">
          <w:marLeft w:val="1080"/>
          <w:marRight w:val="0"/>
          <w:marTop w:val="100"/>
          <w:marBottom w:val="0"/>
          <w:divBdr>
            <w:top w:val="none" w:sz="0" w:space="0" w:color="auto"/>
            <w:left w:val="none" w:sz="0" w:space="0" w:color="auto"/>
            <w:bottom w:val="none" w:sz="0" w:space="0" w:color="auto"/>
            <w:right w:val="none" w:sz="0" w:space="0" w:color="auto"/>
          </w:divBdr>
        </w:div>
        <w:div w:id="1276865383">
          <w:marLeft w:val="1080"/>
          <w:marRight w:val="0"/>
          <w:marTop w:val="100"/>
          <w:marBottom w:val="0"/>
          <w:divBdr>
            <w:top w:val="none" w:sz="0" w:space="0" w:color="auto"/>
            <w:left w:val="none" w:sz="0" w:space="0" w:color="auto"/>
            <w:bottom w:val="none" w:sz="0" w:space="0" w:color="auto"/>
            <w:right w:val="none" w:sz="0" w:space="0" w:color="auto"/>
          </w:divBdr>
        </w:div>
        <w:div w:id="1317026651">
          <w:marLeft w:val="360"/>
          <w:marRight w:val="0"/>
          <w:marTop w:val="200"/>
          <w:marBottom w:val="0"/>
          <w:divBdr>
            <w:top w:val="none" w:sz="0" w:space="0" w:color="auto"/>
            <w:left w:val="none" w:sz="0" w:space="0" w:color="auto"/>
            <w:bottom w:val="none" w:sz="0" w:space="0" w:color="auto"/>
            <w:right w:val="none" w:sz="0" w:space="0" w:color="auto"/>
          </w:divBdr>
        </w:div>
        <w:div w:id="1330521583">
          <w:marLeft w:val="547"/>
          <w:marRight w:val="0"/>
          <w:marTop w:val="200"/>
          <w:marBottom w:val="0"/>
          <w:divBdr>
            <w:top w:val="none" w:sz="0" w:space="0" w:color="auto"/>
            <w:left w:val="none" w:sz="0" w:space="0" w:color="auto"/>
            <w:bottom w:val="none" w:sz="0" w:space="0" w:color="auto"/>
            <w:right w:val="none" w:sz="0" w:space="0" w:color="auto"/>
          </w:divBdr>
        </w:div>
        <w:div w:id="1372926369">
          <w:marLeft w:val="1440"/>
          <w:marRight w:val="0"/>
          <w:marTop w:val="100"/>
          <w:marBottom w:val="0"/>
          <w:divBdr>
            <w:top w:val="none" w:sz="0" w:space="0" w:color="auto"/>
            <w:left w:val="none" w:sz="0" w:space="0" w:color="auto"/>
            <w:bottom w:val="none" w:sz="0" w:space="0" w:color="auto"/>
            <w:right w:val="none" w:sz="0" w:space="0" w:color="auto"/>
          </w:divBdr>
        </w:div>
        <w:div w:id="1397432094">
          <w:marLeft w:val="360"/>
          <w:marRight w:val="0"/>
          <w:marTop w:val="200"/>
          <w:marBottom w:val="0"/>
          <w:divBdr>
            <w:top w:val="none" w:sz="0" w:space="0" w:color="auto"/>
            <w:left w:val="none" w:sz="0" w:space="0" w:color="auto"/>
            <w:bottom w:val="none" w:sz="0" w:space="0" w:color="auto"/>
            <w:right w:val="none" w:sz="0" w:space="0" w:color="auto"/>
          </w:divBdr>
        </w:div>
        <w:div w:id="1410882107">
          <w:marLeft w:val="360"/>
          <w:marRight w:val="0"/>
          <w:marTop w:val="200"/>
          <w:marBottom w:val="0"/>
          <w:divBdr>
            <w:top w:val="none" w:sz="0" w:space="0" w:color="auto"/>
            <w:left w:val="none" w:sz="0" w:space="0" w:color="auto"/>
            <w:bottom w:val="none" w:sz="0" w:space="0" w:color="auto"/>
            <w:right w:val="none" w:sz="0" w:space="0" w:color="auto"/>
          </w:divBdr>
        </w:div>
        <w:div w:id="1419250118">
          <w:marLeft w:val="547"/>
          <w:marRight w:val="0"/>
          <w:marTop w:val="200"/>
          <w:marBottom w:val="0"/>
          <w:divBdr>
            <w:top w:val="none" w:sz="0" w:space="0" w:color="auto"/>
            <w:left w:val="none" w:sz="0" w:space="0" w:color="auto"/>
            <w:bottom w:val="none" w:sz="0" w:space="0" w:color="auto"/>
            <w:right w:val="none" w:sz="0" w:space="0" w:color="auto"/>
          </w:divBdr>
        </w:div>
        <w:div w:id="1440372726">
          <w:marLeft w:val="360"/>
          <w:marRight w:val="0"/>
          <w:marTop w:val="200"/>
          <w:marBottom w:val="0"/>
          <w:divBdr>
            <w:top w:val="none" w:sz="0" w:space="0" w:color="auto"/>
            <w:left w:val="none" w:sz="0" w:space="0" w:color="auto"/>
            <w:bottom w:val="none" w:sz="0" w:space="0" w:color="auto"/>
            <w:right w:val="none" w:sz="0" w:space="0" w:color="auto"/>
          </w:divBdr>
        </w:div>
        <w:div w:id="1457481135">
          <w:marLeft w:val="360"/>
          <w:marRight w:val="0"/>
          <w:marTop w:val="200"/>
          <w:marBottom w:val="0"/>
          <w:divBdr>
            <w:top w:val="none" w:sz="0" w:space="0" w:color="auto"/>
            <w:left w:val="none" w:sz="0" w:space="0" w:color="auto"/>
            <w:bottom w:val="none" w:sz="0" w:space="0" w:color="auto"/>
            <w:right w:val="none" w:sz="0" w:space="0" w:color="auto"/>
          </w:divBdr>
        </w:div>
        <w:div w:id="1469126696">
          <w:marLeft w:val="1440"/>
          <w:marRight w:val="0"/>
          <w:marTop w:val="100"/>
          <w:marBottom w:val="0"/>
          <w:divBdr>
            <w:top w:val="none" w:sz="0" w:space="0" w:color="auto"/>
            <w:left w:val="none" w:sz="0" w:space="0" w:color="auto"/>
            <w:bottom w:val="none" w:sz="0" w:space="0" w:color="auto"/>
            <w:right w:val="none" w:sz="0" w:space="0" w:color="auto"/>
          </w:divBdr>
        </w:div>
        <w:div w:id="1515924280">
          <w:marLeft w:val="360"/>
          <w:marRight w:val="0"/>
          <w:marTop w:val="200"/>
          <w:marBottom w:val="0"/>
          <w:divBdr>
            <w:top w:val="none" w:sz="0" w:space="0" w:color="auto"/>
            <w:left w:val="none" w:sz="0" w:space="0" w:color="auto"/>
            <w:bottom w:val="none" w:sz="0" w:space="0" w:color="auto"/>
            <w:right w:val="none" w:sz="0" w:space="0" w:color="auto"/>
          </w:divBdr>
        </w:div>
        <w:div w:id="1534078713">
          <w:marLeft w:val="360"/>
          <w:marRight w:val="0"/>
          <w:marTop w:val="200"/>
          <w:marBottom w:val="0"/>
          <w:divBdr>
            <w:top w:val="none" w:sz="0" w:space="0" w:color="auto"/>
            <w:left w:val="none" w:sz="0" w:space="0" w:color="auto"/>
            <w:bottom w:val="none" w:sz="0" w:space="0" w:color="auto"/>
            <w:right w:val="none" w:sz="0" w:space="0" w:color="auto"/>
          </w:divBdr>
        </w:div>
        <w:div w:id="1542935917">
          <w:marLeft w:val="547"/>
          <w:marRight w:val="0"/>
          <w:marTop w:val="200"/>
          <w:marBottom w:val="0"/>
          <w:divBdr>
            <w:top w:val="none" w:sz="0" w:space="0" w:color="auto"/>
            <w:left w:val="none" w:sz="0" w:space="0" w:color="auto"/>
            <w:bottom w:val="none" w:sz="0" w:space="0" w:color="auto"/>
            <w:right w:val="none" w:sz="0" w:space="0" w:color="auto"/>
          </w:divBdr>
        </w:div>
        <w:div w:id="1542939521">
          <w:marLeft w:val="360"/>
          <w:marRight w:val="0"/>
          <w:marTop w:val="200"/>
          <w:marBottom w:val="0"/>
          <w:divBdr>
            <w:top w:val="none" w:sz="0" w:space="0" w:color="auto"/>
            <w:left w:val="none" w:sz="0" w:space="0" w:color="auto"/>
            <w:bottom w:val="none" w:sz="0" w:space="0" w:color="auto"/>
            <w:right w:val="none" w:sz="0" w:space="0" w:color="auto"/>
          </w:divBdr>
        </w:div>
        <w:div w:id="1545025088">
          <w:marLeft w:val="360"/>
          <w:marRight w:val="0"/>
          <w:marTop w:val="200"/>
          <w:marBottom w:val="0"/>
          <w:divBdr>
            <w:top w:val="none" w:sz="0" w:space="0" w:color="auto"/>
            <w:left w:val="none" w:sz="0" w:space="0" w:color="auto"/>
            <w:bottom w:val="none" w:sz="0" w:space="0" w:color="auto"/>
            <w:right w:val="none" w:sz="0" w:space="0" w:color="auto"/>
          </w:divBdr>
        </w:div>
        <w:div w:id="1551571294">
          <w:marLeft w:val="360"/>
          <w:marRight w:val="0"/>
          <w:marTop w:val="200"/>
          <w:marBottom w:val="0"/>
          <w:divBdr>
            <w:top w:val="none" w:sz="0" w:space="0" w:color="auto"/>
            <w:left w:val="none" w:sz="0" w:space="0" w:color="auto"/>
            <w:bottom w:val="none" w:sz="0" w:space="0" w:color="auto"/>
            <w:right w:val="none" w:sz="0" w:space="0" w:color="auto"/>
          </w:divBdr>
        </w:div>
        <w:div w:id="1552766231">
          <w:marLeft w:val="360"/>
          <w:marRight w:val="0"/>
          <w:marTop w:val="200"/>
          <w:marBottom w:val="0"/>
          <w:divBdr>
            <w:top w:val="none" w:sz="0" w:space="0" w:color="auto"/>
            <w:left w:val="none" w:sz="0" w:space="0" w:color="auto"/>
            <w:bottom w:val="none" w:sz="0" w:space="0" w:color="auto"/>
            <w:right w:val="none" w:sz="0" w:space="0" w:color="auto"/>
          </w:divBdr>
        </w:div>
        <w:div w:id="1573352901">
          <w:marLeft w:val="547"/>
          <w:marRight w:val="0"/>
          <w:marTop w:val="200"/>
          <w:marBottom w:val="0"/>
          <w:divBdr>
            <w:top w:val="none" w:sz="0" w:space="0" w:color="auto"/>
            <w:left w:val="none" w:sz="0" w:space="0" w:color="auto"/>
            <w:bottom w:val="none" w:sz="0" w:space="0" w:color="auto"/>
            <w:right w:val="none" w:sz="0" w:space="0" w:color="auto"/>
          </w:divBdr>
        </w:div>
        <w:div w:id="1581325338">
          <w:marLeft w:val="360"/>
          <w:marRight w:val="0"/>
          <w:marTop w:val="200"/>
          <w:marBottom w:val="0"/>
          <w:divBdr>
            <w:top w:val="none" w:sz="0" w:space="0" w:color="auto"/>
            <w:left w:val="none" w:sz="0" w:space="0" w:color="auto"/>
            <w:bottom w:val="none" w:sz="0" w:space="0" w:color="auto"/>
            <w:right w:val="none" w:sz="0" w:space="0" w:color="auto"/>
          </w:divBdr>
        </w:div>
        <w:div w:id="1619950075">
          <w:marLeft w:val="1080"/>
          <w:marRight w:val="0"/>
          <w:marTop w:val="200"/>
          <w:marBottom w:val="0"/>
          <w:divBdr>
            <w:top w:val="none" w:sz="0" w:space="0" w:color="auto"/>
            <w:left w:val="none" w:sz="0" w:space="0" w:color="auto"/>
            <w:bottom w:val="none" w:sz="0" w:space="0" w:color="auto"/>
            <w:right w:val="none" w:sz="0" w:space="0" w:color="auto"/>
          </w:divBdr>
        </w:div>
        <w:div w:id="1628196796">
          <w:marLeft w:val="547"/>
          <w:marRight w:val="0"/>
          <w:marTop w:val="200"/>
          <w:marBottom w:val="0"/>
          <w:divBdr>
            <w:top w:val="none" w:sz="0" w:space="0" w:color="auto"/>
            <w:left w:val="none" w:sz="0" w:space="0" w:color="auto"/>
            <w:bottom w:val="none" w:sz="0" w:space="0" w:color="auto"/>
            <w:right w:val="none" w:sz="0" w:space="0" w:color="auto"/>
          </w:divBdr>
        </w:div>
        <w:div w:id="1629118320">
          <w:marLeft w:val="360"/>
          <w:marRight w:val="0"/>
          <w:marTop w:val="200"/>
          <w:marBottom w:val="0"/>
          <w:divBdr>
            <w:top w:val="none" w:sz="0" w:space="0" w:color="auto"/>
            <w:left w:val="none" w:sz="0" w:space="0" w:color="auto"/>
            <w:bottom w:val="none" w:sz="0" w:space="0" w:color="auto"/>
            <w:right w:val="none" w:sz="0" w:space="0" w:color="auto"/>
          </w:divBdr>
        </w:div>
        <w:div w:id="1676808826">
          <w:marLeft w:val="1440"/>
          <w:marRight w:val="0"/>
          <w:marTop w:val="100"/>
          <w:marBottom w:val="0"/>
          <w:divBdr>
            <w:top w:val="none" w:sz="0" w:space="0" w:color="auto"/>
            <w:left w:val="none" w:sz="0" w:space="0" w:color="auto"/>
            <w:bottom w:val="none" w:sz="0" w:space="0" w:color="auto"/>
            <w:right w:val="none" w:sz="0" w:space="0" w:color="auto"/>
          </w:divBdr>
        </w:div>
        <w:div w:id="1693801862">
          <w:marLeft w:val="1080"/>
          <w:marRight w:val="0"/>
          <w:marTop w:val="100"/>
          <w:marBottom w:val="0"/>
          <w:divBdr>
            <w:top w:val="none" w:sz="0" w:space="0" w:color="auto"/>
            <w:left w:val="none" w:sz="0" w:space="0" w:color="auto"/>
            <w:bottom w:val="none" w:sz="0" w:space="0" w:color="auto"/>
            <w:right w:val="none" w:sz="0" w:space="0" w:color="auto"/>
          </w:divBdr>
        </w:div>
        <w:div w:id="1694960962">
          <w:marLeft w:val="547"/>
          <w:marRight w:val="0"/>
          <w:marTop w:val="200"/>
          <w:marBottom w:val="0"/>
          <w:divBdr>
            <w:top w:val="none" w:sz="0" w:space="0" w:color="auto"/>
            <w:left w:val="none" w:sz="0" w:space="0" w:color="auto"/>
            <w:bottom w:val="none" w:sz="0" w:space="0" w:color="auto"/>
            <w:right w:val="none" w:sz="0" w:space="0" w:color="auto"/>
          </w:divBdr>
        </w:div>
        <w:div w:id="1698040789">
          <w:marLeft w:val="360"/>
          <w:marRight w:val="0"/>
          <w:marTop w:val="200"/>
          <w:marBottom w:val="0"/>
          <w:divBdr>
            <w:top w:val="none" w:sz="0" w:space="0" w:color="auto"/>
            <w:left w:val="none" w:sz="0" w:space="0" w:color="auto"/>
            <w:bottom w:val="none" w:sz="0" w:space="0" w:color="auto"/>
            <w:right w:val="none" w:sz="0" w:space="0" w:color="auto"/>
          </w:divBdr>
        </w:div>
        <w:div w:id="1754010015">
          <w:marLeft w:val="547"/>
          <w:marRight w:val="0"/>
          <w:marTop w:val="200"/>
          <w:marBottom w:val="0"/>
          <w:divBdr>
            <w:top w:val="none" w:sz="0" w:space="0" w:color="auto"/>
            <w:left w:val="none" w:sz="0" w:space="0" w:color="auto"/>
            <w:bottom w:val="none" w:sz="0" w:space="0" w:color="auto"/>
            <w:right w:val="none" w:sz="0" w:space="0" w:color="auto"/>
          </w:divBdr>
        </w:div>
        <w:div w:id="1765763705">
          <w:marLeft w:val="547"/>
          <w:marRight w:val="0"/>
          <w:marTop w:val="200"/>
          <w:marBottom w:val="0"/>
          <w:divBdr>
            <w:top w:val="none" w:sz="0" w:space="0" w:color="auto"/>
            <w:left w:val="none" w:sz="0" w:space="0" w:color="auto"/>
            <w:bottom w:val="none" w:sz="0" w:space="0" w:color="auto"/>
            <w:right w:val="none" w:sz="0" w:space="0" w:color="auto"/>
          </w:divBdr>
        </w:div>
        <w:div w:id="1774858411">
          <w:marLeft w:val="360"/>
          <w:marRight w:val="0"/>
          <w:marTop w:val="200"/>
          <w:marBottom w:val="0"/>
          <w:divBdr>
            <w:top w:val="none" w:sz="0" w:space="0" w:color="auto"/>
            <w:left w:val="none" w:sz="0" w:space="0" w:color="auto"/>
            <w:bottom w:val="none" w:sz="0" w:space="0" w:color="auto"/>
            <w:right w:val="none" w:sz="0" w:space="0" w:color="auto"/>
          </w:divBdr>
        </w:div>
        <w:div w:id="1802841801">
          <w:marLeft w:val="360"/>
          <w:marRight w:val="0"/>
          <w:marTop w:val="200"/>
          <w:marBottom w:val="0"/>
          <w:divBdr>
            <w:top w:val="none" w:sz="0" w:space="0" w:color="auto"/>
            <w:left w:val="none" w:sz="0" w:space="0" w:color="auto"/>
            <w:bottom w:val="none" w:sz="0" w:space="0" w:color="auto"/>
            <w:right w:val="none" w:sz="0" w:space="0" w:color="auto"/>
          </w:divBdr>
        </w:div>
        <w:div w:id="1815641307">
          <w:marLeft w:val="360"/>
          <w:marRight w:val="0"/>
          <w:marTop w:val="200"/>
          <w:marBottom w:val="0"/>
          <w:divBdr>
            <w:top w:val="none" w:sz="0" w:space="0" w:color="auto"/>
            <w:left w:val="none" w:sz="0" w:space="0" w:color="auto"/>
            <w:bottom w:val="none" w:sz="0" w:space="0" w:color="auto"/>
            <w:right w:val="none" w:sz="0" w:space="0" w:color="auto"/>
          </w:divBdr>
        </w:div>
        <w:div w:id="1833714278">
          <w:marLeft w:val="360"/>
          <w:marRight w:val="0"/>
          <w:marTop w:val="200"/>
          <w:marBottom w:val="0"/>
          <w:divBdr>
            <w:top w:val="none" w:sz="0" w:space="0" w:color="auto"/>
            <w:left w:val="none" w:sz="0" w:space="0" w:color="auto"/>
            <w:bottom w:val="none" w:sz="0" w:space="0" w:color="auto"/>
            <w:right w:val="none" w:sz="0" w:space="0" w:color="auto"/>
          </w:divBdr>
        </w:div>
        <w:div w:id="1873808965">
          <w:marLeft w:val="1080"/>
          <w:marRight w:val="0"/>
          <w:marTop w:val="100"/>
          <w:marBottom w:val="0"/>
          <w:divBdr>
            <w:top w:val="none" w:sz="0" w:space="0" w:color="auto"/>
            <w:left w:val="none" w:sz="0" w:space="0" w:color="auto"/>
            <w:bottom w:val="none" w:sz="0" w:space="0" w:color="auto"/>
            <w:right w:val="none" w:sz="0" w:space="0" w:color="auto"/>
          </w:divBdr>
        </w:div>
        <w:div w:id="1952669029">
          <w:marLeft w:val="1440"/>
          <w:marRight w:val="0"/>
          <w:marTop w:val="100"/>
          <w:marBottom w:val="0"/>
          <w:divBdr>
            <w:top w:val="none" w:sz="0" w:space="0" w:color="auto"/>
            <w:left w:val="none" w:sz="0" w:space="0" w:color="auto"/>
            <w:bottom w:val="none" w:sz="0" w:space="0" w:color="auto"/>
            <w:right w:val="none" w:sz="0" w:space="0" w:color="auto"/>
          </w:divBdr>
        </w:div>
        <w:div w:id="2023511934">
          <w:marLeft w:val="360"/>
          <w:marRight w:val="0"/>
          <w:marTop w:val="200"/>
          <w:marBottom w:val="0"/>
          <w:divBdr>
            <w:top w:val="none" w:sz="0" w:space="0" w:color="auto"/>
            <w:left w:val="none" w:sz="0" w:space="0" w:color="auto"/>
            <w:bottom w:val="none" w:sz="0" w:space="0" w:color="auto"/>
            <w:right w:val="none" w:sz="0" w:space="0" w:color="auto"/>
          </w:divBdr>
        </w:div>
        <w:div w:id="2040275595">
          <w:marLeft w:val="1080"/>
          <w:marRight w:val="0"/>
          <w:marTop w:val="200"/>
          <w:marBottom w:val="0"/>
          <w:divBdr>
            <w:top w:val="none" w:sz="0" w:space="0" w:color="auto"/>
            <w:left w:val="none" w:sz="0" w:space="0" w:color="auto"/>
            <w:bottom w:val="none" w:sz="0" w:space="0" w:color="auto"/>
            <w:right w:val="none" w:sz="0" w:space="0" w:color="auto"/>
          </w:divBdr>
        </w:div>
        <w:div w:id="2081556436">
          <w:marLeft w:val="360"/>
          <w:marRight w:val="0"/>
          <w:marTop w:val="200"/>
          <w:marBottom w:val="0"/>
          <w:divBdr>
            <w:top w:val="none" w:sz="0" w:space="0" w:color="auto"/>
            <w:left w:val="none" w:sz="0" w:space="0" w:color="auto"/>
            <w:bottom w:val="none" w:sz="0" w:space="0" w:color="auto"/>
            <w:right w:val="none" w:sz="0" w:space="0" w:color="auto"/>
          </w:divBdr>
        </w:div>
        <w:div w:id="2083291110">
          <w:marLeft w:val="1440"/>
          <w:marRight w:val="0"/>
          <w:marTop w:val="100"/>
          <w:marBottom w:val="0"/>
          <w:divBdr>
            <w:top w:val="none" w:sz="0" w:space="0" w:color="auto"/>
            <w:left w:val="none" w:sz="0" w:space="0" w:color="auto"/>
            <w:bottom w:val="none" w:sz="0" w:space="0" w:color="auto"/>
            <w:right w:val="none" w:sz="0" w:space="0" w:color="auto"/>
          </w:divBdr>
        </w:div>
        <w:div w:id="2091347374">
          <w:marLeft w:val="360"/>
          <w:marRight w:val="0"/>
          <w:marTop w:val="200"/>
          <w:marBottom w:val="0"/>
          <w:divBdr>
            <w:top w:val="none" w:sz="0" w:space="0" w:color="auto"/>
            <w:left w:val="none" w:sz="0" w:space="0" w:color="auto"/>
            <w:bottom w:val="none" w:sz="0" w:space="0" w:color="auto"/>
            <w:right w:val="none" w:sz="0" w:space="0" w:color="auto"/>
          </w:divBdr>
        </w:div>
        <w:div w:id="2092919957">
          <w:marLeft w:val="547"/>
          <w:marRight w:val="0"/>
          <w:marTop w:val="200"/>
          <w:marBottom w:val="0"/>
          <w:divBdr>
            <w:top w:val="none" w:sz="0" w:space="0" w:color="auto"/>
            <w:left w:val="none" w:sz="0" w:space="0" w:color="auto"/>
            <w:bottom w:val="none" w:sz="0" w:space="0" w:color="auto"/>
            <w:right w:val="none" w:sz="0" w:space="0" w:color="auto"/>
          </w:divBdr>
        </w:div>
      </w:divsChild>
    </w:div>
    <w:div w:id="602811175">
      <w:bodyDiv w:val="1"/>
      <w:marLeft w:val="0"/>
      <w:marRight w:val="0"/>
      <w:marTop w:val="0"/>
      <w:marBottom w:val="0"/>
      <w:divBdr>
        <w:top w:val="none" w:sz="0" w:space="0" w:color="auto"/>
        <w:left w:val="none" w:sz="0" w:space="0" w:color="auto"/>
        <w:bottom w:val="none" w:sz="0" w:space="0" w:color="auto"/>
        <w:right w:val="none" w:sz="0" w:space="0" w:color="auto"/>
      </w:divBdr>
    </w:div>
    <w:div w:id="737822832">
      <w:bodyDiv w:val="1"/>
      <w:marLeft w:val="0"/>
      <w:marRight w:val="0"/>
      <w:marTop w:val="0"/>
      <w:marBottom w:val="0"/>
      <w:divBdr>
        <w:top w:val="none" w:sz="0" w:space="0" w:color="auto"/>
        <w:left w:val="none" w:sz="0" w:space="0" w:color="auto"/>
        <w:bottom w:val="none" w:sz="0" w:space="0" w:color="auto"/>
        <w:right w:val="none" w:sz="0" w:space="0" w:color="auto"/>
      </w:divBdr>
    </w:div>
    <w:div w:id="740912077">
      <w:bodyDiv w:val="1"/>
      <w:marLeft w:val="0"/>
      <w:marRight w:val="0"/>
      <w:marTop w:val="0"/>
      <w:marBottom w:val="0"/>
      <w:divBdr>
        <w:top w:val="none" w:sz="0" w:space="0" w:color="auto"/>
        <w:left w:val="none" w:sz="0" w:space="0" w:color="auto"/>
        <w:bottom w:val="none" w:sz="0" w:space="0" w:color="auto"/>
        <w:right w:val="none" w:sz="0" w:space="0" w:color="auto"/>
      </w:divBdr>
    </w:div>
    <w:div w:id="905338257">
      <w:bodyDiv w:val="1"/>
      <w:marLeft w:val="0"/>
      <w:marRight w:val="0"/>
      <w:marTop w:val="0"/>
      <w:marBottom w:val="0"/>
      <w:divBdr>
        <w:top w:val="none" w:sz="0" w:space="0" w:color="auto"/>
        <w:left w:val="none" w:sz="0" w:space="0" w:color="auto"/>
        <w:bottom w:val="none" w:sz="0" w:space="0" w:color="auto"/>
        <w:right w:val="none" w:sz="0" w:space="0" w:color="auto"/>
      </w:divBdr>
    </w:div>
    <w:div w:id="1003119171">
      <w:bodyDiv w:val="1"/>
      <w:marLeft w:val="0"/>
      <w:marRight w:val="0"/>
      <w:marTop w:val="0"/>
      <w:marBottom w:val="0"/>
      <w:divBdr>
        <w:top w:val="none" w:sz="0" w:space="0" w:color="auto"/>
        <w:left w:val="none" w:sz="0" w:space="0" w:color="auto"/>
        <w:bottom w:val="none" w:sz="0" w:space="0" w:color="auto"/>
        <w:right w:val="none" w:sz="0" w:space="0" w:color="auto"/>
      </w:divBdr>
    </w:div>
    <w:div w:id="1329017591">
      <w:bodyDiv w:val="1"/>
      <w:marLeft w:val="0"/>
      <w:marRight w:val="0"/>
      <w:marTop w:val="0"/>
      <w:marBottom w:val="0"/>
      <w:divBdr>
        <w:top w:val="none" w:sz="0" w:space="0" w:color="auto"/>
        <w:left w:val="none" w:sz="0" w:space="0" w:color="auto"/>
        <w:bottom w:val="none" w:sz="0" w:space="0" w:color="auto"/>
        <w:right w:val="none" w:sz="0" w:space="0" w:color="auto"/>
      </w:divBdr>
    </w:div>
    <w:div w:id="1941722781">
      <w:bodyDiv w:val="1"/>
      <w:marLeft w:val="0"/>
      <w:marRight w:val="0"/>
      <w:marTop w:val="0"/>
      <w:marBottom w:val="0"/>
      <w:divBdr>
        <w:top w:val="none" w:sz="0" w:space="0" w:color="auto"/>
        <w:left w:val="none" w:sz="0" w:space="0" w:color="auto"/>
        <w:bottom w:val="none" w:sz="0" w:space="0" w:color="auto"/>
        <w:right w:val="none" w:sz="0" w:space="0" w:color="auto"/>
      </w:divBdr>
      <w:divsChild>
        <w:div w:id="2098688">
          <w:marLeft w:val="1080"/>
          <w:marRight w:val="0"/>
          <w:marTop w:val="200"/>
          <w:marBottom w:val="0"/>
          <w:divBdr>
            <w:top w:val="none" w:sz="0" w:space="0" w:color="auto"/>
            <w:left w:val="none" w:sz="0" w:space="0" w:color="auto"/>
            <w:bottom w:val="none" w:sz="0" w:space="0" w:color="auto"/>
            <w:right w:val="none" w:sz="0" w:space="0" w:color="auto"/>
          </w:divBdr>
        </w:div>
        <w:div w:id="62139938">
          <w:marLeft w:val="547"/>
          <w:marRight w:val="0"/>
          <w:marTop w:val="200"/>
          <w:marBottom w:val="0"/>
          <w:divBdr>
            <w:top w:val="none" w:sz="0" w:space="0" w:color="auto"/>
            <w:left w:val="none" w:sz="0" w:space="0" w:color="auto"/>
            <w:bottom w:val="none" w:sz="0" w:space="0" w:color="auto"/>
            <w:right w:val="none" w:sz="0" w:space="0" w:color="auto"/>
          </w:divBdr>
        </w:div>
        <w:div w:id="72748631">
          <w:marLeft w:val="360"/>
          <w:marRight w:val="0"/>
          <w:marTop w:val="200"/>
          <w:marBottom w:val="0"/>
          <w:divBdr>
            <w:top w:val="none" w:sz="0" w:space="0" w:color="auto"/>
            <w:left w:val="none" w:sz="0" w:space="0" w:color="auto"/>
            <w:bottom w:val="none" w:sz="0" w:space="0" w:color="auto"/>
            <w:right w:val="none" w:sz="0" w:space="0" w:color="auto"/>
          </w:divBdr>
        </w:div>
        <w:div w:id="93405962">
          <w:marLeft w:val="1080"/>
          <w:marRight w:val="0"/>
          <w:marTop w:val="200"/>
          <w:marBottom w:val="0"/>
          <w:divBdr>
            <w:top w:val="none" w:sz="0" w:space="0" w:color="auto"/>
            <w:left w:val="none" w:sz="0" w:space="0" w:color="auto"/>
            <w:bottom w:val="none" w:sz="0" w:space="0" w:color="auto"/>
            <w:right w:val="none" w:sz="0" w:space="0" w:color="auto"/>
          </w:divBdr>
        </w:div>
        <w:div w:id="121117141">
          <w:marLeft w:val="360"/>
          <w:marRight w:val="0"/>
          <w:marTop w:val="200"/>
          <w:marBottom w:val="0"/>
          <w:divBdr>
            <w:top w:val="none" w:sz="0" w:space="0" w:color="auto"/>
            <w:left w:val="none" w:sz="0" w:space="0" w:color="auto"/>
            <w:bottom w:val="none" w:sz="0" w:space="0" w:color="auto"/>
            <w:right w:val="none" w:sz="0" w:space="0" w:color="auto"/>
          </w:divBdr>
        </w:div>
        <w:div w:id="158808435">
          <w:marLeft w:val="1440"/>
          <w:marRight w:val="0"/>
          <w:marTop w:val="100"/>
          <w:marBottom w:val="0"/>
          <w:divBdr>
            <w:top w:val="none" w:sz="0" w:space="0" w:color="auto"/>
            <w:left w:val="none" w:sz="0" w:space="0" w:color="auto"/>
            <w:bottom w:val="none" w:sz="0" w:space="0" w:color="auto"/>
            <w:right w:val="none" w:sz="0" w:space="0" w:color="auto"/>
          </w:divBdr>
        </w:div>
        <w:div w:id="166336036">
          <w:marLeft w:val="547"/>
          <w:marRight w:val="0"/>
          <w:marTop w:val="200"/>
          <w:marBottom w:val="0"/>
          <w:divBdr>
            <w:top w:val="none" w:sz="0" w:space="0" w:color="auto"/>
            <w:left w:val="none" w:sz="0" w:space="0" w:color="auto"/>
            <w:bottom w:val="none" w:sz="0" w:space="0" w:color="auto"/>
            <w:right w:val="none" w:sz="0" w:space="0" w:color="auto"/>
          </w:divBdr>
        </w:div>
        <w:div w:id="198705247">
          <w:marLeft w:val="547"/>
          <w:marRight w:val="0"/>
          <w:marTop w:val="200"/>
          <w:marBottom w:val="0"/>
          <w:divBdr>
            <w:top w:val="none" w:sz="0" w:space="0" w:color="auto"/>
            <w:left w:val="none" w:sz="0" w:space="0" w:color="auto"/>
            <w:bottom w:val="none" w:sz="0" w:space="0" w:color="auto"/>
            <w:right w:val="none" w:sz="0" w:space="0" w:color="auto"/>
          </w:divBdr>
        </w:div>
        <w:div w:id="199633532">
          <w:marLeft w:val="360"/>
          <w:marRight w:val="0"/>
          <w:marTop w:val="200"/>
          <w:marBottom w:val="0"/>
          <w:divBdr>
            <w:top w:val="none" w:sz="0" w:space="0" w:color="auto"/>
            <w:left w:val="none" w:sz="0" w:space="0" w:color="auto"/>
            <w:bottom w:val="none" w:sz="0" w:space="0" w:color="auto"/>
            <w:right w:val="none" w:sz="0" w:space="0" w:color="auto"/>
          </w:divBdr>
        </w:div>
        <w:div w:id="219246488">
          <w:marLeft w:val="360"/>
          <w:marRight w:val="0"/>
          <w:marTop w:val="200"/>
          <w:marBottom w:val="0"/>
          <w:divBdr>
            <w:top w:val="none" w:sz="0" w:space="0" w:color="auto"/>
            <w:left w:val="none" w:sz="0" w:space="0" w:color="auto"/>
            <w:bottom w:val="none" w:sz="0" w:space="0" w:color="auto"/>
            <w:right w:val="none" w:sz="0" w:space="0" w:color="auto"/>
          </w:divBdr>
        </w:div>
        <w:div w:id="247428693">
          <w:marLeft w:val="1080"/>
          <w:marRight w:val="0"/>
          <w:marTop w:val="100"/>
          <w:marBottom w:val="0"/>
          <w:divBdr>
            <w:top w:val="none" w:sz="0" w:space="0" w:color="auto"/>
            <w:left w:val="none" w:sz="0" w:space="0" w:color="auto"/>
            <w:bottom w:val="none" w:sz="0" w:space="0" w:color="auto"/>
            <w:right w:val="none" w:sz="0" w:space="0" w:color="auto"/>
          </w:divBdr>
        </w:div>
        <w:div w:id="264044947">
          <w:marLeft w:val="1080"/>
          <w:marRight w:val="0"/>
          <w:marTop w:val="100"/>
          <w:marBottom w:val="0"/>
          <w:divBdr>
            <w:top w:val="none" w:sz="0" w:space="0" w:color="auto"/>
            <w:left w:val="none" w:sz="0" w:space="0" w:color="auto"/>
            <w:bottom w:val="none" w:sz="0" w:space="0" w:color="auto"/>
            <w:right w:val="none" w:sz="0" w:space="0" w:color="auto"/>
          </w:divBdr>
        </w:div>
        <w:div w:id="267783776">
          <w:marLeft w:val="1440"/>
          <w:marRight w:val="0"/>
          <w:marTop w:val="100"/>
          <w:marBottom w:val="0"/>
          <w:divBdr>
            <w:top w:val="none" w:sz="0" w:space="0" w:color="auto"/>
            <w:left w:val="none" w:sz="0" w:space="0" w:color="auto"/>
            <w:bottom w:val="none" w:sz="0" w:space="0" w:color="auto"/>
            <w:right w:val="none" w:sz="0" w:space="0" w:color="auto"/>
          </w:divBdr>
        </w:div>
        <w:div w:id="327487178">
          <w:marLeft w:val="1080"/>
          <w:marRight w:val="0"/>
          <w:marTop w:val="200"/>
          <w:marBottom w:val="0"/>
          <w:divBdr>
            <w:top w:val="none" w:sz="0" w:space="0" w:color="auto"/>
            <w:left w:val="none" w:sz="0" w:space="0" w:color="auto"/>
            <w:bottom w:val="none" w:sz="0" w:space="0" w:color="auto"/>
            <w:right w:val="none" w:sz="0" w:space="0" w:color="auto"/>
          </w:divBdr>
        </w:div>
        <w:div w:id="329525142">
          <w:marLeft w:val="1440"/>
          <w:marRight w:val="0"/>
          <w:marTop w:val="100"/>
          <w:marBottom w:val="0"/>
          <w:divBdr>
            <w:top w:val="none" w:sz="0" w:space="0" w:color="auto"/>
            <w:left w:val="none" w:sz="0" w:space="0" w:color="auto"/>
            <w:bottom w:val="none" w:sz="0" w:space="0" w:color="auto"/>
            <w:right w:val="none" w:sz="0" w:space="0" w:color="auto"/>
          </w:divBdr>
        </w:div>
        <w:div w:id="351810462">
          <w:marLeft w:val="360"/>
          <w:marRight w:val="0"/>
          <w:marTop w:val="200"/>
          <w:marBottom w:val="0"/>
          <w:divBdr>
            <w:top w:val="none" w:sz="0" w:space="0" w:color="auto"/>
            <w:left w:val="none" w:sz="0" w:space="0" w:color="auto"/>
            <w:bottom w:val="none" w:sz="0" w:space="0" w:color="auto"/>
            <w:right w:val="none" w:sz="0" w:space="0" w:color="auto"/>
          </w:divBdr>
        </w:div>
        <w:div w:id="352997370">
          <w:marLeft w:val="1080"/>
          <w:marRight w:val="0"/>
          <w:marTop w:val="100"/>
          <w:marBottom w:val="0"/>
          <w:divBdr>
            <w:top w:val="none" w:sz="0" w:space="0" w:color="auto"/>
            <w:left w:val="none" w:sz="0" w:space="0" w:color="auto"/>
            <w:bottom w:val="none" w:sz="0" w:space="0" w:color="auto"/>
            <w:right w:val="none" w:sz="0" w:space="0" w:color="auto"/>
          </w:divBdr>
        </w:div>
        <w:div w:id="355009996">
          <w:marLeft w:val="547"/>
          <w:marRight w:val="0"/>
          <w:marTop w:val="200"/>
          <w:marBottom w:val="0"/>
          <w:divBdr>
            <w:top w:val="none" w:sz="0" w:space="0" w:color="auto"/>
            <w:left w:val="none" w:sz="0" w:space="0" w:color="auto"/>
            <w:bottom w:val="none" w:sz="0" w:space="0" w:color="auto"/>
            <w:right w:val="none" w:sz="0" w:space="0" w:color="auto"/>
          </w:divBdr>
        </w:div>
        <w:div w:id="362170654">
          <w:marLeft w:val="360"/>
          <w:marRight w:val="0"/>
          <w:marTop w:val="200"/>
          <w:marBottom w:val="0"/>
          <w:divBdr>
            <w:top w:val="none" w:sz="0" w:space="0" w:color="auto"/>
            <w:left w:val="none" w:sz="0" w:space="0" w:color="auto"/>
            <w:bottom w:val="none" w:sz="0" w:space="0" w:color="auto"/>
            <w:right w:val="none" w:sz="0" w:space="0" w:color="auto"/>
          </w:divBdr>
        </w:div>
        <w:div w:id="365181788">
          <w:marLeft w:val="547"/>
          <w:marRight w:val="0"/>
          <w:marTop w:val="200"/>
          <w:marBottom w:val="0"/>
          <w:divBdr>
            <w:top w:val="none" w:sz="0" w:space="0" w:color="auto"/>
            <w:left w:val="none" w:sz="0" w:space="0" w:color="auto"/>
            <w:bottom w:val="none" w:sz="0" w:space="0" w:color="auto"/>
            <w:right w:val="none" w:sz="0" w:space="0" w:color="auto"/>
          </w:divBdr>
        </w:div>
        <w:div w:id="370617529">
          <w:marLeft w:val="547"/>
          <w:marRight w:val="0"/>
          <w:marTop w:val="200"/>
          <w:marBottom w:val="0"/>
          <w:divBdr>
            <w:top w:val="none" w:sz="0" w:space="0" w:color="auto"/>
            <w:left w:val="none" w:sz="0" w:space="0" w:color="auto"/>
            <w:bottom w:val="none" w:sz="0" w:space="0" w:color="auto"/>
            <w:right w:val="none" w:sz="0" w:space="0" w:color="auto"/>
          </w:divBdr>
        </w:div>
        <w:div w:id="412973232">
          <w:marLeft w:val="1440"/>
          <w:marRight w:val="0"/>
          <w:marTop w:val="100"/>
          <w:marBottom w:val="0"/>
          <w:divBdr>
            <w:top w:val="none" w:sz="0" w:space="0" w:color="auto"/>
            <w:left w:val="none" w:sz="0" w:space="0" w:color="auto"/>
            <w:bottom w:val="none" w:sz="0" w:space="0" w:color="auto"/>
            <w:right w:val="none" w:sz="0" w:space="0" w:color="auto"/>
          </w:divBdr>
        </w:div>
        <w:div w:id="533425626">
          <w:marLeft w:val="360"/>
          <w:marRight w:val="0"/>
          <w:marTop w:val="200"/>
          <w:marBottom w:val="0"/>
          <w:divBdr>
            <w:top w:val="none" w:sz="0" w:space="0" w:color="auto"/>
            <w:left w:val="none" w:sz="0" w:space="0" w:color="auto"/>
            <w:bottom w:val="none" w:sz="0" w:space="0" w:color="auto"/>
            <w:right w:val="none" w:sz="0" w:space="0" w:color="auto"/>
          </w:divBdr>
        </w:div>
        <w:div w:id="545994396">
          <w:marLeft w:val="360"/>
          <w:marRight w:val="0"/>
          <w:marTop w:val="200"/>
          <w:marBottom w:val="0"/>
          <w:divBdr>
            <w:top w:val="none" w:sz="0" w:space="0" w:color="auto"/>
            <w:left w:val="none" w:sz="0" w:space="0" w:color="auto"/>
            <w:bottom w:val="none" w:sz="0" w:space="0" w:color="auto"/>
            <w:right w:val="none" w:sz="0" w:space="0" w:color="auto"/>
          </w:divBdr>
        </w:div>
        <w:div w:id="628512257">
          <w:marLeft w:val="360"/>
          <w:marRight w:val="0"/>
          <w:marTop w:val="200"/>
          <w:marBottom w:val="0"/>
          <w:divBdr>
            <w:top w:val="none" w:sz="0" w:space="0" w:color="auto"/>
            <w:left w:val="none" w:sz="0" w:space="0" w:color="auto"/>
            <w:bottom w:val="none" w:sz="0" w:space="0" w:color="auto"/>
            <w:right w:val="none" w:sz="0" w:space="0" w:color="auto"/>
          </w:divBdr>
        </w:div>
        <w:div w:id="694310613">
          <w:marLeft w:val="1080"/>
          <w:marRight w:val="0"/>
          <w:marTop w:val="200"/>
          <w:marBottom w:val="0"/>
          <w:divBdr>
            <w:top w:val="none" w:sz="0" w:space="0" w:color="auto"/>
            <w:left w:val="none" w:sz="0" w:space="0" w:color="auto"/>
            <w:bottom w:val="none" w:sz="0" w:space="0" w:color="auto"/>
            <w:right w:val="none" w:sz="0" w:space="0" w:color="auto"/>
          </w:divBdr>
        </w:div>
        <w:div w:id="726415017">
          <w:marLeft w:val="547"/>
          <w:marRight w:val="0"/>
          <w:marTop w:val="200"/>
          <w:marBottom w:val="0"/>
          <w:divBdr>
            <w:top w:val="none" w:sz="0" w:space="0" w:color="auto"/>
            <w:left w:val="none" w:sz="0" w:space="0" w:color="auto"/>
            <w:bottom w:val="none" w:sz="0" w:space="0" w:color="auto"/>
            <w:right w:val="none" w:sz="0" w:space="0" w:color="auto"/>
          </w:divBdr>
        </w:div>
        <w:div w:id="735205537">
          <w:marLeft w:val="360"/>
          <w:marRight w:val="0"/>
          <w:marTop w:val="200"/>
          <w:marBottom w:val="0"/>
          <w:divBdr>
            <w:top w:val="none" w:sz="0" w:space="0" w:color="auto"/>
            <w:left w:val="none" w:sz="0" w:space="0" w:color="auto"/>
            <w:bottom w:val="none" w:sz="0" w:space="0" w:color="auto"/>
            <w:right w:val="none" w:sz="0" w:space="0" w:color="auto"/>
          </w:divBdr>
        </w:div>
        <w:div w:id="773136583">
          <w:marLeft w:val="360"/>
          <w:marRight w:val="0"/>
          <w:marTop w:val="200"/>
          <w:marBottom w:val="0"/>
          <w:divBdr>
            <w:top w:val="none" w:sz="0" w:space="0" w:color="auto"/>
            <w:left w:val="none" w:sz="0" w:space="0" w:color="auto"/>
            <w:bottom w:val="none" w:sz="0" w:space="0" w:color="auto"/>
            <w:right w:val="none" w:sz="0" w:space="0" w:color="auto"/>
          </w:divBdr>
        </w:div>
        <w:div w:id="775828694">
          <w:marLeft w:val="360"/>
          <w:marRight w:val="0"/>
          <w:marTop w:val="200"/>
          <w:marBottom w:val="0"/>
          <w:divBdr>
            <w:top w:val="none" w:sz="0" w:space="0" w:color="auto"/>
            <w:left w:val="none" w:sz="0" w:space="0" w:color="auto"/>
            <w:bottom w:val="none" w:sz="0" w:space="0" w:color="auto"/>
            <w:right w:val="none" w:sz="0" w:space="0" w:color="auto"/>
          </w:divBdr>
        </w:div>
        <w:div w:id="813137577">
          <w:marLeft w:val="547"/>
          <w:marRight w:val="0"/>
          <w:marTop w:val="200"/>
          <w:marBottom w:val="0"/>
          <w:divBdr>
            <w:top w:val="none" w:sz="0" w:space="0" w:color="auto"/>
            <w:left w:val="none" w:sz="0" w:space="0" w:color="auto"/>
            <w:bottom w:val="none" w:sz="0" w:space="0" w:color="auto"/>
            <w:right w:val="none" w:sz="0" w:space="0" w:color="auto"/>
          </w:divBdr>
        </w:div>
        <w:div w:id="817652725">
          <w:marLeft w:val="360"/>
          <w:marRight w:val="0"/>
          <w:marTop w:val="200"/>
          <w:marBottom w:val="0"/>
          <w:divBdr>
            <w:top w:val="none" w:sz="0" w:space="0" w:color="auto"/>
            <w:left w:val="none" w:sz="0" w:space="0" w:color="auto"/>
            <w:bottom w:val="none" w:sz="0" w:space="0" w:color="auto"/>
            <w:right w:val="none" w:sz="0" w:space="0" w:color="auto"/>
          </w:divBdr>
        </w:div>
        <w:div w:id="864832607">
          <w:marLeft w:val="1440"/>
          <w:marRight w:val="0"/>
          <w:marTop w:val="100"/>
          <w:marBottom w:val="0"/>
          <w:divBdr>
            <w:top w:val="none" w:sz="0" w:space="0" w:color="auto"/>
            <w:left w:val="none" w:sz="0" w:space="0" w:color="auto"/>
            <w:bottom w:val="none" w:sz="0" w:space="0" w:color="auto"/>
            <w:right w:val="none" w:sz="0" w:space="0" w:color="auto"/>
          </w:divBdr>
        </w:div>
        <w:div w:id="880870950">
          <w:marLeft w:val="1080"/>
          <w:marRight w:val="0"/>
          <w:marTop w:val="100"/>
          <w:marBottom w:val="0"/>
          <w:divBdr>
            <w:top w:val="none" w:sz="0" w:space="0" w:color="auto"/>
            <w:left w:val="none" w:sz="0" w:space="0" w:color="auto"/>
            <w:bottom w:val="none" w:sz="0" w:space="0" w:color="auto"/>
            <w:right w:val="none" w:sz="0" w:space="0" w:color="auto"/>
          </w:divBdr>
        </w:div>
        <w:div w:id="882399586">
          <w:marLeft w:val="360"/>
          <w:marRight w:val="0"/>
          <w:marTop w:val="200"/>
          <w:marBottom w:val="0"/>
          <w:divBdr>
            <w:top w:val="none" w:sz="0" w:space="0" w:color="auto"/>
            <w:left w:val="none" w:sz="0" w:space="0" w:color="auto"/>
            <w:bottom w:val="none" w:sz="0" w:space="0" w:color="auto"/>
            <w:right w:val="none" w:sz="0" w:space="0" w:color="auto"/>
          </w:divBdr>
        </w:div>
        <w:div w:id="909193078">
          <w:marLeft w:val="360"/>
          <w:marRight w:val="0"/>
          <w:marTop w:val="200"/>
          <w:marBottom w:val="0"/>
          <w:divBdr>
            <w:top w:val="none" w:sz="0" w:space="0" w:color="auto"/>
            <w:left w:val="none" w:sz="0" w:space="0" w:color="auto"/>
            <w:bottom w:val="none" w:sz="0" w:space="0" w:color="auto"/>
            <w:right w:val="none" w:sz="0" w:space="0" w:color="auto"/>
          </w:divBdr>
        </w:div>
        <w:div w:id="987638066">
          <w:marLeft w:val="360"/>
          <w:marRight w:val="0"/>
          <w:marTop w:val="200"/>
          <w:marBottom w:val="0"/>
          <w:divBdr>
            <w:top w:val="none" w:sz="0" w:space="0" w:color="auto"/>
            <w:left w:val="none" w:sz="0" w:space="0" w:color="auto"/>
            <w:bottom w:val="none" w:sz="0" w:space="0" w:color="auto"/>
            <w:right w:val="none" w:sz="0" w:space="0" w:color="auto"/>
          </w:divBdr>
        </w:div>
        <w:div w:id="1010595807">
          <w:marLeft w:val="360"/>
          <w:marRight w:val="0"/>
          <w:marTop w:val="200"/>
          <w:marBottom w:val="0"/>
          <w:divBdr>
            <w:top w:val="none" w:sz="0" w:space="0" w:color="auto"/>
            <w:left w:val="none" w:sz="0" w:space="0" w:color="auto"/>
            <w:bottom w:val="none" w:sz="0" w:space="0" w:color="auto"/>
            <w:right w:val="none" w:sz="0" w:space="0" w:color="auto"/>
          </w:divBdr>
        </w:div>
        <w:div w:id="1030033960">
          <w:marLeft w:val="1080"/>
          <w:marRight w:val="0"/>
          <w:marTop w:val="100"/>
          <w:marBottom w:val="0"/>
          <w:divBdr>
            <w:top w:val="none" w:sz="0" w:space="0" w:color="auto"/>
            <w:left w:val="none" w:sz="0" w:space="0" w:color="auto"/>
            <w:bottom w:val="none" w:sz="0" w:space="0" w:color="auto"/>
            <w:right w:val="none" w:sz="0" w:space="0" w:color="auto"/>
          </w:divBdr>
        </w:div>
        <w:div w:id="1046299152">
          <w:marLeft w:val="360"/>
          <w:marRight w:val="0"/>
          <w:marTop w:val="200"/>
          <w:marBottom w:val="0"/>
          <w:divBdr>
            <w:top w:val="none" w:sz="0" w:space="0" w:color="auto"/>
            <w:left w:val="none" w:sz="0" w:space="0" w:color="auto"/>
            <w:bottom w:val="none" w:sz="0" w:space="0" w:color="auto"/>
            <w:right w:val="none" w:sz="0" w:space="0" w:color="auto"/>
          </w:divBdr>
        </w:div>
        <w:div w:id="1052387181">
          <w:marLeft w:val="360"/>
          <w:marRight w:val="0"/>
          <w:marTop w:val="200"/>
          <w:marBottom w:val="0"/>
          <w:divBdr>
            <w:top w:val="none" w:sz="0" w:space="0" w:color="auto"/>
            <w:left w:val="none" w:sz="0" w:space="0" w:color="auto"/>
            <w:bottom w:val="none" w:sz="0" w:space="0" w:color="auto"/>
            <w:right w:val="none" w:sz="0" w:space="0" w:color="auto"/>
          </w:divBdr>
        </w:div>
        <w:div w:id="1078407209">
          <w:marLeft w:val="547"/>
          <w:marRight w:val="0"/>
          <w:marTop w:val="200"/>
          <w:marBottom w:val="0"/>
          <w:divBdr>
            <w:top w:val="none" w:sz="0" w:space="0" w:color="auto"/>
            <w:left w:val="none" w:sz="0" w:space="0" w:color="auto"/>
            <w:bottom w:val="none" w:sz="0" w:space="0" w:color="auto"/>
            <w:right w:val="none" w:sz="0" w:space="0" w:color="auto"/>
          </w:divBdr>
        </w:div>
        <w:div w:id="1116364634">
          <w:marLeft w:val="1440"/>
          <w:marRight w:val="0"/>
          <w:marTop w:val="100"/>
          <w:marBottom w:val="0"/>
          <w:divBdr>
            <w:top w:val="none" w:sz="0" w:space="0" w:color="auto"/>
            <w:left w:val="none" w:sz="0" w:space="0" w:color="auto"/>
            <w:bottom w:val="none" w:sz="0" w:space="0" w:color="auto"/>
            <w:right w:val="none" w:sz="0" w:space="0" w:color="auto"/>
          </w:divBdr>
        </w:div>
        <w:div w:id="1137189702">
          <w:marLeft w:val="360"/>
          <w:marRight w:val="0"/>
          <w:marTop w:val="200"/>
          <w:marBottom w:val="0"/>
          <w:divBdr>
            <w:top w:val="none" w:sz="0" w:space="0" w:color="auto"/>
            <w:left w:val="none" w:sz="0" w:space="0" w:color="auto"/>
            <w:bottom w:val="none" w:sz="0" w:space="0" w:color="auto"/>
            <w:right w:val="none" w:sz="0" w:space="0" w:color="auto"/>
          </w:divBdr>
        </w:div>
        <w:div w:id="1210067008">
          <w:marLeft w:val="360"/>
          <w:marRight w:val="0"/>
          <w:marTop w:val="200"/>
          <w:marBottom w:val="0"/>
          <w:divBdr>
            <w:top w:val="none" w:sz="0" w:space="0" w:color="auto"/>
            <w:left w:val="none" w:sz="0" w:space="0" w:color="auto"/>
            <w:bottom w:val="none" w:sz="0" w:space="0" w:color="auto"/>
            <w:right w:val="none" w:sz="0" w:space="0" w:color="auto"/>
          </w:divBdr>
        </w:div>
        <w:div w:id="1234508775">
          <w:marLeft w:val="547"/>
          <w:marRight w:val="0"/>
          <w:marTop w:val="200"/>
          <w:marBottom w:val="0"/>
          <w:divBdr>
            <w:top w:val="none" w:sz="0" w:space="0" w:color="auto"/>
            <w:left w:val="none" w:sz="0" w:space="0" w:color="auto"/>
            <w:bottom w:val="none" w:sz="0" w:space="0" w:color="auto"/>
            <w:right w:val="none" w:sz="0" w:space="0" w:color="auto"/>
          </w:divBdr>
        </w:div>
        <w:div w:id="1300263704">
          <w:marLeft w:val="1440"/>
          <w:marRight w:val="0"/>
          <w:marTop w:val="100"/>
          <w:marBottom w:val="0"/>
          <w:divBdr>
            <w:top w:val="none" w:sz="0" w:space="0" w:color="auto"/>
            <w:left w:val="none" w:sz="0" w:space="0" w:color="auto"/>
            <w:bottom w:val="none" w:sz="0" w:space="0" w:color="auto"/>
            <w:right w:val="none" w:sz="0" w:space="0" w:color="auto"/>
          </w:divBdr>
        </w:div>
        <w:div w:id="1350377103">
          <w:marLeft w:val="360"/>
          <w:marRight w:val="0"/>
          <w:marTop w:val="200"/>
          <w:marBottom w:val="0"/>
          <w:divBdr>
            <w:top w:val="none" w:sz="0" w:space="0" w:color="auto"/>
            <w:left w:val="none" w:sz="0" w:space="0" w:color="auto"/>
            <w:bottom w:val="none" w:sz="0" w:space="0" w:color="auto"/>
            <w:right w:val="none" w:sz="0" w:space="0" w:color="auto"/>
          </w:divBdr>
        </w:div>
        <w:div w:id="1357850156">
          <w:marLeft w:val="360"/>
          <w:marRight w:val="0"/>
          <w:marTop w:val="200"/>
          <w:marBottom w:val="0"/>
          <w:divBdr>
            <w:top w:val="none" w:sz="0" w:space="0" w:color="auto"/>
            <w:left w:val="none" w:sz="0" w:space="0" w:color="auto"/>
            <w:bottom w:val="none" w:sz="0" w:space="0" w:color="auto"/>
            <w:right w:val="none" w:sz="0" w:space="0" w:color="auto"/>
          </w:divBdr>
        </w:div>
        <w:div w:id="1367752430">
          <w:marLeft w:val="547"/>
          <w:marRight w:val="0"/>
          <w:marTop w:val="200"/>
          <w:marBottom w:val="0"/>
          <w:divBdr>
            <w:top w:val="none" w:sz="0" w:space="0" w:color="auto"/>
            <w:left w:val="none" w:sz="0" w:space="0" w:color="auto"/>
            <w:bottom w:val="none" w:sz="0" w:space="0" w:color="auto"/>
            <w:right w:val="none" w:sz="0" w:space="0" w:color="auto"/>
          </w:divBdr>
        </w:div>
        <w:div w:id="1400326649">
          <w:marLeft w:val="360"/>
          <w:marRight w:val="0"/>
          <w:marTop w:val="200"/>
          <w:marBottom w:val="0"/>
          <w:divBdr>
            <w:top w:val="none" w:sz="0" w:space="0" w:color="auto"/>
            <w:left w:val="none" w:sz="0" w:space="0" w:color="auto"/>
            <w:bottom w:val="none" w:sz="0" w:space="0" w:color="auto"/>
            <w:right w:val="none" w:sz="0" w:space="0" w:color="auto"/>
          </w:divBdr>
        </w:div>
        <w:div w:id="1416826477">
          <w:marLeft w:val="1440"/>
          <w:marRight w:val="0"/>
          <w:marTop w:val="100"/>
          <w:marBottom w:val="0"/>
          <w:divBdr>
            <w:top w:val="none" w:sz="0" w:space="0" w:color="auto"/>
            <w:left w:val="none" w:sz="0" w:space="0" w:color="auto"/>
            <w:bottom w:val="none" w:sz="0" w:space="0" w:color="auto"/>
            <w:right w:val="none" w:sz="0" w:space="0" w:color="auto"/>
          </w:divBdr>
        </w:div>
        <w:div w:id="1488280642">
          <w:marLeft w:val="360"/>
          <w:marRight w:val="0"/>
          <w:marTop w:val="200"/>
          <w:marBottom w:val="0"/>
          <w:divBdr>
            <w:top w:val="none" w:sz="0" w:space="0" w:color="auto"/>
            <w:left w:val="none" w:sz="0" w:space="0" w:color="auto"/>
            <w:bottom w:val="none" w:sz="0" w:space="0" w:color="auto"/>
            <w:right w:val="none" w:sz="0" w:space="0" w:color="auto"/>
          </w:divBdr>
        </w:div>
        <w:div w:id="1514222201">
          <w:marLeft w:val="360"/>
          <w:marRight w:val="0"/>
          <w:marTop w:val="200"/>
          <w:marBottom w:val="0"/>
          <w:divBdr>
            <w:top w:val="none" w:sz="0" w:space="0" w:color="auto"/>
            <w:left w:val="none" w:sz="0" w:space="0" w:color="auto"/>
            <w:bottom w:val="none" w:sz="0" w:space="0" w:color="auto"/>
            <w:right w:val="none" w:sz="0" w:space="0" w:color="auto"/>
          </w:divBdr>
        </w:div>
        <w:div w:id="1567185087">
          <w:marLeft w:val="1080"/>
          <w:marRight w:val="0"/>
          <w:marTop w:val="100"/>
          <w:marBottom w:val="0"/>
          <w:divBdr>
            <w:top w:val="none" w:sz="0" w:space="0" w:color="auto"/>
            <w:left w:val="none" w:sz="0" w:space="0" w:color="auto"/>
            <w:bottom w:val="none" w:sz="0" w:space="0" w:color="auto"/>
            <w:right w:val="none" w:sz="0" w:space="0" w:color="auto"/>
          </w:divBdr>
        </w:div>
        <w:div w:id="1596742363">
          <w:marLeft w:val="547"/>
          <w:marRight w:val="0"/>
          <w:marTop w:val="200"/>
          <w:marBottom w:val="0"/>
          <w:divBdr>
            <w:top w:val="none" w:sz="0" w:space="0" w:color="auto"/>
            <w:left w:val="none" w:sz="0" w:space="0" w:color="auto"/>
            <w:bottom w:val="none" w:sz="0" w:space="0" w:color="auto"/>
            <w:right w:val="none" w:sz="0" w:space="0" w:color="auto"/>
          </w:divBdr>
        </w:div>
        <w:div w:id="1691446863">
          <w:marLeft w:val="360"/>
          <w:marRight w:val="0"/>
          <w:marTop w:val="200"/>
          <w:marBottom w:val="0"/>
          <w:divBdr>
            <w:top w:val="none" w:sz="0" w:space="0" w:color="auto"/>
            <w:left w:val="none" w:sz="0" w:space="0" w:color="auto"/>
            <w:bottom w:val="none" w:sz="0" w:space="0" w:color="auto"/>
            <w:right w:val="none" w:sz="0" w:space="0" w:color="auto"/>
          </w:divBdr>
        </w:div>
        <w:div w:id="1734042472">
          <w:marLeft w:val="1080"/>
          <w:marRight w:val="0"/>
          <w:marTop w:val="100"/>
          <w:marBottom w:val="0"/>
          <w:divBdr>
            <w:top w:val="none" w:sz="0" w:space="0" w:color="auto"/>
            <w:left w:val="none" w:sz="0" w:space="0" w:color="auto"/>
            <w:bottom w:val="none" w:sz="0" w:space="0" w:color="auto"/>
            <w:right w:val="none" w:sz="0" w:space="0" w:color="auto"/>
          </w:divBdr>
        </w:div>
        <w:div w:id="1736313883">
          <w:marLeft w:val="360"/>
          <w:marRight w:val="0"/>
          <w:marTop w:val="200"/>
          <w:marBottom w:val="0"/>
          <w:divBdr>
            <w:top w:val="none" w:sz="0" w:space="0" w:color="auto"/>
            <w:left w:val="none" w:sz="0" w:space="0" w:color="auto"/>
            <w:bottom w:val="none" w:sz="0" w:space="0" w:color="auto"/>
            <w:right w:val="none" w:sz="0" w:space="0" w:color="auto"/>
          </w:divBdr>
        </w:div>
        <w:div w:id="1771512725">
          <w:marLeft w:val="360"/>
          <w:marRight w:val="0"/>
          <w:marTop w:val="200"/>
          <w:marBottom w:val="0"/>
          <w:divBdr>
            <w:top w:val="none" w:sz="0" w:space="0" w:color="auto"/>
            <w:left w:val="none" w:sz="0" w:space="0" w:color="auto"/>
            <w:bottom w:val="none" w:sz="0" w:space="0" w:color="auto"/>
            <w:right w:val="none" w:sz="0" w:space="0" w:color="auto"/>
          </w:divBdr>
        </w:div>
        <w:div w:id="1780023497">
          <w:marLeft w:val="360"/>
          <w:marRight w:val="0"/>
          <w:marTop w:val="200"/>
          <w:marBottom w:val="0"/>
          <w:divBdr>
            <w:top w:val="none" w:sz="0" w:space="0" w:color="auto"/>
            <w:left w:val="none" w:sz="0" w:space="0" w:color="auto"/>
            <w:bottom w:val="none" w:sz="0" w:space="0" w:color="auto"/>
            <w:right w:val="none" w:sz="0" w:space="0" w:color="auto"/>
          </w:divBdr>
        </w:div>
        <w:div w:id="1894803778">
          <w:marLeft w:val="1080"/>
          <w:marRight w:val="0"/>
          <w:marTop w:val="100"/>
          <w:marBottom w:val="0"/>
          <w:divBdr>
            <w:top w:val="none" w:sz="0" w:space="0" w:color="auto"/>
            <w:left w:val="none" w:sz="0" w:space="0" w:color="auto"/>
            <w:bottom w:val="none" w:sz="0" w:space="0" w:color="auto"/>
            <w:right w:val="none" w:sz="0" w:space="0" w:color="auto"/>
          </w:divBdr>
        </w:div>
        <w:div w:id="1915510190">
          <w:marLeft w:val="1440"/>
          <w:marRight w:val="0"/>
          <w:marTop w:val="100"/>
          <w:marBottom w:val="0"/>
          <w:divBdr>
            <w:top w:val="none" w:sz="0" w:space="0" w:color="auto"/>
            <w:left w:val="none" w:sz="0" w:space="0" w:color="auto"/>
            <w:bottom w:val="none" w:sz="0" w:space="0" w:color="auto"/>
            <w:right w:val="none" w:sz="0" w:space="0" w:color="auto"/>
          </w:divBdr>
        </w:div>
        <w:div w:id="1928148903">
          <w:marLeft w:val="360"/>
          <w:marRight w:val="0"/>
          <w:marTop w:val="200"/>
          <w:marBottom w:val="0"/>
          <w:divBdr>
            <w:top w:val="none" w:sz="0" w:space="0" w:color="auto"/>
            <w:left w:val="none" w:sz="0" w:space="0" w:color="auto"/>
            <w:bottom w:val="none" w:sz="0" w:space="0" w:color="auto"/>
            <w:right w:val="none" w:sz="0" w:space="0" w:color="auto"/>
          </w:divBdr>
        </w:div>
        <w:div w:id="1956673385">
          <w:marLeft w:val="1440"/>
          <w:marRight w:val="0"/>
          <w:marTop w:val="100"/>
          <w:marBottom w:val="0"/>
          <w:divBdr>
            <w:top w:val="none" w:sz="0" w:space="0" w:color="auto"/>
            <w:left w:val="none" w:sz="0" w:space="0" w:color="auto"/>
            <w:bottom w:val="none" w:sz="0" w:space="0" w:color="auto"/>
            <w:right w:val="none" w:sz="0" w:space="0" w:color="auto"/>
          </w:divBdr>
        </w:div>
        <w:div w:id="1979995012">
          <w:marLeft w:val="1440"/>
          <w:marRight w:val="0"/>
          <w:marTop w:val="100"/>
          <w:marBottom w:val="0"/>
          <w:divBdr>
            <w:top w:val="none" w:sz="0" w:space="0" w:color="auto"/>
            <w:left w:val="none" w:sz="0" w:space="0" w:color="auto"/>
            <w:bottom w:val="none" w:sz="0" w:space="0" w:color="auto"/>
            <w:right w:val="none" w:sz="0" w:space="0" w:color="auto"/>
          </w:divBdr>
        </w:div>
        <w:div w:id="2051758059">
          <w:marLeft w:val="547"/>
          <w:marRight w:val="0"/>
          <w:marTop w:val="200"/>
          <w:marBottom w:val="0"/>
          <w:divBdr>
            <w:top w:val="none" w:sz="0" w:space="0" w:color="auto"/>
            <w:left w:val="none" w:sz="0" w:space="0" w:color="auto"/>
            <w:bottom w:val="none" w:sz="0" w:space="0" w:color="auto"/>
            <w:right w:val="none" w:sz="0" w:space="0" w:color="auto"/>
          </w:divBdr>
        </w:div>
        <w:div w:id="2061783533">
          <w:marLeft w:val="360"/>
          <w:marRight w:val="0"/>
          <w:marTop w:val="200"/>
          <w:marBottom w:val="0"/>
          <w:divBdr>
            <w:top w:val="none" w:sz="0" w:space="0" w:color="auto"/>
            <w:left w:val="none" w:sz="0" w:space="0" w:color="auto"/>
            <w:bottom w:val="none" w:sz="0" w:space="0" w:color="auto"/>
            <w:right w:val="none" w:sz="0" w:space="0" w:color="auto"/>
          </w:divBdr>
        </w:div>
        <w:div w:id="2105877952">
          <w:marLeft w:val="360"/>
          <w:marRight w:val="0"/>
          <w:marTop w:val="200"/>
          <w:marBottom w:val="0"/>
          <w:divBdr>
            <w:top w:val="none" w:sz="0" w:space="0" w:color="auto"/>
            <w:left w:val="none" w:sz="0" w:space="0" w:color="auto"/>
            <w:bottom w:val="none" w:sz="0" w:space="0" w:color="auto"/>
            <w:right w:val="none" w:sz="0" w:space="0" w:color="auto"/>
          </w:divBdr>
        </w:div>
        <w:div w:id="2110467303">
          <w:marLeft w:val="1440"/>
          <w:marRight w:val="0"/>
          <w:marTop w:val="100"/>
          <w:marBottom w:val="0"/>
          <w:divBdr>
            <w:top w:val="none" w:sz="0" w:space="0" w:color="auto"/>
            <w:left w:val="none" w:sz="0" w:space="0" w:color="auto"/>
            <w:bottom w:val="none" w:sz="0" w:space="0" w:color="auto"/>
            <w:right w:val="none" w:sz="0" w:space="0" w:color="auto"/>
          </w:divBdr>
        </w:div>
      </w:divsChild>
    </w:div>
    <w:div w:id="2127193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microsoft.com/office/2007/relationships/diagramDrawing" Target="diagrams/drawing1.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diagramQuickStyle" Target="diagrams/quickStyle1.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Layout" Target="diagrams/layout1.xm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ETZ\Documents\02_Aout-Sept-Arborescence-ICN\ICN-Goetz-4.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8FB7AA3-BEC7-4187-88F8-AA65DF4B38B9}" type="doc">
      <dgm:prSet loTypeId="urn:microsoft.com/office/officeart/2005/8/layout/radial1" loCatId="relationship" qsTypeId="urn:microsoft.com/office/officeart/2005/8/quickstyle/simple1" qsCatId="simple" csTypeId="urn:microsoft.com/office/officeart/2005/8/colors/accent1_2" csCatId="accent1" phldr="1"/>
      <dgm:spPr/>
      <dgm:t>
        <a:bodyPr/>
        <a:lstStyle/>
        <a:p>
          <a:endParaRPr lang="en-US"/>
        </a:p>
      </dgm:t>
    </dgm:pt>
    <dgm:pt modelId="{44AD5356-41F0-4C42-B450-D5A0598054D6}">
      <dgm:prSet phldrT="[Texte]"/>
      <dgm:spPr/>
      <dgm:t>
        <a:bodyPr/>
        <a:lstStyle/>
        <a:p>
          <a:r>
            <a:rPr lang="en-US" dirty="0"/>
            <a:t>CIBLES</a:t>
          </a:r>
        </a:p>
      </dgm:t>
    </dgm:pt>
    <dgm:pt modelId="{6A423E94-8691-4847-B5DB-BDFC3A107E12}" type="parTrans" cxnId="{E2E70E5B-B7E7-4C4A-93F1-03943E5C046E}">
      <dgm:prSet/>
      <dgm:spPr/>
      <dgm:t>
        <a:bodyPr/>
        <a:lstStyle/>
        <a:p>
          <a:endParaRPr lang="en-US"/>
        </a:p>
      </dgm:t>
    </dgm:pt>
    <dgm:pt modelId="{5FE60F87-2226-45C1-BA09-5266B14D1394}" type="sibTrans" cxnId="{E2E70E5B-B7E7-4C4A-93F1-03943E5C046E}">
      <dgm:prSet/>
      <dgm:spPr/>
      <dgm:t>
        <a:bodyPr/>
        <a:lstStyle/>
        <a:p>
          <a:endParaRPr lang="en-US"/>
        </a:p>
      </dgm:t>
    </dgm:pt>
    <dgm:pt modelId="{095E64F9-0EAC-4F06-A391-7A2AE3F4901F}">
      <dgm:prSet phldrT="[Texte]" custT="1"/>
      <dgm:spPr>
        <a:solidFill>
          <a:schemeClr val="accent3"/>
        </a:solidFill>
      </dgm:spPr>
      <dgm:t>
        <a:bodyPr/>
        <a:lstStyle/>
        <a:p>
          <a:r>
            <a:rPr lang="fr-BE" sz="1400" dirty="0"/>
            <a:t>Populations </a:t>
          </a:r>
          <a:r>
            <a:rPr lang="en-US" sz="1400" dirty="0" err="1"/>
            <a:t>clés</a:t>
          </a:r>
          <a:r>
            <a:rPr lang="en-US" sz="1400" dirty="0"/>
            <a:t>: PS, HSH</a:t>
          </a:r>
        </a:p>
      </dgm:t>
    </dgm:pt>
    <dgm:pt modelId="{C3B42D65-F7FE-4765-90FA-270B5F84EA9F}" type="parTrans" cxnId="{60F8286D-EB26-4B1B-BBE0-50ECC2155866}">
      <dgm:prSet/>
      <dgm:spPr/>
      <dgm:t>
        <a:bodyPr/>
        <a:lstStyle/>
        <a:p>
          <a:endParaRPr lang="en-US"/>
        </a:p>
      </dgm:t>
    </dgm:pt>
    <dgm:pt modelId="{5FFEF50B-9C31-4CD2-AD4D-489C7A5DD3FB}" type="sibTrans" cxnId="{60F8286D-EB26-4B1B-BBE0-50ECC2155866}">
      <dgm:prSet/>
      <dgm:spPr/>
      <dgm:t>
        <a:bodyPr/>
        <a:lstStyle/>
        <a:p>
          <a:endParaRPr lang="en-US"/>
        </a:p>
      </dgm:t>
    </dgm:pt>
    <dgm:pt modelId="{CAE118F1-CEE1-4814-AE5D-31C54649BFDE}">
      <dgm:prSet phldrT="[Texte]" custT="1"/>
      <dgm:spPr>
        <a:solidFill>
          <a:schemeClr val="accent4">
            <a:lumMod val="75000"/>
          </a:schemeClr>
        </a:solidFill>
      </dgm:spPr>
      <dgm:t>
        <a:bodyPr/>
        <a:lstStyle/>
        <a:p>
          <a:r>
            <a:rPr lang="fr-FR" sz="1400" dirty="0"/>
            <a:t>Coinfecté</a:t>
          </a:r>
          <a:r>
            <a:rPr lang="fr-BE" sz="1400" dirty="0"/>
            <a:t>s TB-VIH</a:t>
          </a:r>
          <a:endParaRPr lang="en-US" sz="1400" dirty="0"/>
        </a:p>
      </dgm:t>
    </dgm:pt>
    <dgm:pt modelId="{7FA9F086-2895-407B-A1AF-A66D1D5DF4FE}" type="parTrans" cxnId="{AE2A3348-581B-4465-9459-9ED8AD09E18D}">
      <dgm:prSet/>
      <dgm:spPr/>
      <dgm:t>
        <a:bodyPr/>
        <a:lstStyle/>
        <a:p>
          <a:endParaRPr lang="en-US"/>
        </a:p>
      </dgm:t>
    </dgm:pt>
    <dgm:pt modelId="{5A6061E9-CB4B-4477-B393-653C374730DC}" type="sibTrans" cxnId="{AE2A3348-581B-4465-9459-9ED8AD09E18D}">
      <dgm:prSet/>
      <dgm:spPr/>
      <dgm:t>
        <a:bodyPr/>
        <a:lstStyle/>
        <a:p>
          <a:endParaRPr lang="en-US"/>
        </a:p>
      </dgm:t>
    </dgm:pt>
    <dgm:pt modelId="{9303EFE2-5F2D-49A5-B084-9664C3DCE6F6}">
      <dgm:prSet phldrT="[Texte]" custT="1"/>
      <dgm:spPr>
        <a:solidFill>
          <a:schemeClr val="accent6"/>
        </a:solidFill>
      </dgm:spPr>
      <dgm:t>
        <a:bodyPr/>
        <a:lstStyle/>
        <a:p>
          <a:r>
            <a:rPr lang="fr-BE" sz="1200" dirty="0"/>
            <a:t>Populations vulnérables: </a:t>
          </a:r>
          <a:r>
            <a:rPr lang="en-US" sz="1200" dirty="0" err="1"/>
            <a:t>prisonniers</a:t>
          </a:r>
          <a:r>
            <a:rPr lang="en-US" sz="1200" dirty="0"/>
            <a:t>, </a:t>
          </a:r>
          <a:r>
            <a:rPr lang="en-US" sz="1200" dirty="0" err="1"/>
            <a:t>miniers</a:t>
          </a:r>
          <a:r>
            <a:rPr lang="en-US" sz="1200" dirty="0"/>
            <a:t>, </a:t>
          </a:r>
          <a:r>
            <a:rPr lang="en-US" sz="1200" dirty="0" err="1"/>
            <a:t>routiers</a:t>
          </a:r>
          <a:r>
            <a:rPr lang="en-US" sz="1200" dirty="0"/>
            <a:t>, </a:t>
          </a:r>
          <a:r>
            <a:rPr lang="en-US" sz="1200" dirty="0" err="1"/>
            <a:t>pêcheurs</a:t>
          </a:r>
          <a:r>
            <a:rPr lang="en-US" sz="1200" dirty="0"/>
            <a:t>, HFU, enfant, adolescents –</a:t>
          </a:r>
          <a:r>
            <a:rPr lang="en-US" sz="1200" dirty="0" err="1"/>
            <a:t>Jeunes</a:t>
          </a:r>
          <a:endParaRPr lang="en-US" sz="1200" dirty="0"/>
        </a:p>
      </dgm:t>
    </dgm:pt>
    <dgm:pt modelId="{7BE86606-8DCD-4974-952F-BB859A1E52BC}" type="parTrans" cxnId="{2AD2A3DA-C086-48E3-B76F-76FA31C22F36}">
      <dgm:prSet/>
      <dgm:spPr/>
      <dgm:t>
        <a:bodyPr/>
        <a:lstStyle/>
        <a:p>
          <a:endParaRPr lang="en-US"/>
        </a:p>
      </dgm:t>
    </dgm:pt>
    <dgm:pt modelId="{571D9D28-FF79-402D-898A-F3C2D7FDB67A}" type="sibTrans" cxnId="{2AD2A3DA-C086-48E3-B76F-76FA31C22F36}">
      <dgm:prSet/>
      <dgm:spPr/>
      <dgm:t>
        <a:bodyPr/>
        <a:lstStyle/>
        <a:p>
          <a:endParaRPr lang="en-US"/>
        </a:p>
      </dgm:t>
    </dgm:pt>
    <dgm:pt modelId="{6BE8A80D-A1C9-45AD-BFA4-2ACD41BBE591}">
      <dgm:prSet phldrT="[Texte]" custT="1"/>
      <dgm:spPr>
        <a:solidFill>
          <a:schemeClr val="accent2"/>
        </a:solidFill>
      </dgm:spPr>
      <dgm:t>
        <a:bodyPr/>
        <a:lstStyle/>
        <a:p>
          <a:r>
            <a:rPr lang="en-US" sz="2000" b="1" dirty="0"/>
            <a:t>PVVIH</a:t>
          </a:r>
        </a:p>
      </dgm:t>
    </dgm:pt>
    <dgm:pt modelId="{11D9EB57-3D20-478B-9116-3FD6A8BE8F0C}" type="parTrans" cxnId="{A25EDC49-F8BB-4D2C-85E8-79C9BFE8FDD8}">
      <dgm:prSet/>
      <dgm:spPr/>
      <dgm:t>
        <a:bodyPr/>
        <a:lstStyle/>
        <a:p>
          <a:endParaRPr lang="en-US"/>
        </a:p>
      </dgm:t>
    </dgm:pt>
    <dgm:pt modelId="{6F76769C-1468-44EE-A6C8-65902D41CC0A}" type="sibTrans" cxnId="{A25EDC49-F8BB-4D2C-85E8-79C9BFE8FDD8}">
      <dgm:prSet/>
      <dgm:spPr/>
      <dgm:t>
        <a:bodyPr/>
        <a:lstStyle/>
        <a:p>
          <a:endParaRPr lang="en-US"/>
        </a:p>
      </dgm:t>
    </dgm:pt>
    <dgm:pt modelId="{C6DDAD3F-6B5F-4FBB-83FC-D3EA765DA915}">
      <dgm:prSet custT="1"/>
      <dgm:spPr>
        <a:solidFill>
          <a:srgbClr val="00B050"/>
        </a:solidFill>
      </dgm:spPr>
      <dgm:t>
        <a:bodyPr/>
        <a:lstStyle/>
        <a:p>
          <a:r>
            <a:rPr lang="fr-BE" sz="1400"/>
            <a:t>Population générale</a:t>
          </a:r>
          <a:endParaRPr lang="en-US" sz="1400" dirty="0"/>
        </a:p>
      </dgm:t>
    </dgm:pt>
    <dgm:pt modelId="{7D3F8BDF-8CC4-4D6E-9B53-856F5C9332CE}" type="parTrans" cxnId="{A2EFF09B-80D9-40F6-9365-6EAEE37B5F7F}">
      <dgm:prSet/>
      <dgm:spPr/>
      <dgm:t>
        <a:bodyPr/>
        <a:lstStyle/>
        <a:p>
          <a:endParaRPr lang="en-US"/>
        </a:p>
      </dgm:t>
    </dgm:pt>
    <dgm:pt modelId="{93C3CBE5-CA78-4E24-9573-0C2580D3AD7C}" type="sibTrans" cxnId="{A2EFF09B-80D9-40F6-9365-6EAEE37B5F7F}">
      <dgm:prSet/>
      <dgm:spPr/>
      <dgm:t>
        <a:bodyPr/>
        <a:lstStyle/>
        <a:p>
          <a:endParaRPr lang="en-US"/>
        </a:p>
      </dgm:t>
    </dgm:pt>
    <dgm:pt modelId="{4FC7AE37-68ED-427D-8DDC-8BF92A5A95D9}">
      <dgm:prSet custT="1"/>
      <dgm:spPr/>
      <dgm:t>
        <a:bodyPr/>
        <a:lstStyle/>
        <a:p>
          <a:r>
            <a:rPr lang="en-US" sz="1400" dirty="0"/>
            <a:t>Patients TB</a:t>
          </a:r>
          <a:endParaRPr lang="fr-FR" sz="1400" dirty="0"/>
        </a:p>
      </dgm:t>
    </dgm:pt>
    <dgm:pt modelId="{C721415E-DB50-4FCE-8382-2F82AFAB31F3}" type="parTrans" cxnId="{E6EB7114-DE7A-43E6-85A8-2EEA5E2C28BE}">
      <dgm:prSet/>
      <dgm:spPr/>
      <dgm:t>
        <a:bodyPr/>
        <a:lstStyle/>
        <a:p>
          <a:endParaRPr lang="fr-FR"/>
        </a:p>
      </dgm:t>
    </dgm:pt>
    <dgm:pt modelId="{4808DE5A-8E2B-43A9-8FE9-F68A60A01529}" type="sibTrans" cxnId="{E6EB7114-DE7A-43E6-85A8-2EEA5E2C28BE}">
      <dgm:prSet/>
      <dgm:spPr/>
      <dgm:t>
        <a:bodyPr/>
        <a:lstStyle/>
        <a:p>
          <a:endParaRPr lang="fr-FR"/>
        </a:p>
      </dgm:t>
    </dgm:pt>
    <dgm:pt modelId="{4AD10F0F-724B-4461-A991-220404AFA305}" type="pres">
      <dgm:prSet presAssocID="{08FB7AA3-BEC7-4187-88F8-AA65DF4B38B9}" presName="cycle" presStyleCnt="0">
        <dgm:presLayoutVars>
          <dgm:chMax val="1"/>
          <dgm:dir/>
          <dgm:animLvl val="ctr"/>
          <dgm:resizeHandles val="exact"/>
        </dgm:presLayoutVars>
      </dgm:prSet>
      <dgm:spPr/>
    </dgm:pt>
    <dgm:pt modelId="{830BEFE1-A237-4846-B480-E1DC7B404317}" type="pres">
      <dgm:prSet presAssocID="{44AD5356-41F0-4C42-B450-D5A0598054D6}" presName="centerShape" presStyleLbl="node0" presStyleIdx="0" presStyleCnt="1"/>
      <dgm:spPr/>
    </dgm:pt>
    <dgm:pt modelId="{5262D2D6-D7B2-4F9F-B4AA-54BCACC3AF90}" type="pres">
      <dgm:prSet presAssocID="{C3B42D65-F7FE-4765-90FA-270B5F84EA9F}" presName="Name9" presStyleLbl="parChTrans1D2" presStyleIdx="0" presStyleCnt="6"/>
      <dgm:spPr/>
    </dgm:pt>
    <dgm:pt modelId="{E32003BF-71AC-453A-8F53-63407A792D79}" type="pres">
      <dgm:prSet presAssocID="{C3B42D65-F7FE-4765-90FA-270B5F84EA9F}" presName="connTx" presStyleLbl="parChTrans1D2" presStyleIdx="0" presStyleCnt="6"/>
      <dgm:spPr/>
    </dgm:pt>
    <dgm:pt modelId="{AB85BD81-2986-45CF-BF77-BCE92E75A2B0}" type="pres">
      <dgm:prSet presAssocID="{095E64F9-0EAC-4F06-A391-7A2AE3F4901F}" presName="node" presStyleLbl="node1" presStyleIdx="0" presStyleCnt="6">
        <dgm:presLayoutVars>
          <dgm:bulletEnabled val="1"/>
        </dgm:presLayoutVars>
      </dgm:prSet>
      <dgm:spPr/>
    </dgm:pt>
    <dgm:pt modelId="{B1D2EF8E-F487-48EA-AD9C-EDA74F89E216}" type="pres">
      <dgm:prSet presAssocID="{7FA9F086-2895-407B-A1AF-A66D1D5DF4FE}" presName="Name9" presStyleLbl="parChTrans1D2" presStyleIdx="1" presStyleCnt="6"/>
      <dgm:spPr/>
    </dgm:pt>
    <dgm:pt modelId="{A0938C75-6F08-4734-83E4-3A2F9C2C219B}" type="pres">
      <dgm:prSet presAssocID="{7FA9F086-2895-407B-A1AF-A66D1D5DF4FE}" presName="connTx" presStyleLbl="parChTrans1D2" presStyleIdx="1" presStyleCnt="6"/>
      <dgm:spPr/>
    </dgm:pt>
    <dgm:pt modelId="{986A248C-B965-4EB2-BE3A-4471BED98174}" type="pres">
      <dgm:prSet presAssocID="{CAE118F1-CEE1-4814-AE5D-31C54649BFDE}" presName="node" presStyleLbl="node1" presStyleIdx="1" presStyleCnt="6">
        <dgm:presLayoutVars>
          <dgm:bulletEnabled val="1"/>
        </dgm:presLayoutVars>
      </dgm:prSet>
      <dgm:spPr/>
    </dgm:pt>
    <dgm:pt modelId="{71246665-5537-406F-9BE8-0AB716DC995D}" type="pres">
      <dgm:prSet presAssocID="{7BE86606-8DCD-4974-952F-BB859A1E52BC}" presName="Name9" presStyleLbl="parChTrans1D2" presStyleIdx="2" presStyleCnt="6"/>
      <dgm:spPr/>
    </dgm:pt>
    <dgm:pt modelId="{465FD706-A911-4568-A9B5-E3D75907C6EC}" type="pres">
      <dgm:prSet presAssocID="{7BE86606-8DCD-4974-952F-BB859A1E52BC}" presName="connTx" presStyleLbl="parChTrans1D2" presStyleIdx="2" presStyleCnt="6"/>
      <dgm:spPr/>
    </dgm:pt>
    <dgm:pt modelId="{F98AFC63-6551-43BB-9017-FF5BB62EE236}" type="pres">
      <dgm:prSet presAssocID="{9303EFE2-5F2D-49A5-B084-9664C3DCE6F6}" presName="node" presStyleLbl="node1" presStyleIdx="2" presStyleCnt="6" custScaleX="186629" custScaleY="124553" custRadScaleRad="113249" custRadScaleInc="-7511">
        <dgm:presLayoutVars>
          <dgm:bulletEnabled val="1"/>
        </dgm:presLayoutVars>
      </dgm:prSet>
      <dgm:spPr/>
    </dgm:pt>
    <dgm:pt modelId="{2174FC53-6721-4D09-AD9C-2B2F55F2236A}" type="pres">
      <dgm:prSet presAssocID="{7D3F8BDF-8CC4-4D6E-9B53-856F5C9332CE}" presName="Name9" presStyleLbl="parChTrans1D2" presStyleIdx="3" presStyleCnt="6"/>
      <dgm:spPr/>
    </dgm:pt>
    <dgm:pt modelId="{1674BB05-4965-488A-B38F-D716A67F2FBF}" type="pres">
      <dgm:prSet presAssocID="{7D3F8BDF-8CC4-4D6E-9B53-856F5C9332CE}" presName="connTx" presStyleLbl="parChTrans1D2" presStyleIdx="3" presStyleCnt="6"/>
      <dgm:spPr/>
    </dgm:pt>
    <dgm:pt modelId="{418B91BA-A4BE-469A-B665-42C47DC1F61E}" type="pres">
      <dgm:prSet presAssocID="{C6DDAD3F-6B5F-4FBB-83FC-D3EA765DA915}" presName="node" presStyleLbl="node1" presStyleIdx="3" presStyleCnt="6">
        <dgm:presLayoutVars>
          <dgm:bulletEnabled val="1"/>
        </dgm:presLayoutVars>
      </dgm:prSet>
      <dgm:spPr/>
    </dgm:pt>
    <dgm:pt modelId="{A1CA621B-3FC9-4D33-8EF5-04BB2A8FFFDD}" type="pres">
      <dgm:prSet presAssocID="{11D9EB57-3D20-478B-9116-3FD6A8BE8F0C}" presName="Name9" presStyleLbl="parChTrans1D2" presStyleIdx="4" presStyleCnt="6"/>
      <dgm:spPr/>
    </dgm:pt>
    <dgm:pt modelId="{CD48234C-0E8A-40CB-9DA6-83911C63E236}" type="pres">
      <dgm:prSet presAssocID="{11D9EB57-3D20-478B-9116-3FD6A8BE8F0C}" presName="connTx" presStyleLbl="parChTrans1D2" presStyleIdx="4" presStyleCnt="6"/>
      <dgm:spPr/>
    </dgm:pt>
    <dgm:pt modelId="{B2C4C2DC-4183-4B0B-92E7-A7653B6BC89D}" type="pres">
      <dgm:prSet presAssocID="{6BE8A80D-A1C9-45AD-BFA4-2ACD41BBE591}" presName="node" presStyleLbl="node1" presStyleIdx="4" presStyleCnt="6">
        <dgm:presLayoutVars>
          <dgm:bulletEnabled val="1"/>
        </dgm:presLayoutVars>
      </dgm:prSet>
      <dgm:spPr/>
    </dgm:pt>
    <dgm:pt modelId="{7C555987-9FCE-4E29-A9A3-D212B2C069C6}" type="pres">
      <dgm:prSet presAssocID="{C721415E-DB50-4FCE-8382-2F82AFAB31F3}" presName="Name9" presStyleLbl="parChTrans1D2" presStyleIdx="5" presStyleCnt="6"/>
      <dgm:spPr/>
    </dgm:pt>
    <dgm:pt modelId="{80A3A08F-CD94-46C3-8598-8F50111E214D}" type="pres">
      <dgm:prSet presAssocID="{C721415E-DB50-4FCE-8382-2F82AFAB31F3}" presName="connTx" presStyleLbl="parChTrans1D2" presStyleIdx="5" presStyleCnt="6"/>
      <dgm:spPr/>
    </dgm:pt>
    <dgm:pt modelId="{23B71838-B29B-49EF-8073-FA2D0B064E8B}" type="pres">
      <dgm:prSet presAssocID="{4FC7AE37-68ED-427D-8DDC-8BF92A5A95D9}" presName="node" presStyleLbl="node1" presStyleIdx="5" presStyleCnt="6" custRadScaleRad="97287" custRadScaleInc="-1428">
        <dgm:presLayoutVars>
          <dgm:bulletEnabled val="1"/>
        </dgm:presLayoutVars>
      </dgm:prSet>
      <dgm:spPr/>
    </dgm:pt>
  </dgm:ptLst>
  <dgm:cxnLst>
    <dgm:cxn modelId="{21EF4A11-AF96-41CD-ADCA-7E58AE82F4EF}" type="presOf" srcId="{7BE86606-8DCD-4974-952F-BB859A1E52BC}" destId="{465FD706-A911-4568-A9B5-E3D75907C6EC}" srcOrd="1" destOrd="0" presId="urn:microsoft.com/office/officeart/2005/8/layout/radial1"/>
    <dgm:cxn modelId="{84D37811-19A8-4039-81BE-F17BA1C1A35D}" type="presOf" srcId="{11D9EB57-3D20-478B-9116-3FD6A8BE8F0C}" destId="{CD48234C-0E8A-40CB-9DA6-83911C63E236}" srcOrd="1" destOrd="0" presId="urn:microsoft.com/office/officeart/2005/8/layout/radial1"/>
    <dgm:cxn modelId="{7F9A0813-FBC2-4B42-833F-04C66A61A084}" type="presOf" srcId="{7FA9F086-2895-407B-A1AF-A66D1D5DF4FE}" destId="{B1D2EF8E-F487-48EA-AD9C-EDA74F89E216}" srcOrd="0" destOrd="0" presId="urn:microsoft.com/office/officeart/2005/8/layout/radial1"/>
    <dgm:cxn modelId="{E6EB7114-DE7A-43E6-85A8-2EEA5E2C28BE}" srcId="{44AD5356-41F0-4C42-B450-D5A0598054D6}" destId="{4FC7AE37-68ED-427D-8DDC-8BF92A5A95D9}" srcOrd="5" destOrd="0" parTransId="{C721415E-DB50-4FCE-8382-2F82AFAB31F3}" sibTransId="{4808DE5A-8E2B-43A9-8FE9-F68A60A01529}"/>
    <dgm:cxn modelId="{4BA16C1A-0543-4551-BF41-7AF4E7E89BCB}" type="presOf" srcId="{7BE86606-8DCD-4974-952F-BB859A1E52BC}" destId="{71246665-5537-406F-9BE8-0AB716DC995D}" srcOrd="0" destOrd="0" presId="urn:microsoft.com/office/officeart/2005/8/layout/radial1"/>
    <dgm:cxn modelId="{9B139E20-993E-413F-ADC6-1F44CB8D217D}" type="presOf" srcId="{6BE8A80D-A1C9-45AD-BFA4-2ACD41BBE591}" destId="{B2C4C2DC-4183-4B0B-92E7-A7653B6BC89D}" srcOrd="0" destOrd="0" presId="urn:microsoft.com/office/officeart/2005/8/layout/radial1"/>
    <dgm:cxn modelId="{8394BD36-F7B5-440D-8E31-B384BD1426F7}" type="presOf" srcId="{C6DDAD3F-6B5F-4FBB-83FC-D3EA765DA915}" destId="{418B91BA-A4BE-469A-B665-42C47DC1F61E}" srcOrd="0" destOrd="0" presId="urn:microsoft.com/office/officeart/2005/8/layout/radial1"/>
    <dgm:cxn modelId="{4552EA36-E4E0-4891-AEE7-EC87CC39B3F1}" type="presOf" srcId="{7D3F8BDF-8CC4-4D6E-9B53-856F5C9332CE}" destId="{2174FC53-6721-4D09-AD9C-2B2F55F2236A}" srcOrd="0" destOrd="0" presId="urn:microsoft.com/office/officeart/2005/8/layout/radial1"/>
    <dgm:cxn modelId="{D1E90038-2610-4DC6-BD98-94482594B08B}" type="presOf" srcId="{095E64F9-0EAC-4F06-A391-7A2AE3F4901F}" destId="{AB85BD81-2986-45CF-BF77-BCE92E75A2B0}" srcOrd="0" destOrd="0" presId="urn:microsoft.com/office/officeart/2005/8/layout/radial1"/>
    <dgm:cxn modelId="{27FEA33F-82A6-4904-8A1B-7DC16CE0CA47}" type="presOf" srcId="{C3B42D65-F7FE-4765-90FA-270B5F84EA9F}" destId="{E32003BF-71AC-453A-8F53-63407A792D79}" srcOrd="1" destOrd="0" presId="urn:microsoft.com/office/officeart/2005/8/layout/radial1"/>
    <dgm:cxn modelId="{E2E70E5B-B7E7-4C4A-93F1-03943E5C046E}" srcId="{08FB7AA3-BEC7-4187-88F8-AA65DF4B38B9}" destId="{44AD5356-41F0-4C42-B450-D5A0598054D6}" srcOrd="0" destOrd="0" parTransId="{6A423E94-8691-4847-B5DB-BDFC3A107E12}" sibTransId="{5FE60F87-2226-45C1-BA09-5266B14D1394}"/>
    <dgm:cxn modelId="{34CDBC47-46E6-4755-A17F-5A9700859CB6}" type="presOf" srcId="{C3B42D65-F7FE-4765-90FA-270B5F84EA9F}" destId="{5262D2D6-D7B2-4F9F-B4AA-54BCACC3AF90}" srcOrd="0" destOrd="0" presId="urn:microsoft.com/office/officeart/2005/8/layout/radial1"/>
    <dgm:cxn modelId="{AE2A3348-581B-4465-9459-9ED8AD09E18D}" srcId="{44AD5356-41F0-4C42-B450-D5A0598054D6}" destId="{CAE118F1-CEE1-4814-AE5D-31C54649BFDE}" srcOrd="1" destOrd="0" parTransId="{7FA9F086-2895-407B-A1AF-A66D1D5DF4FE}" sibTransId="{5A6061E9-CB4B-4477-B393-653C374730DC}"/>
    <dgm:cxn modelId="{A25EDC49-F8BB-4D2C-85E8-79C9BFE8FDD8}" srcId="{44AD5356-41F0-4C42-B450-D5A0598054D6}" destId="{6BE8A80D-A1C9-45AD-BFA4-2ACD41BBE591}" srcOrd="4" destOrd="0" parTransId="{11D9EB57-3D20-478B-9116-3FD6A8BE8F0C}" sibTransId="{6F76769C-1468-44EE-A6C8-65902D41CC0A}"/>
    <dgm:cxn modelId="{60F8286D-EB26-4B1B-BBE0-50ECC2155866}" srcId="{44AD5356-41F0-4C42-B450-D5A0598054D6}" destId="{095E64F9-0EAC-4F06-A391-7A2AE3F4901F}" srcOrd="0" destOrd="0" parTransId="{C3B42D65-F7FE-4765-90FA-270B5F84EA9F}" sibTransId="{5FFEF50B-9C31-4CD2-AD4D-489C7A5DD3FB}"/>
    <dgm:cxn modelId="{038AAD4E-B451-4682-AB5B-1F42D5AECC4F}" type="presOf" srcId="{CAE118F1-CEE1-4814-AE5D-31C54649BFDE}" destId="{986A248C-B965-4EB2-BE3A-4471BED98174}" srcOrd="0" destOrd="0" presId="urn:microsoft.com/office/officeart/2005/8/layout/radial1"/>
    <dgm:cxn modelId="{4137047B-FDC1-4142-AAAE-98C29EF05948}" type="presOf" srcId="{4FC7AE37-68ED-427D-8DDC-8BF92A5A95D9}" destId="{23B71838-B29B-49EF-8073-FA2D0B064E8B}" srcOrd="0" destOrd="0" presId="urn:microsoft.com/office/officeart/2005/8/layout/radial1"/>
    <dgm:cxn modelId="{1125068E-D703-48FA-8848-CB636934241D}" type="presOf" srcId="{7FA9F086-2895-407B-A1AF-A66D1D5DF4FE}" destId="{A0938C75-6F08-4734-83E4-3A2F9C2C219B}" srcOrd="1" destOrd="0" presId="urn:microsoft.com/office/officeart/2005/8/layout/radial1"/>
    <dgm:cxn modelId="{A2EFF09B-80D9-40F6-9365-6EAEE37B5F7F}" srcId="{44AD5356-41F0-4C42-B450-D5A0598054D6}" destId="{C6DDAD3F-6B5F-4FBB-83FC-D3EA765DA915}" srcOrd="3" destOrd="0" parTransId="{7D3F8BDF-8CC4-4D6E-9B53-856F5C9332CE}" sibTransId="{93C3CBE5-CA78-4E24-9573-0C2580D3AD7C}"/>
    <dgm:cxn modelId="{095E799E-4903-4801-BDB8-3CBA1BBF5E49}" type="presOf" srcId="{C721415E-DB50-4FCE-8382-2F82AFAB31F3}" destId="{7C555987-9FCE-4E29-A9A3-D212B2C069C6}" srcOrd="0" destOrd="0" presId="urn:microsoft.com/office/officeart/2005/8/layout/radial1"/>
    <dgm:cxn modelId="{F5574DA0-E7C4-472F-ABE8-50988F23D478}" type="presOf" srcId="{44AD5356-41F0-4C42-B450-D5A0598054D6}" destId="{830BEFE1-A237-4846-B480-E1DC7B404317}" srcOrd="0" destOrd="0" presId="urn:microsoft.com/office/officeart/2005/8/layout/radial1"/>
    <dgm:cxn modelId="{B95E78B4-A3DC-41A6-8FCD-7DEE7D332C80}" type="presOf" srcId="{11D9EB57-3D20-478B-9116-3FD6A8BE8F0C}" destId="{A1CA621B-3FC9-4D33-8EF5-04BB2A8FFFDD}" srcOrd="0" destOrd="0" presId="urn:microsoft.com/office/officeart/2005/8/layout/radial1"/>
    <dgm:cxn modelId="{EBD296B9-DF33-4AB7-9990-2E339116AC86}" type="presOf" srcId="{7D3F8BDF-8CC4-4D6E-9B53-856F5C9332CE}" destId="{1674BB05-4965-488A-B38F-D716A67F2FBF}" srcOrd="1" destOrd="0" presId="urn:microsoft.com/office/officeart/2005/8/layout/radial1"/>
    <dgm:cxn modelId="{2AD2A3DA-C086-48E3-B76F-76FA31C22F36}" srcId="{44AD5356-41F0-4C42-B450-D5A0598054D6}" destId="{9303EFE2-5F2D-49A5-B084-9664C3DCE6F6}" srcOrd="2" destOrd="0" parTransId="{7BE86606-8DCD-4974-952F-BB859A1E52BC}" sibTransId="{571D9D28-FF79-402D-898A-F3C2D7FDB67A}"/>
    <dgm:cxn modelId="{ED3943DE-AC95-489A-9914-84958FCE6215}" type="presOf" srcId="{9303EFE2-5F2D-49A5-B084-9664C3DCE6F6}" destId="{F98AFC63-6551-43BB-9017-FF5BB62EE236}" srcOrd="0" destOrd="0" presId="urn:microsoft.com/office/officeart/2005/8/layout/radial1"/>
    <dgm:cxn modelId="{221FB9F8-DB19-4608-B79D-C7F0B1AD371A}" type="presOf" srcId="{08FB7AA3-BEC7-4187-88F8-AA65DF4B38B9}" destId="{4AD10F0F-724B-4461-A991-220404AFA305}" srcOrd="0" destOrd="0" presId="urn:microsoft.com/office/officeart/2005/8/layout/radial1"/>
    <dgm:cxn modelId="{3721DBF9-7CC4-4377-A207-E78712A605DE}" type="presOf" srcId="{C721415E-DB50-4FCE-8382-2F82AFAB31F3}" destId="{80A3A08F-CD94-46C3-8598-8F50111E214D}" srcOrd="1" destOrd="0" presId="urn:microsoft.com/office/officeart/2005/8/layout/radial1"/>
    <dgm:cxn modelId="{946D0461-C943-4D84-8385-E1EE45C6817B}" type="presParOf" srcId="{4AD10F0F-724B-4461-A991-220404AFA305}" destId="{830BEFE1-A237-4846-B480-E1DC7B404317}" srcOrd="0" destOrd="0" presId="urn:microsoft.com/office/officeart/2005/8/layout/radial1"/>
    <dgm:cxn modelId="{501B8D08-21EE-47E3-A846-C140FB6A768D}" type="presParOf" srcId="{4AD10F0F-724B-4461-A991-220404AFA305}" destId="{5262D2D6-D7B2-4F9F-B4AA-54BCACC3AF90}" srcOrd="1" destOrd="0" presId="urn:microsoft.com/office/officeart/2005/8/layout/radial1"/>
    <dgm:cxn modelId="{7934D450-9426-42F5-AD59-8A1339722AEB}" type="presParOf" srcId="{5262D2D6-D7B2-4F9F-B4AA-54BCACC3AF90}" destId="{E32003BF-71AC-453A-8F53-63407A792D79}" srcOrd="0" destOrd="0" presId="urn:microsoft.com/office/officeart/2005/8/layout/radial1"/>
    <dgm:cxn modelId="{D74F9AF0-C3A1-4FB8-A495-0E51DAFB366F}" type="presParOf" srcId="{4AD10F0F-724B-4461-A991-220404AFA305}" destId="{AB85BD81-2986-45CF-BF77-BCE92E75A2B0}" srcOrd="2" destOrd="0" presId="urn:microsoft.com/office/officeart/2005/8/layout/radial1"/>
    <dgm:cxn modelId="{B63C4899-4EC8-43E4-A255-CA120F61A866}" type="presParOf" srcId="{4AD10F0F-724B-4461-A991-220404AFA305}" destId="{B1D2EF8E-F487-48EA-AD9C-EDA74F89E216}" srcOrd="3" destOrd="0" presId="urn:microsoft.com/office/officeart/2005/8/layout/radial1"/>
    <dgm:cxn modelId="{983436B0-662C-4366-B126-2B8ECD7F325D}" type="presParOf" srcId="{B1D2EF8E-F487-48EA-AD9C-EDA74F89E216}" destId="{A0938C75-6F08-4734-83E4-3A2F9C2C219B}" srcOrd="0" destOrd="0" presId="urn:microsoft.com/office/officeart/2005/8/layout/radial1"/>
    <dgm:cxn modelId="{4C7B6B72-CB87-41EF-9677-363EE2D03BB9}" type="presParOf" srcId="{4AD10F0F-724B-4461-A991-220404AFA305}" destId="{986A248C-B965-4EB2-BE3A-4471BED98174}" srcOrd="4" destOrd="0" presId="urn:microsoft.com/office/officeart/2005/8/layout/radial1"/>
    <dgm:cxn modelId="{3B922FF2-C64A-451E-94DA-0A64D992540D}" type="presParOf" srcId="{4AD10F0F-724B-4461-A991-220404AFA305}" destId="{71246665-5537-406F-9BE8-0AB716DC995D}" srcOrd="5" destOrd="0" presId="urn:microsoft.com/office/officeart/2005/8/layout/radial1"/>
    <dgm:cxn modelId="{A1D714C0-6E8B-4A0A-92A0-694DFA6C1DB8}" type="presParOf" srcId="{71246665-5537-406F-9BE8-0AB716DC995D}" destId="{465FD706-A911-4568-A9B5-E3D75907C6EC}" srcOrd="0" destOrd="0" presId="urn:microsoft.com/office/officeart/2005/8/layout/radial1"/>
    <dgm:cxn modelId="{3555589C-6232-4978-968D-3572E3D4E800}" type="presParOf" srcId="{4AD10F0F-724B-4461-A991-220404AFA305}" destId="{F98AFC63-6551-43BB-9017-FF5BB62EE236}" srcOrd="6" destOrd="0" presId="urn:microsoft.com/office/officeart/2005/8/layout/radial1"/>
    <dgm:cxn modelId="{B901268C-48C1-43C9-9599-0C4AA2AF8F85}" type="presParOf" srcId="{4AD10F0F-724B-4461-A991-220404AFA305}" destId="{2174FC53-6721-4D09-AD9C-2B2F55F2236A}" srcOrd="7" destOrd="0" presId="urn:microsoft.com/office/officeart/2005/8/layout/radial1"/>
    <dgm:cxn modelId="{AE67CAE2-CDE2-4654-8A1C-9FC00079826A}" type="presParOf" srcId="{2174FC53-6721-4D09-AD9C-2B2F55F2236A}" destId="{1674BB05-4965-488A-B38F-D716A67F2FBF}" srcOrd="0" destOrd="0" presId="urn:microsoft.com/office/officeart/2005/8/layout/radial1"/>
    <dgm:cxn modelId="{C1FDED3C-D3CF-43FD-8619-90B9BB64D78B}" type="presParOf" srcId="{4AD10F0F-724B-4461-A991-220404AFA305}" destId="{418B91BA-A4BE-469A-B665-42C47DC1F61E}" srcOrd="8" destOrd="0" presId="urn:microsoft.com/office/officeart/2005/8/layout/radial1"/>
    <dgm:cxn modelId="{5D379F58-DFA5-4FD5-AA62-14B3678663D0}" type="presParOf" srcId="{4AD10F0F-724B-4461-A991-220404AFA305}" destId="{A1CA621B-3FC9-4D33-8EF5-04BB2A8FFFDD}" srcOrd="9" destOrd="0" presId="urn:microsoft.com/office/officeart/2005/8/layout/radial1"/>
    <dgm:cxn modelId="{80A5798C-027E-4DEC-8DC7-5BFA4393D311}" type="presParOf" srcId="{A1CA621B-3FC9-4D33-8EF5-04BB2A8FFFDD}" destId="{CD48234C-0E8A-40CB-9DA6-83911C63E236}" srcOrd="0" destOrd="0" presId="urn:microsoft.com/office/officeart/2005/8/layout/radial1"/>
    <dgm:cxn modelId="{3EDC9DB7-F774-47AD-8BC5-82FF1209F711}" type="presParOf" srcId="{4AD10F0F-724B-4461-A991-220404AFA305}" destId="{B2C4C2DC-4183-4B0B-92E7-A7653B6BC89D}" srcOrd="10" destOrd="0" presId="urn:microsoft.com/office/officeart/2005/8/layout/radial1"/>
    <dgm:cxn modelId="{7C040447-D258-4D41-829C-BEE2A460BC59}" type="presParOf" srcId="{4AD10F0F-724B-4461-A991-220404AFA305}" destId="{7C555987-9FCE-4E29-A9A3-D212B2C069C6}" srcOrd="11" destOrd="0" presId="urn:microsoft.com/office/officeart/2005/8/layout/radial1"/>
    <dgm:cxn modelId="{CFC6B048-20F4-41A7-A9E2-CD5E91764BDC}" type="presParOf" srcId="{7C555987-9FCE-4E29-A9A3-D212B2C069C6}" destId="{80A3A08F-CD94-46C3-8598-8F50111E214D}" srcOrd="0" destOrd="0" presId="urn:microsoft.com/office/officeart/2005/8/layout/radial1"/>
    <dgm:cxn modelId="{1B4F27D7-A6FC-408E-8F47-AA856234980C}" type="presParOf" srcId="{4AD10F0F-724B-4461-A991-220404AFA305}" destId="{23B71838-B29B-49EF-8073-FA2D0B064E8B}" srcOrd="12" destOrd="0" presId="urn:microsoft.com/office/officeart/2005/8/layout/radial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30BEFE1-A237-4846-B480-E1DC7B404317}">
      <dsp:nvSpPr>
        <dsp:cNvPr id="0" name=""/>
        <dsp:cNvSpPr/>
      </dsp:nvSpPr>
      <dsp:spPr>
        <a:xfrm>
          <a:off x="2200551" y="1442382"/>
          <a:ext cx="1096684" cy="109668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335" tIns="13335" rIns="13335" bIns="13335" numCol="1" spcCol="1270" anchor="ctr" anchorCtr="0">
          <a:noAutofit/>
        </a:bodyPr>
        <a:lstStyle/>
        <a:p>
          <a:pPr marL="0" lvl="0" indent="0" algn="ctr" defTabSz="933450">
            <a:lnSpc>
              <a:spcPct val="90000"/>
            </a:lnSpc>
            <a:spcBef>
              <a:spcPct val="0"/>
            </a:spcBef>
            <a:spcAft>
              <a:spcPct val="35000"/>
            </a:spcAft>
            <a:buNone/>
          </a:pPr>
          <a:r>
            <a:rPr lang="en-US" sz="2100" kern="1200" dirty="0"/>
            <a:t>CIBLES</a:t>
          </a:r>
        </a:p>
      </dsp:txBody>
      <dsp:txXfrm>
        <a:off x="2361157" y="1602988"/>
        <a:ext cx="775472" cy="775472"/>
      </dsp:txXfrm>
    </dsp:sp>
    <dsp:sp modelId="{5262D2D6-D7B2-4F9F-B4AA-54BCACC3AF90}">
      <dsp:nvSpPr>
        <dsp:cNvPr id="0" name=""/>
        <dsp:cNvSpPr/>
      </dsp:nvSpPr>
      <dsp:spPr>
        <a:xfrm rot="16200000">
          <a:off x="2583262" y="1260226"/>
          <a:ext cx="331261" cy="33050"/>
        </a:xfrm>
        <a:custGeom>
          <a:avLst/>
          <a:gdLst/>
          <a:ahLst/>
          <a:cxnLst/>
          <a:rect l="0" t="0" r="0" b="0"/>
          <a:pathLst>
            <a:path>
              <a:moveTo>
                <a:pt x="0" y="16525"/>
              </a:moveTo>
              <a:lnTo>
                <a:pt x="331261" y="165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40611" y="1268470"/>
        <a:ext cx="16563" cy="16563"/>
      </dsp:txXfrm>
    </dsp:sp>
    <dsp:sp modelId="{AB85BD81-2986-45CF-BF77-BCE92E75A2B0}">
      <dsp:nvSpPr>
        <dsp:cNvPr id="0" name=""/>
        <dsp:cNvSpPr/>
      </dsp:nvSpPr>
      <dsp:spPr>
        <a:xfrm>
          <a:off x="2200551" y="14436"/>
          <a:ext cx="1096684" cy="1096684"/>
        </a:xfrm>
        <a:prstGeom prst="ellipse">
          <a:avLst/>
        </a:prstGeom>
        <a:solidFill>
          <a:schemeClr val="accent3"/>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fr-BE" sz="1400" kern="1200" dirty="0"/>
            <a:t>Populations </a:t>
          </a:r>
          <a:r>
            <a:rPr lang="en-US" sz="1400" kern="1200" dirty="0" err="1"/>
            <a:t>clés</a:t>
          </a:r>
          <a:r>
            <a:rPr lang="en-US" sz="1400" kern="1200" dirty="0"/>
            <a:t>: PS, HSH</a:t>
          </a:r>
        </a:p>
      </dsp:txBody>
      <dsp:txXfrm>
        <a:off x="2361157" y="175042"/>
        <a:ext cx="775472" cy="775472"/>
      </dsp:txXfrm>
    </dsp:sp>
    <dsp:sp modelId="{B1D2EF8E-F487-48EA-AD9C-EDA74F89E216}">
      <dsp:nvSpPr>
        <dsp:cNvPr id="0" name=""/>
        <dsp:cNvSpPr/>
      </dsp:nvSpPr>
      <dsp:spPr>
        <a:xfrm rot="19800000">
          <a:off x="3201581" y="1617213"/>
          <a:ext cx="331261" cy="33050"/>
        </a:xfrm>
        <a:custGeom>
          <a:avLst/>
          <a:gdLst/>
          <a:ahLst/>
          <a:cxnLst/>
          <a:rect l="0" t="0" r="0" b="0"/>
          <a:pathLst>
            <a:path>
              <a:moveTo>
                <a:pt x="0" y="16525"/>
              </a:moveTo>
              <a:lnTo>
                <a:pt x="331261" y="165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3358930" y="1625456"/>
        <a:ext cx="16563" cy="16563"/>
      </dsp:txXfrm>
    </dsp:sp>
    <dsp:sp modelId="{986A248C-B965-4EB2-BE3A-4471BED98174}">
      <dsp:nvSpPr>
        <dsp:cNvPr id="0" name=""/>
        <dsp:cNvSpPr/>
      </dsp:nvSpPr>
      <dsp:spPr>
        <a:xfrm>
          <a:off x="3437188" y="728409"/>
          <a:ext cx="1096684" cy="1096684"/>
        </a:xfrm>
        <a:prstGeom prst="ellipse">
          <a:avLst/>
        </a:prstGeom>
        <a:solidFill>
          <a:schemeClr val="accent4">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fr-FR" sz="1400" kern="1200" dirty="0"/>
            <a:t>Coinfecté</a:t>
          </a:r>
          <a:r>
            <a:rPr lang="fr-BE" sz="1400" kern="1200" dirty="0"/>
            <a:t>s TB-VIH</a:t>
          </a:r>
          <a:endParaRPr lang="en-US" sz="1400" kern="1200" dirty="0"/>
        </a:p>
      </dsp:txBody>
      <dsp:txXfrm>
        <a:off x="3597794" y="889015"/>
        <a:ext cx="775472" cy="775472"/>
      </dsp:txXfrm>
    </dsp:sp>
    <dsp:sp modelId="{71246665-5537-406F-9BE8-0AB716DC995D}">
      <dsp:nvSpPr>
        <dsp:cNvPr id="0" name=""/>
        <dsp:cNvSpPr/>
      </dsp:nvSpPr>
      <dsp:spPr>
        <a:xfrm rot="1664802">
          <a:off x="3224947" y="2266887"/>
          <a:ext cx="160663" cy="33050"/>
        </a:xfrm>
        <a:custGeom>
          <a:avLst/>
          <a:gdLst/>
          <a:ahLst/>
          <a:cxnLst/>
          <a:rect l="0" t="0" r="0" b="0"/>
          <a:pathLst>
            <a:path>
              <a:moveTo>
                <a:pt x="0" y="16525"/>
              </a:moveTo>
              <a:lnTo>
                <a:pt x="160663" y="165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3301262" y="2279396"/>
        <a:ext cx="8033" cy="8033"/>
      </dsp:txXfrm>
    </dsp:sp>
    <dsp:sp modelId="{F98AFC63-6551-43BB-9017-FF5BB62EE236}">
      <dsp:nvSpPr>
        <dsp:cNvPr id="0" name=""/>
        <dsp:cNvSpPr/>
      </dsp:nvSpPr>
      <dsp:spPr>
        <a:xfrm>
          <a:off x="3156715" y="2060627"/>
          <a:ext cx="2046731" cy="1365953"/>
        </a:xfrm>
        <a:prstGeom prst="ellipse">
          <a:avLst/>
        </a:prstGeom>
        <a:solidFill>
          <a:schemeClr val="accent6"/>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fr-BE" sz="1200" kern="1200" dirty="0"/>
            <a:t>Populations vulnérables: </a:t>
          </a:r>
          <a:r>
            <a:rPr lang="en-US" sz="1200" kern="1200" dirty="0" err="1"/>
            <a:t>prisonniers</a:t>
          </a:r>
          <a:r>
            <a:rPr lang="en-US" sz="1200" kern="1200" dirty="0"/>
            <a:t>, </a:t>
          </a:r>
          <a:r>
            <a:rPr lang="en-US" sz="1200" kern="1200" dirty="0" err="1"/>
            <a:t>miniers</a:t>
          </a:r>
          <a:r>
            <a:rPr lang="en-US" sz="1200" kern="1200" dirty="0"/>
            <a:t>, </a:t>
          </a:r>
          <a:r>
            <a:rPr lang="en-US" sz="1200" kern="1200" dirty="0" err="1"/>
            <a:t>routiers</a:t>
          </a:r>
          <a:r>
            <a:rPr lang="en-US" sz="1200" kern="1200" dirty="0"/>
            <a:t>, </a:t>
          </a:r>
          <a:r>
            <a:rPr lang="en-US" sz="1200" kern="1200" dirty="0" err="1"/>
            <a:t>pêcheurs</a:t>
          </a:r>
          <a:r>
            <a:rPr lang="en-US" sz="1200" kern="1200" dirty="0"/>
            <a:t>, HFU, enfant, adolescents –</a:t>
          </a:r>
          <a:r>
            <a:rPr lang="en-US" sz="1200" kern="1200" dirty="0" err="1"/>
            <a:t>Jeunes</a:t>
          </a:r>
          <a:endParaRPr lang="en-US" sz="1200" kern="1200" dirty="0"/>
        </a:p>
      </dsp:txBody>
      <dsp:txXfrm>
        <a:off x="3456452" y="2260666"/>
        <a:ext cx="1447257" cy="965875"/>
      </dsp:txXfrm>
    </dsp:sp>
    <dsp:sp modelId="{2174FC53-6721-4D09-AD9C-2B2F55F2236A}">
      <dsp:nvSpPr>
        <dsp:cNvPr id="0" name=""/>
        <dsp:cNvSpPr/>
      </dsp:nvSpPr>
      <dsp:spPr>
        <a:xfrm rot="5400000">
          <a:off x="2583262" y="2688173"/>
          <a:ext cx="331261" cy="33050"/>
        </a:xfrm>
        <a:custGeom>
          <a:avLst/>
          <a:gdLst/>
          <a:ahLst/>
          <a:cxnLst/>
          <a:rect l="0" t="0" r="0" b="0"/>
          <a:pathLst>
            <a:path>
              <a:moveTo>
                <a:pt x="0" y="16525"/>
              </a:moveTo>
              <a:lnTo>
                <a:pt x="331261" y="165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40611" y="2696416"/>
        <a:ext cx="16563" cy="16563"/>
      </dsp:txXfrm>
    </dsp:sp>
    <dsp:sp modelId="{418B91BA-A4BE-469A-B665-42C47DC1F61E}">
      <dsp:nvSpPr>
        <dsp:cNvPr id="0" name=""/>
        <dsp:cNvSpPr/>
      </dsp:nvSpPr>
      <dsp:spPr>
        <a:xfrm>
          <a:off x="2200551" y="2870329"/>
          <a:ext cx="1096684" cy="1096684"/>
        </a:xfrm>
        <a:prstGeom prst="ellipse">
          <a:avLst/>
        </a:prstGeom>
        <a:solidFill>
          <a:srgbClr val="00B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fr-BE" sz="1400" kern="1200"/>
            <a:t>Population générale</a:t>
          </a:r>
          <a:endParaRPr lang="en-US" sz="1400" kern="1200" dirty="0"/>
        </a:p>
      </dsp:txBody>
      <dsp:txXfrm>
        <a:off x="2361157" y="3030935"/>
        <a:ext cx="775472" cy="775472"/>
      </dsp:txXfrm>
    </dsp:sp>
    <dsp:sp modelId="{A1CA621B-3FC9-4D33-8EF5-04BB2A8FFFDD}">
      <dsp:nvSpPr>
        <dsp:cNvPr id="0" name=""/>
        <dsp:cNvSpPr/>
      </dsp:nvSpPr>
      <dsp:spPr>
        <a:xfrm rot="9000000">
          <a:off x="1964943" y="2331186"/>
          <a:ext cx="331261" cy="33050"/>
        </a:xfrm>
        <a:custGeom>
          <a:avLst/>
          <a:gdLst/>
          <a:ahLst/>
          <a:cxnLst/>
          <a:rect l="0" t="0" r="0" b="0"/>
          <a:pathLst>
            <a:path>
              <a:moveTo>
                <a:pt x="0" y="16525"/>
              </a:moveTo>
              <a:lnTo>
                <a:pt x="331261" y="165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rot="10800000">
        <a:off x="2122292" y="2339430"/>
        <a:ext cx="16563" cy="16563"/>
      </dsp:txXfrm>
    </dsp:sp>
    <dsp:sp modelId="{B2C4C2DC-4183-4B0B-92E7-A7653B6BC89D}">
      <dsp:nvSpPr>
        <dsp:cNvPr id="0" name=""/>
        <dsp:cNvSpPr/>
      </dsp:nvSpPr>
      <dsp:spPr>
        <a:xfrm>
          <a:off x="963913" y="2156355"/>
          <a:ext cx="1096684" cy="1096684"/>
        </a:xfrm>
        <a:prstGeom prst="ellipse">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889000">
            <a:lnSpc>
              <a:spcPct val="90000"/>
            </a:lnSpc>
            <a:spcBef>
              <a:spcPct val="0"/>
            </a:spcBef>
            <a:spcAft>
              <a:spcPct val="35000"/>
            </a:spcAft>
            <a:buNone/>
          </a:pPr>
          <a:r>
            <a:rPr lang="en-US" sz="2000" b="1" kern="1200" dirty="0"/>
            <a:t>PVVIH</a:t>
          </a:r>
        </a:p>
      </dsp:txBody>
      <dsp:txXfrm>
        <a:off x="1124519" y="2316961"/>
        <a:ext cx="775472" cy="775472"/>
      </dsp:txXfrm>
    </dsp:sp>
    <dsp:sp modelId="{7C555987-9FCE-4E29-A9A3-D212B2C069C6}">
      <dsp:nvSpPr>
        <dsp:cNvPr id="0" name=""/>
        <dsp:cNvSpPr/>
      </dsp:nvSpPr>
      <dsp:spPr>
        <a:xfrm rot="12574296">
          <a:off x="1998508" y="1631405"/>
          <a:ext cx="292521" cy="33050"/>
        </a:xfrm>
        <a:custGeom>
          <a:avLst/>
          <a:gdLst/>
          <a:ahLst/>
          <a:cxnLst/>
          <a:rect l="0" t="0" r="0" b="0"/>
          <a:pathLst>
            <a:path>
              <a:moveTo>
                <a:pt x="0" y="16525"/>
              </a:moveTo>
              <a:lnTo>
                <a:pt x="292521" y="1652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p>
      </dsp:txBody>
      <dsp:txXfrm rot="10800000">
        <a:off x="2137456" y="1640617"/>
        <a:ext cx="14626" cy="14626"/>
      </dsp:txXfrm>
    </dsp:sp>
    <dsp:sp modelId="{23B71838-B29B-49EF-8073-FA2D0B064E8B}">
      <dsp:nvSpPr>
        <dsp:cNvPr id="0" name=""/>
        <dsp:cNvSpPr/>
      </dsp:nvSpPr>
      <dsp:spPr>
        <a:xfrm>
          <a:off x="992303" y="756794"/>
          <a:ext cx="1096684" cy="109668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r>
            <a:rPr lang="en-US" sz="1400" kern="1200" dirty="0"/>
            <a:t>Patients TB</a:t>
          </a:r>
          <a:endParaRPr lang="fr-FR" sz="1400" kern="1200" dirty="0"/>
        </a:p>
      </dsp:txBody>
      <dsp:txXfrm>
        <a:off x="1152909" y="917400"/>
        <a:ext cx="775472" cy="775472"/>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690888-AAE4-4990-B9A4-7C339ACDC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ICN-Goetz-4</Template>
  <TotalTime>0</TotalTime>
  <Pages>37</Pages>
  <Words>9758</Words>
  <Characters>61476</Characters>
  <Application>Microsoft Office Word</Application>
  <DocSecurity>0</DocSecurity>
  <Lines>512</Lines>
  <Paragraphs>142</Paragraphs>
  <ScaleCrop>false</ScaleCrop>
  <HeadingPairs>
    <vt:vector size="2" baseType="variant">
      <vt:variant>
        <vt:lpstr>Titre</vt:lpstr>
      </vt:variant>
      <vt:variant>
        <vt:i4>1</vt:i4>
      </vt:variant>
    </vt:vector>
  </HeadingPairs>
  <TitlesOfParts>
    <vt:vector size="1" baseType="lpstr">
      <vt:lpstr/>
    </vt:vector>
  </TitlesOfParts>
  <Company>GIZ GmbH</Company>
  <LinksUpToDate>false</LinksUpToDate>
  <CharactersWithSpaces>71092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GOETZ</dc:creator>
  <cp:lastModifiedBy>Huber, Goetz CIM-IF</cp:lastModifiedBy>
  <cp:revision>2</cp:revision>
  <cp:lastPrinted>2018-05-18T06:44:00Z</cp:lastPrinted>
  <dcterms:created xsi:type="dcterms:W3CDTF">2019-03-06T12:23:00Z</dcterms:created>
  <dcterms:modified xsi:type="dcterms:W3CDTF">2019-03-06T12:23:00Z</dcterms:modified>
</cp:coreProperties>
</file>