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ED067" w14:textId="77777777" w:rsidR="00EE3D9C" w:rsidRDefault="00EE3D9C" w:rsidP="00D85E97">
      <w:pPr>
        <w:jc w:val="both"/>
        <w:rPr>
          <w:rFonts w:ascii="Arial" w:hAnsi="Arial" w:cs="Arial"/>
          <w:b/>
          <w:bCs/>
          <w:color w:val="000000"/>
          <w:lang w:eastAsia="fr-FR"/>
        </w:rPr>
      </w:pPr>
      <w:bookmarkStart w:id="0" w:name="_GoBack"/>
      <w:bookmarkEnd w:id="0"/>
    </w:p>
    <w:p w14:paraId="11ADDE5B" w14:textId="77777777" w:rsidR="00EE3D9C" w:rsidRDefault="00EE3D9C" w:rsidP="00D85E97">
      <w:pPr>
        <w:jc w:val="both"/>
        <w:rPr>
          <w:rFonts w:ascii="Arial" w:hAnsi="Arial" w:cs="Arial"/>
          <w:b/>
          <w:bCs/>
          <w:color w:val="000000"/>
          <w:lang w:eastAsia="fr-FR"/>
        </w:rPr>
      </w:pPr>
    </w:p>
    <w:p w14:paraId="563801DA" w14:textId="77777777" w:rsidR="00EE3D9C" w:rsidRDefault="00EE3D9C" w:rsidP="00D85E97">
      <w:pPr>
        <w:jc w:val="both"/>
        <w:rPr>
          <w:rFonts w:ascii="Arial" w:hAnsi="Arial" w:cs="Arial"/>
          <w:b/>
          <w:bCs/>
          <w:color w:val="000000"/>
          <w:lang w:eastAsia="fr-FR"/>
        </w:rPr>
      </w:pPr>
    </w:p>
    <w:p w14:paraId="3DABFC42" w14:textId="77777777" w:rsidR="00EE3D9C" w:rsidRDefault="00EE3D9C" w:rsidP="00D85E97">
      <w:pPr>
        <w:jc w:val="both"/>
        <w:rPr>
          <w:rFonts w:ascii="Arial" w:hAnsi="Arial" w:cs="Arial"/>
          <w:b/>
          <w:bCs/>
          <w:color w:val="000000"/>
          <w:lang w:eastAsia="fr-FR"/>
        </w:rPr>
      </w:pPr>
    </w:p>
    <w:p w14:paraId="09F957AE" w14:textId="77777777" w:rsidR="00EE3D9C" w:rsidRDefault="00EE3D9C" w:rsidP="00D85E97">
      <w:pPr>
        <w:jc w:val="both"/>
        <w:rPr>
          <w:rFonts w:ascii="Arial" w:hAnsi="Arial" w:cs="Arial"/>
          <w:b/>
          <w:bCs/>
          <w:color w:val="000000"/>
          <w:lang w:eastAsia="fr-FR"/>
        </w:rPr>
      </w:pPr>
    </w:p>
    <w:p w14:paraId="3DA570AC" w14:textId="77777777" w:rsidR="00EE3D9C" w:rsidRDefault="00EE3D9C" w:rsidP="00D85E97">
      <w:pPr>
        <w:jc w:val="both"/>
        <w:rPr>
          <w:rFonts w:ascii="Arial" w:hAnsi="Arial" w:cs="Arial"/>
          <w:b/>
          <w:bCs/>
          <w:color w:val="000000"/>
          <w:lang w:eastAsia="fr-FR"/>
        </w:rPr>
      </w:pPr>
    </w:p>
    <w:p w14:paraId="0EE054BF" w14:textId="77777777" w:rsidR="00EE3D9C" w:rsidRDefault="00EE3D9C" w:rsidP="00D85E97">
      <w:pPr>
        <w:jc w:val="both"/>
        <w:rPr>
          <w:rFonts w:ascii="Arial" w:hAnsi="Arial" w:cs="Arial"/>
          <w:b/>
          <w:bCs/>
          <w:color w:val="000000"/>
          <w:lang w:eastAsia="fr-FR"/>
        </w:rPr>
      </w:pPr>
    </w:p>
    <w:p w14:paraId="4F1FEA32" w14:textId="77777777" w:rsidR="00EE3D9C" w:rsidRDefault="00EE3D9C" w:rsidP="00D85E97">
      <w:pPr>
        <w:jc w:val="both"/>
        <w:rPr>
          <w:rFonts w:ascii="Arial" w:hAnsi="Arial" w:cs="Arial"/>
          <w:b/>
          <w:bCs/>
          <w:color w:val="000000"/>
          <w:lang w:eastAsia="fr-FR"/>
        </w:rPr>
      </w:pPr>
    </w:p>
    <w:p w14:paraId="16684C98" w14:textId="77777777" w:rsidR="00EE3D9C" w:rsidRDefault="00EE3D9C" w:rsidP="00D85E97">
      <w:pPr>
        <w:jc w:val="both"/>
        <w:rPr>
          <w:rFonts w:ascii="Arial" w:hAnsi="Arial" w:cs="Arial"/>
          <w:b/>
          <w:bCs/>
          <w:color w:val="000000"/>
          <w:lang w:eastAsia="fr-FR"/>
        </w:rPr>
      </w:pPr>
    </w:p>
    <w:p w14:paraId="3A4F212F" w14:textId="77777777" w:rsidR="00EE3D9C" w:rsidRDefault="00EE3D9C" w:rsidP="00D85E97">
      <w:pPr>
        <w:jc w:val="both"/>
        <w:rPr>
          <w:rFonts w:ascii="Arial" w:hAnsi="Arial" w:cs="Arial"/>
          <w:b/>
          <w:bCs/>
          <w:color w:val="000000"/>
          <w:lang w:eastAsia="fr-FR"/>
        </w:rPr>
      </w:pPr>
    </w:p>
    <w:p w14:paraId="08B8EA3C" w14:textId="77777777" w:rsidR="00EE3D9C" w:rsidRDefault="00EE3D9C" w:rsidP="00D85E97">
      <w:pPr>
        <w:jc w:val="both"/>
        <w:rPr>
          <w:rFonts w:ascii="Arial" w:hAnsi="Arial" w:cs="Arial"/>
          <w:b/>
          <w:bCs/>
          <w:color w:val="000000"/>
          <w:lang w:eastAsia="fr-FR"/>
        </w:rPr>
      </w:pPr>
    </w:p>
    <w:p w14:paraId="38FEB153" w14:textId="77777777" w:rsidR="00EE3D9C" w:rsidRDefault="00EE3D9C" w:rsidP="00D85E97">
      <w:pPr>
        <w:jc w:val="both"/>
        <w:rPr>
          <w:rFonts w:ascii="Arial" w:hAnsi="Arial" w:cs="Arial"/>
          <w:b/>
          <w:bCs/>
          <w:color w:val="000000"/>
          <w:lang w:eastAsia="fr-FR"/>
        </w:rPr>
      </w:pPr>
    </w:p>
    <w:p w14:paraId="1DE59977" w14:textId="77777777" w:rsidR="00EE3D9C" w:rsidRDefault="00EE3D9C" w:rsidP="00D85E97">
      <w:pPr>
        <w:jc w:val="both"/>
        <w:rPr>
          <w:rFonts w:ascii="Arial" w:hAnsi="Arial" w:cs="Arial"/>
          <w:b/>
          <w:bCs/>
          <w:color w:val="000000"/>
          <w:lang w:eastAsia="fr-FR"/>
        </w:rPr>
      </w:pPr>
    </w:p>
    <w:p w14:paraId="0C3D3BAE" w14:textId="77777777" w:rsidR="00EE3D9C" w:rsidRDefault="00EE3D9C" w:rsidP="00D85E97">
      <w:pPr>
        <w:jc w:val="both"/>
        <w:rPr>
          <w:rFonts w:ascii="Arial" w:hAnsi="Arial" w:cs="Arial"/>
          <w:b/>
          <w:bCs/>
          <w:color w:val="000000"/>
          <w:lang w:eastAsia="fr-FR"/>
        </w:rPr>
      </w:pPr>
    </w:p>
    <w:p w14:paraId="242746B3" w14:textId="77777777" w:rsidR="00EE3D9C" w:rsidRDefault="00EE3D9C" w:rsidP="00D85E97">
      <w:pPr>
        <w:jc w:val="both"/>
        <w:rPr>
          <w:rFonts w:ascii="Arial" w:hAnsi="Arial" w:cs="Arial"/>
          <w:b/>
          <w:bCs/>
          <w:color w:val="000000"/>
          <w:lang w:eastAsia="fr-FR"/>
        </w:rPr>
      </w:pPr>
    </w:p>
    <w:p w14:paraId="11CFF541" w14:textId="77777777" w:rsidR="00EE3D9C" w:rsidRDefault="00EE3D9C" w:rsidP="00D85E97">
      <w:pPr>
        <w:jc w:val="both"/>
        <w:rPr>
          <w:rFonts w:ascii="Arial" w:hAnsi="Arial" w:cs="Arial"/>
          <w:b/>
          <w:bCs/>
          <w:color w:val="000000"/>
          <w:lang w:eastAsia="fr-FR"/>
        </w:rPr>
      </w:pPr>
    </w:p>
    <w:p w14:paraId="7200893D" w14:textId="77777777" w:rsidR="00EE3D9C" w:rsidRDefault="00EE3D9C" w:rsidP="00D85E97">
      <w:pPr>
        <w:jc w:val="both"/>
        <w:rPr>
          <w:rFonts w:ascii="Arial" w:hAnsi="Arial" w:cs="Arial"/>
          <w:b/>
          <w:bCs/>
          <w:color w:val="000000"/>
          <w:lang w:eastAsia="fr-FR"/>
        </w:rPr>
      </w:pPr>
    </w:p>
    <w:p w14:paraId="30C37B58" w14:textId="5B30AF0D" w:rsidR="00AC7059" w:rsidRPr="00EE3D9C" w:rsidRDefault="00EE3D9C" w:rsidP="001F6336">
      <w:pPr>
        <w:jc w:val="center"/>
        <w:rPr>
          <w:rFonts w:ascii="Arial" w:hAnsi="Arial" w:cs="Arial"/>
          <w:color w:val="000000"/>
          <w:sz w:val="36"/>
          <w:szCs w:val="36"/>
          <w:lang w:eastAsia="fr-FR"/>
        </w:rPr>
      </w:pPr>
      <w:r w:rsidRPr="00EE3D9C">
        <w:rPr>
          <w:rFonts w:ascii="Arial" w:hAnsi="Arial" w:cs="Arial"/>
          <w:b/>
          <w:bCs/>
          <w:color w:val="000000"/>
          <w:sz w:val="36"/>
          <w:szCs w:val="36"/>
          <w:lang w:eastAsia="fr-FR"/>
        </w:rPr>
        <w:t>Relevé des approches et interventions clés</w:t>
      </w:r>
    </w:p>
    <w:p w14:paraId="45631363" w14:textId="77777777" w:rsidR="00EE3D9C" w:rsidRPr="00EE3D9C" w:rsidRDefault="00EE3D9C" w:rsidP="001F6336">
      <w:pPr>
        <w:pStyle w:val="Listecouleur-Accent21"/>
        <w:jc w:val="center"/>
        <w:rPr>
          <w:rFonts w:ascii="Cambria" w:hAnsi="Cambria"/>
          <w:b/>
          <w:i/>
          <w:color w:val="2F5496"/>
          <w:sz w:val="28"/>
          <w:szCs w:val="28"/>
          <w:lang w:val="fr-CH"/>
        </w:rPr>
      </w:pPr>
      <w:r w:rsidRPr="00EE3D9C">
        <w:rPr>
          <w:rFonts w:ascii="Cambria" w:hAnsi="Cambria"/>
          <w:b/>
          <w:i/>
          <w:color w:val="2F5496"/>
          <w:sz w:val="28"/>
          <w:szCs w:val="28"/>
          <w:lang w:val="fr-CH"/>
        </w:rPr>
        <w:t>Atelier de concertation pour la définition des priorités d’investissement</w:t>
      </w:r>
    </w:p>
    <w:p w14:paraId="01661C94" w14:textId="04EB8A98" w:rsidR="00EE3D9C" w:rsidRPr="00EE3D9C" w:rsidRDefault="00EE3D9C" w:rsidP="001F6336">
      <w:pPr>
        <w:jc w:val="center"/>
        <w:rPr>
          <w:rFonts w:ascii="Arial" w:hAnsi="Arial" w:cs="Arial"/>
          <w:color w:val="000000"/>
          <w:sz w:val="28"/>
          <w:szCs w:val="28"/>
          <w:lang w:eastAsia="fr-FR"/>
        </w:rPr>
      </w:pPr>
      <w:r w:rsidRPr="00EE3D9C">
        <w:rPr>
          <w:rFonts w:ascii="Cambria" w:hAnsi="Cambria"/>
          <w:b/>
          <w:i/>
          <w:color w:val="2F5496"/>
          <w:sz w:val="28"/>
          <w:szCs w:val="28"/>
          <w:lang w:val="fr-CH"/>
        </w:rPr>
        <w:t xml:space="preserve">des Subventions FM (MS/PNLSH et PLAN) pour le VIH en </w:t>
      </w:r>
      <w:r w:rsidRPr="00EE3D9C">
        <w:rPr>
          <w:rFonts w:ascii="Cambria" w:hAnsi="Cambria"/>
          <w:b/>
          <w:i/>
          <w:color w:val="2F5496"/>
          <w:sz w:val="28"/>
          <w:szCs w:val="28"/>
        </w:rPr>
        <w:t>Guinée</w:t>
      </w:r>
    </w:p>
    <w:p w14:paraId="34DF832B" w14:textId="77777777" w:rsidR="00AC7059" w:rsidRPr="00EE3D9C" w:rsidRDefault="00AC7059" w:rsidP="00D85E97">
      <w:pPr>
        <w:jc w:val="both"/>
        <w:rPr>
          <w:rFonts w:ascii="Arial" w:hAnsi="Arial" w:cs="Arial"/>
          <w:color w:val="000000"/>
          <w:sz w:val="28"/>
          <w:szCs w:val="28"/>
          <w:lang w:eastAsia="fr-FR"/>
        </w:rPr>
      </w:pPr>
      <w:r w:rsidRPr="00EE3D9C">
        <w:rPr>
          <w:rFonts w:ascii="Arial" w:hAnsi="Arial" w:cs="Arial"/>
          <w:color w:val="000000"/>
          <w:sz w:val="28"/>
          <w:szCs w:val="28"/>
          <w:lang w:eastAsia="fr-FR"/>
        </w:rPr>
        <w:br w:type="page"/>
      </w:r>
    </w:p>
    <w:p w14:paraId="1BC6FB66" w14:textId="08FF759F" w:rsidR="00B90285" w:rsidRPr="008239A1" w:rsidRDefault="008239A1" w:rsidP="00E31A57">
      <w:pPr>
        <w:pStyle w:val="Titre1"/>
        <w:rPr>
          <w:caps/>
        </w:rPr>
      </w:pPr>
      <w:r w:rsidRPr="008239A1">
        <w:rPr>
          <w:caps/>
        </w:rPr>
        <w:lastRenderedPageBreak/>
        <w:t>Résumé</w:t>
      </w:r>
    </w:p>
    <w:p w14:paraId="0D8977B4" w14:textId="5A70284D" w:rsidR="002E4F47" w:rsidRPr="00811FAF" w:rsidRDefault="002E7E2A" w:rsidP="00D85E97">
      <w:pPr>
        <w:spacing w:before="100" w:beforeAutospacing="1" w:after="100" w:afterAutospacing="1"/>
        <w:jc w:val="both"/>
        <w:rPr>
          <w:rFonts w:ascii="Georgia" w:hAnsi="Georgia" w:cs="Arial"/>
          <w:color w:val="000000"/>
        </w:rPr>
      </w:pPr>
      <w:r w:rsidRPr="00811FAF">
        <w:rPr>
          <w:rFonts w:ascii="Georgia" w:hAnsi="Georgia" w:cs="Arial"/>
          <w:color w:val="000000"/>
        </w:rPr>
        <w:t>L’atelier de revue des interventions a été l’occasion de mettre en pratique une approche « Localisation, Population et saturation » dans l’analyse des interventions grâce aux études présentées qui ont permis de mieux comprendre la dynamique de l’épidémie et de déterminer les approches / interventions à haut impact, notamment :</w:t>
      </w:r>
    </w:p>
    <w:p w14:paraId="42AB9836" w14:textId="57937626" w:rsidR="002E7E2A" w:rsidRPr="00811FAF" w:rsidRDefault="002E7E2A" w:rsidP="00D85E97">
      <w:pPr>
        <w:pStyle w:val="Paragraphedeliste"/>
        <w:numPr>
          <w:ilvl w:val="0"/>
          <w:numId w:val="37"/>
        </w:numPr>
        <w:jc w:val="both"/>
        <w:rPr>
          <w:rFonts w:ascii="Georgia" w:hAnsi="Georgia" w:cs="Arial"/>
          <w:color w:val="000000"/>
        </w:rPr>
      </w:pPr>
      <w:r w:rsidRPr="00811FAF">
        <w:rPr>
          <w:rFonts w:ascii="Georgia" w:hAnsi="Georgia" w:cs="Arial"/>
          <w:color w:val="000000"/>
        </w:rPr>
        <w:t xml:space="preserve">Le Dépistage à l’initiative du soignant (dans les services hospitaliers, </w:t>
      </w:r>
      <w:r w:rsidR="00101DD0" w:rsidRPr="00811FAF">
        <w:rPr>
          <w:rFonts w:ascii="Georgia" w:hAnsi="Georgia" w:cs="Arial"/>
          <w:color w:val="000000"/>
        </w:rPr>
        <w:t>dans les services de prise en charge des patients tuberculeux, auprès</w:t>
      </w:r>
      <w:r w:rsidRPr="00811FAF">
        <w:rPr>
          <w:rFonts w:ascii="Georgia" w:hAnsi="Georgia" w:cs="Arial"/>
          <w:color w:val="000000"/>
        </w:rPr>
        <w:t xml:space="preserve"> des donneurs de sang, dans le cadre de la PTME, etc.)</w:t>
      </w:r>
      <w:r w:rsidR="00C2704A">
        <w:rPr>
          <w:rFonts w:ascii="Georgia" w:hAnsi="Georgia" w:cs="Arial"/>
          <w:color w:val="000000"/>
        </w:rPr>
        <w:t xml:space="preserve">  Les taux de séropositivités les plus élevés </w:t>
      </w:r>
      <w:r w:rsidR="00CD344A">
        <w:rPr>
          <w:rFonts w:ascii="Georgia" w:hAnsi="Georgia" w:cs="Arial"/>
          <w:color w:val="000000"/>
        </w:rPr>
        <w:t xml:space="preserve">sont </w:t>
      </w:r>
      <w:r w:rsidR="00C2704A">
        <w:rPr>
          <w:rFonts w:ascii="Georgia" w:hAnsi="Georgia" w:cs="Arial"/>
          <w:color w:val="000000"/>
        </w:rPr>
        <w:t>dans les stratégies de dépistage DCIS et TB/VIH.</w:t>
      </w:r>
    </w:p>
    <w:p w14:paraId="5AE8C8A4" w14:textId="7F86EB45" w:rsidR="002E7E2A" w:rsidRPr="00811FAF" w:rsidRDefault="00101DD0" w:rsidP="00D85E97">
      <w:pPr>
        <w:pStyle w:val="Paragraphedeliste"/>
        <w:numPr>
          <w:ilvl w:val="0"/>
          <w:numId w:val="37"/>
        </w:numPr>
        <w:jc w:val="both"/>
        <w:rPr>
          <w:rFonts w:ascii="Georgia" w:hAnsi="Georgia" w:cs="Arial"/>
          <w:color w:val="000000"/>
        </w:rPr>
      </w:pPr>
      <w:r w:rsidRPr="00811FAF">
        <w:rPr>
          <w:rFonts w:ascii="Georgia" w:hAnsi="Georgia" w:cs="Arial"/>
          <w:color w:val="000000"/>
        </w:rPr>
        <w:t>L’optimisation de la PTME</w:t>
      </w:r>
      <w:r w:rsidR="00921A06" w:rsidRPr="00811FAF">
        <w:rPr>
          <w:rFonts w:ascii="Georgia" w:hAnsi="Georgia" w:cs="Arial"/>
          <w:color w:val="000000"/>
        </w:rPr>
        <w:t xml:space="preserve"> (seulement 40% des femmes VVIH initient la PTME – Etude sur </w:t>
      </w:r>
      <w:r w:rsidR="00D475DD" w:rsidRPr="00811FAF">
        <w:rPr>
          <w:rFonts w:ascii="Georgia" w:hAnsi="Georgia" w:cs="Arial"/>
          <w:color w:val="000000"/>
        </w:rPr>
        <w:t>la couverture des interventions 2018)</w:t>
      </w:r>
    </w:p>
    <w:p w14:paraId="5C29202B" w14:textId="67E12935" w:rsidR="00C2704A" w:rsidRPr="00811FAF" w:rsidRDefault="00101DD0" w:rsidP="00D85E97">
      <w:pPr>
        <w:pStyle w:val="Paragraphedeliste"/>
        <w:numPr>
          <w:ilvl w:val="0"/>
          <w:numId w:val="37"/>
        </w:numPr>
        <w:jc w:val="both"/>
        <w:rPr>
          <w:rFonts w:ascii="Georgia" w:hAnsi="Georgia" w:cs="Arial"/>
          <w:color w:val="000000"/>
        </w:rPr>
      </w:pPr>
      <w:r w:rsidRPr="00811FAF">
        <w:rPr>
          <w:rFonts w:ascii="Georgia" w:hAnsi="Georgia" w:cs="Arial"/>
          <w:color w:val="000000"/>
        </w:rPr>
        <w:t>La réduction de la distance entre les patients et le traitement pour réduire le nombre de perdus de vue</w:t>
      </w:r>
    </w:p>
    <w:p w14:paraId="0DC486C1" w14:textId="3EE7C2CE" w:rsidR="00101DD0" w:rsidRPr="00811FAF" w:rsidRDefault="00101DD0" w:rsidP="00D85E97">
      <w:pPr>
        <w:spacing w:before="100" w:beforeAutospacing="1" w:after="100" w:afterAutospacing="1"/>
        <w:jc w:val="both"/>
        <w:rPr>
          <w:rFonts w:ascii="Georgia" w:hAnsi="Georgia" w:cs="Arial"/>
          <w:color w:val="000000"/>
        </w:rPr>
      </w:pPr>
      <w:r w:rsidRPr="00811FAF">
        <w:rPr>
          <w:rFonts w:ascii="Georgia" w:hAnsi="Georgia" w:cs="Arial"/>
          <w:color w:val="000000"/>
        </w:rPr>
        <w:t xml:space="preserve">Ces approches et interventions </w:t>
      </w:r>
      <w:r w:rsidR="005E152C" w:rsidRPr="00811FAF">
        <w:rPr>
          <w:rFonts w:ascii="Georgia" w:hAnsi="Georgia" w:cs="Arial"/>
          <w:color w:val="000000"/>
        </w:rPr>
        <w:t>identifiées</w:t>
      </w:r>
      <w:r w:rsidRPr="00811FAF">
        <w:rPr>
          <w:rFonts w:ascii="Georgia" w:hAnsi="Georgia" w:cs="Arial"/>
          <w:color w:val="000000"/>
        </w:rPr>
        <w:t xml:space="preserve"> par l’étude sur le dépistage différencié doivent être croisés avec :</w:t>
      </w:r>
    </w:p>
    <w:p w14:paraId="58DCA139" w14:textId="43F6C5F9" w:rsidR="00101DD0" w:rsidRPr="00811FAF" w:rsidRDefault="00101DD0" w:rsidP="00D85E97">
      <w:pPr>
        <w:pStyle w:val="Paragraphedeliste"/>
        <w:numPr>
          <w:ilvl w:val="0"/>
          <w:numId w:val="37"/>
        </w:numPr>
        <w:jc w:val="both"/>
        <w:rPr>
          <w:rFonts w:ascii="Georgia" w:hAnsi="Georgia" w:cs="Arial"/>
          <w:color w:val="000000"/>
        </w:rPr>
      </w:pPr>
      <w:r w:rsidRPr="00811FAF">
        <w:rPr>
          <w:rFonts w:ascii="Georgia" w:hAnsi="Georgia" w:cs="Arial"/>
          <w:color w:val="000000"/>
        </w:rPr>
        <w:t>Les données régionales qui permettent d’avancer les hypothèses suivantes :</w:t>
      </w:r>
    </w:p>
    <w:p w14:paraId="55707DDB" w14:textId="2DAEC36B" w:rsidR="00101DD0" w:rsidRPr="00811FAF" w:rsidRDefault="00101DD0" w:rsidP="00D85E97">
      <w:pPr>
        <w:pStyle w:val="Paragraphedeliste"/>
        <w:numPr>
          <w:ilvl w:val="1"/>
          <w:numId w:val="37"/>
        </w:numPr>
        <w:jc w:val="both"/>
        <w:rPr>
          <w:rFonts w:ascii="Georgia" w:hAnsi="Georgia" w:cs="Arial"/>
          <w:color w:val="000000"/>
        </w:rPr>
      </w:pPr>
      <w:r w:rsidRPr="00811FAF">
        <w:rPr>
          <w:rFonts w:ascii="Georgia" w:hAnsi="Georgia" w:cs="Arial"/>
          <w:color w:val="000000"/>
        </w:rPr>
        <w:t>Bonne saturation des services à Conakry avec un taux de couverture en ARV supérieur à 90%</w:t>
      </w:r>
    </w:p>
    <w:p w14:paraId="248BA675" w14:textId="572067CD" w:rsidR="00740BC4" w:rsidRPr="00811FAF" w:rsidRDefault="00C2704A" w:rsidP="00D85E97">
      <w:pPr>
        <w:pStyle w:val="Paragraphedeliste"/>
        <w:numPr>
          <w:ilvl w:val="1"/>
          <w:numId w:val="37"/>
        </w:numPr>
        <w:jc w:val="both"/>
        <w:rPr>
          <w:rFonts w:ascii="Georgia" w:hAnsi="Georgia" w:cs="Arial"/>
          <w:color w:val="000000"/>
        </w:rPr>
      </w:pPr>
      <w:r w:rsidRPr="00740BC4">
        <w:rPr>
          <w:rFonts w:ascii="Georgia" w:hAnsi="Georgia" w:cs="Arial"/>
          <w:color w:val="000000"/>
        </w:rPr>
        <w:t>Toutes les autres régions</w:t>
      </w:r>
      <w:r w:rsidR="00740BC4" w:rsidRPr="00811FAF">
        <w:rPr>
          <w:rFonts w:ascii="Georgia" w:hAnsi="Georgia" w:cs="Arial"/>
          <w:color w:val="000000"/>
        </w:rPr>
        <w:t xml:space="preserve"> ont besoin d’amélioration en couverture.  </w:t>
      </w:r>
    </w:p>
    <w:p w14:paraId="083BF0E5" w14:textId="4B053B94" w:rsidR="002E7E2A" w:rsidRPr="00811FAF" w:rsidRDefault="00C319BC" w:rsidP="00D85E97">
      <w:pPr>
        <w:pStyle w:val="Paragraphedeliste"/>
        <w:numPr>
          <w:ilvl w:val="0"/>
          <w:numId w:val="38"/>
        </w:numPr>
        <w:jc w:val="both"/>
        <w:rPr>
          <w:rFonts w:ascii="Georgia" w:hAnsi="Georgia" w:cs="Arial"/>
          <w:color w:val="000000"/>
        </w:rPr>
      </w:pPr>
      <w:r w:rsidRPr="00811FAF">
        <w:rPr>
          <w:rFonts w:ascii="Georgia" w:hAnsi="Georgia" w:cs="Arial"/>
          <w:color w:val="000000"/>
        </w:rPr>
        <w:t xml:space="preserve">Les données attendues de </w:t>
      </w:r>
    </w:p>
    <w:p w14:paraId="168A199C" w14:textId="05B4BF27" w:rsidR="00C319BC" w:rsidRPr="00811FAF" w:rsidRDefault="00C319BC" w:rsidP="00D85E97">
      <w:pPr>
        <w:pStyle w:val="Paragraphedeliste"/>
        <w:numPr>
          <w:ilvl w:val="1"/>
          <w:numId w:val="38"/>
        </w:numPr>
        <w:jc w:val="both"/>
        <w:rPr>
          <w:rFonts w:ascii="Georgia" w:hAnsi="Georgia" w:cs="Arial"/>
          <w:color w:val="000000"/>
        </w:rPr>
      </w:pPr>
      <w:r w:rsidRPr="00811FAF">
        <w:rPr>
          <w:rFonts w:ascii="Georgia" w:hAnsi="Georgia" w:cs="Arial"/>
          <w:color w:val="000000"/>
        </w:rPr>
        <w:t>L’étude en cours sur l</w:t>
      </w:r>
      <w:r w:rsidR="00C2704A">
        <w:rPr>
          <w:rFonts w:ascii="Georgia" w:hAnsi="Georgia" w:cs="Arial"/>
          <w:color w:val="000000"/>
        </w:rPr>
        <w:t xml:space="preserve">a qualité des interventions dans les </w:t>
      </w:r>
      <w:r w:rsidRPr="00811FAF">
        <w:rPr>
          <w:rFonts w:ascii="Georgia" w:hAnsi="Georgia" w:cs="Arial"/>
          <w:color w:val="000000"/>
        </w:rPr>
        <w:t>66 plus importants sites PTME</w:t>
      </w:r>
      <w:r w:rsidR="00773194">
        <w:rPr>
          <w:rFonts w:ascii="Georgia" w:hAnsi="Georgia" w:cs="Arial"/>
          <w:color w:val="000000"/>
        </w:rPr>
        <w:t xml:space="preserve"> en terme de nombres de femmes enceintes reçues en CPN et nombre de femmes enceintes vivant avec le VIH dépisté.</w:t>
      </w:r>
    </w:p>
    <w:p w14:paraId="67D7A253" w14:textId="2ACD921C" w:rsidR="002E7E2A" w:rsidRPr="00811FAF" w:rsidRDefault="00C319BC" w:rsidP="00D85E97">
      <w:pPr>
        <w:pStyle w:val="Paragraphedeliste"/>
        <w:numPr>
          <w:ilvl w:val="1"/>
          <w:numId w:val="38"/>
        </w:numPr>
        <w:jc w:val="both"/>
        <w:rPr>
          <w:rFonts w:ascii="Georgia" w:hAnsi="Georgia" w:cs="Arial"/>
          <w:color w:val="000000"/>
        </w:rPr>
      </w:pPr>
      <w:r w:rsidRPr="00811FAF">
        <w:rPr>
          <w:rFonts w:ascii="Georgia" w:hAnsi="Georgia" w:cs="Arial"/>
          <w:color w:val="000000"/>
        </w:rPr>
        <w:t>L’étude relative à la qualité des interventions dans les 28 plus importants sites de prise en charge (dont 13 à Conakry)</w:t>
      </w:r>
      <w:r w:rsidR="00773194">
        <w:rPr>
          <w:rFonts w:ascii="Georgia" w:hAnsi="Georgia" w:cs="Arial"/>
          <w:color w:val="000000"/>
        </w:rPr>
        <w:t xml:space="preserve"> qui représentent quasiment 90% de la file active nationale des personnes sous traitement ARV</w:t>
      </w:r>
      <w:r w:rsidRPr="00811FAF">
        <w:rPr>
          <w:rFonts w:ascii="Georgia" w:hAnsi="Georgia" w:cs="Arial"/>
          <w:color w:val="000000"/>
        </w:rPr>
        <w:t>.</w:t>
      </w:r>
    </w:p>
    <w:p w14:paraId="0A3B398B" w14:textId="19526C7F" w:rsidR="00C319BC" w:rsidRPr="00811FAF" w:rsidRDefault="00C319BC" w:rsidP="00D85E97">
      <w:pPr>
        <w:jc w:val="both"/>
        <w:rPr>
          <w:rFonts w:ascii="Georgia" w:hAnsi="Georgia" w:cs="Arial"/>
          <w:color w:val="000000"/>
        </w:rPr>
      </w:pPr>
      <w:r w:rsidRPr="00811FAF">
        <w:rPr>
          <w:rFonts w:ascii="Georgia" w:hAnsi="Georgia" w:cs="Arial"/>
          <w:color w:val="000000"/>
        </w:rPr>
        <w:t>D’ores et déjà, il ressort des études préliminaires et des discussions lors de l’atelier que les interventions seront concentrées sur :</w:t>
      </w:r>
    </w:p>
    <w:p w14:paraId="76D74025" w14:textId="21248A67" w:rsidR="00C319BC" w:rsidRPr="00811FAF" w:rsidRDefault="00C319BC" w:rsidP="00D85E97">
      <w:pPr>
        <w:pStyle w:val="Paragraphedeliste"/>
        <w:numPr>
          <w:ilvl w:val="0"/>
          <w:numId w:val="6"/>
        </w:numPr>
        <w:jc w:val="both"/>
        <w:rPr>
          <w:rFonts w:ascii="Georgia" w:hAnsi="Georgia" w:cs="Arial"/>
          <w:color w:val="000000"/>
        </w:rPr>
      </w:pPr>
      <w:r w:rsidRPr="00811FAF">
        <w:rPr>
          <w:rFonts w:ascii="Georgia" w:hAnsi="Georgia" w:cs="Arial"/>
          <w:color w:val="000000"/>
        </w:rPr>
        <w:t>L</w:t>
      </w:r>
      <w:r w:rsidR="00C2704A">
        <w:rPr>
          <w:rFonts w:ascii="Georgia" w:hAnsi="Georgia" w:cs="Arial"/>
          <w:color w:val="000000"/>
        </w:rPr>
        <w:t>’amélioration de la qualité des soins, mise sur traitement</w:t>
      </w:r>
      <w:r w:rsidR="00CD344A">
        <w:rPr>
          <w:rFonts w:ascii="Georgia" w:hAnsi="Georgia" w:cs="Arial"/>
          <w:color w:val="000000"/>
        </w:rPr>
        <w:t xml:space="preserve">, </w:t>
      </w:r>
      <w:r w:rsidR="00B846FF">
        <w:rPr>
          <w:rFonts w:ascii="Georgia" w:hAnsi="Georgia" w:cs="Arial"/>
          <w:color w:val="000000"/>
        </w:rPr>
        <w:t xml:space="preserve">rétention, </w:t>
      </w:r>
      <w:r w:rsidR="00CD344A">
        <w:rPr>
          <w:rFonts w:ascii="Georgia" w:hAnsi="Georgia" w:cs="Arial"/>
          <w:color w:val="000000"/>
        </w:rPr>
        <w:t>suivi biologique, S&amp;E, gestion de</w:t>
      </w:r>
      <w:r w:rsidR="00773194">
        <w:rPr>
          <w:rFonts w:ascii="Georgia" w:hAnsi="Georgia" w:cs="Arial"/>
          <w:color w:val="000000"/>
        </w:rPr>
        <w:t>s intrants (tests de dépistage, médicaments, etc.)</w:t>
      </w:r>
      <w:r w:rsidR="00CD344A">
        <w:rPr>
          <w:rFonts w:ascii="Georgia" w:hAnsi="Georgia" w:cs="Arial"/>
          <w:color w:val="000000"/>
        </w:rPr>
        <w:t>, soutien</w:t>
      </w:r>
      <w:r w:rsidR="00773194">
        <w:rPr>
          <w:rFonts w:ascii="Georgia" w:hAnsi="Georgia" w:cs="Arial"/>
          <w:color w:val="000000"/>
        </w:rPr>
        <w:t xml:space="preserve"> psychosocial, </w:t>
      </w:r>
      <w:r w:rsidR="00CD344A">
        <w:rPr>
          <w:rFonts w:ascii="Georgia" w:hAnsi="Georgia" w:cs="Arial"/>
          <w:color w:val="000000"/>
        </w:rPr>
        <w:t>etc.</w:t>
      </w:r>
      <w:r w:rsidR="00B77B5B">
        <w:rPr>
          <w:rFonts w:ascii="Georgia" w:hAnsi="Georgia" w:cs="Arial"/>
          <w:color w:val="000000"/>
        </w:rPr>
        <w:t xml:space="preserve"> dans les </w:t>
      </w:r>
      <w:r w:rsidR="00C2704A">
        <w:rPr>
          <w:rFonts w:ascii="Georgia" w:hAnsi="Georgia" w:cs="Arial"/>
          <w:color w:val="000000"/>
        </w:rPr>
        <w:t>28</w:t>
      </w:r>
      <w:r w:rsidRPr="00811FAF">
        <w:rPr>
          <w:rFonts w:ascii="Georgia" w:hAnsi="Georgia" w:cs="Arial"/>
          <w:color w:val="000000"/>
        </w:rPr>
        <w:t xml:space="preserve"> sites de PEC et les sites </w:t>
      </w:r>
      <w:r w:rsidR="00C2704A">
        <w:rPr>
          <w:rFonts w:ascii="Georgia" w:hAnsi="Georgia" w:cs="Arial"/>
          <w:color w:val="000000"/>
        </w:rPr>
        <w:t xml:space="preserve">66 </w:t>
      </w:r>
      <w:r w:rsidRPr="00811FAF">
        <w:rPr>
          <w:rFonts w:ascii="Georgia" w:hAnsi="Georgia" w:cs="Arial"/>
          <w:color w:val="000000"/>
        </w:rPr>
        <w:t>PTME les plus importants.</w:t>
      </w:r>
    </w:p>
    <w:p w14:paraId="697424AA" w14:textId="69EF75AC" w:rsidR="00C2704A" w:rsidRDefault="00C319BC" w:rsidP="00D85E97">
      <w:pPr>
        <w:pStyle w:val="Paragraphedeliste"/>
        <w:numPr>
          <w:ilvl w:val="0"/>
          <w:numId w:val="6"/>
        </w:numPr>
        <w:jc w:val="both"/>
        <w:rPr>
          <w:rFonts w:ascii="Georgia" w:hAnsi="Georgia" w:cs="Arial"/>
          <w:color w:val="000000"/>
        </w:rPr>
      </w:pPr>
      <w:r w:rsidRPr="00811FAF">
        <w:rPr>
          <w:rFonts w:ascii="Georgia" w:hAnsi="Georgia" w:cs="Arial"/>
          <w:color w:val="000000"/>
        </w:rPr>
        <w:t>Les sites de prise en charge de la tuberculose</w:t>
      </w:r>
      <w:r w:rsidR="00C2704A">
        <w:rPr>
          <w:rFonts w:ascii="Georgia" w:hAnsi="Georgia" w:cs="Arial"/>
          <w:color w:val="000000"/>
        </w:rPr>
        <w:t xml:space="preserve">, qui </w:t>
      </w:r>
      <w:r w:rsidR="001F6336">
        <w:rPr>
          <w:rFonts w:ascii="Georgia" w:hAnsi="Georgia" w:cs="Arial"/>
          <w:color w:val="000000"/>
        </w:rPr>
        <w:t>vont intégrer le dépistage et la prise en charge du</w:t>
      </w:r>
      <w:r w:rsidR="00A76257">
        <w:rPr>
          <w:rFonts w:ascii="Georgia" w:hAnsi="Georgia" w:cs="Arial"/>
          <w:color w:val="000000"/>
        </w:rPr>
        <w:t xml:space="preserve"> VIH,</w:t>
      </w:r>
      <w:r w:rsidR="001F6336">
        <w:rPr>
          <w:rFonts w:ascii="Georgia" w:hAnsi="Georgia" w:cs="Arial"/>
          <w:color w:val="000000"/>
        </w:rPr>
        <w:t xml:space="preserve"> avec le soutien d’</w:t>
      </w:r>
      <w:r w:rsidR="00CD344A">
        <w:rPr>
          <w:rFonts w:ascii="Georgia" w:hAnsi="Georgia" w:cs="Arial"/>
          <w:color w:val="000000"/>
        </w:rPr>
        <w:t>APS</w:t>
      </w:r>
      <w:r w:rsidR="00C2704A">
        <w:rPr>
          <w:rFonts w:ascii="Georgia" w:hAnsi="Georgia" w:cs="Arial"/>
          <w:color w:val="000000"/>
        </w:rPr>
        <w:t>.</w:t>
      </w:r>
      <w:r w:rsidR="00B846FF">
        <w:rPr>
          <w:rFonts w:ascii="Georgia" w:hAnsi="Georgia" w:cs="Arial"/>
          <w:color w:val="000000"/>
        </w:rPr>
        <w:t xml:space="preserve">  </w:t>
      </w:r>
    </w:p>
    <w:p w14:paraId="7BAC16D4" w14:textId="6181D3D1" w:rsidR="00C2704A" w:rsidRDefault="00C2704A" w:rsidP="00D85E97">
      <w:pPr>
        <w:pStyle w:val="Paragraphedeliste"/>
        <w:numPr>
          <w:ilvl w:val="0"/>
          <w:numId w:val="6"/>
        </w:numPr>
        <w:jc w:val="both"/>
        <w:rPr>
          <w:rFonts w:ascii="Georgia" w:hAnsi="Georgia" w:cs="Arial"/>
          <w:color w:val="000000"/>
        </w:rPr>
      </w:pPr>
      <w:r>
        <w:rPr>
          <w:rFonts w:ascii="Georgia" w:hAnsi="Georgia" w:cs="Arial"/>
          <w:color w:val="000000"/>
        </w:rPr>
        <w:t>L</w:t>
      </w:r>
      <w:r w:rsidR="00B77B5B">
        <w:rPr>
          <w:rFonts w:ascii="Georgia" w:hAnsi="Georgia" w:cs="Arial"/>
          <w:color w:val="000000"/>
        </w:rPr>
        <w:t>’extension du</w:t>
      </w:r>
      <w:r>
        <w:rPr>
          <w:rFonts w:ascii="Georgia" w:hAnsi="Georgia" w:cs="Arial"/>
          <w:color w:val="000000"/>
        </w:rPr>
        <w:t xml:space="preserve"> DCIS dans les hôpitaux</w:t>
      </w:r>
      <w:r w:rsidR="00766613">
        <w:rPr>
          <w:rFonts w:ascii="Georgia" w:hAnsi="Georgia" w:cs="Arial"/>
          <w:color w:val="000000"/>
        </w:rPr>
        <w:t xml:space="preserve"> et centres de santé</w:t>
      </w:r>
      <w:r w:rsidR="001F6336">
        <w:rPr>
          <w:rFonts w:ascii="Georgia" w:hAnsi="Georgia" w:cs="Arial"/>
          <w:color w:val="000000"/>
        </w:rPr>
        <w:t xml:space="preserve"> (soit par amélioration des pratiques professionnelles pour systématiser l’offre, ou par intégration complète)</w:t>
      </w:r>
      <w:r>
        <w:rPr>
          <w:rFonts w:ascii="Georgia" w:hAnsi="Georgia" w:cs="Arial"/>
          <w:color w:val="000000"/>
        </w:rPr>
        <w:t xml:space="preserve">. </w:t>
      </w:r>
    </w:p>
    <w:p w14:paraId="196730CC" w14:textId="05C19671" w:rsidR="00CD344A" w:rsidRDefault="001F6336" w:rsidP="00D85E97">
      <w:pPr>
        <w:pStyle w:val="Paragraphedeliste"/>
        <w:numPr>
          <w:ilvl w:val="0"/>
          <w:numId w:val="6"/>
        </w:numPr>
        <w:jc w:val="both"/>
        <w:rPr>
          <w:rFonts w:ascii="Georgia" w:hAnsi="Georgia" w:cs="Arial"/>
          <w:color w:val="000000"/>
        </w:rPr>
      </w:pPr>
      <w:r>
        <w:rPr>
          <w:rFonts w:ascii="Georgia" w:hAnsi="Georgia" w:cs="Arial"/>
          <w:color w:val="000000"/>
        </w:rPr>
        <w:t>La mise en œuvre du</w:t>
      </w:r>
      <w:r w:rsidR="00C2704A">
        <w:rPr>
          <w:rFonts w:ascii="Georgia" w:hAnsi="Georgia" w:cs="Arial"/>
          <w:color w:val="000000"/>
        </w:rPr>
        <w:t xml:space="preserve"> dépistage familiale/part</w:t>
      </w:r>
      <w:r w:rsidR="00C4579D">
        <w:rPr>
          <w:rFonts w:ascii="Georgia" w:hAnsi="Georgia" w:cs="Arial"/>
          <w:color w:val="000000"/>
        </w:rPr>
        <w:t>enaires/index à tous les points d’entrée du</w:t>
      </w:r>
      <w:r w:rsidR="00C2704A">
        <w:rPr>
          <w:rFonts w:ascii="Georgia" w:hAnsi="Georgia" w:cs="Arial"/>
          <w:color w:val="000000"/>
        </w:rPr>
        <w:t xml:space="preserve"> dépistage avec </w:t>
      </w:r>
      <w:r w:rsidR="00C4579D">
        <w:rPr>
          <w:rFonts w:ascii="Georgia" w:hAnsi="Georgia" w:cs="Arial"/>
          <w:color w:val="000000"/>
        </w:rPr>
        <w:t xml:space="preserve">le soutien des acteurs communautaires qu’ils soient </w:t>
      </w:r>
      <w:r w:rsidR="00C2704A">
        <w:rPr>
          <w:rFonts w:ascii="Georgia" w:hAnsi="Georgia" w:cs="Arial"/>
          <w:color w:val="000000"/>
        </w:rPr>
        <w:t>des APS</w:t>
      </w:r>
      <w:r w:rsidR="00CD344A">
        <w:rPr>
          <w:rFonts w:ascii="Georgia" w:hAnsi="Georgia" w:cs="Arial"/>
          <w:color w:val="000000"/>
        </w:rPr>
        <w:t>,</w:t>
      </w:r>
      <w:r w:rsidR="00C4579D">
        <w:rPr>
          <w:rFonts w:ascii="Georgia" w:hAnsi="Georgia" w:cs="Arial"/>
          <w:color w:val="000000"/>
        </w:rPr>
        <w:t xml:space="preserve"> membres des</w:t>
      </w:r>
      <w:r w:rsidR="00CD344A">
        <w:rPr>
          <w:rFonts w:ascii="Georgia" w:hAnsi="Georgia" w:cs="Arial"/>
          <w:color w:val="000000"/>
        </w:rPr>
        <w:t xml:space="preserve"> </w:t>
      </w:r>
      <w:r w:rsidR="00C4579D">
        <w:rPr>
          <w:rFonts w:ascii="Georgia" w:hAnsi="Georgia" w:cs="Arial"/>
          <w:color w:val="000000"/>
        </w:rPr>
        <w:t>r</w:t>
      </w:r>
      <w:r w:rsidR="00CD344A">
        <w:rPr>
          <w:rFonts w:ascii="Georgia" w:hAnsi="Georgia" w:cs="Arial"/>
          <w:color w:val="000000"/>
        </w:rPr>
        <w:t xml:space="preserve">éseaux </w:t>
      </w:r>
      <w:r w:rsidR="00C4579D">
        <w:rPr>
          <w:rFonts w:ascii="Georgia" w:hAnsi="Georgia" w:cs="Arial"/>
          <w:color w:val="000000"/>
        </w:rPr>
        <w:t xml:space="preserve">de </w:t>
      </w:r>
      <w:r w:rsidR="00CD344A">
        <w:rPr>
          <w:rFonts w:ascii="Georgia" w:hAnsi="Georgia" w:cs="Arial"/>
          <w:color w:val="000000"/>
        </w:rPr>
        <w:t>PVVIH</w:t>
      </w:r>
      <w:r w:rsidR="00C4579D">
        <w:rPr>
          <w:rFonts w:ascii="Georgia" w:hAnsi="Georgia" w:cs="Arial"/>
          <w:color w:val="000000"/>
        </w:rPr>
        <w:t>, etc.).</w:t>
      </w:r>
    </w:p>
    <w:p w14:paraId="34ADF4E1" w14:textId="1D0CBEB8" w:rsidR="0001676B" w:rsidRPr="00811FAF" w:rsidRDefault="00CD344A" w:rsidP="0001676B">
      <w:pPr>
        <w:pStyle w:val="Paragraphedeliste"/>
        <w:numPr>
          <w:ilvl w:val="0"/>
          <w:numId w:val="6"/>
        </w:numPr>
        <w:jc w:val="both"/>
        <w:rPr>
          <w:rFonts w:ascii="Georgia" w:hAnsi="Georgia" w:cs="Arial"/>
          <w:color w:val="000000"/>
        </w:rPr>
      </w:pPr>
      <w:r>
        <w:rPr>
          <w:rFonts w:ascii="Georgia" w:hAnsi="Georgia" w:cs="Arial"/>
          <w:color w:val="000000"/>
        </w:rPr>
        <w:lastRenderedPageBreak/>
        <w:t>S</w:t>
      </w:r>
      <w:r w:rsidR="00B96FFA" w:rsidRPr="00811FAF">
        <w:rPr>
          <w:rFonts w:ascii="Georgia" w:hAnsi="Georgia" w:cs="Arial"/>
          <w:color w:val="000000"/>
        </w:rPr>
        <w:t>patialisation des données disponibles et à venir (taille des populations, lieux de rencontre, lieux de prestation des services, etc.) car cela va permettre de faire coïncider au maximum les services avec les populations prioritaires et avec la dynamique de l’épidémie.</w:t>
      </w:r>
      <w:r w:rsidR="0001676B">
        <w:rPr>
          <w:rFonts w:ascii="Georgia" w:hAnsi="Georgia" w:cs="Arial"/>
          <w:color w:val="000000"/>
        </w:rPr>
        <w:t xml:space="preserve"> (Populations à cibler ? orpailleurs, miniers, pécheurs, HSH, PS, routiers, HFU, prisonniers / localisation optimale des sites de PEC, de dépistage, etc.).</w:t>
      </w:r>
    </w:p>
    <w:p w14:paraId="1513645C" w14:textId="3AB28AF2" w:rsidR="00CD344A" w:rsidRDefault="0001676B" w:rsidP="00D85E97">
      <w:pPr>
        <w:pStyle w:val="Paragraphedeliste"/>
        <w:numPr>
          <w:ilvl w:val="0"/>
          <w:numId w:val="6"/>
        </w:numPr>
        <w:jc w:val="both"/>
        <w:rPr>
          <w:rFonts w:ascii="Georgia" w:hAnsi="Georgia" w:cs="Arial"/>
          <w:color w:val="000000"/>
        </w:rPr>
      </w:pPr>
      <w:r>
        <w:rPr>
          <w:rFonts w:ascii="Georgia" w:hAnsi="Georgia" w:cs="Arial"/>
          <w:color w:val="000000"/>
        </w:rPr>
        <w:t>Amélioration du</w:t>
      </w:r>
      <w:r w:rsidR="00CD344A">
        <w:rPr>
          <w:rFonts w:ascii="Georgia" w:hAnsi="Georgia" w:cs="Arial"/>
          <w:color w:val="000000"/>
        </w:rPr>
        <w:t xml:space="preserve"> système MSR et </w:t>
      </w:r>
      <w:r>
        <w:rPr>
          <w:rFonts w:ascii="Georgia" w:hAnsi="Georgia" w:cs="Arial"/>
          <w:color w:val="000000"/>
        </w:rPr>
        <w:t>mise en place du</w:t>
      </w:r>
      <w:r w:rsidR="00CD344A">
        <w:rPr>
          <w:rFonts w:ascii="Georgia" w:hAnsi="Georgia" w:cs="Arial"/>
          <w:color w:val="000000"/>
        </w:rPr>
        <w:t xml:space="preserve"> pilot</w:t>
      </w:r>
      <w:r>
        <w:rPr>
          <w:rFonts w:ascii="Georgia" w:hAnsi="Georgia" w:cs="Arial"/>
          <w:color w:val="000000"/>
        </w:rPr>
        <w:t>e du</w:t>
      </w:r>
      <w:r w:rsidR="00CD344A">
        <w:rPr>
          <w:rFonts w:ascii="Georgia" w:hAnsi="Georgia" w:cs="Arial"/>
          <w:color w:val="000000"/>
        </w:rPr>
        <w:t xml:space="preserve"> </w:t>
      </w:r>
      <w:r>
        <w:rPr>
          <w:rFonts w:ascii="Georgia" w:hAnsi="Georgia" w:cs="Arial"/>
          <w:color w:val="000000"/>
        </w:rPr>
        <w:t>« </w:t>
      </w:r>
      <w:r w:rsidR="00CD344A">
        <w:rPr>
          <w:rFonts w:ascii="Georgia" w:hAnsi="Georgia" w:cs="Arial"/>
          <w:color w:val="000000"/>
        </w:rPr>
        <w:t>patient tracker</w:t>
      </w:r>
      <w:r>
        <w:rPr>
          <w:rFonts w:ascii="Georgia" w:hAnsi="Georgia" w:cs="Arial"/>
          <w:color w:val="000000"/>
        </w:rPr>
        <w:t> »</w:t>
      </w:r>
      <w:r w:rsidR="00CD344A">
        <w:rPr>
          <w:rFonts w:ascii="Georgia" w:hAnsi="Georgia" w:cs="Arial"/>
          <w:color w:val="000000"/>
        </w:rPr>
        <w:t xml:space="preserve">.  Revue et réduction et </w:t>
      </w:r>
      <w:r w:rsidR="00B846FF">
        <w:rPr>
          <w:rFonts w:ascii="Georgia" w:hAnsi="Georgia" w:cs="Arial"/>
          <w:color w:val="000000"/>
        </w:rPr>
        <w:t>révision</w:t>
      </w:r>
      <w:r w:rsidR="00CD344A">
        <w:rPr>
          <w:rFonts w:ascii="Georgia" w:hAnsi="Georgia" w:cs="Arial"/>
          <w:color w:val="000000"/>
        </w:rPr>
        <w:t xml:space="preserve"> des outils de collectes et des indicateurs.  </w:t>
      </w:r>
    </w:p>
    <w:p w14:paraId="318761D0" w14:textId="23A1924D" w:rsidR="00CD344A" w:rsidRDefault="00B846FF" w:rsidP="00D85E97">
      <w:pPr>
        <w:pStyle w:val="Paragraphedeliste"/>
        <w:numPr>
          <w:ilvl w:val="0"/>
          <w:numId w:val="6"/>
        </w:numPr>
        <w:jc w:val="both"/>
        <w:rPr>
          <w:rFonts w:ascii="Georgia" w:hAnsi="Georgia" w:cs="Arial"/>
          <w:color w:val="000000"/>
        </w:rPr>
      </w:pPr>
      <w:r>
        <w:rPr>
          <w:rFonts w:ascii="Georgia" w:hAnsi="Georgia" w:cs="Arial"/>
          <w:color w:val="000000"/>
        </w:rPr>
        <w:t>Amélioration de</w:t>
      </w:r>
      <w:r w:rsidR="0001676B">
        <w:rPr>
          <w:rFonts w:ascii="Georgia" w:hAnsi="Georgia" w:cs="Arial"/>
          <w:color w:val="000000"/>
        </w:rPr>
        <w:t xml:space="preserve"> la</w:t>
      </w:r>
      <w:r>
        <w:rPr>
          <w:rFonts w:ascii="Georgia" w:hAnsi="Georgia" w:cs="Arial"/>
          <w:color w:val="000000"/>
        </w:rPr>
        <w:t xml:space="preserve"> chaine d’approvisionnement et </w:t>
      </w:r>
      <w:r w:rsidR="0001676B">
        <w:rPr>
          <w:rFonts w:ascii="Georgia" w:hAnsi="Georgia" w:cs="Arial"/>
          <w:color w:val="000000"/>
        </w:rPr>
        <w:t xml:space="preserve">de la </w:t>
      </w:r>
      <w:r>
        <w:rPr>
          <w:rFonts w:ascii="Georgia" w:hAnsi="Georgia" w:cs="Arial"/>
          <w:color w:val="000000"/>
        </w:rPr>
        <w:t>gestion des intrants dans les sites.</w:t>
      </w:r>
    </w:p>
    <w:p w14:paraId="070DB364" w14:textId="422618D2" w:rsidR="00B846FF" w:rsidRDefault="0001676B" w:rsidP="00D85E97">
      <w:pPr>
        <w:pStyle w:val="Paragraphedeliste"/>
        <w:numPr>
          <w:ilvl w:val="0"/>
          <w:numId w:val="6"/>
        </w:numPr>
        <w:jc w:val="both"/>
        <w:rPr>
          <w:rFonts w:ascii="Georgia" w:hAnsi="Georgia" w:cs="Arial"/>
          <w:color w:val="000000"/>
        </w:rPr>
      </w:pPr>
      <w:r>
        <w:rPr>
          <w:rFonts w:ascii="Georgia" w:hAnsi="Georgia" w:cs="Arial"/>
          <w:color w:val="000000"/>
        </w:rPr>
        <w:t>Interopérabilité des donnée</w:t>
      </w:r>
      <w:r w:rsidR="00B846FF">
        <w:rPr>
          <w:rFonts w:ascii="Georgia" w:hAnsi="Georgia" w:cs="Arial"/>
          <w:color w:val="000000"/>
        </w:rPr>
        <w:t>s SNIS avec les données SIGL</w:t>
      </w:r>
    </w:p>
    <w:p w14:paraId="733A90B4" w14:textId="195FAFCC" w:rsidR="00B846FF" w:rsidRDefault="00B77B5B" w:rsidP="00D85E97">
      <w:pPr>
        <w:pStyle w:val="Paragraphedeliste"/>
        <w:numPr>
          <w:ilvl w:val="0"/>
          <w:numId w:val="6"/>
        </w:numPr>
        <w:jc w:val="both"/>
        <w:rPr>
          <w:rFonts w:ascii="Georgia" w:hAnsi="Georgia" w:cs="Arial"/>
          <w:color w:val="000000"/>
        </w:rPr>
      </w:pPr>
      <w:r>
        <w:rPr>
          <w:rFonts w:ascii="Georgia" w:hAnsi="Georgia" w:cs="Arial"/>
          <w:color w:val="000000"/>
        </w:rPr>
        <w:t>Réduction</w:t>
      </w:r>
      <w:r w:rsidR="00B846FF">
        <w:rPr>
          <w:rFonts w:ascii="Georgia" w:hAnsi="Georgia" w:cs="Arial"/>
          <w:color w:val="000000"/>
        </w:rPr>
        <w:t xml:space="preserve"> dans le nombre d’études mené.  (ESCOMB, Cartographie et estimation des tailles des populations, </w:t>
      </w:r>
      <w:r w:rsidR="00811FAF">
        <w:rPr>
          <w:rFonts w:ascii="Georgia" w:hAnsi="Georgia" w:cs="Arial"/>
          <w:color w:val="000000"/>
        </w:rPr>
        <w:t>surveillance sentinelle)</w:t>
      </w:r>
    </w:p>
    <w:p w14:paraId="081979B4" w14:textId="7707246F" w:rsidR="00B846FF" w:rsidRPr="00811FAF" w:rsidRDefault="00B846FF" w:rsidP="00D85E97">
      <w:pPr>
        <w:pStyle w:val="Paragraphedeliste"/>
        <w:numPr>
          <w:ilvl w:val="0"/>
          <w:numId w:val="6"/>
        </w:numPr>
        <w:jc w:val="both"/>
        <w:rPr>
          <w:rFonts w:ascii="Georgia" w:hAnsi="Georgia" w:cs="Arial"/>
          <w:color w:val="000000"/>
        </w:rPr>
      </w:pPr>
      <w:r>
        <w:rPr>
          <w:rFonts w:ascii="Georgia" w:hAnsi="Georgia" w:cs="Arial"/>
          <w:color w:val="000000"/>
        </w:rPr>
        <w:t>Revue et Révision des protocoles des études pour s’assurer qu’ils sont align</w:t>
      </w:r>
      <w:r w:rsidR="0001676B">
        <w:rPr>
          <w:rFonts w:ascii="Georgia" w:hAnsi="Georgia" w:cs="Arial"/>
          <w:color w:val="000000"/>
        </w:rPr>
        <w:t>és avec les normes internationales</w:t>
      </w:r>
      <w:r>
        <w:rPr>
          <w:rFonts w:ascii="Georgia" w:hAnsi="Georgia" w:cs="Arial"/>
          <w:color w:val="000000"/>
        </w:rPr>
        <w:t xml:space="preserve">.  </w:t>
      </w:r>
    </w:p>
    <w:p w14:paraId="383758FD" w14:textId="171AE152" w:rsidR="003D48E3" w:rsidRPr="00811FAF" w:rsidRDefault="003D48E3" w:rsidP="00D85E97">
      <w:pPr>
        <w:jc w:val="both"/>
        <w:rPr>
          <w:rFonts w:ascii="Georgia" w:hAnsi="Georgia" w:cs="Arial"/>
          <w:color w:val="000000"/>
        </w:rPr>
      </w:pPr>
      <w:r w:rsidRPr="00811FAF">
        <w:rPr>
          <w:rFonts w:ascii="Georgia" w:hAnsi="Georgia" w:cs="Arial"/>
          <w:color w:val="000000"/>
        </w:rPr>
        <w:br w:type="page"/>
      </w:r>
    </w:p>
    <w:p w14:paraId="2A7C77A1" w14:textId="5BA0FF77" w:rsidR="00B96FFA" w:rsidRDefault="00B96FFA" w:rsidP="00D85E97">
      <w:pPr>
        <w:pStyle w:val="Titre1"/>
        <w:numPr>
          <w:ilvl w:val="0"/>
          <w:numId w:val="0"/>
        </w:numPr>
        <w:jc w:val="both"/>
        <w:rPr>
          <w:rFonts w:ascii="Arial" w:eastAsiaTheme="minorHAnsi" w:hAnsi="Arial" w:cs="Arial"/>
          <w:color w:val="000000"/>
          <w:sz w:val="24"/>
          <w:szCs w:val="24"/>
        </w:rPr>
      </w:pPr>
    </w:p>
    <w:p w14:paraId="01896D03" w14:textId="5955D273" w:rsidR="00FA463F" w:rsidRPr="008239A1" w:rsidRDefault="008239A1" w:rsidP="0001676B">
      <w:pPr>
        <w:pStyle w:val="Titre1"/>
        <w:rPr>
          <w:caps/>
        </w:rPr>
      </w:pPr>
      <w:r w:rsidRPr="008239A1">
        <w:rPr>
          <w:caps/>
        </w:rPr>
        <w:t>DONNé</w:t>
      </w:r>
      <w:r w:rsidR="0001676B" w:rsidRPr="008239A1">
        <w:rPr>
          <w:caps/>
        </w:rPr>
        <w:t>ES</w:t>
      </w:r>
      <w:r w:rsidR="00FA463F" w:rsidRPr="008239A1">
        <w:rPr>
          <w:caps/>
        </w:rPr>
        <w:t xml:space="preserve"> </w:t>
      </w:r>
      <w:r w:rsidR="00B90285" w:rsidRPr="008239A1">
        <w:rPr>
          <w:caps/>
        </w:rPr>
        <w:t>POUR LA PRISE DE LA DECISION</w:t>
      </w:r>
    </w:p>
    <w:p w14:paraId="42D3FCB2" w14:textId="59920850" w:rsidR="005E6F65" w:rsidRDefault="005E6F65" w:rsidP="00D85E97">
      <w:pPr>
        <w:jc w:val="both"/>
        <w:rPr>
          <w:rFonts w:ascii="Georgia" w:hAnsi="Georgia"/>
        </w:rPr>
      </w:pPr>
    </w:p>
    <w:tbl>
      <w:tblPr>
        <w:tblStyle w:val="Grilledutableau"/>
        <w:tblW w:w="9331" w:type="dxa"/>
        <w:tblLook w:val="04A0" w:firstRow="1" w:lastRow="0" w:firstColumn="1" w:lastColumn="0" w:noHBand="0" w:noVBand="1"/>
      </w:tblPr>
      <w:tblGrid>
        <w:gridCol w:w="1851"/>
        <w:gridCol w:w="1085"/>
        <w:gridCol w:w="1494"/>
        <w:gridCol w:w="1450"/>
        <w:gridCol w:w="1736"/>
        <w:gridCol w:w="1715"/>
      </w:tblGrid>
      <w:tr w:rsidR="006B43EB" w:rsidRPr="005D4E0F" w14:paraId="55A7C0F0" w14:textId="77777777" w:rsidTr="0028221D">
        <w:tc>
          <w:tcPr>
            <w:tcW w:w="1879" w:type="dxa"/>
          </w:tcPr>
          <w:p w14:paraId="1346D994" w14:textId="77777777" w:rsidR="006B43EB" w:rsidRPr="005D4E0F" w:rsidRDefault="006B43EB" w:rsidP="00D85E97">
            <w:pPr>
              <w:keepNext/>
              <w:jc w:val="both"/>
              <w:rPr>
                <w:rFonts w:ascii="Georgia" w:hAnsi="Georgia" w:cstheme="minorHAnsi"/>
                <w:b/>
                <w:sz w:val="20"/>
                <w:szCs w:val="20"/>
              </w:rPr>
            </w:pPr>
            <w:r w:rsidRPr="005D4E0F">
              <w:rPr>
                <w:rFonts w:ascii="Georgia" w:hAnsi="Georgia" w:cstheme="minorHAnsi"/>
                <w:b/>
                <w:sz w:val="20"/>
                <w:szCs w:val="20"/>
              </w:rPr>
              <w:t>Personnes vivant avec le VIH</w:t>
            </w:r>
          </w:p>
        </w:tc>
        <w:tc>
          <w:tcPr>
            <w:tcW w:w="1086" w:type="dxa"/>
          </w:tcPr>
          <w:p w14:paraId="2015BDBD" w14:textId="77777777" w:rsidR="006B43EB" w:rsidRPr="005D4E0F" w:rsidRDefault="006B43EB" w:rsidP="00D85E97">
            <w:pPr>
              <w:keepNext/>
              <w:jc w:val="both"/>
              <w:rPr>
                <w:rFonts w:ascii="Georgia" w:hAnsi="Georgia" w:cstheme="minorHAnsi"/>
                <w:b/>
                <w:sz w:val="20"/>
                <w:szCs w:val="20"/>
              </w:rPr>
            </w:pPr>
            <w:r w:rsidRPr="005D4E0F">
              <w:rPr>
                <w:rFonts w:ascii="Georgia" w:hAnsi="Georgia" w:cstheme="minorHAnsi"/>
                <w:b/>
                <w:sz w:val="20"/>
                <w:szCs w:val="20"/>
              </w:rPr>
              <w:t>Nombre total</w:t>
            </w:r>
            <w:r w:rsidRPr="005D4E0F">
              <w:rPr>
                <w:rFonts w:ascii="Georgia" w:hAnsi="Georgia" w:cstheme="minorHAnsi"/>
                <w:b/>
                <w:sz w:val="20"/>
                <w:szCs w:val="20"/>
                <w:vertAlign w:val="superscript"/>
              </w:rPr>
              <w:t>*</w:t>
            </w:r>
          </w:p>
        </w:tc>
        <w:tc>
          <w:tcPr>
            <w:tcW w:w="1430" w:type="dxa"/>
          </w:tcPr>
          <w:p w14:paraId="7D1CAD42" w14:textId="77777777" w:rsidR="006B43EB" w:rsidRPr="005D4E0F" w:rsidRDefault="006B43EB" w:rsidP="00D85E97">
            <w:pPr>
              <w:keepNext/>
              <w:jc w:val="both"/>
              <w:rPr>
                <w:rFonts w:ascii="Georgia" w:hAnsi="Georgia" w:cstheme="minorHAnsi"/>
                <w:b/>
                <w:sz w:val="20"/>
                <w:szCs w:val="20"/>
              </w:rPr>
            </w:pPr>
            <w:r w:rsidRPr="005D4E0F">
              <w:rPr>
                <w:rFonts w:ascii="Georgia" w:hAnsi="Georgia" w:cstheme="minorHAnsi"/>
                <w:b/>
                <w:sz w:val="20"/>
                <w:szCs w:val="20"/>
              </w:rPr>
              <w:t>Connaissant leur statut</w:t>
            </w:r>
          </w:p>
        </w:tc>
        <w:tc>
          <w:tcPr>
            <w:tcW w:w="1457" w:type="dxa"/>
          </w:tcPr>
          <w:p w14:paraId="502FC69F" w14:textId="77777777" w:rsidR="006B43EB" w:rsidRPr="005D4E0F" w:rsidRDefault="006B43EB" w:rsidP="00D85E97">
            <w:pPr>
              <w:keepNext/>
              <w:jc w:val="both"/>
              <w:rPr>
                <w:rFonts w:ascii="Georgia" w:hAnsi="Georgia" w:cstheme="minorHAnsi"/>
                <w:b/>
                <w:sz w:val="20"/>
                <w:szCs w:val="20"/>
              </w:rPr>
            </w:pPr>
            <w:r w:rsidRPr="005D4E0F">
              <w:rPr>
                <w:rFonts w:ascii="Georgia" w:hAnsi="Georgia" w:cstheme="minorHAnsi"/>
                <w:b/>
                <w:sz w:val="20"/>
                <w:szCs w:val="20"/>
              </w:rPr>
              <w:t>Sous traitement ARV</w:t>
            </w:r>
            <w:r w:rsidRPr="005D4E0F">
              <w:rPr>
                <w:rFonts w:ascii="Georgia" w:hAnsi="Georgia" w:cstheme="minorHAnsi"/>
                <w:sz w:val="20"/>
                <w:szCs w:val="20"/>
                <w:vertAlign w:val="superscript"/>
              </w:rPr>
              <w:t>**</w:t>
            </w:r>
          </w:p>
        </w:tc>
        <w:tc>
          <w:tcPr>
            <w:tcW w:w="1744" w:type="dxa"/>
          </w:tcPr>
          <w:p w14:paraId="53E38F29" w14:textId="77777777" w:rsidR="006B43EB" w:rsidRPr="005D4E0F" w:rsidRDefault="006B43EB" w:rsidP="00D85E97">
            <w:pPr>
              <w:keepNext/>
              <w:jc w:val="both"/>
              <w:rPr>
                <w:rFonts w:ascii="Georgia" w:hAnsi="Georgia" w:cstheme="minorHAnsi"/>
                <w:b/>
                <w:sz w:val="20"/>
                <w:szCs w:val="20"/>
              </w:rPr>
            </w:pPr>
            <w:r w:rsidRPr="005D4E0F">
              <w:rPr>
                <w:rFonts w:ascii="Georgia" w:hAnsi="Georgia" w:cstheme="minorHAnsi"/>
                <w:b/>
                <w:sz w:val="20"/>
                <w:szCs w:val="20"/>
              </w:rPr>
              <w:t xml:space="preserve">Charge virale </w:t>
            </w:r>
            <w:r w:rsidRPr="005D4E0F">
              <w:rPr>
                <w:rFonts w:ascii="Georgia" w:hAnsi="Georgia" w:cstheme="minorHAnsi"/>
                <w:b/>
                <w:sz w:val="20"/>
                <w:szCs w:val="20"/>
                <w:highlight w:val="yellow"/>
              </w:rPr>
              <w:t>supprimée</w:t>
            </w:r>
            <w:r w:rsidRPr="005D4E0F">
              <w:rPr>
                <w:rFonts w:ascii="Georgia" w:hAnsi="Georgia" w:cstheme="minorHAnsi"/>
                <w:sz w:val="20"/>
                <w:szCs w:val="20"/>
                <w:vertAlign w:val="superscript"/>
              </w:rPr>
              <w:t>****</w:t>
            </w:r>
          </w:p>
        </w:tc>
        <w:tc>
          <w:tcPr>
            <w:tcW w:w="1735" w:type="dxa"/>
          </w:tcPr>
          <w:p w14:paraId="5BF80A15" w14:textId="77777777" w:rsidR="006B43EB" w:rsidRPr="005D4E0F" w:rsidRDefault="006B43EB" w:rsidP="00D85E97">
            <w:pPr>
              <w:keepNext/>
              <w:jc w:val="both"/>
              <w:rPr>
                <w:rFonts w:ascii="Georgia" w:hAnsi="Georgia" w:cstheme="minorHAnsi"/>
                <w:b/>
                <w:sz w:val="20"/>
                <w:szCs w:val="20"/>
              </w:rPr>
            </w:pPr>
            <w:r w:rsidRPr="005D4E0F">
              <w:rPr>
                <w:rFonts w:ascii="Georgia" w:hAnsi="Georgia" w:cstheme="minorHAnsi"/>
                <w:b/>
                <w:sz w:val="20"/>
                <w:szCs w:val="20"/>
              </w:rPr>
              <w:t>Sous traitement ARV après 12 mois</w:t>
            </w:r>
            <w:r w:rsidRPr="005D4E0F">
              <w:rPr>
                <w:rFonts w:ascii="Georgia" w:hAnsi="Georgia" w:cstheme="minorHAnsi"/>
                <w:sz w:val="20"/>
                <w:szCs w:val="20"/>
                <w:vertAlign w:val="superscript"/>
              </w:rPr>
              <w:t>***</w:t>
            </w:r>
          </w:p>
        </w:tc>
      </w:tr>
      <w:tr w:rsidR="006B43EB" w:rsidRPr="005D4E0F" w14:paraId="353C27F4" w14:textId="77777777" w:rsidTr="0028221D">
        <w:tc>
          <w:tcPr>
            <w:tcW w:w="1879" w:type="dxa"/>
          </w:tcPr>
          <w:p w14:paraId="1FA193F3"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Total</w:t>
            </w:r>
          </w:p>
        </w:tc>
        <w:tc>
          <w:tcPr>
            <w:tcW w:w="1086" w:type="dxa"/>
          </w:tcPr>
          <w:p w14:paraId="14B5A62D"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129 140</w:t>
            </w:r>
          </w:p>
        </w:tc>
        <w:tc>
          <w:tcPr>
            <w:tcW w:w="1430" w:type="dxa"/>
          </w:tcPr>
          <w:p w14:paraId="17B4B81C" w14:textId="77777777" w:rsidR="006B43EB" w:rsidRPr="005D4E0F" w:rsidRDefault="006B43EB" w:rsidP="00D85E97">
            <w:pPr>
              <w:keepNext/>
              <w:jc w:val="both"/>
              <w:rPr>
                <w:rFonts w:ascii="Georgia" w:hAnsi="Georgia" w:cstheme="minorHAnsi"/>
                <w:sz w:val="20"/>
                <w:szCs w:val="20"/>
              </w:rPr>
            </w:pPr>
          </w:p>
        </w:tc>
        <w:tc>
          <w:tcPr>
            <w:tcW w:w="1457" w:type="dxa"/>
          </w:tcPr>
          <w:p w14:paraId="0B07C0A6"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42 214</w:t>
            </w:r>
          </w:p>
        </w:tc>
        <w:tc>
          <w:tcPr>
            <w:tcW w:w="1744" w:type="dxa"/>
          </w:tcPr>
          <w:p w14:paraId="437655CE" w14:textId="77777777" w:rsidR="006B43EB" w:rsidRPr="005D4E0F" w:rsidRDefault="006B43EB" w:rsidP="00D85E97">
            <w:pPr>
              <w:jc w:val="both"/>
              <w:rPr>
                <w:rFonts w:ascii="Georgia" w:hAnsi="Georgia" w:cs="Calibri"/>
                <w:color w:val="000000"/>
                <w:sz w:val="20"/>
                <w:szCs w:val="20"/>
              </w:rPr>
            </w:pPr>
            <w:r w:rsidRPr="005D4E0F">
              <w:rPr>
                <w:rFonts w:ascii="Georgia" w:hAnsi="Georgia" w:cstheme="minorHAnsi"/>
                <w:sz w:val="20"/>
                <w:szCs w:val="20"/>
              </w:rPr>
              <w:t>37 486</w:t>
            </w:r>
          </w:p>
        </w:tc>
        <w:tc>
          <w:tcPr>
            <w:tcW w:w="1735" w:type="dxa"/>
          </w:tcPr>
          <w:p w14:paraId="2DC68DD6" w14:textId="77777777" w:rsidR="006B43EB" w:rsidRPr="005D4E0F" w:rsidRDefault="006B43EB" w:rsidP="00D85E97">
            <w:pPr>
              <w:jc w:val="both"/>
              <w:rPr>
                <w:rFonts w:ascii="Georgia" w:hAnsi="Georgia" w:cs="Calibri"/>
                <w:color w:val="000000"/>
                <w:sz w:val="20"/>
                <w:szCs w:val="20"/>
              </w:rPr>
            </w:pPr>
            <w:r w:rsidRPr="005D4E0F">
              <w:rPr>
                <w:rFonts w:ascii="Georgia" w:hAnsi="Georgia" w:cs="Calibri"/>
                <w:color w:val="000000"/>
                <w:sz w:val="20"/>
                <w:szCs w:val="20"/>
              </w:rPr>
              <w:t>27 439</w:t>
            </w:r>
          </w:p>
        </w:tc>
      </w:tr>
      <w:tr w:rsidR="006B43EB" w:rsidRPr="005D4E0F" w14:paraId="206A8E2C" w14:textId="77777777" w:rsidTr="0028221D">
        <w:tc>
          <w:tcPr>
            <w:tcW w:w="1879" w:type="dxa"/>
          </w:tcPr>
          <w:p w14:paraId="5FD593FB"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Adultes (plus de 15 ans)</w:t>
            </w:r>
          </w:p>
        </w:tc>
        <w:tc>
          <w:tcPr>
            <w:tcW w:w="1086" w:type="dxa"/>
          </w:tcPr>
          <w:p w14:paraId="1F9AE3F2"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118 878</w:t>
            </w:r>
          </w:p>
        </w:tc>
        <w:tc>
          <w:tcPr>
            <w:tcW w:w="1430" w:type="dxa"/>
          </w:tcPr>
          <w:p w14:paraId="142773A3"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59 201</w:t>
            </w:r>
          </w:p>
        </w:tc>
        <w:tc>
          <w:tcPr>
            <w:tcW w:w="1457" w:type="dxa"/>
          </w:tcPr>
          <w:p w14:paraId="488BFAF2"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40 363</w:t>
            </w:r>
          </w:p>
        </w:tc>
        <w:tc>
          <w:tcPr>
            <w:tcW w:w="1744" w:type="dxa"/>
          </w:tcPr>
          <w:p w14:paraId="3D2701BD" w14:textId="77777777" w:rsidR="006B43EB" w:rsidRPr="005D4E0F" w:rsidRDefault="006B43EB" w:rsidP="00D85E97">
            <w:pPr>
              <w:jc w:val="both"/>
              <w:rPr>
                <w:rFonts w:ascii="Georgia" w:hAnsi="Georgia" w:cs="Calibri"/>
                <w:color w:val="000000"/>
                <w:sz w:val="20"/>
                <w:szCs w:val="20"/>
              </w:rPr>
            </w:pPr>
          </w:p>
        </w:tc>
        <w:tc>
          <w:tcPr>
            <w:tcW w:w="1735" w:type="dxa"/>
          </w:tcPr>
          <w:p w14:paraId="1C7A71C0" w14:textId="77777777" w:rsidR="006B43EB" w:rsidRPr="005D4E0F" w:rsidRDefault="006B43EB" w:rsidP="00D85E97">
            <w:pPr>
              <w:jc w:val="both"/>
              <w:rPr>
                <w:rFonts w:ascii="Georgia" w:hAnsi="Georgia" w:cs="Calibri"/>
                <w:color w:val="000000"/>
                <w:sz w:val="20"/>
                <w:szCs w:val="20"/>
              </w:rPr>
            </w:pPr>
          </w:p>
        </w:tc>
      </w:tr>
      <w:tr w:rsidR="006B43EB" w:rsidRPr="005D4E0F" w14:paraId="5D96B003" w14:textId="77777777" w:rsidTr="0028221D">
        <w:tc>
          <w:tcPr>
            <w:tcW w:w="1879" w:type="dxa"/>
          </w:tcPr>
          <w:p w14:paraId="32DCE309"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Femmes plus de 15 ans</w:t>
            </w:r>
          </w:p>
        </w:tc>
        <w:tc>
          <w:tcPr>
            <w:tcW w:w="1086" w:type="dxa"/>
          </w:tcPr>
          <w:p w14:paraId="5EFE9AD2" w14:textId="77777777" w:rsidR="006B43EB" w:rsidRPr="005D4E0F" w:rsidRDefault="006B43EB" w:rsidP="00D85E97">
            <w:pPr>
              <w:keepNext/>
              <w:jc w:val="both"/>
              <w:rPr>
                <w:rFonts w:ascii="Georgia" w:hAnsi="Georgia" w:cstheme="minorHAnsi"/>
                <w:sz w:val="20"/>
                <w:szCs w:val="20"/>
              </w:rPr>
            </w:pPr>
            <w:r w:rsidRPr="005D4E0F">
              <w:rPr>
                <w:rFonts w:ascii="Georgia" w:hAnsi="Georgia"/>
                <w:sz w:val="20"/>
                <w:szCs w:val="20"/>
              </w:rPr>
              <w:t>71 315</w:t>
            </w:r>
          </w:p>
        </w:tc>
        <w:tc>
          <w:tcPr>
            <w:tcW w:w="1430" w:type="dxa"/>
          </w:tcPr>
          <w:p w14:paraId="68866039"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35 729</w:t>
            </w:r>
          </w:p>
        </w:tc>
        <w:tc>
          <w:tcPr>
            <w:tcW w:w="1457" w:type="dxa"/>
          </w:tcPr>
          <w:p w14:paraId="0626672B"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27 714</w:t>
            </w:r>
          </w:p>
        </w:tc>
        <w:tc>
          <w:tcPr>
            <w:tcW w:w="1744" w:type="dxa"/>
          </w:tcPr>
          <w:p w14:paraId="0A5084C9" w14:textId="77777777" w:rsidR="006B43EB" w:rsidRPr="005D4E0F" w:rsidRDefault="006B43EB" w:rsidP="00D85E97">
            <w:pPr>
              <w:keepNext/>
              <w:jc w:val="both"/>
              <w:rPr>
                <w:rFonts w:ascii="Georgia" w:hAnsi="Georgia" w:cstheme="minorHAnsi"/>
                <w:sz w:val="20"/>
                <w:szCs w:val="20"/>
              </w:rPr>
            </w:pPr>
          </w:p>
        </w:tc>
        <w:tc>
          <w:tcPr>
            <w:tcW w:w="1735" w:type="dxa"/>
          </w:tcPr>
          <w:p w14:paraId="4E02D448" w14:textId="77777777" w:rsidR="006B43EB" w:rsidRPr="005D4E0F" w:rsidRDefault="006B43EB" w:rsidP="00D85E97">
            <w:pPr>
              <w:keepNext/>
              <w:jc w:val="both"/>
              <w:rPr>
                <w:rFonts w:ascii="Georgia" w:hAnsi="Georgia" w:cstheme="minorHAnsi"/>
                <w:sz w:val="20"/>
                <w:szCs w:val="20"/>
              </w:rPr>
            </w:pPr>
          </w:p>
        </w:tc>
      </w:tr>
      <w:tr w:rsidR="006B43EB" w:rsidRPr="005D4E0F" w14:paraId="3E7D3D4D" w14:textId="77777777" w:rsidTr="0028221D">
        <w:tc>
          <w:tcPr>
            <w:tcW w:w="1879" w:type="dxa"/>
          </w:tcPr>
          <w:p w14:paraId="78EB4578"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Hommes plus de 15 ans</w:t>
            </w:r>
          </w:p>
        </w:tc>
        <w:tc>
          <w:tcPr>
            <w:tcW w:w="1086" w:type="dxa"/>
          </w:tcPr>
          <w:p w14:paraId="74D4F963" w14:textId="77777777" w:rsidR="006B43EB" w:rsidRPr="005D4E0F" w:rsidRDefault="006B43EB" w:rsidP="00D85E97">
            <w:pPr>
              <w:keepNext/>
              <w:jc w:val="both"/>
              <w:rPr>
                <w:rFonts w:ascii="Georgia" w:hAnsi="Georgia" w:cstheme="minorHAnsi"/>
                <w:sz w:val="20"/>
                <w:szCs w:val="20"/>
              </w:rPr>
            </w:pPr>
            <w:r w:rsidRPr="005D4E0F">
              <w:rPr>
                <w:rFonts w:ascii="Georgia" w:hAnsi="Georgia"/>
                <w:sz w:val="20"/>
                <w:szCs w:val="20"/>
              </w:rPr>
              <w:t>47 564</w:t>
            </w:r>
          </w:p>
        </w:tc>
        <w:tc>
          <w:tcPr>
            <w:tcW w:w="1430" w:type="dxa"/>
          </w:tcPr>
          <w:p w14:paraId="29704147"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23 830</w:t>
            </w:r>
          </w:p>
        </w:tc>
        <w:tc>
          <w:tcPr>
            <w:tcW w:w="1457" w:type="dxa"/>
          </w:tcPr>
          <w:p w14:paraId="52851370"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12 649</w:t>
            </w:r>
          </w:p>
        </w:tc>
        <w:tc>
          <w:tcPr>
            <w:tcW w:w="1744" w:type="dxa"/>
          </w:tcPr>
          <w:p w14:paraId="564796F0" w14:textId="77777777" w:rsidR="006B43EB" w:rsidRPr="005D4E0F" w:rsidRDefault="006B43EB" w:rsidP="00D85E97">
            <w:pPr>
              <w:keepNext/>
              <w:jc w:val="both"/>
              <w:rPr>
                <w:rFonts w:ascii="Georgia" w:hAnsi="Georgia" w:cstheme="minorHAnsi"/>
                <w:sz w:val="20"/>
                <w:szCs w:val="20"/>
              </w:rPr>
            </w:pPr>
          </w:p>
        </w:tc>
        <w:tc>
          <w:tcPr>
            <w:tcW w:w="1735" w:type="dxa"/>
          </w:tcPr>
          <w:p w14:paraId="13765A92" w14:textId="77777777" w:rsidR="006B43EB" w:rsidRPr="005D4E0F" w:rsidRDefault="006B43EB" w:rsidP="00D85E97">
            <w:pPr>
              <w:keepNext/>
              <w:jc w:val="both"/>
              <w:rPr>
                <w:rFonts w:ascii="Georgia" w:hAnsi="Georgia" w:cstheme="minorHAnsi"/>
                <w:sz w:val="20"/>
                <w:szCs w:val="20"/>
              </w:rPr>
            </w:pPr>
          </w:p>
        </w:tc>
      </w:tr>
      <w:tr w:rsidR="006B43EB" w:rsidRPr="005D4E0F" w14:paraId="78719CB0" w14:textId="77777777" w:rsidTr="0028221D">
        <w:tc>
          <w:tcPr>
            <w:tcW w:w="1879" w:type="dxa"/>
          </w:tcPr>
          <w:p w14:paraId="65A57788"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Enfants vivant avec le VIH. 0 à 14 ans</w:t>
            </w:r>
          </w:p>
        </w:tc>
        <w:tc>
          <w:tcPr>
            <w:tcW w:w="1086" w:type="dxa"/>
          </w:tcPr>
          <w:p w14:paraId="17E77DF7"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10 262</w:t>
            </w:r>
          </w:p>
        </w:tc>
        <w:tc>
          <w:tcPr>
            <w:tcW w:w="1430" w:type="dxa"/>
          </w:tcPr>
          <w:p w14:paraId="26D8333D" w14:textId="77777777" w:rsidR="006B43EB" w:rsidRPr="005D4E0F" w:rsidRDefault="006B43EB" w:rsidP="00D85E97">
            <w:pPr>
              <w:keepNext/>
              <w:jc w:val="both"/>
              <w:rPr>
                <w:rFonts w:ascii="Georgia" w:hAnsi="Georgia" w:cstheme="minorHAnsi"/>
                <w:sz w:val="20"/>
                <w:szCs w:val="20"/>
              </w:rPr>
            </w:pPr>
          </w:p>
        </w:tc>
        <w:tc>
          <w:tcPr>
            <w:tcW w:w="1457" w:type="dxa"/>
          </w:tcPr>
          <w:p w14:paraId="4F328214" w14:textId="77777777" w:rsidR="006B43EB" w:rsidRPr="005D4E0F" w:rsidRDefault="006B43EB" w:rsidP="00D85E97">
            <w:pPr>
              <w:keepNext/>
              <w:jc w:val="both"/>
              <w:rPr>
                <w:rFonts w:ascii="Georgia" w:hAnsi="Georgia" w:cstheme="minorHAnsi"/>
                <w:sz w:val="20"/>
                <w:szCs w:val="20"/>
              </w:rPr>
            </w:pPr>
            <w:r w:rsidRPr="005D4E0F">
              <w:rPr>
                <w:rFonts w:ascii="Georgia" w:hAnsi="Georgia" w:cstheme="minorHAnsi"/>
                <w:sz w:val="20"/>
                <w:szCs w:val="20"/>
              </w:rPr>
              <w:t>1 851</w:t>
            </w:r>
          </w:p>
        </w:tc>
        <w:tc>
          <w:tcPr>
            <w:tcW w:w="1744" w:type="dxa"/>
          </w:tcPr>
          <w:p w14:paraId="5FB507B7" w14:textId="77777777" w:rsidR="006B43EB" w:rsidRPr="005D4E0F" w:rsidRDefault="006B43EB" w:rsidP="00D85E97">
            <w:pPr>
              <w:keepNext/>
              <w:jc w:val="both"/>
              <w:rPr>
                <w:rStyle w:val="Marquedecommentaire"/>
                <w:rFonts w:ascii="Georgia" w:hAnsi="Georgia"/>
                <w:sz w:val="20"/>
                <w:szCs w:val="20"/>
              </w:rPr>
            </w:pPr>
          </w:p>
        </w:tc>
        <w:tc>
          <w:tcPr>
            <w:tcW w:w="1735" w:type="dxa"/>
          </w:tcPr>
          <w:p w14:paraId="3EF5D823" w14:textId="77777777" w:rsidR="006B43EB" w:rsidRPr="005D4E0F" w:rsidRDefault="006B43EB" w:rsidP="00D85E97">
            <w:pPr>
              <w:keepNext/>
              <w:jc w:val="both"/>
              <w:rPr>
                <w:rFonts w:ascii="Georgia" w:hAnsi="Georgia" w:cstheme="minorHAnsi"/>
                <w:sz w:val="20"/>
                <w:szCs w:val="20"/>
              </w:rPr>
            </w:pPr>
          </w:p>
        </w:tc>
      </w:tr>
    </w:tbl>
    <w:p w14:paraId="5A66747B" w14:textId="77777777" w:rsidR="0028221D" w:rsidRPr="006B18A4" w:rsidRDefault="0028221D" w:rsidP="00D85E97">
      <w:pPr>
        <w:jc w:val="both"/>
        <w:rPr>
          <w:rFonts w:cstheme="minorHAnsi"/>
          <w:sz w:val="18"/>
          <w:szCs w:val="18"/>
        </w:rPr>
      </w:pPr>
      <w:r w:rsidRPr="006B18A4">
        <w:rPr>
          <w:rFonts w:cstheme="minorHAnsi"/>
          <w:sz w:val="18"/>
          <w:szCs w:val="18"/>
          <w:vertAlign w:val="superscript"/>
        </w:rPr>
        <w:t>*</w:t>
      </w:r>
      <w:r w:rsidRPr="006B18A4">
        <w:rPr>
          <w:rFonts w:cstheme="minorHAnsi"/>
          <w:sz w:val="18"/>
          <w:szCs w:val="18"/>
        </w:rPr>
        <w:t>Source : Spectrum, 2018</w:t>
      </w:r>
    </w:p>
    <w:p w14:paraId="278F701F" w14:textId="77777777" w:rsidR="0028221D" w:rsidRPr="006B18A4" w:rsidRDefault="0028221D" w:rsidP="00D85E97">
      <w:pPr>
        <w:jc w:val="both"/>
        <w:rPr>
          <w:sz w:val="18"/>
          <w:szCs w:val="18"/>
        </w:rPr>
      </w:pPr>
      <w:r w:rsidRPr="006B18A4">
        <w:rPr>
          <w:rFonts w:cstheme="minorHAnsi"/>
          <w:sz w:val="18"/>
          <w:szCs w:val="18"/>
          <w:vertAlign w:val="superscript"/>
        </w:rPr>
        <w:t>**</w:t>
      </w:r>
      <w:r w:rsidRPr="006B18A4">
        <w:rPr>
          <w:sz w:val="18"/>
          <w:szCs w:val="18"/>
        </w:rPr>
        <w:t xml:space="preserve">Source : </w:t>
      </w:r>
      <w:bookmarkStart w:id="1" w:name="_Hlk4664934"/>
      <w:r w:rsidRPr="006B18A4">
        <w:rPr>
          <w:sz w:val="18"/>
          <w:szCs w:val="18"/>
        </w:rPr>
        <w:t>Chiffre du nombre de PVVIH sous traitement dans la base de données 2017 (51 406), corrigé pour surestimation avec le facteur calculé par l’enquête d’actualisation de la file active de 2016 (22% de surestimation).</w:t>
      </w:r>
      <w:bookmarkEnd w:id="1"/>
    </w:p>
    <w:p w14:paraId="44CD1C25" w14:textId="77777777" w:rsidR="0028221D" w:rsidRPr="006B18A4" w:rsidRDefault="0028221D" w:rsidP="00D85E97">
      <w:pPr>
        <w:jc w:val="both"/>
        <w:rPr>
          <w:sz w:val="18"/>
          <w:szCs w:val="18"/>
        </w:rPr>
      </w:pPr>
      <w:r w:rsidRPr="006B18A4">
        <w:rPr>
          <w:rFonts w:cstheme="minorHAnsi"/>
          <w:sz w:val="18"/>
          <w:szCs w:val="18"/>
          <w:vertAlign w:val="superscript"/>
        </w:rPr>
        <w:t>***</w:t>
      </w:r>
      <w:r w:rsidRPr="006B18A4">
        <w:rPr>
          <w:sz w:val="18"/>
          <w:szCs w:val="18"/>
        </w:rPr>
        <w:t>Source : MSF, taux de rétention mesuré en 2016</w:t>
      </w:r>
    </w:p>
    <w:p w14:paraId="18F72E29" w14:textId="06E7EC85" w:rsidR="00B52698" w:rsidRPr="00B77B5B" w:rsidRDefault="0028221D" w:rsidP="00D85E97">
      <w:pPr>
        <w:jc w:val="both"/>
        <w:rPr>
          <w:sz w:val="18"/>
          <w:szCs w:val="18"/>
        </w:rPr>
      </w:pPr>
      <w:r w:rsidRPr="006B18A4">
        <w:rPr>
          <w:rFonts w:cstheme="minorHAnsi"/>
          <w:sz w:val="18"/>
          <w:szCs w:val="18"/>
          <w:vertAlign w:val="superscript"/>
        </w:rPr>
        <w:t>****</w:t>
      </w:r>
      <w:r w:rsidRPr="006B18A4">
        <w:rPr>
          <w:sz w:val="18"/>
          <w:szCs w:val="18"/>
        </w:rPr>
        <w:t>Source : MSF, données de 2017</w:t>
      </w:r>
    </w:p>
    <w:p w14:paraId="32D8900F" w14:textId="119CA080" w:rsidR="00365279" w:rsidRDefault="005D4E0F" w:rsidP="00D85E97">
      <w:pPr>
        <w:pStyle w:val="Paragraphedeliste"/>
        <w:numPr>
          <w:ilvl w:val="0"/>
          <w:numId w:val="6"/>
        </w:numPr>
        <w:jc w:val="both"/>
        <w:rPr>
          <w:rFonts w:ascii="Georgia" w:hAnsi="Georgia"/>
        </w:rPr>
      </w:pPr>
      <w:r>
        <w:rPr>
          <w:rFonts w:ascii="Georgia" w:hAnsi="Georgia"/>
        </w:rPr>
        <w:t xml:space="preserve">La proportion de personnes connaissant leur statut se situe aux alentours de 50 %. </w:t>
      </w:r>
      <w:r w:rsidRPr="002564A8">
        <w:rPr>
          <w:rFonts w:ascii="Georgia" w:hAnsi="Georgia"/>
          <w:b/>
        </w:rPr>
        <w:t>Le dépistage reste donc un important goulot d’étranglement</w:t>
      </w:r>
      <w:r>
        <w:rPr>
          <w:rFonts w:ascii="Georgia" w:hAnsi="Georgia"/>
        </w:rPr>
        <w:t>.</w:t>
      </w:r>
    </w:p>
    <w:p w14:paraId="22FBD1A8" w14:textId="06F89113" w:rsidR="0001676B" w:rsidRDefault="0001676B" w:rsidP="00D85E97">
      <w:pPr>
        <w:pStyle w:val="Paragraphedeliste"/>
        <w:numPr>
          <w:ilvl w:val="0"/>
          <w:numId w:val="6"/>
        </w:numPr>
        <w:jc w:val="both"/>
        <w:rPr>
          <w:rFonts w:ascii="Georgia" w:hAnsi="Georgia"/>
        </w:rPr>
      </w:pPr>
      <w:r>
        <w:rPr>
          <w:rFonts w:ascii="Georgia" w:hAnsi="Georgia"/>
        </w:rPr>
        <w:t xml:space="preserve">Les femmes ont un meilleur accès au dépistage et aux traitements (PTME) et les hommes et particulièrement les enfants ont un accès faible. </w:t>
      </w:r>
    </w:p>
    <w:p w14:paraId="0A05CAD6" w14:textId="0F97346B" w:rsidR="005D4E0F" w:rsidRDefault="005D4E0F" w:rsidP="00D85E97">
      <w:pPr>
        <w:pStyle w:val="Paragraphedeliste"/>
        <w:numPr>
          <w:ilvl w:val="0"/>
          <w:numId w:val="6"/>
        </w:numPr>
        <w:jc w:val="both"/>
        <w:rPr>
          <w:rFonts w:ascii="Georgia" w:hAnsi="Georgia"/>
        </w:rPr>
      </w:pPr>
      <w:r>
        <w:rPr>
          <w:rFonts w:ascii="Georgia" w:hAnsi="Georgia"/>
        </w:rPr>
        <w:t>La cascade montre une assez bonne mise en relation avec plus de 80% des personnes dépistées qui accèdent aux traitement ARV</w:t>
      </w:r>
    </w:p>
    <w:p w14:paraId="629FE4B4" w14:textId="110BE16D" w:rsidR="002564A8" w:rsidRPr="00B77B5B" w:rsidRDefault="002564A8" w:rsidP="00D85E97">
      <w:pPr>
        <w:pStyle w:val="Paragraphedeliste"/>
        <w:numPr>
          <w:ilvl w:val="0"/>
          <w:numId w:val="6"/>
        </w:numPr>
        <w:jc w:val="both"/>
        <w:rPr>
          <w:rFonts w:ascii="Georgia" w:hAnsi="Georgia"/>
        </w:rPr>
      </w:pPr>
      <w:r w:rsidRPr="002564A8">
        <w:rPr>
          <w:rFonts w:ascii="Georgia" w:hAnsi="Georgia" w:cs="Arial"/>
          <w:color w:val="000000"/>
        </w:rPr>
        <w:t xml:space="preserve">3,5% de prévalence rapportée </w:t>
      </w:r>
      <w:r>
        <w:rPr>
          <w:rFonts w:ascii="Georgia" w:hAnsi="Georgia" w:cs="Arial"/>
          <w:color w:val="000000"/>
        </w:rPr>
        <w:t>pour les dons de sang, avec plus de 80% des dons qui sont intrafamiliaux</w:t>
      </w:r>
      <w:r w:rsidRPr="002564A8">
        <w:rPr>
          <w:rFonts w:ascii="Georgia" w:hAnsi="Georgia" w:cs="Arial"/>
          <w:color w:val="000000"/>
        </w:rPr>
        <w:t>.</w:t>
      </w:r>
    </w:p>
    <w:p w14:paraId="5255C21F" w14:textId="4FCDA385" w:rsidR="005E6F65" w:rsidRPr="002564A8" w:rsidRDefault="005E6F65" w:rsidP="00D85E97">
      <w:pPr>
        <w:jc w:val="both"/>
        <w:rPr>
          <w:rFonts w:ascii="Georgia" w:hAnsi="Georgia"/>
          <w:b/>
        </w:rPr>
      </w:pPr>
      <w:r w:rsidRPr="002564A8">
        <w:rPr>
          <w:rFonts w:ascii="Georgia" w:hAnsi="Georgia"/>
          <w:b/>
        </w:rPr>
        <w:t>PVVIH</w:t>
      </w:r>
    </w:p>
    <w:p w14:paraId="1F070AEC" w14:textId="6C3ABEE6" w:rsidR="005E6F65" w:rsidRDefault="005E6F65" w:rsidP="00D85E97">
      <w:pPr>
        <w:jc w:val="both"/>
        <w:rPr>
          <w:rFonts w:ascii="Georgia" w:hAnsi="Georgia"/>
        </w:rPr>
      </w:pPr>
    </w:p>
    <w:p w14:paraId="00BCBE69" w14:textId="63E1674F" w:rsidR="006B43EB" w:rsidRDefault="006B43EB" w:rsidP="00D85E97">
      <w:pPr>
        <w:jc w:val="center"/>
        <w:rPr>
          <w:rFonts w:ascii="Georgia" w:hAnsi="Georgia"/>
        </w:rPr>
      </w:pPr>
      <w:r w:rsidRPr="00A036A6">
        <w:rPr>
          <w:rFonts w:ascii="Georgia" w:hAnsi="Georgia"/>
          <w:noProof/>
          <w:lang w:eastAsia="fr-FR"/>
        </w:rPr>
        <w:drawing>
          <wp:inline distT="0" distB="0" distL="0" distR="0" wp14:anchorId="59451F22" wp14:editId="7E9A8BC8">
            <wp:extent cx="2309806" cy="138394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2361425" cy="1414875"/>
                    </a:xfrm>
                    <a:prstGeom prst="rect">
                      <a:avLst/>
                    </a:prstGeom>
                  </pic:spPr>
                </pic:pic>
              </a:graphicData>
            </a:graphic>
          </wp:inline>
        </w:drawing>
      </w:r>
    </w:p>
    <w:p w14:paraId="09F178E9" w14:textId="77777777" w:rsidR="006B43EB" w:rsidRDefault="006B43EB" w:rsidP="00D85E97">
      <w:pPr>
        <w:jc w:val="both"/>
        <w:rPr>
          <w:rFonts w:ascii="Georgia" w:hAnsi="Georgia" w:cs="Arial"/>
          <w:color w:val="000000"/>
        </w:rPr>
      </w:pPr>
    </w:p>
    <w:p w14:paraId="0FB842DD" w14:textId="56695C03" w:rsidR="006B43EB" w:rsidRDefault="006B43EB" w:rsidP="00D85E97">
      <w:pPr>
        <w:pStyle w:val="Paragraphedeliste"/>
        <w:numPr>
          <w:ilvl w:val="0"/>
          <w:numId w:val="6"/>
        </w:numPr>
        <w:jc w:val="both"/>
        <w:rPr>
          <w:rFonts w:ascii="Georgia" w:hAnsi="Georgia" w:cs="Arial"/>
          <w:color w:val="000000"/>
        </w:rPr>
      </w:pPr>
      <w:r>
        <w:rPr>
          <w:rFonts w:ascii="Georgia" w:hAnsi="Georgia" w:cs="Arial"/>
          <w:color w:val="000000"/>
        </w:rPr>
        <w:t>La distribution des PVVIH par région m</w:t>
      </w:r>
      <w:r w:rsidR="002564A8">
        <w:rPr>
          <w:rFonts w:ascii="Georgia" w:hAnsi="Georgia" w:cs="Arial"/>
          <w:color w:val="000000"/>
        </w:rPr>
        <w:t xml:space="preserve">ontre une </w:t>
      </w:r>
      <w:r w:rsidR="0001676B">
        <w:rPr>
          <w:rFonts w:ascii="Georgia" w:hAnsi="Georgia" w:cs="Arial"/>
          <w:color w:val="000000"/>
        </w:rPr>
        <w:t>présence</w:t>
      </w:r>
      <w:r w:rsidR="002564A8">
        <w:rPr>
          <w:rFonts w:ascii="Georgia" w:hAnsi="Georgia" w:cs="Arial"/>
          <w:color w:val="000000"/>
        </w:rPr>
        <w:t xml:space="preserve"> importante </w:t>
      </w:r>
      <w:r>
        <w:rPr>
          <w:rFonts w:ascii="Georgia" w:hAnsi="Georgia" w:cs="Arial"/>
          <w:color w:val="000000"/>
        </w:rPr>
        <w:t>dans les régions de Kankan, N’Zérékoré, Conakry et Kindia</w:t>
      </w:r>
      <w:r w:rsidR="00755970">
        <w:rPr>
          <w:rFonts w:ascii="Georgia" w:hAnsi="Georgia" w:cs="Arial"/>
          <w:color w:val="000000"/>
        </w:rPr>
        <w:t xml:space="preserve"> suivi de Labé et Boké.</w:t>
      </w:r>
    </w:p>
    <w:p w14:paraId="08E488BF" w14:textId="3AABE649" w:rsidR="00755970" w:rsidRDefault="00755970" w:rsidP="00D85E97">
      <w:pPr>
        <w:pStyle w:val="Paragraphedeliste"/>
        <w:numPr>
          <w:ilvl w:val="0"/>
          <w:numId w:val="6"/>
        </w:numPr>
        <w:jc w:val="both"/>
        <w:rPr>
          <w:rFonts w:ascii="Georgia" w:hAnsi="Georgia" w:cs="Arial"/>
          <w:color w:val="000000"/>
        </w:rPr>
      </w:pPr>
      <w:r>
        <w:rPr>
          <w:rFonts w:ascii="Georgia" w:hAnsi="Georgia" w:cs="Arial"/>
          <w:color w:val="000000"/>
        </w:rPr>
        <w:t>La répartition par région des PVVIH estimées et des personnes sous – traitement montre des gaps importants les régions de N’Zérékoré, Kankan, kindia, et Boké (voir tableau)</w:t>
      </w:r>
    </w:p>
    <w:p w14:paraId="2E734675" w14:textId="04B654A7" w:rsidR="00755970" w:rsidRPr="006B43EB" w:rsidRDefault="00755970" w:rsidP="00D85E97">
      <w:pPr>
        <w:pStyle w:val="Paragraphedeliste"/>
        <w:numPr>
          <w:ilvl w:val="0"/>
          <w:numId w:val="6"/>
        </w:numPr>
        <w:jc w:val="both"/>
        <w:rPr>
          <w:rFonts w:ascii="Georgia" w:hAnsi="Georgia" w:cs="Arial"/>
          <w:color w:val="000000"/>
        </w:rPr>
      </w:pPr>
      <w:r>
        <w:rPr>
          <w:rFonts w:ascii="Georgia" w:hAnsi="Georgia" w:cs="Arial"/>
          <w:color w:val="000000"/>
        </w:rPr>
        <w:t>Conakry est quasiment à l’accès universel avec une bonne saturation des services propre aux milieux urbains des capitales.</w:t>
      </w:r>
    </w:p>
    <w:tbl>
      <w:tblPr>
        <w:tblW w:w="7085" w:type="dxa"/>
        <w:jc w:val="center"/>
        <w:tblCellMar>
          <w:left w:w="70" w:type="dxa"/>
          <w:right w:w="70" w:type="dxa"/>
        </w:tblCellMar>
        <w:tblLook w:val="04A0" w:firstRow="1" w:lastRow="0" w:firstColumn="1" w:lastColumn="0" w:noHBand="0" w:noVBand="1"/>
      </w:tblPr>
      <w:tblGrid>
        <w:gridCol w:w="1300"/>
        <w:gridCol w:w="900"/>
        <w:gridCol w:w="2365"/>
        <w:gridCol w:w="2520"/>
      </w:tblGrid>
      <w:tr w:rsidR="00755970" w:rsidRPr="00755970" w14:paraId="727187E3" w14:textId="77777777" w:rsidTr="00D85E97">
        <w:trPr>
          <w:trHeight w:val="242"/>
          <w:jc w:val="cent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5026621E"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lastRenderedPageBreak/>
              <w:t> </w:t>
            </w:r>
          </w:p>
        </w:tc>
        <w:tc>
          <w:tcPr>
            <w:tcW w:w="900" w:type="dxa"/>
            <w:tcBorders>
              <w:top w:val="single" w:sz="4" w:space="0" w:color="auto"/>
              <w:left w:val="nil"/>
              <w:bottom w:val="single" w:sz="4" w:space="0" w:color="auto"/>
              <w:right w:val="single" w:sz="4" w:space="0" w:color="auto"/>
            </w:tcBorders>
            <w:shd w:val="clear" w:color="auto" w:fill="auto"/>
            <w:hideMark/>
          </w:tcPr>
          <w:p w14:paraId="6B8EE972"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t>PVVIH</w:t>
            </w:r>
            <w:r w:rsidRPr="00755970">
              <w:rPr>
                <w:rFonts w:ascii="Calibri" w:eastAsia="Times New Roman" w:hAnsi="Calibri" w:cs="Times New Roman"/>
                <w:b/>
                <w:bCs/>
                <w:color w:val="000000"/>
                <w:sz w:val="22"/>
                <w:szCs w:val="22"/>
                <w:vertAlign w:val="superscript"/>
                <w:lang w:eastAsia="fr-FR"/>
              </w:rPr>
              <w:t>*</w:t>
            </w:r>
          </w:p>
        </w:tc>
        <w:tc>
          <w:tcPr>
            <w:tcW w:w="2365" w:type="dxa"/>
            <w:tcBorders>
              <w:top w:val="single" w:sz="4" w:space="0" w:color="auto"/>
              <w:left w:val="nil"/>
              <w:bottom w:val="single" w:sz="4" w:space="0" w:color="auto"/>
              <w:right w:val="single" w:sz="4" w:space="0" w:color="auto"/>
            </w:tcBorders>
            <w:shd w:val="clear" w:color="auto" w:fill="auto"/>
            <w:hideMark/>
          </w:tcPr>
          <w:p w14:paraId="649E9E5E"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t>PVVIH sous traitement</w:t>
            </w:r>
            <w:r w:rsidRPr="00755970">
              <w:rPr>
                <w:rFonts w:ascii="Calibri" w:eastAsia="Times New Roman" w:hAnsi="Calibri" w:cs="Times New Roman"/>
                <w:b/>
                <w:bCs/>
                <w:color w:val="000000"/>
                <w:sz w:val="22"/>
                <w:szCs w:val="22"/>
                <w:vertAlign w:val="superscript"/>
                <w:lang w:eastAsia="fr-FR"/>
              </w:rPr>
              <w:t>**</w:t>
            </w:r>
          </w:p>
        </w:tc>
        <w:tc>
          <w:tcPr>
            <w:tcW w:w="2520" w:type="dxa"/>
            <w:tcBorders>
              <w:top w:val="single" w:sz="4" w:space="0" w:color="auto"/>
              <w:left w:val="nil"/>
              <w:bottom w:val="single" w:sz="4" w:space="0" w:color="auto"/>
              <w:right w:val="single" w:sz="4" w:space="0" w:color="auto"/>
            </w:tcBorders>
            <w:shd w:val="clear" w:color="auto" w:fill="auto"/>
            <w:hideMark/>
          </w:tcPr>
          <w:p w14:paraId="342E61FA"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t>PVVIH non traités</w:t>
            </w:r>
          </w:p>
        </w:tc>
      </w:tr>
      <w:tr w:rsidR="00755970" w:rsidRPr="00755970" w14:paraId="22EC66F2"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770807"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Conakry</w:t>
            </w:r>
          </w:p>
        </w:tc>
        <w:tc>
          <w:tcPr>
            <w:tcW w:w="900" w:type="dxa"/>
            <w:tcBorders>
              <w:top w:val="nil"/>
              <w:left w:val="nil"/>
              <w:bottom w:val="single" w:sz="4" w:space="0" w:color="auto"/>
              <w:right w:val="single" w:sz="4" w:space="0" w:color="auto"/>
            </w:tcBorders>
            <w:shd w:val="clear" w:color="auto" w:fill="auto"/>
            <w:noWrap/>
            <w:vAlign w:val="center"/>
            <w:hideMark/>
          </w:tcPr>
          <w:p w14:paraId="597BB20F"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28502</w:t>
            </w:r>
          </w:p>
        </w:tc>
        <w:tc>
          <w:tcPr>
            <w:tcW w:w="2365" w:type="dxa"/>
            <w:tcBorders>
              <w:top w:val="nil"/>
              <w:left w:val="nil"/>
              <w:bottom w:val="single" w:sz="4" w:space="0" w:color="auto"/>
              <w:right w:val="single" w:sz="4" w:space="0" w:color="auto"/>
            </w:tcBorders>
            <w:shd w:val="clear" w:color="auto" w:fill="auto"/>
            <w:noWrap/>
            <w:vAlign w:val="center"/>
            <w:hideMark/>
          </w:tcPr>
          <w:p w14:paraId="796AC828"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28015</w:t>
            </w:r>
          </w:p>
        </w:tc>
        <w:tc>
          <w:tcPr>
            <w:tcW w:w="2520" w:type="dxa"/>
            <w:tcBorders>
              <w:top w:val="nil"/>
              <w:left w:val="nil"/>
              <w:bottom w:val="single" w:sz="4" w:space="0" w:color="auto"/>
              <w:right w:val="single" w:sz="4" w:space="0" w:color="auto"/>
            </w:tcBorders>
            <w:shd w:val="clear" w:color="auto" w:fill="auto"/>
            <w:noWrap/>
            <w:vAlign w:val="center"/>
            <w:hideMark/>
          </w:tcPr>
          <w:p w14:paraId="108D9727"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487</w:t>
            </w:r>
          </w:p>
        </w:tc>
      </w:tr>
      <w:tr w:rsidR="00755970" w:rsidRPr="00755970" w14:paraId="18573363"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2361918" w14:textId="77777777" w:rsidR="00755970" w:rsidRPr="00755970" w:rsidRDefault="00755970" w:rsidP="00D85E97">
            <w:pPr>
              <w:jc w:val="both"/>
              <w:rPr>
                <w:rFonts w:ascii="Calibri" w:eastAsia="Times New Roman" w:hAnsi="Calibri" w:cs="Times New Roman"/>
                <w:color w:val="FF0000"/>
                <w:sz w:val="22"/>
                <w:szCs w:val="22"/>
                <w:lang w:eastAsia="fr-FR"/>
              </w:rPr>
            </w:pPr>
            <w:r w:rsidRPr="00755970">
              <w:rPr>
                <w:rFonts w:ascii="Calibri" w:eastAsia="Times New Roman" w:hAnsi="Calibri" w:cs="Times New Roman"/>
                <w:color w:val="FF0000"/>
                <w:sz w:val="22"/>
                <w:szCs w:val="22"/>
                <w:lang w:eastAsia="fr-FR"/>
              </w:rPr>
              <w:t>Kindia</w:t>
            </w:r>
          </w:p>
        </w:tc>
        <w:tc>
          <w:tcPr>
            <w:tcW w:w="900" w:type="dxa"/>
            <w:tcBorders>
              <w:top w:val="nil"/>
              <w:left w:val="nil"/>
              <w:bottom w:val="single" w:sz="4" w:space="0" w:color="auto"/>
              <w:right w:val="single" w:sz="4" w:space="0" w:color="auto"/>
            </w:tcBorders>
            <w:shd w:val="clear" w:color="auto" w:fill="auto"/>
            <w:noWrap/>
            <w:vAlign w:val="center"/>
            <w:hideMark/>
          </w:tcPr>
          <w:p w14:paraId="506D9CFD"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16233</w:t>
            </w:r>
          </w:p>
        </w:tc>
        <w:tc>
          <w:tcPr>
            <w:tcW w:w="2365" w:type="dxa"/>
            <w:tcBorders>
              <w:top w:val="nil"/>
              <w:left w:val="nil"/>
              <w:bottom w:val="single" w:sz="4" w:space="0" w:color="auto"/>
              <w:right w:val="single" w:sz="4" w:space="0" w:color="auto"/>
            </w:tcBorders>
            <w:shd w:val="clear" w:color="auto" w:fill="auto"/>
            <w:noWrap/>
            <w:vAlign w:val="center"/>
            <w:hideMark/>
          </w:tcPr>
          <w:p w14:paraId="182C65A3"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2350</w:t>
            </w:r>
          </w:p>
        </w:tc>
        <w:tc>
          <w:tcPr>
            <w:tcW w:w="2520" w:type="dxa"/>
            <w:tcBorders>
              <w:top w:val="nil"/>
              <w:left w:val="nil"/>
              <w:bottom w:val="single" w:sz="4" w:space="0" w:color="auto"/>
              <w:right w:val="single" w:sz="4" w:space="0" w:color="auto"/>
            </w:tcBorders>
            <w:shd w:val="clear" w:color="000000" w:fill="FFFF00"/>
            <w:noWrap/>
            <w:vAlign w:val="center"/>
            <w:hideMark/>
          </w:tcPr>
          <w:p w14:paraId="7A43DBE1"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13883</w:t>
            </w:r>
          </w:p>
        </w:tc>
      </w:tr>
      <w:tr w:rsidR="00755970" w:rsidRPr="00755970" w14:paraId="240F1647"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45B1F20" w14:textId="77777777" w:rsidR="00755970" w:rsidRPr="00755970" w:rsidRDefault="00755970" w:rsidP="00D85E97">
            <w:pPr>
              <w:jc w:val="both"/>
              <w:rPr>
                <w:rFonts w:ascii="Calibri" w:eastAsia="Times New Roman" w:hAnsi="Calibri" w:cs="Times New Roman"/>
                <w:color w:val="FF0000"/>
                <w:sz w:val="22"/>
                <w:szCs w:val="22"/>
                <w:lang w:eastAsia="fr-FR"/>
              </w:rPr>
            </w:pPr>
            <w:r w:rsidRPr="00755970">
              <w:rPr>
                <w:rFonts w:ascii="Calibri" w:eastAsia="Times New Roman" w:hAnsi="Calibri" w:cs="Times New Roman"/>
                <w:color w:val="FF0000"/>
                <w:sz w:val="22"/>
                <w:szCs w:val="22"/>
                <w:lang w:eastAsia="fr-FR"/>
              </w:rPr>
              <w:t>Boké</w:t>
            </w:r>
          </w:p>
        </w:tc>
        <w:tc>
          <w:tcPr>
            <w:tcW w:w="900" w:type="dxa"/>
            <w:tcBorders>
              <w:top w:val="nil"/>
              <w:left w:val="nil"/>
              <w:bottom w:val="single" w:sz="4" w:space="0" w:color="auto"/>
              <w:right w:val="single" w:sz="4" w:space="0" w:color="auto"/>
            </w:tcBorders>
            <w:shd w:val="clear" w:color="auto" w:fill="auto"/>
            <w:noWrap/>
            <w:vAlign w:val="center"/>
            <w:hideMark/>
          </w:tcPr>
          <w:p w14:paraId="16C5F761"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13603</w:t>
            </w:r>
          </w:p>
        </w:tc>
        <w:tc>
          <w:tcPr>
            <w:tcW w:w="2365" w:type="dxa"/>
            <w:tcBorders>
              <w:top w:val="nil"/>
              <w:left w:val="nil"/>
              <w:bottom w:val="single" w:sz="4" w:space="0" w:color="auto"/>
              <w:right w:val="single" w:sz="4" w:space="0" w:color="auto"/>
            </w:tcBorders>
            <w:shd w:val="clear" w:color="auto" w:fill="auto"/>
            <w:noWrap/>
            <w:vAlign w:val="center"/>
            <w:hideMark/>
          </w:tcPr>
          <w:p w14:paraId="43AFF52B"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2147</w:t>
            </w:r>
          </w:p>
        </w:tc>
        <w:tc>
          <w:tcPr>
            <w:tcW w:w="2520" w:type="dxa"/>
            <w:tcBorders>
              <w:top w:val="nil"/>
              <w:left w:val="nil"/>
              <w:bottom w:val="single" w:sz="4" w:space="0" w:color="auto"/>
              <w:right w:val="single" w:sz="4" w:space="0" w:color="auto"/>
            </w:tcBorders>
            <w:shd w:val="clear" w:color="000000" w:fill="FFFF00"/>
            <w:noWrap/>
            <w:vAlign w:val="center"/>
            <w:hideMark/>
          </w:tcPr>
          <w:p w14:paraId="505D3D8C"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11456</w:t>
            </w:r>
          </w:p>
        </w:tc>
      </w:tr>
      <w:tr w:rsidR="00755970" w:rsidRPr="00755970" w14:paraId="55826AEC"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D66347"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Mamou</w:t>
            </w:r>
          </w:p>
        </w:tc>
        <w:tc>
          <w:tcPr>
            <w:tcW w:w="900" w:type="dxa"/>
            <w:tcBorders>
              <w:top w:val="nil"/>
              <w:left w:val="nil"/>
              <w:bottom w:val="single" w:sz="4" w:space="0" w:color="auto"/>
              <w:right w:val="single" w:sz="4" w:space="0" w:color="auto"/>
            </w:tcBorders>
            <w:shd w:val="clear" w:color="auto" w:fill="auto"/>
            <w:noWrap/>
            <w:vAlign w:val="center"/>
            <w:hideMark/>
          </w:tcPr>
          <w:p w14:paraId="48AB918E"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6707</w:t>
            </w:r>
          </w:p>
        </w:tc>
        <w:tc>
          <w:tcPr>
            <w:tcW w:w="2365" w:type="dxa"/>
            <w:tcBorders>
              <w:top w:val="nil"/>
              <w:left w:val="nil"/>
              <w:bottom w:val="single" w:sz="4" w:space="0" w:color="auto"/>
              <w:right w:val="single" w:sz="4" w:space="0" w:color="auto"/>
            </w:tcBorders>
            <w:shd w:val="clear" w:color="auto" w:fill="auto"/>
            <w:noWrap/>
            <w:vAlign w:val="center"/>
            <w:hideMark/>
          </w:tcPr>
          <w:p w14:paraId="78FBCAAD"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1018</w:t>
            </w:r>
          </w:p>
        </w:tc>
        <w:tc>
          <w:tcPr>
            <w:tcW w:w="2520" w:type="dxa"/>
            <w:tcBorders>
              <w:top w:val="nil"/>
              <w:left w:val="nil"/>
              <w:bottom w:val="single" w:sz="4" w:space="0" w:color="auto"/>
              <w:right w:val="single" w:sz="4" w:space="0" w:color="auto"/>
            </w:tcBorders>
            <w:shd w:val="clear" w:color="auto" w:fill="auto"/>
            <w:noWrap/>
            <w:vAlign w:val="center"/>
            <w:hideMark/>
          </w:tcPr>
          <w:p w14:paraId="6E9B43BC"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5689</w:t>
            </w:r>
          </w:p>
        </w:tc>
      </w:tr>
      <w:tr w:rsidR="00755970" w:rsidRPr="00755970" w14:paraId="045CD091"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74CC1AB" w14:textId="77777777" w:rsidR="00755970" w:rsidRPr="00755970" w:rsidRDefault="00755970" w:rsidP="00D85E97">
            <w:pPr>
              <w:jc w:val="both"/>
              <w:rPr>
                <w:rFonts w:ascii="Calibri" w:eastAsia="Times New Roman" w:hAnsi="Calibri" w:cs="Times New Roman"/>
                <w:color w:val="FF0000"/>
                <w:sz w:val="22"/>
                <w:szCs w:val="22"/>
                <w:lang w:eastAsia="fr-FR"/>
              </w:rPr>
            </w:pPr>
            <w:r w:rsidRPr="00755970">
              <w:rPr>
                <w:rFonts w:ascii="Calibri" w:eastAsia="Times New Roman" w:hAnsi="Calibri" w:cs="Times New Roman"/>
                <w:color w:val="FF0000"/>
                <w:sz w:val="22"/>
                <w:szCs w:val="22"/>
                <w:lang w:eastAsia="fr-FR"/>
              </w:rPr>
              <w:t>Labé</w:t>
            </w:r>
          </w:p>
        </w:tc>
        <w:tc>
          <w:tcPr>
            <w:tcW w:w="900" w:type="dxa"/>
            <w:tcBorders>
              <w:top w:val="nil"/>
              <w:left w:val="nil"/>
              <w:bottom w:val="single" w:sz="4" w:space="0" w:color="auto"/>
              <w:right w:val="single" w:sz="4" w:space="0" w:color="auto"/>
            </w:tcBorders>
            <w:shd w:val="clear" w:color="auto" w:fill="auto"/>
            <w:noWrap/>
            <w:vAlign w:val="center"/>
            <w:hideMark/>
          </w:tcPr>
          <w:p w14:paraId="26AE801C"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13916</w:t>
            </w:r>
          </w:p>
        </w:tc>
        <w:tc>
          <w:tcPr>
            <w:tcW w:w="2365" w:type="dxa"/>
            <w:tcBorders>
              <w:top w:val="nil"/>
              <w:left w:val="nil"/>
              <w:bottom w:val="single" w:sz="4" w:space="0" w:color="auto"/>
              <w:right w:val="single" w:sz="4" w:space="0" w:color="auto"/>
            </w:tcBorders>
            <w:shd w:val="clear" w:color="auto" w:fill="auto"/>
            <w:noWrap/>
            <w:vAlign w:val="center"/>
            <w:hideMark/>
          </w:tcPr>
          <w:p w14:paraId="0F75747D"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1738</w:t>
            </w:r>
          </w:p>
        </w:tc>
        <w:tc>
          <w:tcPr>
            <w:tcW w:w="2520" w:type="dxa"/>
            <w:tcBorders>
              <w:top w:val="nil"/>
              <w:left w:val="nil"/>
              <w:bottom w:val="single" w:sz="4" w:space="0" w:color="auto"/>
              <w:right w:val="single" w:sz="4" w:space="0" w:color="auto"/>
            </w:tcBorders>
            <w:shd w:val="clear" w:color="000000" w:fill="FFFF00"/>
            <w:noWrap/>
            <w:vAlign w:val="center"/>
            <w:hideMark/>
          </w:tcPr>
          <w:p w14:paraId="2802895F"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12178</w:t>
            </w:r>
          </w:p>
        </w:tc>
      </w:tr>
      <w:tr w:rsidR="00755970" w:rsidRPr="00755970" w14:paraId="3E55E6B0"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7B9EFFD" w14:textId="77777777" w:rsidR="00755970" w:rsidRPr="00755970" w:rsidRDefault="00755970" w:rsidP="00D85E97">
            <w:pPr>
              <w:jc w:val="both"/>
              <w:rPr>
                <w:rFonts w:ascii="Calibri" w:eastAsia="Times New Roman" w:hAnsi="Calibri" w:cs="Times New Roman"/>
                <w:color w:val="FF0000"/>
                <w:sz w:val="22"/>
                <w:szCs w:val="22"/>
                <w:lang w:eastAsia="fr-FR"/>
              </w:rPr>
            </w:pPr>
            <w:r w:rsidRPr="00755970">
              <w:rPr>
                <w:rFonts w:ascii="Calibri" w:eastAsia="Times New Roman" w:hAnsi="Calibri" w:cs="Times New Roman"/>
                <w:color w:val="FF0000"/>
                <w:sz w:val="22"/>
                <w:szCs w:val="22"/>
                <w:lang w:eastAsia="fr-FR"/>
              </w:rPr>
              <w:t>Kankan</w:t>
            </w:r>
          </w:p>
        </w:tc>
        <w:tc>
          <w:tcPr>
            <w:tcW w:w="900" w:type="dxa"/>
            <w:tcBorders>
              <w:top w:val="nil"/>
              <w:left w:val="nil"/>
              <w:bottom w:val="single" w:sz="4" w:space="0" w:color="auto"/>
              <w:right w:val="single" w:sz="4" w:space="0" w:color="auto"/>
            </w:tcBorders>
            <w:shd w:val="clear" w:color="auto" w:fill="auto"/>
            <w:noWrap/>
            <w:vAlign w:val="center"/>
            <w:hideMark/>
          </w:tcPr>
          <w:p w14:paraId="3338A849"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19320</w:t>
            </w:r>
          </w:p>
        </w:tc>
        <w:tc>
          <w:tcPr>
            <w:tcW w:w="2365" w:type="dxa"/>
            <w:tcBorders>
              <w:top w:val="nil"/>
              <w:left w:val="nil"/>
              <w:bottom w:val="single" w:sz="4" w:space="0" w:color="auto"/>
              <w:right w:val="single" w:sz="4" w:space="0" w:color="auto"/>
            </w:tcBorders>
            <w:shd w:val="clear" w:color="auto" w:fill="auto"/>
            <w:noWrap/>
            <w:vAlign w:val="center"/>
            <w:hideMark/>
          </w:tcPr>
          <w:p w14:paraId="1F9CB73D"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2686</w:t>
            </w:r>
          </w:p>
        </w:tc>
        <w:tc>
          <w:tcPr>
            <w:tcW w:w="2520" w:type="dxa"/>
            <w:tcBorders>
              <w:top w:val="nil"/>
              <w:left w:val="nil"/>
              <w:bottom w:val="single" w:sz="4" w:space="0" w:color="auto"/>
              <w:right w:val="single" w:sz="4" w:space="0" w:color="auto"/>
            </w:tcBorders>
            <w:shd w:val="clear" w:color="000000" w:fill="FFFF00"/>
            <w:noWrap/>
            <w:vAlign w:val="center"/>
            <w:hideMark/>
          </w:tcPr>
          <w:p w14:paraId="5A2E53E9"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16634</w:t>
            </w:r>
          </w:p>
        </w:tc>
      </w:tr>
      <w:tr w:rsidR="00755970" w:rsidRPr="00755970" w14:paraId="1E451901"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7FCE00"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Faranah</w:t>
            </w:r>
          </w:p>
        </w:tc>
        <w:tc>
          <w:tcPr>
            <w:tcW w:w="900" w:type="dxa"/>
            <w:tcBorders>
              <w:top w:val="nil"/>
              <w:left w:val="nil"/>
              <w:bottom w:val="single" w:sz="4" w:space="0" w:color="auto"/>
              <w:right w:val="single" w:sz="4" w:space="0" w:color="auto"/>
            </w:tcBorders>
            <w:shd w:val="clear" w:color="auto" w:fill="auto"/>
            <w:noWrap/>
            <w:vAlign w:val="center"/>
            <w:hideMark/>
          </w:tcPr>
          <w:p w14:paraId="420E843B"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10325</w:t>
            </w:r>
          </w:p>
        </w:tc>
        <w:tc>
          <w:tcPr>
            <w:tcW w:w="2365" w:type="dxa"/>
            <w:tcBorders>
              <w:top w:val="nil"/>
              <w:left w:val="nil"/>
              <w:bottom w:val="single" w:sz="4" w:space="0" w:color="auto"/>
              <w:right w:val="single" w:sz="4" w:space="0" w:color="auto"/>
            </w:tcBorders>
            <w:shd w:val="clear" w:color="auto" w:fill="auto"/>
            <w:noWrap/>
            <w:vAlign w:val="center"/>
            <w:hideMark/>
          </w:tcPr>
          <w:p w14:paraId="41F3A80C"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916</w:t>
            </w:r>
          </w:p>
        </w:tc>
        <w:tc>
          <w:tcPr>
            <w:tcW w:w="2520" w:type="dxa"/>
            <w:tcBorders>
              <w:top w:val="nil"/>
              <w:left w:val="nil"/>
              <w:bottom w:val="single" w:sz="4" w:space="0" w:color="auto"/>
              <w:right w:val="single" w:sz="4" w:space="0" w:color="auto"/>
            </w:tcBorders>
            <w:shd w:val="clear" w:color="auto" w:fill="auto"/>
            <w:noWrap/>
            <w:vAlign w:val="center"/>
            <w:hideMark/>
          </w:tcPr>
          <w:p w14:paraId="3B82A6C8"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9409</w:t>
            </w:r>
          </w:p>
        </w:tc>
      </w:tr>
      <w:tr w:rsidR="00755970" w:rsidRPr="00755970" w14:paraId="34982BF0"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DD06BD" w14:textId="77777777" w:rsidR="00755970" w:rsidRPr="00755970" w:rsidRDefault="00755970" w:rsidP="00D85E97">
            <w:pPr>
              <w:jc w:val="both"/>
              <w:rPr>
                <w:rFonts w:ascii="Calibri" w:eastAsia="Times New Roman" w:hAnsi="Calibri" w:cs="Times New Roman"/>
                <w:color w:val="FF0000"/>
                <w:sz w:val="22"/>
                <w:szCs w:val="22"/>
                <w:lang w:eastAsia="fr-FR"/>
              </w:rPr>
            </w:pPr>
            <w:r w:rsidRPr="00755970">
              <w:rPr>
                <w:rFonts w:ascii="Calibri" w:eastAsia="Times New Roman" w:hAnsi="Calibri" w:cs="Times New Roman"/>
                <w:color w:val="FF0000"/>
                <w:sz w:val="22"/>
                <w:szCs w:val="22"/>
                <w:lang w:eastAsia="fr-FR"/>
              </w:rPr>
              <w:t>N’Zérékoré</w:t>
            </w:r>
          </w:p>
        </w:tc>
        <w:tc>
          <w:tcPr>
            <w:tcW w:w="900" w:type="dxa"/>
            <w:tcBorders>
              <w:top w:val="nil"/>
              <w:left w:val="nil"/>
              <w:bottom w:val="single" w:sz="4" w:space="0" w:color="auto"/>
              <w:right w:val="single" w:sz="4" w:space="0" w:color="auto"/>
            </w:tcBorders>
            <w:shd w:val="clear" w:color="auto" w:fill="auto"/>
            <w:noWrap/>
            <w:vAlign w:val="center"/>
            <w:hideMark/>
          </w:tcPr>
          <w:p w14:paraId="49587686"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20534</w:t>
            </w:r>
          </w:p>
        </w:tc>
        <w:tc>
          <w:tcPr>
            <w:tcW w:w="2365" w:type="dxa"/>
            <w:tcBorders>
              <w:top w:val="nil"/>
              <w:left w:val="nil"/>
              <w:bottom w:val="single" w:sz="4" w:space="0" w:color="auto"/>
              <w:right w:val="single" w:sz="4" w:space="0" w:color="auto"/>
            </w:tcBorders>
            <w:shd w:val="clear" w:color="auto" w:fill="auto"/>
            <w:noWrap/>
            <w:vAlign w:val="center"/>
            <w:hideMark/>
          </w:tcPr>
          <w:p w14:paraId="61C7C1CD"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3342</w:t>
            </w:r>
          </w:p>
        </w:tc>
        <w:tc>
          <w:tcPr>
            <w:tcW w:w="2520" w:type="dxa"/>
            <w:tcBorders>
              <w:top w:val="nil"/>
              <w:left w:val="nil"/>
              <w:bottom w:val="single" w:sz="4" w:space="0" w:color="auto"/>
              <w:right w:val="single" w:sz="4" w:space="0" w:color="auto"/>
            </w:tcBorders>
            <w:shd w:val="clear" w:color="000000" w:fill="FFFF00"/>
            <w:noWrap/>
            <w:vAlign w:val="center"/>
            <w:hideMark/>
          </w:tcPr>
          <w:p w14:paraId="4762CE7B"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17192</w:t>
            </w:r>
          </w:p>
        </w:tc>
      </w:tr>
      <w:tr w:rsidR="00755970" w:rsidRPr="00755970" w14:paraId="29324742" w14:textId="77777777" w:rsidTr="00D85E9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DA5534"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14:paraId="6F037C83"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t>129140</w:t>
            </w:r>
          </w:p>
        </w:tc>
        <w:tc>
          <w:tcPr>
            <w:tcW w:w="2365" w:type="dxa"/>
            <w:tcBorders>
              <w:top w:val="nil"/>
              <w:left w:val="nil"/>
              <w:bottom w:val="single" w:sz="4" w:space="0" w:color="auto"/>
              <w:right w:val="single" w:sz="4" w:space="0" w:color="auto"/>
            </w:tcBorders>
            <w:shd w:val="clear" w:color="auto" w:fill="auto"/>
            <w:noWrap/>
            <w:vAlign w:val="center"/>
            <w:hideMark/>
          </w:tcPr>
          <w:p w14:paraId="73CC9882" w14:textId="77777777" w:rsidR="00755970" w:rsidRPr="00755970" w:rsidRDefault="00755970" w:rsidP="00D85E97">
            <w:pPr>
              <w:jc w:val="both"/>
              <w:rPr>
                <w:rFonts w:ascii="Calibri" w:eastAsia="Times New Roman" w:hAnsi="Calibri" w:cs="Times New Roman"/>
                <w:b/>
                <w:bCs/>
                <w:color w:val="000000"/>
                <w:sz w:val="22"/>
                <w:szCs w:val="22"/>
                <w:lang w:eastAsia="fr-FR"/>
              </w:rPr>
            </w:pPr>
            <w:r w:rsidRPr="00755970">
              <w:rPr>
                <w:rFonts w:ascii="Calibri" w:eastAsia="Times New Roman" w:hAnsi="Calibri" w:cs="Times New Roman"/>
                <w:b/>
                <w:bCs/>
                <w:color w:val="000000"/>
                <w:sz w:val="22"/>
                <w:szCs w:val="22"/>
                <w:lang w:eastAsia="fr-FR"/>
              </w:rPr>
              <w:t>42214,00</w:t>
            </w:r>
          </w:p>
        </w:tc>
        <w:tc>
          <w:tcPr>
            <w:tcW w:w="2520" w:type="dxa"/>
            <w:tcBorders>
              <w:top w:val="nil"/>
              <w:left w:val="nil"/>
              <w:bottom w:val="single" w:sz="4" w:space="0" w:color="auto"/>
              <w:right w:val="single" w:sz="4" w:space="0" w:color="auto"/>
            </w:tcBorders>
            <w:shd w:val="clear" w:color="auto" w:fill="auto"/>
            <w:noWrap/>
            <w:vAlign w:val="center"/>
            <w:hideMark/>
          </w:tcPr>
          <w:p w14:paraId="0B03BB3A" w14:textId="77777777" w:rsidR="00755970" w:rsidRPr="00755970" w:rsidRDefault="00755970" w:rsidP="00D85E97">
            <w:pPr>
              <w:jc w:val="both"/>
              <w:rPr>
                <w:rFonts w:ascii="Calibri" w:eastAsia="Times New Roman" w:hAnsi="Calibri" w:cs="Times New Roman"/>
                <w:color w:val="000000"/>
                <w:sz w:val="22"/>
                <w:szCs w:val="22"/>
                <w:lang w:eastAsia="fr-FR"/>
              </w:rPr>
            </w:pPr>
            <w:r w:rsidRPr="00755970">
              <w:rPr>
                <w:rFonts w:ascii="Calibri" w:eastAsia="Times New Roman" w:hAnsi="Calibri" w:cs="Times New Roman"/>
                <w:color w:val="000000"/>
                <w:sz w:val="22"/>
                <w:szCs w:val="22"/>
                <w:lang w:eastAsia="fr-FR"/>
              </w:rPr>
              <w:t>86926</w:t>
            </w:r>
          </w:p>
        </w:tc>
      </w:tr>
    </w:tbl>
    <w:p w14:paraId="1E4469F3" w14:textId="58C8149B" w:rsidR="00FA463F" w:rsidRDefault="00FA463F" w:rsidP="00D85E97">
      <w:pPr>
        <w:jc w:val="both"/>
        <w:rPr>
          <w:rFonts w:ascii="Georgia" w:hAnsi="Georgia"/>
        </w:rPr>
      </w:pPr>
    </w:p>
    <w:p w14:paraId="6D0FE999" w14:textId="01B5E1AC" w:rsidR="00E33A5B" w:rsidRDefault="00E33A5B" w:rsidP="00D85E97">
      <w:pPr>
        <w:pStyle w:val="Paragraphedeliste"/>
        <w:numPr>
          <w:ilvl w:val="0"/>
          <w:numId w:val="6"/>
        </w:numPr>
        <w:jc w:val="both"/>
        <w:rPr>
          <w:rFonts w:ascii="Georgia" w:hAnsi="Georgia"/>
        </w:rPr>
      </w:pPr>
      <w:r w:rsidRPr="00B77B5B">
        <w:rPr>
          <w:rFonts w:ascii="Georgia" w:hAnsi="Georgia"/>
        </w:rPr>
        <w:t>28 sites</w:t>
      </w:r>
      <w:r w:rsidR="00B77B5B">
        <w:rPr>
          <w:rFonts w:ascii="Georgia" w:hAnsi="Georgia"/>
        </w:rPr>
        <w:t xml:space="preserve"> de prise en charge ARV rassemblent près de</w:t>
      </w:r>
      <w:r w:rsidRPr="00B77B5B">
        <w:rPr>
          <w:rFonts w:ascii="Georgia" w:hAnsi="Georgia"/>
        </w:rPr>
        <w:t xml:space="preserve"> 90% de</w:t>
      </w:r>
      <w:r w:rsidR="00B77B5B">
        <w:rPr>
          <w:rFonts w:ascii="Georgia" w:hAnsi="Georgia"/>
        </w:rPr>
        <w:t xml:space="preserve"> </w:t>
      </w:r>
      <w:r w:rsidR="0001676B">
        <w:rPr>
          <w:rFonts w:ascii="Georgia" w:hAnsi="Georgia"/>
        </w:rPr>
        <w:t xml:space="preserve">la </w:t>
      </w:r>
      <w:r w:rsidR="0001676B" w:rsidRPr="00B77B5B">
        <w:rPr>
          <w:rFonts w:ascii="Georgia" w:hAnsi="Georgia"/>
        </w:rPr>
        <w:t>cohorte</w:t>
      </w:r>
      <w:r w:rsidR="0001676B">
        <w:rPr>
          <w:rFonts w:ascii="Georgia" w:hAnsi="Georgia"/>
        </w:rPr>
        <w:t>. Ce sont donc des sites sur lesquels il est possible de concentrer des actions de :</w:t>
      </w:r>
    </w:p>
    <w:p w14:paraId="399F329D" w14:textId="1D820DA6" w:rsidR="0001676B" w:rsidRDefault="0001676B" w:rsidP="0001676B">
      <w:pPr>
        <w:pStyle w:val="Paragraphedeliste"/>
        <w:numPr>
          <w:ilvl w:val="1"/>
          <w:numId w:val="6"/>
        </w:numPr>
        <w:jc w:val="both"/>
        <w:rPr>
          <w:rFonts w:ascii="Georgia" w:hAnsi="Georgia"/>
        </w:rPr>
      </w:pPr>
      <w:r>
        <w:rPr>
          <w:rFonts w:ascii="Georgia" w:hAnsi="Georgia"/>
        </w:rPr>
        <w:t>Dépistage index</w:t>
      </w:r>
    </w:p>
    <w:p w14:paraId="6500DEC9" w14:textId="21521304" w:rsidR="000F3318" w:rsidRDefault="000F3318" w:rsidP="0001676B">
      <w:pPr>
        <w:pStyle w:val="Paragraphedeliste"/>
        <w:numPr>
          <w:ilvl w:val="1"/>
          <w:numId w:val="6"/>
        </w:numPr>
        <w:jc w:val="both"/>
        <w:rPr>
          <w:rFonts w:ascii="Georgia" w:hAnsi="Georgia"/>
        </w:rPr>
      </w:pPr>
      <w:r>
        <w:rPr>
          <w:rFonts w:ascii="Georgia" w:hAnsi="Georgia"/>
        </w:rPr>
        <w:t>Déploiement / renforcement des APS et d’un dispositif d’accompagnement des PVVH</w:t>
      </w:r>
    </w:p>
    <w:p w14:paraId="6D6FC020" w14:textId="1E42BB7B" w:rsidR="000F3318" w:rsidRDefault="000F3318" w:rsidP="0001676B">
      <w:pPr>
        <w:pStyle w:val="Paragraphedeliste"/>
        <w:numPr>
          <w:ilvl w:val="1"/>
          <w:numId w:val="6"/>
        </w:numPr>
        <w:jc w:val="both"/>
        <w:rPr>
          <w:rFonts w:ascii="Georgia" w:hAnsi="Georgia"/>
        </w:rPr>
      </w:pPr>
      <w:r>
        <w:rPr>
          <w:rFonts w:ascii="Georgia" w:hAnsi="Georgia"/>
        </w:rPr>
        <w:t>Tutorat de centres de santé pour intégrer la PEC / transférer une partie de la file active, etc.</w:t>
      </w:r>
    </w:p>
    <w:p w14:paraId="00AE645F" w14:textId="1A8CAF9E" w:rsidR="0001676B" w:rsidRDefault="0001676B" w:rsidP="0001676B">
      <w:pPr>
        <w:pStyle w:val="Paragraphedeliste"/>
        <w:numPr>
          <w:ilvl w:val="1"/>
          <w:numId w:val="6"/>
        </w:numPr>
        <w:jc w:val="both"/>
        <w:rPr>
          <w:rFonts w:ascii="Georgia" w:hAnsi="Georgia"/>
        </w:rPr>
      </w:pPr>
      <w:r>
        <w:rPr>
          <w:rFonts w:ascii="Georgia" w:hAnsi="Georgia"/>
        </w:rPr>
        <w:t>Amélioration de la gestion des intrants</w:t>
      </w:r>
    </w:p>
    <w:tbl>
      <w:tblPr>
        <w:tblW w:w="9704" w:type="dxa"/>
        <w:tblInd w:w="75" w:type="dxa"/>
        <w:tblLayout w:type="fixed"/>
        <w:tblCellMar>
          <w:left w:w="70" w:type="dxa"/>
          <w:right w:w="70" w:type="dxa"/>
        </w:tblCellMar>
        <w:tblLook w:val="04A0" w:firstRow="1" w:lastRow="0" w:firstColumn="1" w:lastColumn="0" w:noHBand="0" w:noVBand="1"/>
      </w:tblPr>
      <w:tblGrid>
        <w:gridCol w:w="260"/>
        <w:gridCol w:w="2073"/>
        <w:gridCol w:w="851"/>
        <w:gridCol w:w="1064"/>
        <w:gridCol w:w="778"/>
        <w:gridCol w:w="709"/>
        <w:gridCol w:w="709"/>
        <w:gridCol w:w="709"/>
        <w:gridCol w:w="850"/>
        <w:gridCol w:w="851"/>
        <w:gridCol w:w="850"/>
      </w:tblGrid>
      <w:tr w:rsidR="00E33A5B" w:rsidRPr="00E33A5B" w14:paraId="25CAC668" w14:textId="77777777" w:rsidTr="001F6336">
        <w:trPr>
          <w:trHeight w:val="320"/>
        </w:trPr>
        <w:tc>
          <w:tcPr>
            <w:tcW w:w="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8171D2"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single" w:sz="4" w:space="0" w:color="auto"/>
              <w:left w:val="nil"/>
              <w:bottom w:val="single" w:sz="4" w:space="0" w:color="auto"/>
              <w:right w:val="single" w:sz="4" w:space="0" w:color="auto"/>
            </w:tcBorders>
            <w:shd w:val="clear" w:color="000000" w:fill="FFFFFF"/>
            <w:noWrap/>
            <w:vAlign w:val="bottom"/>
            <w:hideMark/>
          </w:tcPr>
          <w:p w14:paraId="7EF833AB"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Conakry</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2E311A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Conakry</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2C29B25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N'Zérékoré</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14:paraId="56ABE961"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Kankan</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1C252168"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Labé</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77F4D3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Boké</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49C2779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Kindia</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473E88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Mamou</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DAC4DB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Faranah</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62F75E6" w14:textId="77777777" w:rsidR="00E33A5B" w:rsidRPr="00783374" w:rsidRDefault="00E33A5B" w:rsidP="00D85E97">
            <w:pPr>
              <w:jc w:val="both"/>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Total</w:t>
            </w:r>
          </w:p>
        </w:tc>
      </w:tr>
      <w:tr w:rsidR="00E33A5B" w:rsidRPr="00E33A5B" w14:paraId="0019BAD1"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6F2A530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45C120AB"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total</w:t>
            </w:r>
          </w:p>
        </w:tc>
        <w:tc>
          <w:tcPr>
            <w:tcW w:w="851" w:type="dxa"/>
            <w:tcBorders>
              <w:top w:val="nil"/>
              <w:left w:val="nil"/>
              <w:bottom w:val="single" w:sz="4" w:space="0" w:color="auto"/>
              <w:right w:val="single" w:sz="4" w:space="0" w:color="auto"/>
            </w:tcBorders>
            <w:shd w:val="clear" w:color="000000" w:fill="FFFFFF"/>
            <w:noWrap/>
            <w:vAlign w:val="bottom"/>
            <w:hideMark/>
          </w:tcPr>
          <w:p w14:paraId="1D0F1F35"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1064" w:type="dxa"/>
            <w:tcBorders>
              <w:top w:val="nil"/>
              <w:left w:val="nil"/>
              <w:bottom w:val="single" w:sz="4" w:space="0" w:color="auto"/>
              <w:right w:val="single" w:sz="4" w:space="0" w:color="auto"/>
            </w:tcBorders>
            <w:shd w:val="clear" w:color="000000" w:fill="FFFFFF"/>
            <w:noWrap/>
            <w:vAlign w:val="bottom"/>
            <w:hideMark/>
          </w:tcPr>
          <w:p w14:paraId="682CFAF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778" w:type="dxa"/>
            <w:tcBorders>
              <w:top w:val="nil"/>
              <w:left w:val="nil"/>
              <w:bottom w:val="single" w:sz="4" w:space="0" w:color="auto"/>
              <w:right w:val="single" w:sz="4" w:space="0" w:color="auto"/>
            </w:tcBorders>
            <w:shd w:val="clear" w:color="000000" w:fill="FFFFFF"/>
            <w:noWrap/>
            <w:vAlign w:val="bottom"/>
            <w:hideMark/>
          </w:tcPr>
          <w:p w14:paraId="20A5815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860DB9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6D55E5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291F13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3DEFC1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C79813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C5E7E21"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r>
      <w:tr w:rsidR="00E33A5B" w:rsidRPr="00E33A5B" w14:paraId="1B5705D4"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76209D18"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5C37924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Nombre de sites prioritaires</w:t>
            </w:r>
          </w:p>
        </w:tc>
        <w:tc>
          <w:tcPr>
            <w:tcW w:w="851" w:type="dxa"/>
            <w:tcBorders>
              <w:top w:val="nil"/>
              <w:left w:val="nil"/>
              <w:bottom w:val="single" w:sz="4" w:space="0" w:color="auto"/>
              <w:right w:val="single" w:sz="4" w:space="0" w:color="auto"/>
            </w:tcBorders>
            <w:shd w:val="clear" w:color="000000" w:fill="FFFFFF"/>
            <w:noWrap/>
            <w:vAlign w:val="bottom"/>
            <w:hideMark/>
          </w:tcPr>
          <w:p w14:paraId="5AF2F53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15</w:t>
            </w:r>
          </w:p>
        </w:tc>
        <w:tc>
          <w:tcPr>
            <w:tcW w:w="1064" w:type="dxa"/>
            <w:tcBorders>
              <w:top w:val="nil"/>
              <w:left w:val="nil"/>
              <w:bottom w:val="single" w:sz="4" w:space="0" w:color="auto"/>
              <w:right w:val="single" w:sz="4" w:space="0" w:color="auto"/>
            </w:tcBorders>
            <w:shd w:val="clear" w:color="000000" w:fill="FFFFFF"/>
            <w:noWrap/>
            <w:vAlign w:val="bottom"/>
            <w:hideMark/>
          </w:tcPr>
          <w:p w14:paraId="35B6603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3</w:t>
            </w:r>
          </w:p>
        </w:tc>
        <w:tc>
          <w:tcPr>
            <w:tcW w:w="778" w:type="dxa"/>
            <w:tcBorders>
              <w:top w:val="nil"/>
              <w:left w:val="nil"/>
              <w:bottom w:val="single" w:sz="4" w:space="0" w:color="auto"/>
              <w:right w:val="single" w:sz="4" w:space="0" w:color="auto"/>
            </w:tcBorders>
            <w:shd w:val="clear" w:color="000000" w:fill="FFFFFF"/>
            <w:noWrap/>
            <w:vAlign w:val="bottom"/>
            <w:hideMark/>
          </w:tcPr>
          <w:p w14:paraId="309666B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709" w:type="dxa"/>
            <w:tcBorders>
              <w:top w:val="nil"/>
              <w:left w:val="nil"/>
              <w:bottom w:val="single" w:sz="4" w:space="0" w:color="auto"/>
              <w:right w:val="single" w:sz="4" w:space="0" w:color="auto"/>
            </w:tcBorders>
            <w:shd w:val="clear" w:color="000000" w:fill="FFFFFF"/>
            <w:noWrap/>
            <w:vAlign w:val="bottom"/>
            <w:hideMark/>
          </w:tcPr>
          <w:p w14:paraId="14EF459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09" w:type="dxa"/>
            <w:tcBorders>
              <w:top w:val="nil"/>
              <w:left w:val="nil"/>
              <w:bottom w:val="single" w:sz="4" w:space="0" w:color="auto"/>
              <w:right w:val="single" w:sz="4" w:space="0" w:color="auto"/>
            </w:tcBorders>
            <w:shd w:val="clear" w:color="000000" w:fill="FFFFFF"/>
            <w:noWrap/>
            <w:vAlign w:val="bottom"/>
            <w:hideMark/>
          </w:tcPr>
          <w:p w14:paraId="3A4C58F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709" w:type="dxa"/>
            <w:tcBorders>
              <w:top w:val="nil"/>
              <w:left w:val="nil"/>
              <w:bottom w:val="single" w:sz="4" w:space="0" w:color="auto"/>
              <w:right w:val="single" w:sz="4" w:space="0" w:color="auto"/>
            </w:tcBorders>
            <w:shd w:val="clear" w:color="000000" w:fill="FFFFFF"/>
            <w:noWrap/>
            <w:vAlign w:val="bottom"/>
            <w:hideMark/>
          </w:tcPr>
          <w:p w14:paraId="1DFCCEC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0696394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4C1F67F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6BE3C05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28</w:t>
            </w:r>
          </w:p>
        </w:tc>
      </w:tr>
      <w:tr w:rsidR="00E33A5B" w:rsidRPr="00E33A5B" w14:paraId="3EDA4346"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7487544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06B925D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des sites prioritaires</w:t>
            </w:r>
          </w:p>
        </w:tc>
        <w:tc>
          <w:tcPr>
            <w:tcW w:w="851" w:type="dxa"/>
            <w:tcBorders>
              <w:top w:val="nil"/>
              <w:left w:val="nil"/>
              <w:bottom w:val="single" w:sz="4" w:space="0" w:color="auto"/>
              <w:right w:val="single" w:sz="4" w:space="0" w:color="auto"/>
            </w:tcBorders>
            <w:shd w:val="clear" w:color="000000" w:fill="FFFFFF"/>
            <w:noWrap/>
            <w:vAlign w:val="bottom"/>
            <w:hideMark/>
          </w:tcPr>
          <w:p w14:paraId="07ECD73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26899</w:t>
            </w:r>
          </w:p>
        </w:tc>
        <w:tc>
          <w:tcPr>
            <w:tcW w:w="1064" w:type="dxa"/>
            <w:tcBorders>
              <w:top w:val="nil"/>
              <w:left w:val="nil"/>
              <w:bottom w:val="single" w:sz="4" w:space="0" w:color="auto"/>
              <w:right w:val="single" w:sz="4" w:space="0" w:color="auto"/>
            </w:tcBorders>
            <w:shd w:val="clear" w:color="000000" w:fill="FFFFFF"/>
            <w:noWrap/>
            <w:vAlign w:val="bottom"/>
            <w:hideMark/>
          </w:tcPr>
          <w:p w14:paraId="2408F801"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3928</w:t>
            </w:r>
          </w:p>
        </w:tc>
        <w:tc>
          <w:tcPr>
            <w:tcW w:w="778" w:type="dxa"/>
            <w:tcBorders>
              <w:top w:val="nil"/>
              <w:left w:val="nil"/>
              <w:bottom w:val="single" w:sz="4" w:space="0" w:color="auto"/>
              <w:right w:val="single" w:sz="4" w:space="0" w:color="auto"/>
            </w:tcBorders>
            <w:shd w:val="clear" w:color="000000" w:fill="FFFFFF"/>
            <w:noWrap/>
            <w:vAlign w:val="bottom"/>
            <w:hideMark/>
          </w:tcPr>
          <w:p w14:paraId="071EF97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2398</w:t>
            </w:r>
          </w:p>
        </w:tc>
        <w:tc>
          <w:tcPr>
            <w:tcW w:w="709" w:type="dxa"/>
            <w:tcBorders>
              <w:top w:val="nil"/>
              <w:left w:val="nil"/>
              <w:bottom w:val="single" w:sz="4" w:space="0" w:color="auto"/>
              <w:right w:val="single" w:sz="4" w:space="0" w:color="auto"/>
            </w:tcBorders>
            <w:shd w:val="clear" w:color="000000" w:fill="FFFFFF"/>
            <w:noWrap/>
            <w:vAlign w:val="bottom"/>
            <w:hideMark/>
          </w:tcPr>
          <w:p w14:paraId="4A55C99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1689</w:t>
            </w:r>
          </w:p>
        </w:tc>
        <w:tc>
          <w:tcPr>
            <w:tcW w:w="709" w:type="dxa"/>
            <w:tcBorders>
              <w:top w:val="nil"/>
              <w:left w:val="nil"/>
              <w:bottom w:val="single" w:sz="4" w:space="0" w:color="auto"/>
              <w:right w:val="single" w:sz="4" w:space="0" w:color="auto"/>
            </w:tcBorders>
            <w:shd w:val="clear" w:color="000000" w:fill="FFFFFF"/>
            <w:noWrap/>
            <w:vAlign w:val="bottom"/>
            <w:hideMark/>
          </w:tcPr>
          <w:p w14:paraId="58235A8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1643</w:t>
            </w:r>
          </w:p>
        </w:tc>
        <w:tc>
          <w:tcPr>
            <w:tcW w:w="709" w:type="dxa"/>
            <w:tcBorders>
              <w:top w:val="nil"/>
              <w:left w:val="nil"/>
              <w:bottom w:val="single" w:sz="4" w:space="0" w:color="auto"/>
              <w:right w:val="single" w:sz="4" w:space="0" w:color="auto"/>
            </w:tcBorders>
            <w:shd w:val="clear" w:color="000000" w:fill="FFFFFF"/>
            <w:noWrap/>
            <w:vAlign w:val="bottom"/>
            <w:hideMark/>
          </w:tcPr>
          <w:p w14:paraId="5F54E17B"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1372</w:t>
            </w:r>
          </w:p>
        </w:tc>
        <w:tc>
          <w:tcPr>
            <w:tcW w:w="850" w:type="dxa"/>
            <w:tcBorders>
              <w:top w:val="nil"/>
              <w:left w:val="nil"/>
              <w:bottom w:val="single" w:sz="4" w:space="0" w:color="auto"/>
              <w:right w:val="single" w:sz="4" w:space="0" w:color="auto"/>
            </w:tcBorders>
            <w:shd w:val="clear" w:color="000000" w:fill="FFFFFF"/>
            <w:noWrap/>
            <w:vAlign w:val="bottom"/>
            <w:hideMark/>
          </w:tcPr>
          <w:p w14:paraId="565B0FD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830</w:t>
            </w:r>
          </w:p>
        </w:tc>
        <w:tc>
          <w:tcPr>
            <w:tcW w:w="851" w:type="dxa"/>
            <w:tcBorders>
              <w:top w:val="nil"/>
              <w:left w:val="nil"/>
              <w:bottom w:val="single" w:sz="4" w:space="0" w:color="auto"/>
              <w:right w:val="single" w:sz="4" w:space="0" w:color="auto"/>
            </w:tcBorders>
            <w:shd w:val="clear" w:color="000000" w:fill="FFFFFF"/>
            <w:noWrap/>
            <w:vAlign w:val="bottom"/>
            <w:hideMark/>
          </w:tcPr>
          <w:p w14:paraId="7E7C658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353</w:t>
            </w:r>
          </w:p>
        </w:tc>
        <w:tc>
          <w:tcPr>
            <w:tcW w:w="850" w:type="dxa"/>
            <w:tcBorders>
              <w:top w:val="nil"/>
              <w:left w:val="nil"/>
              <w:bottom w:val="single" w:sz="4" w:space="0" w:color="auto"/>
              <w:right w:val="single" w:sz="4" w:space="0" w:color="auto"/>
            </w:tcBorders>
            <w:shd w:val="clear" w:color="000000" w:fill="FFFFFF"/>
            <w:noWrap/>
            <w:vAlign w:val="bottom"/>
            <w:hideMark/>
          </w:tcPr>
          <w:p w14:paraId="054EE60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39112</w:t>
            </w:r>
          </w:p>
        </w:tc>
      </w:tr>
      <w:tr w:rsidR="00E33A5B" w:rsidRPr="00E33A5B" w14:paraId="300E38E7"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5653B3E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6428F50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supérieur à 5000</w:t>
            </w:r>
          </w:p>
        </w:tc>
        <w:tc>
          <w:tcPr>
            <w:tcW w:w="851" w:type="dxa"/>
            <w:tcBorders>
              <w:top w:val="nil"/>
              <w:left w:val="nil"/>
              <w:bottom w:val="single" w:sz="4" w:space="0" w:color="auto"/>
              <w:right w:val="single" w:sz="4" w:space="0" w:color="auto"/>
            </w:tcBorders>
            <w:shd w:val="clear" w:color="000000" w:fill="FFFFFF"/>
            <w:noWrap/>
            <w:vAlign w:val="bottom"/>
            <w:hideMark/>
          </w:tcPr>
          <w:p w14:paraId="124D57D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1064" w:type="dxa"/>
            <w:tcBorders>
              <w:top w:val="nil"/>
              <w:left w:val="nil"/>
              <w:bottom w:val="single" w:sz="4" w:space="0" w:color="auto"/>
              <w:right w:val="single" w:sz="4" w:space="0" w:color="auto"/>
            </w:tcBorders>
            <w:shd w:val="clear" w:color="000000" w:fill="FFFFFF"/>
            <w:noWrap/>
            <w:vAlign w:val="bottom"/>
            <w:hideMark/>
          </w:tcPr>
          <w:p w14:paraId="3C300A28"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1A0270B5"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AAA90D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2C846892"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EAC6D4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67E9E8A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138F4C2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7B6A175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r>
      <w:tr w:rsidR="00E33A5B" w:rsidRPr="00E33A5B" w14:paraId="017919E4"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2CA9B6B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05D4025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entre 4000 et 5000</w:t>
            </w:r>
          </w:p>
        </w:tc>
        <w:tc>
          <w:tcPr>
            <w:tcW w:w="851" w:type="dxa"/>
            <w:tcBorders>
              <w:top w:val="nil"/>
              <w:left w:val="nil"/>
              <w:bottom w:val="single" w:sz="4" w:space="0" w:color="auto"/>
              <w:right w:val="single" w:sz="4" w:space="0" w:color="auto"/>
            </w:tcBorders>
            <w:shd w:val="clear" w:color="000000" w:fill="FFFFFF"/>
            <w:noWrap/>
            <w:vAlign w:val="bottom"/>
            <w:hideMark/>
          </w:tcPr>
          <w:p w14:paraId="316ABEB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1064" w:type="dxa"/>
            <w:tcBorders>
              <w:top w:val="nil"/>
              <w:left w:val="nil"/>
              <w:bottom w:val="single" w:sz="4" w:space="0" w:color="auto"/>
              <w:right w:val="single" w:sz="4" w:space="0" w:color="auto"/>
            </w:tcBorders>
            <w:shd w:val="clear" w:color="000000" w:fill="FFFFFF"/>
            <w:noWrap/>
            <w:vAlign w:val="bottom"/>
            <w:hideMark/>
          </w:tcPr>
          <w:p w14:paraId="672336A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4CF4FCD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D9478D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73ED3E9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F877A1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B632CE7"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6BE797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4462152"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r>
      <w:tr w:rsidR="00E33A5B" w:rsidRPr="00E33A5B" w14:paraId="45D61778"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1DE2DDC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2363CE21"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entre 3000 et 4000</w:t>
            </w:r>
          </w:p>
        </w:tc>
        <w:tc>
          <w:tcPr>
            <w:tcW w:w="851" w:type="dxa"/>
            <w:tcBorders>
              <w:top w:val="nil"/>
              <w:left w:val="nil"/>
              <w:bottom w:val="single" w:sz="4" w:space="0" w:color="auto"/>
              <w:right w:val="single" w:sz="4" w:space="0" w:color="auto"/>
            </w:tcBorders>
            <w:shd w:val="clear" w:color="000000" w:fill="FFFFFF"/>
            <w:noWrap/>
            <w:vAlign w:val="bottom"/>
            <w:hideMark/>
          </w:tcPr>
          <w:p w14:paraId="46E77FF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1064" w:type="dxa"/>
            <w:tcBorders>
              <w:top w:val="nil"/>
              <w:left w:val="nil"/>
              <w:bottom w:val="single" w:sz="4" w:space="0" w:color="auto"/>
              <w:right w:val="single" w:sz="4" w:space="0" w:color="auto"/>
            </w:tcBorders>
            <w:shd w:val="clear" w:color="000000" w:fill="FFFFFF"/>
            <w:noWrap/>
            <w:vAlign w:val="bottom"/>
            <w:hideMark/>
          </w:tcPr>
          <w:p w14:paraId="3A263E1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68285EB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FC7012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4083169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0079E1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F499BE5"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5EE867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2AA98EC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r>
      <w:tr w:rsidR="00E33A5B" w:rsidRPr="00E33A5B" w14:paraId="26EF4261"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414F278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14ABD36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entre 2000 et 3000</w:t>
            </w:r>
          </w:p>
        </w:tc>
        <w:tc>
          <w:tcPr>
            <w:tcW w:w="851" w:type="dxa"/>
            <w:tcBorders>
              <w:top w:val="nil"/>
              <w:left w:val="nil"/>
              <w:bottom w:val="single" w:sz="4" w:space="0" w:color="auto"/>
              <w:right w:val="single" w:sz="4" w:space="0" w:color="auto"/>
            </w:tcBorders>
            <w:shd w:val="clear" w:color="000000" w:fill="FFFFFF"/>
            <w:noWrap/>
            <w:vAlign w:val="bottom"/>
            <w:hideMark/>
          </w:tcPr>
          <w:p w14:paraId="1ED94E0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1064" w:type="dxa"/>
            <w:tcBorders>
              <w:top w:val="nil"/>
              <w:left w:val="nil"/>
              <w:bottom w:val="single" w:sz="4" w:space="0" w:color="auto"/>
              <w:right w:val="single" w:sz="4" w:space="0" w:color="auto"/>
            </w:tcBorders>
            <w:shd w:val="clear" w:color="000000" w:fill="FFFFFF"/>
            <w:noWrap/>
            <w:vAlign w:val="bottom"/>
            <w:hideMark/>
          </w:tcPr>
          <w:p w14:paraId="11939DA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67136568"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E2635E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4AEEA0B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3F9805D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4623D008"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6F0AA15"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9B9C60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r>
      <w:tr w:rsidR="00E33A5B" w:rsidRPr="00E33A5B" w14:paraId="13E9F6DD"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43D2476C"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750ADF4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entre 1000 et 2000</w:t>
            </w:r>
          </w:p>
        </w:tc>
        <w:tc>
          <w:tcPr>
            <w:tcW w:w="851" w:type="dxa"/>
            <w:tcBorders>
              <w:top w:val="nil"/>
              <w:left w:val="nil"/>
              <w:bottom w:val="single" w:sz="4" w:space="0" w:color="auto"/>
              <w:right w:val="single" w:sz="4" w:space="0" w:color="auto"/>
            </w:tcBorders>
            <w:shd w:val="clear" w:color="000000" w:fill="FFFFFF"/>
            <w:noWrap/>
            <w:vAlign w:val="bottom"/>
            <w:hideMark/>
          </w:tcPr>
          <w:p w14:paraId="3D25DB2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7</w:t>
            </w:r>
          </w:p>
        </w:tc>
        <w:tc>
          <w:tcPr>
            <w:tcW w:w="1064" w:type="dxa"/>
            <w:tcBorders>
              <w:top w:val="nil"/>
              <w:left w:val="nil"/>
              <w:bottom w:val="single" w:sz="4" w:space="0" w:color="auto"/>
              <w:right w:val="single" w:sz="4" w:space="0" w:color="auto"/>
            </w:tcBorders>
            <w:shd w:val="clear" w:color="000000" w:fill="FFFFFF"/>
            <w:noWrap/>
            <w:vAlign w:val="bottom"/>
            <w:hideMark/>
          </w:tcPr>
          <w:p w14:paraId="7056226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778" w:type="dxa"/>
            <w:tcBorders>
              <w:top w:val="nil"/>
              <w:left w:val="nil"/>
              <w:bottom w:val="single" w:sz="4" w:space="0" w:color="auto"/>
              <w:right w:val="single" w:sz="4" w:space="0" w:color="auto"/>
            </w:tcBorders>
            <w:shd w:val="clear" w:color="000000" w:fill="FFFFFF"/>
            <w:noWrap/>
            <w:vAlign w:val="bottom"/>
            <w:hideMark/>
          </w:tcPr>
          <w:p w14:paraId="3372366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09" w:type="dxa"/>
            <w:tcBorders>
              <w:top w:val="nil"/>
              <w:left w:val="nil"/>
              <w:bottom w:val="single" w:sz="4" w:space="0" w:color="auto"/>
              <w:right w:val="single" w:sz="4" w:space="0" w:color="auto"/>
            </w:tcBorders>
            <w:shd w:val="clear" w:color="000000" w:fill="FFFFFF"/>
            <w:noWrap/>
            <w:vAlign w:val="bottom"/>
            <w:hideMark/>
          </w:tcPr>
          <w:p w14:paraId="3F9D48B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09" w:type="dxa"/>
            <w:tcBorders>
              <w:top w:val="nil"/>
              <w:left w:val="nil"/>
              <w:bottom w:val="single" w:sz="4" w:space="0" w:color="auto"/>
              <w:right w:val="single" w:sz="4" w:space="0" w:color="auto"/>
            </w:tcBorders>
            <w:shd w:val="clear" w:color="000000" w:fill="FFFFFF"/>
            <w:noWrap/>
            <w:vAlign w:val="bottom"/>
            <w:hideMark/>
          </w:tcPr>
          <w:p w14:paraId="0FFB324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09" w:type="dxa"/>
            <w:tcBorders>
              <w:top w:val="nil"/>
              <w:left w:val="nil"/>
              <w:bottom w:val="single" w:sz="4" w:space="0" w:color="auto"/>
              <w:right w:val="single" w:sz="4" w:space="0" w:color="auto"/>
            </w:tcBorders>
            <w:shd w:val="clear" w:color="000000" w:fill="FFFFFF"/>
            <w:noWrap/>
            <w:vAlign w:val="bottom"/>
            <w:hideMark/>
          </w:tcPr>
          <w:p w14:paraId="32C5990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618D62D5"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81580C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BFA7F1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13</w:t>
            </w:r>
          </w:p>
        </w:tc>
      </w:tr>
      <w:tr w:rsidR="00E33A5B" w:rsidRPr="00E33A5B" w14:paraId="721FE424"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11B0328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2F8F78BA"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entre 500 et 1000</w:t>
            </w:r>
          </w:p>
        </w:tc>
        <w:tc>
          <w:tcPr>
            <w:tcW w:w="851" w:type="dxa"/>
            <w:tcBorders>
              <w:top w:val="nil"/>
              <w:left w:val="nil"/>
              <w:bottom w:val="single" w:sz="4" w:space="0" w:color="auto"/>
              <w:right w:val="single" w:sz="4" w:space="0" w:color="auto"/>
            </w:tcBorders>
            <w:shd w:val="clear" w:color="000000" w:fill="FFFFFF"/>
            <w:noWrap/>
            <w:vAlign w:val="bottom"/>
            <w:hideMark/>
          </w:tcPr>
          <w:p w14:paraId="2E1751E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1064" w:type="dxa"/>
            <w:tcBorders>
              <w:top w:val="nil"/>
              <w:left w:val="nil"/>
              <w:bottom w:val="single" w:sz="4" w:space="0" w:color="auto"/>
              <w:right w:val="single" w:sz="4" w:space="0" w:color="auto"/>
            </w:tcBorders>
            <w:shd w:val="clear" w:color="000000" w:fill="FFFFFF"/>
            <w:noWrap/>
            <w:vAlign w:val="bottom"/>
            <w:hideMark/>
          </w:tcPr>
          <w:p w14:paraId="4FAF19E9"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78" w:type="dxa"/>
            <w:tcBorders>
              <w:top w:val="nil"/>
              <w:left w:val="nil"/>
              <w:bottom w:val="single" w:sz="4" w:space="0" w:color="auto"/>
              <w:right w:val="single" w:sz="4" w:space="0" w:color="auto"/>
            </w:tcBorders>
            <w:shd w:val="clear" w:color="000000" w:fill="FFFFFF"/>
            <w:noWrap/>
            <w:vAlign w:val="bottom"/>
            <w:hideMark/>
          </w:tcPr>
          <w:p w14:paraId="0B81E28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09" w:type="dxa"/>
            <w:tcBorders>
              <w:top w:val="nil"/>
              <w:left w:val="nil"/>
              <w:bottom w:val="single" w:sz="4" w:space="0" w:color="auto"/>
              <w:right w:val="single" w:sz="4" w:space="0" w:color="auto"/>
            </w:tcBorders>
            <w:shd w:val="clear" w:color="000000" w:fill="FFFFFF"/>
            <w:noWrap/>
            <w:vAlign w:val="bottom"/>
            <w:hideMark/>
          </w:tcPr>
          <w:p w14:paraId="10DD0C1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B24E802"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709" w:type="dxa"/>
            <w:tcBorders>
              <w:top w:val="nil"/>
              <w:left w:val="nil"/>
              <w:bottom w:val="single" w:sz="4" w:space="0" w:color="auto"/>
              <w:right w:val="single" w:sz="4" w:space="0" w:color="auto"/>
            </w:tcBorders>
            <w:shd w:val="clear" w:color="000000" w:fill="FFFFFF"/>
            <w:noWrap/>
            <w:vAlign w:val="bottom"/>
            <w:hideMark/>
          </w:tcPr>
          <w:p w14:paraId="21E5438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735D8C9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66E6FC7B"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4670D81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6</w:t>
            </w:r>
          </w:p>
        </w:tc>
      </w:tr>
      <w:tr w:rsidR="00E33A5B" w:rsidRPr="00E33A5B" w14:paraId="7A65C0C2" w14:textId="77777777" w:rsidTr="001F6336">
        <w:trPr>
          <w:trHeight w:val="320"/>
        </w:trPr>
        <w:tc>
          <w:tcPr>
            <w:tcW w:w="260" w:type="dxa"/>
            <w:tcBorders>
              <w:top w:val="nil"/>
              <w:left w:val="single" w:sz="4" w:space="0" w:color="auto"/>
              <w:bottom w:val="single" w:sz="4" w:space="0" w:color="auto"/>
              <w:right w:val="single" w:sz="4" w:space="0" w:color="auto"/>
            </w:tcBorders>
            <w:shd w:val="clear" w:color="000000" w:fill="FFFFFF"/>
            <w:noWrap/>
            <w:vAlign w:val="bottom"/>
            <w:hideMark/>
          </w:tcPr>
          <w:p w14:paraId="4C8032D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 </w:t>
            </w:r>
          </w:p>
        </w:tc>
        <w:tc>
          <w:tcPr>
            <w:tcW w:w="2073" w:type="dxa"/>
            <w:tcBorders>
              <w:top w:val="nil"/>
              <w:left w:val="nil"/>
              <w:bottom w:val="single" w:sz="4" w:space="0" w:color="auto"/>
              <w:right w:val="single" w:sz="4" w:space="0" w:color="auto"/>
            </w:tcBorders>
            <w:shd w:val="clear" w:color="000000" w:fill="FFFFFF"/>
            <w:noWrap/>
            <w:vAlign w:val="bottom"/>
            <w:hideMark/>
          </w:tcPr>
          <w:p w14:paraId="6D2B1C0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FA inférieur à 500</w:t>
            </w:r>
          </w:p>
        </w:tc>
        <w:tc>
          <w:tcPr>
            <w:tcW w:w="851" w:type="dxa"/>
            <w:tcBorders>
              <w:top w:val="nil"/>
              <w:left w:val="nil"/>
              <w:bottom w:val="single" w:sz="4" w:space="0" w:color="auto"/>
              <w:right w:val="single" w:sz="4" w:space="0" w:color="auto"/>
            </w:tcBorders>
            <w:shd w:val="clear" w:color="000000" w:fill="FFFFFF"/>
            <w:noWrap/>
            <w:vAlign w:val="bottom"/>
            <w:hideMark/>
          </w:tcPr>
          <w:p w14:paraId="29DEFBAE"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2</w:t>
            </w:r>
          </w:p>
        </w:tc>
        <w:tc>
          <w:tcPr>
            <w:tcW w:w="1064" w:type="dxa"/>
            <w:tcBorders>
              <w:top w:val="nil"/>
              <w:left w:val="nil"/>
              <w:bottom w:val="single" w:sz="4" w:space="0" w:color="auto"/>
              <w:right w:val="single" w:sz="4" w:space="0" w:color="auto"/>
            </w:tcBorders>
            <w:shd w:val="clear" w:color="000000" w:fill="FFFFFF"/>
            <w:noWrap/>
            <w:vAlign w:val="bottom"/>
            <w:hideMark/>
          </w:tcPr>
          <w:p w14:paraId="6A6A1275"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025300F4"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45583A13"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64B8D5E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21F2D816"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C587D4F"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69CC3E2D"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5B7A3590" w14:textId="77777777" w:rsidR="00E33A5B" w:rsidRPr="00783374" w:rsidRDefault="00E33A5B" w:rsidP="00D85E97">
            <w:pPr>
              <w:jc w:val="both"/>
              <w:rPr>
                <w:rFonts w:ascii="Calibri" w:eastAsia="Times New Roman" w:hAnsi="Calibri" w:cs="Times New Roman"/>
                <w:color w:val="000000"/>
                <w:sz w:val="20"/>
                <w:szCs w:val="20"/>
                <w:lang w:eastAsia="fr-FR"/>
              </w:rPr>
            </w:pPr>
            <w:r w:rsidRPr="00783374">
              <w:rPr>
                <w:rFonts w:ascii="Calibri" w:eastAsia="Times New Roman" w:hAnsi="Calibri" w:cs="Times New Roman"/>
                <w:color w:val="000000"/>
                <w:sz w:val="20"/>
                <w:szCs w:val="20"/>
                <w:lang w:eastAsia="fr-FR"/>
              </w:rPr>
              <w:t>5</w:t>
            </w:r>
          </w:p>
        </w:tc>
      </w:tr>
    </w:tbl>
    <w:p w14:paraId="11384C26" w14:textId="6E5DBB83" w:rsidR="006F7C74" w:rsidRPr="000F3318" w:rsidRDefault="000F3318" w:rsidP="00D85E97">
      <w:pPr>
        <w:pStyle w:val="Paragraphedeliste"/>
        <w:widowControl w:val="0"/>
        <w:autoSpaceDE w:val="0"/>
        <w:autoSpaceDN w:val="0"/>
        <w:adjustRightInd w:val="0"/>
        <w:spacing w:before="0" w:beforeAutospacing="0" w:after="0" w:afterAutospacing="0"/>
        <w:ind w:left="357"/>
        <w:jc w:val="both"/>
        <w:rPr>
          <w:rFonts w:ascii="Georgia" w:hAnsi="Georgia"/>
          <w:sz w:val="18"/>
          <w:szCs w:val="18"/>
        </w:rPr>
      </w:pPr>
      <w:r w:rsidRPr="000F3318">
        <w:rPr>
          <w:rFonts w:ascii="Georgia" w:hAnsi="Georgia"/>
          <w:sz w:val="18"/>
          <w:szCs w:val="18"/>
        </w:rPr>
        <w:t>Détail des 28 principaux sites de PEC</w:t>
      </w:r>
    </w:p>
    <w:p w14:paraId="5823BEDB" w14:textId="77777777" w:rsidR="000F3318" w:rsidRPr="000F3318" w:rsidRDefault="000F3318" w:rsidP="000F3318">
      <w:pPr>
        <w:widowControl w:val="0"/>
        <w:autoSpaceDE w:val="0"/>
        <w:autoSpaceDN w:val="0"/>
        <w:adjustRightInd w:val="0"/>
        <w:jc w:val="both"/>
        <w:rPr>
          <w:rFonts w:ascii="Georgia" w:hAnsi="Georgia"/>
        </w:rPr>
      </w:pPr>
    </w:p>
    <w:p w14:paraId="452FD6CE" w14:textId="4119A985" w:rsidR="00FD5B10" w:rsidRDefault="006F7C74" w:rsidP="00D85E97">
      <w:pPr>
        <w:pStyle w:val="Paragraphedeliste"/>
        <w:widowControl w:val="0"/>
        <w:numPr>
          <w:ilvl w:val="0"/>
          <w:numId w:val="6"/>
        </w:numPr>
        <w:autoSpaceDE w:val="0"/>
        <w:autoSpaceDN w:val="0"/>
        <w:adjustRightInd w:val="0"/>
        <w:spacing w:before="0" w:beforeAutospacing="0" w:after="0" w:afterAutospacing="0"/>
        <w:ind w:left="357" w:hanging="357"/>
        <w:jc w:val="both"/>
        <w:rPr>
          <w:rFonts w:ascii="Georgia" w:hAnsi="Georgia"/>
        </w:rPr>
      </w:pPr>
      <w:r>
        <w:rPr>
          <w:rFonts w:ascii="Georgia" w:hAnsi="Georgia"/>
        </w:rPr>
        <w:t xml:space="preserve">La rétention est de </w:t>
      </w:r>
      <w:r w:rsidR="00FD5B10">
        <w:rPr>
          <w:rFonts w:ascii="Georgia" w:hAnsi="Georgia"/>
        </w:rPr>
        <w:t xml:space="preserve">12 mois de 69,4% chez </w:t>
      </w:r>
      <w:r>
        <w:rPr>
          <w:rFonts w:ascii="Georgia" w:hAnsi="Georgia"/>
        </w:rPr>
        <w:t xml:space="preserve">les femmes et de 57,5% chez les </w:t>
      </w:r>
      <w:r w:rsidR="00FD5B10">
        <w:rPr>
          <w:rFonts w:ascii="Georgia" w:hAnsi="Georgia"/>
        </w:rPr>
        <w:t>hommes.</w:t>
      </w:r>
      <w:r w:rsidR="001119F9">
        <w:rPr>
          <w:rFonts w:ascii="Georgia" w:hAnsi="Georgia"/>
        </w:rPr>
        <w:t xml:space="preserve"> </w:t>
      </w:r>
    </w:p>
    <w:p w14:paraId="78F79570" w14:textId="77777777" w:rsidR="00D85E97" w:rsidRDefault="00D85E97" w:rsidP="00D85E97">
      <w:pPr>
        <w:pStyle w:val="Paragraphedeliste"/>
        <w:widowControl w:val="0"/>
        <w:autoSpaceDE w:val="0"/>
        <w:autoSpaceDN w:val="0"/>
        <w:adjustRightInd w:val="0"/>
        <w:spacing w:before="0" w:beforeAutospacing="0" w:after="0" w:afterAutospacing="0"/>
        <w:ind w:left="357"/>
        <w:jc w:val="both"/>
        <w:rPr>
          <w:rFonts w:ascii="Georgia" w:hAnsi="Georgia"/>
        </w:rPr>
      </w:pPr>
    </w:p>
    <w:tbl>
      <w:tblPr>
        <w:tblW w:w="8608" w:type="dxa"/>
        <w:tblInd w:w="5" w:type="dxa"/>
        <w:tblBorders>
          <w:top w:val="nil"/>
          <w:left w:val="nil"/>
          <w:right w:val="nil"/>
        </w:tblBorders>
        <w:tblLayout w:type="fixed"/>
        <w:tblLook w:val="0000" w:firstRow="0" w:lastRow="0" w:firstColumn="0" w:lastColumn="0" w:noHBand="0" w:noVBand="0"/>
      </w:tblPr>
      <w:tblGrid>
        <w:gridCol w:w="1237"/>
        <w:gridCol w:w="851"/>
        <w:gridCol w:w="1275"/>
        <w:gridCol w:w="1276"/>
        <w:gridCol w:w="1276"/>
        <w:gridCol w:w="1276"/>
        <w:gridCol w:w="1417"/>
      </w:tblGrid>
      <w:tr w:rsidR="008239A1" w:rsidRPr="00FD5B10" w14:paraId="0CABCB32" w14:textId="77777777" w:rsidTr="008239A1">
        <w:tc>
          <w:tcPr>
            <w:tcW w:w="123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6C6A52CB" w14:textId="77777777" w:rsidR="00FD5B10" w:rsidRPr="00FD5B10" w:rsidRDefault="00FD5B10" w:rsidP="00D85E97">
            <w:pPr>
              <w:numPr>
                <w:ilvl w:val="0"/>
                <w:numId w:val="6"/>
              </w:numPr>
              <w:jc w:val="both"/>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45F7271D" w14:textId="77777777" w:rsidR="00FD5B10" w:rsidRPr="00FD5B10" w:rsidRDefault="00FD5B10" w:rsidP="00D85E97">
            <w:pPr>
              <w:jc w:val="both"/>
              <w:rPr>
                <w:rFonts w:ascii="Georgia" w:hAnsi="Georgia"/>
              </w:rPr>
            </w:pPr>
            <w:r w:rsidRPr="00FD5B10">
              <w:rPr>
                <w:rFonts w:ascii="Georgia" w:hAnsi="Georgia"/>
                <w:b/>
                <w:bCs/>
              </w:rPr>
              <w:t>Total</w:t>
            </w:r>
          </w:p>
        </w:tc>
        <w:tc>
          <w:tcPr>
            <w:tcW w:w="2552" w:type="dxa"/>
            <w:gridSpan w:val="2"/>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C9C492F" w14:textId="77777777" w:rsidR="00FD5B10" w:rsidRPr="00FD5B10" w:rsidRDefault="00FD5B10" w:rsidP="00D85E97">
            <w:pPr>
              <w:jc w:val="both"/>
              <w:rPr>
                <w:rFonts w:ascii="Georgia" w:hAnsi="Georgia"/>
              </w:rPr>
            </w:pPr>
            <w:r w:rsidRPr="00FD5B10">
              <w:rPr>
                <w:rFonts w:ascii="Georgia" w:hAnsi="Georgia"/>
                <w:b/>
                <w:bCs/>
              </w:rPr>
              <w:t>Femmes</w:t>
            </w:r>
          </w:p>
        </w:tc>
        <w:tc>
          <w:tcPr>
            <w:tcW w:w="2693" w:type="dxa"/>
            <w:gridSpan w:val="2"/>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18A1DC4E" w14:textId="77777777" w:rsidR="00FD5B10" w:rsidRPr="00FD5B10" w:rsidRDefault="00FD5B10" w:rsidP="00D85E97">
            <w:pPr>
              <w:jc w:val="both"/>
              <w:rPr>
                <w:rFonts w:ascii="Georgia" w:hAnsi="Georgia"/>
              </w:rPr>
            </w:pPr>
            <w:r w:rsidRPr="00FD5B10">
              <w:rPr>
                <w:rFonts w:ascii="Georgia" w:hAnsi="Georgia"/>
                <w:b/>
                <w:bCs/>
              </w:rPr>
              <w:t>Hommes</w:t>
            </w:r>
          </w:p>
        </w:tc>
      </w:tr>
      <w:tr w:rsidR="008239A1" w:rsidRPr="00FD5B10" w14:paraId="2EF0D3A7" w14:textId="77777777" w:rsidTr="008239A1">
        <w:tblPrEx>
          <w:tblBorders>
            <w:top w:val="none" w:sz="0" w:space="0" w:color="auto"/>
          </w:tblBorders>
        </w:tblPrEx>
        <w:tc>
          <w:tcPr>
            <w:tcW w:w="123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359EE8EC" w14:textId="77777777" w:rsidR="00FD5B10" w:rsidRPr="00FD5B10" w:rsidRDefault="00FD5B10" w:rsidP="00D85E97">
            <w:pPr>
              <w:jc w:val="both"/>
              <w:rPr>
                <w:rFonts w:ascii="Georgia" w:hAnsi="Georgia"/>
              </w:rPr>
            </w:pPr>
            <w:r w:rsidRPr="00FD5B10">
              <w:rPr>
                <w:rFonts w:ascii="Georgia" w:hAnsi="Georgia"/>
              </w:rPr>
              <w:t> </w:t>
            </w:r>
          </w:p>
        </w:tc>
        <w:tc>
          <w:tcPr>
            <w:tcW w:w="851"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2C5A8292" w14:textId="77777777" w:rsidR="00FD5B10" w:rsidRPr="00FD5B10" w:rsidRDefault="00FD5B10" w:rsidP="00D85E97">
            <w:pPr>
              <w:jc w:val="both"/>
              <w:rPr>
                <w:rFonts w:ascii="Georgia" w:hAnsi="Georgia"/>
              </w:rPr>
            </w:pPr>
            <w:r w:rsidRPr="00FD5B10">
              <w:rPr>
                <w:rFonts w:ascii="Georgia" w:hAnsi="Georgia"/>
                <w:b/>
                <w:bCs/>
              </w:rPr>
              <w:t>Rate</w:t>
            </w:r>
          </w:p>
        </w:tc>
        <w:tc>
          <w:tcPr>
            <w:tcW w:w="1275"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274FF6E7" w14:textId="77777777" w:rsidR="00FD5B10" w:rsidRPr="00FD5B10" w:rsidRDefault="00FD5B10" w:rsidP="00D85E97">
            <w:pPr>
              <w:jc w:val="both"/>
              <w:rPr>
                <w:rFonts w:ascii="Georgia" w:hAnsi="Georgia"/>
              </w:rPr>
            </w:pPr>
            <w:r w:rsidRPr="00FD5B10">
              <w:rPr>
                <w:rFonts w:ascii="Georgia" w:hAnsi="Georgia"/>
                <w:b/>
                <w:bCs/>
              </w:rPr>
              <w:t>IC</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41BFC9EB" w14:textId="77777777" w:rsidR="00FD5B10" w:rsidRPr="00FD5B10" w:rsidRDefault="00FD5B10" w:rsidP="00D85E97">
            <w:pPr>
              <w:jc w:val="both"/>
              <w:rPr>
                <w:rFonts w:ascii="Georgia" w:hAnsi="Georgia"/>
              </w:rPr>
            </w:pPr>
            <w:r w:rsidRPr="00FD5B10">
              <w:rPr>
                <w:rFonts w:ascii="Georgia" w:hAnsi="Georgia"/>
                <w:b/>
                <w:bCs/>
              </w:rPr>
              <w:t>Rate</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5B21994" w14:textId="77777777" w:rsidR="00FD5B10" w:rsidRPr="00FD5B10" w:rsidRDefault="00FD5B10" w:rsidP="00D85E97">
            <w:pPr>
              <w:jc w:val="both"/>
              <w:rPr>
                <w:rFonts w:ascii="Georgia" w:hAnsi="Georgia"/>
              </w:rPr>
            </w:pPr>
            <w:r w:rsidRPr="00FD5B10">
              <w:rPr>
                <w:rFonts w:ascii="Georgia" w:hAnsi="Georgia"/>
                <w:b/>
                <w:bCs/>
              </w:rPr>
              <w:t>IC</w:t>
            </w:r>
          </w:p>
        </w:tc>
        <w:tc>
          <w:tcPr>
            <w:tcW w:w="1276" w:type="dxa"/>
            <w:tcBorders>
              <w:left w:val="single" w:sz="4" w:space="0" w:color="auto"/>
              <w:bottom w:val="single" w:sz="8" w:space="0" w:color="000000"/>
              <w:right w:val="single" w:sz="4" w:space="0" w:color="auto"/>
            </w:tcBorders>
            <w:tcMar>
              <w:top w:w="20" w:type="nil"/>
              <w:left w:w="20" w:type="nil"/>
              <w:right w:w="20" w:type="nil"/>
            </w:tcMar>
            <w:vAlign w:val="bottom"/>
          </w:tcPr>
          <w:p w14:paraId="4C8C4178" w14:textId="77777777" w:rsidR="00FD5B10" w:rsidRPr="00FD5B10" w:rsidRDefault="00FD5B10" w:rsidP="00D85E97">
            <w:pPr>
              <w:jc w:val="both"/>
              <w:rPr>
                <w:rFonts w:ascii="Georgia" w:hAnsi="Georgia"/>
              </w:rPr>
            </w:pPr>
            <w:r w:rsidRPr="00FD5B10">
              <w:rPr>
                <w:rFonts w:ascii="Georgia" w:hAnsi="Georgia"/>
                <w:b/>
                <w:bCs/>
              </w:rPr>
              <w:t>Rate</w:t>
            </w:r>
          </w:p>
        </w:tc>
        <w:tc>
          <w:tcPr>
            <w:tcW w:w="141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3BB8786D" w14:textId="77777777" w:rsidR="00FD5B10" w:rsidRPr="00FD5B10" w:rsidRDefault="00FD5B10" w:rsidP="00D85E97">
            <w:pPr>
              <w:jc w:val="both"/>
              <w:rPr>
                <w:rFonts w:ascii="Georgia" w:hAnsi="Georgia"/>
              </w:rPr>
            </w:pPr>
            <w:r w:rsidRPr="00FD5B10">
              <w:rPr>
                <w:rFonts w:ascii="Georgia" w:hAnsi="Georgia"/>
                <w:b/>
                <w:bCs/>
              </w:rPr>
              <w:t>IC</w:t>
            </w:r>
          </w:p>
        </w:tc>
      </w:tr>
      <w:tr w:rsidR="008239A1" w:rsidRPr="00FD5B10" w14:paraId="04D502E9" w14:textId="77777777" w:rsidTr="008239A1">
        <w:tblPrEx>
          <w:tblBorders>
            <w:top w:val="none" w:sz="0" w:space="0" w:color="auto"/>
          </w:tblBorders>
        </w:tblPrEx>
        <w:tc>
          <w:tcPr>
            <w:tcW w:w="123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67F47047" w14:textId="77777777" w:rsidR="00FD5B10" w:rsidRPr="00FD5B10" w:rsidRDefault="00FD5B10" w:rsidP="00D85E97">
            <w:pPr>
              <w:jc w:val="both"/>
              <w:rPr>
                <w:rFonts w:ascii="Georgia" w:hAnsi="Georgia"/>
              </w:rPr>
            </w:pPr>
            <w:r w:rsidRPr="00FD5B10">
              <w:rPr>
                <w:rFonts w:ascii="Georgia" w:hAnsi="Georgia"/>
              </w:rPr>
              <w:t>Absences</w:t>
            </w:r>
          </w:p>
        </w:tc>
        <w:tc>
          <w:tcPr>
            <w:tcW w:w="851"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27843FFE" w14:textId="77777777" w:rsidR="00FD5B10" w:rsidRPr="00FD5B10" w:rsidRDefault="00FD5B10" w:rsidP="00D85E97">
            <w:pPr>
              <w:jc w:val="both"/>
              <w:rPr>
                <w:rFonts w:ascii="Georgia" w:hAnsi="Georgia"/>
              </w:rPr>
            </w:pPr>
            <w:r w:rsidRPr="00FD5B10">
              <w:rPr>
                <w:rFonts w:ascii="Georgia" w:hAnsi="Georgia"/>
              </w:rPr>
              <w:t>2,78</w:t>
            </w:r>
          </w:p>
        </w:tc>
        <w:tc>
          <w:tcPr>
            <w:tcW w:w="1275"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1797B1D7" w14:textId="77777777" w:rsidR="00FD5B10" w:rsidRPr="00FD5B10" w:rsidRDefault="00FD5B10" w:rsidP="00D85E97">
            <w:pPr>
              <w:jc w:val="both"/>
              <w:rPr>
                <w:rFonts w:ascii="Georgia" w:hAnsi="Georgia"/>
              </w:rPr>
            </w:pPr>
            <w:r w:rsidRPr="00FD5B10">
              <w:rPr>
                <w:rFonts w:ascii="Georgia" w:hAnsi="Georgia"/>
                <w:i/>
                <w:iCs/>
              </w:rPr>
              <w:t>2,69-2,91</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318E5248" w14:textId="77777777" w:rsidR="00FD5B10" w:rsidRPr="00FD5B10" w:rsidRDefault="00FD5B10" w:rsidP="00D85E97">
            <w:pPr>
              <w:jc w:val="both"/>
              <w:rPr>
                <w:rFonts w:ascii="Georgia" w:hAnsi="Georgia"/>
              </w:rPr>
            </w:pPr>
            <w:r w:rsidRPr="00FD5B10">
              <w:rPr>
                <w:rFonts w:ascii="Georgia" w:hAnsi="Georgia"/>
              </w:rPr>
              <w:t>2,69</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3BF77171" w14:textId="77777777" w:rsidR="00FD5B10" w:rsidRPr="00FD5B10" w:rsidRDefault="00FD5B10" w:rsidP="00D85E97">
            <w:pPr>
              <w:jc w:val="both"/>
              <w:rPr>
                <w:rFonts w:ascii="Georgia" w:hAnsi="Georgia"/>
              </w:rPr>
            </w:pPr>
            <w:r w:rsidRPr="00FD5B10">
              <w:rPr>
                <w:rFonts w:ascii="Georgia" w:hAnsi="Georgia"/>
                <w:i/>
                <w:iCs/>
              </w:rPr>
              <w:t>2,64-2,76</w:t>
            </w:r>
          </w:p>
        </w:tc>
        <w:tc>
          <w:tcPr>
            <w:tcW w:w="1276" w:type="dxa"/>
            <w:tcBorders>
              <w:top w:val="single" w:sz="8" w:space="0" w:color="000000"/>
              <w:left w:val="single" w:sz="4" w:space="0" w:color="auto"/>
              <w:bottom w:val="single" w:sz="8" w:space="0" w:color="000000"/>
              <w:right w:val="single" w:sz="4" w:space="0" w:color="auto"/>
            </w:tcBorders>
            <w:tcMar>
              <w:top w:w="20" w:type="nil"/>
              <w:left w:w="20" w:type="nil"/>
              <w:right w:w="20" w:type="nil"/>
            </w:tcMar>
            <w:vAlign w:val="bottom"/>
          </w:tcPr>
          <w:p w14:paraId="1EC7DB5D" w14:textId="77777777" w:rsidR="00FD5B10" w:rsidRPr="00FD5B10" w:rsidRDefault="00FD5B10" w:rsidP="00D85E97">
            <w:pPr>
              <w:jc w:val="both"/>
              <w:rPr>
                <w:rFonts w:ascii="Georgia" w:hAnsi="Georgia"/>
              </w:rPr>
            </w:pPr>
            <w:r w:rsidRPr="00FD5B10">
              <w:rPr>
                <w:rFonts w:ascii="Georgia" w:hAnsi="Georgia"/>
              </w:rPr>
              <w:t>2,99</w:t>
            </w:r>
          </w:p>
        </w:tc>
        <w:tc>
          <w:tcPr>
            <w:tcW w:w="141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437340E" w14:textId="77777777" w:rsidR="00FD5B10" w:rsidRPr="00FD5B10" w:rsidRDefault="00FD5B10" w:rsidP="00D85E97">
            <w:pPr>
              <w:jc w:val="both"/>
              <w:rPr>
                <w:rFonts w:ascii="Georgia" w:hAnsi="Georgia"/>
              </w:rPr>
            </w:pPr>
            <w:r w:rsidRPr="00FD5B10">
              <w:rPr>
                <w:rFonts w:ascii="Georgia" w:hAnsi="Georgia"/>
                <w:i/>
                <w:iCs/>
              </w:rPr>
              <w:t>2,88-3,2</w:t>
            </w:r>
          </w:p>
        </w:tc>
      </w:tr>
      <w:tr w:rsidR="008239A1" w:rsidRPr="00FD5B10" w14:paraId="6AD81C59" w14:textId="77777777" w:rsidTr="008239A1">
        <w:tblPrEx>
          <w:tblBorders>
            <w:top w:val="none" w:sz="0" w:space="0" w:color="auto"/>
          </w:tblBorders>
        </w:tblPrEx>
        <w:tc>
          <w:tcPr>
            <w:tcW w:w="123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ADD6800" w14:textId="77777777" w:rsidR="00FD5B10" w:rsidRPr="00FD5B10" w:rsidRDefault="00FD5B10" w:rsidP="00D85E97">
            <w:pPr>
              <w:jc w:val="both"/>
              <w:rPr>
                <w:rFonts w:ascii="Georgia" w:hAnsi="Georgia"/>
              </w:rPr>
            </w:pPr>
            <w:r w:rsidRPr="00FD5B10">
              <w:rPr>
                <w:rFonts w:ascii="Georgia" w:hAnsi="Georgia"/>
              </w:rPr>
              <w:t>PDV</w:t>
            </w:r>
          </w:p>
        </w:tc>
        <w:tc>
          <w:tcPr>
            <w:tcW w:w="851"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1AEBD385" w14:textId="77777777" w:rsidR="00FD5B10" w:rsidRPr="00FD5B10" w:rsidRDefault="00FD5B10" w:rsidP="00D85E97">
            <w:pPr>
              <w:jc w:val="both"/>
              <w:rPr>
                <w:rFonts w:ascii="Georgia" w:hAnsi="Georgia"/>
              </w:rPr>
            </w:pPr>
            <w:r w:rsidRPr="00FD5B10">
              <w:rPr>
                <w:rFonts w:ascii="Georgia" w:hAnsi="Georgia"/>
              </w:rPr>
              <w:t>0,66</w:t>
            </w:r>
          </w:p>
        </w:tc>
        <w:tc>
          <w:tcPr>
            <w:tcW w:w="1275"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641E512F" w14:textId="77777777" w:rsidR="00FD5B10" w:rsidRPr="00FD5B10" w:rsidRDefault="00FD5B10" w:rsidP="00D85E97">
            <w:pPr>
              <w:jc w:val="both"/>
              <w:rPr>
                <w:rFonts w:ascii="Georgia" w:hAnsi="Georgia"/>
              </w:rPr>
            </w:pPr>
            <w:r w:rsidRPr="00FD5B10">
              <w:rPr>
                <w:rFonts w:ascii="Georgia" w:hAnsi="Georgia"/>
                <w:i/>
                <w:iCs/>
              </w:rPr>
              <w:t>0,65-0,68</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A1D56EE" w14:textId="77777777" w:rsidR="00FD5B10" w:rsidRPr="00FD5B10" w:rsidRDefault="00FD5B10" w:rsidP="00D85E97">
            <w:pPr>
              <w:jc w:val="both"/>
              <w:rPr>
                <w:rFonts w:ascii="Georgia" w:hAnsi="Georgia"/>
              </w:rPr>
            </w:pPr>
            <w:r w:rsidRPr="00FD5B10">
              <w:rPr>
                <w:rFonts w:ascii="Georgia" w:hAnsi="Georgia"/>
              </w:rPr>
              <w:t>0,63</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529CE704" w14:textId="77777777" w:rsidR="00FD5B10" w:rsidRPr="00FD5B10" w:rsidRDefault="00FD5B10" w:rsidP="00D85E97">
            <w:pPr>
              <w:jc w:val="both"/>
              <w:rPr>
                <w:rFonts w:ascii="Georgia" w:hAnsi="Georgia"/>
              </w:rPr>
            </w:pPr>
            <w:r w:rsidRPr="00FD5B10">
              <w:rPr>
                <w:rFonts w:ascii="Georgia" w:hAnsi="Georgia"/>
                <w:i/>
                <w:iCs/>
              </w:rPr>
              <w:t>0,61-0,64</w:t>
            </w:r>
          </w:p>
        </w:tc>
        <w:tc>
          <w:tcPr>
            <w:tcW w:w="1276" w:type="dxa"/>
            <w:tcBorders>
              <w:top w:val="single" w:sz="8" w:space="0" w:color="000000"/>
              <w:left w:val="single" w:sz="4" w:space="0" w:color="auto"/>
              <w:bottom w:val="single" w:sz="8" w:space="0" w:color="000000"/>
              <w:right w:val="single" w:sz="4" w:space="0" w:color="auto"/>
            </w:tcBorders>
            <w:tcMar>
              <w:top w:w="20" w:type="nil"/>
              <w:left w:w="20" w:type="nil"/>
              <w:right w:w="20" w:type="nil"/>
            </w:tcMar>
            <w:vAlign w:val="bottom"/>
          </w:tcPr>
          <w:p w14:paraId="68575659" w14:textId="77777777" w:rsidR="00FD5B10" w:rsidRPr="00FD5B10" w:rsidRDefault="00FD5B10" w:rsidP="00D85E97">
            <w:pPr>
              <w:jc w:val="both"/>
              <w:rPr>
                <w:rFonts w:ascii="Georgia" w:hAnsi="Georgia"/>
              </w:rPr>
            </w:pPr>
            <w:r w:rsidRPr="00FD5B10">
              <w:rPr>
                <w:rFonts w:ascii="Georgia" w:hAnsi="Georgia"/>
              </w:rPr>
              <w:t>0,73</w:t>
            </w:r>
          </w:p>
        </w:tc>
        <w:tc>
          <w:tcPr>
            <w:tcW w:w="141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99882A0" w14:textId="77777777" w:rsidR="00FD5B10" w:rsidRPr="00FD5B10" w:rsidRDefault="00FD5B10" w:rsidP="00D85E97">
            <w:pPr>
              <w:jc w:val="both"/>
              <w:rPr>
                <w:rFonts w:ascii="Georgia" w:hAnsi="Georgia"/>
              </w:rPr>
            </w:pPr>
            <w:r w:rsidRPr="00FD5B10">
              <w:rPr>
                <w:rFonts w:ascii="Georgia" w:hAnsi="Georgia"/>
                <w:i/>
                <w:iCs/>
              </w:rPr>
              <w:t>0,71-0,75</w:t>
            </w:r>
          </w:p>
        </w:tc>
      </w:tr>
      <w:tr w:rsidR="008239A1" w:rsidRPr="00FD5B10" w14:paraId="03C9FDEF" w14:textId="77777777" w:rsidTr="008239A1">
        <w:tc>
          <w:tcPr>
            <w:tcW w:w="123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7FC475A5" w14:textId="77777777" w:rsidR="00FD5B10" w:rsidRPr="00FD5B10" w:rsidRDefault="00FD5B10" w:rsidP="00D85E97">
            <w:pPr>
              <w:jc w:val="both"/>
              <w:rPr>
                <w:rFonts w:ascii="Georgia" w:hAnsi="Georgia"/>
              </w:rPr>
            </w:pPr>
            <w:r w:rsidRPr="00FD5B10">
              <w:rPr>
                <w:rFonts w:ascii="Georgia" w:hAnsi="Georgia"/>
              </w:rPr>
              <w:t>PDV def.</w:t>
            </w:r>
          </w:p>
        </w:tc>
        <w:tc>
          <w:tcPr>
            <w:tcW w:w="851"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2EE229C3" w14:textId="77777777" w:rsidR="00FD5B10" w:rsidRPr="00FD5B10" w:rsidRDefault="00FD5B10" w:rsidP="00D85E97">
            <w:pPr>
              <w:jc w:val="both"/>
              <w:rPr>
                <w:rFonts w:ascii="Georgia" w:hAnsi="Georgia"/>
              </w:rPr>
            </w:pPr>
            <w:r w:rsidRPr="00FD5B10">
              <w:rPr>
                <w:rFonts w:ascii="Georgia" w:hAnsi="Georgia"/>
              </w:rPr>
              <w:t>0,45</w:t>
            </w:r>
          </w:p>
        </w:tc>
        <w:tc>
          <w:tcPr>
            <w:tcW w:w="1275"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3568EA31" w14:textId="77777777" w:rsidR="00FD5B10" w:rsidRPr="00FD5B10" w:rsidRDefault="00FD5B10" w:rsidP="00D85E97">
            <w:pPr>
              <w:jc w:val="both"/>
              <w:rPr>
                <w:rFonts w:ascii="Georgia" w:hAnsi="Georgia"/>
              </w:rPr>
            </w:pPr>
            <w:r w:rsidRPr="00FD5B10">
              <w:rPr>
                <w:rFonts w:ascii="Georgia" w:hAnsi="Georgia"/>
                <w:i/>
                <w:iCs/>
              </w:rPr>
              <w:t>0,44-0,47</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14ED372A" w14:textId="77777777" w:rsidR="00FD5B10" w:rsidRPr="00FD5B10" w:rsidRDefault="00FD5B10" w:rsidP="00D85E97">
            <w:pPr>
              <w:jc w:val="both"/>
              <w:rPr>
                <w:rFonts w:ascii="Georgia" w:hAnsi="Georgia"/>
              </w:rPr>
            </w:pPr>
            <w:r w:rsidRPr="00FD5B10">
              <w:rPr>
                <w:rFonts w:ascii="Georgia" w:hAnsi="Georgia"/>
              </w:rPr>
              <w:t>0,41</w:t>
            </w:r>
          </w:p>
        </w:tc>
        <w:tc>
          <w:tcPr>
            <w:tcW w:w="1276"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6B6A062B" w14:textId="77777777" w:rsidR="00FD5B10" w:rsidRPr="00FD5B10" w:rsidRDefault="00FD5B10" w:rsidP="00D85E97">
            <w:pPr>
              <w:jc w:val="both"/>
              <w:rPr>
                <w:rFonts w:ascii="Georgia" w:hAnsi="Georgia"/>
              </w:rPr>
            </w:pPr>
            <w:r w:rsidRPr="00FD5B10">
              <w:rPr>
                <w:rFonts w:ascii="Georgia" w:hAnsi="Georgia"/>
                <w:i/>
                <w:iCs/>
              </w:rPr>
              <w:t>0,39-0,43</w:t>
            </w:r>
          </w:p>
        </w:tc>
        <w:tc>
          <w:tcPr>
            <w:tcW w:w="1276" w:type="dxa"/>
            <w:tcBorders>
              <w:top w:val="single" w:sz="8" w:space="0" w:color="000000"/>
              <w:left w:val="single" w:sz="4" w:space="0" w:color="auto"/>
              <w:bottom w:val="single" w:sz="8" w:space="0" w:color="000000"/>
              <w:right w:val="single" w:sz="4" w:space="0" w:color="auto"/>
            </w:tcBorders>
            <w:tcMar>
              <w:top w:w="20" w:type="nil"/>
              <w:left w:w="20" w:type="nil"/>
              <w:right w:w="20" w:type="nil"/>
            </w:tcMar>
            <w:vAlign w:val="bottom"/>
          </w:tcPr>
          <w:p w14:paraId="5D7B9D80" w14:textId="77777777" w:rsidR="00FD5B10" w:rsidRPr="00FD5B10" w:rsidRDefault="00FD5B10" w:rsidP="00D85E97">
            <w:pPr>
              <w:jc w:val="both"/>
              <w:rPr>
                <w:rFonts w:ascii="Georgia" w:hAnsi="Georgia"/>
              </w:rPr>
            </w:pPr>
            <w:r w:rsidRPr="00FD5B10">
              <w:rPr>
                <w:rFonts w:ascii="Georgia" w:hAnsi="Georgia"/>
              </w:rPr>
              <w:t>0,55</w:t>
            </w:r>
          </w:p>
        </w:tc>
        <w:tc>
          <w:tcPr>
            <w:tcW w:w="1417" w:type="dxa"/>
            <w:tcBorders>
              <w:top w:val="single" w:sz="4" w:space="0" w:color="auto"/>
              <w:left w:val="single" w:sz="4" w:space="0" w:color="auto"/>
              <w:bottom w:val="single" w:sz="4" w:space="0" w:color="auto"/>
              <w:right w:val="single" w:sz="4" w:space="0" w:color="auto"/>
            </w:tcBorders>
            <w:tcMar>
              <w:top w:w="20" w:type="nil"/>
              <w:left w:w="20" w:type="nil"/>
              <w:right w:w="20" w:type="nil"/>
            </w:tcMar>
            <w:vAlign w:val="bottom"/>
          </w:tcPr>
          <w:p w14:paraId="6A561755" w14:textId="77777777" w:rsidR="00FD5B10" w:rsidRPr="00FD5B10" w:rsidRDefault="00FD5B10" w:rsidP="00D85E97">
            <w:pPr>
              <w:jc w:val="both"/>
              <w:rPr>
                <w:rFonts w:ascii="Georgia" w:hAnsi="Georgia"/>
              </w:rPr>
            </w:pPr>
            <w:r w:rsidRPr="00FD5B10">
              <w:rPr>
                <w:rFonts w:ascii="Georgia" w:hAnsi="Georgia"/>
                <w:i/>
                <w:iCs/>
              </w:rPr>
              <w:t>0,52-0,57</w:t>
            </w:r>
          </w:p>
        </w:tc>
      </w:tr>
    </w:tbl>
    <w:p w14:paraId="0E99CF49" w14:textId="264F1231" w:rsidR="00E33A5B" w:rsidRPr="000F3318" w:rsidRDefault="000F3318" w:rsidP="00D85E97">
      <w:pPr>
        <w:jc w:val="both"/>
        <w:rPr>
          <w:rFonts w:ascii="Georgia" w:hAnsi="Georgia"/>
          <w:sz w:val="20"/>
          <w:szCs w:val="20"/>
        </w:rPr>
      </w:pPr>
      <w:r w:rsidRPr="000F3318">
        <w:rPr>
          <w:rFonts w:ascii="Georgia" w:hAnsi="Georgia"/>
          <w:sz w:val="20"/>
          <w:szCs w:val="20"/>
        </w:rPr>
        <w:t>Détail des taux de perdu de vue</w:t>
      </w:r>
    </w:p>
    <w:p w14:paraId="73AF474C" w14:textId="77777777" w:rsidR="000F3318" w:rsidRPr="00FD5B10" w:rsidRDefault="000F3318" w:rsidP="00D85E97">
      <w:pPr>
        <w:jc w:val="both"/>
        <w:rPr>
          <w:rFonts w:ascii="Georgia" w:hAnsi="Georgia"/>
        </w:rPr>
      </w:pPr>
    </w:p>
    <w:p w14:paraId="1001C1C4" w14:textId="35708262" w:rsidR="00755970" w:rsidRPr="00113E93" w:rsidRDefault="00113E93" w:rsidP="00D85E97">
      <w:pPr>
        <w:jc w:val="both"/>
        <w:rPr>
          <w:rFonts w:ascii="Georgia" w:hAnsi="Georgia"/>
          <w:b/>
        </w:rPr>
      </w:pPr>
      <w:r w:rsidRPr="00113E93">
        <w:rPr>
          <w:rFonts w:ascii="Georgia" w:hAnsi="Georgia"/>
          <w:b/>
        </w:rPr>
        <w:t>Approches de dépistage</w:t>
      </w:r>
    </w:p>
    <w:p w14:paraId="46152D1D" w14:textId="77777777" w:rsidR="00113E93" w:rsidRDefault="00113E93" w:rsidP="00D85E97">
      <w:pPr>
        <w:jc w:val="both"/>
        <w:rPr>
          <w:rFonts w:ascii="Georgia" w:hAnsi="Georgia"/>
        </w:rPr>
      </w:pPr>
    </w:p>
    <w:p w14:paraId="3846C311" w14:textId="0C349217" w:rsidR="00113E93" w:rsidRDefault="00113E93" w:rsidP="000F3318">
      <w:pPr>
        <w:jc w:val="center"/>
        <w:rPr>
          <w:rFonts w:ascii="Georgia" w:hAnsi="Georgia"/>
        </w:rPr>
      </w:pPr>
      <w:r w:rsidRPr="00A036A6">
        <w:rPr>
          <w:rFonts w:ascii="Georgia" w:hAnsi="Georgia"/>
          <w:noProof/>
          <w:lang w:eastAsia="fr-FR"/>
        </w:rPr>
        <w:lastRenderedPageBreak/>
        <w:drawing>
          <wp:inline distT="0" distB="0" distL="0" distR="0" wp14:anchorId="57D52D82" wp14:editId="13135FE6">
            <wp:extent cx="3974933" cy="2310600"/>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3951" cy="2321655"/>
                    </a:xfrm>
                    <a:prstGeom prst="rect">
                      <a:avLst/>
                    </a:prstGeom>
                  </pic:spPr>
                </pic:pic>
              </a:graphicData>
            </a:graphic>
          </wp:inline>
        </w:drawing>
      </w:r>
    </w:p>
    <w:p w14:paraId="0DB6385F" w14:textId="40A983B8" w:rsidR="00113E93" w:rsidRDefault="001E2E66" w:rsidP="00D85E97">
      <w:pPr>
        <w:pStyle w:val="Paragraphedeliste"/>
        <w:numPr>
          <w:ilvl w:val="0"/>
          <w:numId w:val="6"/>
        </w:numPr>
        <w:jc w:val="both"/>
        <w:rPr>
          <w:rFonts w:ascii="Georgia" w:hAnsi="Georgia"/>
        </w:rPr>
      </w:pPr>
      <w:r>
        <w:rPr>
          <w:rFonts w:ascii="Georgia" w:hAnsi="Georgia"/>
        </w:rPr>
        <w:t>Par rapport au nombre de tests réalisés par approche, le Conseil Dépistage à l’Initiative du Soignant permet proportionnellement d’identifier le plus de cas.</w:t>
      </w:r>
    </w:p>
    <w:p w14:paraId="1C9FFC94" w14:textId="73F0AA3C" w:rsidR="001E2E66" w:rsidRDefault="001E2E66" w:rsidP="00D85E97">
      <w:pPr>
        <w:pStyle w:val="Paragraphedeliste"/>
        <w:numPr>
          <w:ilvl w:val="0"/>
          <w:numId w:val="6"/>
        </w:numPr>
        <w:jc w:val="both"/>
        <w:rPr>
          <w:rFonts w:ascii="Georgia" w:hAnsi="Georgia"/>
        </w:rPr>
      </w:pPr>
      <w:r>
        <w:rPr>
          <w:rFonts w:ascii="Georgia" w:hAnsi="Georgia"/>
        </w:rPr>
        <w:t>Le dépistage des personnes atteintes de tuberculose permet d’identifier une proportion importante de PVVIH.</w:t>
      </w:r>
    </w:p>
    <w:p w14:paraId="2658EE41" w14:textId="7B2A5F44" w:rsidR="00C06745" w:rsidRDefault="00C06745" w:rsidP="00D85E97">
      <w:pPr>
        <w:pStyle w:val="Paragraphedeliste"/>
        <w:numPr>
          <w:ilvl w:val="0"/>
          <w:numId w:val="6"/>
        </w:numPr>
        <w:jc w:val="both"/>
        <w:rPr>
          <w:rFonts w:ascii="Georgia" w:hAnsi="Georgia"/>
        </w:rPr>
      </w:pPr>
      <w:r>
        <w:rPr>
          <w:rFonts w:ascii="Georgia" w:hAnsi="Georgia"/>
        </w:rPr>
        <w:t>Un nombre important de CDT n’intègre pas encore le dépistage VIH ou l’accès aux ARV.</w:t>
      </w:r>
    </w:p>
    <w:p w14:paraId="7F8FB714" w14:textId="2D1CBABB" w:rsidR="00C06745" w:rsidRPr="00C06745" w:rsidRDefault="00C06745" w:rsidP="000F3318">
      <w:pPr>
        <w:jc w:val="center"/>
        <w:rPr>
          <w:rFonts w:ascii="Georgia" w:hAnsi="Georgia"/>
        </w:rPr>
      </w:pPr>
      <w:r w:rsidRPr="00C06745">
        <w:rPr>
          <w:rFonts w:ascii="Georgia" w:hAnsi="Georgia"/>
          <w:noProof/>
          <w:lang w:eastAsia="fr-FR"/>
        </w:rPr>
        <w:drawing>
          <wp:inline distT="0" distB="0" distL="0" distR="0" wp14:anchorId="423457FF" wp14:editId="4279BBA4">
            <wp:extent cx="5075388" cy="2190282"/>
            <wp:effectExtent l="0" t="0" r="5080" b="1968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DBCED2" w14:textId="77777777" w:rsidR="00755970" w:rsidRPr="00FA463F" w:rsidRDefault="00755970" w:rsidP="00D85E97">
      <w:pPr>
        <w:jc w:val="both"/>
        <w:rPr>
          <w:rFonts w:ascii="Georgia" w:hAnsi="Georgia"/>
        </w:rPr>
      </w:pPr>
    </w:p>
    <w:p w14:paraId="0ECB51C8" w14:textId="01045BFF" w:rsidR="00FA463F" w:rsidRPr="00755970" w:rsidRDefault="00FA463F" w:rsidP="00D85E97">
      <w:pPr>
        <w:jc w:val="both"/>
        <w:rPr>
          <w:rFonts w:ascii="Georgia" w:hAnsi="Georgia"/>
          <w:b/>
        </w:rPr>
      </w:pPr>
      <w:r w:rsidRPr="00755970">
        <w:rPr>
          <w:rFonts w:ascii="Georgia" w:hAnsi="Georgia"/>
          <w:b/>
        </w:rPr>
        <w:t>PTME</w:t>
      </w:r>
    </w:p>
    <w:p w14:paraId="1F49E9CB" w14:textId="4D39AD43" w:rsidR="00FA463F" w:rsidRPr="00FA463F" w:rsidRDefault="00FA463F" w:rsidP="00D85E97">
      <w:pPr>
        <w:jc w:val="both"/>
        <w:rPr>
          <w:rFonts w:ascii="Georgia" w:hAnsi="Georgia"/>
        </w:rPr>
      </w:pPr>
      <w:r>
        <w:rPr>
          <w:rFonts w:ascii="Georgia" w:hAnsi="Georgia"/>
        </w:rPr>
        <w:t xml:space="preserve">- </w:t>
      </w:r>
    </w:p>
    <w:tbl>
      <w:tblPr>
        <w:tblStyle w:val="Grilledutableau"/>
        <w:tblW w:w="7474" w:type="dxa"/>
        <w:jc w:val="center"/>
        <w:tblLook w:val="04A0" w:firstRow="1" w:lastRow="0" w:firstColumn="1" w:lastColumn="0" w:noHBand="0" w:noVBand="1"/>
      </w:tblPr>
      <w:tblGrid>
        <w:gridCol w:w="4815"/>
        <w:gridCol w:w="1417"/>
        <w:gridCol w:w="1242"/>
      </w:tblGrid>
      <w:tr w:rsidR="000F3318" w:rsidRPr="00272D51" w14:paraId="4C0E69BF" w14:textId="77777777" w:rsidTr="000F3318">
        <w:trPr>
          <w:jc w:val="center"/>
        </w:trPr>
        <w:tc>
          <w:tcPr>
            <w:tcW w:w="4815" w:type="dxa"/>
          </w:tcPr>
          <w:p w14:paraId="151AC4E3" w14:textId="241F2F10" w:rsidR="003336CE" w:rsidRPr="00272D51" w:rsidRDefault="003336CE" w:rsidP="00D85E97">
            <w:pPr>
              <w:jc w:val="both"/>
            </w:pPr>
            <w:r w:rsidRPr="00272D51">
              <w:rPr>
                <w:b/>
              </w:rPr>
              <w:t>Donnée</w:t>
            </w:r>
            <w:r w:rsidR="0089386D">
              <w:rPr>
                <w:b/>
              </w:rPr>
              <w:t>s</w:t>
            </w:r>
          </w:p>
        </w:tc>
        <w:tc>
          <w:tcPr>
            <w:tcW w:w="1417" w:type="dxa"/>
          </w:tcPr>
          <w:p w14:paraId="3EFFFE00" w14:textId="77777777" w:rsidR="003336CE" w:rsidRPr="00272D51" w:rsidRDefault="003336CE" w:rsidP="00D85E97">
            <w:pPr>
              <w:jc w:val="both"/>
            </w:pPr>
            <w:r w:rsidRPr="00272D51">
              <w:rPr>
                <w:b/>
              </w:rPr>
              <w:t>Valeur</w:t>
            </w:r>
          </w:p>
        </w:tc>
        <w:tc>
          <w:tcPr>
            <w:tcW w:w="1242" w:type="dxa"/>
          </w:tcPr>
          <w:p w14:paraId="7DC00F0D" w14:textId="79D13963" w:rsidR="003336CE" w:rsidRPr="000F3318" w:rsidRDefault="003336CE" w:rsidP="00D85E97">
            <w:pPr>
              <w:jc w:val="both"/>
              <w:rPr>
                <w:sz w:val="18"/>
                <w:szCs w:val="18"/>
              </w:rPr>
            </w:pPr>
            <w:r w:rsidRPr="000F3318">
              <w:rPr>
                <w:b/>
                <w:sz w:val="18"/>
                <w:szCs w:val="18"/>
              </w:rPr>
              <w:t>Source</w:t>
            </w:r>
          </w:p>
        </w:tc>
      </w:tr>
      <w:tr w:rsidR="000F3318" w:rsidRPr="00272D51" w14:paraId="6806473A" w14:textId="77777777" w:rsidTr="000F3318">
        <w:trPr>
          <w:jc w:val="center"/>
        </w:trPr>
        <w:tc>
          <w:tcPr>
            <w:tcW w:w="4815" w:type="dxa"/>
          </w:tcPr>
          <w:p w14:paraId="24F889A5" w14:textId="77777777" w:rsidR="003336CE" w:rsidRPr="00272D51" w:rsidRDefault="003336CE" w:rsidP="00D85E97">
            <w:pPr>
              <w:jc w:val="both"/>
            </w:pPr>
            <w:r w:rsidRPr="00272D51">
              <w:t>Nombre de grossesses attendu</w:t>
            </w:r>
          </w:p>
        </w:tc>
        <w:tc>
          <w:tcPr>
            <w:tcW w:w="1417" w:type="dxa"/>
          </w:tcPr>
          <w:p w14:paraId="6DC53F4D" w14:textId="77777777" w:rsidR="003336CE" w:rsidRPr="00272D51" w:rsidRDefault="003336CE" w:rsidP="00D85E97">
            <w:pPr>
              <w:jc w:val="both"/>
              <w:rPr>
                <w:strike/>
              </w:rPr>
            </w:pPr>
            <w:r w:rsidRPr="00272D51">
              <w:rPr>
                <w:color w:val="FF0000"/>
              </w:rPr>
              <w:t>519 303</w:t>
            </w:r>
            <w:r w:rsidRPr="00272D51">
              <w:rPr>
                <w:strike/>
                <w:color w:val="FF0000"/>
              </w:rPr>
              <w:t xml:space="preserve"> </w:t>
            </w:r>
          </w:p>
        </w:tc>
        <w:tc>
          <w:tcPr>
            <w:tcW w:w="1242" w:type="dxa"/>
          </w:tcPr>
          <w:p w14:paraId="431A6E4D" w14:textId="3760589D" w:rsidR="003336CE" w:rsidRPr="000F3318" w:rsidRDefault="003336CE" w:rsidP="00D85E97">
            <w:pPr>
              <w:jc w:val="both"/>
              <w:rPr>
                <w:sz w:val="18"/>
                <w:szCs w:val="18"/>
              </w:rPr>
            </w:pPr>
            <w:r w:rsidRPr="000F3318">
              <w:rPr>
                <w:sz w:val="18"/>
                <w:szCs w:val="18"/>
              </w:rPr>
              <w:t>INS</w:t>
            </w:r>
          </w:p>
        </w:tc>
      </w:tr>
      <w:tr w:rsidR="000F3318" w:rsidRPr="00272D51" w14:paraId="51D5AE00" w14:textId="77777777" w:rsidTr="000F3318">
        <w:trPr>
          <w:jc w:val="center"/>
        </w:trPr>
        <w:tc>
          <w:tcPr>
            <w:tcW w:w="4815" w:type="dxa"/>
          </w:tcPr>
          <w:p w14:paraId="53E7724E" w14:textId="77777777" w:rsidR="003336CE" w:rsidRPr="00272D51" w:rsidRDefault="003336CE" w:rsidP="00D85E97">
            <w:pPr>
              <w:jc w:val="both"/>
            </w:pPr>
            <w:r w:rsidRPr="00272D51">
              <w:t>% des femmes enceintes qui viennent en CPN</w:t>
            </w:r>
          </w:p>
        </w:tc>
        <w:tc>
          <w:tcPr>
            <w:tcW w:w="1417" w:type="dxa"/>
          </w:tcPr>
          <w:p w14:paraId="71190C4D" w14:textId="77777777" w:rsidR="003336CE" w:rsidRPr="00272D51" w:rsidRDefault="003336CE" w:rsidP="00D85E97">
            <w:pPr>
              <w:jc w:val="both"/>
            </w:pPr>
            <w:r w:rsidRPr="00272D51">
              <w:t>84,3%</w:t>
            </w:r>
          </w:p>
        </w:tc>
        <w:tc>
          <w:tcPr>
            <w:tcW w:w="1242" w:type="dxa"/>
          </w:tcPr>
          <w:p w14:paraId="68F9CA60" w14:textId="1F3A1275" w:rsidR="003336CE" w:rsidRPr="000F3318" w:rsidRDefault="003336CE" w:rsidP="00D85E97">
            <w:pPr>
              <w:jc w:val="both"/>
              <w:rPr>
                <w:sz w:val="18"/>
                <w:szCs w:val="18"/>
              </w:rPr>
            </w:pPr>
            <w:r w:rsidRPr="000F3318">
              <w:rPr>
                <w:sz w:val="18"/>
                <w:szCs w:val="18"/>
              </w:rPr>
              <w:t>MICS 2016</w:t>
            </w:r>
          </w:p>
        </w:tc>
      </w:tr>
      <w:tr w:rsidR="000F3318" w:rsidRPr="00272D51" w14:paraId="05222261" w14:textId="77777777" w:rsidTr="000F3318">
        <w:trPr>
          <w:trHeight w:val="334"/>
          <w:jc w:val="center"/>
        </w:trPr>
        <w:tc>
          <w:tcPr>
            <w:tcW w:w="4815" w:type="dxa"/>
          </w:tcPr>
          <w:p w14:paraId="0D8109C6" w14:textId="77777777" w:rsidR="003336CE" w:rsidRPr="000F3318" w:rsidRDefault="003336CE" w:rsidP="00D85E97">
            <w:pPr>
              <w:jc w:val="both"/>
            </w:pPr>
            <w:r w:rsidRPr="000F3318">
              <w:t>Nombre attendu de visites CPN1</w:t>
            </w:r>
          </w:p>
        </w:tc>
        <w:tc>
          <w:tcPr>
            <w:tcW w:w="1417" w:type="dxa"/>
          </w:tcPr>
          <w:p w14:paraId="2A60A741" w14:textId="77777777" w:rsidR="003336CE" w:rsidRPr="000F3318" w:rsidRDefault="003336CE" w:rsidP="00D85E97">
            <w:pPr>
              <w:jc w:val="both"/>
            </w:pPr>
            <w:r w:rsidRPr="000F3318">
              <w:t>437 772</w:t>
            </w:r>
          </w:p>
        </w:tc>
        <w:tc>
          <w:tcPr>
            <w:tcW w:w="1242" w:type="dxa"/>
          </w:tcPr>
          <w:p w14:paraId="58FD368A" w14:textId="464D4346" w:rsidR="003336CE" w:rsidRPr="000F3318" w:rsidRDefault="003336CE" w:rsidP="00D85E97">
            <w:pPr>
              <w:jc w:val="both"/>
              <w:rPr>
                <w:sz w:val="18"/>
                <w:szCs w:val="18"/>
              </w:rPr>
            </w:pPr>
            <w:r w:rsidRPr="000F3318">
              <w:rPr>
                <w:sz w:val="18"/>
                <w:szCs w:val="18"/>
              </w:rPr>
              <w:t>INE*MICS</w:t>
            </w:r>
          </w:p>
        </w:tc>
      </w:tr>
      <w:tr w:rsidR="000F3318" w:rsidRPr="00272D51" w14:paraId="63F41C45" w14:textId="77777777" w:rsidTr="000F3318">
        <w:trPr>
          <w:jc w:val="center"/>
        </w:trPr>
        <w:tc>
          <w:tcPr>
            <w:tcW w:w="4815" w:type="dxa"/>
          </w:tcPr>
          <w:p w14:paraId="098D9957" w14:textId="77777777" w:rsidR="003336CE" w:rsidRPr="000F3318" w:rsidRDefault="003336CE" w:rsidP="00D85E97">
            <w:pPr>
              <w:jc w:val="both"/>
            </w:pPr>
            <w:r w:rsidRPr="000F3318">
              <w:t>Nombre de visites CPN1</w:t>
            </w:r>
          </w:p>
        </w:tc>
        <w:tc>
          <w:tcPr>
            <w:tcW w:w="1417" w:type="dxa"/>
          </w:tcPr>
          <w:p w14:paraId="184057A1" w14:textId="77777777" w:rsidR="003336CE" w:rsidRPr="000F3318" w:rsidRDefault="003336CE" w:rsidP="00D85E97">
            <w:pPr>
              <w:jc w:val="both"/>
            </w:pPr>
            <w:r w:rsidRPr="000F3318">
              <w:t>481 534</w:t>
            </w:r>
          </w:p>
        </w:tc>
        <w:tc>
          <w:tcPr>
            <w:tcW w:w="1242" w:type="dxa"/>
          </w:tcPr>
          <w:p w14:paraId="776E77BA" w14:textId="25096E51" w:rsidR="003336CE" w:rsidRPr="000F3318" w:rsidRDefault="003336CE" w:rsidP="00D85E97">
            <w:pPr>
              <w:jc w:val="both"/>
              <w:rPr>
                <w:sz w:val="18"/>
                <w:szCs w:val="18"/>
              </w:rPr>
            </w:pPr>
            <w:r w:rsidRPr="000F3318">
              <w:rPr>
                <w:sz w:val="18"/>
                <w:szCs w:val="18"/>
              </w:rPr>
              <w:t>BSD</w:t>
            </w:r>
          </w:p>
        </w:tc>
      </w:tr>
      <w:tr w:rsidR="000F3318" w:rsidRPr="00272D51" w14:paraId="4500F801" w14:textId="77777777" w:rsidTr="000F3318">
        <w:trPr>
          <w:trHeight w:val="320"/>
          <w:jc w:val="center"/>
        </w:trPr>
        <w:tc>
          <w:tcPr>
            <w:tcW w:w="4815" w:type="dxa"/>
          </w:tcPr>
          <w:p w14:paraId="26ED6D17" w14:textId="77777777" w:rsidR="003336CE" w:rsidRPr="00272D51" w:rsidRDefault="003336CE" w:rsidP="00D85E97">
            <w:pPr>
              <w:jc w:val="both"/>
            </w:pPr>
            <w:r w:rsidRPr="00272D51">
              <w:t>Nombre de visites CPN1 aux sites PTME</w:t>
            </w:r>
          </w:p>
        </w:tc>
        <w:tc>
          <w:tcPr>
            <w:tcW w:w="1417" w:type="dxa"/>
          </w:tcPr>
          <w:p w14:paraId="7D7EE604" w14:textId="77777777" w:rsidR="003336CE" w:rsidRPr="00272D51" w:rsidRDefault="003336CE" w:rsidP="00D85E97">
            <w:pPr>
              <w:jc w:val="both"/>
              <w:rPr>
                <w:rFonts w:cs="Arial"/>
              </w:rPr>
            </w:pPr>
            <w:r w:rsidRPr="00272D51">
              <w:rPr>
                <w:rFonts w:cs="Arial"/>
              </w:rPr>
              <w:t>435 480</w:t>
            </w:r>
          </w:p>
        </w:tc>
        <w:tc>
          <w:tcPr>
            <w:tcW w:w="1242" w:type="dxa"/>
            <w:vMerge w:val="restart"/>
            <w:vAlign w:val="center"/>
          </w:tcPr>
          <w:p w14:paraId="084B1F6B" w14:textId="419354B3" w:rsidR="003336CE" w:rsidRPr="000F3318" w:rsidRDefault="003336CE" w:rsidP="00D85E97">
            <w:pPr>
              <w:jc w:val="both"/>
              <w:rPr>
                <w:sz w:val="18"/>
                <w:szCs w:val="18"/>
              </w:rPr>
            </w:pPr>
            <w:r w:rsidRPr="000F3318">
              <w:rPr>
                <w:sz w:val="18"/>
                <w:szCs w:val="18"/>
              </w:rPr>
              <w:t>Base de données PNLSH</w:t>
            </w:r>
          </w:p>
        </w:tc>
      </w:tr>
      <w:tr w:rsidR="000F3318" w:rsidRPr="00272D51" w14:paraId="42EF2332" w14:textId="77777777" w:rsidTr="000F3318">
        <w:trPr>
          <w:jc w:val="center"/>
        </w:trPr>
        <w:tc>
          <w:tcPr>
            <w:tcW w:w="4815" w:type="dxa"/>
          </w:tcPr>
          <w:p w14:paraId="513717AD" w14:textId="77777777" w:rsidR="003336CE" w:rsidRPr="00272D51" w:rsidRDefault="003336CE" w:rsidP="00D85E97">
            <w:pPr>
              <w:jc w:val="both"/>
            </w:pPr>
            <w:r w:rsidRPr="00272D51">
              <w:t>Nombre de femmes enceintes conseillé</w:t>
            </w:r>
          </w:p>
        </w:tc>
        <w:tc>
          <w:tcPr>
            <w:tcW w:w="1417" w:type="dxa"/>
          </w:tcPr>
          <w:p w14:paraId="49943578" w14:textId="77777777" w:rsidR="003336CE" w:rsidRPr="00272D51" w:rsidRDefault="003336CE" w:rsidP="00D85E97">
            <w:pPr>
              <w:jc w:val="both"/>
              <w:rPr>
                <w:rFonts w:cs="Arial"/>
              </w:rPr>
            </w:pPr>
            <w:r w:rsidRPr="00272D51">
              <w:rPr>
                <w:rFonts w:cs="Arial"/>
              </w:rPr>
              <w:t>434 588</w:t>
            </w:r>
          </w:p>
        </w:tc>
        <w:tc>
          <w:tcPr>
            <w:tcW w:w="1242" w:type="dxa"/>
            <w:vMerge/>
          </w:tcPr>
          <w:p w14:paraId="55D40C77" w14:textId="49AE07DF" w:rsidR="003336CE" w:rsidRPr="000F3318" w:rsidRDefault="003336CE" w:rsidP="00D85E97">
            <w:pPr>
              <w:jc w:val="both"/>
              <w:rPr>
                <w:sz w:val="18"/>
                <w:szCs w:val="18"/>
              </w:rPr>
            </w:pPr>
          </w:p>
        </w:tc>
      </w:tr>
      <w:tr w:rsidR="000F3318" w:rsidRPr="00272D51" w14:paraId="64825B14" w14:textId="77777777" w:rsidTr="000F3318">
        <w:trPr>
          <w:jc w:val="center"/>
        </w:trPr>
        <w:tc>
          <w:tcPr>
            <w:tcW w:w="4815" w:type="dxa"/>
          </w:tcPr>
          <w:p w14:paraId="6B261991" w14:textId="77777777" w:rsidR="003336CE" w:rsidRPr="00272D51" w:rsidRDefault="003336CE" w:rsidP="00D85E97">
            <w:pPr>
              <w:jc w:val="both"/>
            </w:pPr>
            <w:r w:rsidRPr="00272D51">
              <w:t>Nombre de femmes qui ont accepté le teste VIH</w:t>
            </w:r>
          </w:p>
        </w:tc>
        <w:tc>
          <w:tcPr>
            <w:tcW w:w="1417" w:type="dxa"/>
          </w:tcPr>
          <w:p w14:paraId="2FAFB8CD" w14:textId="77777777" w:rsidR="003336CE" w:rsidRPr="00272D51" w:rsidRDefault="003336CE" w:rsidP="00D85E97">
            <w:pPr>
              <w:jc w:val="both"/>
              <w:rPr>
                <w:rFonts w:cs="Arial"/>
              </w:rPr>
            </w:pPr>
            <w:r w:rsidRPr="00272D51">
              <w:rPr>
                <w:rFonts w:cs="Arial"/>
              </w:rPr>
              <w:t>344 836</w:t>
            </w:r>
          </w:p>
        </w:tc>
        <w:tc>
          <w:tcPr>
            <w:tcW w:w="1242" w:type="dxa"/>
            <w:vMerge/>
          </w:tcPr>
          <w:p w14:paraId="03516452" w14:textId="687ADD80" w:rsidR="003336CE" w:rsidRPr="000F3318" w:rsidRDefault="003336CE" w:rsidP="00D85E97">
            <w:pPr>
              <w:jc w:val="both"/>
              <w:rPr>
                <w:sz w:val="18"/>
                <w:szCs w:val="18"/>
              </w:rPr>
            </w:pPr>
          </w:p>
        </w:tc>
      </w:tr>
      <w:tr w:rsidR="000F3318" w:rsidRPr="00272D51" w14:paraId="6AAD14DB" w14:textId="77777777" w:rsidTr="000F3318">
        <w:trPr>
          <w:jc w:val="center"/>
        </w:trPr>
        <w:tc>
          <w:tcPr>
            <w:tcW w:w="4815" w:type="dxa"/>
          </w:tcPr>
          <w:p w14:paraId="77ECFE6F" w14:textId="77777777" w:rsidR="003336CE" w:rsidRPr="00272D51" w:rsidRDefault="003336CE" w:rsidP="00D85E97">
            <w:pPr>
              <w:jc w:val="both"/>
            </w:pPr>
            <w:r w:rsidRPr="00272D51">
              <w:t>Nombre de femmes testé</w:t>
            </w:r>
          </w:p>
        </w:tc>
        <w:tc>
          <w:tcPr>
            <w:tcW w:w="1417" w:type="dxa"/>
          </w:tcPr>
          <w:p w14:paraId="59E9D5F1" w14:textId="77777777" w:rsidR="003336CE" w:rsidRPr="00272D51" w:rsidRDefault="003336CE" w:rsidP="00D85E97">
            <w:pPr>
              <w:jc w:val="both"/>
              <w:rPr>
                <w:rFonts w:cs="Arial"/>
              </w:rPr>
            </w:pPr>
            <w:r w:rsidRPr="00272D51">
              <w:rPr>
                <w:rFonts w:cs="Arial"/>
              </w:rPr>
              <w:t>236 535</w:t>
            </w:r>
          </w:p>
        </w:tc>
        <w:tc>
          <w:tcPr>
            <w:tcW w:w="1242" w:type="dxa"/>
            <w:vMerge/>
          </w:tcPr>
          <w:p w14:paraId="7AC174DC" w14:textId="5BC617A6" w:rsidR="003336CE" w:rsidRPr="000F3318" w:rsidRDefault="003336CE" w:rsidP="00D85E97">
            <w:pPr>
              <w:jc w:val="both"/>
              <w:rPr>
                <w:sz w:val="18"/>
                <w:szCs w:val="18"/>
              </w:rPr>
            </w:pPr>
          </w:p>
        </w:tc>
      </w:tr>
      <w:tr w:rsidR="000F3318" w:rsidRPr="00272D51" w14:paraId="75A02A6F" w14:textId="77777777" w:rsidTr="000F3318">
        <w:trPr>
          <w:jc w:val="center"/>
        </w:trPr>
        <w:tc>
          <w:tcPr>
            <w:tcW w:w="4815" w:type="dxa"/>
          </w:tcPr>
          <w:p w14:paraId="0D05F5FF" w14:textId="77777777" w:rsidR="003336CE" w:rsidRPr="00272D51" w:rsidRDefault="003336CE" w:rsidP="00D85E97">
            <w:pPr>
              <w:jc w:val="both"/>
            </w:pPr>
            <w:r w:rsidRPr="00272D51">
              <w:t>Nombre de femmes testé et résultat reçu</w:t>
            </w:r>
          </w:p>
        </w:tc>
        <w:tc>
          <w:tcPr>
            <w:tcW w:w="1417" w:type="dxa"/>
          </w:tcPr>
          <w:p w14:paraId="38BAE259" w14:textId="77777777" w:rsidR="003336CE" w:rsidRPr="00272D51" w:rsidRDefault="003336CE" w:rsidP="00D85E97">
            <w:pPr>
              <w:jc w:val="both"/>
              <w:rPr>
                <w:rFonts w:cs="Arial"/>
              </w:rPr>
            </w:pPr>
            <w:r w:rsidRPr="00272D51">
              <w:rPr>
                <w:rFonts w:cs="Arial"/>
              </w:rPr>
              <w:t>231 657</w:t>
            </w:r>
          </w:p>
        </w:tc>
        <w:tc>
          <w:tcPr>
            <w:tcW w:w="1242" w:type="dxa"/>
            <w:vMerge/>
          </w:tcPr>
          <w:p w14:paraId="748A3856" w14:textId="0B55968B" w:rsidR="003336CE" w:rsidRPr="000F3318" w:rsidRDefault="003336CE" w:rsidP="00D85E97">
            <w:pPr>
              <w:jc w:val="both"/>
              <w:rPr>
                <w:sz w:val="18"/>
                <w:szCs w:val="18"/>
              </w:rPr>
            </w:pPr>
          </w:p>
        </w:tc>
      </w:tr>
      <w:tr w:rsidR="000F3318" w:rsidRPr="00272D51" w14:paraId="04F725E7" w14:textId="77777777" w:rsidTr="000F3318">
        <w:trPr>
          <w:jc w:val="center"/>
        </w:trPr>
        <w:tc>
          <w:tcPr>
            <w:tcW w:w="4815" w:type="dxa"/>
          </w:tcPr>
          <w:p w14:paraId="1C88D372" w14:textId="77777777" w:rsidR="003336CE" w:rsidRPr="00272D51" w:rsidRDefault="003336CE" w:rsidP="00D85E97">
            <w:pPr>
              <w:jc w:val="both"/>
            </w:pPr>
            <w:r w:rsidRPr="00272D51">
              <w:t>Nombre de femmes enceintes VVIH</w:t>
            </w:r>
          </w:p>
        </w:tc>
        <w:tc>
          <w:tcPr>
            <w:tcW w:w="1417" w:type="dxa"/>
          </w:tcPr>
          <w:p w14:paraId="48247E47" w14:textId="77777777" w:rsidR="003336CE" w:rsidRPr="00272D51" w:rsidRDefault="003336CE" w:rsidP="00D85E97">
            <w:pPr>
              <w:jc w:val="both"/>
            </w:pPr>
            <w:r w:rsidRPr="00272D51">
              <w:t>6 105</w:t>
            </w:r>
          </w:p>
        </w:tc>
        <w:tc>
          <w:tcPr>
            <w:tcW w:w="1242" w:type="dxa"/>
          </w:tcPr>
          <w:p w14:paraId="3B0D36AC" w14:textId="71076B5E" w:rsidR="003336CE" w:rsidRPr="000F3318" w:rsidRDefault="003336CE" w:rsidP="00D85E97">
            <w:pPr>
              <w:jc w:val="both"/>
              <w:rPr>
                <w:sz w:val="18"/>
                <w:szCs w:val="18"/>
              </w:rPr>
            </w:pPr>
            <w:r w:rsidRPr="000F3318">
              <w:rPr>
                <w:sz w:val="18"/>
                <w:szCs w:val="18"/>
              </w:rPr>
              <w:t>Spectrum</w:t>
            </w:r>
          </w:p>
        </w:tc>
      </w:tr>
      <w:tr w:rsidR="000F3318" w:rsidRPr="00272D51" w14:paraId="734F5350" w14:textId="77777777" w:rsidTr="000F3318">
        <w:trPr>
          <w:jc w:val="center"/>
        </w:trPr>
        <w:tc>
          <w:tcPr>
            <w:tcW w:w="4815" w:type="dxa"/>
          </w:tcPr>
          <w:p w14:paraId="1875B1FD" w14:textId="77777777" w:rsidR="003336CE" w:rsidRPr="00272D51" w:rsidRDefault="003336CE" w:rsidP="00D85E97">
            <w:pPr>
              <w:jc w:val="both"/>
            </w:pPr>
            <w:r w:rsidRPr="00272D51">
              <w:lastRenderedPageBreak/>
              <w:t>Nombre de femmes enceintes testé VIH+</w:t>
            </w:r>
          </w:p>
        </w:tc>
        <w:tc>
          <w:tcPr>
            <w:tcW w:w="1417" w:type="dxa"/>
          </w:tcPr>
          <w:p w14:paraId="7639EAAF" w14:textId="77777777" w:rsidR="003336CE" w:rsidRPr="00272D51" w:rsidRDefault="003336CE" w:rsidP="00D85E97">
            <w:pPr>
              <w:jc w:val="both"/>
            </w:pPr>
            <w:r w:rsidRPr="00272D51">
              <w:t>4 303</w:t>
            </w:r>
            <w:r w:rsidRPr="00272D51">
              <w:rPr>
                <w:rStyle w:val="Appelnotedebasdep"/>
              </w:rPr>
              <w:footnoteReference w:id="1"/>
            </w:r>
          </w:p>
        </w:tc>
        <w:tc>
          <w:tcPr>
            <w:tcW w:w="1242" w:type="dxa"/>
            <w:vMerge w:val="restart"/>
            <w:vAlign w:val="center"/>
          </w:tcPr>
          <w:p w14:paraId="26ED291F" w14:textId="046C6D73" w:rsidR="003336CE" w:rsidRPr="000F3318" w:rsidRDefault="003336CE" w:rsidP="00D85E97">
            <w:pPr>
              <w:jc w:val="both"/>
              <w:rPr>
                <w:sz w:val="18"/>
                <w:szCs w:val="18"/>
              </w:rPr>
            </w:pPr>
            <w:r w:rsidRPr="000F3318">
              <w:rPr>
                <w:sz w:val="18"/>
                <w:szCs w:val="18"/>
              </w:rPr>
              <w:t>Base de données PNLSH</w:t>
            </w:r>
          </w:p>
        </w:tc>
      </w:tr>
      <w:tr w:rsidR="000F3318" w:rsidRPr="00272D51" w14:paraId="457BDF0D" w14:textId="77777777" w:rsidTr="000F3318">
        <w:trPr>
          <w:jc w:val="center"/>
        </w:trPr>
        <w:tc>
          <w:tcPr>
            <w:tcW w:w="4815" w:type="dxa"/>
          </w:tcPr>
          <w:p w14:paraId="453C2816" w14:textId="77777777" w:rsidR="003336CE" w:rsidRPr="00272D51" w:rsidRDefault="003336CE" w:rsidP="00D85E97">
            <w:pPr>
              <w:jc w:val="both"/>
            </w:pPr>
            <w:r w:rsidRPr="00272D51">
              <w:t>Nombre de femmes PTME initié</w:t>
            </w:r>
          </w:p>
        </w:tc>
        <w:tc>
          <w:tcPr>
            <w:tcW w:w="1417" w:type="dxa"/>
          </w:tcPr>
          <w:p w14:paraId="2FDAAFEE" w14:textId="77777777" w:rsidR="003336CE" w:rsidRPr="00272D51" w:rsidRDefault="003336CE" w:rsidP="00D85E97">
            <w:pPr>
              <w:jc w:val="both"/>
              <w:rPr>
                <w:rFonts w:cs="Arial"/>
              </w:rPr>
            </w:pPr>
            <w:r w:rsidRPr="00272D51">
              <w:rPr>
                <w:rFonts w:cs="Arial"/>
              </w:rPr>
              <w:t>2 987</w:t>
            </w:r>
          </w:p>
        </w:tc>
        <w:tc>
          <w:tcPr>
            <w:tcW w:w="1242" w:type="dxa"/>
            <w:vMerge/>
          </w:tcPr>
          <w:p w14:paraId="739C126D" w14:textId="3F921135" w:rsidR="003336CE" w:rsidRPr="000F3318" w:rsidRDefault="003336CE" w:rsidP="00D85E97">
            <w:pPr>
              <w:jc w:val="both"/>
              <w:rPr>
                <w:sz w:val="18"/>
                <w:szCs w:val="18"/>
              </w:rPr>
            </w:pPr>
          </w:p>
        </w:tc>
      </w:tr>
    </w:tbl>
    <w:p w14:paraId="0C3CD742" w14:textId="77777777" w:rsidR="00B52698" w:rsidRDefault="00B52698" w:rsidP="00D85E97">
      <w:pPr>
        <w:jc w:val="both"/>
        <w:rPr>
          <w:rFonts w:ascii="Georgia" w:hAnsi="Georgia"/>
        </w:rPr>
      </w:pPr>
    </w:p>
    <w:p w14:paraId="21E64B37" w14:textId="4F8ED6D2" w:rsidR="00FA463F" w:rsidRDefault="00A9165F" w:rsidP="00D85E97">
      <w:pPr>
        <w:jc w:val="both"/>
        <w:rPr>
          <w:rFonts w:ascii="Georgia" w:hAnsi="Georgia"/>
        </w:rPr>
      </w:pPr>
      <w:r>
        <w:rPr>
          <w:rFonts w:ascii="Georgia" w:hAnsi="Georgia"/>
        </w:rPr>
        <w:t>En 201</w:t>
      </w:r>
      <w:r w:rsidR="00E669C3">
        <w:rPr>
          <w:rFonts w:ascii="Georgia" w:hAnsi="Georgia"/>
        </w:rPr>
        <w:t>8</w:t>
      </w:r>
      <w:r w:rsidR="00FA463F" w:rsidRPr="00FA463F">
        <w:rPr>
          <w:rFonts w:ascii="Georgia" w:hAnsi="Georgia"/>
        </w:rPr>
        <w:t>, on estimait à 6</w:t>
      </w:r>
      <w:r w:rsidR="00E669C3">
        <w:rPr>
          <w:rFonts w:ascii="Georgia" w:hAnsi="Georgia"/>
        </w:rPr>
        <w:t>105</w:t>
      </w:r>
      <w:r w:rsidR="00FA463F" w:rsidRPr="00FA463F">
        <w:rPr>
          <w:rFonts w:ascii="Georgia" w:hAnsi="Georgia"/>
        </w:rPr>
        <w:t xml:space="preserve"> le nombre de femmes enceintes vivant avec le VIH (selon les estimations de Spectrum), dont environ 84% avaient eu au moins une visite de consultation prénatale pendant leur grossesse et </w:t>
      </w:r>
      <w:r w:rsidR="00E669C3">
        <w:rPr>
          <w:rFonts w:ascii="Georgia" w:hAnsi="Georgia"/>
        </w:rPr>
        <w:t>90</w:t>
      </w:r>
      <w:r w:rsidR="00FA463F" w:rsidRPr="00FA463F">
        <w:rPr>
          <w:rFonts w:ascii="Georgia" w:hAnsi="Georgia"/>
        </w:rPr>
        <w:t>% avaient assisté à une consultation prénatale proposant un test de dépistage du</w:t>
      </w:r>
      <w:r w:rsidR="00FA463F">
        <w:rPr>
          <w:rFonts w:ascii="Georgia" w:hAnsi="Georgia"/>
        </w:rPr>
        <w:t xml:space="preserve"> VIH pour les femmes enceintes. </w:t>
      </w:r>
      <w:r w:rsidR="00FA463F" w:rsidRPr="00FA463F">
        <w:rPr>
          <w:rFonts w:ascii="Georgia" w:hAnsi="Georgia"/>
        </w:rPr>
        <w:t xml:space="preserve">Cela équivaut à </w:t>
      </w:r>
      <w:r w:rsidR="00E669C3">
        <w:rPr>
          <w:rFonts w:ascii="Georgia" w:hAnsi="Georgia"/>
        </w:rPr>
        <w:t>958</w:t>
      </w:r>
      <w:r w:rsidR="00FA463F" w:rsidRPr="00FA463F">
        <w:rPr>
          <w:rFonts w:ascii="Georgia" w:hAnsi="Georgia"/>
        </w:rPr>
        <w:t xml:space="preserve"> femmes enceintes séropositives infectées par le VIH qui ne fréquentent aucun établissement de soins prénatals et </w:t>
      </w:r>
      <w:r w:rsidR="00E669C3">
        <w:rPr>
          <w:rFonts w:ascii="Georgia" w:hAnsi="Georgia"/>
        </w:rPr>
        <w:t>584</w:t>
      </w:r>
      <w:r w:rsidR="00FA463F" w:rsidRPr="00FA463F">
        <w:rPr>
          <w:rFonts w:ascii="Georgia" w:hAnsi="Georgia"/>
        </w:rPr>
        <w:t xml:space="preserve"> personnes qui y assistent et pour lesquelles un test de dépistage du VIH n'est actuellement pas proposé.</w:t>
      </w:r>
    </w:p>
    <w:p w14:paraId="510B0BE2" w14:textId="77777777" w:rsidR="00FA463F" w:rsidRPr="00FA463F" w:rsidRDefault="00FA463F" w:rsidP="00D85E97">
      <w:pPr>
        <w:jc w:val="both"/>
        <w:rPr>
          <w:rFonts w:ascii="Georgia" w:hAnsi="Georgia"/>
        </w:rPr>
      </w:pPr>
    </w:p>
    <w:p w14:paraId="08F0A2C2" w14:textId="103D4C26" w:rsidR="00FA463F" w:rsidRDefault="00FA463F" w:rsidP="00D85E97">
      <w:pPr>
        <w:jc w:val="both"/>
        <w:rPr>
          <w:rFonts w:ascii="Georgia" w:hAnsi="Georgia"/>
        </w:rPr>
      </w:pPr>
      <w:r w:rsidRPr="00FA463F">
        <w:rPr>
          <w:rFonts w:ascii="Georgia" w:hAnsi="Georgia"/>
        </w:rPr>
        <w:t xml:space="preserve">Cependant, parmi les </w:t>
      </w:r>
      <w:r w:rsidR="00E669C3">
        <w:rPr>
          <w:rFonts w:ascii="Georgia" w:hAnsi="Georgia"/>
        </w:rPr>
        <w:t>5521</w:t>
      </w:r>
      <w:r w:rsidRPr="00FA463F">
        <w:rPr>
          <w:rFonts w:ascii="Georgia" w:hAnsi="Georgia"/>
        </w:rPr>
        <w:t xml:space="preserve"> femmes enceintes vivant avec le VIH qui ont fréquenté un centre de PTME, seules </w:t>
      </w:r>
      <w:r w:rsidR="00F85992">
        <w:rPr>
          <w:rFonts w:ascii="Georgia" w:hAnsi="Georgia"/>
        </w:rPr>
        <w:t>78</w:t>
      </w:r>
      <w:r w:rsidRPr="00FA463F">
        <w:rPr>
          <w:rFonts w:ascii="Georgia" w:hAnsi="Georgia"/>
        </w:rPr>
        <w:t xml:space="preserve">% ont effectivement subi un test de dépistage du VIH, ce qui représente </w:t>
      </w:r>
      <w:r w:rsidR="00F85992">
        <w:rPr>
          <w:rFonts w:ascii="Georgia" w:hAnsi="Georgia"/>
        </w:rPr>
        <w:t>1218</w:t>
      </w:r>
      <w:r w:rsidRPr="00FA463F">
        <w:rPr>
          <w:rFonts w:ascii="Georgia" w:hAnsi="Georgia"/>
        </w:rPr>
        <w:t xml:space="preserve"> femmes qui ont fréquenté un centre de PTME sans avoir su</w:t>
      </w:r>
      <w:r>
        <w:rPr>
          <w:rFonts w:ascii="Georgia" w:hAnsi="Georgia"/>
        </w:rPr>
        <w:t xml:space="preserve">bi de test de dépistage du VIH.  </w:t>
      </w:r>
      <w:r w:rsidRPr="00FA463F">
        <w:rPr>
          <w:rFonts w:ascii="Georgia" w:hAnsi="Georgia"/>
        </w:rPr>
        <w:t xml:space="preserve">En d’autres termes, si vous augmentez le nombre de tests de dépistage du VIH dans toutes les cliniques de soins prénatals, vous obtiendrez environ </w:t>
      </w:r>
      <w:r w:rsidR="00F85992">
        <w:rPr>
          <w:rFonts w:ascii="Georgia" w:hAnsi="Georgia"/>
        </w:rPr>
        <w:t>600</w:t>
      </w:r>
      <w:r w:rsidRPr="00FA463F">
        <w:rPr>
          <w:rFonts w:ascii="Georgia" w:hAnsi="Georgia"/>
        </w:rPr>
        <w:t xml:space="preserve"> nouveaux </w:t>
      </w:r>
      <w:r>
        <w:rPr>
          <w:rFonts w:ascii="Georgia" w:hAnsi="Georgia"/>
        </w:rPr>
        <w:t xml:space="preserve">diagnostics supplémentaires (A) </w:t>
      </w:r>
      <w:r w:rsidRPr="00FA463F">
        <w:rPr>
          <w:rFonts w:ascii="Georgia" w:hAnsi="Georgia"/>
        </w:rPr>
        <w:t>Si vous optimisez l'offre d</w:t>
      </w:r>
      <w:r w:rsidR="00F85992">
        <w:rPr>
          <w:rFonts w:ascii="Georgia" w:hAnsi="Georgia"/>
        </w:rPr>
        <w:t>e tests / l'absorption dans les</w:t>
      </w:r>
      <w:r w:rsidRPr="00FA463F">
        <w:rPr>
          <w:rFonts w:ascii="Georgia" w:hAnsi="Georgia"/>
        </w:rPr>
        <w:t xml:space="preserve"> sites de PTME existants, vous pourriez obtenir le </w:t>
      </w:r>
      <w:r w:rsidR="000F3318" w:rsidRPr="00FA463F">
        <w:rPr>
          <w:rFonts w:ascii="Georgia" w:hAnsi="Georgia"/>
        </w:rPr>
        <w:t>double :</w:t>
      </w:r>
      <w:r w:rsidRPr="00FA463F">
        <w:rPr>
          <w:rFonts w:ascii="Georgia" w:hAnsi="Georgia"/>
        </w:rPr>
        <w:t xml:space="preserve"> environ </w:t>
      </w:r>
      <w:r w:rsidR="00F85992">
        <w:rPr>
          <w:rFonts w:ascii="Georgia" w:hAnsi="Georgia"/>
        </w:rPr>
        <w:t>1218</w:t>
      </w:r>
      <w:r w:rsidRPr="00FA463F">
        <w:rPr>
          <w:rFonts w:ascii="Georgia" w:hAnsi="Georgia"/>
        </w:rPr>
        <w:t xml:space="preserve"> nouveaux diagnost</w:t>
      </w:r>
      <w:r>
        <w:rPr>
          <w:rFonts w:ascii="Georgia" w:hAnsi="Georgia"/>
        </w:rPr>
        <w:t xml:space="preserve">ics supplémentaires par an (B) </w:t>
      </w:r>
      <w:r w:rsidRPr="00FA463F">
        <w:rPr>
          <w:rFonts w:ascii="Georgia" w:hAnsi="Georgia"/>
        </w:rPr>
        <w:t>Si vous faites les deux, vous obtiendrez envir</w:t>
      </w:r>
      <w:r>
        <w:rPr>
          <w:rFonts w:ascii="Georgia" w:hAnsi="Georgia"/>
        </w:rPr>
        <w:t xml:space="preserve">on </w:t>
      </w:r>
      <w:r w:rsidR="00F85992">
        <w:rPr>
          <w:rFonts w:ascii="Georgia" w:hAnsi="Georgia"/>
        </w:rPr>
        <w:t xml:space="preserve">1800 </w:t>
      </w:r>
      <w:r w:rsidR="000F3318">
        <w:rPr>
          <w:rFonts w:ascii="Georgia" w:hAnsi="Georgia"/>
        </w:rPr>
        <w:t>nouveaux diagnostics</w:t>
      </w:r>
      <w:r w:rsidR="00F85992">
        <w:rPr>
          <w:rFonts w:ascii="Georgia" w:hAnsi="Georgia"/>
        </w:rPr>
        <w:t>.</w:t>
      </w:r>
    </w:p>
    <w:p w14:paraId="2310E6AF" w14:textId="77777777" w:rsidR="0089386D" w:rsidRDefault="0089386D" w:rsidP="00D85E97">
      <w:pPr>
        <w:jc w:val="both"/>
        <w:rPr>
          <w:rFonts w:ascii="Georgia" w:hAnsi="Georgia"/>
        </w:rPr>
      </w:pPr>
      <w:r>
        <w:rPr>
          <w:rFonts w:ascii="Georgia" w:hAnsi="Georgia"/>
        </w:rPr>
        <w:t>66 Sites représentent plus de 50% des femmes enceintes testés VIH positives.</w:t>
      </w:r>
    </w:p>
    <w:p w14:paraId="5B5D3D98" w14:textId="77777777" w:rsidR="0089386D" w:rsidRPr="00FA463F" w:rsidRDefault="0089386D" w:rsidP="00D85E97">
      <w:pPr>
        <w:jc w:val="both"/>
        <w:rPr>
          <w:rFonts w:ascii="Georgia" w:hAnsi="Georgia"/>
        </w:rPr>
      </w:pPr>
    </w:p>
    <w:p w14:paraId="12A0AA12" w14:textId="77777777" w:rsidR="00FA463F" w:rsidRPr="00FA463F" w:rsidRDefault="00FA463F" w:rsidP="00D85E97">
      <w:pPr>
        <w:jc w:val="both"/>
        <w:rPr>
          <w:rFonts w:ascii="Georgia" w:hAnsi="Georgia"/>
        </w:rPr>
      </w:pPr>
    </w:p>
    <w:p w14:paraId="094236CB" w14:textId="5F1D7457" w:rsidR="00FA463F" w:rsidRDefault="00D85E97" w:rsidP="00D85E97">
      <w:pPr>
        <w:jc w:val="both"/>
        <w:rPr>
          <w:rFonts w:ascii="Georgia" w:hAnsi="Georgia"/>
          <w:b/>
        </w:rPr>
      </w:pPr>
      <w:r>
        <w:rPr>
          <w:rFonts w:ascii="Georgia" w:hAnsi="Georgia"/>
          <w:b/>
        </w:rPr>
        <w:t>Populations clés</w:t>
      </w:r>
    </w:p>
    <w:p w14:paraId="0805159C" w14:textId="6E6D4181" w:rsidR="00DA0C9D" w:rsidRDefault="00DA0C9D" w:rsidP="00D85E97">
      <w:pPr>
        <w:jc w:val="both"/>
        <w:rPr>
          <w:rFonts w:ascii="Georgia" w:hAnsi="Georgia"/>
          <w:b/>
        </w:rPr>
      </w:pPr>
    </w:p>
    <w:p w14:paraId="7076F6DC" w14:textId="1DD9B13F" w:rsidR="00DA0C9D" w:rsidRPr="00DA0C9D" w:rsidRDefault="00DA0C9D" w:rsidP="00D85E97">
      <w:pPr>
        <w:jc w:val="both"/>
        <w:rPr>
          <w:rFonts w:ascii="Georgia" w:hAnsi="Georgia"/>
          <w:sz w:val="20"/>
          <w:szCs w:val="20"/>
        </w:rPr>
      </w:pPr>
      <w:r w:rsidRPr="00DA0C9D">
        <w:rPr>
          <w:rFonts w:ascii="Georgia" w:hAnsi="Georgia"/>
          <w:sz w:val="20"/>
          <w:szCs w:val="20"/>
        </w:rPr>
        <w:t xml:space="preserve">Fig : </w:t>
      </w:r>
      <w:r>
        <w:rPr>
          <w:rFonts w:ascii="Georgia" w:hAnsi="Georgia"/>
          <w:sz w:val="20"/>
          <w:szCs w:val="20"/>
        </w:rPr>
        <w:t xml:space="preserve"> Proportion dépistée pour le VIH et </w:t>
      </w:r>
      <w:r w:rsidR="000F3318">
        <w:rPr>
          <w:rFonts w:ascii="Georgia" w:hAnsi="Georgia"/>
          <w:sz w:val="20"/>
          <w:szCs w:val="20"/>
        </w:rPr>
        <w:t>ayant reçue</w:t>
      </w:r>
      <w:r>
        <w:rPr>
          <w:rFonts w:ascii="Georgia" w:hAnsi="Georgia"/>
          <w:sz w:val="20"/>
          <w:szCs w:val="20"/>
        </w:rPr>
        <w:t xml:space="preserve"> les </w:t>
      </w:r>
      <w:r w:rsidR="00B774D8">
        <w:rPr>
          <w:rFonts w:ascii="Georgia" w:hAnsi="Georgia"/>
          <w:sz w:val="20"/>
          <w:szCs w:val="20"/>
        </w:rPr>
        <w:t>résultats</w:t>
      </w:r>
      <w:r>
        <w:rPr>
          <w:rFonts w:ascii="Georgia" w:hAnsi="Georgia"/>
          <w:sz w:val="20"/>
          <w:szCs w:val="20"/>
        </w:rPr>
        <w:t xml:space="preserve"> dans les 12 derniers mois</w:t>
      </w:r>
      <w:r w:rsidR="00B774D8">
        <w:rPr>
          <w:rFonts w:ascii="Georgia" w:hAnsi="Georgia"/>
          <w:sz w:val="20"/>
          <w:szCs w:val="20"/>
        </w:rPr>
        <w:t xml:space="preserve"> par population clé et vulnérable</w:t>
      </w:r>
    </w:p>
    <w:p w14:paraId="1D0074B9" w14:textId="77777777" w:rsidR="001E2E66" w:rsidRDefault="001E2E66" w:rsidP="00D85E97">
      <w:pPr>
        <w:jc w:val="both"/>
        <w:rPr>
          <w:rFonts w:ascii="Georgia" w:hAnsi="Georgia" w:cs="Arial"/>
          <w:color w:val="000000"/>
        </w:rPr>
      </w:pPr>
    </w:p>
    <w:p w14:paraId="1FC65C48" w14:textId="52A92ACB" w:rsidR="001E2E66" w:rsidRDefault="00DA0C9D" w:rsidP="00D85E97">
      <w:pPr>
        <w:jc w:val="both"/>
        <w:rPr>
          <w:rFonts w:ascii="Georgia" w:hAnsi="Georgia" w:cs="Arial"/>
          <w:color w:val="000000"/>
        </w:rPr>
      </w:pPr>
      <w:r>
        <w:rPr>
          <w:rFonts w:ascii="Georgia" w:hAnsi="Georgia" w:cs="Arial"/>
          <w:noProof/>
          <w:color w:val="000000"/>
          <w:lang w:eastAsia="fr-FR"/>
        </w:rPr>
        <w:drawing>
          <wp:inline distT="0" distB="0" distL="0" distR="0" wp14:anchorId="3C1FBAF6" wp14:editId="3296D2B0">
            <wp:extent cx="4811796" cy="28492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053" cy="2851766"/>
                    </a:xfrm>
                    <a:prstGeom prst="rect">
                      <a:avLst/>
                    </a:prstGeom>
                    <a:noFill/>
                  </pic:spPr>
                </pic:pic>
              </a:graphicData>
            </a:graphic>
          </wp:inline>
        </w:drawing>
      </w:r>
    </w:p>
    <w:p w14:paraId="3EDB979F" w14:textId="77777777" w:rsidR="00B774D8" w:rsidRDefault="00B774D8" w:rsidP="00D85E97">
      <w:pPr>
        <w:jc w:val="both"/>
        <w:rPr>
          <w:rFonts w:ascii="Georgia" w:hAnsi="Georgia" w:cs="Arial"/>
          <w:color w:val="000000"/>
        </w:rPr>
      </w:pPr>
    </w:p>
    <w:p w14:paraId="358A9016" w14:textId="7256075D" w:rsidR="001E2E66" w:rsidRDefault="001E2E66" w:rsidP="00D85E97">
      <w:pPr>
        <w:pStyle w:val="Paragraphedeliste"/>
        <w:numPr>
          <w:ilvl w:val="0"/>
          <w:numId w:val="6"/>
        </w:numPr>
        <w:jc w:val="both"/>
        <w:rPr>
          <w:rFonts w:ascii="Georgia" w:hAnsi="Georgia" w:cs="Arial"/>
          <w:color w:val="000000"/>
        </w:rPr>
      </w:pPr>
      <w:r>
        <w:rPr>
          <w:rFonts w:ascii="Georgia" w:hAnsi="Georgia" w:cs="Arial"/>
          <w:color w:val="000000"/>
        </w:rPr>
        <w:lastRenderedPageBreak/>
        <w:t>La couverture des services chez les populations clés « non cachées » montre une quasi-saturation des services en termes de dépistage.</w:t>
      </w:r>
    </w:p>
    <w:p w14:paraId="29CBF3E8" w14:textId="77777777" w:rsidR="006F7C74" w:rsidRPr="006F7C74" w:rsidRDefault="006F7C74" w:rsidP="00D85E97">
      <w:pPr>
        <w:pStyle w:val="Paragraphedeliste"/>
        <w:numPr>
          <w:ilvl w:val="0"/>
          <w:numId w:val="6"/>
        </w:numPr>
        <w:jc w:val="both"/>
        <w:rPr>
          <w:rFonts w:ascii="Georgia" w:hAnsi="Georgia"/>
        </w:rPr>
      </w:pPr>
      <w:r w:rsidRPr="006F7C74">
        <w:rPr>
          <w:rFonts w:ascii="Georgia" w:hAnsi="Georgia" w:cs="Arial"/>
          <w:color w:val="000000"/>
        </w:rPr>
        <w:t>Les</w:t>
      </w:r>
      <w:r>
        <w:rPr>
          <w:rFonts w:ascii="Georgia" w:hAnsi="Georgia" w:cs="Arial"/>
          <w:color w:val="000000"/>
        </w:rPr>
        <w:t xml:space="preserve"> nouvelles</w:t>
      </w:r>
      <w:r w:rsidRPr="006F7C74">
        <w:rPr>
          <w:rFonts w:ascii="Georgia" w:hAnsi="Georgia" w:cs="Arial"/>
          <w:color w:val="000000"/>
        </w:rPr>
        <w:t xml:space="preserve"> cibles prioritaires sont : </w:t>
      </w:r>
      <w:r w:rsidR="00FA463F" w:rsidRPr="006F7C74">
        <w:rPr>
          <w:rFonts w:ascii="Georgia" w:hAnsi="Georgia" w:cs="Arial"/>
          <w:color w:val="000000"/>
        </w:rPr>
        <w:t>les mineurs / orpailleurs artisanaux</w:t>
      </w:r>
    </w:p>
    <w:p w14:paraId="638827D1" w14:textId="77777777" w:rsidR="006F7C74" w:rsidRPr="006F7C74" w:rsidRDefault="006F7C74" w:rsidP="00D85E97">
      <w:pPr>
        <w:pStyle w:val="Paragraphedeliste"/>
        <w:numPr>
          <w:ilvl w:val="0"/>
          <w:numId w:val="6"/>
        </w:numPr>
        <w:jc w:val="both"/>
        <w:rPr>
          <w:rFonts w:ascii="Georgia" w:hAnsi="Georgia"/>
        </w:rPr>
      </w:pPr>
      <w:r w:rsidRPr="006F7C74">
        <w:rPr>
          <w:rFonts w:ascii="Georgia" w:hAnsi="Georgia" w:cs="Arial"/>
          <w:color w:val="000000"/>
        </w:rPr>
        <w:t xml:space="preserve">Les régions prioritaires : </w:t>
      </w:r>
      <w:r w:rsidR="00FA463F" w:rsidRPr="006F7C74">
        <w:rPr>
          <w:rFonts w:ascii="Georgia" w:hAnsi="Georgia" w:cs="Arial"/>
          <w:color w:val="000000"/>
        </w:rPr>
        <w:t>Boké et Kankan</w:t>
      </w:r>
    </w:p>
    <w:p w14:paraId="603776A8" w14:textId="3C53358C" w:rsidR="00FA463F" w:rsidRPr="000F3318" w:rsidRDefault="006F7C74" w:rsidP="00D85E97">
      <w:pPr>
        <w:pStyle w:val="Paragraphedeliste"/>
        <w:numPr>
          <w:ilvl w:val="0"/>
          <w:numId w:val="6"/>
        </w:numPr>
        <w:jc w:val="both"/>
        <w:rPr>
          <w:rFonts w:ascii="Georgia" w:hAnsi="Georgia"/>
        </w:rPr>
      </w:pPr>
      <w:r w:rsidRPr="006F7C74">
        <w:rPr>
          <w:rFonts w:ascii="Georgia" w:hAnsi="Georgia" w:cs="Arial"/>
          <w:color w:val="000000"/>
        </w:rPr>
        <w:t xml:space="preserve">Les cibles prioritaires pour les PS </w:t>
      </w:r>
      <w:r w:rsidR="00FA463F" w:rsidRPr="006F7C74">
        <w:rPr>
          <w:rFonts w:ascii="Georgia" w:hAnsi="Georgia" w:cs="Arial"/>
          <w:color w:val="000000"/>
        </w:rPr>
        <w:t>: Conakry, Kindia et Nzérékoré, Labé, particulièrement les « Pépinières » (un équivalent de bidonvilles dans lesquels habitent une majorité de PS + Iles de Los (pour les pêcheurs).</w:t>
      </w:r>
    </w:p>
    <w:p w14:paraId="024EBA08" w14:textId="21438173" w:rsidR="00FA463F" w:rsidRDefault="00FA463F" w:rsidP="00D85E97">
      <w:pPr>
        <w:jc w:val="both"/>
        <w:rPr>
          <w:rFonts w:ascii="Georgia" w:hAnsi="Georgia"/>
        </w:rPr>
      </w:pPr>
    </w:p>
    <w:p w14:paraId="00A3606D" w14:textId="5EB5A69E" w:rsidR="00FA463F" w:rsidRPr="006F7C74" w:rsidRDefault="00B90285" w:rsidP="000F3318">
      <w:pPr>
        <w:pStyle w:val="Titre1"/>
      </w:pPr>
      <w:r w:rsidRPr="006F7C74">
        <w:t>ACTIVITES PRIORITAIRE</w:t>
      </w:r>
      <w:r w:rsidR="006F7C74" w:rsidRPr="006F7C74">
        <w:t xml:space="preserve"> </w:t>
      </w:r>
    </w:p>
    <w:p w14:paraId="5173B362" w14:textId="77777777" w:rsidR="006F7C74" w:rsidRPr="00E33A5B" w:rsidRDefault="006F7C74" w:rsidP="000F3318">
      <w:pPr>
        <w:pStyle w:val="Titre1"/>
        <w:numPr>
          <w:ilvl w:val="0"/>
          <w:numId w:val="0"/>
        </w:numPr>
        <w:ind w:left="720"/>
        <w:rPr>
          <w:sz w:val="18"/>
          <w:szCs w:val="18"/>
        </w:rPr>
      </w:pPr>
    </w:p>
    <w:tbl>
      <w:tblPr>
        <w:tblW w:w="10062" w:type="dxa"/>
        <w:tblCellMar>
          <w:left w:w="70" w:type="dxa"/>
          <w:right w:w="70" w:type="dxa"/>
        </w:tblCellMar>
        <w:tblLook w:val="04A0" w:firstRow="1" w:lastRow="0" w:firstColumn="1" w:lastColumn="0" w:noHBand="0" w:noVBand="1"/>
      </w:tblPr>
      <w:tblGrid>
        <w:gridCol w:w="986"/>
        <w:gridCol w:w="1988"/>
        <w:gridCol w:w="4721"/>
        <w:gridCol w:w="2367"/>
      </w:tblGrid>
      <w:tr w:rsidR="00E33A5B" w:rsidRPr="00E33A5B" w14:paraId="2F3A0C9B" w14:textId="77777777" w:rsidTr="00D85E97">
        <w:trPr>
          <w:trHeight w:val="297"/>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1F403" w14:textId="77777777" w:rsidR="00753F58" w:rsidRPr="00E33A5B" w:rsidRDefault="00753F58"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Domaine</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69EB1784" w14:textId="0513E151" w:rsidR="00753F58" w:rsidRPr="00E33A5B" w:rsidRDefault="00CD344A"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Service</w:t>
            </w:r>
            <w:r w:rsidR="00881E17" w:rsidRPr="00E33A5B">
              <w:rPr>
                <w:rFonts w:ascii="Georgia" w:eastAsia="Times New Roman" w:hAnsi="Georgia" w:cs="Arial"/>
                <w:b/>
                <w:bCs/>
                <w:color w:val="000000"/>
                <w:sz w:val="18"/>
                <w:szCs w:val="18"/>
                <w:lang w:eastAsia="fr-FR"/>
              </w:rPr>
              <w:t>s</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14:paraId="7AF209AD" w14:textId="77777777" w:rsidR="00753F58" w:rsidRPr="00E33A5B" w:rsidRDefault="00753F58"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Activités</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14:paraId="326A332D" w14:textId="77777777" w:rsidR="00753F58" w:rsidRPr="00E33A5B" w:rsidRDefault="00753F58"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Cibles</w:t>
            </w:r>
          </w:p>
        </w:tc>
      </w:tr>
      <w:tr w:rsidR="00753F58" w:rsidRPr="00E33A5B" w14:paraId="3416E4AE" w14:textId="77777777" w:rsidTr="00D85E97">
        <w:trPr>
          <w:trHeight w:val="297"/>
        </w:trPr>
        <w:tc>
          <w:tcPr>
            <w:tcW w:w="10062" w:type="dxa"/>
            <w:gridSpan w:val="4"/>
            <w:tcBorders>
              <w:top w:val="single" w:sz="4" w:space="0" w:color="auto"/>
              <w:left w:val="single" w:sz="4" w:space="0" w:color="auto"/>
              <w:bottom w:val="single" w:sz="4" w:space="0" w:color="auto"/>
              <w:right w:val="single" w:sz="4" w:space="0" w:color="auto"/>
            </w:tcBorders>
            <w:shd w:val="pct12" w:color="auto" w:fill="E5E5E5"/>
            <w:vAlign w:val="center"/>
            <w:hideMark/>
          </w:tcPr>
          <w:p w14:paraId="6102662E" w14:textId="77777777" w:rsidR="00753F58" w:rsidRPr="00E33A5B" w:rsidRDefault="00753F58"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Dépistage</w:t>
            </w:r>
          </w:p>
        </w:tc>
      </w:tr>
      <w:tr w:rsidR="00D85E97" w:rsidRPr="00E33A5B" w14:paraId="33177F78" w14:textId="77777777" w:rsidTr="00E33A5B">
        <w:trPr>
          <w:trHeight w:val="670"/>
        </w:trPr>
        <w:tc>
          <w:tcPr>
            <w:tcW w:w="986" w:type="dxa"/>
            <w:tcBorders>
              <w:top w:val="nil"/>
              <w:left w:val="single" w:sz="4" w:space="0" w:color="auto"/>
              <w:bottom w:val="single" w:sz="4" w:space="0" w:color="auto"/>
              <w:right w:val="single" w:sz="4" w:space="0" w:color="auto"/>
            </w:tcBorders>
            <w:shd w:val="clear" w:color="auto" w:fill="auto"/>
            <w:vAlign w:val="center"/>
          </w:tcPr>
          <w:p w14:paraId="046546E7" w14:textId="7703B888" w:rsidR="00D85E97" w:rsidRPr="00E33A5B" w:rsidRDefault="00D85E97"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Dépistage</w:t>
            </w:r>
          </w:p>
        </w:tc>
        <w:tc>
          <w:tcPr>
            <w:tcW w:w="1988" w:type="dxa"/>
            <w:tcBorders>
              <w:top w:val="nil"/>
              <w:left w:val="nil"/>
              <w:bottom w:val="single" w:sz="4" w:space="0" w:color="auto"/>
              <w:right w:val="single" w:sz="4" w:space="0" w:color="auto"/>
            </w:tcBorders>
            <w:shd w:val="clear" w:color="auto" w:fill="auto"/>
            <w:vAlign w:val="center"/>
          </w:tcPr>
          <w:p w14:paraId="3C5DCAC9" w14:textId="6507CB00" w:rsidR="00D85E97" w:rsidRPr="00E33A5B" w:rsidRDefault="00D85E97"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Ministère de la santé</w:t>
            </w:r>
          </w:p>
        </w:tc>
        <w:tc>
          <w:tcPr>
            <w:tcW w:w="4721" w:type="dxa"/>
            <w:tcBorders>
              <w:top w:val="nil"/>
              <w:left w:val="nil"/>
              <w:bottom w:val="single" w:sz="4" w:space="0" w:color="auto"/>
              <w:right w:val="single" w:sz="4" w:space="0" w:color="auto"/>
            </w:tcBorders>
            <w:shd w:val="clear" w:color="auto" w:fill="auto"/>
            <w:vAlign w:val="center"/>
          </w:tcPr>
          <w:p w14:paraId="753943B4" w14:textId="428AE1DE" w:rsidR="00D85E97" w:rsidRPr="00E33A5B" w:rsidRDefault="00D85E97" w:rsidP="00D85E97">
            <w:pPr>
              <w:jc w:val="both"/>
              <w:rPr>
                <w:rFonts w:ascii="Georgia" w:eastAsia="Times New Roman" w:hAnsi="Georgia" w:cs="Arial"/>
                <w:sz w:val="18"/>
                <w:szCs w:val="18"/>
                <w:lang w:eastAsia="fr-FR"/>
              </w:rPr>
            </w:pPr>
            <w:r>
              <w:rPr>
                <w:rFonts w:ascii="Georgia" w:eastAsia="Times New Roman" w:hAnsi="Georgia" w:cs="Arial"/>
                <w:sz w:val="18"/>
                <w:szCs w:val="18"/>
                <w:lang w:eastAsia="fr-FR"/>
              </w:rPr>
              <w:t>Modification de l’algorithme de dépistage conformément aux recommandations de l’OMS pour les pays à faible prévalence.</w:t>
            </w:r>
          </w:p>
        </w:tc>
        <w:tc>
          <w:tcPr>
            <w:tcW w:w="2367" w:type="dxa"/>
            <w:tcBorders>
              <w:top w:val="nil"/>
              <w:left w:val="nil"/>
              <w:bottom w:val="single" w:sz="4" w:space="0" w:color="auto"/>
              <w:right w:val="single" w:sz="4" w:space="0" w:color="auto"/>
            </w:tcBorders>
            <w:shd w:val="clear" w:color="auto" w:fill="auto"/>
            <w:vAlign w:val="center"/>
          </w:tcPr>
          <w:p w14:paraId="30E7438F" w14:textId="77777777" w:rsidR="00D85E97" w:rsidRPr="00E33A5B" w:rsidRDefault="00D85E97" w:rsidP="00D85E97">
            <w:pPr>
              <w:jc w:val="both"/>
              <w:rPr>
                <w:rFonts w:ascii="Georgia" w:eastAsia="Times New Roman" w:hAnsi="Georgia" w:cs="Arial"/>
                <w:sz w:val="18"/>
                <w:szCs w:val="18"/>
                <w:lang w:eastAsia="fr-FR"/>
              </w:rPr>
            </w:pPr>
          </w:p>
        </w:tc>
      </w:tr>
      <w:tr w:rsidR="00E33A5B" w:rsidRPr="00E33A5B" w14:paraId="5520E62E" w14:textId="77777777" w:rsidTr="00E33A5B">
        <w:trPr>
          <w:trHeight w:val="670"/>
        </w:trPr>
        <w:tc>
          <w:tcPr>
            <w:tcW w:w="986" w:type="dxa"/>
            <w:tcBorders>
              <w:top w:val="nil"/>
              <w:left w:val="single" w:sz="4" w:space="0" w:color="auto"/>
              <w:bottom w:val="single" w:sz="4" w:space="0" w:color="auto"/>
              <w:right w:val="single" w:sz="4" w:space="0" w:color="auto"/>
            </w:tcBorders>
            <w:shd w:val="clear" w:color="auto" w:fill="auto"/>
            <w:vAlign w:val="center"/>
          </w:tcPr>
          <w:p w14:paraId="4B0B98C6" w14:textId="77777777" w:rsidR="00522B8B" w:rsidRPr="00E33A5B" w:rsidRDefault="00522B8B"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16F0B11C" w14:textId="2C34C31D"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Hôpitaux - CDIS</w:t>
            </w:r>
          </w:p>
        </w:tc>
        <w:tc>
          <w:tcPr>
            <w:tcW w:w="4721" w:type="dxa"/>
            <w:tcBorders>
              <w:top w:val="nil"/>
              <w:left w:val="nil"/>
              <w:bottom w:val="single" w:sz="4" w:space="0" w:color="auto"/>
              <w:right w:val="single" w:sz="4" w:space="0" w:color="auto"/>
            </w:tcBorders>
            <w:shd w:val="clear" w:color="auto" w:fill="auto"/>
            <w:vAlign w:val="center"/>
          </w:tcPr>
          <w:p w14:paraId="76961D86" w14:textId="77777777" w:rsidR="00522B8B" w:rsidRPr="00E33A5B" w:rsidRDefault="00522B8B"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o</w:t>
            </w:r>
            <w:r w:rsidRPr="00E33A5B">
              <w:rPr>
                <w:rFonts w:ascii="Georgia" w:eastAsia="Times New Roman" w:hAnsi="Georgia" w:cs="Arial"/>
                <w:sz w:val="18"/>
                <w:szCs w:val="18"/>
                <w:lang w:eastAsia="fr-FR"/>
              </w:rPr>
              <w:tab/>
              <w:t xml:space="preserve">Dans les unités hospitalières : </w:t>
            </w:r>
          </w:p>
          <w:p w14:paraId="77F78407" w14:textId="77777777" w:rsidR="00522B8B" w:rsidRPr="00E33A5B" w:rsidRDefault="00522B8B"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w:t>
            </w:r>
            <w:r w:rsidRPr="00E33A5B">
              <w:rPr>
                <w:rFonts w:ascii="Georgia" w:eastAsia="Times New Roman" w:hAnsi="Georgia" w:cs="Arial"/>
                <w:sz w:val="18"/>
                <w:szCs w:val="18"/>
                <w:lang w:eastAsia="fr-FR"/>
              </w:rPr>
              <w:tab/>
              <w:t>Proposition systématique pour les personnes vues dans les services de dermatologie, maladies infectieuses, etc.</w:t>
            </w:r>
          </w:p>
          <w:p w14:paraId="6D91058A" w14:textId="77777777" w:rsidR="00522B8B" w:rsidRPr="00E33A5B" w:rsidRDefault="00522B8B"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w:t>
            </w:r>
            <w:r w:rsidRPr="00E33A5B">
              <w:rPr>
                <w:rFonts w:ascii="Georgia" w:eastAsia="Times New Roman" w:hAnsi="Georgia" w:cs="Arial"/>
                <w:sz w:val="18"/>
                <w:szCs w:val="18"/>
                <w:lang w:eastAsia="fr-FR"/>
              </w:rPr>
              <w:tab/>
              <w:t xml:space="preserve">Proposition ciblée (symptomatique et clinique) pour les services de consultation médecine générale, </w:t>
            </w:r>
          </w:p>
          <w:p w14:paraId="2AC73619" w14:textId="6F8E68DB" w:rsidR="00522B8B" w:rsidRPr="00E33A5B" w:rsidRDefault="00522B8B"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A noter : Dans la logique de « localisation et saturation », l’accent mis sur le DCIS pourrait l’être dans un premier temps dans les régions prioritaires de Nzérékoré, Kankan et Boké.</w:t>
            </w:r>
          </w:p>
        </w:tc>
        <w:tc>
          <w:tcPr>
            <w:tcW w:w="2367" w:type="dxa"/>
            <w:tcBorders>
              <w:top w:val="nil"/>
              <w:left w:val="nil"/>
              <w:bottom w:val="single" w:sz="4" w:space="0" w:color="auto"/>
              <w:right w:val="single" w:sz="4" w:space="0" w:color="auto"/>
            </w:tcBorders>
            <w:shd w:val="clear" w:color="auto" w:fill="auto"/>
            <w:vAlign w:val="center"/>
          </w:tcPr>
          <w:p w14:paraId="37731607" w14:textId="443783BE" w:rsidR="00522B8B" w:rsidRPr="00E33A5B" w:rsidRDefault="001119F9" w:rsidP="00D85E97">
            <w:pPr>
              <w:jc w:val="both"/>
              <w:rPr>
                <w:rFonts w:ascii="Georgia" w:eastAsia="Times New Roman" w:hAnsi="Georgia" w:cs="Arial"/>
                <w:color w:val="000000"/>
                <w:sz w:val="18"/>
                <w:szCs w:val="18"/>
                <w:lang w:eastAsia="fr-FR"/>
              </w:rPr>
            </w:pPr>
            <w:r w:rsidRPr="00E33A5B">
              <w:rPr>
                <w:rFonts w:ascii="Georgia" w:eastAsia="Times New Roman" w:hAnsi="Georgia" w:cs="Arial"/>
                <w:sz w:val="18"/>
                <w:szCs w:val="18"/>
                <w:lang w:eastAsia="fr-FR"/>
              </w:rPr>
              <w:t>Régions</w:t>
            </w:r>
            <w:r w:rsidR="00522B8B" w:rsidRPr="00E33A5B">
              <w:rPr>
                <w:rFonts w:ascii="Georgia" w:eastAsia="Times New Roman" w:hAnsi="Georgia" w:cs="Arial"/>
                <w:sz w:val="18"/>
                <w:szCs w:val="18"/>
                <w:lang w:eastAsia="fr-FR"/>
              </w:rPr>
              <w:t xml:space="preserve"> prioritaires de Nzérékoré, Kankan et Boké.</w:t>
            </w:r>
          </w:p>
        </w:tc>
      </w:tr>
      <w:tr w:rsidR="00E33A5B" w:rsidRPr="00E33A5B" w14:paraId="286B714E" w14:textId="77777777" w:rsidTr="00E33A5B">
        <w:trPr>
          <w:trHeight w:val="67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6D4FA540" w14:textId="10A6BC41" w:rsidR="00753F58" w:rsidRPr="00E33A5B" w:rsidRDefault="00753F58"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hideMark/>
          </w:tcPr>
          <w:p w14:paraId="23837160" w14:textId="77777777"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CDT</w:t>
            </w:r>
          </w:p>
        </w:tc>
        <w:tc>
          <w:tcPr>
            <w:tcW w:w="4721" w:type="dxa"/>
            <w:tcBorders>
              <w:top w:val="nil"/>
              <w:left w:val="nil"/>
              <w:bottom w:val="single" w:sz="4" w:space="0" w:color="auto"/>
              <w:right w:val="single" w:sz="4" w:space="0" w:color="auto"/>
            </w:tcBorders>
            <w:shd w:val="clear" w:color="auto" w:fill="auto"/>
            <w:vAlign w:val="center"/>
            <w:hideMark/>
          </w:tcPr>
          <w:p w14:paraId="04A143B9" w14:textId="1793E858" w:rsidR="00753F58" w:rsidRPr="00E33A5B" w:rsidRDefault="00753F58"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Intégration du dépistage VIH dans tous les CDT et offre systématique</w:t>
            </w:r>
            <w:r w:rsidR="001119F9" w:rsidRPr="00E33A5B">
              <w:rPr>
                <w:rFonts w:ascii="Georgia" w:eastAsia="Times New Roman" w:hAnsi="Georgia" w:cs="Arial"/>
                <w:sz w:val="18"/>
                <w:szCs w:val="18"/>
                <w:lang w:eastAsia="fr-FR"/>
              </w:rPr>
              <w:t>.  (Tests disponibles, formation sur le conseils pré</w:t>
            </w:r>
            <w:r w:rsidR="00881E17" w:rsidRPr="00E33A5B">
              <w:rPr>
                <w:rFonts w:ascii="Georgia" w:eastAsia="Times New Roman" w:hAnsi="Georgia" w:cs="Arial"/>
                <w:sz w:val="18"/>
                <w:szCs w:val="18"/>
                <w:lang w:eastAsia="fr-FR"/>
              </w:rPr>
              <w:t>/post</w:t>
            </w:r>
            <w:r w:rsidR="001119F9" w:rsidRPr="00E33A5B">
              <w:rPr>
                <w:rFonts w:ascii="Georgia" w:eastAsia="Times New Roman" w:hAnsi="Georgia" w:cs="Arial"/>
                <w:sz w:val="18"/>
                <w:szCs w:val="18"/>
                <w:lang w:eastAsia="fr-FR"/>
              </w:rPr>
              <w:t>-test</w:t>
            </w:r>
            <w:r w:rsidR="00881E17" w:rsidRPr="00E33A5B">
              <w:rPr>
                <w:rFonts w:ascii="Georgia" w:eastAsia="Times New Roman" w:hAnsi="Georgia" w:cs="Arial"/>
                <w:sz w:val="18"/>
                <w:szCs w:val="18"/>
                <w:lang w:eastAsia="fr-FR"/>
              </w:rPr>
              <w:t>)</w:t>
            </w:r>
          </w:p>
        </w:tc>
        <w:tc>
          <w:tcPr>
            <w:tcW w:w="2367" w:type="dxa"/>
            <w:tcBorders>
              <w:top w:val="nil"/>
              <w:left w:val="nil"/>
              <w:bottom w:val="single" w:sz="4" w:space="0" w:color="auto"/>
              <w:right w:val="single" w:sz="4" w:space="0" w:color="auto"/>
            </w:tcBorders>
            <w:shd w:val="clear" w:color="auto" w:fill="auto"/>
            <w:vAlign w:val="center"/>
            <w:hideMark/>
          </w:tcPr>
          <w:p w14:paraId="40BEF1C3" w14:textId="77777777" w:rsidR="00CA3ACB" w:rsidRPr="00E33A5B" w:rsidRDefault="00CA3AC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62 CDT fonctionnels</w:t>
            </w:r>
          </w:p>
          <w:p w14:paraId="784D9470" w14:textId="053A56E5" w:rsidR="00CA3ACB" w:rsidRPr="00E33A5B" w:rsidRDefault="00CA3AC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9 nouveaux en construction.</w:t>
            </w:r>
          </w:p>
          <w:p w14:paraId="39AFCD80" w14:textId="38BFD23C" w:rsidR="00753F58" w:rsidRPr="00E33A5B" w:rsidRDefault="00881E17"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Patients TB.  </w:t>
            </w:r>
            <w:r w:rsidR="006F7C74" w:rsidRPr="00E33A5B">
              <w:rPr>
                <w:rFonts w:ascii="Georgia" w:eastAsia="Times New Roman" w:hAnsi="Georgia" w:cs="Arial"/>
                <w:color w:val="000000"/>
                <w:sz w:val="18"/>
                <w:szCs w:val="18"/>
                <w:lang w:eastAsia="fr-FR"/>
              </w:rPr>
              <w:t>Coïnfection</w:t>
            </w:r>
            <w:r w:rsidRPr="00E33A5B">
              <w:rPr>
                <w:rFonts w:ascii="Georgia" w:eastAsia="Times New Roman" w:hAnsi="Georgia" w:cs="Arial"/>
                <w:color w:val="000000"/>
                <w:sz w:val="18"/>
                <w:szCs w:val="18"/>
                <w:lang w:eastAsia="fr-FR"/>
              </w:rPr>
              <w:t>.</w:t>
            </w:r>
          </w:p>
        </w:tc>
      </w:tr>
      <w:tr w:rsidR="00E33A5B" w:rsidRPr="00E33A5B" w14:paraId="368A6850" w14:textId="77777777" w:rsidTr="00E33A5B">
        <w:trPr>
          <w:trHeight w:val="1142"/>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3CE693F4" w14:textId="53447B48"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74C6D094" w14:textId="648CEA6E"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Centres PEC / CDV</w:t>
            </w:r>
            <w:r w:rsidR="00881E17" w:rsidRPr="00E33A5B">
              <w:rPr>
                <w:rFonts w:ascii="Georgia" w:eastAsia="Times New Roman" w:hAnsi="Georgia" w:cs="Arial"/>
                <w:color w:val="000000"/>
                <w:sz w:val="18"/>
                <w:szCs w:val="18"/>
                <w:lang w:eastAsia="fr-FR"/>
              </w:rPr>
              <w:t xml:space="preserve"> / CDT-PEC</w:t>
            </w:r>
          </w:p>
        </w:tc>
        <w:tc>
          <w:tcPr>
            <w:tcW w:w="4721" w:type="dxa"/>
            <w:tcBorders>
              <w:top w:val="nil"/>
              <w:left w:val="nil"/>
              <w:bottom w:val="single" w:sz="4" w:space="0" w:color="auto"/>
              <w:right w:val="single" w:sz="4" w:space="0" w:color="auto"/>
            </w:tcBorders>
            <w:shd w:val="clear" w:color="auto" w:fill="auto"/>
            <w:vAlign w:val="center"/>
            <w:hideMark/>
          </w:tcPr>
          <w:p w14:paraId="0A3CAEE9" w14:textId="51DAB4AA" w:rsidR="00753F58" w:rsidRPr="00E33A5B" w:rsidRDefault="00753F58"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Offre systématique du dépistage index (partenaires(s), enfant (s)</w:t>
            </w:r>
            <w:r w:rsidR="002B76E8" w:rsidRPr="00E33A5B">
              <w:rPr>
                <w:rFonts w:ascii="Georgia" w:eastAsia="Times New Roman" w:hAnsi="Georgia" w:cs="Arial"/>
                <w:sz w:val="18"/>
                <w:szCs w:val="18"/>
                <w:lang w:eastAsia="fr-FR"/>
              </w:rPr>
              <w:t>)</w:t>
            </w:r>
            <w:r w:rsidRPr="00E33A5B">
              <w:rPr>
                <w:rFonts w:ascii="Georgia" w:eastAsia="Times New Roman" w:hAnsi="Georgia" w:cs="Arial"/>
                <w:sz w:val="18"/>
                <w:szCs w:val="18"/>
                <w:lang w:eastAsia="fr-FR"/>
              </w:rPr>
              <w:t xml:space="preserve"> dans les sites </w:t>
            </w:r>
            <w:r w:rsidR="00881E17" w:rsidRPr="00E33A5B">
              <w:rPr>
                <w:rFonts w:ascii="Georgia" w:eastAsia="Times New Roman" w:hAnsi="Georgia" w:cs="Arial"/>
                <w:sz w:val="18"/>
                <w:szCs w:val="18"/>
                <w:lang w:eastAsia="fr-FR"/>
              </w:rPr>
              <w:t xml:space="preserve">pour </w:t>
            </w:r>
            <w:r w:rsidRPr="00E33A5B">
              <w:rPr>
                <w:rFonts w:ascii="Georgia" w:eastAsia="Times New Roman" w:hAnsi="Georgia" w:cs="Arial"/>
                <w:sz w:val="18"/>
                <w:szCs w:val="18"/>
                <w:lang w:eastAsia="fr-FR"/>
              </w:rPr>
              <w:t>les personnes déjà sous traitement et les personnes nouvellement dépistées positives</w:t>
            </w:r>
            <w:r w:rsidR="00881E17" w:rsidRPr="00E33A5B">
              <w:rPr>
                <w:rFonts w:ascii="Georgia" w:eastAsia="Times New Roman" w:hAnsi="Georgia" w:cs="Arial"/>
                <w:sz w:val="18"/>
                <w:szCs w:val="18"/>
                <w:lang w:eastAsia="fr-FR"/>
              </w:rPr>
              <w:t>.</w:t>
            </w:r>
          </w:p>
        </w:tc>
        <w:tc>
          <w:tcPr>
            <w:tcW w:w="2367" w:type="dxa"/>
            <w:tcBorders>
              <w:top w:val="nil"/>
              <w:left w:val="nil"/>
              <w:bottom w:val="single" w:sz="4" w:space="0" w:color="auto"/>
              <w:right w:val="single" w:sz="4" w:space="0" w:color="auto"/>
            </w:tcBorders>
            <w:shd w:val="clear" w:color="auto" w:fill="auto"/>
            <w:vAlign w:val="center"/>
            <w:hideMark/>
          </w:tcPr>
          <w:p w14:paraId="550EDEE9" w14:textId="204530C4" w:rsidR="00753F58" w:rsidRPr="00E33A5B" w:rsidRDefault="00881E17"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Patients VIH des sites de grande cohort</w:t>
            </w:r>
            <w:r w:rsidR="001119F9" w:rsidRPr="00E33A5B">
              <w:rPr>
                <w:rFonts w:ascii="Georgia" w:eastAsia="Times New Roman" w:hAnsi="Georgia" w:cs="Arial"/>
                <w:color w:val="000000"/>
                <w:sz w:val="18"/>
                <w:szCs w:val="18"/>
                <w:lang w:eastAsia="fr-FR"/>
              </w:rPr>
              <w:t>e</w:t>
            </w:r>
            <w:r w:rsidRPr="00E33A5B">
              <w:rPr>
                <w:rFonts w:ascii="Georgia" w:eastAsia="Times New Roman" w:hAnsi="Georgia" w:cs="Arial"/>
                <w:color w:val="000000"/>
                <w:sz w:val="18"/>
                <w:szCs w:val="18"/>
                <w:lang w:eastAsia="fr-FR"/>
              </w:rPr>
              <w:t xml:space="preserve"> – 28 PEC / 66 PTME et tous les PVVIH - CDT</w:t>
            </w:r>
            <w:r w:rsidR="00872B4D" w:rsidRPr="00E33A5B">
              <w:rPr>
                <w:rFonts w:ascii="Georgia" w:eastAsia="Times New Roman" w:hAnsi="Georgia" w:cs="Arial"/>
                <w:color w:val="000000"/>
                <w:sz w:val="18"/>
                <w:szCs w:val="18"/>
                <w:lang w:eastAsia="fr-FR"/>
              </w:rPr>
              <w:t xml:space="preserve"> 62 (+9)</w:t>
            </w:r>
          </w:p>
        </w:tc>
      </w:tr>
      <w:tr w:rsidR="00E33A5B" w:rsidRPr="00E33A5B" w14:paraId="24358785" w14:textId="77777777" w:rsidTr="00E33A5B">
        <w:trPr>
          <w:trHeight w:val="818"/>
        </w:trPr>
        <w:tc>
          <w:tcPr>
            <w:tcW w:w="986" w:type="dxa"/>
            <w:tcBorders>
              <w:top w:val="nil"/>
              <w:left w:val="single" w:sz="4" w:space="0" w:color="auto"/>
              <w:bottom w:val="single" w:sz="4" w:space="0" w:color="auto"/>
              <w:right w:val="single" w:sz="4" w:space="0" w:color="auto"/>
            </w:tcBorders>
            <w:shd w:val="clear" w:color="auto" w:fill="auto"/>
            <w:vAlign w:val="center"/>
          </w:tcPr>
          <w:p w14:paraId="7DD62E8F" w14:textId="77777777" w:rsidR="00FA43F0" w:rsidRPr="00E33A5B" w:rsidRDefault="00FA43F0"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71836E47" w14:textId="77777777" w:rsidR="00AE7B2F" w:rsidRPr="00E33A5B" w:rsidRDefault="00881E17"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Services transfusion des Hôpitaux </w:t>
            </w:r>
            <w:r w:rsidR="00AE7B2F" w:rsidRPr="00E33A5B">
              <w:rPr>
                <w:rFonts w:ascii="Georgia" w:eastAsia="Times New Roman" w:hAnsi="Georgia" w:cs="Arial"/>
                <w:color w:val="000000"/>
                <w:sz w:val="18"/>
                <w:szCs w:val="18"/>
                <w:lang w:eastAsia="fr-FR"/>
              </w:rPr>
              <w:t xml:space="preserve">nationaux, </w:t>
            </w:r>
            <w:r w:rsidRPr="00E33A5B">
              <w:rPr>
                <w:rFonts w:ascii="Georgia" w:eastAsia="Times New Roman" w:hAnsi="Georgia" w:cs="Arial"/>
                <w:color w:val="000000"/>
                <w:sz w:val="18"/>
                <w:szCs w:val="18"/>
                <w:lang w:eastAsia="fr-FR"/>
              </w:rPr>
              <w:t>régionaux et préfectoraux</w:t>
            </w:r>
            <w:r w:rsidRPr="00E33A5B">
              <w:rPr>
                <w:rFonts w:ascii="Georgia" w:eastAsia="Times New Roman" w:hAnsi="Georgia" w:cs="Arial"/>
                <w:color w:val="000000"/>
                <w:sz w:val="18"/>
                <w:szCs w:val="18"/>
                <w:lang w:eastAsia="fr-FR"/>
              </w:rPr>
              <w:br/>
              <w:t>CNTS de Conakry</w:t>
            </w:r>
          </w:p>
          <w:p w14:paraId="1CC52E45" w14:textId="3056F251" w:rsidR="00FA43F0" w:rsidRPr="00E33A5B" w:rsidRDefault="00AE7B2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CMC</w:t>
            </w:r>
            <w:r w:rsidR="00881E17" w:rsidRPr="00E33A5B">
              <w:rPr>
                <w:rFonts w:ascii="Georgia" w:eastAsia="Times New Roman" w:hAnsi="Georgia" w:cs="Arial"/>
                <w:color w:val="000000"/>
                <w:sz w:val="18"/>
                <w:szCs w:val="18"/>
                <w:lang w:eastAsia="fr-FR"/>
              </w:rPr>
              <w:br/>
            </w:r>
          </w:p>
        </w:tc>
        <w:tc>
          <w:tcPr>
            <w:tcW w:w="4721" w:type="dxa"/>
            <w:tcBorders>
              <w:top w:val="nil"/>
              <w:left w:val="nil"/>
              <w:bottom w:val="single" w:sz="4" w:space="0" w:color="auto"/>
              <w:right w:val="single" w:sz="4" w:space="0" w:color="auto"/>
            </w:tcBorders>
            <w:shd w:val="clear" w:color="auto" w:fill="auto"/>
            <w:vAlign w:val="center"/>
          </w:tcPr>
          <w:p w14:paraId="2899F8D2" w14:textId="77777777" w:rsidR="00FA43F0" w:rsidRPr="00E33A5B" w:rsidRDefault="00FA43F0"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 xml:space="preserve">Intégration du dépistage </w:t>
            </w:r>
            <w:r w:rsidR="00A10211" w:rsidRPr="00E33A5B">
              <w:rPr>
                <w:rFonts w:ascii="Georgia" w:eastAsia="Times New Roman" w:hAnsi="Georgia" w:cs="Arial"/>
                <w:sz w:val="18"/>
                <w:szCs w:val="18"/>
                <w:lang w:eastAsia="fr-FR"/>
              </w:rPr>
              <w:t xml:space="preserve">et conseil a l’initiative soignant </w:t>
            </w:r>
            <w:r w:rsidRPr="00E33A5B">
              <w:rPr>
                <w:rFonts w:ascii="Georgia" w:eastAsia="Times New Roman" w:hAnsi="Georgia" w:cs="Arial"/>
                <w:sz w:val="18"/>
                <w:szCs w:val="18"/>
                <w:lang w:eastAsia="fr-FR"/>
              </w:rPr>
              <w:t>dans les centres de transfusion</w:t>
            </w:r>
          </w:p>
          <w:p w14:paraId="5DF668CC" w14:textId="77777777" w:rsidR="005E6F65" w:rsidRPr="00E33A5B" w:rsidRDefault="005E6F65"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w:t>
            </w:r>
            <w:r w:rsidRPr="00E33A5B">
              <w:rPr>
                <w:rFonts w:ascii="Georgia" w:eastAsia="Times New Roman" w:hAnsi="Georgia" w:cs="Arial"/>
                <w:sz w:val="18"/>
                <w:szCs w:val="18"/>
                <w:lang w:eastAsia="fr-FR"/>
              </w:rPr>
              <w:tab/>
              <w:t>A noter ; les centres sont déjà dotés en réactifs pour le dépistage. Deux questions :</w:t>
            </w:r>
          </w:p>
          <w:p w14:paraId="511F3DFD" w14:textId="07D7017C" w:rsidR="005E6F65" w:rsidRPr="00E33A5B" w:rsidRDefault="005E6F65"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O Formation / accompagnement du personnel pour le counseling avec proposition systématique de dépistage pour tous les donneurs.</w:t>
            </w:r>
          </w:p>
          <w:p w14:paraId="538CCC88" w14:textId="5858A9FE" w:rsidR="005E6F65" w:rsidRPr="00E33A5B" w:rsidRDefault="005E6F65" w:rsidP="00D85E97">
            <w:pPr>
              <w:jc w:val="both"/>
              <w:rPr>
                <w:rFonts w:ascii="Georgia" w:eastAsia="Times New Roman" w:hAnsi="Georgia" w:cs="Arial"/>
                <w:sz w:val="18"/>
                <w:szCs w:val="18"/>
                <w:lang w:eastAsia="fr-FR"/>
              </w:rPr>
            </w:pPr>
            <w:r w:rsidRPr="00E33A5B">
              <w:rPr>
                <w:rFonts w:ascii="Georgia" w:eastAsia="Times New Roman" w:hAnsi="Georgia" w:cs="Arial"/>
                <w:sz w:val="18"/>
                <w:szCs w:val="18"/>
                <w:lang w:eastAsia="fr-FR"/>
              </w:rPr>
              <w:t>O Mutualisation des compétences avec le personnel hospitalier lorsque l’unité de dons de sang est intégrée dans une structure hospitalière.</w:t>
            </w:r>
          </w:p>
        </w:tc>
        <w:tc>
          <w:tcPr>
            <w:tcW w:w="2367" w:type="dxa"/>
            <w:tcBorders>
              <w:top w:val="nil"/>
              <w:left w:val="nil"/>
              <w:bottom w:val="single" w:sz="4" w:space="0" w:color="auto"/>
              <w:right w:val="single" w:sz="4" w:space="0" w:color="auto"/>
            </w:tcBorders>
            <w:shd w:val="clear" w:color="auto" w:fill="auto"/>
            <w:vAlign w:val="center"/>
          </w:tcPr>
          <w:p w14:paraId="2A9E2129" w14:textId="0F6ADAEB" w:rsidR="00881E17" w:rsidRPr="00E33A5B" w:rsidRDefault="00881E17"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Donneurs de sang</w:t>
            </w:r>
          </w:p>
          <w:p w14:paraId="07E6EB3C" w14:textId="77777777" w:rsidR="00FA43F0" w:rsidRPr="00E33A5B" w:rsidRDefault="00AE7B2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1 CNTS</w:t>
            </w:r>
          </w:p>
          <w:p w14:paraId="12DC207F" w14:textId="77777777" w:rsidR="00AE7B2F" w:rsidRPr="00E33A5B" w:rsidRDefault="00AE7B2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4 Centres régionaux (Kankan, Labé, Boké et Nzérékoré)</w:t>
            </w:r>
          </w:p>
          <w:p w14:paraId="11982C73" w14:textId="2A7A0F47" w:rsidR="00AE7B2F" w:rsidRPr="00E33A5B" w:rsidRDefault="00AE7B2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2 hôpitaux régionaux</w:t>
            </w:r>
          </w:p>
          <w:p w14:paraId="72EA7318" w14:textId="3C23FC10" w:rsidR="00AE7B2F" w:rsidRPr="00E33A5B" w:rsidRDefault="00AE7B2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26 hôpitaux préfectoraux.</w:t>
            </w:r>
          </w:p>
          <w:p w14:paraId="4B89D864" w14:textId="3BD9233F" w:rsidR="00AE7B2F" w:rsidRPr="00E33A5B" w:rsidRDefault="00AE7B2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3 Centres médicaux communaux.</w:t>
            </w:r>
          </w:p>
          <w:p w14:paraId="5B8F5179" w14:textId="1D8382E1" w:rsidR="00AE7B2F" w:rsidRPr="00E33A5B" w:rsidRDefault="00AE7B2F" w:rsidP="00D85E97">
            <w:pPr>
              <w:jc w:val="both"/>
              <w:rPr>
                <w:rFonts w:ascii="Georgia" w:eastAsia="Times New Roman" w:hAnsi="Georgia" w:cs="Arial"/>
                <w:color w:val="000000"/>
                <w:sz w:val="18"/>
                <w:szCs w:val="18"/>
                <w:lang w:eastAsia="fr-FR"/>
              </w:rPr>
            </w:pPr>
          </w:p>
        </w:tc>
      </w:tr>
      <w:tr w:rsidR="007C415A" w:rsidRPr="00E33A5B" w14:paraId="7FE715CD" w14:textId="77777777" w:rsidTr="00E33A5B">
        <w:trPr>
          <w:trHeight w:val="670"/>
        </w:trPr>
        <w:tc>
          <w:tcPr>
            <w:tcW w:w="986" w:type="dxa"/>
            <w:tcBorders>
              <w:top w:val="nil"/>
              <w:left w:val="single" w:sz="4" w:space="0" w:color="auto"/>
              <w:bottom w:val="single" w:sz="4" w:space="0" w:color="auto"/>
              <w:right w:val="single" w:sz="4" w:space="0" w:color="auto"/>
            </w:tcBorders>
            <w:shd w:val="clear" w:color="auto" w:fill="auto"/>
            <w:vAlign w:val="center"/>
          </w:tcPr>
          <w:p w14:paraId="0480F6C8" w14:textId="77777777" w:rsidR="007C415A" w:rsidRPr="00E33A5B" w:rsidRDefault="007C415A"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628818BE" w14:textId="5F3C4F69" w:rsidR="007C415A" w:rsidRPr="00E33A5B" w:rsidRDefault="007C415A"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PTME</w:t>
            </w:r>
          </w:p>
        </w:tc>
        <w:tc>
          <w:tcPr>
            <w:tcW w:w="4721" w:type="dxa"/>
            <w:tcBorders>
              <w:top w:val="nil"/>
              <w:left w:val="nil"/>
              <w:bottom w:val="single" w:sz="4" w:space="0" w:color="auto"/>
              <w:right w:val="single" w:sz="4" w:space="0" w:color="auto"/>
            </w:tcBorders>
            <w:shd w:val="clear" w:color="auto" w:fill="auto"/>
            <w:vAlign w:val="center"/>
          </w:tcPr>
          <w:p w14:paraId="1A2A12CF" w14:textId="0936C6AB" w:rsidR="007C415A" w:rsidRPr="00E33A5B" w:rsidRDefault="007C415A"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Renforcement du dépistage de rattrapage en salle d’accouchement (avec une modalité pour déterminer à travers le carnet, les femmes passées par une proposition préalable de dépistage.).</w:t>
            </w:r>
          </w:p>
        </w:tc>
        <w:tc>
          <w:tcPr>
            <w:tcW w:w="2367" w:type="dxa"/>
            <w:tcBorders>
              <w:top w:val="single" w:sz="4" w:space="0" w:color="auto"/>
              <w:left w:val="nil"/>
              <w:bottom w:val="single" w:sz="4" w:space="0" w:color="auto"/>
              <w:right w:val="single" w:sz="4" w:space="0" w:color="auto"/>
            </w:tcBorders>
            <w:shd w:val="clear" w:color="auto" w:fill="auto"/>
            <w:vAlign w:val="center"/>
          </w:tcPr>
          <w:p w14:paraId="5B20443F" w14:textId="1570548E" w:rsidR="007C415A" w:rsidRPr="00E33A5B" w:rsidRDefault="007C415A"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66 sites de PTME</w:t>
            </w:r>
          </w:p>
        </w:tc>
      </w:tr>
      <w:tr w:rsidR="00E33A5B" w:rsidRPr="00E33A5B" w14:paraId="1B6F9F47" w14:textId="77777777" w:rsidTr="00E33A5B">
        <w:trPr>
          <w:trHeight w:val="67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3EA951C6" w14:textId="1644129D"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00B2EDAE" w14:textId="5940C26F" w:rsidR="00753F58"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Centres PEC/PTME avec file active enfants</w:t>
            </w:r>
          </w:p>
        </w:tc>
        <w:tc>
          <w:tcPr>
            <w:tcW w:w="4721" w:type="dxa"/>
            <w:tcBorders>
              <w:top w:val="nil"/>
              <w:left w:val="nil"/>
              <w:bottom w:val="single" w:sz="4" w:space="0" w:color="auto"/>
              <w:right w:val="single" w:sz="4" w:space="0" w:color="auto"/>
            </w:tcBorders>
            <w:shd w:val="clear" w:color="auto" w:fill="auto"/>
            <w:vAlign w:val="center"/>
            <w:hideMark/>
          </w:tcPr>
          <w:p w14:paraId="6B54CA08" w14:textId="77777777"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Proposition de dépistage systématique des fratries des enfants vivant avec le VIH sous ARV</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14:paraId="2ED779FD" w14:textId="24700E38" w:rsidR="00753F58"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Enfants</w:t>
            </w:r>
            <w:r w:rsidRPr="00E33A5B" w:rsidDel="005919EB">
              <w:rPr>
                <w:rFonts w:ascii="Georgia" w:eastAsia="Times New Roman" w:hAnsi="Georgia" w:cs="Arial"/>
                <w:color w:val="000000"/>
                <w:sz w:val="18"/>
                <w:szCs w:val="18"/>
                <w:lang w:eastAsia="fr-FR"/>
              </w:rPr>
              <w:t xml:space="preserve"> </w:t>
            </w:r>
          </w:p>
        </w:tc>
      </w:tr>
      <w:tr w:rsidR="00E33A5B" w:rsidRPr="00E33A5B" w14:paraId="0EEE82B5" w14:textId="77777777" w:rsidTr="00E33A5B">
        <w:trPr>
          <w:trHeight w:val="843"/>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2408DE7B" w14:textId="77777777"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7653D212" w14:textId="77777777" w:rsidR="00753F58" w:rsidRPr="00E33A5B" w:rsidRDefault="001119F9"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Equipe</w:t>
            </w:r>
            <w:r w:rsidR="005919EB" w:rsidRPr="00E33A5B">
              <w:rPr>
                <w:rFonts w:ascii="Georgia" w:eastAsia="Times New Roman" w:hAnsi="Georgia" w:cs="Arial"/>
                <w:color w:val="000000"/>
                <w:sz w:val="18"/>
                <w:szCs w:val="18"/>
                <w:lang w:eastAsia="fr-FR"/>
              </w:rPr>
              <w:t xml:space="preserve"> Mobile </w:t>
            </w:r>
            <w:r w:rsidRPr="00E33A5B">
              <w:rPr>
                <w:rFonts w:ascii="Georgia" w:eastAsia="Times New Roman" w:hAnsi="Georgia" w:cs="Arial"/>
                <w:color w:val="000000"/>
                <w:sz w:val="18"/>
                <w:szCs w:val="18"/>
                <w:lang w:eastAsia="fr-FR"/>
              </w:rPr>
              <w:t xml:space="preserve">de soins </w:t>
            </w:r>
          </w:p>
          <w:p w14:paraId="034BEB61" w14:textId="08AF0523" w:rsidR="00E33A5B" w:rsidRPr="00E33A5B" w:rsidRDefault="00E33A5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Unité mobile de soins</w:t>
            </w:r>
          </w:p>
        </w:tc>
        <w:tc>
          <w:tcPr>
            <w:tcW w:w="4721" w:type="dxa"/>
            <w:tcBorders>
              <w:top w:val="nil"/>
              <w:left w:val="nil"/>
              <w:bottom w:val="single" w:sz="4" w:space="0" w:color="auto"/>
              <w:right w:val="single" w:sz="4" w:space="0" w:color="auto"/>
            </w:tcBorders>
            <w:shd w:val="clear" w:color="auto" w:fill="auto"/>
            <w:vAlign w:val="center"/>
            <w:hideMark/>
          </w:tcPr>
          <w:p w14:paraId="4643A456" w14:textId="6060DDC5" w:rsidR="00753F58" w:rsidRPr="00E33A5B" w:rsidRDefault="00753F5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Création et opérationnalisation d’équipe mobile</w:t>
            </w:r>
            <w:r w:rsidR="005919EB" w:rsidRPr="00E33A5B">
              <w:rPr>
                <w:rFonts w:ascii="Georgia" w:eastAsia="Times New Roman" w:hAnsi="Georgia" w:cs="Arial"/>
                <w:color w:val="000000"/>
                <w:sz w:val="18"/>
                <w:szCs w:val="18"/>
                <w:lang w:eastAsia="fr-FR"/>
              </w:rPr>
              <w:t xml:space="preserve"> (</w:t>
            </w:r>
            <w:r w:rsidR="00E33A5B" w:rsidRPr="00E33A5B">
              <w:rPr>
                <w:rFonts w:ascii="Georgia" w:eastAsia="Times New Roman" w:hAnsi="Georgia" w:cs="Arial"/>
                <w:color w:val="000000"/>
                <w:sz w:val="18"/>
                <w:szCs w:val="18"/>
                <w:lang w:eastAsia="fr-FR"/>
              </w:rPr>
              <w:t>localisation : chambres d’</w:t>
            </w:r>
            <w:r w:rsidR="00A40E20" w:rsidRPr="00E33A5B">
              <w:rPr>
                <w:rFonts w:ascii="Georgia" w:eastAsia="Times New Roman" w:hAnsi="Georgia" w:cs="Arial"/>
                <w:color w:val="000000"/>
                <w:sz w:val="18"/>
                <w:szCs w:val="18"/>
                <w:lang w:eastAsia="fr-FR"/>
              </w:rPr>
              <w:t>hôtel</w:t>
            </w:r>
            <w:r w:rsidR="00E33A5B" w:rsidRPr="00E33A5B">
              <w:rPr>
                <w:rFonts w:ascii="Georgia" w:eastAsia="Times New Roman" w:hAnsi="Georgia" w:cs="Arial"/>
                <w:color w:val="000000"/>
                <w:sz w:val="18"/>
                <w:szCs w:val="18"/>
                <w:lang w:eastAsia="fr-FR"/>
              </w:rPr>
              <w:t>, tente, etc.</w:t>
            </w:r>
            <w:r w:rsidR="005919EB"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 xml:space="preserve"> de soins</w:t>
            </w:r>
            <w:r w:rsidR="00E33A5B" w:rsidRPr="00E33A5B">
              <w:rPr>
                <w:rFonts w:ascii="Georgia" w:eastAsia="Times New Roman" w:hAnsi="Georgia" w:cs="Arial"/>
                <w:color w:val="000000"/>
                <w:sz w:val="18"/>
                <w:szCs w:val="18"/>
                <w:lang w:eastAsia="fr-FR"/>
              </w:rPr>
              <w:t xml:space="preserve"> se déplaçant dans les </w:t>
            </w:r>
            <w:r w:rsidRPr="00E33A5B">
              <w:rPr>
                <w:rFonts w:ascii="Georgia" w:eastAsia="Times New Roman" w:hAnsi="Georgia" w:cs="Arial"/>
                <w:color w:val="000000"/>
                <w:sz w:val="18"/>
                <w:szCs w:val="18"/>
                <w:lang w:eastAsia="fr-FR"/>
              </w:rPr>
              <w:t>sites d’orpaillage et les villes à forte concentration de « points chauds ».</w:t>
            </w:r>
          </w:p>
          <w:p w14:paraId="479E9471" w14:textId="77777777" w:rsidR="00E33A5B" w:rsidRPr="00E33A5B" w:rsidRDefault="00E33A5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Une EMS est une équipe réduite avec par exemple un professionnel de santé et un / deux agents communautaires intervenants dans les lieux fréquentés par les populations clés et vulnérables en :</w:t>
            </w:r>
          </w:p>
          <w:p w14:paraId="29B18699" w14:textId="77777777" w:rsidR="00E33A5B" w:rsidRPr="00E33A5B" w:rsidRDefault="00E33A5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lastRenderedPageBreak/>
              <w:t>•</w:t>
            </w:r>
            <w:r w:rsidRPr="00E33A5B">
              <w:rPr>
                <w:rFonts w:ascii="Georgia" w:eastAsia="Times New Roman" w:hAnsi="Georgia" w:cs="Arial"/>
                <w:color w:val="000000"/>
                <w:sz w:val="18"/>
                <w:szCs w:val="18"/>
                <w:lang w:eastAsia="fr-FR"/>
              </w:rPr>
              <w:tab/>
              <w:t>Louant par exemple deux pièces dans un hôtel de passe pour faire du conseil / dépistage.</w:t>
            </w:r>
          </w:p>
          <w:p w14:paraId="310878CD" w14:textId="1A85635E" w:rsidR="005919EB" w:rsidRPr="00E33A5B" w:rsidRDefault="00E33A5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Installant une tente dans un lieu de rencontre / fréquentation pour des activités de conseil et dépistage.</w:t>
            </w:r>
          </w:p>
          <w:p w14:paraId="39447755" w14:textId="214738B2"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Renforcement du </w:t>
            </w:r>
            <w:r w:rsidR="00AE7B2F" w:rsidRPr="00E33A5B">
              <w:rPr>
                <w:rFonts w:ascii="Georgia" w:eastAsia="Times New Roman" w:hAnsi="Georgia" w:cs="Arial"/>
                <w:color w:val="000000"/>
                <w:sz w:val="18"/>
                <w:szCs w:val="18"/>
                <w:lang w:eastAsia="fr-FR"/>
              </w:rPr>
              <w:t>dépistage</w:t>
            </w:r>
            <w:r w:rsidRPr="00E33A5B">
              <w:rPr>
                <w:rFonts w:ascii="Georgia" w:eastAsia="Times New Roman" w:hAnsi="Georgia" w:cs="Arial"/>
                <w:color w:val="000000"/>
                <w:sz w:val="18"/>
                <w:szCs w:val="18"/>
                <w:lang w:eastAsia="fr-FR"/>
              </w:rPr>
              <w:t xml:space="preserve"> avec les </w:t>
            </w:r>
            <w:r w:rsidR="00AE7B2F" w:rsidRPr="00E33A5B">
              <w:rPr>
                <w:rFonts w:ascii="Georgia" w:eastAsia="Times New Roman" w:hAnsi="Georgia" w:cs="Arial"/>
                <w:color w:val="000000"/>
                <w:sz w:val="18"/>
                <w:szCs w:val="18"/>
                <w:lang w:eastAsia="fr-FR"/>
              </w:rPr>
              <w:t>unités</w:t>
            </w:r>
            <w:r w:rsidRPr="00E33A5B">
              <w:rPr>
                <w:rFonts w:ascii="Georgia" w:eastAsia="Times New Roman" w:hAnsi="Georgia" w:cs="Arial"/>
                <w:color w:val="000000"/>
                <w:sz w:val="18"/>
                <w:szCs w:val="18"/>
                <w:lang w:eastAsia="fr-FR"/>
              </w:rPr>
              <w:t xml:space="preserve"> mobiles actuellement </w:t>
            </w:r>
            <w:r w:rsidR="00AE7B2F" w:rsidRPr="00E33A5B">
              <w:rPr>
                <w:rFonts w:ascii="Georgia" w:eastAsia="Times New Roman" w:hAnsi="Georgia" w:cs="Arial"/>
                <w:color w:val="000000"/>
                <w:sz w:val="18"/>
                <w:szCs w:val="18"/>
                <w:lang w:eastAsia="fr-FR"/>
              </w:rPr>
              <w:t>déployées</w:t>
            </w:r>
            <w:r w:rsidRPr="00E33A5B">
              <w:rPr>
                <w:rFonts w:ascii="Georgia" w:eastAsia="Times New Roman" w:hAnsi="Georgia" w:cs="Arial"/>
                <w:color w:val="000000"/>
                <w:sz w:val="18"/>
                <w:szCs w:val="18"/>
                <w:lang w:eastAsia="fr-FR"/>
              </w:rPr>
              <w:t xml:space="preserve"> dans les lieux de concentration.  </w:t>
            </w:r>
          </w:p>
          <w:p w14:paraId="1291A1C9" w14:textId="3BA370FF" w:rsidR="005919EB" w:rsidRPr="00E33A5B" w:rsidRDefault="005919EB" w:rsidP="00D85E97">
            <w:pPr>
              <w:jc w:val="both"/>
              <w:rPr>
                <w:rFonts w:ascii="Georgia" w:eastAsia="Times New Roman" w:hAnsi="Georgia" w:cs="Arial"/>
                <w:color w:val="000000"/>
                <w:sz w:val="18"/>
                <w:szCs w:val="18"/>
                <w:lang w:eastAsia="fr-FR"/>
              </w:rPr>
            </w:pPr>
          </w:p>
        </w:tc>
        <w:tc>
          <w:tcPr>
            <w:tcW w:w="2367" w:type="dxa"/>
            <w:tcBorders>
              <w:top w:val="nil"/>
              <w:left w:val="nil"/>
              <w:bottom w:val="single" w:sz="4" w:space="0" w:color="auto"/>
              <w:right w:val="single" w:sz="4" w:space="0" w:color="auto"/>
            </w:tcBorders>
            <w:shd w:val="clear" w:color="auto" w:fill="auto"/>
            <w:vAlign w:val="center"/>
            <w:hideMark/>
          </w:tcPr>
          <w:p w14:paraId="2133F000" w14:textId="40C3CD4D" w:rsidR="00753F58"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lastRenderedPageBreak/>
              <w:t>Mineurs et PS en Boké et Kankan</w:t>
            </w:r>
          </w:p>
          <w:p w14:paraId="4FB7DDC7" w14:textId="77777777" w:rsidR="005919EB" w:rsidRPr="00E33A5B" w:rsidRDefault="005919EB" w:rsidP="00D85E97">
            <w:pPr>
              <w:jc w:val="both"/>
              <w:rPr>
                <w:rFonts w:ascii="Georgia" w:eastAsia="Times New Roman" w:hAnsi="Georgia" w:cs="Arial"/>
                <w:color w:val="000000"/>
                <w:sz w:val="18"/>
                <w:szCs w:val="18"/>
                <w:lang w:eastAsia="fr-FR"/>
              </w:rPr>
            </w:pPr>
          </w:p>
          <w:p w14:paraId="0A350D48" w14:textId="77777777" w:rsidR="005919EB" w:rsidRPr="00E33A5B" w:rsidRDefault="005919EB" w:rsidP="00D85E97">
            <w:pPr>
              <w:jc w:val="both"/>
              <w:rPr>
                <w:rFonts w:ascii="Georgia" w:eastAsia="Times New Roman" w:hAnsi="Georgia" w:cs="Arial"/>
                <w:color w:val="000000"/>
                <w:sz w:val="18"/>
                <w:szCs w:val="18"/>
                <w:lang w:eastAsia="fr-FR"/>
              </w:rPr>
            </w:pPr>
          </w:p>
          <w:p w14:paraId="5219A3E6" w14:textId="77777777" w:rsidR="005919EB" w:rsidRPr="00E33A5B" w:rsidRDefault="005919EB" w:rsidP="00D85E97">
            <w:pPr>
              <w:jc w:val="both"/>
              <w:rPr>
                <w:rFonts w:ascii="Georgia" w:eastAsia="Times New Roman" w:hAnsi="Georgia" w:cs="Arial"/>
                <w:color w:val="000000"/>
                <w:sz w:val="18"/>
                <w:szCs w:val="18"/>
                <w:lang w:eastAsia="fr-FR"/>
              </w:rPr>
            </w:pPr>
          </w:p>
          <w:p w14:paraId="77F862AD" w14:textId="6644F6CF"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HSH, PS, Pécheurs Routiers</w:t>
            </w:r>
          </w:p>
        </w:tc>
      </w:tr>
      <w:tr w:rsidR="00E33A5B" w:rsidRPr="00E33A5B" w14:paraId="2A3C7FA9" w14:textId="77777777" w:rsidTr="00E33A5B">
        <w:trPr>
          <w:trHeight w:val="1023"/>
        </w:trPr>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14:paraId="5A4C8289" w14:textId="7BAE9C35" w:rsidR="005919EB" w:rsidRPr="00E33A5B" w:rsidRDefault="005919EB" w:rsidP="00D85E97">
            <w:pPr>
              <w:jc w:val="both"/>
              <w:rPr>
                <w:rFonts w:ascii="Georgia" w:eastAsia="Times New Roman" w:hAnsi="Georgia" w:cs="Arial"/>
                <w:color w:val="000000"/>
                <w:sz w:val="18"/>
                <w:szCs w:val="18"/>
                <w:highlight w:val="yellow"/>
                <w:lang w:eastAsia="fr-FR"/>
              </w:rPr>
            </w:pP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14:paraId="4438B6F5" w14:textId="3240725D" w:rsidR="005919EB" w:rsidRPr="000F3318" w:rsidRDefault="005919EB"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 xml:space="preserve">Prisons </w:t>
            </w:r>
          </w:p>
        </w:tc>
        <w:tc>
          <w:tcPr>
            <w:tcW w:w="4721" w:type="dxa"/>
            <w:vMerge w:val="restart"/>
            <w:tcBorders>
              <w:top w:val="nil"/>
              <w:left w:val="single" w:sz="4" w:space="0" w:color="auto"/>
              <w:bottom w:val="single" w:sz="4" w:space="0" w:color="auto"/>
              <w:right w:val="single" w:sz="4" w:space="0" w:color="auto"/>
            </w:tcBorders>
            <w:shd w:val="clear" w:color="auto" w:fill="auto"/>
            <w:vAlign w:val="center"/>
            <w:hideMark/>
          </w:tcPr>
          <w:p w14:paraId="1912BAAE" w14:textId="77777777" w:rsidR="005919EB" w:rsidRPr="000F3318" w:rsidRDefault="005919EB"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Proposition systématique de dépistage à l’entrée et à la sortie des prisons</w:t>
            </w:r>
          </w:p>
          <w:p w14:paraId="0250ED7E" w14:textId="77777777" w:rsidR="005E6F65" w:rsidRPr="000F3318" w:rsidRDefault="005E6F65" w:rsidP="00D85E97">
            <w:pPr>
              <w:jc w:val="both"/>
              <w:rPr>
                <w:rFonts w:ascii="Georgia" w:eastAsia="Times New Roman" w:hAnsi="Georgia" w:cs="Arial"/>
                <w:color w:val="000000"/>
                <w:sz w:val="18"/>
                <w:szCs w:val="18"/>
                <w:lang w:eastAsia="fr-FR"/>
              </w:rPr>
            </w:pPr>
          </w:p>
          <w:p w14:paraId="0486F050" w14:textId="30F1D089"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 xml:space="preserve">Cette proposition est à croiser avec </w:t>
            </w:r>
          </w:p>
          <w:p w14:paraId="47BDCE55" w14:textId="0D30F534"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•La possibilité d’un screening TB pour les PPL</w:t>
            </w:r>
          </w:p>
          <w:p w14:paraId="57A15F3B" w14:textId="4863E161"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•Le renforcement de l’accès des PPL aux soins avec la création d’infirmeries pénitentiaires.</w:t>
            </w:r>
          </w:p>
          <w:p w14:paraId="64CF37CB" w14:textId="7815073C"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•Point à documenter :</w:t>
            </w:r>
          </w:p>
          <w:p w14:paraId="7C9C4D05" w14:textId="77777777"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o</w:t>
            </w:r>
            <w:r w:rsidRPr="000F3318">
              <w:rPr>
                <w:rFonts w:ascii="Georgia" w:eastAsia="Times New Roman" w:hAnsi="Georgia" w:cs="Arial"/>
                <w:color w:val="000000"/>
                <w:sz w:val="18"/>
                <w:szCs w:val="18"/>
                <w:lang w:eastAsia="fr-FR"/>
              </w:rPr>
              <w:tab/>
              <w:t>Taille de la population carcérale</w:t>
            </w:r>
          </w:p>
          <w:p w14:paraId="1343B6B3" w14:textId="5E60B64E"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o</w:t>
            </w:r>
            <w:r w:rsidR="001119F9" w:rsidRPr="000F3318">
              <w:rPr>
                <w:rFonts w:ascii="Georgia" w:eastAsia="Times New Roman" w:hAnsi="Georgia" w:cs="Arial"/>
                <w:color w:val="000000"/>
                <w:sz w:val="18"/>
                <w:szCs w:val="18"/>
                <w:lang w:eastAsia="fr-FR"/>
              </w:rPr>
              <w:t xml:space="preserve"> </w:t>
            </w:r>
            <w:r w:rsidRPr="000F3318">
              <w:rPr>
                <w:rFonts w:ascii="Georgia" w:eastAsia="Times New Roman" w:hAnsi="Georgia" w:cs="Arial"/>
                <w:color w:val="000000"/>
                <w:sz w:val="18"/>
                <w:szCs w:val="18"/>
                <w:lang w:eastAsia="fr-FR"/>
              </w:rPr>
              <w:t>Gouvernance de la santé dans les lieux de privation de liberté : Ministère de l’intérieur, de la santé ?</w:t>
            </w:r>
          </w:p>
          <w:p w14:paraId="27C4AA80" w14:textId="3F3EBA62"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o</w:t>
            </w:r>
            <w:r w:rsidR="001119F9" w:rsidRPr="000F3318">
              <w:rPr>
                <w:rFonts w:ascii="Georgia" w:eastAsia="Times New Roman" w:hAnsi="Georgia" w:cs="Arial"/>
                <w:color w:val="000000"/>
                <w:sz w:val="18"/>
                <w:szCs w:val="18"/>
                <w:lang w:eastAsia="fr-FR"/>
              </w:rPr>
              <w:t xml:space="preserve"> </w:t>
            </w:r>
            <w:r w:rsidRPr="000F3318">
              <w:rPr>
                <w:rFonts w:ascii="Georgia" w:eastAsia="Times New Roman" w:hAnsi="Georgia" w:cs="Arial"/>
                <w:color w:val="000000"/>
                <w:sz w:val="18"/>
                <w:szCs w:val="18"/>
                <w:lang w:eastAsia="fr-FR"/>
              </w:rPr>
              <w:t>Existence d’un accord-cadre entre les intervenants ?</w:t>
            </w:r>
          </w:p>
          <w:p w14:paraId="4ECFB224" w14:textId="64811897" w:rsidR="005E6F65" w:rsidRPr="000F3318" w:rsidRDefault="005E6F65"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o</w:t>
            </w:r>
            <w:r w:rsidR="001119F9" w:rsidRPr="000F3318">
              <w:rPr>
                <w:rFonts w:ascii="Georgia" w:eastAsia="Times New Roman" w:hAnsi="Georgia" w:cs="Arial"/>
                <w:color w:val="000000"/>
                <w:sz w:val="18"/>
                <w:szCs w:val="18"/>
                <w:lang w:eastAsia="fr-FR"/>
              </w:rPr>
              <w:t xml:space="preserve"> </w:t>
            </w:r>
            <w:r w:rsidRPr="000F3318">
              <w:rPr>
                <w:rFonts w:ascii="Georgia" w:eastAsia="Times New Roman" w:hAnsi="Georgia" w:cs="Arial"/>
                <w:color w:val="000000"/>
                <w:sz w:val="18"/>
                <w:szCs w:val="18"/>
                <w:lang w:eastAsia="fr-FR"/>
              </w:rPr>
              <w:t>Intégration d’interventions Paludisme, TB et VIH ?</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14:paraId="10F1E074" w14:textId="2E465E28" w:rsidR="005919EB" w:rsidRPr="000F3318" w:rsidRDefault="00AE7B2F"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Populations Privées de Liberté</w:t>
            </w:r>
          </w:p>
        </w:tc>
      </w:tr>
      <w:tr w:rsidR="00E33A5B" w:rsidRPr="00E33A5B" w14:paraId="40E64FC8" w14:textId="77777777" w:rsidTr="00E33A5B">
        <w:trPr>
          <w:trHeight w:val="272"/>
        </w:trPr>
        <w:tc>
          <w:tcPr>
            <w:tcW w:w="986" w:type="dxa"/>
            <w:vMerge/>
            <w:tcBorders>
              <w:top w:val="nil"/>
              <w:left w:val="single" w:sz="4" w:space="0" w:color="auto"/>
              <w:bottom w:val="single" w:sz="4" w:space="0" w:color="auto"/>
              <w:right w:val="single" w:sz="4" w:space="0" w:color="auto"/>
            </w:tcBorders>
            <w:vAlign w:val="center"/>
            <w:hideMark/>
          </w:tcPr>
          <w:p w14:paraId="6DFA2EBD" w14:textId="77777777" w:rsidR="005919EB" w:rsidRPr="00E33A5B" w:rsidRDefault="005919EB" w:rsidP="00D85E97">
            <w:pPr>
              <w:jc w:val="both"/>
              <w:rPr>
                <w:rFonts w:ascii="Georgia" w:eastAsia="Times New Roman" w:hAnsi="Georgia" w:cs="Arial"/>
                <w:color w:val="000000"/>
                <w:sz w:val="18"/>
                <w:szCs w:val="18"/>
                <w:lang w:eastAsia="fr-FR"/>
              </w:rPr>
            </w:pPr>
          </w:p>
        </w:tc>
        <w:tc>
          <w:tcPr>
            <w:tcW w:w="1988" w:type="dxa"/>
            <w:vMerge/>
            <w:tcBorders>
              <w:top w:val="nil"/>
              <w:left w:val="single" w:sz="4" w:space="0" w:color="auto"/>
              <w:bottom w:val="single" w:sz="4" w:space="0" w:color="auto"/>
              <w:right w:val="single" w:sz="4" w:space="0" w:color="auto"/>
            </w:tcBorders>
            <w:vAlign w:val="center"/>
            <w:hideMark/>
          </w:tcPr>
          <w:p w14:paraId="31DFF947" w14:textId="77777777" w:rsidR="005919EB" w:rsidRPr="00E33A5B" w:rsidRDefault="005919EB" w:rsidP="00D85E97">
            <w:pPr>
              <w:jc w:val="both"/>
              <w:rPr>
                <w:rFonts w:ascii="Georgia" w:eastAsia="Times New Roman" w:hAnsi="Georgia" w:cs="Arial"/>
                <w:color w:val="000000"/>
                <w:sz w:val="18"/>
                <w:szCs w:val="18"/>
                <w:lang w:eastAsia="fr-FR"/>
              </w:rPr>
            </w:pPr>
          </w:p>
        </w:tc>
        <w:tc>
          <w:tcPr>
            <w:tcW w:w="4721" w:type="dxa"/>
            <w:vMerge/>
            <w:tcBorders>
              <w:top w:val="nil"/>
              <w:left w:val="single" w:sz="4" w:space="0" w:color="auto"/>
              <w:bottom w:val="single" w:sz="4" w:space="0" w:color="auto"/>
              <w:right w:val="single" w:sz="4" w:space="0" w:color="auto"/>
            </w:tcBorders>
            <w:vAlign w:val="center"/>
            <w:hideMark/>
          </w:tcPr>
          <w:p w14:paraId="786AF2EE" w14:textId="77777777" w:rsidR="005919EB" w:rsidRPr="00E33A5B" w:rsidRDefault="005919EB" w:rsidP="00D85E97">
            <w:pPr>
              <w:jc w:val="both"/>
              <w:rPr>
                <w:rFonts w:ascii="Georgia" w:eastAsia="Times New Roman" w:hAnsi="Georgia" w:cs="Arial"/>
                <w:color w:val="000000"/>
                <w:sz w:val="18"/>
                <w:szCs w:val="18"/>
                <w:lang w:eastAsia="fr-FR"/>
              </w:rPr>
            </w:pPr>
          </w:p>
        </w:tc>
        <w:tc>
          <w:tcPr>
            <w:tcW w:w="2367" w:type="dxa"/>
            <w:vMerge/>
            <w:tcBorders>
              <w:top w:val="nil"/>
              <w:left w:val="single" w:sz="4" w:space="0" w:color="auto"/>
              <w:bottom w:val="single" w:sz="4" w:space="0" w:color="auto"/>
              <w:right w:val="single" w:sz="4" w:space="0" w:color="auto"/>
            </w:tcBorders>
            <w:vAlign w:val="center"/>
            <w:hideMark/>
          </w:tcPr>
          <w:p w14:paraId="39F68202" w14:textId="77777777" w:rsidR="005919EB" w:rsidRPr="00E33A5B" w:rsidRDefault="005919EB" w:rsidP="00D85E97">
            <w:pPr>
              <w:jc w:val="both"/>
              <w:rPr>
                <w:rFonts w:ascii="Georgia" w:eastAsia="Times New Roman" w:hAnsi="Georgia" w:cs="Arial"/>
                <w:color w:val="000000"/>
                <w:sz w:val="18"/>
                <w:szCs w:val="18"/>
                <w:lang w:eastAsia="fr-FR"/>
              </w:rPr>
            </w:pPr>
          </w:p>
        </w:tc>
      </w:tr>
      <w:tr w:rsidR="00E33A5B" w:rsidRPr="00E33A5B" w14:paraId="3BA14C33" w14:textId="77777777" w:rsidTr="00E33A5B">
        <w:trPr>
          <w:trHeight w:val="818"/>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5E8F8951"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4393C437" w14:textId="79F5ACA4"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HFU - Garisons</w:t>
            </w:r>
          </w:p>
        </w:tc>
        <w:tc>
          <w:tcPr>
            <w:tcW w:w="4721" w:type="dxa"/>
            <w:tcBorders>
              <w:top w:val="nil"/>
              <w:left w:val="nil"/>
              <w:bottom w:val="single" w:sz="4" w:space="0" w:color="auto"/>
              <w:right w:val="single" w:sz="4" w:space="0" w:color="auto"/>
            </w:tcBorders>
            <w:shd w:val="clear" w:color="auto" w:fill="auto"/>
            <w:vAlign w:val="center"/>
            <w:hideMark/>
          </w:tcPr>
          <w:p w14:paraId="16DB3904"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Proposition de dépistage dans les infirmeries des garnisons du pays</w:t>
            </w:r>
          </w:p>
        </w:tc>
        <w:tc>
          <w:tcPr>
            <w:tcW w:w="2367" w:type="dxa"/>
            <w:tcBorders>
              <w:top w:val="nil"/>
              <w:left w:val="nil"/>
              <w:bottom w:val="single" w:sz="4" w:space="0" w:color="auto"/>
              <w:right w:val="single" w:sz="4" w:space="0" w:color="auto"/>
            </w:tcBorders>
            <w:shd w:val="clear" w:color="auto" w:fill="auto"/>
            <w:vAlign w:val="center"/>
            <w:hideMark/>
          </w:tcPr>
          <w:p w14:paraId="7327096B"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Hommes et femmes en uniforme (convention Ministère de la défense, formation des personnels, approvisionnement).</w:t>
            </w:r>
          </w:p>
        </w:tc>
      </w:tr>
      <w:tr w:rsidR="00E33A5B" w:rsidRPr="00E33A5B" w14:paraId="663656AB" w14:textId="77777777" w:rsidTr="00E33A5B">
        <w:trPr>
          <w:trHeight w:val="701"/>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35F523F5"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18714945" w14:textId="21EEC278" w:rsidR="005919EB" w:rsidRPr="00E33A5B" w:rsidRDefault="00044560" w:rsidP="00D85E97">
            <w:pPr>
              <w:jc w:val="both"/>
              <w:rPr>
                <w:rFonts w:ascii="Georgia" w:eastAsia="Times New Roman" w:hAnsi="Georgia" w:cs="Times New Roman"/>
                <w:color w:val="0563C1"/>
                <w:sz w:val="18"/>
                <w:szCs w:val="18"/>
                <w:lang w:eastAsia="fr-FR"/>
              </w:rPr>
            </w:pPr>
            <w:r w:rsidRPr="00E33A5B">
              <w:rPr>
                <w:rFonts w:ascii="Georgia" w:eastAsia="Times New Roman" w:hAnsi="Georgia" w:cs="Times New Roman"/>
                <w:sz w:val="18"/>
                <w:szCs w:val="18"/>
                <w:lang w:eastAsia="fr-FR"/>
              </w:rPr>
              <w:t>66 Sites de PTME</w:t>
            </w:r>
          </w:p>
        </w:tc>
        <w:tc>
          <w:tcPr>
            <w:tcW w:w="4721" w:type="dxa"/>
            <w:tcBorders>
              <w:top w:val="nil"/>
              <w:left w:val="nil"/>
              <w:bottom w:val="single" w:sz="4" w:space="0" w:color="auto"/>
              <w:right w:val="single" w:sz="4" w:space="0" w:color="auto"/>
            </w:tcBorders>
            <w:shd w:val="clear" w:color="auto" w:fill="auto"/>
            <w:vAlign w:val="center"/>
            <w:hideMark/>
          </w:tcPr>
          <w:p w14:paraId="761B048D"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Mettre à l'échelle la PTME de rattrapage (salle d'accouchement et post-partum)</w:t>
            </w:r>
          </w:p>
          <w:p w14:paraId="2D013179" w14:textId="77777777" w:rsidR="005E6F65" w:rsidRPr="00E33A5B" w:rsidRDefault="005E6F65" w:rsidP="00D85E97">
            <w:pPr>
              <w:jc w:val="both"/>
              <w:rPr>
                <w:rFonts w:ascii="Georgia" w:eastAsia="Times New Roman" w:hAnsi="Georgia" w:cs="Arial"/>
                <w:color w:val="000000"/>
                <w:sz w:val="18"/>
                <w:szCs w:val="18"/>
                <w:lang w:eastAsia="fr-FR"/>
              </w:rPr>
            </w:pPr>
          </w:p>
          <w:p w14:paraId="520C698C" w14:textId="77777777"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Dépistage de « rattrapage » en salle d’accouchement ou de post-partum pour les femmes qui ne sont pas passées par la CPN.</w:t>
            </w:r>
          </w:p>
          <w:p w14:paraId="4D1498AF" w14:textId="413A0B88"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UNICEF a partagé une expérience pour améliore l’identification des femmes n’ayant pas fait l’objet d’une proposition de dépistage avec la mise en place soit d’un nouveau carnet des visites incluant le renseignement d’une case relative à la proposition de dépistage, soit l’agrafage sur les carnets actuels d’un document informant du passage par la porte « proposition de dépistage ».</w:t>
            </w:r>
          </w:p>
        </w:tc>
        <w:tc>
          <w:tcPr>
            <w:tcW w:w="2367" w:type="dxa"/>
            <w:tcBorders>
              <w:top w:val="nil"/>
              <w:left w:val="nil"/>
              <w:bottom w:val="single" w:sz="4" w:space="0" w:color="auto"/>
              <w:right w:val="single" w:sz="4" w:space="0" w:color="auto"/>
            </w:tcBorders>
            <w:shd w:val="clear" w:color="auto" w:fill="auto"/>
            <w:vAlign w:val="center"/>
            <w:hideMark/>
          </w:tcPr>
          <w:p w14:paraId="2A324964"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Centres prioritaires (suite à l’évaluation des 66 sites PTME les plus importants).</w:t>
            </w:r>
          </w:p>
        </w:tc>
      </w:tr>
      <w:tr w:rsidR="00E33A5B" w:rsidRPr="00E33A5B" w14:paraId="52E4416D" w14:textId="77777777" w:rsidTr="006F7C74">
        <w:trPr>
          <w:trHeight w:val="641"/>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DA7DA0D"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3B650F32" w14:textId="0466BBB3" w:rsidR="005919EB" w:rsidRPr="00E33A5B" w:rsidRDefault="00044560"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66 sites </w:t>
            </w:r>
            <w:r w:rsidR="005919EB" w:rsidRPr="00E33A5B">
              <w:rPr>
                <w:rFonts w:ascii="Georgia" w:eastAsia="Times New Roman" w:hAnsi="Georgia" w:cs="Arial"/>
                <w:color w:val="000000"/>
                <w:sz w:val="18"/>
                <w:szCs w:val="18"/>
                <w:lang w:eastAsia="fr-FR"/>
              </w:rPr>
              <w:t>PTME</w:t>
            </w:r>
          </w:p>
        </w:tc>
        <w:tc>
          <w:tcPr>
            <w:tcW w:w="4721" w:type="dxa"/>
            <w:tcBorders>
              <w:top w:val="nil"/>
              <w:left w:val="nil"/>
              <w:bottom w:val="single" w:sz="4" w:space="0" w:color="auto"/>
              <w:right w:val="single" w:sz="4" w:space="0" w:color="auto"/>
            </w:tcBorders>
            <w:shd w:val="clear" w:color="auto" w:fill="auto"/>
            <w:vAlign w:val="center"/>
            <w:hideMark/>
          </w:tcPr>
          <w:p w14:paraId="2F04CF46" w14:textId="501F0F30"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Intégration du tes</w:t>
            </w:r>
            <w:r w:rsidR="00044560" w:rsidRPr="00E33A5B">
              <w:rPr>
                <w:rFonts w:ascii="Georgia" w:eastAsia="Times New Roman" w:hAnsi="Georgia" w:cs="Arial"/>
                <w:color w:val="000000"/>
                <w:sz w:val="18"/>
                <w:szCs w:val="18"/>
                <w:lang w:eastAsia="fr-FR"/>
              </w:rPr>
              <w:t>t DUO- Syphilis VIH   dans les HP</w:t>
            </w:r>
            <w:r w:rsidR="00811FAF" w:rsidRPr="00E33A5B">
              <w:rPr>
                <w:rFonts w:ascii="Georgia" w:eastAsia="Times New Roman" w:hAnsi="Georgia" w:cs="Arial"/>
                <w:color w:val="000000"/>
                <w:sz w:val="18"/>
                <w:szCs w:val="18"/>
                <w:lang w:eastAsia="fr-FR"/>
              </w:rPr>
              <w:t xml:space="preserve">, CS et PS </w:t>
            </w:r>
            <w:r w:rsidR="00044560"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CPN)</w:t>
            </w:r>
          </w:p>
        </w:tc>
        <w:tc>
          <w:tcPr>
            <w:tcW w:w="2367" w:type="dxa"/>
            <w:tcBorders>
              <w:top w:val="nil"/>
              <w:left w:val="nil"/>
              <w:bottom w:val="single" w:sz="4" w:space="0" w:color="auto"/>
              <w:right w:val="single" w:sz="4" w:space="0" w:color="auto"/>
            </w:tcBorders>
            <w:shd w:val="clear" w:color="auto" w:fill="auto"/>
            <w:vAlign w:val="center"/>
            <w:hideMark/>
          </w:tcPr>
          <w:p w14:paraId="66908FA9" w14:textId="05EBC4C9" w:rsidR="005919EB" w:rsidRPr="00E33A5B" w:rsidRDefault="00044560"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Femmes Enceintes </w:t>
            </w:r>
          </w:p>
        </w:tc>
      </w:tr>
      <w:tr w:rsidR="00E33A5B" w:rsidRPr="00E33A5B" w14:paraId="0FF7A41C" w14:textId="77777777" w:rsidTr="00E33A5B">
        <w:trPr>
          <w:trHeight w:val="485"/>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9AED62E"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635B658C" w14:textId="74E8276F" w:rsidR="005919EB" w:rsidRPr="00E33A5B" w:rsidRDefault="00044560"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PTME </w:t>
            </w:r>
          </w:p>
        </w:tc>
        <w:tc>
          <w:tcPr>
            <w:tcW w:w="4721" w:type="dxa"/>
            <w:tcBorders>
              <w:top w:val="nil"/>
              <w:left w:val="nil"/>
              <w:bottom w:val="single" w:sz="4" w:space="0" w:color="auto"/>
              <w:right w:val="single" w:sz="4" w:space="0" w:color="auto"/>
            </w:tcBorders>
            <w:shd w:val="clear" w:color="auto" w:fill="auto"/>
            <w:vAlign w:val="center"/>
            <w:hideMark/>
          </w:tcPr>
          <w:p w14:paraId="44538699"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Modification du carnet de suivi des femmes enceintes pour intégrer la référence au passage au dépistage (rendre plus lisible la PTME de rattrapage / Autre modalité : agrafage d’une fiche sur le carnet actuel).</w:t>
            </w:r>
          </w:p>
        </w:tc>
        <w:tc>
          <w:tcPr>
            <w:tcW w:w="2367" w:type="dxa"/>
            <w:tcBorders>
              <w:top w:val="nil"/>
              <w:left w:val="nil"/>
              <w:bottom w:val="single" w:sz="4" w:space="0" w:color="auto"/>
              <w:right w:val="single" w:sz="4" w:space="0" w:color="auto"/>
            </w:tcBorders>
            <w:shd w:val="clear" w:color="auto" w:fill="auto"/>
            <w:vAlign w:val="center"/>
            <w:hideMark/>
          </w:tcPr>
          <w:p w14:paraId="535F7425" w14:textId="4D1A1BA1" w:rsidR="005919EB" w:rsidRPr="00E33A5B" w:rsidRDefault="00044560"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Femmes Enceintes et Enfants </w:t>
            </w:r>
          </w:p>
        </w:tc>
      </w:tr>
      <w:tr w:rsidR="00E33A5B" w:rsidRPr="00E33A5B" w14:paraId="44487D2B" w14:textId="77777777" w:rsidTr="00E33A5B">
        <w:trPr>
          <w:trHeight w:val="662"/>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2A5F7288"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2AB99344" w14:textId="49F3A46C" w:rsidR="005919EB" w:rsidRPr="00E33A5B" w:rsidRDefault="00044560"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Sites Planification Familiale / Sites PTME</w:t>
            </w:r>
          </w:p>
        </w:tc>
        <w:tc>
          <w:tcPr>
            <w:tcW w:w="4721" w:type="dxa"/>
            <w:tcBorders>
              <w:top w:val="nil"/>
              <w:left w:val="nil"/>
              <w:bottom w:val="single" w:sz="4" w:space="0" w:color="auto"/>
              <w:right w:val="single" w:sz="4" w:space="0" w:color="auto"/>
            </w:tcBorders>
            <w:shd w:val="clear" w:color="auto" w:fill="auto"/>
            <w:vAlign w:val="center"/>
            <w:hideMark/>
          </w:tcPr>
          <w:p w14:paraId="2ADE846E"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Intégration </w:t>
            </w:r>
            <w:r w:rsidR="00811FAF" w:rsidRPr="00E33A5B">
              <w:rPr>
                <w:rFonts w:ascii="Georgia" w:eastAsia="Times New Roman" w:hAnsi="Georgia" w:cs="Arial"/>
                <w:color w:val="000000"/>
                <w:sz w:val="18"/>
                <w:szCs w:val="18"/>
                <w:lang w:eastAsia="fr-FR"/>
              </w:rPr>
              <w:t>du dépistage</w:t>
            </w:r>
            <w:r w:rsidRPr="00E33A5B">
              <w:rPr>
                <w:rFonts w:ascii="Georgia" w:eastAsia="Times New Roman" w:hAnsi="Georgia" w:cs="Arial"/>
                <w:color w:val="000000"/>
                <w:sz w:val="18"/>
                <w:szCs w:val="18"/>
                <w:lang w:eastAsia="fr-FR"/>
              </w:rPr>
              <w:t xml:space="preserve"> dans les services de PF situés dans les mêmes centres de soins que les sites PTME</w:t>
            </w:r>
          </w:p>
          <w:p w14:paraId="3B6A3158" w14:textId="77777777" w:rsidR="005E6F65" w:rsidRPr="00E33A5B" w:rsidRDefault="005E6F65" w:rsidP="00D85E97">
            <w:pPr>
              <w:jc w:val="both"/>
              <w:rPr>
                <w:rFonts w:ascii="Georgia" w:eastAsia="Times New Roman" w:hAnsi="Georgia" w:cs="Arial"/>
                <w:color w:val="000000"/>
                <w:sz w:val="18"/>
                <w:szCs w:val="18"/>
                <w:lang w:eastAsia="fr-FR"/>
              </w:rPr>
            </w:pPr>
          </w:p>
          <w:p w14:paraId="032943D1" w14:textId="77777777"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Intégration du dépistage VIH dans tous les services de prise en charge des IST et de planning familial notamment dans les services de planification familiale situés dans les mêmes unités de santé que l’un des 66 sites de PTME prioritaires. Ceci répond au constat que ces services se situent dans les mêmes sites et répond à la nécessité de favoriser le dépistage par des agents formés et expérimentés ainsi que la rationalisation de la quantification et de la gestion des intrants de dépistage.</w:t>
            </w:r>
          </w:p>
          <w:p w14:paraId="2C535299" w14:textId="44476CE4" w:rsidR="005E6F65" w:rsidRPr="00E33A5B" w:rsidRDefault="005E6F65" w:rsidP="00D85E97">
            <w:pPr>
              <w:jc w:val="both"/>
              <w:rPr>
                <w:rFonts w:ascii="Georgia" w:eastAsia="Times New Roman" w:hAnsi="Georgia" w:cs="Arial"/>
                <w:color w:val="000000"/>
                <w:sz w:val="18"/>
                <w:szCs w:val="18"/>
                <w:lang w:eastAsia="fr-FR"/>
              </w:rPr>
            </w:pPr>
          </w:p>
        </w:tc>
        <w:tc>
          <w:tcPr>
            <w:tcW w:w="2367" w:type="dxa"/>
            <w:tcBorders>
              <w:top w:val="nil"/>
              <w:left w:val="nil"/>
              <w:bottom w:val="single" w:sz="4" w:space="0" w:color="auto"/>
              <w:right w:val="single" w:sz="4" w:space="0" w:color="auto"/>
            </w:tcBorders>
            <w:shd w:val="clear" w:color="auto" w:fill="auto"/>
            <w:vAlign w:val="center"/>
            <w:hideMark/>
          </w:tcPr>
          <w:p w14:paraId="13948895" w14:textId="69933FB4" w:rsidR="005919EB" w:rsidRPr="00E33A5B" w:rsidRDefault="00044560"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Femmes Enceintes et Femme de l’âge de la reproduction</w:t>
            </w:r>
          </w:p>
        </w:tc>
      </w:tr>
      <w:tr w:rsidR="00E33A5B" w:rsidRPr="00E33A5B" w14:paraId="49C61DE5" w14:textId="77777777" w:rsidTr="006F7C74">
        <w:trPr>
          <w:trHeight w:val="703"/>
        </w:trPr>
        <w:tc>
          <w:tcPr>
            <w:tcW w:w="986" w:type="dxa"/>
            <w:tcBorders>
              <w:top w:val="nil"/>
              <w:left w:val="single" w:sz="4" w:space="0" w:color="auto"/>
              <w:bottom w:val="single" w:sz="4" w:space="0" w:color="auto"/>
              <w:right w:val="single" w:sz="4" w:space="0" w:color="auto"/>
            </w:tcBorders>
            <w:shd w:val="clear" w:color="auto" w:fill="auto"/>
            <w:vAlign w:val="center"/>
          </w:tcPr>
          <w:p w14:paraId="176501FF" w14:textId="77777777" w:rsidR="00E020A2" w:rsidRPr="00E33A5B" w:rsidRDefault="00E020A2"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190A556D" w14:textId="097254B6" w:rsidR="00E020A2"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66 sites PTME</w:t>
            </w:r>
          </w:p>
        </w:tc>
        <w:tc>
          <w:tcPr>
            <w:tcW w:w="4721" w:type="dxa"/>
            <w:tcBorders>
              <w:top w:val="nil"/>
              <w:left w:val="nil"/>
              <w:bottom w:val="single" w:sz="4" w:space="0" w:color="auto"/>
              <w:right w:val="single" w:sz="4" w:space="0" w:color="auto"/>
            </w:tcBorders>
            <w:shd w:val="clear" w:color="auto" w:fill="auto"/>
            <w:vAlign w:val="center"/>
          </w:tcPr>
          <w:p w14:paraId="4D0244EF" w14:textId="6545F92A" w:rsidR="00E020A2"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Dépistage Précoce des enfants et fratrie des enfants des mères séropositives en campagne pour le rattrapage.</w:t>
            </w:r>
          </w:p>
          <w:p w14:paraId="4874B37F" w14:textId="4016F6EA" w:rsidR="00E020A2" w:rsidRPr="00E33A5B" w:rsidRDefault="00E020A2" w:rsidP="00D85E97">
            <w:pPr>
              <w:jc w:val="both"/>
              <w:rPr>
                <w:rFonts w:ascii="Georgia" w:eastAsia="Times New Roman" w:hAnsi="Georgia" w:cs="Arial"/>
                <w:color w:val="000000"/>
                <w:sz w:val="18"/>
                <w:szCs w:val="18"/>
                <w:lang w:eastAsia="fr-FR"/>
              </w:rPr>
            </w:pPr>
          </w:p>
          <w:p w14:paraId="4C0B3870" w14:textId="189617BF" w:rsidR="00E020A2"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Renforcement de la stratégie de dépistage précoce.  Suivi des médiatrice</w:t>
            </w:r>
            <w:r w:rsidR="00A40E20">
              <w:rPr>
                <w:rFonts w:ascii="Georgia" w:eastAsia="Times New Roman" w:hAnsi="Georgia" w:cs="Arial"/>
                <w:color w:val="000000"/>
                <w:sz w:val="18"/>
                <w:szCs w:val="18"/>
                <w:lang w:eastAsia="fr-FR"/>
              </w:rPr>
              <w:t>s</w:t>
            </w:r>
            <w:r w:rsidRPr="00E33A5B">
              <w:rPr>
                <w:rFonts w:ascii="Georgia" w:eastAsia="Times New Roman" w:hAnsi="Georgia" w:cs="Arial"/>
                <w:color w:val="000000"/>
                <w:sz w:val="18"/>
                <w:szCs w:val="18"/>
                <w:lang w:eastAsia="fr-FR"/>
              </w:rPr>
              <w:t xml:space="preserve"> communautaire de chaque mère-enfant.</w:t>
            </w:r>
          </w:p>
          <w:p w14:paraId="5D0B33E3" w14:textId="7AB8FC2F" w:rsidR="005E6F65" w:rsidRPr="00E33A5B" w:rsidRDefault="005E6F65" w:rsidP="00D85E97">
            <w:pPr>
              <w:jc w:val="both"/>
              <w:rPr>
                <w:rFonts w:ascii="Georgia" w:eastAsia="Times New Roman" w:hAnsi="Georgia" w:cs="Arial"/>
                <w:color w:val="000000"/>
                <w:sz w:val="18"/>
                <w:szCs w:val="18"/>
                <w:lang w:eastAsia="fr-FR"/>
              </w:rPr>
            </w:pPr>
          </w:p>
          <w:p w14:paraId="45B059D0" w14:textId="77777777"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En lien avec les 66 sites principaux de PTME, renforcer le dépistage des enfants avec l’optimisation des appareils GenExpert disponibles (24).</w:t>
            </w:r>
          </w:p>
          <w:p w14:paraId="19726857" w14:textId="77777777"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lastRenderedPageBreak/>
              <w:t>o</w:t>
            </w:r>
            <w:r w:rsidRPr="00E33A5B">
              <w:rPr>
                <w:rFonts w:ascii="Georgia" w:eastAsia="Times New Roman" w:hAnsi="Georgia" w:cs="Arial"/>
                <w:color w:val="000000"/>
                <w:sz w:val="18"/>
                <w:szCs w:val="18"/>
                <w:lang w:eastAsia="fr-FR"/>
              </w:rPr>
              <w:tab/>
              <w:t>Mettre en place autour de ces sites la collecte et l’acheminement des DBS à destination des laboratoires.</w:t>
            </w:r>
          </w:p>
          <w:p w14:paraId="55199B09" w14:textId="77777777"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Définir une modalité pratique de retour des résultats à destination des prestataires des sites de prise en charge.</w:t>
            </w:r>
          </w:p>
          <w:p w14:paraId="525D8268" w14:textId="77777777"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 xml:space="preserve">Lieux : sites PTME prioritaires (parmi les 66) + services de pédiatrie des hôpitaux nationaux, régionaux et préfectoraux. </w:t>
            </w:r>
          </w:p>
          <w:p w14:paraId="25AF945B" w14:textId="6860BD53"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Promouvoir et mettre à l’échelle le dépistage familial : il est question ici de la cellule familiale et nous sommes donc dans une composante du dépistage index avec la PTME comme porte d’entrée. Il s’agit de proposer le dépistage du conjoint et des enfants sur le même site et potentiellement avec le même prestataire.</w:t>
            </w:r>
          </w:p>
          <w:p w14:paraId="14A0EAB5" w14:textId="77777777" w:rsidR="00E020A2" w:rsidRPr="00E33A5B" w:rsidRDefault="00E020A2" w:rsidP="00D85E97">
            <w:pPr>
              <w:jc w:val="both"/>
              <w:rPr>
                <w:rFonts w:ascii="Georgia" w:eastAsia="Times New Roman" w:hAnsi="Georgia" w:cs="Arial"/>
                <w:color w:val="000000"/>
                <w:sz w:val="18"/>
                <w:szCs w:val="18"/>
                <w:lang w:eastAsia="fr-FR"/>
              </w:rPr>
            </w:pPr>
          </w:p>
          <w:p w14:paraId="3C7BFC82" w14:textId="6B1B628F" w:rsidR="00E020A2" w:rsidRPr="00E33A5B" w:rsidRDefault="00E020A2" w:rsidP="00D85E97">
            <w:pPr>
              <w:jc w:val="both"/>
              <w:rPr>
                <w:rFonts w:ascii="Georgia" w:eastAsia="Times New Roman" w:hAnsi="Georgia" w:cs="Arial"/>
                <w:color w:val="000000"/>
                <w:sz w:val="18"/>
                <w:szCs w:val="18"/>
                <w:lang w:eastAsia="fr-FR"/>
              </w:rPr>
            </w:pPr>
          </w:p>
        </w:tc>
        <w:tc>
          <w:tcPr>
            <w:tcW w:w="2367" w:type="dxa"/>
            <w:tcBorders>
              <w:top w:val="nil"/>
              <w:left w:val="nil"/>
              <w:bottom w:val="single" w:sz="4" w:space="0" w:color="auto"/>
              <w:right w:val="single" w:sz="4" w:space="0" w:color="auto"/>
            </w:tcBorders>
            <w:shd w:val="clear" w:color="auto" w:fill="auto"/>
            <w:vAlign w:val="center"/>
          </w:tcPr>
          <w:p w14:paraId="7B92CCC2" w14:textId="26B7BE61" w:rsidR="00E020A2"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lastRenderedPageBreak/>
              <w:t>Nouveaux nés et fratrie</w:t>
            </w:r>
          </w:p>
        </w:tc>
      </w:tr>
      <w:tr w:rsidR="00E33A5B" w:rsidRPr="00E33A5B" w14:paraId="7AA5979F" w14:textId="77777777" w:rsidTr="00E33A5B">
        <w:trPr>
          <w:trHeight w:val="662"/>
        </w:trPr>
        <w:tc>
          <w:tcPr>
            <w:tcW w:w="986" w:type="dxa"/>
            <w:tcBorders>
              <w:top w:val="nil"/>
              <w:left w:val="single" w:sz="4" w:space="0" w:color="auto"/>
              <w:bottom w:val="single" w:sz="4" w:space="0" w:color="auto"/>
              <w:right w:val="single" w:sz="4" w:space="0" w:color="auto"/>
            </w:tcBorders>
            <w:shd w:val="clear" w:color="auto" w:fill="auto"/>
            <w:vAlign w:val="center"/>
          </w:tcPr>
          <w:p w14:paraId="7BFBAC2D" w14:textId="77777777" w:rsidR="005E6F65" w:rsidRPr="00E33A5B" w:rsidRDefault="005E6F65"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0109384E" w14:textId="4A2CEE2B" w:rsidR="005E6F65" w:rsidRPr="00E33A5B" w:rsidRDefault="00FE5D6E" w:rsidP="00A40E20">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Réseaux</w:t>
            </w:r>
            <w:r w:rsidR="005E6F65" w:rsidRPr="00E33A5B">
              <w:rPr>
                <w:rFonts w:ascii="Georgia" w:eastAsia="Times New Roman" w:hAnsi="Georgia" w:cs="Arial"/>
                <w:color w:val="000000"/>
                <w:sz w:val="18"/>
                <w:szCs w:val="18"/>
                <w:lang w:eastAsia="fr-FR"/>
              </w:rPr>
              <w:t xml:space="preserve"> Communautaires / </w:t>
            </w:r>
            <w:r w:rsidR="00A40E20">
              <w:rPr>
                <w:rFonts w:ascii="Georgia" w:eastAsia="Times New Roman" w:hAnsi="Georgia" w:cs="Arial"/>
                <w:color w:val="000000"/>
                <w:sz w:val="18"/>
                <w:szCs w:val="18"/>
                <w:lang w:eastAsia="fr-FR"/>
              </w:rPr>
              <w:t>APS</w:t>
            </w:r>
          </w:p>
        </w:tc>
        <w:tc>
          <w:tcPr>
            <w:tcW w:w="4721" w:type="dxa"/>
            <w:tcBorders>
              <w:top w:val="nil"/>
              <w:left w:val="nil"/>
              <w:bottom w:val="single" w:sz="4" w:space="0" w:color="auto"/>
              <w:right w:val="single" w:sz="4" w:space="0" w:color="auto"/>
            </w:tcBorders>
            <w:shd w:val="clear" w:color="auto" w:fill="auto"/>
            <w:vAlign w:val="center"/>
          </w:tcPr>
          <w:p w14:paraId="6609105B" w14:textId="2CCDC7F0"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Mise en place d’une proposition d’autotests pour les clients des PS</w:t>
            </w:r>
            <w:r w:rsidR="00A40E20">
              <w:rPr>
                <w:rFonts w:ascii="Georgia" w:eastAsia="Times New Roman" w:hAnsi="Georgia" w:cs="Arial"/>
                <w:color w:val="000000"/>
                <w:sz w:val="18"/>
                <w:szCs w:val="18"/>
                <w:lang w:eastAsia="fr-FR"/>
              </w:rPr>
              <w:t>, conjoints des personnes vues en PTME ou des autres populations clés</w:t>
            </w:r>
            <w:r w:rsidRPr="00E33A5B">
              <w:rPr>
                <w:rFonts w:ascii="Georgia" w:eastAsia="Times New Roman" w:hAnsi="Georgia" w:cs="Arial"/>
                <w:color w:val="000000"/>
                <w:sz w:val="18"/>
                <w:szCs w:val="18"/>
                <w:lang w:eastAsia="fr-FR"/>
              </w:rPr>
              <w:t>.</w:t>
            </w:r>
          </w:p>
          <w:p w14:paraId="59C1C8D9" w14:textId="04C55C30"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Une expérience sur les autotests est en cours actuellement à Conakry avec MSF. La mise à disposition des autotests pourrait également concerner les conjoint-Es des PVVIH suivies. Plusieurs modalités existent pour complémenter l’offre de dépistage existante. Il serait à envisager d’avoir une discussion à Conakry sur la prévention combinée avec présentation de l’expérience MSF de Conakry et une discussion qui pourrait également porter sur la PrEP.</w:t>
            </w:r>
          </w:p>
        </w:tc>
        <w:tc>
          <w:tcPr>
            <w:tcW w:w="2367" w:type="dxa"/>
            <w:tcBorders>
              <w:top w:val="nil"/>
              <w:left w:val="nil"/>
              <w:bottom w:val="single" w:sz="4" w:space="0" w:color="auto"/>
              <w:right w:val="single" w:sz="4" w:space="0" w:color="auto"/>
            </w:tcBorders>
            <w:shd w:val="clear" w:color="auto" w:fill="auto"/>
            <w:vAlign w:val="center"/>
          </w:tcPr>
          <w:p w14:paraId="7A4315BB" w14:textId="6EB295B8" w:rsidR="005E6F65" w:rsidRPr="00E33A5B" w:rsidRDefault="005E6F6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Clients des PS</w:t>
            </w:r>
          </w:p>
        </w:tc>
      </w:tr>
      <w:tr w:rsidR="005919EB" w:rsidRPr="00E33A5B" w14:paraId="30877AC9" w14:textId="77777777" w:rsidTr="00E33A5B">
        <w:trPr>
          <w:trHeight w:val="297"/>
        </w:trPr>
        <w:tc>
          <w:tcPr>
            <w:tcW w:w="10062" w:type="dxa"/>
            <w:gridSpan w:val="4"/>
            <w:tcBorders>
              <w:top w:val="single" w:sz="4" w:space="0" w:color="auto"/>
              <w:left w:val="single" w:sz="4" w:space="0" w:color="auto"/>
              <w:bottom w:val="single" w:sz="4" w:space="0" w:color="auto"/>
              <w:right w:val="single" w:sz="4" w:space="0" w:color="auto"/>
            </w:tcBorders>
            <w:shd w:val="pct12" w:color="000000" w:fill="E5E5E5"/>
            <w:vAlign w:val="center"/>
            <w:hideMark/>
          </w:tcPr>
          <w:p w14:paraId="2BF6A793" w14:textId="77777777" w:rsidR="005919EB" w:rsidRPr="00E33A5B" w:rsidRDefault="005919EB"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Prise en charge</w:t>
            </w:r>
          </w:p>
        </w:tc>
      </w:tr>
      <w:tr w:rsidR="00E33A5B" w:rsidRPr="00E33A5B" w14:paraId="3A98B156" w14:textId="77777777" w:rsidTr="00E33A5B">
        <w:trPr>
          <w:trHeight w:val="87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379BA034"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685DBD9C" w14:textId="238665CE" w:rsidR="005919EB" w:rsidRPr="00E33A5B" w:rsidRDefault="00811FA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66 Sites PTME</w:t>
            </w:r>
          </w:p>
        </w:tc>
        <w:tc>
          <w:tcPr>
            <w:tcW w:w="4721" w:type="dxa"/>
            <w:tcBorders>
              <w:top w:val="nil"/>
              <w:left w:val="nil"/>
              <w:bottom w:val="single" w:sz="4" w:space="0" w:color="auto"/>
              <w:right w:val="single" w:sz="4" w:space="0" w:color="auto"/>
            </w:tcBorders>
            <w:shd w:val="clear" w:color="auto" w:fill="auto"/>
            <w:vAlign w:val="center"/>
            <w:hideMark/>
          </w:tcPr>
          <w:p w14:paraId="6F40035A" w14:textId="77777777" w:rsidR="005919EB" w:rsidRPr="00E33A5B" w:rsidRDefault="005919EB" w:rsidP="00D85E97">
            <w:pPr>
              <w:jc w:val="both"/>
              <w:rPr>
                <w:rFonts w:ascii="Georgia" w:eastAsia="Times New Roman" w:hAnsi="Georgia" w:cs="Times New Roman"/>
                <w:color w:val="0563C1"/>
                <w:sz w:val="18"/>
                <w:szCs w:val="18"/>
                <w:u w:val="single"/>
                <w:lang w:eastAsia="fr-FR"/>
              </w:rPr>
            </w:pPr>
            <w:r w:rsidRPr="00E33A5B">
              <w:rPr>
                <w:rFonts w:ascii="Georgia" w:eastAsia="Times New Roman" w:hAnsi="Georgia" w:cs="Times New Roman"/>
                <w:color w:val="0563C1"/>
                <w:sz w:val="18"/>
                <w:szCs w:val="18"/>
                <w:u w:val="single"/>
                <w:lang w:eastAsia="fr-FR"/>
              </w:rPr>
              <w:footnoteReference w:customMarkFollows="1" w:id="2"/>
              <w:t>Transformer les principaux centres PTME en centre PEC / PTME[2]</w:t>
            </w:r>
          </w:p>
        </w:tc>
        <w:tc>
          <w:tcPr>
            <w:tcW w:w="2367" w:type="dxa"/>
            <w:tcBorders>
              <w:top w:val="nil"/>
              <w:left w:val="nil"/>
              <w:bottom w:val="single" w:sz="4" w:space="0" w:color="auto"/>
              <w:right w:val="single" w:sz="4" w:space="0" w:color="auto"/>
            </w:tcBorders>
            <w:shd w:val="clear" w:color="auto" w:fill="auto"/>
            <w:vAlign w:val="center"/>
            <w:hideMark/>
          </w:tcPr>
          <w:p w14:paraId="05CD934D" w14:textId="1B03883C" w:rsidR="005919EB" w:rsidRPr="00E33A5B" w:rsidRDefault="00811FA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Femmes Enceintes PVVIH et Famille</w:t>
            </w:r>
          </w:p>
        </w:tc>
      </w:tr>
      <w:tr w:rsidR="00E33A5B" w:rsidRPr="00E33A5B" w14:paraId="534F9B60" w14:textId="77777777" w:rsidTr="00E33A5B">
        <w:trPr>
          <w:trHeight w:val="726"/>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0ED80B35"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1132B75D" w14:textId="3CD4A481" w:rsidR="005919EB" w:rsidRPr="00E33A5B" w:rsidRDefault="00811FA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66 Sites PTME</w:t>
            </w:r>
          </w:p>
        </w:tc>
        <w:tc>
          <w:tcPr>
            <w:tcW w:w="4721" w:type="dxa"/>
            <w:tcBorders>
              <w:top w:val="nil"/>
              <w:left w:val="nil"/>
              <w:bottom w:val="single" w:sz="4" w:space="0" w:color="auto"/>
              <w:right w:val="single" w:sz="4" w:space="0" w:color="auto"/>
            </w:tcBorders>
            <w:shd w:val="clear" w:color="auto" w:fill="auto"/>
            <w:vAlign w:val="center"/>
            <w:hideMark/>
          </w:tcPr>
          <w:p w14:paraId="522516A5"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Intégrer le dépistage et la prise en charge des enfants et conjoints dans les principaux centres PTME</w:t>
            </w:r>
          </w:p>
          <w:p w14:paraId="10F81BC6" w14:textId="77777777" w:rsidR="00522B8B" w:rsidRPr="00E33A5B" w:rsidRDefault="00522B8B" w:rsidP="00D85E97">
            <w:pPr>
              <w:jc w:val="both"/>
              <w:rPr>
                <w:rFonts w:ascii="Georgia" w:eastAsia="Times New Roman" w:hAnsi="Georgia" w:cs="Arial"/>
                <w:color w:val="000000"/>
                <w:sz w:val="18"/>
                <w:szCs w:val="18"/>
                <w:lang w:eastAsia="fr-FR"/>
              </w:rPr>
            </w:pPr>
          </w:p>
          <w:p w14:paraId="01BA595E"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Evolutions des centres PTME en centres PEC / PTME</w:t>
            </w:r>
          </w:p>
          <w:p w14:paraId="6503260A"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Au regard des taux de perdus de vue entre la PTME et la PEC (pour ceux des 66 sites les plus important de PTME qui réfèrent les femmes dans un centre de PEC distinct et distant).</w:t>
            </w:r>
          </w:p>
          <w:p w14:paraId="44D744FF"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Intégration d’une approche « PEC familiale » dans les centres PTME retenus.</w:t>
            </w:r>
          </w:p>
          <w:p w14:paraId="117EC2AE"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Cette approche consiste à :</w:t>
            </w:r>
          </w:p>
          <w:p w14:paraId="46FF5119"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Proposition de dépistage du conjoint et des autres enfants selon des modalités à définir avec les femmes suivies en PTME.</w:t>
            </w:r>
          </w:p>
          <w:p w14:paraId="4BD6F549"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Dépistage du conjoint et des autres enfants dans le centre PTME (devenu CDV)</w:t>
            </w:r>
          </w:p>
          <w:p w14:paraId="108CDD1F"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Prise en charge du conjoint et des enfants séropositifs dans le centre de PEC / PTME.</w:t>
            </w:r>
          </w:p>
          <w:p w14:paraId="61B12CB8" w14:textId="070B9B73"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Intégration des APS dans les sites PTME à « grande cohorte. Voir ci-dessous APS).</w:t>
            </w:r>
          </w:p>
        </w:tc>
        <w:tc>
          <w:tcPr>
            <w:tcW w:w="2367" w:type="dxa"/>
            <w:tcBorders>
              <w:top w:val="nil"/>
              <w:left w:val="nil"/>
              <w:bottom w:val="single" w:sz="4" w:space="0" w:color="auto"/>
              <w:right w:val="single" w:sz="4" w:space="0" w:color="auto"/>
            </w:tcBorders>
            <w:shd w:val="clear" w:color="auto" w:fill="auto"/>
            <w:vAlign w:val="center"/>
            <w:hideMark/>
          </w:tcPr>
          <w:p w14:paraId="650D890D" w14:textId="53F0078B" w:rsidR="005919EB" w:rsidRPr="00E33A5B" w:rsidRDefault="00811FA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Femmes Enceintes PVVIH et Famille </w:t>
            </w:r>
          </w:p>
        </w:tc>
      </w:tr>
      <w:tr w:rsidR="00E33A5B" w:rsidRPr="00E33A5B" w14:paraId="791FB40F" w14:textId="77777777" w:rsidTr="00E33A5B">
        <w:trPr>
          <w:trHeight w:val="765"/>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3008A20B"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563D569D" w14:textId="7A9E3C8E" w:rsidR="005919EB" w:rsidRPr="00E33A5B" w:rsidRDefault="005919EB" w:rsidP="00D85E97">
            <w:pPr>
              <w:jc w:val="both"/>
              <w:rPr>
                <w:rFonts w:ascii="Georgia" w:eastAsia="Times New Roman" w:hAnsi="Georgia" w:cs="Arial"/>
                <w:color w:val="000000"/>
                <w:sz w:val="18"/>
                <w:szCs w:val="18"/>
                <w:lang w:eastAsia="fr-FR"/>
              </w:rPr>
            </w:pPr>
          </w:p>
        </w:tc>
        <w:tc>
          <w:tcPr>
            <w:tcW w:w="4721" w:type="dxa"/>
            <w:tcBorders>
              <w:top w:val="nil"/>
              <w:left w:val="nil"/>
              <w:bottom w:val="single" w:sz="4" w:space="0" w:color="auto"/>
              <w:right w:val="single" w:sz="4" w:space="0" w:color="auto"/>
            </w:tcBorders>
            <w:shd w:val="clear" w:color="auto" w:fill="auto"/>
            <w:vAlign w:val="center"/>
            <w:hideMark/>
          </w:tcPr>
          <w:p w14:paraId="654753F1"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Mise en place d’une dispensation différentiée dans les sites PEC situés à proximité des zones minières.</w:t>
            </w:r>
          </w:p>
          <w:p w14:paraId="5BBF8986" w14:textId="77777777" w:rsidR="005E6F65" w:rsidRPr="00E33A5B" w:rsidRDefault="005E6F65" w:rsidP="00D85E97">
            <w:pPr>
              <w:jc w:val="both"/>
              <w:rPr>
                <w:rFonts w:ascii="Georgia" w:eastAsia="Times New Roman" w:hAnsi="Georgia" w:cs="Arial"/>
                <w:color w:val="000000"/>
                <w:sz w:val="18"/>
                <w:szCs w:val="18"/>
                <w:lang w:eastAsia="fr-FR"/>
              </w:rPr>
            </w:pPr>
          </w:p>
          <w:p w14:paraId="0A309DFB" w14:textId="54010EB8" w:rsidR="005E6F65" w:rsidRPr="00E33A5B" w:rsidRDefault="005E6F65" w:rsidP="00D85E97">
            <w:pPr>
              <w:jc w:val="both"/>
              <w:rPr>
                <w:rFonts w:ascii="Georgia" w:eastAsia="Times New Roman" w:hAnsi="Georgia" w:cs="Arial"/>
                <w:color w:val="000000"/>
                <w:sz w:val="18"/>
                <w:szCs w:val="18"/>
                <w:lang w:eastAsia="fr-FR"/>
              </w:rPr>
            </w:pPr>
          </w:p>
        </w:tc>
        <w:tc>
          <w:tcPr>
            <w:tcW w:w="2367" w:type="dxa"/>
            <w:tcBorders>
              <w:top w:val="nil"/>
              <w:left w:val="nil"/>
              <w:bottom w:val="single" w:sz="4" w:space="0" w:color="auto"/>
              <w:right w:val="single" w:sz="4" w:space="0" w:color="auto"/>
            </w:tcBorders>
            <w:shd w:val="clear" w:color="auto" w:fill="auto"/>
            <w:vAlign w:val="center"/>
            <w:hideMark/>
          </w:tcPr>
          <w:p w14:paraId="06294A9A" w14:textId="329717DA"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r w:rsidR="00811FAF" w:rsidRPr="00E33A5B">
              <w:rPr>
                <w:rFonts w:ascii="Georgia" w:eastAsia="Times New Roman" w:hAnsi="Georgia" w:cs="Arial"/>
                <w:color w:val="000000"/>
                <w:sz w:val="18"/>
                <w:szCs w:val="18"/>
                <w:lang w:eastAsia="fr-FR"/>
              </w:rPr>
              <w:t xml:space="preserve">Population Cles- miniers et PS.  Kankan et Boké </w:t>
            </w:r>
          </w:p>
        </w:tc>
      </w:tr>
      <w:tr w:rsidR="00E33A5B" w:rsidRPr="00E33A5B" w14:paraId="4EFD4DA6" w14:textId="77777777" w:rsidTr="00E33A5B">
        <w:trPr>
          <w:trHeight w:val="765"/>
        </w:trPr>
        <w:tc>
          <w:tcPr>
            <w:tcW w:w="986" w:type="dxa"/>
            <w:tcBorders>
              <w:top w:val="nil"/>
              <w:left w:val="single" w:sz="4" w:space="0" w:color="auto"/>
              <w:bottom w:val="single" w:sz="4" w:space="0" w:color="auto"/>
              <w:right w:val="single" w:sz="4" w:space="0" w:color="auto"/>
            </w:tcBorders>
            <w:shd w:val="clear" w:color="auto" w:fill="auto"/>
            <w:vAlign w:val="center"/>
          </w:tcPr>
          <w:p w14:paraId="140ADC1A" w14:textId="77777777" w:rsidR="00811FAF" w:rsidRPr="00E33A5B" w:rsidRDefault="00811FAF"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7FAA9447" w14:textId="13852CC8" w:rsidR="00811FAF" w:rsidRPr="000F3318" w:rsidRDefault="00811FAF"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Centre Communautaires</w:t>
            </w:r>
          </w:p>
        </w:tc>
        <w:tc>
          <w:tcPr>
            <w:tcW w:w="4721" w:type="dxa"/>
            <w:tcBorders>
              <w:top w:val="nil"/>
              <w:left w:val="nil"/>
              <w:bottom w:val="single" w:sz="4" w:space="0" w:color="auto"/>
              <w:right w:val="single" w:sz="4" w:space="0" w:color="auto"/>
            </w:tcBorders>
            <w:shd w:val="clear" w:color="auto" w:fill="auto"/>
            <w:vAlign w:val="center"/>
          </w:tcPr>
          <w:p w14:paraId="2C25C753" w14:textId="367CC980" w:rsidR="00811FAF" w:rsidRPr="000F3318" w:rsidRDefault="00811FAF"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 xml:space="preserve">Vu la </w:t>
            </w:r>
            <w:r w:rsidR="00BC5C5A" w:rsidRPr="000F3318">
              <w:rPr>
                <w:rFonts w:ascii="Georgia" w:eastAsia="Times New Roman" w:hAnsi="Georgia" w:cs="Arial"/>
                <w:color w:val="000000"/>
                <w:sz w:val="18"/>
                <w:szCs w:val="18"/>
                <w:lang w:eastAsia="fr-FR"/>
              </w:rPr>
              <w:t>fréquentation</w:t>
            </w:r>
            <w:r w:rsidRPr="000F3318">
              <w:rPr>
                <w:rFonts w:ascii="Georgia" w:eastAsia="Times New Roman" w:hAnsi="Georgia" w:cs="Arial"/>
                <w:color w:val="000000"/>
                <w:sz w:val="18"/>
                <w:szCs w:val="18"/>
                <w:lang w:eastAsia="fr-FR"/>
              </w:rPr>
              <w:t xml:space="preserve"> des centres communautaire, inclus </w:t>
            </w:r>
            <w:r w:rsidR="00BC5C5A" w:rsidRPr="000F3318">
              <w:rPr>
                <w:rFonts w:ascii="Georgia" w:eastAsia="Times New Roman" w:hAnsi="Georgia" w:cs="Arial"/>
                <w:color w:val="000000"/>
                <w:sz w:val="18"/>
                <w:szCs w:val="18"/>
                <w:lang w:eastAsia="fr-FR"/>
              </w:rPr>
              <w:t>le dépistage</w:t>
            </w:r>
            <w:r w:rsidRPr="000F3318">
              <w:rPr>
                <w:rFonts w:ascii="Georgia" w:eastAsia="Times New Roman" w:hAnsi="Georgia" w:cs="Arial"/>
                <w:color w:val="000000"/>
                <w:sz w:val="18"/>
                <w:szCs w:val="18"/>
                <w:lang w:eastAsia="fr-FR"/>
              </w:rPr>
              <w:t xml:space="preserve"> et PEC.  </w:t>
            </w:r>
          </w:p>
          <w:p w14:paraId="71F07497" w14:textId="1006D6C3" w:rsidR="00811FAF" w:rsidRPr="000F3318" w:rsidRDefault="00811FAF"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Etablir des nouveaux Centres communautaires – Conakry et Kankan</w:t>
            </w:r>
          </w:p>
          <w:p w14:paraId="7169A1C5" w14:textId="77777777" w:rsidR="00522B8B" w:rsidRPr="000F3318" w:rsidRDefault="00522B8B" w:rsidP="00D85E97">
            <w:pPr>
              <w:jc w:val="both"/>
              <w:rPr>
                <w:rFonts w:ascii="Georgia" w:eastAsia="Times New Roman" w:hAnsi="Georgia" w:cs="Arial"/>
                <w:color w:val="000000"/>
                <w:sz w:val="18"/>
                <w:szCs w:val="18"/>
                <w:lang w:eastAsia="fr-FR"/>
              </w:rPr>
            </w:pPr>
          </w:p>
          <w:p w14:paraId="1C1B3F98" w14:textId="77777777" w:rsidR="00522B8B" w:rsidRPr="000F3318" w:rsidRDefault="00522B8B"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lastRenderedPageBreak/>
              <w:t>1)</w:t>
            </w:r>
            <w:r w:rsidRPr="000F3318">
              <w:rPr>
                <w:rFonts w:ascii="Georgia" w:eastAsia="Times New Roman" w:hAnsi="Georgia" w:cs="Arial"/>
                <w:color w:val="000000"/>
                <w:sz w:val="18"/>
                <w:szCs w:val="18"/>
                <w:lang w:eastAsia="fr-FR"/>
              </w:rPr>
              <w:tab/>
              <w:t>Création d’un centre communautaire à Kindia (sur le modèle du centre de Conakry avec le constat d’une forte fréquentation de ce centre) avec offres :</w:t>
            </w:r>
          </w:p>
          <w:p w14:paraId="5C635E4B" w14:textId="77777777" w:rsidR="00522B8B" w:rsidRPr="000F3318" w:rsidRDefault="00522B8B"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o</w:t>
            </w:r>
            <w:r w:rsidRPr="000F3318">
              <w:rPr>
                <w:rFonts w:ascii="Georgia" w:eastAsia="Times New Roman" w:hAnsi="Georgia" w:cs="Arial"/>
                <w:color w:val="000000"/>
                <w:sz w:val="18"/>
                <w:szCs w:val="18"/>
                <w:lang w:eastAsia="fr-FR"/>
              </w:rPr>
              <w:tab/>
              <w:t xml:space="preserve">De dépistage </w:t>
            </w:r>
          </w:p>
          <w:p w14:paraId="4E0768E5" w14:textId="6B25464D" w:rsidR="00522B8B" w:rsidRPr="000F3318" w:rsidRDefault="00522B8B"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t>o</w:t>
            </w:r>
            <w:r w:rsidRPr="000F3318">
              <w:rPr>
                <w:rFonts w:ascii="Georgia" w:eastAsia="Times New Roman" w:hAnsi="Georgia" w:cs="Arial"/>
                <w:color w:val="000000"/>
                <w:sz w:val="18"/>
                <w:szCs w:val="18"/>
                <w:lang w:eastAsia="fr-FR"/>
              </w:rPr>
              <w:tab/>
              <w:t>De prise en charge (création PODI ? Mise en place d’une consultation médicale ?).</w:t>
            </w:r>
          </w:p>
        </w:tc>
        <w:tc>
          <w:tcPr>
            <w:tcW w:w="2367" w:type="dxa"/>
            <w:tcBorders>
              <w:top w:val="nil"/>
              <w:left w:val="nil"/>
              <w:bottom w:val="single" w:sz="4" w:space="0" w:color="auto"/>
              <w:right w:val="single" w:sz="4" w:space="0" w:color="auto"/>
            </w:tcBorders>
            <w:shd w:val="clear" w:color="auto" w:fill="auto"/>
            <w:vAlign w:val="center"/>
          </w:tcPr>
          <w:p w14:paraId="0D4FF1D6" w14:textId="135A762A" w:rsidR="00811FAF" w:rsidRPr="00E33A5B" w:rsidRDefault="00811FAF" w:rsidP="00D85E97">
            <w:pPr>
              <w:jc w:val="both"/>
              <w:rPr>
                <w:rFonts w:ascii="Georgia" w:eastAsia="Times New Roman" w:hAnsi="Georgia" w:cs="Arial"/>
                <w:color w:val="000000"/>
                <w:sz w:val="18"/>
                <w:szCs w:val="18"/>
                <w:lang w:eastAsia="fr-FR"/>
              </w:rPr>
            </w:pPr>
            <w:r w:rsidRPr="000F3318">
              <w:rPr>
                <w:rFonts w:ascii="Georgia" w:eastAsia="Times New Roman" w:hAnsi="Georgia" w:cs="Arial"/>
                <w:color w:val="000000"/>
                <w:sz w:val="18"/>
                <w:szCs w:val="18"/>
                <w:lang w:eastAsia="fr-FR"/>
              </w:rPr>
              <w:lastRenderedPageBreak/>
              <w:t xml:space="preserve">Populations </w:t>
            </w:r>
            <w:r w:rsidR="00BC5C5A" w:rsidRPr="000F3318">
              <w:rPr>
                <w:rFonts w:ascii="Georgia" w:eastAsia="Times New Roman" w:hAnsi="Georgia" w:cs="Arial"/>
                <w:color w:val="000000"/>
                <w:sz w:val="18"/>
                <w:szCs w:val="18"/>
                <w:lang w:eastAsia="fr-FR"/>
              </w:rPr>
              <w:t>Clé</w:t>
            </w:r>
            <w:r w:rsidRPr="000F3318">
              <w:rPr>
                <w:rFonts w:ascii="Georgia" w:eastAsia="Times New Roman" w:hAnsi="Georgia" w:cs="Arial"/>
                <w:color w:val="000000"/>
                <w:sz w:val="18"/>
                <w:szCs w:val="18"/>
                <w:lang w:eastAsia="fr-FR"/>
              </w:rPr>
              <w:t xml:space="preserve"> HSH et PS Conakry et Kankan</w:t>
            </w:r>
          </w:p>
        </w:tc>
      </w:tr>
      <w:tr w:rsidR="00E33A5B" w:rsidRPr="00E33A5B" w14:paraId="47A90105" w14:textId="77777777" w:rsidTr="00E33A5B">
        <w:trPr>
          <w:trHeight w:val="765"/>
        </w:trPr>
        <w:tc>
          <w:tcPr>
            <w:tcW w:w="986" w:type="dxa"/>
            <w:tcBorders>
              <w:top w:val="nil"/>
              <w:left w:val="single" w:sz="4" w:space="0" w:color="auto"/>
              <w:bottom w:val="single" w:sz="4" w:space="0" w:color="auto"/>
              <w:right w:val="single" w:sz="4" w:space="0" w:color="auto"/>
            </w:tcBorders>
            <w:shd w:val="clear" w:color="auto" w:fill="auto"/>
            <w:vAlign w:val="center"/>
          </w:tcPr>
          <w:p w14:paraId="5FF4418E" w14:textId="77777777" w:rsidR="00811FAF" w:rsidRPr="00E33A5B" w:rsidRDefault="00811FAF"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3883C64B" w14:textId="2CE3F496" w:rsidR="00811FAF" w:rsidRPr="00E33A5B" w:rsidRDefault="00811FA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Centres De Sante Adaptée</w:t>
            </w:r>
          </w:p>
        </w:tc>
        <w:tc>
          <w:tcPr>
            <w:tcW w:w="4721" w:type="dxa"/>
            <w:tcBorders>
              <w:top w:val="nil"/>
              <w:left w:val="nil"/>
              <w:bottom w:val="single" w:sz="4" w:space="0" w:color="auto"/>
              <w:right w:val="single" w:sz="4" w:space="0" w:color="auto"/>
            </w:tcBorders>
            <w:shd w:val="clear" w:color="auto" w:fill="auto"/>
            <w:vAlign w:val="center"/>
          </w:tcPr>
          <w:p w14:paraId="6EF68702" w14:textId="0047FD8A" w:rsidR="00522B8B" w:rsidRPr="00E33A5B" w:rsidRDefault="00BC5C5A"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Le lien entre la dépistage et la mise sur traitement dans les CSA </w:t>
            </w:r>
            <w:r w:rsidR="00E33A5B">
              <w:rPr>
                <w:rFonts w:ascii="Georgia" w:eastAsia="Times New Roman" w:hAnsi="Georgia" w:cs="Arial"/>
                <w:color w:val="000000"/>
                <w:sz w:val="18"/>
                <w:szCs w:val="18"/>
                <w:lang w:eastAsia="fr-FR"/>
              </w:rPr>
              <w:t>doit</w:t>
            </w:r>
            <w:r w:rsidRPr="00E33A5B">
              <w:rPr>
                <w:rFonts w:ascii="Georgia" w:eastAsia="Times New Roman" w:hAnsi="Georgia" w:cs="Arial"/>
                <w:color w:val="000000"/>
                <w:sz w:val="18"/>
                <w:szCs w:val="18"/>
                <w:lang w:eastAsia="fr-FR"/>
              </w:rPr>
              <w:t xml:space="preserve"> être améliorer et un suivi proche de ceux qui sont dépister positive pour qu’ils soient mise sous </w:t>
            </w:r>
            <w:r w:rsidR="00E33A5B" w:rsidRPr="00E33A5B">
              <w:rPr>
                <w:rFonts w:ascii="Georgia" w:eastAsia="Times New Roman" w:hAnsi="Georgia" w:cs="Arial"/>
                <w:color w:val="000000"/>
                <w:sz w:val="18"/>
                <w:szCs w:val="18"/>
                <w:lang w:eastAsia="fr-FR"/>
              </w:rPr>
              <w:t>traitement</w:t>
            </w:r>
            <w:r w:rsidR="00522B8B" w:rsidRPr="00E33A5B">
              <w:rPr>
                <w:rFonts w:ascii="Georgia" w:hAnsi="Georgia"/>
                <w:sz w:val="18"/>
                <w:szCs w:val="18"/>
              </w:rPr>
              <w:t xml:space="preserve"> </w:t>
            </w:r>
            <w:r w:rsidR="00522B8B" w:rsidRPr="00E33A5B">
              <w:rPr>
                <w:rFonts w:ascii="Georgia" w:eastAsia="Times New Roman" w:hAnsi="Georgia" w:cs="Arial"/>
                <w:color w:val="000000"/>
                <w:sz w:val="18"/>
                <w:szCs w:val="18"/>
                <w:lang w:eastAsia="fr-FR"/>
              </w:rPr>
              <w:t>1)</w:t>
            </w:r>
            <w:r w:rsidR="00522B8B" w:rsidRPr="00E33A5B">
              <w:rPr>
                <w:rFonts w:ascii="Georgia" w:eastAsia="Times New Roman" w:hAnsi="Georgia" w:cs="Arial"/>
                <w:color w:val="000000"/>
                <w:sz w:val="18"/>
                <w:szCs w:val="18"/>
                <w:lang w:eastAsia="fr-FR"/>
              </w:rPr>
              <w:tab/>
              <w:t>Intégration de la prise en charge ARV et de la prophylaxie post exposition (PEP) dans les CSA à proximité des lieux de rencontre / fréquentation des populations clés.</w:t>
            </w:r>
          </w:p>
          <w:p w14:paraId="02A65A8E" w14:textId="64D65A91"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Ces CSA pourraient être localisés dans les villes / régions prioritaires mais ne disposant pas d’un centre communautaire et n’en ayant pas de projeté (en l’occurrence Conakry dans le premier cas et Kindia dans le second</w:t>
            </w:r>
            <w:r w:rsid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w:t>
            </w:r>
          </w:p>
          <w:p w14:paraId="42ECB2C2"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Il serait utile de mener des entretiens qualitatifs avec les PC des villes pressenties pour l’intégration de la PEC dans des CSA de proximité, afin de déterminer quel est le recours actuel aux soins (dans quels CSA vont-ils) ou dans lesquels ils ne souhaitent pas aller (mauvaise expérience préalable). Cela permettrait de déterminer quels CSA serait prioritaire pour le renforcement des capacités et la mise à disposition de ressources pour la PEC des populations clés.</w:t>
            </w:r>
          </w:p>
          <w:p w14:paraId="43F0A2A4" w14:textId="7098B5EE" w:rsidR="00811FAF"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w:t>
            </w:r>
            <w:r w:rsidRPr="00E33A5B">
              <w:rPr>
                <w:rFonts w:ascii="Georgia" w:eastAsia="Times New Roman" w:hAnsi="Georgia" w:cs="Arial"/>
                <w:color w:val="000000"/>
                <w:sz w:val="18"/>
                <w:szCs w:val="18"/>
                <w:lang w:eastAsia="fr-FR"/>
              </w:rPr>
              <w:tab/>
              <w:t>Une fois déterminé les CSA éligibles pour l’intégration, il serait souhaitable de mettre en place une modalité de travail avec les personnels de ces centres de santé sur leurs représentations vis-à-vis des PC (une telle modalité à été développée par la Coalition Internationale Plus) et de l’intégrer dans une formation des personnels de santé à la prise en charge des PC.</w:t>
            </w:r>
          </w:p>
          <w:p w14:paraId="6407DE8F" w14:textId="77777777" w:rsidR="00522B8B" w:rsidRPr="00E33A5B" w:rsidRDefault="00522B8B" w:rsidP="00D85E97">
            <w:pPr>
              <w:jc w:val="both"/>
              <w:rPr>
                <w:rFonts w:ascii="Georgia" w:eastAsia="Times New Roman" w:hAnsi="Georgia" w:cs="Arial"/>
                <w:color w:val="000000"/>
                <w:sz w:val="18"/>
                <w:szCs w:val="18"/>
                <w:lang w:eastAsia="fr-FR"/>
              </w:rPr>
            </w:pPr>
          </w:p>
          <w:p w14:paraId="325AFFB1" w14:textId="019C4B78" w:rsidR="00522B8B" w:rsidRPr="00E33A5B" w:rsidRDefault="00522B8B" w:rsidP="00D85E97">
            <w:pPr>
              <w:jc w:val="both"/>
              <w:rPr>
                <w:rFonts w:ascii="Georgia" w:eastAsia="Times New Roman" w:hAnsi="Georgia" w:cs="Arial"/>
                <w:color w:val="000000"/>
                <w:sz w:val="18"/>
                <w:szCs w:val="18"/>
                <w:lang w:eastAsia="fr-FR"/>
              </w:rPr>
            </w:pPr>
          </w:p>
        </w:tc>
        <w:tc>
          <w:tcPr>
            <w:tcW w:w="2367" w:type="dxa"/>
            <w:tcBorders>
              <w:top w:val="nil"/>
              <w:left w:val="nil"/>
              <w:bottom w:val="single" w:sz="4" w:space="0" w:color="auto"/>
              <w:right w:val="single" w:sz="4" w:space="0" w:color="auto"/>
            </w:tcBorders>
            <w:shd w:val="clear" w:color="auto" w:fill="auto"/>
            <w:vAlign w:val="center"/>
          </w:tcPr>
          <w:p w14:paraId="680FF7F9" w14:textId="24FA0016" w:rsidR="00811FAF" w:rsidRPr="00E33A5B" w:rsidRDefault="00BC5C5A"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Populations Clés HSH et PS</w:t>
            </w:r>
          </w:p>
        </w:tc>
      </w:tr>
      <w:tr w:rsidR="00E33A5B" w:rsidRPr="00E33A5B" w14:paraId="4B789150" w14:textId="77777777" w:rsidTr="00E33A5B">
        <w:trPr>
          <w:trHeight w:val="765"/>
        </w:trPr>
        <w:tc>
          <w:tcPr>
            <w:tcW w:w="986" w:type="dxa"/>
            <w:tcBorders>
              <w:top w:val="nil"/>
              <w:left w:val="single" w:sz="4" w:space="0" w:color="auto"/>
              <w:bottom w:val="single" w:sz="4" w:space="0" w:color="auto"/>
              <w:right w:val="single" w:sz="4" w:space="0" w:color="auto"/>
            </w:tcBorders>
            <w:shd w:val="clear" w:color="auto" w:fill="auto"/>
            <w:vAlign w:val="center"/>
          </w:tcPr>
          <w:p w14:paraId="276F2DBC" w14:textId="77777777" w:rsidR="00BC5C5A" w:rsidRPr="00E33A5B" w:rsidRDefault="00BC5C5A"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6F3A5FE2" w14:textId="3110C84E" w:rsidR="00BC5C5A" w:rsidRPr="00E33A5B" w:rsidRDefault="00BC5C5A"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28 Sites PEC </w:t>
            </w:r>
          </w:p>
        </w:tc>
        <w:tc>
          <w:tcPr>
            <w:tcW w:w="4721" w:type="dxa"/>
            <w:tcBorders>
              <w:top w:val="nil"/>
              <w:left w:val="nil"/>
              <w:bottom w:val="single" w:sz="4" w:space="0" w:color="auto"/>
              <w:right w:val="single" w:sz="4" w:space="0" w:color="auto"/>
            </w:tcBorders>
            <w:shd w:val="clear" w:color="auto" w:fill="auto"/>
            <w:vAlign w:val="center"/>
          </w:tcPr>
          <w:p w14:paraId="2D7D5218" w14:textId="665AD6F9" w:rsidR="00BC5C5A" w:rsidRPr="00E33A5B" w:rsidRDefault="00BC5C5A"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Amélioration de la rétention et qualité des services dans 28 sites PEC de 90% du cohorte. </w:t>
            </w:r>
          </w:p>
        </w:tc>
        <w:tc>
          <w:tcPr>
            <w:tcW w:w="2367" w:type="dxa"/>
            <w:tcBorders>
              <w:top w:val="nil"/>
              <w:left w:val="nil"/>
              <w:bottom w:val="single" w:sz="4" w:space="0" w:color="auto"/>
              <w:right w:val="single" w:sz="4" w:space="0" w:color="auto"/>
            </w:tcBorders>
            <w:shd w:val="clear" w:color="auto" w:fill="auto"/>
            <w:vAlign w:val="center"/>
          </w:tcPr>
          <w:p w14:paraId="3BC33943" w14:textId="43848405" w:rsidR="00BC5C5A" w:rsidRPr="00E33A5B" w:rsidRDefault="00BC5C5A"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PVVIH </w:t>
            </w:r>
          </w:p>
        </w:tc>
      </w:tr>
      <w:tr w:rsidR="005919EB" w:rsidRPr="00E33A5B" w14:paraId="7E680B24" w14:textId="77777777" w:rsidTr="00E33A5B">
        <w:trPr>
          <w:trHeight w:val="297"/>
        </w:trPr>
        <w:tc>
          <w:tcPr>
            <w:tcW w:w="10062"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14:paraId="504B938B" w14:textId="6470D6BA" w:rsidR="005919EB" w:rsidRPr="00E33A5B" w:rsidRDefault="005919EB" w:rsidP="00D85E97">
            <w:pPr>
              <w:jc w:val="both"/>
              <w:rPr>
                <w:rFonts w:ascii="Georgia" w:eastAsia="Times New Roman" w:hAnsi="Georgia" w:cs="Arial"/>
                <w:b/>
                <w:bCs/>
                <w:color w:val="000000"/>
                <w:sz w:val="18"/>
                <w:szCs w:val="18"/>
                <w:lang w:eastAsia="fr-FR"/>
              </w:rPr>
            </w:pPr>
            <w:r w:rsidRPr="00E33A5B">
              <w:rPr>
                <w:rFonts w:ascii="Georgia" w:eastAsia="Times New Roman" w:hAnsi="Georgia" w:cs="Arial"/>
                <w:b/>
                <w:bCs/>
                <w:color w:val="000000"/>
                <w:sz w:val="18"/>
                <w:szCs w:val="18"/>
                <w:lang w:eastAsia="fr-FR"/>
              </w:rPr>
              <w:t>Formation / supervision</w:t>
            </w:r>
            <w:r w:rsidR="00522B8B" w:rsidRPr="00E33A5B">
              <w:rPr>
                <w:rFonts w:ascii="Georgia" w:eastAsia="Times New Roman" w:hAnsi="Georgia" w:cs="Arial"/>
                <w:b/>
                <w:bCs/>
                <w:color w:val="000000"/>
                <w:sz w:val="18"/>
                <w:szCs w:val="18"/>
                <w:lang w:eastAsia="fr-FR"/>
              </w:rPr>
              <w:t xml:space="preserve"> </w:t>
            </w:r>
            <w:r w:rsidR="00B90285" w:rsidRPr="00E33A5B">
              <w:rPr>
                <w:rFonts w:ascii="Georgia" w:eastAsia="Times New Roman" w:hAnsi="Georgia" w:cs="Arial"/>
                <w:b/>
                <w:bCs/>
                <w:color w:val="000000"/>
                <w:sz w:val="18"/>
                <w:szCs w:val="18"/>
                <w:lang w:eastAsia="fr-FR"/>
              </w:rPr>
              <w:t>/ Mise en Place</w:t>
            </w:r>
          </w:p>
        </w:tc>
      </w:tr>
      <w:tr w:rsidR="00E33A5B" w:rsidRPr="00E33A5B" w14:paraId="28653C97" w14:textId="77777777" w:rsidTr="00E33A5B">
        <w:trPr>
          <w:trHeight w:val="1116"/>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78806780"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710F8A6A"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Centres PEC et PTME</w:t>
            </w:r>
          </w:p>
        </w:tc>
        <w:tc>
          <w:tcPr>
            <w:tcW w:w="4721" w:type="dxa"/>
            <w:tcBorders>
              <w:top w:val="nil"/>
              <w:left w:val="nil"/>
              <w:bottom w:val="single" w:sz="4" w:space="0" w:color="auto"/>
              <w:right w:val="single" w:sz="4" w:space="0" w:color="auto"/>
            </w:tcBorders>
            <w:shd w:val="clear" w:color="auto" w:fill="auto"/>
            <w:vAlign w:val="center"/>
            <w:hideMark/>
          </w:tcPr>
          <w:p w14:paraId="7C3DFA84"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Tutorat clinique des personnels des nouveaux centres de PEC et des centres à « faible qualité » de prise en charge</w:t>
            </w:r>
          </w:p>
        </w:tc>
        <w:tc>
          <w:tcPr>
            <w:tcW w:w="2367" w:type="dxa"/>
            <w:tcBorders>
              <w:top w:val="nil"/>
              <w:left w:val="nil"/>
              <w:bottom w:val="single" w:sz="4" w:space="0" w:color="auto"/>
              <w:right w:val="single" w:sz="4" w:space="0" w:color="auto"/>
            </w:tcBorders>
            <w:shd w:val="clear" w:color="auto" w:fill="auto"/>
            <w:vAlign w:val="center"/>
            <w:hideMark/>
          </w:tcPr>
          <w:p w14:paraId="70C09D73"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Nouveaux centres dépistage – PEC (CDT intégrés dans la PEC, centres PTME transformés en PEC/PTME).</w:t>
            </w:r>
            <w:r w:rsidRPr="00E33A5B">
              <w:rPr>
                <w:rFonts w:ascii="Georgia" w:eastAsia="Times New Roman" w:hAnsi="Georgia" w:cs="Arial"/>
                <w:color w:val="000000"/>
                <w:sz w:val="18"/>
                <w:szCs w:val="18"/>
                <w:lang w:eastAsia="fr-FR"/>
              </w:rPr>
              <w:br/>
              <w:t>Centres PEC à « faible qualité » suite à l’évaluation.</w:t>
            </w:r>
          </w:p>
        </w:tc>
      </w:tr>
      <w:tr w:rsidR="00E33A5B" w:rsidRPr="00E33A5B" w14:paraId="19459719" w14:textId="77777777" w:rsidTr="00E33A5B">
        <w:trPr>
          <w:trHeight w:val="935"/>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ED2316A"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70BE9110"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Centres PEC et PTME</w:t>
            </w:r>
          </w:p>
        </w:tc>
        <w:tc>
          <w:tcPr>
            <w:tcW w:w="4721" w:type="dxa"/>
            <w:tcBorders>
              <w:top w:val="nil"/>
              <w:left w:val="nil"/>
              <w:bottom w:val="single" w:sz="4" w:space="0" w:color="auto"/>
              <w:right w:val="single" w:sz="4" w:space="0" w:color="auto"/>
            </w:tcBorders>
            <w:shd w:val="clear" w:color="auto" w:fill="auto"/>
            <w:vAlign w:val="center"/>
            <w:hideMark/>
          </w:tcPr>
          <w:p w14:paraId="59CFFFAF"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Supervision formative des chefs de centres, chargés de la PTME, des pharmaciens</w:t>
            </w:r>
          </w:p>
        </w:tc>
        <w:tc>
          <w:tcPr>
            <w:tcW w:w="2367" w:type="dxa"/>
            <w:tcBorders>
              <w:top w:val="nil"/>
              <w:left w:val="nil"/>
              <w:bottom w:val="single" w:sz="4" w:space="0" w:color="auto"/>
              <w:right w:val="single" w:sz="4" w:space="0" w:color="auto"/>
            </w:tcBorders>
            <w:shd w:val="clear" w:color="auto" w:fill="auto"/>
            <w:vAlign w:val="bottom"/>
            <w:hideMark/>
          </w:tcPr>
          <w:p w14:paraId="1B90B392"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26 centres de PEC à « grande cohorte ».</w:t>
            </w:r>
            <w:r w:rsidRPr="00E33A5B">
              <w:rPr>
                <w:rFonts w:ascii="Georgia" w:eastAsia="Times New Roman" w:hAnsi="Georgia" w:cs="Arial"/>
                <w:color w:val="000000"/>
                <w:sz w:val="18"/>
                <w:szCs w:val="18"/>
                <w:lang w:eastAsia="fr-FR"/>
              </w:rPr>
              <w:br/>
              <w:t>Centres prioritaires PTME (après évaluation des 66 centres de PTME-en cours).</w:t>
            </w:r>
          </w:p>
        </w:tc>
      </w:tr>
      <w:tr w:rsidR="00E33A5B" w:rsidRPr="00E33A5B" w14:paraId="692872BA" w14:textId="77777777" w:rsidTr="00E33A5B">
        <w:trPr>
          <w:trHeight w:val="635"/>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DC25042"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428DB3F7"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Communautaires</w:t>
            </w:r>
          </w:p>
        </w:tc>
        <w:tc>
          <w:tcPr>
            <w:tcW w:w="4721" w:type="dxa"/>
            <w:tcBorders>
              <w:top w:val="nil"/>
              <w:left w:val="nil"/>
              <w:bottom w:val="single" w:sz="4" w:space="0" w:color="auto"/>
              <w:right w:val="single" w:sz="4" w:space="0" w:color="auto"/>
            </w:tcBorders>
            <w:shd w:val="clear" w:color="auto" w:fill="auto"/>
            <w:vAlign w:val="center"/>
            <w:hideMark/>
          </w:tcPr>
          <w:p w14:paraId="513DE937"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Réviser les guides de formation des APS pour intégrer les nouveaux enjeux et stratégies.</w:t>
            </w:r>
          </w:p>
        </w:tc>
        <w:tc>
          <w:tcPr>
            <w:tcW w:w="2367" w:type="dxa"/>
            <w:tcBorders>
              <w:top w:val="nil"/>
              <w:left w:val="nil"/>
              <w:bottom w:val="single" w:sz="4" w:space="0" w:color="auto"/>
              <w:right w:val="single" w:sz="4" w:space="0" w:color="auto"/>
            </w:tcBorders>
            <w:shd w:val="clear" w:color="auto" w:fill="auto"/>
            <w:vAlign w:val="center"/>
            <w:hideMark/>
          </w:tcPr>
          <w:p w14:paraId="4F28BEB1"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r>
      <w:tr w:rsidR="00E33A5B" w:rsidRPr="00E33A5B" w14:paraId="7658E83A" w14:textId="77777777" w:rsidTr="00E33A5B">
        <w:trPr>
          <w:trHeight w:val="7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FC62F06"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0106D0C6"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Communautaires</w:t>
            </w:r>
          </w:p>
        </w:tc>
        <w:tc>
          <w:tcPr>
            <w:tcW w:w="4721" w:type="dxa"/>
            <w:tcBorders>
              <w:top w:val="nil"/>
              <w:left w:val="nil"/>
              <w:bottom w:val="single" w:sz="4" w:space="0" w:color="auto"/>
              <w:right w:val="single" w:sz="4" w:space="0" w:color="auto"/>
            </w:tcBorders>
            <w:shd w:val="clear" w:color="auto" w:fill="auto"/>
            <w:vAlign w:val="center"/>
            <w:hideMark/>
          </w:tcPr>
          <w:p w14:paraId="7D83FC5D"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Formation des acteurs membres des populations clés : dépistage « index », éducation thérapeutique, mobilisation.</w:t>
            </w:r>
          </w:p>
        </w:tc>
        <w:tc>
          <w:tcPr>
            <w:tcW w:w="2367" w:type="dxa"/>
            <w:tcBorders>
              <w:top w:val="nil"/>
              <w:left w:val="nil"/>
              <w:bottom w:val="single" w:sz="4" w:space="0" w:color="auto"/>
              <w:right w:val="single" w:sz="4" w:space="0" w:color="auto"/>
            </w:tcBorders>
            <w:shd w:val="clear" w:color="auto" w:fill="auto"/>
            <w:vAlign w:val="center"/>
            <w:hideMark/>
          </w:tcPr>
          <w:p w14:paraId="4B758415"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Zones d'intervention des unités mobiles et équipes mobiles.</w:t>
            </w:r>
          </w:p>
        </w:tc>
      </w:tr>
      <w:tr w:rsidR="00E33A5B" w:rsidRPr="00E33A5B" w14:paraId="48264722" w14:textId="77777777" w:rsidTr="00E33A5B">
        <w:trPr>
          <w:trHeight w:val="726"/>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BD1E7AA"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4" w:space="0" w:color="auto"/>
              <w:right w:val="single" w:sz="4" w:space="0" w:color="auto"/>
            </w:tcBorders>
            <w:shd w:val="clear" w:color="auto" w:fill="auto"/>
            <w:vAlign w:val="center"/>
            <w:hideMark/>
          </w:tcPr>
          <w:p w14:paraId="4EB1427E"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Communautaires</w:t>
            </w:r>
          </w:p>
        </w:tc>
        <w:tc>
          <w:tcPr>
            <w:tcW w:w="4721" w:type="dxa"/>
            <w:tcBorders>
              <w:top w:val="nil"/>
              <w:left w:val="nil"/>
              <w:bottom w:val="single" w:sz="4" w:space="0" w:color="auto"/>
              <w:right w:val="single" w:sz="4" w:space="0" w:color="auto"/>
            </w:tcBorders>
            <w:shd w:val="clear" w:color="auto" w:fill="auto"/>
            <w:vAlign w:val="center"/>
            <w:hideMark/>
          </w:tcPr>
          <w:p w14:paraId="0150BE88"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Formation des membres des associations de PVVIH et APS pour l’éducation thérapeutique </w:t>
            </w:r>
          </w:p>
        </w:tc>
        <w:tc>
          <w:tcPr>
            <w:tcW w:w="2367" w:type="dxa"/>
            <w:tcBorders>
              <w:top w:val="nil"/>
              <w:left w:val="nil"/>
              <w:bottom w:val="single" w:sz="4" w:space="0" w:color="auto"/>
              <w:right w:val="single" w:sz="4" w:space="0" w:color="auto"/>
            </w:tcBorders>
            <w:shd w:val="clear" w:color="auto" w:fill="auto"/>
            <w:vAlign w:val="center"/>
            <w:hideMark/>
          </w:tcPr>
          <w:p w14:paraId="11AA2A52" w14:textId="7356B340"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Régions prioritaires (Kankan, Nzéré</w:t>
            </w:r>
            <w:r w:rsidR="006F7C74">
              <w:rPr>
                <w:rFonts w:ascii="Georgia" w:eastAsia="Times New Roman" w:hAnsi="Georgia" w:cs="Arial"/>
                <w:color w:val="000000"/>
                <w:sz w:val="18"/>
                <w:szCs w:val="18"/>
                <w:lang w:eastAsia="fr-FR"/>
              </w:rPr>
              <w:t>k</w:t>
            </w:r>
            <w:r w:rsidRPr="00E33A5B">
              <w:rPr>
                <w:rFonts w:ascii="Georgia" w:eastAsia="Times New Roman" w:hAnsi="Georgia" w:cs="Arial"/>
                <w:color w:val="000000"/>
                <w:sz w:val="18"/>
                <w:szCs w:val="18"/>
                <w:lang w:eastAsia="fr-FR"/>
              </w:rPr>
              <w:t>oré, Boké ?)</w:t>
            </w:r>
          </w:p>
        </w:tc>
      </w:tr>
      <w:tr w:rsidR="00E33A5B" w:rsidRPr="00E33A5B" w14:paraId="370B17E5" w14:textId="77777777" w:rsidTr="00E33A5B">
        <w:trPr>
          <w:trHeight w:val="726"/>
        </w:trPr>
        <w:tc>
          <w:tcPr>
            <w:tcW w:w="986" w:type="dxa"/>
            <w:tcBorders>
              <w:top w:val="nil"/>
              <w:left w:val="single" w:sz="4" w:space="0" w:color="auto"/>
              <w:bottom w:val="single" w:sz="4" w:space="0" w:color="auto"/>
              <w:right w:val="single" w:sz="4" w:space="0" w:color="auto"/>
            </w:tcBorders>
            <w:shd w:val="clear" w:color="auto" w:fill="auto"/>
            <w:vAlign w:val="center"/>
          </w:tcPr>
          <w:p w14:paraId="70589EFB" w14:textId="77777777" w:rsidR="00B90285" w:rsidRPr="00E33A5B" w:rsidRDefault="00B90285"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12D7FD52" w14:textId="6554344D" w:rsidR="00B90285" w:rsidRPr="00E33A5B" w:rsidRDefault="00B9028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APS </w:t>
            </w:r>
          </w:p>
        </w:tc>
        <w:tc>
          <w:tcPr>
            <w:tcW w:w="4721" w:type="dxa"/>
            <w:tcBorders>
              <w:top w:val="nil"/>
              <w:left w:val="nil"/>
              <w:bottom w:val="single" w:sz="4" w:space="0" w:color="auto"/>
              <w:right w:val="single" w:sz="4" w:space="0" w:color="auto"/>
            </w:tcBorders>
            <w:shd w:val="clear" w:color="auto" w:fill="auto"/>
            <w:vAlign w:val="center"/>
          </w:tcPr>
          <w:p w14:paraId="039961CF" w14:textId="77777777" w:rsidR="00B90285" w:rsidRPr="00E33A5B" w:rsidRDefault="00B9028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Augmentation du nombre d’APS déployés dans les sites à grande cohorte pour l’appui psychosocial et mobilisation familles et communautés pour le dépistage.</w:t>
            </w:r>
          </w:p>
          <w:p w14:paraId="031DE944" w14:textId="2E49F993" w:rsidR="00B90285" w:rsidRPr="00E33A5B" w:rsidRDefault="00B9028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lastRenderedPageBreak/>
              <w:t></w:t>
            </w:r>
            <w:r w:rsidRPr="00E33A5B">
              <w:rPr>
                <w:rFonts w:ascii="Georgia" w:eastAsia="Times New Roman" w:hAnsi="Georgia" w:cs="Arial"/>
                <w:color w:val="000000"/>
                <w:sz w:val="18"/>
                <w:szCs w:val="18"/>
                <w:lang w:eastAsia="fr-FR"/>
              </w:rPr>
              <w:tab/>
              <w:t>1 APS / 500 patients (mais à voir 1 APS pour 300 afin d’améliorer la qualité).</w:t>
            </w:r>
          </w:p>
        </w:tc>
        <w:tc>
          <w:tcPr>
            <w:tcW w:w="2367" w:type="dxa"/>
            <w:tcBorders>
              <w:top w:val="nil"/>
              <w:left w:val="nil"/>
              <w:bottom w:val="single" w:sz="4" w:space="0" w:color="auto"/>
              <w:right w:val="single" w:sz="4" w:space="0" w:color="auto"/>
            </w:tcBorders>
            <w:shd w:val="clear" w:color="auto" w:fill="auto"/>
            <w:vAlign w:val="center"/>
          </w:tcPr>
          <w:p w14:paraId="2D8A8B34" w14:textId="77777777" w:rsidR="00B90285" w:rsidRPr="00E33A5B" w:rsidRDefault="00B90285" w:rsidP="00D85E97">
            <w:pPr>
              <w:jc w:val="both"/>
              <w:rPr>
                <w:rFonts w:ascii="Georgia" w:eastAsia="Times New Roman" w:hAnsi="Georgia" w:cs="Arial"/>
                <w:color w:val="000000"/>
                <w:sz w:val="18"/>
                <w:szCs w:val="18"/>
                <w:lang w:eastAsia="fr-FR"/>
              </w:rPr>
            </w:pPr>
          </w:p>
        </w:tc>
      </w:tr>
      <w:tr w:rsidR="00E33A5B" w:rsidRPr="00E33A5B" w14:paraId="2C817A80" w14:textId="77777777" w:rsidTr="00E33A5B">
        <w:trPr>
          <w:trHeight w:val="726"/>
        </w:trPr>
        <w:tc>
          <w:tcPr>
            <w:tcW w:w="986" w:type="dxa"/>
            <w:tcBorders>
              <w:top w:val="nil"/>
              <w:left w:val="single" w:sz="4" w:space="0" w:color="auto"/>
              <w:bottom w:val="single" w:sz="4" w:space="0" w:color="auto"/>
              <w:right w:val="single" w:sz="4" w:space="0" w:color="auto"/>
            </w:tcBorders>
            <w:shd w:val="clear" w:color="auto" w:fill="auto"/>
            <w:vAlign w:val="center"/>
          </w:tcPr>
          <w:p w14:paraId="272AF68D" w14:textId="77777777" w:rsidR="00B90285" w:rsidRPr="00E33A5B" w:rsidRDefault="00B90285"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36414DD3" w14:textId="716A987B" w:rsidR="00B90285" w:rsidRPr="00E33A5B" w:rsidRDefault="00B77B5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Réseaux</w:t>
            </w:r>
            <w:r w:rsidR="00B90285" w:rsidRPr="00E33A5B">
              <w:rPr>
                <w:rFonts w:ascii="Georgia" w:eastAsia="Times New Roman" w:hAnsi="Georgia" w:cs="Arial"/>
                <w:color w:val="000000"/>
                <w:sz w:val="18"/>
                <w:szCs w:val="18"/>
                <w:lang w:eastAsia="fr-FR"/>
              </w:rPr>
              <w:t xml:space="preserve"> Communautaires</w:t>
            </w:r>
          </w:p>
        </w:tc>
        <w:tc>
          <w:tcPr>
            <w:tcW w:w="4721" w:type="dxa"/>
            <w:tcBorders>
              <w:top w:val="nil"/>
              <w:left w:val="nil"/>
              <w:bottom w:val="single" w:sz="4" w:space="0" w:color="auto"/>
              <w:right w:val="single" w:sz="4" w:space="0" w:color="auto"/>
            </w:tcBorders>
            <w:shd w:val="clear" w:color="auto" w:fill="auto"/>
            <w:vAlign w:val="center"/>
          </w:tcPr>
          <w:p w14:paraId="135A7C88" w14:textId="77777777" w:rsidR="00B90285" w:rsidRPr="00E33A5B" w:rsidRDefault="00B9028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Groupes communautaires de traitement.</w:t>
            </w:r>
          </w:p>
          <w:p w14:paraId="02535FE3" w14:textId="11681C17" w:rsidR="00B90285" w:rsidRPr="00E33A5B" w:rsidRDefault="00B90285"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Le GCT est un groupe créé par les personnes intéressées et avec une personne qui collecte les ARV pour les autres membres du groupe selon des modalités et une périodicité définie par les membres du groupe. Un tel groupe existerait déjà à Boké à l’initiative des PVVIH et du personnel soignant.</w:t>
            </w:r>
          </w:p>
        </w:tc>
        <w:tc>
          <w:tcPr>
            <w:tcW w:w="2367" w:type="dxa"/>
            <w:tcBorders>
              <w:top w:val="nil"/>
              <w:left w:val="nil"/>
              <w:bottom w:val="single" w:sz="4" w:space="0" w:color="auto"/>
              <w:right w:val="single" w:sz="4" w:space="0" w:color="auto"/>
            </w:tcBorders>
            <w:shd w:val="clear" w:color="auto" w:fill="auto"/>
            <w:vAlign w:val="center"/>
          </w:tcPr>
          <w:p w14:paraId="3D88F264" w14:textId="77777777" w:rsidR="00B90285" w:rsidRDefault="006F7C74"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Réseaux / associations de PVVIH</w:t>
            </w:r>
          </w:p>
          <w:p w14:paraId="53923ED6" w14:textId="72CE671D" w:rsidR="006F7C74" w:rsidRPr="00E33A5B" w:rsidRDefault="006F7C74"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Prescripteurs des sites de PEC</w:t>
            </w:r>
          </w:p>
        </w:tc>
      </w:tr>
      <w:tr w:rsidR="00522B8B" w:rsidRPr="00E33A5B" w14:paraId="6D0EFC02" w14:textId="77777777" w:rsidTr="00B77B5B">
        <w:trPr>
          <w:trHeight w:val="391"/>
        </w:trPr>
        <w:tc>
          <w:tcPr>
            <w:tcW w:w="1006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48FB5594" w14:textId="49C7CD6E" w:rsidR="00522B8B" w:rsidRPr="006F7C74" w:rsidRDefault="00522B8B" w:rsidP="00D85E97">
            <w:pPr>
              <w:jc w:val="both"/>
              <w:rPr>
                <w:rFonts w:ascii="Georgia" w:eastAsia="Times New Roman" w:hAnsi="Georgia" w:cs="Arial"/>
                <w:b/>
                <w:color w:val="000000"/>
                <w:sz w:val="18"/>
                <w:szCs w:val="18"/>
                <w:lang w:eastAsia="fr-FR"/>
              </w:rPr>
            </w:pPr>
            <w:r w:rsidRPr="006F7C74">
              <w:rPr>
                <w:rFonts w:ascii="Georgia" w:eastAsia="Times New Roman" w:hAnsi="Georgia" w:cs="Arial"/>
                <w:b/>
                <w:color w:val="000000"/>
                <w:sz w:val="18"/>
                <w:szCs w:val="18"/>
                <w:lang w:eastAsia="fr-FR"/>
              </w:rPr>
              <w:t>Suivi - Biologique</w:t>
            </w:r>
          </w:p>
        </w:tc>
      </w:tr>
      <w:tr w:rsidR="00E33A5B" w:rsidRPr="00E33A5B" w14:paraId="18946E07" w14:textId="77777777" w:rsidTr="00E33A5B">
        <w:trPr>
          <w:trHeight w:val="726"/>
        </w:trPr>
        <w:tc>
          <w:tcPr>
            <w:tcW w:w="986" w:type="dxa"/>
            <w:tcBorders>
              <w:top w:val="nil"/>
              <w:left w:val="single" w:sz="4" w:space="0" w:color="auto"/>
              <w:bottom w:val="single" w:sz="4" w:space="0" w:color="auto"/>
              <w:right w:val="single" w:sz="4" w:space="0" w:color="auto"/>
            </w:tcBorders>
            <w:shd w:val="clear" w:color="auto" w:fill="auto"/>
            <w:vAlign w:val="center"/>
          </w:tcPr>
          <w:p w14:paraId="17CF88D7" w14:textId="77777777" w:rsidR="00522B8B" w:rsidRPr="00E33A5B" w:rsidRDefault="00522B8B" w:rsidP="00D85E97">
            <w:pPr>
              <w:jc w:val="both"/>
              <w:rPr>
                <w:rFonts w:ascii="Georgia" w:eastAsia="Times New Roman" w:hAnsi="Georgia" w:cs="Arial"/>
                <w:color w:val="000000"/>
                <w:sz w:val="18"/>
                <w:szCs w:val="18"/>
                <w:lang w:eastAsia="fr-FR"/>
              </w:rPr>
            </w:pPr>
          </w:p>
        </w:tc>
        <w:tc>
          <w:tcPr>
            <w:tcW w:w="1988" w:type="dxa"/>
            <w:tcBorders>
              <w:top w:val="nil"/>
              <w:left w:val="nil"/>
              <w:bottom w:val="single" w:sz="4" w:space="0" w:color="auto"/>
              <w:right w:val="single" w:sz="4" w:space="0" w:color="auto"/>
            </w:tcBorders>
            <w:shd w:val="clear" w:color="auto" w:fill="auto"/>
            <w:vAlign w:val="center"/>
          </w:tcPr>
          <w:p w14:paraId="0FC156BB" w14:textId="18E774C5"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28 Sites PEC</w:t>
            </w:r>
          </w:p>
        </w:tc>
        <w:tc>
          <w:tcPr>
            <w:tcW w:w="4721" w:type="dxa"/>
            <w:tcBorders>
              <w:top w:val="nil"/>
              <w:left w:val="nil"/>
              <w:bottom w:val="single" w:sz="4" w:space="0" w:color="auto"/>
              <w:right w:val="single" w:sz="4" w:space="0" w:color="auto"/>
            </w:tcBorders>
            <w:shd w:val="clear" w:color="auto" w:fill="auto"/>
            <w:vAlign w:val="center"/>
          </w:tcPr>
          <w:p w14:paraId="108A4980" w14:textId="07F0EBF2"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Charge Virale </w:t>
            </w:r>
          </w:p>
          <w:p w14:paraId="3B1E6815" w14:textId="77777777" w:rsidR="00522B8B" w:rsidRPr="00E33A5B" w:rsidRDefault="00522B8B" w:rsidP="00D85E97">
            <w:pPr>
              <w:jc w:val="both"/>
              <w:rPr>
                <w:rFonts w:ascii="Georgia" w:eastAsia="Times New Roman" w:hAnsi="Georgia" w:cs="Arial"/>
                <w:color w:val="000000"/>
                <w:sz w:val="18"/>
                <w:szCs w:val="18"/>
                <w:lang w:eastAsia="fr-FR"/>
              </w:rPr>
            </w:pPr>
          </w:p>
          <w:p w14:paraId="74D41DA9" w14:textId="24325CCA"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 Vérifier que tous les prescripteurs des sites PEC sont formés</w:t>
            </w:r>
          </w:p>
          <w:p w14:paraId="0882E465" w14:textId="274F9AE4"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 Mettre en place un réseau de transport des échantillon (voir réseau de transport DBS) vers les laboratoires.</w:t>
            </w:r>
          </w:p>
          <w:p w14:paraId="20809DE2"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A noter : Solthis a calculé les ratios de machines par rapport aux besoins et par rapport aux ressources humaines disponible. La Guinée est couverte même si toutes les machines sont à Conakry.</w:t>
            </w:r>
          </w:p>
          <w:p w14:paraId="01359A82" w14:textId="77777777" w:rsidR="00522B8B" w:rsidRPr="00E33A5B" w:rsidRDefault="00522B8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w:t>
            </w:r>
            <w:r w:rsidRPr="00E33A5B">
              <w:rPr>
                <w:rFonts w:ascii="Georgia" w:eastAsia="Times New Roman" w:hAnsi="Georgia" w:cs="Arial"/>
                <w:color w:val="000000"/>
                <w:sz w:val="18"/>
                <w:szCs w:val="18"/>
                <w:lang w:eastAsia="fr-FR"/>
              </w:rPr>
              <w:tab/>
              <w:t>Le rendu des résultats reste une problématique importante.</w:t>
            </w:r>
          </w:p>
          <w:p w14:paraId="0729075F" w14:textId="59FBEB61" w:rsidR="00522B8B" w:rsidRPr="00E33A5B" w:rsidRDefault="00B77B5B"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w:t>
            </w:r>
            <w:r>
              <w:rPr>
                <w:rFonts w:ascii="Georgia" w:eastAsia="Times New Roman" w:hAnsi="Georgia" w:cs="Arial"/>
                <w:color w:val="000000"/>
                <w:sz w:val="18"/>
                <w:szCs w:val="18"/>
                <w:lang w:eastAsia="fr-FR"/>
              </w:rPr>
              <w:tab/>
              <w:t>le projet OppERA</w:t>
            </w:r>
            <w:r w:rsidR="00522B8B" w:rsidRPr="00E33A5B">
              <w:rPr>
                <w:rFonts w:ascii="Georgia" w:eastAsia="Times New Roman" w:hAnsi="Georgia" w:cs="Arial"/>
                <w:color w:val="000000"/>
                <w:sz w:val="18"/>
                <w:szCs w:val="18"/>
                <w:lang w:eastAsia="fr-FR"/>
              </w:rPr>
              <w:t xml:space="preserve"> mis en œuvre actuellement par Solthis sur financement Unitaid prend fin le 31 juillet 2019. Il est donc urgent d’opérationnaliser les appareils existants et d’optimiser le dispositif de prescription d’examens, collecte des échantillons et rendu des résultats. La spatialisation du dispositif de prise en charge permettra d’avoir une vision claire du rapport appareil / file active.</w:t>
            </w:r>
          </w:p>
        </w:tc>
        <w:tc>
          <w:tcPr>
            <w:tcW w:w="2367" w:type="dxa"/>
            <w:tcBorders>
              <w:top w:val="nil"/>
              <w:left w:val="nil"/>
              <w:bottom w:val="single" w:sz="4" w:space="0" w:color="auto"/>
              <w:right w:val="single" w:sz="4" w:space="0" w:color="auto"/>
            </w:tcBorders>
            <w:shd w:val="clear" w:color="auto" w:fill="auto"/>
            <w:vAlign w:val="center"/>
          </w:tcPr>
          <w:p w14:paraId="4C0C8D45" w14:textId="77777777" w:rsidR="00522B8B" w:rsidRPr="00E33A5B" w:rsidRDefault="00522B8B" w:rsidP="00D85E97">
            <w:pPr>
              <w:jc w:val="both"/>
              <w:rPr>
                <w:rFonts w:ascii="Georgia" w:eastAsia="Times New Roman" w:hAnsi="Georgia" w:cs="Arial"/>
                <w:color w:val="000000"/>
                <w:sz w:val="18"/>
                <w:szCs w:val="18"/>
                <w:lang w:eastAsia="fr-FR"/>
              </w:rPr>
            </w:pPr>
          </w:p>
        </w:tc>
      </w:tr>
      <w:tr w:rsidR="005919EB" w:rsidRPr="00E33A5B" w14:paraId="7CE817F7" w14:textId="77777777" w:rsidTr="00E33A5B">
        <w:trPr>
          <w:trHeight w:val="316"/>
        </w:trPr>
        <w:tc>
          <w:tcPr>
            <w:tcW w:w="10062" w:type="dxa"/>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F83C34B" w14:textId="77777777" w:rsidR="005919EB" w:rsidRPr="006F7C74" w:rsidRDefault="005919EB" w:rsidP="00D85E97">
            <w:pPr>
              <w:jc w:val="both"/>
              <w:rPr>
                <w:rFonts w:ascii="Georgia" w:eastAsia="Times New Roman" w:hAnsi="Georgia" w:cs="Arial"/>
                <w:b/>
                <w:color w:val="000000"/>
                <w:sz w:val="18"/>
                <w:szCs w:val="18"/>
                <w:lang w:eastAsia="fr-FR"/>
              </w:rPr>
            </w:pPr>
            <w:r w:rsidRPr="006F7C74">
              <w:rPr>
                <w:rFonts w:ascii="Georgia" w:eastAsia="Times New Roman" w:hAnsi="Georgia" w:cs="Arial"/>
                <w:b/>
                <w:color w:val="000000"/>
                <w:sz w:val="18"/>
                <w:szCs w:val="18"/>
                <w:lang w:eastAsia="fr-FR"/>
              </w:rPr>
              <w:t>Suivi - Evaluation</w:t>
            </w:r>
          </w:p>
        </w:tc>
      </w:tr>
      <w:tr w:rsidR="00E33A5B" w:rsidRPr="00E33A5B" w14:paraId="5202E8C6" w14:textId="77777777" w:rsidTr="00E33A5B">
        <w:trPr>
          <w:trHeight w:val="465"/>
        </w:trPr>
        <w:tc>
          <w:tcPr>
            <w:tcW w:w="986" w:type="dxa"/>
            <w:tcBorders>
              <w:top w:val="nil"/>
              <w:left w:val="single" w:sz="8" w:space="0" w:color="auto"/>
              <w:bottom w:val="single" w:sz="8" w:space="0" w:color="auto"/>
              <w:right w:val="single" w:sz="8" w:space="0" w:color="auto"/>
            </w:tcBorders>
            <w:shd w:val="clear" w:color="auto" w:fill="auto"/>
            <w:vAlign w:val="center"/>
            <w:hideMark/>
          </w:tcPr>
          <w:p w14:paraId="6EEC6B85"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8" w:space="0" w:color="auto"/>
              <w:right w:val="single" w:sz="8" w:space="0" w:color="auto"/>
            </w:tcBorders>
            <w:shd w:val="clear" w:color="auto" w:fill="auto"/>
            <w:vAlign w:val="center"/>
            <w:hideMark/>
          </w:tcPr>
          <w:p w14:paraId="7EE5B2D7" w14:textId="3A411EEF" w:rsidR="005919EB"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28 sites à grande cohorte </w:t>
            </w:r>
          </w:p>
        </w:tc>
        <w:tc>
          <w:tcPr>
            <w:tcW w:w="4721" w:type="dxa"/>
            <w:tcBorders>
              <w:top w:val="nil"/>
              <w:left w:val="nil"/>
              <w:bottom w:val="single" w:sz="8" w:space="0" w:color="auto"/>
              <w:right w:val="single" w:sz="8" w:space="0" w:color="auto"/>
            </w:tcBorders>
            <w:shd w:val="clear" w:color="auto" w:fill="auto"/>
            <w:vAlign w:val="center"/>
            <w:hideMark/>
          </w:tcPr>
          <w:p w14:paraId="4D0AE71A"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Finaliser le déploiement du MSR</w:t>
            </w:r>
          </w:p>
        </w:tc>
        <w:tc>
          <w:tcPr>
            <w:tcW w:w="2367" w:type="dxa"/>
            <w:tcBorders>
              <w:top w:val="nil"/>
              <w:left w:val="nil"/>
              <w:bottom w:val="single" w:sz="8" w:space="0" w:color="auto"/>
              <w:right w:val="single" w:sz="8" w:space="0" w:color="auto"/>
            </w:tcBorders>
            <w:shd w:val="clear" w:color="auto" w:fill="auto"/>
            <w:vAlign w:val="center"/>
            <w:hideMark/>
          </w:tcPr>
          <w:p w14:paraId="3650BA2C" w14:textId="1DD66373" w:rsidR="005919EB"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Staff de S&amp;E </w:t>
            </w:r>
          </w:p>
        </w:tc>
      </w:tr>
      <w:tr w:rsidR="00E33A5B" w:rsidRPr="00E33A5B" w14:paraId="152DF9FE" w14:textId="77777777" w:rsidTr="00E33A5B">
        <w:trPr>
          <w:trHeight w:val="769"/>
        </w:trPr>
        <w:tc>
          <w:tcPr>
            <w:tcW w:w="986" w:type="dxa"/>
            <w:tcBorders>
              <w:top w:val="nil"/>
              <w:left w:val="single" w:sz="8" w:space="0" w:color="auto"/>
              <w:bottom w:val="single" w:sz="8" w:space="0" w:color="auto"/>
              <w:right w:val="single" w:sz="8" w:space="0" w:color="auto"/>
            </w:tcBorders>
            <w:shd w:val="clear" w:color="auto" w:fill="auto"/>
            <w:vAlign w:val="center"/>
            <w:hideMark/>
          </w:tcPr>
          <w:p w14:paraId="54A8D603"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8" w:space="0" w:color="auto"/>
              <w:right w:val="single" w:sz="8" w:space="0" w:color="auto"/>
            </w:tcBorders>
            <w:shd w:val="clear" w:color="auto" w:fill="auto"/>
            <w:vAlign w:val="center"/>
            <w:hideMark/>
          </w:tcPr>
          <w:p w14:paraId="6C270203" w14:textId="72F90663" w:rsidR="005919EB"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PNLSH / CNLS / Communautaire</w:t>
            </w:r>
            <w:r w:rsidR="00A36A28" w:rsidRPr="00E33A5B">
              <w:rPr>
                <w:rFonts w:ascii="Georgia" w:eastAsia="Times New Roman" w:hAnsi="Georgia" w:cs="Arial"/>
                <w:color w:val="000000"/>
                <w:sz w:val="18"/>
                <w:szCs w:val="18"/>
                <w:lang w:eastAsia="fr-FR"/>
              </w:rPr>
              <w:t xml:space="preserve"> / Sites </w:t>
            </w:r>
          </w:p>
        </w:tc>
        <w:tc>
          <w:tcPr>
            <w:tcW w:w="4721" w:type="dxa"/>
            <w:tcBorders>
              <w:top w:val="nil"/>
              <w:left w:val="nil"/>
              <w:bottom w:val="single" w:sz="8" w:space="0" w:color="auto"/>
              <w:right w:val="single" w:sz="8" w:space="0" w:color="auto"/>
            </w:tcBorders>
            <w:shd w:val="clear" w:color="auto" w:fill="auto"/>
            <w:vAlign w:val="center"/>
            <w:hideMark/>
          </w:tcPr>
          <w:p w14:paraId="799E68FA"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Revoir les indicateurs et les fiches de collecte afin de les simplifier et d’inclure des données permettant la prise de décision</w:t>
            </w:r>
          </w:p>
          <w:p w14:paraId="02E9B2DC" w14:textId="77777777" w:rsidR="00E020A2" w:rsidRPr="00E33A5B" w:rsidRDefault="00E020A2" w:rsidP="00D85E97">
            <w:pPr>
              <w:jc w:val="both"/>
              <w:rPr>
                <w:rFonts w:ascii="Georgia" w:eastAsia="Times New Roman" w:hAnsi="Georgia" w:cs="Arial"/>
                <w:color w:val="000000"/>
                <w:sz w:val="18"/>
                <w:szCs w:val="18"/>
                <w:lang w:eastAsia="fr-FR"/>
              </w:rPr>
            </w:pPr>
          </w:p>
          <w:p w14:paraId="2F850D86" w14:textId="0F601EBE" w:rsidR="00E020A2" w:rsidRPr="00E33A5B" w:rsidRDefault="00E020A2"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Revue et révision des indicateurs</w:t>
            </w:r>
          </w:p>
        </w:tc>
        <w:tc>
          <w:tcPr>
            <w:tcW w:w="2367" w:type="dxa"/>
            <w:tcBorders>
              <w:top w:val="nil"/>
              <w:left w:val="nil"/>
              <w:bottom w:val="single" w:sz="8" w:space="0" w:color="auto"/>
              <w:right w:val="single" w:sz="8" w:space="0" w:color="auto"/>
            </w:tcBorders>
            <w:shd w:val="clear" w:color="auto" w:fill="auto"/>
            <w:vAlign w:val="center"/>
            <w:hideMark/>
          </w:tcPr>
          <w:p w14:paraId="1E649ED4" w14:textId="2EF04417" w:rsidR="005919EB" w:rsidRPr="00E33A5B" w:rsidRDefault="00A36A2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SNIS et PNLSH et PLAN et autres acteurs VIH</w:t>
            </w:r>
          </w:p>
        </w:tc>
      </w:tr>
      <w:tr w:rsidR="00E33A5B" w:rsidRPr="00E33A5B" w14:paraId="2A756252" w14:textId="77777777" w:rsidTr="00E33A5B">
        <w:trPr>
          <w:trHeight w:val="1004"/>
        </w:trPr>
        <w:tc>
          <w:tcPr>
            <w:tcW w:w="986" w:type="dxa"/>
            <w:tcBorders>
              <w:top w:val="nil"/>
              <w:left w:val="single" w:sz="8" w:space="0" w:color="auto"/>
              <w:bottom w:val="single" w:sz="8" w:space="0" w:color="auto"/>
              <w:right w:val="single" w:sz="8" w:space="0" w:color="auto"/>
            </w:tcBorders>
            <w:shd w:val="clear" w:color="auto" w:fill="auto"/>
            <w:vAlign w:val="center"/>
            <w:hideMark/>
          </w:tcPr>
          <w:p w14:paraId="1FDC49FC"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nil"/>
              <w:left w:val="nil"/>
              <w:bottom w:val="single" w:sz="8" w:space="0" w:color="auto"/>
              <w:right w:val="single" w:sz="8" w:space="0" w:color="auto"/>
            </w:tcBorders>
            <w:shd w:val="clear" w:color="auto" w:fill="auto"/>
            <w:vAlign w:val="center"/>
            <w:hideMark/>
          </w:tcPr>
          <w:p w14:paraId="49640B14" w14:textId="509CC973" w:rsidR="005919EB" w:rsidRPr="00E33A5B" w:rsidRDefault="00A36A2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28 sites PEC</w:t>
            </w:r>
          </w:p>
          <w:p w14:paraId="79C2E057" w14:textId="77777777" w:rsidR="00A36A28" w:rsidRPr="00E33A5B" w:rsidRDefault="00A36A28" w:rsidP="00D85E97">
            <w:pPr>
              <w:jc w:val="both"/>
              <w:rPr>
                <w:rFonts w:ascii="Georgia" w:eastAsia="Times New Roman" w:hAnsi="Georgia" w:cs="Arial"/>
                <w:color w:val="000000"/>
                <w:sz w:val="18"/>
                <w:szCs w:val="18"/>
                <w:lang w:eastAsia="fr-FR"/>
              </w:rPr>
            </w:pPr>
          </w:p>
          <w:p w14:paraId="610F11AD" w14:textId="473E4DE3" w:rsidR="00A36A28" w:rsidRPr="00E33A5B" w:rsidRDefault="00A36A2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66 sites PTME</w:t>
            </w:r>
          </w:p>
        </w:tc>
        <w:tc>
          <w:tcPr>
            <w:tcW w:w="4721" w:type="dxa"/>
            <w:tcBorders>
              <w:top w:val="nil"/>
              <w:left w:val="nil"/>
              <w:bottom w:val="single" w:sz="8" w:space="0" w:color="auto"/>
              <w:right w:val="single" w:sz="8" w:space="0" w:color="auto"/>
            </w:tcBorders>
            <w:shd w:val="clear" w:color="auto" w:fill="auto"/>
            <w:vAlign w:val="center"/>
            <w:hideMark/>
          </w:tcPr>
          <w:p w14:paraId="1A25FE7B"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Formaliser un système de rapprochement périodique des données de la pharmacie et des données des patients pour améliorer la quantification et le suivi de la file active</w:t>
            </w:r>
          </w:p>
        </w:tc>
        <w:tc>
          <w:tcPr>
            <w:tcW w:w="2367" w:type="dxa"/>
            <w:tcBorders>
              <w:top w:val="nil"/>
              <w:left w:val="nil"/>
              <w:bottom w:val="single" w:sz="8" w:space="0" w:color="auto"/>
              <w:right w:val="single" w:sz="8" w:space="0" w:color="auto"/>
            </w:tcBorders>
            <w:shd w:val="clear" w:color="auto" w:fill="auto"/>
            <w:vAlign w:val="center"/>
            <w:hideMark/>
          </w:tcPr>
          <w:p w14:paraId="3EA065FD" w14:textId="1CB4A30D" w:rsidR="005919EB" w:rsidRPr="00E33A5B" w:rsidRDefault="00A36A28"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Staff de S&amp;E et Pharmacie </w:t>
            </w:r>
          </w:p>
        </w:tc>
      </w:tr>
      <w:tr w:rsidR="00E33A5B" w:rsidRPr="00E33A5B" w14:paraId="645829CF" w14:textId="77777777" w:rsidTr="00E33A5B">
        <w:trPr>
          <w:trHeight w:val="1358"/>
        </w:trPr>
        <w:tc>
          <w:tcPr>
            <w:tcW w:w="98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499B3C"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w:t>
            </w:r>
          </w:p>
        </w:tc>
        <w:tc>
          <w:tcPr>
            <w:tcW w:w="19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D53685" w14:textId="77777777"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Niveau préfectoral / régional</w:t>
            </w:r>
          </w:p>
        </w:tc>
        <w:tc>
          <w:tcPr>
            <w:tcW w:w="47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99718B" w14:textId="57F4AB03"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Organiser une réunion bimestrielle de suivi des données de dépistage et de prise en charge pendant 6 mois</w:t>
            </w:r>
          </w:p>
        </w:tc>
        <w:tc>
          <w:tcPr>
            <w:tcW w:w="23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A5CA8C" w14:textId="50D8C81E" w:rsidR="005919EB" w:rsidRPr="00E33A5B" w:rsidRDefault="005919EB"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Régions prioritaires (Kankan, Nzéré</w:t>
            </w:r>
            <w:r w:rsidR="001119F9" w:rsidRPr="00E33A5B">
              <w:rPr>
                <w:rFonts w:ascii="Georgia" w:eastAsia="Times New Roman" w:hAnsi="Georgia" w:cs="Arial"/>
                <w:color w:val="000000"/>
                <w:sz w:val="18"/>
                <w:szCs w:val="18"/>
                <w:lang w:eastAsia="fr-FR"/>
              </w:rPr>
              <w:t>k</w:t>
            </w:r>
            <w:r w:rsidRPr="00E33A5B">
              <w:rPr>
                <w:rFonts w:ascii="Georgia" w:eastAsia="Times New Roman" w:hAnsi="Georgia" w:cs="Arial"/>
                <w:color w:val="000000"/>
                <w:sz w:val="18"/>
                <w:szCs w:val="18"/>
                <w:lang w:eastAsia="fr-FR"/>
              </w:rPr>
              <w:t>oré, Boké ?)</w:t>
            </w:r>
            <w:r w:rsidRPr="00E33A5B">
              <w:rPr>
                <w:rFonts w:ascii="Georgia" w:eastAsia="Times New Roman" w:hAnsi="Georgia" w:cs="Arial"/>
                <w:color w:val="000000"/>
                <w:sz w:val="18"/>
                <w:szCs w:val="18"/>
                <w:lang w:eastAsia="fr-FR"/>
              </w:rPr>
              <w:br/>
              <w:t>Objectif : soutenir la mise en œuvre des recommandations et développer des habtudes de suivi périodique incluant tous les acteurs.</w:t>
            </w:r>
          </w:p>
        </w:tc>
      </w:tr>
      <w:tr w:rsidR="00E33A5B" w:rsidRPr="00E33A5B" w14:paraId="5AE6DDC6" w14:textId="77777777" w:rsidTr="00E33A5B">
        <w:trPr>
          <w:trHeight w:val="688"/>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14:paraId="60AD2209" w14:textId="77777777" w:rsidR="00A36A28" w:rsidRPr="00E33A5B" w:rsidRDefault="00A36A28" w:rsidP="00D85E97">
            <w:pPr>
              <w:jc w:val="both"/>
              <w:rPr>
                <w:rFonts w:ascii="Georgia" w:eastAsia="Times New Roman" w:hAnsi="Georgia" w:cs="Arial"/>
                <w:color w:val="000000"/>
                <w:sz w:val="18"/>
                <w:szCs w:val="18"/>
                <w:lang w:eastAsia="fr-FR"/>
              </w:rPr>
            </w:pPr>
          </w:p>
        </w:tc>
        <w:tc>
          <w:tcPr>
            <w:tcW w:w="1988" w:type="dxa"/>
            <w:tcBorders>
              <w:top w:val="single" w:sz="8" w:space="0" w:color="auto"/>
              <w:left w:val="single" w:sz="8" w:space="0" w:color="auto"/>
              <w:bottom w:val="single" w:sz="8" w:space="0" w:color="auto"/>
              <w:right w:val="single" w:sz="8" w:space="0" w:color="auto"/>
            </w:tcBorders>
            <w:shd w:val="clear" w:color="auto" w:fill="auto"/>
            <w:vAlign w:val="center"/>
          </w:tcPr>
          <w:p w14:paraId="6CFFA515" w14:textId="58A88D31" w:rsidR="00A36A28" w:rsidRPr="00E33A5B" w:rsidRDefault="00FA463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28 sites PEC </w:t>
            </w:r>
          </w:p>
        </w:tc>
        <w:tc>
          <w:tcPr>
            <w:tcW w:w="4721" w:type="dxa"/>
            <w:tcBorders>
              <w:top w:val="single" w:sz="8" w:space="0" w:color="auto"/>
              <w:left w:val="single" w:sz="8" w:space="0" w:color="auto"/>
              <w:bottom w:val="single" w:sz="8" w:space="0" w:color="auto"/>
              <w:right w:val="single" w:sz="8" w:space="0" w:color="auto"/>
            </w:tcBorders>
            <w:shd w:val="clear" w:color="auto" w:fill="auto"/>
            <w:vAlign w:val="center"/>
          </w:tcPr>
          <w:p w14:paraId="266D1376" w14:textId="341D07FC" w:rsidR="00A36A28" w:rsidRPr="00E33A5B" w:rsidRDefault="00FA463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Développent du module patient tracker pour déploiement dans les 28 sites PEC.   </w:t>
            </w:r>
          </w:p>
        </w:tc>
        <w:tc>
          <w:tcPr>
            <w:tcW w:w="2367" w:type="dxa"/>
            <w:tcBorders>
              <w:top w:val="single" w:sz="8" w:space="0" w:color="auto"/>
              <w:left w:val="single" w:sz="8" w:space="0" w:color="auto"/>
              <w:bottom w:val="single" w:sz="8" w:space="0" w:color="auto"/>
              <w:right w:val="single" w:sz="8" w:space="0" w:color="auto"/>
            </w:tcBorders>
            <w:shd w:val="clear" w:color="auto" w:fill="auto"/>
            <w:vAlign w:val="center"/>
          </w:tcPr>
          <w:p w14:paraId="41906105" w14:textId="50692D1F" w:rsidR="00A36A28" w:rsidRPr="00E33A5B" w:rsidRDefault="00FA463F"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SNIS, S&amp;E et médecins prescripteurs – patient tracker.  PNSLH</w:t>
            </w:r>
          </w:p>
        </w:tc>
      </w:tr>
      <w:tr w:rsidR="00A40E20" w:rsidRPr="00E33A5B" w14:paraId="200E3187" w14:textId="77777777" w:rsidTr="00E33A5B">
        <w:trPr>
          <w:trHeight w:val="688"/>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14:paraId="31CA3678" w14:textId="77777777" w:rsidR="00A40E20" w:rsidRPr="00E33A5B" w:rsidRDefault="00A40E20" w:rsidP="00D85E97">
            <w:pPr>
              <w:jc w:val="both"/>
              <w:rPr>
                <w:rFonts w:ascii="Georgia" w:eastAsia="Times New Roman" w:hAnsi="Georgia" w:cs="Arial"/>
                <w:color w:val="000000"/>
                <w:sz w:val="18"/>
                <w:szCs w:val="18"/>
                <w:lang w:eastAsia="fr-FR"/>
              </w:rPr>
            </w:pPr>
          </w:p>
        </w:tc>
        <w:tc>
          <w:tcPr>
            <w:tcW w:w="1988" w:type="dxa"/>
            <w:tcBorders>
              <w:top w:val="single" w:sz="8" w:space="0" w:color="auto"/>
              <w:left w:val="single" w:sz="8" w:space="0" w:color="auto"/>
              <w:bottom w:val="single" w:sz="8" w:space="0" w:color="auto"/>
              <w:right w:val="single" w:sz="8" w:space="0" w:color="auto"/>
            </w:tcBorders>
            <w:shd w:val="clear" w:color="auto" w:fill="auto"/>
            <w:vAlign w:val="center"/>
          </w:tcPr>
          <w:p w14:paraId="3598723C" w14:textId="5B8EBF6A" w:rsidR="00A40E20" w:rsidRPr="00E33A5B" w:rsidRDefault="00A40E20"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Ministère de la santé</w:t>
            </w:r>
          </w:p>
        </w:tc>
        <w:tc>
          <w:tcPr>
            <w:tcW w:w="4721" w:type="dxa"/>
            <w:tcBorders>
              <w:top w:val="single" w:sz="8" w:space="0" w:color="auto"/>
              <w:left w:val="single" w:sz="8" w:space="0" w:color="auto"/>
              <w:bottom w:val="single" w:sz="8" w:space="0" w:color="auto"/>
              <w:right w:val="single" w:sz="8" w:space="0" w:color="auto"/>
            </w:tcBorders>
            <w:shd w:val="clear" w:color="auto" w:fill="auto"/>
            <w:vAlign w:val="center"/>
          </w:tcPr>
          <w:p w14:paraId="34633D11" w14:textId="0E522844" w:rsidR="00A40E20" w:rsidRPr="00E33A5B" w:rsidRDefault="00A40E20"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Intégrer la Direction de la santé maternelle dans le suivi des activités de PTME</w:t>
            </w:r>
          </w:p>
        </w:tc>
        <w:tc>
          <w:tcPr>
            <w:tcW w:w="2367" w:type="dxa"/>
            <w:tcBorders>
              <w:top w:val="single" w:sz="8" w:space="0" w:color="auto"/>
              <w:left w:val="single" w:sz="8" w:space="0" w:color="auto"/>
              <w:bottom w:val="single" w:sz="8" w:space="0" w:color="auto"/>
              <w:right w:val="single" w:sz="8" w:space="0" w:color="auto"/>
            </w:tcBorders>
            <w:shd w:val="clear" w:color="auto" w:fill="auto"/>
            <w:vAlign w:val="center"/>
          </w:tcPr>
          <w:p w14:paraId="5E2A83C6" w14:textId="00DF7B9E" w:rsidR="00A40E20" w:rsidRPr="00E33A5B" w:rsidRDefault="00A40E20"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DSM</w:t>
            </w:r>
          </w:p>
        </w:tc>
      </w:tr>
      <w:tr w:rsidR="00A40E20" w:rsidRPr="00E33A5B" w14:paraId="268AC701" w14:textId="77777777" w:rsidTr="00E33A5B">
        <w:trPr>
          <w:trHeight w:val="688"/>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14:paraId="2ED1C9FE" w14:textId="77777777" w:rsidR="00A40E20" w:rsidRPr="00E33A5B" w:rsidRDefault="00A40E20" w:rsidP="00D85E97">
            <w:pPr>
              <w:jc w:val="both"/>
              <w:rPr>
                <w:rFonts w:ascii="Georgia" w:eastAsia="Times New Roman" w:hAnsi="Georgia" w:cs="Arial"/>
                <w:color w:val="000000"/>
                <w:sz w:val="18"/>
                <w:szCs w:val="18"/>
                <w:lang w:eastAsia="fr-FR"/>
              </w:rPr>
            </w:pPr>
          </w:p>
        </w:tc>
        <w:tc>
          <w:tcPr>
            <w:tcW w:w="1988" w:type="dxa"/>
            <w:tcBorders>
              <w:top w:val="single" w:sz="8" w:space="0" w:color="auto"/>
              <w:left w:val="single" w:sz="8" w:space="0" w:color="auto"/>
              <w:bottom w:val="single" w:sz="8" w:space="0" w:color="auto"/>
              <w:right w:val="single" w:sz="8" w:space="0" w:color="auto"/>
            </w:tcBorders>
            <w:shd w:val="clear" w:color="auto" w:fill="auto"/>
            <w:vAlign w:val="center"/>
          </w:tcPr>
          <w:p w14:paraId="413EDA5C" w14:textId="084839C6" w:rsidR="00A40E20" w:rsidRPr="00E33A5B" w:rsidRDefault="00A40E20"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Régions sanitaires</w:t>
            </w:r>
          </w:p>
        </w:tc>
        <w:tc>
          <w:tcPr>
            <w:tcW w:w="4721" w:type="dxa"/>
            <w:tcBorders>
              <w:top w:val="single" w:sz="8" w:space="0" w:color="auto"/>
              <w:left w:val="single" w:sz="8" w:space="0" w:color="auto"/>
              <w:bottom w:val="single" w:sz="8" w:space="0" w:color="auto"/>
              <w:right w:val="single" w:sz="8" w:space="0" w:color="auto"/>
            </w:tcBorders>
            <w:shd w:val="clear" w:color="auto" w:fill="auto"/>
            <w:vAlign w:val="center"/>
          </w:tcPr>
          <w:p w14:paraId="234BC108" w14:textId="7ECC7CA8" w:rsidR="00A40E20" w:rsidRPr="00E33A5B" w:rsidRDefault="00A40E20" w:rsidP="00A40E20">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Intégrer les actions / interventions prioritaires dans les prochaines lettres de mission des directeurs régionaux de la santé.</w:t>
            </w:r>
          </w:p>
        </w:tc>
        <w:tc>
          <w:tcPr>
            <w:tcW w:w="2367" w:type="dxa"/>
            <w:tcBorders>
              <w:top w:val="single" w:sz="8" w:space="0" w:color="auto"/>
              <w:left w:val="single" w:sz="8" w:space="0" w:color="auto"/>
              <w:bottom w:val="single" w:sz="8" w:space="0" w:color="auto"/>
              <w:right w:val="single" w:sz="8" w:space="0" w:color="auto"/>
            </w:tcBorders>
            <w:shd w:val="clear" w:color="auto" w:fill="auto"/>
            <w:vAlign w:val="center"/>
          </w:tcPr>
          <w:p w14:paraId="2C391FEE" w14:textId="05D72B60" w:rsidR="00A40E20" w:rsidRPr="00E33A5B" w:rsidRDefault="00A40E20"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Ministère de la santé</w:t>
            </w:r>
          </w:p>
        </w:tc>
      </w:tr>
      <w:tr w:rsidR="007C415A" w:rsidRPr="00E33A5B" w14:paraId="0598F1C4" w14:textId="77777777" w:rsidTr="00E33A5B">
        <w:trPr>
          <w:trHeight w:val="688"/>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14:paraId="4DB7E420" w14:textId="77777777" w:rsidR="007C415A" w:rsidRPr="00E33A5B" w:rsidRDefault="007C415A" w:rsidP="00D85E97">
            <w:pPr>
              <w:jc w:val="both"/>
              <w:rPr>
                <w:rFonts w:ascii="Georgia" w:eastAsia="Times New Roman" w:hAnsi="Georgia" w:cs="Arial"/>
                <w:color w:val="000000"/>
                <w:sz w:val="18"/>
                <w:szCs w:val="18"/>
                <w:lang w:eastAsia="fr-FR"/>
              </w:rPr>
            </w:pPr>
          </w:p>
        </w:tc>
        <w:tc>
          <w:tcPr>
            <w:tcW w:w="1988" w:type="dxa"/>
            <w:tcBorders>
              <w:top w:val="single" w:sz="8" w:space="0" w:color="auto"/>
              <w:left w:val="single" w:sz="8" w:space="0" w:color="auto"/>
              <w:bottom w:val="single" w:sz="8" w:space="0" w:color="auto"/>
              <w:right w:val="single" w:sz="8" w:space="0" w:color="auto"/>
            </w:tcBorders>
            <w:shd w:val="clear" w:color="auto" w:fill="auto"/>
            <w:vAlign w:val="center"/>
          </w:tcPr>
          <w:p w14:paraId="22B78AC6" w14:textId="22B406BA" w:rsidR="007C415A" w:rsidRDefault="007C415A"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Régions sanitaires</w:t>
            </w:r>
          </w:p>
        </w:tc>
        <w:tc>
          <w:tcPr>
            <w:tcW w:w="4721" w:type="dxa"/>
            <w:tcBorders>
              <w:top w:val="single" w:sz="8" w:space="0" w:color="auto"/>
              <w:left w:val="single" w:sz="8" w:space="0" w:color="auto"/>
              <w:bottom w:val="single" w:sz="8" w:space="0" w:color="auto"/>
              <w:right w:val="single" w:sz="8" w:space="0" w:color="auto"/>
            </w:tcBorders>
            <w:shd w:val="clear" w:color="auto" w:fill="auto"/>
            <w:vAlign w:val="center"/>
          </w:tcPr>
          <w:p w14:paraId="577FB017" w14:textId="77777777" w:rsidR="007C415A" w:rsidRPr="007C415A" w:rsidRDefault="007C415A" w:rsidP="007C415A">
            <w:pPr>
              <w:pStyle w:val="Paragraphedeliste"/>
              <w:numPr>
                <w:ilvl w:val="0"/>
                <w:numId w:val="36"/>
              </w:numPr>
              <w:jc w:val="both"/>
              <w:rPr>
                <w:rFonts w:ascii="Georgia" w:hAnsi="Georgia" w:cs="Arial"/>
                <w:sz w:val="18"/>
                <w:szCs w:val="18"/>
              </w:rPr>
            </w:pPr>
            <w:r w:rsidRPr="007C415A">
              <w:rPr>
                <w:rFonts w:ascii="Georgia" w:hAnsi="Georgia" w:cs="Arial"/>
                <w:sz w:val="18"/>
                <w:szCs w:val="18"/>
              </w:rPr>
              <w:t>Renforcer le suivi au niveau de 2/3 régions clés (Nzérékoré, Boké, Kankan) par la mise en place d’une revue des données relatives au dépistage (DCIS, Populations clés, PTME et Enfants) et à la prise en charge. Cette réunion peut se mettre en place au niveau préfectorale sur une périodicité mensuelle pendant les 6 premiers mois.</w:t>
            </w:r>
          </w:p>
          <w:p w14:paraId="5893370E" w14:textId="77777777" w:rsidR="007C415A" w:rsidRPr="007C415A" w:rsidRDefault="007C415A" w:rsidP="007C415A">
            <w:pPr>
              <w:pStyle w:val="Paragraphedeliste"/>
              <w:shd w:val="pct10" w:color="auto" w:fill="auto"/>
              <w:ind w:left="720"/>
              <w:jc w:val="both"/>
              <w:rPr>
                <w:rFonts w:ascii="Georgia" w:hAnsi="Georgia" w:cs="Arial"/>
                <w:sz w:val="18"/>
                <w:szCs w:val="18"/>
              </w:rPr>
            </w:pPr>
            <w:r w:rsidRPr="007C415A">
              <w:rPr>
                <w:rFonts w:ascii="Georgia" w:hAnsi="Georgia" w:cs="Arial"/>
                <w:color w:val="000000"/>
                <w:sz w:val="18"/>
                <w:szCs w:val="18"/>
              </w:rPr>
              <w:t>A noter : Plan International a débuté une expérimentation en prenant appui sur la réunion trimestrielle organisée pour le suivi des activités du paludisme.</w:t>
            </w:r>
          </w:p>
          <w:p w14:paraId="76539E06" w14:textId="77777777" w:rsidR="007C415A" w:rsidRDefault="007C415A" w:rsidP="00A40E20">
            <w:pPr>
              <w:jc w:val="both"/>
              <w:rPr>
                <w:rFonts w:ascii="Georgia" w:eastAsia="Times New Roman" w:hAnsi="Georgia" w:cs="Arial"/>
                <w:color w:val="000000"/>
                <w:sz w:val="18"/>
                <w:szCs w:val="18"/>
                <w:lang w:eastAsia="fr-FR"/>
              </w:rPr>
            </w:pPr>
          </w:p>
        </w:tc>
        <w:tc>
          <w:tcPr>
            <w:tcW w:w="2367" w:type="dxa"/>
            <w:tcBorders>
              <w:top w:val="single" w:sz="8" w:space="0" w:color="auto"/>
              <w:left w:val="single" w:sz="8" w:space="0" w:color="auto"/>
              <w:bottom w:val="single" w:sz="8" w:space="0" w:color="auto"/>
              <w:right w:val="single" w:sz="8" w:space="0" w:color="auto"/>
            </w:tcBorders>
            <w:shd w:val="clear" w:color="auto" w:fill="auto"/>
            <w:vAlign w:val="center"/>
          </w:tcPr>
          <w:p w14:paraId="00E2530E" w14:textId="4263ED27" w:rsidR="007C415A" w:rsidRDefault="007C415A"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Régions de N’Zérékoré, Kankan</w:t>
            </w:r>
          </w:p>
        </w:tc>
      </w:tr>
      <w:tr w:rsidR="001119F9" w:rsidRPr="00E33A5B" w14:paraId="7AF525A3" w14:textId="77777777" w:rsidTr="00E33A5B">
        <w:trPr>
          <w:trHeight w:val="496"/>
        </w:trPr>
        <w:tc>
          <w:tcPr>
            <w:tcW w:w="10062" w:type="dxa"/>
            <w:gridSpan w:val="4"/>
            <w:tcBorders>
              <w:top w:val="single" w:sz="8" w:space="0" w:color="auto"/>
              <w:left w:val="single" w:sz="8" w:space="0" w:color="auto"/>
              <w:bottom w:val="single" w:sz="8" w:space="0" w:color="auto"/>
              <w:right w:val="single" w:sz="8" w:space="0" w:color="auto"/>
            </w:tcBorders>
            <w:shd w:val="pct10" w:color="auto" w:fill="auto"/>
            <w:vAlign w:val="center"/>
          </w:tcPr>
          <w:p w14:paraId="5F41D0D3" w14:textId="106A15F3" w:rsidR="001119F9" w:rsidRPr="006F7C74" w:rsidRDefault="001119F9" w:rsidP="00D85E97">
            <w:pPr>
              <w:jc w:val="both"/>
              <w:rPr>
                <w:rFonts w:ascii="Georgia" w:eastAsia="Times New Roman" w:hAnsi="Georgia" w:cs="Arial"/>
                <w:b/>
                <w:color w:val="000000"/>
                <w:sz w:val="18"/>
                <w:szCs w:val="18"/>
                <w:lang w:eastAsia="fr-FR"/>
              </w:rPr>
            </w:pPr>
            <w:r w:rsidRPr="006F7C74">
              <w:rPr>
                <w:rFonts w:ascii="Georgia" w:eastAsia="Times New Roman" w:hAnsi="Georgia" w:cs="Arial"/>
                <w:b/>
                <w:color w:val="000000"/>
                <w:sz w:val="18"/>
                <w:szCs w:val="18"/>
                <w:lang w:eastAsia="fr-FR"/>
              </w:rPr>
              <w:t>Quantification</w:t>
            </w:r>
          </w:p>
        </w:tc>
      </w:tr>
      <w:tr w:rsidR="00E33A5B" w:rsidRPr="00E33A5B" w14:paraId="350C15F3" w14:textId="77777777" w:rsidTr="00E33A5B">
        <w:trPr>
          <w:trHeight w:val="744"/>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14:paraId="6EC55475" w14:textId="77777777" w:rsidR="001119F9" w:rsidRPr="00E33A5B" w:rsidRDefault="001119F9" w:rsidP="00D85E97">
            <w:pPr>
              <w:jc w:val="both"/>
              <w:rPr>
                <w:rFonts w:ascii="Georgia" w:eastAsia="Times New Roman" w:hAnsi="Georgia" w:cs="Arial"/>
                <w:color w:val="000000"/>
                <w:sz w:val="18"/>
                <w:szCs w:val="18"/>
                <w:lang w:eastAsia="fr-FR"/>
              </w:rPr>
            </w:pPr>
          </w:p>
        </w:tc>
        <w:tc>
          <w:tcPr>
            <w:tcW w:w="1988" w:type="dxa"/>
            <w:tcBorders>
              <w:top w:val="single" w:sz="8" w:space="0" w:color="auto"/>
              <w:left w:val="single" w:sz="8" w:space="0" w:color="auto"/>
              <w:bottom w:val="single" w:sz="8" w:space="0" w:color="auto"/>
              <w:right w:val="single" w:sz="8" w:space="0" w:color="auto"/>
            </w:tcBorders>
            <w:shd w:val="clear" w:color="auto" w:fill="auto"/>
            <w:vAlign w:val="center"/>
          </w:tcPr>
          <w:p w14:paraId="23461001" w14:textId="77777777" w:rsidR="001119F9" w:rsidRPr="00E33A5B" w:rsidRDefault="001119F9" w:rsidP="00D85E97">
            <w:pPr>
              <w:jc w:val="both"/>
              <w:rPr>
                <w:rFonts w:ascii="Georgia" w:eastAsia="Times New Roman" w:hAnsi="Georgia" w:cs="Arial"/>
                <w:color w:val="000000"/>
                <w:sz w:val="18"/>
                <w:szCs w:val="18"/>
                <w:lang w:eastAsia="fr-FR"/>
              </w:rPr>
            </w:pPr>
          </w:p>
        </w:tc>
        <w:tc>
          <w:tcPr>
            <w:tcW w:w="4721" w:type="dxa"/>
            <w:tcBorders>
              <w:top w:val="single" w:sz="8" w:space="0" w:color="auto"/>
              <w:left w:val="single" w:sz="8" w:space="0" w:color="auto"/>
              <w:bottom w:val="single" w:sz="8" w:space="0" w:color="auto"/>
              <w:right w:val="single" w:sz="8" w:space="0" w:color="auto"/>
            </w:tcBorders>
            <w:shd w:val="clear" w:color="auto" w:fill="auto"/>
            <w:vAlign w:val="center"/>
          </w:tcPr>
          <w:p w14:paraId="51E0C7CF" w14:textId="7BE31B79" w:rsidR="001119F9" w:rsidRPr="00E33A5B" w:rsidRDefault="001119F9" w:rsidP="00D85E97">
            <w:pPr>
              <w:jc w:val="both"/>
              <w:rPr>
                <w:rFonts w:ascii="Georgia" w:eastAsia="Times New Roman" w:hAnsi="Georgia" w:cs="Arial"/>
                <w:color w:val="000000"/>
                <w:sz w:val="18"/>
                <w:szCs w:val="18"/>
                <w:lang w:eastAsia="fr-FR"/>
              </w:rPr>
            </w:pPr>
            <w:r w:rsidRPr="00E33A5B">
              <w:rPr>
                <w:rFonts w:ascii="Georgia" w:eastAsia="Times New Roman" w:hAnsi="Georgia" w:cs="Arial"/>
                <w:color w:val="000000"/>
                <w:sz w:val="18"/>
                <w:szCs w:val="18"/>
                <w:lang w:eastAsia="fr-FR"/>
              </w:rPr>
              <w:t xml:space="preserve">Prendre en compte la modification de l’algorithme de dépistage et le retesting dans la quantification des intrants de </w:t>
            </w:r>
          </w:p>
        </w:tc>
        <w:tc>
          <w:tcPr>
            <w:tcW w:w="2367" w:type="dxa"/>
            <w:tcBorders>
              <w:top w:val="single" w:sz="8" w:space="0" w:color="auto"/>
              <w:left w:val="single" w:sz="8" w:space="0" w:color="auto"/>
              <w:bottom w:val="single" w:sz="8" w:space="0" w:color="auto"/>
              <w:right w:val="single" w:sz="8" w:space="0" w:color="auto"/>
            </w:tcBorders>
            <w:shd w:val="clear" w:color="auto" w:fill="auto"/>
            <w:vAlign w:val="center"/>
          </w:tcPr>
          <w:p w14:paraId="5E5D20BA" w14:textId="77777777" w:rsidR="001119F9" w:rsidRDefault="006F7C74"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Equipe GAS du PNLSH</w:t>
            </w:r>
          </w:p>
          <w:p w14:paraId="375E3B0C" w14:textId="35BD62ED" w:rsidR="006F7C74" w:rsidRPr="00E33A5B" w:rsidRDefault="006F7C74" w:rsidP="00D85E97">
            <w:pPr>
              <w:jc w:val="both"/>
              <w:rPr>
                <w:rFonts w:ascii="Georgia" w:eastAsia="Times New Roman" w:hAnsi="Georgia" w:cs="Arial"/>
                <w:color w:val="000000"/>
                <w:sz w:val="18"/>
                <w:szCs w:val="18"/>
                <w:lang w:eastAsia="fr-FR"/>
              </w:rPr>
            </w:pPr>
            <w:r>
              <w:rPr>
                <w:rFonts w:ascii="Georgia" w:eastAsia="Times New Roman" w:hAnsi="Georgia" w:cs="Arial"/>
                <w:color w:val="000000"/>
                <w:sz w:val="18"/>
                <w:szCs w:val="18"/>
                <w:lang w:eastAsia="fr-FR"/>
              </w:rPr>
              <w:t>Pharmaciens des sites</w:t>
            </w:r>
          </w:p>
        </w:tc>
      </w:tr>
    </w:tbl>
    <w:p w14:paraId="4DC3B08A" w14:textId="77777777" w:rsidR="00C319BC" w:rsidRPr="00C319BC" w:rsidRDefault="00C319BC" w:rsidP="00D85E97">
      <w:pPr>
        <w:jc w:val="both"/>
      </w:pPr>
    </w:p>
    <w:p w14:paraId="605174EB" w14:textId="61BBA5F9" w:rsidR="00281475" w:rsidRPr="00811FAF" w:rsidRDefault="00281475" w:rsidP="00D85E97">
      <w:pPr>
        <w:jc w:val="both"/>
        <w:rPr>
          <w:rFonts w:ascii="Georgia" w:hAnsi="Georgia" w:cs="Arial"/>
          <w:color w:val="000000"/>
        </w:rPr>
      </w:pPr>
    </w:p>
    <w:p w14:paraId="27DAE4E5" w14:textId="77777777" w:rsidR="00281475" w:rsidRPr="00811FAF" w:rsidRDefault="00281475" w:rsidP="00D85E97">
      <w:pPr>
        <w:jc w:val="both"/>
        <w:rPr>
          <w:rFonts w:ascii="Georgia" w:hAnsi="Georgia" w:cs="Arial"/>
          <w:color w:val="000000"/>
        </w:rPr>
      </w:pPr>
    </w:p>
    <w:p w14:paraId="138BF298" w14:textId="77777777" w:rsidR="00281475" w:rsidRPr="00811FAF" w:rsidRDefault="00281475" w:rsidP="00D85E97">
      <w:pPr>
        <w:jc w:val="both"/>
        <w:rPr>
          <w:rFonts w:ascii="Georgia" w:hAnsi="Georgia" w:cs="Arial"/>
          <w:color w:val="000000"/>
        </w:rPr>
      </w:pPr>
    </w:p>
    <w:p w14:paraId="346B664E" w14:textId="7758084D" w:rsidR="00281475" w:rsidRPr="00811FAF" w:rsidRDefault="00281475" w:rsidP="00D85E97">
      <w:pPr>
        <w:jc w:val="both"/>
        <w:rPr>
          <w:rFonts w:ascii="Georgia" w:eastAsiaTheme="majorEastAsia" w:hAnsi="Georgia" w:cs="Arial"/>
          <w:color w:val="2F5496" w:themeColor="accent1" w:themeShade="BF"/>
        </w:rPr>
      </w:pPr>
      <w:bookmarkStart w:id="2" w:name="_Toc5529750"/>
      <w:r w:rsidRPr="00811FAF">
        <w:rPr>
          <w:rFonts w:ascii="Georgia" w:hAnsi="Georgia" w:cs="Arial"/>
        </w:rPr>
        <w:br w:type="page"/>
      </w:r>
    </w:p>
    <w:p w14:paraId="0743752D" w14:textId="77777777" w:rsidR="00A025F8" w:rsidRPr="00811FAF" w:rsidRDefault="00A025F8" w:rsidP="00D85E97">
      <w:pPr>
        <w:pStyle w:val="Titre2"/>
        <w:numPr>
          <w:ilvl w:val="0"/>
          <w:numId w:val="0"/>
        </w:numPr>
        <w:ind w:left="1440"/>
        <w:jc w:val="both"/>
        <w:rPr>
          <w:rFonts w:ascii="Georgia" w:hAnsi="Georgia" w:cs="Arial"/>
          <w:sz w:val="24"/>
          <w:szCs w:val="24"/>
        </w:rPr>
      </w:pPr>
    </w:p>
    <w:bookmarkEnd w:id="2"/>
    <w:p w14:paraId="0EF18C81" w14:textId="77777777" w:rsidR="002E3B27" w:rsidRPr="00811FAF" w:rsidRDefault="002E3B27" w:rsidP="00D85E97">
      <w:pPr>
        <w:jc w:val="both"/>
        <w:rPr>
          <w:rFonts w:ascii="Georgia" w:hAnsi="Georgia" w:cs="Arial"/>
          <w:color w:val="000000"/>
        </w:rPr>
      </w:pPr>
    </w:p>
    <w:p w14:paraId="211FAFE7" w14:textId="77777777" w:rsidR="008F74F6" w:rsidRPr="00811FAF" w:rsidRDefault="008F74F6" w:rsidP="00D85E97">
      <w:pPr>
        <w:pStyle w:val="Paragraphedeliste"/>
        <w:spacing w:before="0" w:beforeAutospacing="0" w:after="0" w:afterAutospacing="0"/>
        <w:ind w:left="1440"/>
        <w:jc w:val="both"/>
        <w:rPr>
          <w:rFonts w:ascii="Georgia" w:hAnsi="Georgia" w:cs="Arial"/>
        </w:rPr>
      </w:pPr>
    </w:p>
    <w:p w14:paraId="32F87BC9" w14:textId="77777777" w:rsidR="008075E0" w:rsidRPr="00811FAF" w:rsidRDefault="008075E0" w:rsidP="00D85E97">
      <w:pPr>
        <w:pStyle w:val="Paragraphedeliste"/>
        <w:spacing w:before="0" w:beforeAutospacing="0" w:after="0" w:afterAutospacing="0"/>
        <w:ind w:left="720"/>
        <w:jc w:val="both"/>
        <w:rPr>
          <w:rFonts w:ascii="Georgia" w:hAnsi="Georgia" w:cs="Arial"/>
          <w:color w:val="000000"/>
        </w:rPr>
      </w:pPr>
    </w:p>
    <w:p w14:paraId="5F10E3C4" w14:textId="77777777" w:rsidR="00220C54" w:rsidRPr="00811FAF" w:rsidRDefault="00220C54" w:rsidP="00D85E97">
      <w:pPr>
        <w:ind w:left="2136" w:firstLine="696"/>
        <w:jc w:val="both"/>
        <w:rPr>
          <w:rFonts w:ascii="Georgia" w:hAnsi="Georgia" w:cs="Arial"/>
          <w:color w:val="000000"/>
        </w:rPr>
      </w:pPr>
    </w:p>
    <w:p w14:paraId="2E8F3DD2" w14:textId="61404082" w:rsidR="008075E0" w:rsidRPr="00D85E97" w:rsidRDefault="00D85E97" w:rsidP="00D85E97">
      <w:pPr>
        <w:pStyle w:val="Titre2"/>
        <w:numPr>
          <w:ilvl w:val="0"/>
          <w:numId w:val="0"/>
        </w:numPr>
        <w:jc w:val="both"/>
        <w:rPr>
          <w:rFonts w:ascii="Georgia" w:hAnsi="Georgia" w:cs="Arial"/>
          <w:b/>
          <w:color w:val="auto"/>
          <w:sz w:val="24"/>
          <w:szCs w:val="24"/>
        </w:rPr>
      </w:pPr>
      <w:bookmarkStart w:id="3" w:name="_Toc5529752"/>
      <w:bookmarkEnd w:id="3"/>
      <w:r>
        <w:rPr>
          <w:rFonts w:ascii="Georgia" w:hAnsi="Georgia" w:cs="Arial"/>
          <w:b/>
          <w:color w:val="auto"/>
          <w:sz w:val="24"/>
          <w:szCs w:val="24"/>
        </w:rPr>
        <w:t>Notes sur le t</w:t>
      </w:r>
      <w:r w:rsidR="006F7C74" w:rsidRPr="00D85E97">
        <w:rPr>
          <w:rFonts w:ascii="Georgia" w:hAnsi="Georgia" w:cs="Arial"/>
          <w:b/>
          <w:color w:val="auto"/>
          <w:sz w:val="24"/>
          <w:szCs w:val="24"/>
        </w:rPr>
        <w:t>utorat clinique</w:t>
      </w:r>
    </w:p>
    <w:p w14:paraId="18F5C514" w14:textId="1E845383" w:rsidR="00BE3825" w:rsidRPr="00811FAF" w:rsidRDefault="00BE3825" w:rsidP="00D85E97">
      <w:pPr>
        <w:pStyle w:val="Paragraphedeliste"/>
        <w:spacing w:before="0" w:beforeAutospacing="0" w:after="0" w:afterAutospacing="0"/>
        <w:ind w:left="2880"/>
        <w:jc w:val="both"/>
        <w:rPr>
          <w:rFonts w:ascii="Georgia" w:hAnsi="Georgia" w:cs="Arial"/>
          <w:color w:val="000000"/>
        </w:rPr>
      </w:pPr>
    </w:p>
    <w:p w14:paraId="2F3FB8A0" w14:textId="77777777" w:rsidR="00BE3825" w:rsidRPr="006F7C74" w:rsidRDefault="00BE3825" w:rsidP="00D85E97">
      <w:pPr>
        <w:shd w:val="pct10" w:color="auto" w:fill="auto"/>
        <w:jc w:val="both"/>
        <w:rPr>
          <w:rFonts w:ascii="Georgia" w:hAnsi="Georgia" w:cs="Arial"/>
        </w:rPr>
      </w:pPr>
      <w:r w:rsidRPr="006F7C74">
        <w:rPr>
          <w:rFonts w:ascii="Georgia" w:hAnsi="Georgia" w:cs="Arial"/>
        </w:rPr>
        <w:t>Il s’agit d’une modalité d’accompagnement des centres et personnels de santé afin de :</w:t>
      </w:r>
    </w:p>
    <w:p w14:paraId="3A9A94BD" w14:textId="77777777" w:rsidR="00BE3825" w:rsidRPr="006F7C74" w:rsidRDefault="00BE3825" w:rsidP="00D85E97">
      <w:pPr>
        <w:pStyle w:val="Paragraphedeliste"/>
        <w:numPr>
          <w:ilvl w:val="0"/>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Créer un nouveau services (intégration de la PEC dans un CSA qui n’en faisait pas par exemple).</w:t>
      </w:r>
    </w:p>
    <w:p w14:paraId="5748DC7E" w14:textId="77777777" w:rsidR="00BE3825" w:rsidRPr="006F7C74" w:rsidRDefault="00BE3825" w:rsidP="00D85E97">
      <w:pPr>
        <w:pStyle w:val="Paragraphedeliste"/>
        <w:numPr>
          <w:ilvl w:val="0"/>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Améliorer / intégrer un nouveau service dans un centre de PEC.</w:t>
      </w:r>
    </w:p>
    <w:p w14:paraId="213FB2B4" w14:textId="77777777" w:rsidR="00BE3825" w:rsidRPr="006F7C74" w:rsidRDefault="00BE3825" w:rsidP="00D85E97">
      <w:pPr>
        <w:shd w:val="pct10" w:color="auto" w:fill="auto"/>
        <w:jc w:val="both"/>
        <w:rPr>
          <w:rFonts w:ascii="Georgia" w:hAnsi="Georgia" w:cs="Arial"/>
        </w:rPr>
      </w:pPr>
      <w:r w:rsidRPr="006F7C74">
        <w:rPr>
          <w:rFonts w:ascii="Georgia" w:hAnsi="Georgia" w:cs="Arial"/>
        </w:rPr>
        <w:t>Une telle modalité serait à considérer au regard :</w:t>
      </w:r>
    </w:p>
    <w:p w14:paraId="23B77092" w14:textId="6688D0AB" w:rsidR="00BE3825" w:rsidRPr="006F7C74" w:rsidRDefault="00BE3825" w:rsidP="00D85E97">
      <w:pPr>
        <w:pStyle w:val="Paragraphedeliste"/>
        <w:numPr>
          <w:ilvl w:val="0"/>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Des évaluations des 28 principaux sites de PEC et des 66 sites de PTME (dont une partie sont des mêmes)</w:t>
      </w:r>
    </w:p>
    <w:p w14:paraId="4F6647F6" w14:textId="62DD5FDD" w:rsidR="00BE3825" w:rsidRPr="006F7C74" w:rsidRDefault="00BE3825" w:rsidP="00D85E97">
      <w:pPr>
        <w:pStyle w:val="Paragraphedeliste"/>
        <w:numPr>
          <w:ilvl w:val="0"/>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Des constats des études menées qui montrent :</w:t>
      </w:r>
    </w:p>
    <w:p w14:paraId="21E387AE" w14:textId="41EFA75B"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La saturation des services au niveau de Conakry. Une extension ne serait donc pas nécessairement prioritaire à Conakry</w:t>
      </w:r>
    </w:p>
    <w:p w14:paraId="30D8D37C" w14:textId="300D0452"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Le gap important de personnes à mettre sous traitement dans certaines régions comme en Guinée Forestière, ce qui croisé avec les éléments sur l’impact de la distance à parcourir pour les perdus de vue, oblige à réfléchir à intégrer la PEC dans certains CSA qui n’en font pas encore ou très peu.</w:t>
      </w:r>
    </w:p>
    <w:p w14:paraId="09361B82" w14:textId="77777777"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La possibilité de transférer une partie de la file active actuelle des principaux centres de PEC vers de nouveaux centres de proximité.</w:t>
      </w:r>
    </w:p>
    <w:p w14:paraId="7BCA0D6F" w14:textId="77777777" w:rsidR="00BE3825" w:rsidRPr="006F7C74" w:rsidRDefault="00BE3825" w:rsidP="00D85E97">
      <w:pPr>
        <w:shd w:val="pct10" w:color="auto" w:fill="auto"/>
        <w:jc w:val="both"/>
        <w:rPr>
          <w:rFonts w:ascii="Georgia" w:hAnsi="Georgia" w:cs="Arial"/>
        </w:rPr>
      </w:pPr>
      <w:r w:rsidRPr="006F7C74">
        <w:rPr>
          <w:rFonts w:ascii="Georgia" w:hAnsi="Georgia" w:cs="Arial"/>
        </w:rPr>
        <w:t>En partant de cela, l’idée du tutorat clinique, qui a été notamment développé et mis en œuvre en RDC par la Croix Rouge et le PNLS, appliquée à cette situation consisterait à </w:t>
      </w:r>
    </w:p>
    <w:p w14:paraId="117258E8" w14:textId="77777777" w:rsidR="00BE3825" w:rsidRPr="006F7C74" w:rsidRDefault="00BE3825" w:rsidP="00D85E97">
      <w:pPr>
        <w:pStyle w:val="Paragraphedeliste"/>
        <w:numPr>
          <w:ilvl w:val="0"/>
          <w:numId w:val="32"/>
        </w:numPr>
        <w:shd w:val="pct10" w:color="auto" w:fill="auto"/>
        <w:spacing w:before="0" w:beforeAutospacing="0" w:after="0" w:afterAutospacing="0"/>
        <w:contextualSpacing/>
        <w:jc w:val="both"/>
        <w:rPr>
          <w:rFonts w:ascii="Georgia" w:hAnsi="Georgia" w:cs="Arial"/>
        </w:rPr>
      </w:pPr>
      <w:r w:rsidRPr="006F7C74">
        <w:rPr>
          <w:rFonts w:ascii="Georgia" w:hAnsi="Georgia" w:cs="Arial"/>
        </w:rPr>
        <w:t>Proposer, sélectionner et former des personnels impliqués dans la prise en charge des principaux centres de traitement performant pour être des tuteurs pour les CSA ou d’autres structures / services à impliquer dans la prise en charge.</w:t>
      </w:r>
    </w:p>
    <w:p w14:paraId="6AC9803D" w14:textId="77777777" w:rsidR="00BE3825" w:rsidRPr="006F7C74" w:rsidRDefault="00BE3825" w:rsidP="00D85E97">
      <w:pPr>
        <w:pStyle w:val="Paragraphedeliste"/>
        <w:numPr>
          <w:ilvl w:val="0"/>
          <w:numId w:val="32"/>
        </w:numPr>
        <w:shd w:val="pct10" w:color="auto" w:fill="auto"/>
        <w:spacing w:before="0" w:beforeAutospacing="0" w:after="0" w:afterAutospacing="0"/>
        <w:contextualSpacing/>
        <w:jc w:val="both"/>
        <w:rPr>
          <w:rFonts w:ascii="Georgia" w:hAnsi="Georgia" w:cs="Arial"/>
        </w:rPr>
      </w:pPr>
      <w:r w:rsidRPr="006F7C74">
        <w:rPr>
          <w:rFonts w:ascii="Georgia" w:hAnsi="Georgia" w:cs="Arial"/>
        </w:rPr>
        <w:t>Assurer une formation initiale VIH des personnels des centres visés au sein des Centres de Traitements VIH les plus importants avec les personnels impliqués dans la prise en charge.</w:t>
      </w:r>
    </w:p>
    <w:p w14:paraId="4F499AB2" w14:textId="77777777" w:rsidR="00BE3825" w:rsidRPr="006F7C74" w:rsidRDefault="00BE3825" w:rsidP="00D85E97">
      <w:pPr>
        <w:pStyle w:val="Paragraphedeliste"/>
        <w:numPr>
          <w:ilvl w:val="0"/>
          <w:numId w:val="32"/>
        </w:numPr>
        <w:shd w:val="pct10" w:color="auto" w:fill="auto"/>
        <w:spacing w:before="0" w:beforeAutospacing="0" w:after="0" w:afterAutospacing="0"/>
        <w:contextualSpacing/>
        <w:jc w:val="both"/>
        <w:rPr>
          <w:rFonts w:ascii="Georgia" w:hAnsi="Georgia" w:cs="Arial"/>
        </w:rPr>
      </w:pPr>
      <w:r w:rsidRPr="006F7C74">
        <w:rPr>
          <w:rFonts w:ascii="Georgia" w:hAnsi="Georgia" w:cs="Arial"/>
        </w:rPr>
        <w:t>Assurer un tutorat des personnes nouvellement formées par les tuteurs des CTA avec deux modalités :</w:t>
      </w:r>
    </w:p>
    <w:p w14:paraId="55C0864A" w14:textId="77777777" w:rsidR="00BE3825" w:rsidRPr="006F7C74" w:rsidRDefault="00BE3825" w:rsidP="00D85E97">
      <w:pPr>
        <w:pStyle w:val="Paragraphedeliste"/>
        <w:numPr>
          <w:ilvl w:val="1"/>
          <w:numId w:val="32"/>
        </w:numPr>
        <w:shd w:val="pct10" w:color="auto" w:fill="auto"/>
        <w:spacing w:before="0" w:beforeAutospacing="0" w:after="0" w:afterAutospacing="0"/>
        <w:contextualSpacing/>
        <w:jc w:val="both"/>
        <w:rPr>
          <w:rFonts w:ascii="Georgia" w:hAnsi="Georgia" w:cs="Arial"/>
        </w:rPr>
      </w:pPr>
      <w:r w:rsidRPr="006F7C74">
        <w:rPr>
          <w:rFonts w:ascii="Georgia" w:hAnsi="Georgia" w:cs="Arial"/>
        </w:rPr>
        <w:t>Les nouveaux personnels viennent assister aux consultations faites par les tuteurs (par exemple 1 fois par semaine pendant 2 mois).  Ceci vise à renforcer leurs capacités par la pratique, mais aussi à ce qu’ils se familiarisent avec les personnes vivant avec le VIH prises en charge. Il s’agit de créer une relation de confiance qui sera nécessaire pour que des PVVIH acceptent le transfert de leur dossier dans les nouveaux sites.</w:t>
      </w:r>
    </w:p>
    <w:p w14:paraId="55ECA6BD" w14:textId="77777777" w:rsidR="00BE3825" w:rsidRPr="006F7C74" w:rsidRDefault="00BE3825" w:rsidP="00D85E97">
      <w:pPr>
        <w:pStyle w:val="Paragraphedeliste"/>
        <w:numPr>
          <w:ilvl w:val="1"/>
          <w:numId w:val="32"/>
        </w:numPr>
        <w:shd w:val="pct10" w:color="auto" w:fill="auto"/>
        <w:spacing w:before="0" w:beforeAutospacing="0" w:after="0" w:afterAutospacing="0"/>
        <w:contextualSpacing/>
        <w:jc w:val="both"/>
        <w:rPr>
          <w:rFonts w:ascii="Georgia" w:hAnsi="Georgia" w:cs="Arial"/>
        </w:rPr>
      </w:pPr>
      <w:r w:rsidRPr="006F7C74">
        <w:rPr>
          <w:rFonts w:ascii="Georgia" w:hAnsi="Georgia" w:cs="Arial"/>
        </w:rPr>
        <w:t>Les tuteurs vont accompagner les nouveaux personnels pour leurs consultations (par exemple une fois par semaine pendant deux mois).</w:t>
      </w:r>
    </w:p>
    <w:p w14:paraId="72C5830A" w14:textId="77777777" w:rsidR="00BE3825" w:rsidRPr="006F7C74" w:rsidRDefault="00BE3825" w:rsidP="00D85E97">
      <w:pPr>
        <w:shd w:val="pct10" w:color="auto" w:fill="auto"/>
        <w:jc w:val="both"/>
        <w:rPr>
          <w:rFonts w:ascii="Georgia" w:hAnsi="Georgia" w:cs="Arial"/>
        </w:rPr>
      </w:pPr>
      <w:r w:rsidRPr="006F7C74">
        <w:rPr>
          <w:rFonts w:ascii="Georgia" w:hAnsi="Georgia" w:cs="Arial"/>
        </w:rPr>
        <w:t xml:space="preserve">La mise en place d’un tel dispositif suppose de mettre en place une modalité de formation et de suivi des tuteurs en lien étroit avec le Programme national et avec les districts. </w:t>
      </w:r>
    </w:p>
    <w:p w14:paraId="1E41036E" w14:textId="77777777" w:rsidR="00BE3825" w:rsidRPr="006F7C74" w:rsidRDefault="00BE3825" w:rsidP="00D85E97">
      <w:pPr>
        <w:shd w:val="pct10" w:color="auto" w:fill="auto"/>
        <w:jc w:val="both"/>
        <w:rPr>
          <w:rFonts w:ascii="Georgia" w:hAnsi="Georgia" w:cs="Arial"/>
        </w:rPr>
      </w:pPr>
      <w:r w:rsidRPr="006F7C74">
        <w:rPr>
          <w:rFonts w:ascii="Georgia" w:hAnsi="Georgia" w:cs="Arial"/>
        </w:rPr>
        <w:t>Le tutorat peut également représenter une modalité pour la supervision formative des personnels déjà impliqués dans la prise en charge pour améliorer la qualité des prestations.</w:t>
      </w:r>
    </w:p>
    <w:p w14:paraId="3F2D62E9" w14:textId="77777777" w:rsidR="00BE3825" w:rsidRPr="006F7C74" w:rsidRDefault="00BE3825" w:rsidP="00D85E97">
      <w:pPr>
        <w:shd w:val="pct10" w:color="auto" w:fill="auto"/>
        <w:jc w:val="both"/>
        <w:rPr>
          <w:rFonts w:ascii="Georgia" w:hAnsi="Georgia" w:cs="Arial"/>
        </w:rPr>
      </w:pPr>
      <w:r w:rsidRPr="006F7C74">
        <w:rPr>
          <w:rFonts w:ascii="Georgia" w:hAnsi="Georgia" w:cs="Arial"/>
        </w:rPr>
        <w:lastRenderedPageBreak/>
        <w:t>Dans le contexte de la RDC, le tutorat a été utilisé pour les cliniciens mais également pour les biologistes, les gestionnaires de pharmacie, etc.</w:t>
      </w:r>
    </w:p>
    <w:p w14:paraId="4B385737" w14:textId="77777777" w:rsidR="00BE3825" w:rsidRPr="006F7C74" w:rsidRDefault="00BE3825" w:rsidP="00D85E97">
      <w:pPr>
        <w:shd w:val="pct10" w:color="auto" w:fill="auto"/>
        <w:jc w:val="both"/>
        <w:rPr>
          <w:rFonts w:ascii="Georgia" w:hAnsi="Georgia" w:cs="Arial"/>
        </w:rPr>
      </w:pPr>
      <w:r w:rsidRPr="006F7C74">
        <w:rPr>
          <w:rFonts w:ascii="Georgia" w:hAnsi="Georgia" w:cs="Arial"/>
        </w:rPr>
        <w:t>Quelles que soit leur qualité, les tuteurs ont pour rôles :</w:t>
      </w:r>
    </w:p>
    <w:p w14:paraId="4B76B943"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4" w:name="_Toc461194953"/>
      <w:r w:rsidRPr="006F7C74">
        <w:rPr>
          <w:rFonts w:ascii="Georgia" w:hAnsi="Georgia" w:cs="Arial"/>
          <w:bCs/>
        </w:rPr>
        <w:t>D’apprécier la qualité de l’offre des soins aux PVVIH à travers la check list.</w:t>
      </w:r>
      <w:bookmarkEnd w:id="4"/>
    </w:p>
    <w:p w14:paraId="24AE28D7"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5" w:name="_Toc461194954"/>
      <w:r w:rsidRPr="006F7C74">
        <w:rPr>
          <w:rFonts w:ascii="Georgia" w:hAnsi="Georgia" w:cs="Arial"/>
          <w:bCs/>
        </w:rPr>
        <w:t>D’échanger et partager l’information sur les notions de prise en charge avec les prestataires impliqués.</w:t>
      </w:r>
      <w:bookmarkEnd w:id="5"/>
    </w:p>
    <w:p w14:paraId="4861905A"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6" w:name="_Toc461194955"/>
      <w:r w:rsidRPr="006F7C74">
        <w:rPr>
          <w:rFonts w:ascii="Georgia" w:hAnsi="Georgia" w:cs="Arial"/>
          <w:bCs/>
        </w:rPr>
        <w:t>D’apporter des éléments de précision sur les différentes préoccupations présentées par le personnel soignant.</w:t>
      </w:r>
      <w:bookmarkEnd w:id="6"/>
    </w:p>
    <w:p w14:paraId="61EBBB23"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7" w:name="_Toc461194956"/>
      <w:r w:rsidRPr="006F7C74">
        <w:rPr>
          <w:rFonts w:ascii="Georgia" w:hAnsi="Georgia" w:cs="Arial"/>
          <w:bCs/>
        </w:rPr>
        <w:t>De participer aux différentes réunions de services /staff durant leurs missions.</w:t>
      </w:r>
      <w:bookmarkEnd w:id="7"/>
    </w:p>
    <w:p w14:paraId="2B7723E1"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8" w:name="_Toc461194957"/>
      <w:r w:rsidRPr="006F7C74">
        <w:rPr>
          <w:rFonts w:ascii="Georgia" w:hAnsi="Georgia" w:cs="Arial"/>
          <w:bCs/>
        </w:rPr>
        <w:t>De chercher à initier des activités inexistantes dans les formations sanitaires comme par exemple le Dépistage à l’Initiative du Soignant, ou le soutien psycho-social.</w:t>
      </w:r>
      <w:bookmarkEnd w:id="8"/>
    </w:p>
    <w:p w14:paraId="14A83360"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9" w:name="_Toc461194958"/>
      <w:r w:rsidRPr="006F7C74">
        <w:rPr>
          <w:rFonts w:ascii="Georgia" w:hAnsi="Georgia" w:cs="Arial"/>
          <w:bCs/>
        </w:rPr>
        <w:t>De développer au sein de la structure la participation du secteur communautaire (médiateur formé, groupe de soutien).</w:t>
      </w:r>
      <w:bookmarkEnd w:id="9"/>
    </w:p>
    <w:p w14:paraId="13C7AC0A" w14:textId="77777777" w:rsidR="00BE3825" w:rsidRPr="006F7C74" w:rsidRDefault="00BE3825" w:rsidP="00D85E97">
      <w:pPr>
        <w:numPr>
          <w:ilvl w:val="0"/>
          <w:numId w:val="33"/>
        </w:numPr>
        <w:shd w:val="pct10" w:color="auto" w:fill="auto"/>
        <w:ind w:left="720" w:hanging="180"/>
        <w:jc w:val="both"/>
        <w:outlineLvl w:val="0"/>
        <w:rPr>
          <w:rFonts w:ascii="Georgia" w:hAnsi="Georgia" w:cs="Arial"/>
          <w:bCs/>
        </w:rPr>
      </w:pPr>
      <w:bookmarkStart w:id="10" w:name="_Toc461194959"/>
      <w:r w:rsidRPr="006F7C74">
        <w:rPr>
          <w:rFonts w:ascii="Georgia" w:hAnsi="Georgia" w:cs="Arial"/>
          <w:bCs/>
        </w:rPr>
        <w:t>Et d’élaborer le rapport d’activité détaillé de son tutorat – selon un rapport type (forces et faiblesses des situations rencontrées, propositions etc.).</w:t>
      </w:r>
      <w:bookmarkEnd w:id="10"/>
    </w:p>
    <w:p w14:paraId="6E1FBE04" w14:textId="77777777" w:rsidR="00BE3825" w:rsidRPr="006F7C74" w:rsidRDefault="00BE3825" w:rsidP="00D85E97">
      <w:pPr>
        <w:shd w:val="pct10" w:color="auto" w:fill="auto"/>
        <w:jc w:val="both"/>
        <w:rPr>
          <w:rFonts w:ascii="Georgia" w:hAnsi="Georgia" w:cs="Arial"/>
        </w:rPr>
      </w:pPr>
    </w:p>
    <w:p w14:paraId="52C99D1B" w14:textId="77777777" w:rsidR="00BE3825" w:rsidRPr="006F7C74" w:rsidRDefault="00BE3825" w:rsidP="00D85E97">
      <w:pPr>
        <w:shd w:val="pct10" w:color="auto" w:fill="auto"/>
        <w:jc w:val="both"/>
        <w:rPr>
          <w:rFonts w:ascii="Georgia" w:hAnsi="Georgia" w:cs="Arial"/>
        </w:rPr>
      </w:pPr>
      <w:r w:rsidRPr="006F7C74">
        <w:rPr>
          <w:rFonts w:ascii="Georgia" w:hAnsi="Georgia" w:cs="Arial"/>
        </w:rPr>
        <w:t>Point d’attention :</w:t>
      </w:r>
    </w:p>
    <w:p w14:paraId="1B9D062D" w14:textId="77777777" w:rsidR="00BE3825" w:rsidRPr="006F7C74" w:rsidRDefault="00BE3825" w:rsidP="00D85E97">
      <w:pPr>
        <w:pStyle w:val="Paragraphedeliste"/>
        <w:numPr>
          <w:ilvl w:val="0"/>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Critère et modalités de sélection de :</w:t>
      </w:r>
    </w:p>
    <w:p w14:paraId="7202BF5E" w14:textId="77777777"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Sites tuteurs : une évaluation de la qualité est prévue sur les 28 sites majeurs de prise en charge ; Les données de cette évaluation donneront les éléments pour établir une classification des centres en fonction de l’output.</w:t>
      </w:r>
    </w:p>
    <w:p w14:paraId="6E745CE0" w14:textId="77777777"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Personnels tuteurs : au sein des centres retenus, il est essentiel de déterminer quels personnels ont le profil (et l’intérêt à s’impliquer dans un tutorat).</w:t>
      </w:r>
    </w:p>
    <w:p w14:paraId="011BF497" w14:textId="08F823D0"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Sites / personnels à tutorer : dans ce contexte, le tutorat serait une relation entre un site</w:t>
      </w:r>
      <w:r w:rsidR="007C415A">
        <w:rPr>
          <w:rFonts w:ascii="Georgia" w:hAnsi="Georgia" w:cs="Arial"/>
        </w:rPr>
        <w:t xml:space="preserve"> tuteur et un ou deux sites à tu</w:t>
      </w:r>
      <w:r w:rsidRPr="006F7C74">
        <w:rPr>
          <w:rFonts w:ascii="Georgia" w:hAnsi="Georgia" w:cs="Arial"/>
        </w:rPr>
        <w:t>torer (ne pas surcharger les sites tuteurs). Une modalité pour déterminer les sites à tutorer est de croiser :</w:t>
      </w:r>
    </w:p>
    <w:p w14:paraId="2882F809" w14:textId="77777777" w:rsidR="00BE3825" w:rsidRPr="006F7C74" w:rsidRDefault="00BE3825" w:rsidP="00D85E97">
      <w:pPr>
        <w:pStyle w:val="Paragraphedeliste"/>
        <w:numPr>
          <w:ilvl w:val="2"/>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 xml:space="preserve">L’origine géographique des personnes suivies dans le centre. </w:t>
      </w:r>
    </w:p>
    <w:p w14:paraId="43722712" w14:textId="77777777" w:rsidR="00BE3825" w:rsidRPr="006F7C74" w:rsidRDefault="00BE3825" w:rsidP="00D85E97">
      <w:pPr>
        <w:pStyle w:val="Paragraphedeliste"/>
        <w:numPr>
          <w:ilvl w:val="2"/>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Quels quartiers ou villages ne disposent pas d’un CSA impliqués dans la PEC serait à prioriser ? pour faire quoi (dépistage, traitement ? renouvellement d’ordonnance ? etc.), quel site tuteur.</w:t>
      </w:r>
    </w:p>
    <w:p w14:paraId="0D51AC8E" w14:textId="77777777" w:rsidR="00BE3825" w:rsidRPr="006F7C74" w:rsidRDefault="00BE3825" w:rsidP="00D85E97">
      <w:pPr>
        <w:pStyle w:val="Paragraphedeliste"/>
        <w:numPr>
          <w:ilvl w:val="2"/>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La volonté des personnels des sites visés de s’impliquer dans la PEC.</w:t>
      </w:r>
    </w:p>
    <w:p w14:paraId="115578A3" w14:textId="77777777" w:rsidR="00BE3825" w:rsidRPr="006F7C74" w:rsidRDefault="00BE3825" w:rsidP="00D85E97">
      <w:pPr>
        <w:pStyle w:val="Paragraphedeliste"/>
        <w:numPr>
          <w:ilvl w:val="0"/>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Modalités de :</w:t>
      </w:r>
    </w:p>
    <w:p w14:paraId="1701CFC5" w14:textId="77777777"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Formation des tuteurs : le tutorat demande une combinaison de savoirs et de savoirs – être et d’outils ; Une formation serait nécessaire des « futurs tuteurs » avec au besoin une sélection à la fin de la formation. Cette formation devrait être une formation – action avec :</w:t>
      </w:r>
    </w:p>
    <w:p w14:paraId="3B8C8824" w14:textId="77777777" w:rsidR="00BE3825" w:rsidRPr="006F7C74" w:rsidRDefault="00BE3825" w:rsidP="00D85E97">
      <w:pPr>
        <w:pStyle w:val="Paragraphedeliste"/>
        <w:numPr>
          <w:ilvl w:val="2"/>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 xml:space="preserve">Formation initiale </w:t>
      </w:r>
    </w:p>
    <w:p w14:paraId="194FA32C" w14:textId="77777777" w:rsidR="00BE3825" w:rsidRPr="006F7C74" w:rsidRDefault="00BE3825" w:rsidP="00D85E97">
      <w:pPr>
        <w:pStyle w:val="Paragraphedeliste"/>
        <w:numPr>
          <w:ilvl w:val="2"/>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Formation continue sur les sites.</w:t>
      </w:r>
    </w:p>
    <w:p w14:paraId="1F339D83" w14:textId="77777777" w:rsidR="00BE3825" w:rsidRPr="006F7C74" w:rsidRDefault="00BE3825" w:rsidP="00D85E97">
      <w:pPr>
        <w:pStyle w:val="Paragraphedeliste"/>
        <w:numPr>
          <w:ilvl w:val="1"/>
          <w:numId w:val="31"/>
        </w:numPr>
        <w:shd w:val="pct10" w:color="auto" w:fill="auto"/>
        <w:spacing w:before="0" w:beforeAutospacing="0" w:after="0" w:afterAutospacing="0"/>
        <w:contextualSpacing/>
        <w:jc w:val="both"/>
        <w:rPr>
          <w:rFonts w:ascii="Georgia" w:hAnsi="Georgia" w:cs="Arial"/>
        </w:rPr>
      </w:pPr>
      <w:r w:rsidRPr="006F7C74">
        <w:rPr>
          <w:rFonts w:ascii="Georgia" w:hAnsi="Georgia" w:cs="Arial"/>
        </w:rPr>
        <w:t>Suivi du tutorat.</w:t>
      </w:r>
    </w:p>
    <w:p w14:paraId="694B5DBD" w14:textId="77777777" w:rsidR="00CE7737" w:rsidRPr="006F7C74" w:rsidRDefault="00CE7737" w:rsidP="00D85E97">
      <w:pPr>
        <w:pStyle w:val="Paragraphedeliste"/>
        <w:spacing w:before="0" w:beforeAutospacing="0" w:after="0" w:afterAutospacing="0"/>
        <w:ind w:left="720"/>
        <w:jc w:val="both"/>
        <w:rPr>
          <w:rFonts w:ascii="Georgia" w:hAnsi="Georgia" w:cs="Arial"/>
          <w:color w:val="000000"/>
        </w:rPr>
      </w:pPr>
    </w:p>
    <w:p w14:paraId="0678E6A9" w14:textId="77777777" w:rsidR="002928FA" w:rsidRPr="006F7C74" w:rsidRDefault="002928FA" w:rsidP="00D85E97">
      <w:pPr>
        <w:pStyle w:val="Paragraphedeliste"/>
        <w:spacing w:before="0" w:beforeAutospacing="0" w:after="0" w:afterAutospacing="0"/>
        <w:ind w:left="1440"/>
        <w:jc w:val="both"/>
        <w:rPr>
          <w:rFonts w:ascii="Georgia" w:hAnsi="Georgia" w:cs="Arial"/>
          <w:color w:val="000000"/>
        </w:rPr>
      </w:pPr>
    </w:p>
    <w:p w14:paraId="5B97D21D" w14:textId="77777777" w:rsidR="000B4272" w:rsidRDefault="000B4272" w:rsidP="00D85E97">
      <w:pPr>
        <w:jc w:val="both"/>
        <w:rPr>
          <w:rFonts w:ascii="Georgia" w:hAnsi="Georgia" w:cs="Arial"/>
        </w:rPr>
      </w:pPr>
    </w:p>
    <w:p w14:paraId="15128B0F" w14:textId="77777777" w:rsidR="00783374" w:rsidRDefault="00783374" w:rsidP="00D85E97">
      <w:pPr>
        <w:jc w:val="both"/>
        <w:rPr>
          <w:rFonts w:ascii="Georgia" w:hAnsi="Georgia" w:cs="Arial"/>
        </w:rPr>
      </w:pPr>
    </w:p>
    <w:p w14:paraId="1C787794" w14:textId="77777777" w:rsidR="00783374" w:rsidRPr="00811FAF" w:rsidRDefault="00783374" w:rsidP="00D85E97">
      <w:pPr>
        <w:jc w:val="both"/>
        <w:rPr>
          <w:rFonts w:ascii="Georgia" w:hAnsi="Georgia" w:cs="Arial"/>
        </w:rPr>
      </w:pPr>
    </w:p>
    <w:sectPr w:rsidR="00783374" w:rsidRPr="00811FAF" w:rsidSect="0076329C">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FD053" w16cid:durableId="2059C423"/>
  <w16cid:commentId w16cid:paraId="34E41097" w16cid:durableId="2059E040"/>
  <w16cid:commentId w16cid:paraId="1240FA7A" w16cid:durableId="2059DF83"/>
  <w16cid:commentId w16cid:paraId="1617EA58" w16cid:durableId="2059DFAA"/>
  <w16cid:commentId w16cid:paraId="35C9E9A1" w16cid:durableId="2059DFA3"/>
  <w16cid:commentId w16cid:paraId="5296888A" w16cid:durableId="2059C57E"/>
  <w16cid:commentId w16cid:paraId="57BF5103" w16cid:durableId="2059C58E"/>
  <w16cid:commentId w16cid:paraId="7E248A35" w16cid:durableId="2059BE09"/>
  <w16cid:commentId w16cid:paraId="6D702C81" w16cid:durableId="2059C253"/>
  <w16cid:commentId w16cid:paraId="1776C06B" w16cid:durableId="20574EDB"/>
  <w16cid:commentId w16cid:paraId="2B239170" w16cid:durableId="20574EDC"/>
  <w16cid:commentId w16cid:paraId="32A7CDD4" w16cid:durableId="2059C055"/>
  <w16cid:commentId w16cid:paraId="2B840A99" w16cid:durableId="20574EDD"/>
  <w16cid:commentId w16cid:paraId="54269540" w16cid:durableId="2059E11B"/>
  <w16cid:commentId w16cid:paraId="25F734B0" w16cid:durableId="20574EDE"/>
  <w16cid:commentId w16cid:paraId="4A56CF8C" w16cid:durableId="20575299"/>
  <w16cid:commentId w16cid:paraId="65550ED4" w16cid:durableId="2059DFBF"/>
  <w16cid:commentId w16cid:paraId="558488E1" w16cid:durableId="2059E5DF"/>
  <w16cid:commentId w16cid:paraId="0FBEEF2D" w16cid:durableId="20574E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189D" w14:textId="77777777" w:rsidR="00CA7DB5" w:rsidRDefault="00CA7DB5" w:rsidP="00DD6283">
      <w:r>
        <w:separator/>
      </w:r>
    </w:p>
  </w:endnote>
  <w:endnote w:type="continuationSeparator" w:id="0">
    <w:p w14:paraId="3124024B" w14:textId="77777777" w:rsidR="00CA7DB5" w:rsidRDefault="00CA7DB5" w:rsidP="00DD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A112" w14:textId="77777777" w:rsidR="00CA7DB5" w:rsidRDefault="00CA7DB5" w:rsidP="00DD6283">
      <w:r>
        <w:separator/>
      </w:r>
    </w:p>
  </w:footnote>
  <w:footnote w:type="continuationSeparator" w:id="0">
    <w:p w14:paraId="4C560799" w14:textId="77777777" w:rsidR="00CA7DB5" w:rsidRDefault="00CA7DB5" w:rsidP="00DD6283">
      <w:r>
        <w:continuationSeparator/>
      </w:r>
    </w:p>
  </w:footnote>
  <w:footnote w:id="1">
    <w:p w14:paraId="3C28CE83" w14:textId="77777777" w:rsidR="001F6336" w:rsidRDefault="001F6336" w:rsidP="00B52698">
      <w:pPr>
        <w:pStyle w:val="Notedebasdepage"/>
      </w:pPr>
      <w:r>
        <w:rPr>
          <w:rStyle w:val="Appelnotedebasdep"/>
        </w:rPr>
        <w:footnoteRef/>
      </w:r>
      <w:r>
        <w:t xml:space="preserve"> « </w:t>
      </w:r>
      <w:r w:rsidRPr="00DF4602">
        <w:t>Nombre de femmes enceintes testées VIH positives</w:t>
      </w:r>
      <w:r>
        <w:t> ». Il n’est pas spécifié si ça inclue les femmes qui connaissaient déjà leur statut positif.</w:t>
      </w:r>
    </w:p>
  </w:footnote>
  <w:footnote w:id="2">
    <w:p w14:paraId="76B78138" w14:textId="649CF6AB" w:rsidR="001F6336" w:rsidRDefault="001F6336" w:rsidP="00753F58">
      <w:r w:rsidRPr="00293735">
        <w:t>[2</w:t>
      </w:r>
      <w:r w:rsidRPr="00B90285">
        <w:rPr>
          <w:rFonts w:ascii="Georgia" w:hAnsi="Georgia"/>
          <w:sz w:val="20"/>
          <w:szCs w:val="20"/>
        </w:rPr>
        <w:t>] Centres PTME qui ne sont pas situés dans la même enceinte que des centres de PEC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484"/>
    <w:multiLevelType w:val="hybridMultilevel"/>
    <w:tmpl w:val="5F0E30E6"/>
    <w:lvl w:ilvl="0" w:tplc="040C000B">
      <w:start w:val="1"/>
      <w:numFmt w:val="bullet"/>
      <w:lvlText w:val=""/>
      <w:lvlJc w:val="left"/>
      <w:pPr>
        <w:ind w:left="450" w:hanging="360"/>
      </w:pPr>
      <w:rPr>
        <w:rFonts w:ascii="Wingdings" w:hAnsi="Wingdings" w:hint="default"/>
      </w:rPr>
    </w:lvl>
    <w:lvl w:ilvl="1" w:tplc="040C0003">
      <w:start w:val="1"/>
      <w:numFmt w:val="bullet"/>
      <w:lvlText w:val="o"/>
      <w:lvlJc w:val="left"/>
      <w:pPr>
        <w:ind w:left="1170" w:hanging="360"/>
      </w:pPr>
      <w:rPr>
        <w:rFonts w:ascii="Courier New" w:hAnsi="Courier New" w:cs="Courier New" w:hint="default"/>
      </w:rPr>
    </w:lvl>
    <w:lvl w:ilvl="2" w:tplc="040C0005">
      <w:start w:val="1"/>
      <w:numFmt w:val="bullet"/>
      <w:lvlText w:val=""/>
      <w:lvlJc w:val="left"/>
      <w:pPr>
        <w:ind w:left="1890" w:hanging="360"/>
      </w:pPr>
      <w:rPr>
        <w:rFonts w:ascii="Wingdings" w:hAnsi="Wingdings" w:hint="default"/>
      </w:rPr>
    </w:lvl>
    <w:lvl w:ilvl="3" w:tplc="040C000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nsid w:val="00E33B29"/>
    <w:multiLevelType w:val="hybridMultilevel"/>
    <w:tmpl w:val="ACC0D570"/>
    <w:lvl w:ilvl="0" w:tplc="040C0001">
      <w:start w:val="1"/>
      <w:numFmt w:val="bullet"/>
      <w:lvlText w:val=""/>
      <w:lvlJc w:val="left"/>
      <w:pPr>
        <w:ind w:left="1537" w:hanging="360"/>
      </w:pPr>
      <w:rPr>
        <w:rFonts w:ascii="Symbol" w:hAnsi="Symbol" w:hint="default"/>
      </w:rPr>
    </w:lvl>
    <w:lvl w:ilvl="1" w:tplc="040C0003" w:tentative="1">
      <w:start w:val="1"/>
      <w:numFmt w:val="bullet"/>
      <w:lvlText w:val="o"/>
      <w:lvlJc w:val="left"/>
      <w:pPr>
        <w:ind w:left="2257" w:hanging="360"/>
      </w:pPr>
      <w:rPr>
        <w:rFonts w:ascii="Courier New" w:hAnsi="Courier New" w:cs="Courier New" w:hint="default"/>
      </w:rPr>
    </w:lvl>
    <w:lvl w:ilvl="2" w:tplc="040C0005" w:tentative="1">
      <w:start w:val="1"/>
      <w:numFmt w:val="bullet"/>
      <w:lvlText w:val=""/>
      <w:lvlJc w:val="left"/>
      <w:pPr>
        <w:ind w:left="2977" w:hanging="360"/>
      </w:pPr>
      <w:rPr>
        <w:rFonts w:ascii="Wingdings" w:hAnsi="Wingdings" w:hint="default"/>
      </w:rPr>
    </w:lvl>
    <w:lvl w:ilvl="3" w:tplc="040C0001" w:tentative="1">
      <w:start w:val="1"/>
      <w:numFmt w:val="bullet"/>
      <w:lvlText w:val=""/>
      <w:lvlJc w:val="left"/>
      <w:pPr>
        <w:ind w:left="3697" w:hanging="360"/>
      </w:pPr>
      <w:rPr>
        <w:rFonts w:ascii="Symbol" w:hAnsi="Symbol" w:hint="default"/>
      </w:rPr>
    </w:lvl>
    <w:lvl w:ilvl="4" w:tplc="040C0003" w:tentative="1">
      <w:start w:val="1"/>
      <w:numFmt w:val="bullet"/>
      <w:lvlText w:val="o"/>
      <w:lvlJc w:val="left"/>
      <w:pPr>
        <w:ind w:left="4417" w:hanging="360"/>
      </w:pPr>
      <w:rPr>
        <w:rFonts w:ascii="Courier New" w:hAnsi="Courier New" w:cs="Courier New" w:hint="default"/>
      </w:rPr>
    </w:lvl>
    <w:lvl w:ilvl="5" w:tplc="040C0005" w:tentative="1">
      <w:start w:val="1"/>
      <w:numFmt w:val="bullet"/>
      <w:lvlText w:val=""/>
      <w:lvlJc w:val="left"/>
      <w:pPr>
        <w:ind w:left="5137" w:hanging="360"/>
      </w:pPr>
      <w:rPr>
        <w:rFonts w:ascii="Wingdings" w:hAnsi="Wingdings" w:hint="default"/>
      </w:rPr>
    </w:lvl>
    <w:lvl w:ilvl="6" w:tplc="040C0001" w:tentative="1">
      <w:start w:val="1"/>
      <w:numFmt w:val="bullet"/>
      <w:lvlText w:val=""/>
      <w:lvlJc w:val="left"/>
      <w:pPr>
        <w:ind w:left="5857" w:hanging="360"/>
      </w:pPr>
      <w:rPr>
        <w:rFonts w:ascii="Symbol" w:hAnsi="Symbol" w:hint="default"/>
      </w:rPr>
    </w:lvl>
    <w:lvl w:ilvl="7" w:tplc="040C0003" w:tentative="1">
      <w:start w:val="1"/>
      <w:numFmt w:val="bullet"/>
      <w:lvlText w:val="o"/>
      <w:lvlJc w:val="left"/>
      <w:pPr>
        <w:ind w:left="6577" w:hanging="360"/>
      </w:pPr>
      <w:rPr>
        <w:rFonts w:ascii="Courier New" w:hAnsi="Courier New" w:cs="Courier New" w:hint="default"/>
      </w:rPr>
    </w:lvl>
    <w:lvl w:ilvl="8" w:tplc="040C0005" w:tentative="1">
      <w:start w:val="1"/>
      <w:numFmt w:val="bullet"/>
      <w:lvlText w:val=""/>
      <w:lvlJc w:val="left"/>
      <w:pPr>
        <w:ind w:left="7297" w:hanging="360"/>
      </w:pPr>
      <w:rPr>
        <w:rFonts w:ascii="Wingdings" w:hAnsi="Wingdings" w:hint="default"/>
      </w:rPr>
    </w:lvl>
  </w:abstractNum>
  <w:abstractNum w:abstractNumId="2">
    <w:nsid w:val="01A41D4B"/>
    <w:multiLevelType w:val="multilevel"/>
    <w:tmpl w:val="CCFC8F96"/>
    <w:lvl w:ilvl="0">
      <w:start w:val="1"/>
      <w:numFmt w:val="bullet"/>
      <w:lvlText w:val="o"/>
      <w:lvlJc w:val="left"/>
      <w:pPr>
        <w:ind w:left="360" w:hanging="360"/>
      </w:pPr>
      <w:rPr>
        <w:rFonts w:ascii="Courier New" w:hAnsi="Courier New" w:cs="Courier New" w:hint="default"/>
      </w:rPr>
    </w:lvl>
    <w:lvl w:ilvl="1">
      <w:start w:val="1"/>
      <w:numFmt w:val="decimal"/>
      <w:pStyle w:val="Titre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4766472"/>
    <w:multiLevelType w:val="hybridMultilevel"/>
    <w:tmpl w:val="21DA16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064536B4"/>
    <w:multiLevelType w:val="hybridMultilevel"/>
    <w:tmpl w:val="F9A493CC"/>
    <w:lvl w:ilvl="0" w:tplc="49CA5720">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E61569"/>
    <w:multiLevelType w:val="multilevel"/>
    <w:tmpl w:val="5AAAC07C"/>
    <w:lvl w:ilvl="0">
      <w:start w:val="1"/>
      <w:numFmt w:val="upperRoman"/>
      <w:pStyle w:val="Titre1"/>
      <w:lvlText w:val="%1."/>
      <w:lvlJc w:val="righ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720" w:hanging="360"/>
      </w:pPr>
      <w:rPr>
        <w:rFonts w:ascii="Courier New" w:hAnsi="Courier New" w:cs="Courier New"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Wingdings" w:hAnsi="Wingding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90401F8"/>
    <w:multiLevelType w:val="multilevel"/>
    <w:tmpl w:val="4BF46274"/>
    <w:lvl w:ilvl="0">
      <w:start w:val="3"/>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292501"/>
    <w:multiLevelType w:val="hybridMultilevel"/>
    <w:tmpl w:val="D598CA50"/>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98B3F92"/>
    <w:multiLevelType w:val="hybridMultilevel"/>
    <w:tmpl w:val="CF904B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B99222D"/>
    <w:multiLevelType w:val="hybridMultilevel"/>
    <w:tmpl w:val="C3065E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0D691DB1"/>
    <w:multiLevelType w:val="hybridMultilevel"/>
    <w:tmpl w:val="D6C4BDE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057199"/>
    <w:multiLevelType w:val="hybridMultilevel"/>
    <w:tmpl w:val="4A30A0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806751"/>
    <w:multiLevelType w:val="multilevel"/>
    <w:tmpl w:val="4CA83E1C"/>
    <w:lvl w:ilvl="0">
      <w:start w:val="2"/>
      <w:numFmt w:val="decimal"/>
      <w:lvlText w:val="%1."/>
      <w:lvlJc w:val="left"/>
      <w:pPr>
        <w:ind w:left="580" w:hanging="5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5405CAD"/>
    <w:multiLevelType w:val="hybridMultilevel"/>
    <w:tmpl w:val="6130F0BC"/>
    <w:lvl w:ilvl="0" w:tplc="040C0001">
      <w:start w:val="1"/>
      <w:numFmt w:val="bullet"/>
      <w:lvlText w:val=""/>
      <w:lvlJc w:val="left"/>
      <w:pPr>
        <w:ind w:left="1476" w:hanging="360"/>
      </w:pPr>
      <w:rPr>
        <w:rFonts w:ascii="Symbol" w:hAnsi="Symbol"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4">
    <w:nsid w:val="155E7D48"/>
    <w:multiLevelType w:val="hybridMultilevel"/>
    <w:tmpl w:val="FEDE0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9A5968"/>
    <w:multiLevelType w:val="hybridMultilevel"/>
    <w:tmpl w:val="B016DF0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6">
    <w:nsid w:val="19661C04"/>
    <w:multiLevelType w:val="hybridMultilevel"/>
    <w:tmpl w:val="824C07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3B13A3"/>
    <w:multiLevelType w:val="hybridMultilevel"/>
    <w:tmpl w:val="1C1E25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44438A"/>
    <w:multiLevelType w:val="multilevel"/>
    <w:tmpl w:val="73B68F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3314A3"/>
    <w:multiLevelType w:val="hybridMultilevel"/>
    <w:tmpl w:val="A2B22BAE"/>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A255AC"/>
    <w:multiLevelType w:val="multilevel"/>
    <w:tmpl w:val="E5F0E1E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56A5DA7"/>
    <w:multiLevelType w:val="hybridMultilevel"/>
    <w:tmpl w:val="167CDFFA"/>
    <w:lvl w:ilvl="0" w:tplc="EF72A630">
      <w:start w:val="1"/>
      <w:numFmt w:val="bullet"/>
      <w:lvlText w:val="-"/>
      <w:lvlJc w:val="left"/>
      <w:pPr>
        <w:ind w:left="1068" w:hanging="360"/>
      </w:pPr>
      <w:rPr>
        <w:rFonts w:ascii="Calibri" w:eastAsiaTheme="minorHAns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8E3243A"/>
    <w:multiLevelType w:val="hybridMultilevel"/>
    <w:tmpl w:val="E56AA86E"/>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366D28"/>
    <w:multiLevelType w:val="hybridMultilevel"/>
    <w:tmpl w:val="A92214AE"/>
    <w:lvl w:ilvl="0" w:tplc="49CA5720">
      <w:numFmt w:val="bullet"/>
      <w:lvlText w:val="-"/>
      <w:lvlJc w:val="left"/>
      <w:pPr>
        <w:ind w:left="1068" w:hanging="360"/>
      </w:pPr>
      <w:rPr>
        <w:rFonts w:ascii="Cambria" w:eastAsiaTheme="minorEastAsia" w:hAnsi="Cambria"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C0B442D"/>
    <w:multiLevelType w:val="hybridMultilevel"/>
    <w:tmpl w:val="446C75BE"/>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5">
    <w:nsid w:val="3E685382"/>
    <w:multiLevelType w:val="hybridMultilevel"/>
    <w:tmpl w:val="E27650C2"/>
    <w:lvl w:ilvl="0" w:tplc="08C6F42C">
      <w:start w:val="5"/>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3F542865"/>
    <w:multiLevelType w:val="hybridMultilevel"/>
    <w:tmpl w:val="1352AB22"/>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1E171A"/>
    <w:multiLevelType w:val="hybridMultilevel"/>
    <w:tmpl w:val="A2B22BAE"/>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063994"/>
    <w:multiLevelType w:val="hybridMultilevel"/>
    <w:tmpl w:val="0E145074"/>
    <w:lvl w:ilvl="0" w:tplc="52D4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B24C82"/>
    <w:multiLevelType w:val="hybridMultilevel"/>
    <w:tmpl w:val="B7AE44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CD2D32"/>
    <w:multiLevelType w:val="hybridMultilevel"/>
    <w:tmpl w:val="A56E18F2"/>
    <w:lvl w:ilvl="0" w:tplc="FA94C9C8">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BF66A5"/>
    <w:multiLevelType w:val="hybridMultilevel"/>
    <w:tmpl w:val="FFB2D796"/>
    <w:lvl w:ilvl="0" w:tplc="11544A3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2777D5"/>
    <w:multiLevelType w:val="hybridMultilevel"/>
    <w:tmpl w:val="B8A076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4A7D55"/>
    <w:multiLevelType w:val="hybridMultilevel"/>
    <w:tmpl w:val="16202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25043F"/>
    <w:multiLevelType w:val="multilevel"/>
    <w:tmpl w:val="3C109AD4"/>
    <w:lvl w:ilvl="0">
      <w:start w:val="1"/>
      <w:numFmt w:val="bullet"/>
      <w:lvlText w:val=""/>
      <w:lvlJc w:val="left"/>
      <w:pPr>
        <w:ind w:left="180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5">
    <w:nsid w:val="7DAB6807"/>
    <w:multiLevelType w:val="hybridMultilevel"/>
    <w:tmpl w:val="18420932"/>
    <w:lvl w:ilvl="0" w:tplc="256AAF0C">
      <w:start w:val="4"/>
      <w:numFmt w:val="bullet"/>
      <w:lvlText w:val="-"/>
      <w:lvlJc w:val="left"/>
      <w:pPr>
        <w:ind w:left="1776" w:hanging="360"/>
      </w:pPr>
      <w:rPr>
        <w:rFonts w:ascii="Calibri" w:eastAsia="Calibri" w:hAnsi="Calibri"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num w:numId="1">
    <w:abstractNumId w:val="13"/>
  </w:num>
  <w:num w:numId="2">
    <w:abstractNumId w:val="1"/>
  </w:num>
  <w:num w:numId="3">
    <w:abstractNumId w:val="27"/>
  </w:num>
  <w:num w:numId="4">
    <w:abstractNumId w:val="7"/>
  </w:num>
  <w:num w:numId="5">
    <w:abstractNumId w:val="3"/>
  </w:num>
  <w:num w:numId="6">
    <w:abstractNumId w:val="21"/>
  </w:num>
  <w:num w:numId="7">
    <w:abstractNumId w:val="18"/>
  </w:num>
  <w:num w:numId="8">
    <w:abstractNumId w:val="34"/>
  </w:num>
  <w:num w:numId="9">
    <w:abstractNumId w:val="16"/>
  </w:num>
  <w:num w:numId="10">
    <w:abstractNumId w:val="32"/>
  </w:num>
  <w:num w:numId="11">
    <w:abstractNumId w:val="33"/>
  </w:num>
  <w:num w:numId="12">
    <w:abstractNumId w:val="19"/>
  </w:num>
  <w:num w:numId="13">
    <w:abstractNumId w:val="10"/>
  </w:num>
  <w:num w:numId="14">
    <w:abstractNumId w:val="26"/>
  </w:num>
  <w:num w:numId="15">
    <w:abstractNumId w:val="30"/>
  </w:num>
  <w:num w:numId="16">
    <w:abstractNumId w:val="28"/>
  </w:num>
  <w:num w:numId="17">
    <w:abstractNumId w:val="5"/>
  </w:num>
  <w:num w:numId="18">
    <w:abstractNumId w:val="11"/>
  </w:num>
  <w:num w:numId="19">
    <w:abstractNumId w:val="9"/>
  </w:num>
  <w:num w:numId="20">
    <w:abstractNumId w:val="17"/>
  </w:num>
  <w:num w:numId="21">
    <w:abstractNumId w:val="29"/>
  </w:num>
  <w:num w:numId="22">
    <w:abstractNumId w:val="22"/>
  </w:num>
  <w:num w:numId="23">
    <w:abstractNumId w:val="12"/>
  </w:num>
  <w:num w:numId="24">
    <w:abstractNumId w:val="2"/>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lvlOverride w:ilvl="0">
      <w:startOverride w:val="3"/>
    </w:lvlOverride>
    <w:lvlOverride w:ilvl="1">
      <w:startOverride w:val="2"/>
    </w:lvlOverride>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num>
  <w:num w:numId="31">
    <w:abstractNumId w:val="31"/>
  </w:num>
  <w:num w:numId="32">
    <w:abstractNumId w:val="4"/>
  </w:num>
  <w:num w:numId="33">
    <w:abstractNumId w:val="35"/>
  </w:num>
  <w:num w:numId="34">
    <w:abstractNumId w:val="24"/>
  </w:num>
  <w:num w:numId="35">
    <w:abstractNumId w:val="15"/>
  </w:num>
  <w:num w:numId="36">
    <w:abstractNumId w:val="14"/>
  </w:num>
  <w:num w:numId="37">
    <w:abstractNumId w:val="25"/>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72"/>
    <w:rsid w:val="0001676B"/>
    <w:rsid w:val="000339B3"/>
    <w:rsid w:val="00044560"/>
    <w:rsid w:val="00064386"/>
    <w:rsid w:val="00064F55"/>
    <w:rsid w:val="0008127B"/>
    <w:rsid w:val="000826C4"/>
    <w:rsid w:val="000841B1"/>
    <w:rsid w:val="000B4272"/>
    <w:rsid w:val="000E5661"/>
    <w:rsid w:val="000F3318"/>
    <w:rsid w:val="000F332F"/>
    <w:rsid w:val="000F63FA"/>
    <w:rsid w:val="001004AB"/>
    <w:rsid w:val="00101DD0"/>
    <w:rsid w:val="001119F9"/>
    <w:rsid w:val="00113E93"/>
    <w:rsid w:val="00114DE9"/>
    <w:rsid w:val="00116CCC"/>
    <w:rsid w:val="0012157D"/>
    <w:rsid w:val="00135342"/>
    <w:rsid w:val="0016039B"/>
    <w:rsid w:val="001818F5"/>
    <w:rsid w:val="001840F8"/>
    <w:rsid w:val="001B1E05"/>
    <w:rsid w:val="001E254F"/>
    <w:rsid w:val="001E2954"/>
    <w:rsid w:val="001E2E66"/>
    <w:rsid w:val="001F41F9"/>
    <w:rsid w:val="001F6336"/>
    <w:rsid w:val="0021421E"/>
    <w:rsid w:val="00220C54"/>
    <w:rsid w:val="00222D42"/>
    <w:rsid w:val="002564A8"/>
    <w:rsid w:val="00274D35"/>
    <w:rsid w:val="002770CC"/>
    <w:rsid w:val="00281475"/>
    <w:rsid w:val="0028221D"/>
    <w:rsid w:val="002928FA"/>
    <w:rsid w:val="00293735"/>
    <w:rsid w:val="002A10E4"/>
    <w:rsid w:val="002A6D51"/>
    <w:rsid w:val="002B76E8"/>
    <w:rsid w:val="002E37FE"/>
    <w:rsid w:val="002E3B27"/>
    <w:rsid w:val="002E4F47"/>
    <w:rsid w:val="002E7499"/>
    <w:rsid w:val="002E7E2A"/>
    <w:rsid w:val="002F11C4"/>
    <w:rsid w:val="003030F3"/>
    <w:rsid w:val="00310994"/>
    <w:rsid w:val="00314887"/>
    <w:rsid w:val="003336CE"/>
    <w:rsid w:val="00343C29"/>
    <w:rsid w:val="00361917"/>
    <w:rsid w:val="00365279"/>
    <w:rsid w:val="00366A9B"/>
    <w:rsid w:val="00382624"/>
    <w:rsid w:val="003A572F"/>
    <w:rsid w:val="003D48E3"/>
    <w:rsid w:val="003E3DAD"/>
    <w:rsid w:val="004037AE"/>
    <w:rsid w:val="00404813"/>
    <w:rsid w:val="0040582C"/>
    <w:rsid w:val="00433AA4"/>
    <w:rsid w:val="0044219C"/>
    <w:rsid w:val="004471D1"/>
    <w:rsid w:val="0045010E"/>
    <w:rsid w:val="004D0F4B"/>
    <w:rsid w:val="004E2CE6"/>
    <w:rsid w:val="004E5861"/>
    <w:rsid w:val="00506463"/>
    <w:rsid w:val="00510733"/>
    <w:rsid w:val="005144B8"/>
    <w:rsid w:val="00520854"/>
    <w:rsid w:val="00522B8B"/>
    <w:rsid w:val="00526BB0"/>
    <w:rsid w:val="00530B5C"/>
    <w:rsid w:val="005738B5"/>
    <w:rsid w:val="005877A2"/>
    <w:rsid w:val="005919EB"/>
    <w:rsid w:val="005A37B8"/>
    <w:rsid w:val="005B207D"/>
    <w:rsid w:val="005D4E0F"/>
    <w:rsid w:val="005E152C"/>
    <w:rsid w:val="005E6F65"/>
    <w:rsid w:val="006346F6"/>
    <w:rsid w:val="00634DF6"/>
    <w:rsid w:val="00677011"/>
    <w:rsid w:val="00680066"/>
    <w:rsid w:val="00697B5A"/>
    <w:rsid w:val="006A54B9"/>
    <w:rsid w:val="006B16B7"/>
    <w:rsid w:val="006B18A4"/>
    <w:rsid w:val="006B43EB"/>
    <w:rsid w:val="006C6CF3"/>
    <w:rsid w:val="006E6105"/>
    <w:rsid w:val="006F7C74"/>
    <w:rsid w:val="00733E53"/>
    <w:rsid w:val="00740BC4"/>
    <w:rsid w:val="00742F6B"/>
    <w:rsid w:val="00746198"/>
    <w:rsid w:val="00750E7F"/>
    <w:rsid w:val="00753F58"/>
    <w:rsid w:val="00755970"/>
    <w:rsid w:val="0076329C"/>
    <w:rsid w:val="00766613"/>
    <w:rsid w:val="00773194"/>
    <w:rsid w:val="00783374"/>
    <w:rsid w:val="00790EAB"/>
    <w:rsid w:val="007C415A"/>
    <w:rsid w:val="007C4B10"/>
    <w:rsid w:val="007C5154"/>
    <w:rsid w:val="007D07B5"/>
    <w:rsid w:val="007D6064"/>
    <w:rsid w:val="007E40F4"/>
    <w:rsid w:val="007E4C75"/>
    <w:rsid w:val="007F5B28"/>
    <w:rsid w:val="0080041A"/>
    <w:rsid w:val="008017A8"/>
    <w:rsid w:val="008075E0"/>
    <w:rsid w:val="00811FAF"/>
    <w:rsid w:val="008239A1"/>
    <w:rsid w:val="00835371"/>
    <w:rsid w:val="00836A36"/>
    <w:rsid w:val="008521B7"/>
    <w:rsid w:val="00854C37"/>
    <w:rsid w:val="00872B4D"/>
    <w:rsid w:val="00881E17"/>
    <w:rsid w:val="0089386D"/>
    <w:rsid w:val="008B33E8"/>
    <w:rsid w:val="008F1E3F"/>
    <w:rsid w:val="008F74F6"/>
    <w:rsid w:val="00921A06"/>
    <w:rsid w:val="00926946"/>
    <w:rsid w:val="00927F23"/>
    <w:rsid w:val="00943822"/>
    <w:rsid w:val="00952255"/>
    <w:rsid w:val="00972441"/>
    <w:rsid w:val="00975A54"/>
    <w:rsid w:val="009C213B"/>
    <w:rsid w:val="009D7287"/>
    <w:rsid w:val="00A025F8"/>
    <w:rsid w:val="00A05612"/>
    <w:rsid w:val="00A10211"/>
    <w:rsid w:val="00A1777F"/>
    <w:rsid w:val="00A36A28"/>
    <w:rsid w:val="00A40E20"/>
    <w:rsid w:val="00A71F9E"/>
    <w:rsid w:val="00A76257"/>
    <w:rsid w:val="00A902E1"/>
    <w:rsid w:val="00A905CB"/>
    <w:rsid w:val="00A9165F"/>
    <w:rsid w:val="00A94952"/>
    <w:rsid w:val="00AA1EF8"/>
    <w:rsid w:val="00AA2BFD"/>
    <w:rsid w:val="00AA616A"/>
    <w:rsid w:val="00AC7059"/>
    <w:rsid w:val="00AD19B2"/>
    <w:rsid w:val="00AE7B2F"/>
    <w:rsid w:val="00AF048F"/>
    <w:rsid w:val="00AF5C28"/>
    <w:rsid w:val="00B27AF4"/>
    <w:rsid w:val="00B37484"/>
    <w:rsid w:val="00B52698"/>
    <w:rsid w:val="00B774D8"/>
    <w:rsid w:val="00B77B5B"/>
    <w:rsid w:val="00B846FF"/>
    <w:rsid w:val="00B90285"/>
    <w:rsid w:val="00B96FFA"/>
    <w:rsid w:val="00BA1D88"/>
    <w:rsid w:val="00BA6349"/>
    <w:rsid w:val="00BB44D4"/>
    <w:rsid w:val="00BB775C"/>
    <w:rsid w:val="00BC5C5A"/>
    <w:rsid w:val="00BD7B3C"/>
    <w:rsid w:val="00BE3825"/>
    <w:rsid w:val="00C01527"/>
    <w:rsid w:val="00C06745"/>
    <w:rsid w:val="00C2704A"/>
    <w:rsid w:val="00C319BC"/>
    <w:rsid w:val="00C40FE3"/>
    <w:rsid w:val="00C41876"/>
    <w:rsid w:val="00C4579D"/>
    <w:rsid w:val="00C97B8F"/>
    <w:rsid w:val="00CA3ACB"/>
    <w:rsid w:val="00CA3D66"/>
    <w:rsid w:val="00CA7DB5"/>
    <w:rsid w:val="00CC5D8E"/>
    <w:rsid w:val="00CD344A"/>
    <w:rsid w:val="00CE7412"/>
    <w:rsid w:val="00CE7737"/>
    <w:rsid w:val="00D04EEB"/>
    <w:rsid w:val="00D0638E"/>
    <w:rsid w:val="00D347F8"/>
    <w:rsid w:val="00D37C0D"/>
    <w:rsid w:val="00D475DD"/>
    <w:rsid w:val="00D524D1"/>
    <w:rsid w:val="00D82CA5"/>
    <w:rsid w:val="00D85E97"/>
    <w:rsid w:val="00D93843"/>
    <w:rsid w:val="00DA0C9D"/>
    <w:rsid w:val="00DC70DA"/>
    <w:rsid w:val="00DD6283"/>
    <w:rsid w:val="00E020A2"/>
    <w:rsid w:val="00E16FFC"/>
    <w:rsid w:val="00E17AE1"/>
    <w:rsid w:val="00E265A0"/>
    <w:rsid w:val="00E31A57"/>
    <w:rsid w:val="00E33A5B"/>
    <w:rsid w:val="00E669C3"/>
    <w:rsid w:val="00E7170A"/>
    <w:rsid w:val="00E769D6"/>
    <w:rsid w:val="00EA7E06"/>
    <w:rsid w:val="00EE3D9C"/>
    <w:rsid w:val="00EF3D38"/>
    <w:rsid w:val="00F04E13"/>
    <w:rsid w:val="00F16768"/>
    <w:rsid w:val="00F41C3E"/>
    <w:rsid w:val="00F43B55"/>
    <w:rsid w:val="00F54EB2"/>
    <w:rsid w:val="00F706E8"/>
    <w:rsid w:val="00F71B08"/>
    <w:rsid w:val="00F85992"/>
    <w:rsid w:val="00F90BCE"/>
    <w:rsid w:val="00F930E7"/>
    <w:rsid w:val="00FA43F0"/>
    <w:rsid w:val="00FA463F"/>
    <w:rsid w:val="00FB08CC"/>
    <w:rsid w:val="00FB23CF"/>
    <w:rsid w:val="00FB4AAA"/>
    <w:rsid w:val="00FD5B10"/>
    <w:rsid w:val="00FE5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F1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F74F6"/>
    <w:pPr>
      <w:keepNext/>
      <w:keepLines/>
      <w:numPr>
        <w:numId w:val="17"/>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74F6"/>
    <w:pPr>
      <w:keepNext/>
      <w:keepLines/>
      <w:numPr>
        <w:ilvl w:val="1"/>
        <w:numId w:val="24"/>
      </w:numPr>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Paragraphedeliste"/>
    <w:next w:val="Normal"/>
    <w:link w:val="Titre3Car"/>
    <w:uiPriority w:val="9"/>
    <w:unhideWhenUsed/>
    <w:qFormat/>
    <w:rsid w:val="002E3B27"/>
    <w:pPr>
      <w:ind w:left="360"/>
      <w:outlineLvl w:val="2"/>
    </w:pPr>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4272"/>
  </w:style>
  <w:style w:type="paragraph" w:styleId="Paragraphedeliste">
    <w:name w:val="List Paragraph"/>
    <w:basedOn w:val="Normal"/>
    <w:uiPriority w:val="34"/>
    <w:qFormat/>
    <w:rsid w:val="000B4272"/>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D0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463"/>
    <w:pPr>
      <w:spacing w:before="100" w:beforeAutospacing="1" w:after="100" w:afterAutospacing="1"/>
    </w:pPr>
    <w:rPr>
      <w:rFonts w:ascii="Times New Roman" w:hAnsi="Times New Roman" w:cs="Times New Roman"/>
      <w:lang w:eastAsia="fr-FR"/>
    </w:rPr>
  </w:style>
  <w:style w:type="character" w:customStyle="1" w:styleId="Titre1Car">
    <w:name w:val="Titre 1 Car"/>
    <w:basedOn w:val="Policepardfaut"/>
    <w:link w:val="Titre1"/>
    <w:uiPriority w:val="9"/>
    <w:rsid w:val="008F74F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F74F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E3B27"/>
    <w:rPr>
      <w:rFonts w:ascii="Times New Roman" w:hAnsi="Times New Roman" w:cs="Times New Roman"/>
      <w:color w:val="000000"/>
      <w:lang w:eastAsia="fr-FR"/>
    </w:rPr>
  </w:style>
  <w:style w:type="paragraph" w:styleId="Notedebasdepage">
    <w:name w:val="footnote text"/>
    <w:basedOn w:val="Normal"/>
    <w:link w:val="NotedebasdepageCar"/>
    <w:uiPriority w:val="99"/>
    <w:unhideWhenUsed/>
    <w:rsid w:val="00DD6283"/>
  </w:style>
  <w:style w:type="character" w:customStyle="1" w:styleId="NotedebasdepageCar">
    <w:name w:val="Note de bas de page Car"/>
    <w:basedOn w:val="Policepardfaut"/>
    <w:link w:val="Notedebasdepage"/>
    <w:uiPriority w:val="99"/>
    <w:rsid w:val="00DD6283"/>
  </w:style>
  <w:style w:type="character" w:styleId="Appelnotedebasdep">
    <w:name w:val="footnote reference"/>
    <w:basedOn w:val="Policepardfaut"/>
    <w:uiPriority w:val="99"/>
    <w:unhideWhenUsed/>
    <w:rsid w:val="00DD6283"/>
    <w:rPr>
      <w:vertAlign w:val="superscript"/>
    </w:rPr>
  </w:style>
  <w:style w:type="paragraph" w:styleId="TM1">
    <w:name w:val="toc 1"/>
    <w:basedOn w:val="Normal"/>
    <w:next w:val="Normal"/>
    <w:autoRedefine/>
    <w:uiPriority w:val="39"/>
    <w:unhideWhenUsed/>
    <w:rsid w:val="00AC7059"/>
  </w:style>
  <w:style w:type="paragraph" w:styleId="TM2">
    <w:name w:val="toc 2"/>
    <w:basedOn w:val="Normal"/>
    <w:next w:val="Normal"/>
    <w:autoRedefine/>
    <w:uiPriority w:val="39"/>
    <w:unhideWhenUsed/>
    <w:rsid w:val="00AC7059"/>
    <w:pPr>
      <w:ind w:left="240"/>
    </w:pPr>
  </w:style>
  <w:style w:type="paragraph" w:styleId="TM3">
    <w:name w:val="toc 3"/>
    <w:basedOn w:val="Normal"/>
    <w:next w:val="Normal"/>
    <w:autoRedefine/>
    <w:uiPriority w:val="39"/>
    <w:unhideWhenUsed/>
    <w:rsid w:val="00AC7059"/>
    <w:pPr>
      <w:ind w:left="480"/>
    </w:pPr>
  </w:style>
  <w:style w:type="paragraph" w:styleId="TM4">
    <w:name w:val="toc 4"/>
    <w:basedOn w:val="Normal"/>
    <w:next w:val="Normal"/>
    <w:autoRedefine/>
    <w:uiPriority w:val="39"/>
    <w:unhideWhenUsed/>
    <w:rsid w:val="00AC7059"/>
    <w:pPr>
      <w:ind w:left="720"/>
    </w:pPr>
  </w:style>
  <w:style w:type="paragraph" w:styleId="TM5">
    <w:name w:val="toc 5"/>
    <w:basedOn w:val="Normal"/>
    <w:next w:val="Normal"/>
    <w:autoRedefine/>
    <w:uiPriority w:val="39"/>
    <w:unhideWhenUsed/>
    <w:rsid w:val="00AC7059"/>
    <w:pPr>
      <w:ind w:left="960"/>
    </w:pPr>
  </w:style>
  <w:style w:type="paragraph" w:styleId="TM6">
    <w:name w:val="toc 6"/>
    <w:basedOn w:val="Normal"/>
    <w:next w:val="Normal"/>
    <w:autoRedefine/>
    <w:uiPriority w:val="39"/>
    <w:unhideWhenUsed/>
    <w:rsid w:val="00AC7059"/>
    <w:pPr>
      <w:ind w:left="1200"/>
    </w:pPr>
  </w:style>
  <w:style w:type="paragraph" w:styleId="TM7">
    <w:name w:val="toc 7"/>
    <w:basedOn w:val="Normal"/>
    <w:next w:val="Normal"/>
    <w:autoRedefine/>
    <w:uiPriority w:val="39"/>
    <w:unhideWhenUsed/>
    <w:rsid w:val="00AC7059"/>
    <w:pPr>
      <w:ind w:left="1440"/>
    </w:pPr>
  </w:style>
  <w:style w:type="paragraph" w:styleId="TM8">
    <w:name w:val="toc 8"/>
    <w:basedOn w:val="Normal"/>
    <w:next w:val="Normal"/>
    <w:autoRedefine/>
    <w:uiPriority w:val="39"/>
    <w:unhideWhenUsed/>
    <w:rsid w:val="00AC7059"/>
    <w:pPr>
      <w:ind w:left="1680"/>
    </w:pPr>
  </w:style>
  <w:style w:type="paragraph" w:styleId="TM9">
    <w:name w:val="toc 9"/>
    <w:basedOn w:val="Normal"/>
    <w:next w:val="Normal"/>
    <w:autoRedefine/>
    <w:uiPriority w:val="39"/>
    <w:unhideWhenUsed/>
    <w:rsid w:val="00AC7059"/>
    <w:pPr>
      <w:ind w:left="1920"/>
    </w:pPr>
  </w:style>
  <w:style w:type="character" w:styleId="Lienhypertexte">
    <w:name w:val="Hyperlink"/>
    <w:basedOn w:val="Policepardfaut"/>
    <w:uiPriority w:val="99"/>
    <w:unhideWhenUsed/>
    <w:rsid w:val="00AC7059"/>
    <w:rPr>
      <w:color w:val="0563C1" w:themeColor="hyperlink"/>
      <w:u w:val="single"/>
    </w:rPr>
  </w:style>
  <w:style w:type="paragraph" w:customStyle="1" w:styleId="Listecouleur-Accent21">
    <w:name w:val="Liste couleur - Accent 21"/>
    <w:link w:val="Listecouleur-Accent2Car"/>
    <w:uiPriority w:val="1"/>
    <w:qFormat/>
    <w:rsid w:val="00EE3D9C"/>
    <w:rPr>
      <w:rFonts w:ascii="Calibri" w:eastAsia="Times New Roman" w:hAnsi="Calibri" w:cs="Times New Roman"/>
      <w:sz w:val="22"/>
      <w:szCs w:val="22"/>
      <w:lang w:val="fr-BE" w:eastAsia="fr-BE"/>
    </w:rPr>
  </w:style>
  <w:style w:type="character" w:customStyle="1" w:styleId="Listecouleur-Accent2Car">
    <w:name w:val="Liste couleur - Accent 2 Car"/>
    <w:link w:val="Listecouleur-Accent21"/>
    <w:uiPriority w:val="1"/>
    <w:rsid w:val="00EE3D9C"/>
    <w:rPr>
      <w:rFonts w:ascii="Calibri" w:eastAsia="Times New Roman" w:hAnsi="Calibri" w:cs="Times New Roman"/>
      <w:sz w:val="22"/>
      <w:szCs w:val="22"/>
      <w:lang w:val="fr-BE" w:eastAsia="fr-BE"/>
    </w:rPr>
  </w:style>
  <w:style w:type="character" w:styleId="Marquedecommentaire">
    <w:name w:val="annotation reference"/>
    <w:basedOn w:val="Policepardfaut"/>
    <w:uiPriority w:val="99"/>
    <w:semiHidden/>
    <w:unhideWhenUsed/>
    <w:rsid w:val="002B76E8"/>
    <w:rPr>
      <w:sz w:val="16"/>
      <w:szCs w:val="16"/>
    </w:rPr>
  </w:style>
  <w:style w:type="paragraph" w:styleId="Commentaire">
    <w:name w:val="annotation text"/>
    <w:basedOn w:val="Normal"/>
    <w:link w:val="CommentaireCar"/>
    <w:uiPriority w:val="99"/>
    <w:semiHidden/>
    <w:unhideWhenUsed/>
    <w:rsid w:val="002B76E8"/>
    <w:rPr>
      <w:sz w:val="20"/>
      <w:szCs w:val="20"/>
    </w:rPr>
  </w:style>
  <w:style w:type="character" w:customStyle="1" w:styleId="CommentaireCar">
    <w:name w:val="Commentaire Car"/>
    <w:basedOn w:val="Policepardfaut"/>
    <w:link w:val="Commentaire"/>
    <w:uiPriority w:val="99"/>
    <w:semiHidden/>
    <w:rsid w:val="002B76E8"/>
    <w:rPr>
      <w:sz w:val="20"/>
      <w:szCs w:val="20"/>
    </w:rPr>
  </w:style>
  <w:style w:type="paragraph" w:styleId="Objetducommentaire">
    <w:name w:val="annotation subject"/>
    <w:basedOn w:val="Commentaire"/>
    <w:next w:val="Commentaire"/>
    <w:link w:val="ObjetducommentaireCar"/>
    <w:uiPriority w:val="99"/>
    <w:semiHidden/>
    <w:unhideWhenUsed/>
    <w:rsid w:val="002B76E8"/>
    <w:rPr>
      <w:b/>
      <w:bCs/>
    </w:rPr>
  </w:style>
  <w:style w:type="character" w:customStyle="1" w:styleId="ObjetducommentaireCar">
    <w:name w:val="Objet du commentaire Car"/>
    <w:basedOn w:val="CommentaireCar"/>
    <w:link w:val="Objetducommentaire"/>
    <w:uiPriority w:val="99"/>
    <w:semiHidden/>
    <w:rsid w:val="002B76E8"/>
    <w:rPr>
      <w:b/>
      <w:bCs/>
      <w:sz w:val="20"/>
      <w:szCs w:val="20"/>
    </w:rPr>
  </w:style>
  <w:style w:type="paragraph" w:styleId="Textedebulles">
    <w:name w:val="Balloon Text"/>
    <w:basedOn w:val="Normal"/>
    <w:link w:val="TextedebullesCar"/>
    <w:uiPriority w:val="99"/>
    <w:semiHidden/>
    <w:unhideWhenUsed/>
    <w:rsid w:val="002B76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8233">
      <w:bodyDiv w:val="1"/>
      <w:marLeft w:val="0"/>
      <w:marRight w:val="0"/>
      <w:marTop w:val="0"/>
      <w:marBottom w:val="0"/>
      <w:divBdr>
        <w:top w:val="none" w:sz="0" w:space="0" w:color="auto"/>
        <w:left w:val="none" w:sz="0" w:space="0" w:color="auto"/>
        <w:bottom w:val="none" w:sz="0" w:space="0" w:color="auto"/>
        <w:right w:val="none" w:sz="0" w:space="0" w:color="auto"/>
      </w:divBdr>
    </w:div>
    <w:div w:id="597443400">
      <w:bodyDiv w:val="1"/>
      <w:marLeft w:val="0"/>
      <w:marRight w:val="0"/>
      <w:marTop w:val="0"/>
      <w:marBottom w:val="0"/>
      <w:divBdr>
        <w:top w:val="none" w:sz="0" w:space="0" w:color="auto"/>
        <w:left w:val="none" w:sz="0" w:space="0" w:color="auto"/>
        <w:bottom w:val="none" w:sz="0" w:space="0" w:color="auto"/>
        <w:right w:val="none" w:sz="0" w:space="0" w:color="auto"/>
      </w:divBdr>
    </w:div>
    <w:div w:id="643659838">
      <w:bodyDiv w:val="1"/>
      <w:marLeft w:val="0"/>
      <w:marRight w:val="0"/>
      <w:marTop w:val="0"/>
      <w:marBottom w:val="0"/>
      <w:divBdr>
        <w:top w:val="none" w:sz="0" w:space="0" w:color="auto"/>
        <w:left w:val="none" w:sz="0" w:space="0" w:color="auto"/>
        <w:bottom w:val="none" w:sz="0" w:space="0" w:color="auto"/>
        <w:right w:val="none" w:sz="0" w:space="0" w:color="auto"/>
      </w:divBdr>
    </w:div>
    <w:div w:id="955599615">
      <w:bodyDiv w:val="1"/>
      <w:marLeft w:val="0"/>
      <w:marRight w:val="0"/>
      <w:marTop w:val="0"/>
      <w:marBottom w:val="0"/>
      <w:divBdr>
        <w:top w:val="none" w:sz="0" w:space="0" w:color="auto"/>
        <w:left w:val="none" w:sz="0" w:space="0" w:color="auto"/>
        <w:bottom w:val="none" w:sz="0" w:space="0" w:color="auto"/>
        <w:right w:val="none" w:sz="0" w:space="0" w:color="auto"/>
      </w:divBdr>
      <w:divsChild>
        <w:div w:id="1799108076">
          <w:marLeft w:val="0"/>
          <w:marRight w:val="0"/>
          <w:marTop w:val="0"/>
          <w:marBottom w:val="0"/>
          <w:divBdr>
            <w:top w:val="none" w:sz="0" w:space="0" w:color="auto"/>
            <w:left w:val="none" w:sz="0" w:space="0" w:color="auto"/>
            <w:bottom w:val="none" w:sz="0" w:space="0" w:color="auto"/>
            <w:right w:val="none" w:sz="0" w:space="0" w:color="auto"/>
          </w:divBdr>
          <w:divsChild>
            <w:div w:id="292910818">
              <w:marLeft w:val="0"/>
              <w:marRight w:val="0"/>
              <w:marTop w:val="0"/>
              <w:marBottom w:val="0"/>
              <w:divBdr>
                <w:top w:val="none" w:sz="0" w:space="0" w:color="auto"/>
                <w:left w:val="none" w:sz="0" w:space="0" w:color="auto"/>
                <w:bottom w:val="none" w:sz="0" w:space="0" w:color="auto"/>
                <w:right w:val="none" w:sz="0" w:space="0" w:color="auto"/>
              </w:divBdr>
              <w:divsChild>
                <w:div w:id="152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52796">
      <w:bodyDiv w:val="1"/>
      <w:marLeft w:val="0"/>
      <w:marRight w:val="0"/>
      <w:marTop w:val="0"/>
      <w:marBottom w:val="0"/>
      <w:divBdr>
        <w:top w:val="none" w:sz="0" w:space="0" w:color="auto"/>
        <w:left w:val="none" w:sz="0" w:space="0" w:color="auto"/>
        <w:bottom w:val="none" w:sz="0" w:space="0" w:color="auto"/>
        <w:right w:val="none" w:sz="0" w:space="0" w:color="auto"/>
      </w:divBdr>
    </w:div>
    <w:div w:id="1694456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583418063732998E-2"/>
          <c:y val="7.6507398013346299E-3"/>
          <c:w val="0.91386681396791003"/>
          <c:h val="0.748811163494845"/>
        </c:manualLayout>
      </c:layout>
      <c:barChart>
        <c:barDir val="col"/>
        <c:grouping val="clustered"/>
        <c:varyColors val="0"/>
        <c:ser>
          <c:idx val="0"/>
          <c:order val="0"/>
          <c:tx>
            <c:strRef>
              <c:f>Sheet9!$B$26</c:f>
              <c:strCache>
                <c:ptCount val="1"/>
                <c:pt idx="0">
                  <c:v>Nombre de CDT</c:v>
                </c:pt>
              </c:strCache>
            </c:strRef>
          </c:tx>
          <c:spPr>
            <a:solidFill>
              <a:srgbClr val="660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Sheet9!$A$27:$A$34</c:f>
              <c:strCache>
                <c:ptCount val="8"/>
                <c:pt idx="0">
                  <c:v>Boké</c:v>
                </c:pt>
                <c:pt idx="1">
                  <c:v>Conakry</c:v>
                </c:pt>
                <c:pt idx="2">
                  <c:v>Faranah</c:v>
                </c:pt>
                <c:pt idx="3">
                  <c:v>Kankan</c:v>
                </c:pt>
                <c:pt idx="4">
                  <c:v>Kindia</c:v>
                </c:pt>
                <c:pt idx="5">
                  <c:v>Labé</c:v>
                </c:pt>
                <c:pt idx="6">
                  <c:v>Mamou</c:v>
                </c:pt>
                <c:pt idx="7">
                  <c:v>N'Zerekoré</c:v>
                </c:pt>
              </c:strCache>
            </c:strRef>
          </c:cat>
          <c:val>
            <c:numRef>
              <c:f>Sheet9!$B$27:$B$34</c:f>
              <c:numCache>
                <c:formatCode>General</c:formatCode>
                <c:ptCount val="8"/>
                <c:pt idx="0">
                  <c:v>8</c:v>
                </c:pt>
                <c:pt idx="1">
                  <c:v>16</c:v>
                </c:pt>
                <c:pt idx="2">
                  <c:v>4</c:v>
                </c:pt>
                <c:pt idx="3">
                  <c:v>5</c:v>
                </c:pt>
                <c:pt idx="4">
                  <c:v>6</c:v>
                </c:pt>
                <c:pt idx="5">
                  <c:v>6</c:v>
                </c:pt>
                <c:pt idx="6">
                  <c:v>5</c:v>
                </c:pt>
                <c:pt idx="7">
                  <c:v>8</c:v>
                </c:pt>
              </c:numCache>
            </c:numRef>
          </c:val>
          <c:extLst xmlns:c16r2="http://schemas.microsoft.com/office/drawing/2015/06/chart">
            <c:ext xmlns:c16="http://schemas.microsoft.com/office/drawing/2014/chart" uri="{C3380CC4-5D6E-409C-BE32-E72D297353CC}">
              <c16:uniqueId val="{00000000-B71E-774E-B232-890D8D200FAB}"/>
            </c:ext>
          </c:extLst>
        </c:ser>
        <c:ser>
          <c:idx val="1"/>
          <c:order val="1"/>
          <c:tx>
            <c:strRef>
              <c:f>Sheet9!$C$26</c:f>
              <c:strCache>
                <c:ptCount val="1"/>
                <c:pt idx="0">
                  <c:v>CDT &amp; CDV</c:v>
                </c:pt>
              </c:strCache>
            </c:strRef>
          </c:tx>
          <c:spPr>
            <a:solidFill>
              <a:srgbClr val="99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Sheet9!$A$27:$A$34</c:f>
              <c:strCache>
                <c:ptCount val="8"/>
                <c:pt idx="0">
                  <c:v>Boké</c:v>
                </c:pt>
                <c:pt idx="1">
                  <c:v>Conakry</c:v>
                </c:pt>
                <c:pt idx="2">
                  <c:v>Faranah</c:v>
                </c:pt>
                <c:pt idx="3">
                  <c:v>Kankan</c:v>
                </c:pt>
                <c:pt idx="4">
                  <c:v>Kindia</c:v>
                </c:pt>
                <c:pt idx="5">
                  <c:v>Labé</c:v>
                </c:pt>
                <c:pt idx="6">
                  <c:v>Mamou</c:v>
                </c:pt>
                <c:pt idx="7">
                  <c:v>N'Zerekoré</c:v>
                </c:pt>
              </c:strCache>
            </c:strRef>
          </c:cat>
          <c:val>
            <c:numRef>
              <c:f>Sheet9!$C$27:$C$34</c:f>
              <c:numCache>
                <c:formatCode>General</c:formatCode>
                <c:ptCount val="8"/>
                <c:pt idx="0">
                  <c:v>2</c:v>
                </c:pt>
                <c:pt idx="1">
                  <c:v>14</c:v>
                </c:pt>
                <c:pt idx="2">
                  <c:v>4</c:v>
                </c:pt>
                <c:pt idx="3">
                  <c:v>2</c:v>
                </c:pt>
                <c:pt idx="4">
                  <c:v>4</c:v>
                </c:pt>
                <c:pt idx="5">
                  <c:v>4</c:v>
                </c:pt>
                <c:pt idx="6">
                  <c:v>3</c:v>
                </c:pt>
                <c:pt idx="7">
                  <c:v>5</c:v>
                </c:pt>
              </c:numCache>
            </c:numRef>
          </c:val>
          <c:extLst xmlns:c16r2="http://schemas.microsoft.com/office/drawing/2015/06/chart">
            <c:ext xmlns:c16="http://schemas.microsoft.com/office/drawing/2014/chart" uri="{C3380CC4-5D6E-409C-BE32-E72D297353CC}">
              <c16:uniqueId val="{00000001-B71E-774E-B232-890D8D200FAB}"/>
            </c:ext>
          </c:extLst>
        </c:ser>
        <c:ser>
          <c:idx val="2"/>
          <c:order val="2"/>
          <c:tx>
            <c:strRef>
              <c:f>Sheet9!$D$26</c:f>
              <c:strCache>
                <c:ptCount val="1"/>
                <c:pt idx="0">
                  <c:v>ARV</c:v>
                </c:pt>
              </c:strCache>
            </c:strRef>
          </c:tx>
          <c:spPr>
            <a:solidFill>
              <a:srgbClr val="00FFFF"/>
            </a:solidFill>
            <a:ln>
              <a:noFill/>
            </a:ln>
            <a:effectLst/>
          </c:spPr>
          <c:invertIfNegative val="0"/>
          <c:dLbls>
            <c:dLbl>
              <c:idx val="1"/>
              <c:layout>
                <c:manualLayout>
                  <c:x val="8.3333333333333297E-3"/>
                  <c:y val="4.62962962962963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71E-774E-B232-890D8D200F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Sheet9!$A$27:$A$34</c:f>
              <c:strCache>
                <c:ptCount val="8"/>
                <c:pt idx="0">
                  <c:v>Boké</c:v>
                </c:pt>
                <c:pt idx="1">
                  <c:v>Conakry</c:v>
                </c:pt>
                <c:pt idx="2">
                  <c:v>Faranah</c:v>
                </c:pt>
                <c:pt idx="3">
                  <c:v>Kankan</c:v>
                </c:pt>
                <c:pt idx="4">
                  <c:v>Kindia</c:v>
                </c:pt>
                <c:pt idx="5">
                  <c:v>Labé</c:v>
                </c:pt>
                <c:pt idx="6">
                  <c:v>Mamou</c:v>
                </c:pt>
                <c:pt idx="7">
                  <c:v>N'Zerekoré</c:v>
                </c:pt>
              </c:strCache>
            </c:strRef>
          </c:cat>
          <c:val>
            <c:numRef>
              <c:f>Sheet9!$D$27:$D$34</c:f>
              <c:numCache>
                <c:formatCode>General</c:formatCode>
                <c:ptCount val="8"/>
                <c:pt idx="0">
                  <c:v>2</c:v>
                </c:pt>
                <c:pt idx="1">
                  <c:v>14</c:v>
                </c:pt>
                <c:pt idx="2">
                  <c:v>1</c:v>
                </c:pt>
                <c:pt idx="3">
                  <c:v>1</c:v>
                </c:pt>
                <c:pt idx="4">
                  <c:v>2</c:v>
                </c:pt>
                <c:pt idx="5">
                  <c:v>1</c:v>
                </c:pt>
                <c:pt idx="6">
                  <c:v>2</c:v>
                </c:pt>
                <c:pt idx="7">
                  <c:v>5</c:v>
                </c:pt>
              </c:numCache>
            </c:numRef>
          </c:val>
          <c:extLst xmlns:c16r2="http://schemas.microsoft.com/office/drawing/2015/06/chart">
            <c:ext xmlns:c16="http://schemas.microsoft.com/office/drawing/2014/chart" uri="{C3380CC4-5D6E-409C-BE32-E72D297353CC}">
              <c16:uniqueId val="{00000003-B71E-774E-B232-890D8D200FAB}"/>
            </c:ext>
          </c:extLst>
        </c:ser>
        <c:dLbls>
          <c:showLegendKey val="0"/>
          <c:showVal val="0"/>
          <c:showCatName val="0"/>
          <c:showSerName val="0"/>
          <c:showPercent val="0"/>
          <c:showBubbleSize val="0"/>
        </c:dLbls>
        <c:gapWidth val="219"/>
        <c:overlap val="-27"/>
        <c:axId val="1697911904"/>
        <c:axId val="1697912448"/>
      </c:barChart>
      <c:catAx>
        <c:axId val="169791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697912448"/>
        <c:crosses val="autoZero"/>
        <c:auto val="1"/>
        <c:lblAlgn val="ctr"/>
        <c:lblOffset val="100"/>
        <c:noMultiLvlLbl val="0"/>
      </c:catAx>
      <c:valAx>
        <c:axId val="1697912448"/>
        <c:scaling>
          <c:orientation val="minMax"/>
        </c:scaling>
        <c:delete val="1"/>
        <c:axPos val="l"/>
        <c:numFmt formatCode="General" sourceLinked="1"/>
        <c:majorTickMark val="none"/>
        <c:minorTickMark val="none"/>
        <c:tickLblPos val="nextTo"/>
        <c:crossAx val="16979119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Entry>
      <c:legendEntry>
        <c:idx val="2"/>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0.29108853403204799"/>
          <c:y val="0.93101639861344698"/>
          <c:w val="0.42002075029896702"/>
          <c:h val="6.898360138655290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B811E0F5-35B3-4CD1-ACC8-1180EA32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4648</Words>
  <Characters>25565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London School of Hygiene &amp; Tropical Medicine</Company>
  <LinksUpToDate>false</LinksUpToDate>
  <CharactersWithSpaces>30153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KOUTON, Mach-Houd</dc:creator>
  <cp:keywords/>
  <dc:description/>
  <cp:lastModifiedBy>Dr Koita Youssouf</cp:lastModifiedBy>
  <cp:revision>2</cp:revision>
  <dcterms:created xsi:type="dcterms:W3CDTF">2019-04-13T12:15:00Z</dcterms:created>
  <dcterms:modified xsi:type="dcterms:W3CDTF">2019-04-13T12:15:00Z</dcterms:modified>
</cp:coreProperties>
</file>