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8044" w14:textId="77777777" w:rsidR="00853D30" w:rsidRPr="00B75C61" w:rsidRDefault="00853D30" w:rsidP="00772C9E"/>
    <w:tbl>
      <w:tblPr>
        <w:tblStyle w:val="TableGrid3"/>
        <w:tblW w:w="5944" w:type="pct"/>
        <w:tblInd w:w="-856" w:type="dxa"/>
        <w:shd w:val="clear" w:color="auto" w:fill="DAEEF3" w:themeFill="accent5" w:themeFillTint="33"/>
        <w:tblLook w:val="04A0" w:firstRow="1" w:lastRow="0" w:firstColumn="1" w:lastColumn="0" w:noHBand="0" w:noVBand="1"/>
      </w:tblPr>
      <w:tblGrid>
        <w:gridCol w:w="4111"/>
        <w:gridCol w:w="6662"/>
      </w:tblGrid>
      <w:tr w:rsidR="00853D30" w:rsidRPr="00B75C61" w14:paraId="460F982D" w14:textId="77777777" w:rsidTr="00682D1B">
        <w:trPr>
          <w:trHeight w:val="288"/>
        </w:trPr>
        <w:tc>
          <w:tcPr>
            <w:tcW w:w="1908" w:type="pct"/>
            <w:shd w:val="clear" w:color="auto" w:fill="DAEEF3" w:themeFill="accent5" w:themeFillTint="33"/>
          </w:tcPr>
          <w:p w14:paraId="41409FAC" w14:textId="77777777" w:rsidR="00853D30" w:rsidRPr="00B75C61" w:rsidRDefault="00853D30" w:rsidP="00853D30">
            <w:pPr>
              <w:tabs>
                <w:tab w:val="left" w:pos="7088"/>
              </w:tabs>
              <w:spacing w:line="240" w:lineRule="atLeast"/>
              <w:rPr>
                <w:rFonts w:ascii="Times New Roman" w:eastAsia="Arial" w:hAnsi="Times New Roman" w:cs="Times New Roman"/>
                <w:b/>
                <w:sz w:val="24"/>
                <w:szCs w:val="24"/>
                <w:lang w:val="fr-FR"/>
              </w:rPr>
            </w:pPr>
            <w:r w:rsidRPr="00B75C61">
              <w:rPr>
                <w:rFonts w:ascii="Times New Roman" w:eastAsia="Arial" w:hAnsi="Times New Roman" w:cs="Times New Roman"/>
                <w:b/>
                <w:sz w:val="24"/>
                <w:szCs w:val="24"/>
                <w:lang w:val="fr-FR" w:bidi="fr-FR"/>
              </w:rPr>
              <w:t>Module N</w:t>
            </w:r>
            <w:r w:rsidRPr="00B75C61">
              <w:rPr>
                <w:rFonts w:ascii="Times New Roman" w:eastAsia="Arial" w:hAnsi="Times New Roman" w:cs="Times New Roman"/>
                <w:b/>
                <w:sz w:val="24"/>
                <w:szCs w:val="24"/>
                <w:vertAlign w:val="superscript"/>
                <w:lang w:val="fr-FR" w:bidi="fr-FR"/>
              </w:rPr>
              <w:t>o</w:t>
            </w:r>
            <w:r w:rsidRPr="00B75C61">
              <w:rPr>
                <w:rFonts w:ascii="Times New Roman" w:eastAsia="Arial" w:hAnsi="Times New Roman" w:cs="Times New Roman"/>
                <w:b/>
                <w:sz w:val="24"/>
                <w:szCs w:val="24"/>
                <w:lang w:val="fr-FR" w:bidi="fr-FR"/>
              </w:rPr>
              <w:t xml:space="preserve"> </w:t>
            </w:r>
            <w:r w:rsidR="005C0178" w:rsidRPr="00B75C61">
              <w:rPr>
                <w:rFonts w:ascii="Times New Roman" w:eastAsia="Arial" w:hAnsi="Times New Roman" w:cs="Times New Roman"/>
                <w:b/>
                <w:sz w:val="24"/>
                <w:szCs w:val="24"/>
                <w:lang w:val="fr-FR" w:bidi="fr-FR"/>
              </w:rPr>
              <w:t>12</w:t>
            </w:r>
            <w:proofErr w:type="gramStart"/>
            <w:r w:rsidRPr="00B75C61">
              <w:rPr>
                <w:rFonts w:ascii="Times New Roman" w:eastAsia="Arial" w:hAnsi="Times New Roman" w:cs="Times New Roman"/>
                <w:b/>
                <w:sz w:val="24"/>
                <w:szCs w:val="24"/>
                <w:lang w:val="fr-FR" w:bidi="fr-FR"/>
              </w:rPr>
              <w:t>…….</w:t>
            </w:r>
            <w:proofErr w:type="gramEnd"/>
          </w:p>
        </w:tc>
        <w:tc>
          <w:tcPr>
            <w:tcW w:w="3092" w:type="pct"/>
            <w:shd w:val="clear" w:color="auto" w:fill="DAEEF3" w:themeFill="accent5" w:themeFillTint="33"/>
          </w:tcPr>
          <w:p w14:paraId="673A63B2" w14:textId="77777777" w:rsidR="00853D30" w:rsidRPr="00C92E14" w:rsidRDefault="005C0178" w:rsidP="005C0178">
            <w:pPr>
              <w:pStyle w:val="Default"/>
              <w:rPr>
                <w:rFonts w:asciiTheme="majorHAnsi" w:eastAsia="Arial" w:hAnsiTheme="majorHAnsi" w:cs="Times New Roman"/>
                <w:b/>
                <w:sz w:val="22"/>
                <w:szCs w:val="22"/>
                <w:lang w:val="fr-FR"/>
              </w:rPr>
            </w:pPr>
            <w:r w:rsidRPr="00C92E14">
              <w:rPr>
                <w:rFonts w:asciiTheme="majorHAnsi" w:hAnsiTheme="majorHAnsi"/>
                <w:sz w:val="22"/>
                <w:szCs w:val="22"/>
                <w:lang w:val="fr-FR"/>
              </w:rPr>
              <w:t>SRPS : Systèmes de laboratoire</w:t>
            </w:r>
          </w:p>
        </w:tc>
      </w:tr>
      <w:tr w:rsidR="000D62B7" w:rsidRPr="00B75C61" w14:paraId="664BEB37" w14:textId="77777777" w:rsidTr="00682D1B">
        <w:trPr>
          <w:trHeight w:val="699"/>
        </w:trPr>
        <w:tc>
          <w:tcPr>
            <w:tcW w:w="1908" w:type="pct"/>
            <w:shd w:val="clear" w:color="auto" w:fill="DAEEF3" w:themeFill="accent5" w:themeFillTint="33"/>
          </w:tcPr>
          <w:p w14:paraId="5F4DE17E"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49D0953C"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61F9FF4E"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4EC42B60"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56C0EC1F"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422F50D5"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2C3CC09D"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31B61A95"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32268DE9"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0C1EFDF0"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1C008EF2"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5C789A93"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19CEF03E"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bidi="fr-FR"/>
              </w:rPr>
            </w:pPr>
          </w:p>
          <w:p w14:paraId="32E33126"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rPr>
            </w:pPr>
            <w:r w:rsidRPr="00B75C61">
              <w:rPr>
                <w:rFonts w:ascii="Times New Roman" w:eastAsia="Arial" w:hAnsi="Times New Roman" w:cs="Times New Roman"/>
                <w:b/>
                <w:sz w:val="24"/>
                <w:szCs w:val="24"/>
                <w:lang w:val="fr-FR" w:bidi="fr-FR"/>
              </w:rPr>
              <w:t>Principales interventions et activités</w:t>
            </w:r>
          </w:p>
        </w:tc>
        <w:tc>
          <w:tcPr>
            <w:tcW w:w="3092" w:type="pct"/>
            <w:shd w:val="clear" w:color="auto" w:fill="DAEEF3" w:themeFill="accent5" w:themeFillTint="33"/>
          </w:tcPr>
          <w:p w14:paraId="45124A1E" w14:textId="7F5BF509" w:rsidR="00C25324" w:rsidRPr="00C92E14" w:rsidRDefault="00C25324" w:rsidP="00C92E14">
            <w:pPr>
              <w:spacing w:before="120" w:after="120"/>
              <w:jc w:val="both"/>
              <w:rPr>
                <w:rFonts w:asciiTheme="majorHAnsi" w:hAnsiTheme="majorHAnsi"/>
                <w:b/>
                <w:lang w:val="fr-FR"/>
              </w:rPr>
            </w:pPr>
            <w:r w:rsidRPr="00C92E14">
              <w:rPr>
                <w:rFonts w:asciiTheme="majorHAnsi" w:hAnsiTheme="majorHAnsi"/>
                <w:lang w:val="fr-FR"/>
              </w:rPr>
              <w:t>Le Système national de Biologie Médicale contribue à l’amélioration du bien-être de la population guinéenne tel que défini dans la Politique natio</w:t>
            </w:r>
            <w:bookmarkStart w:id="0" w:name="_GoBack"/>
            <w:bookmarkEnd w:id="0"/>
            <w:r w:rsidRPr="00C92E14">
              <w:rPr>
                <w:rFonts w:asciiTheme="majorHAnsi" w:hAnsiTheme="majorHAnsi"/>
                <w:lang w:val="fr-FR"/>
              </w:rPr>
              <w:t>nale de Santé et dans le plan national de Développement sanitaire 2015-2024 (PNDS).</w:t>
            </w:r>
          </w:p>
          <w:p w14:paraId="69B23258" w14:textId="77777777" w:rsidR="0022638D" w:rsidRPr="00C92E14" w:rsidRDefault="00C25324" w:rsidP="00C92E14">
            <w:pPr>
              <w:widowControl w:val="0"/>
              <w:tabs>
                <w:tab w:val="left" w:pos="7088"/>
              </w:tabs>
              <w:spacing w:before="120" w:after="120"/>
              <w:rPr>
                <w:rFonts w:asciiTheme="majorHAnsi" w:eastAsia="Times New Roman" w:hAnsiTheme="majorHAnsi" w:cs="Times New Roman"/>
                <w:color w:val="000000"/>
                <w:lang w:val="fr-FR" w:eastAsia="fr-FR"/>
              </w:rPr>
            </w:pPr>
            <w:r w:rsidRPr="00C92E14">
              <w:rPr>
                <w:rFonts w:asciiTheme="majorHAnsi" w:eastAsia="Times New Roman" w:hAnsiTheme="majorHAnsi" w:cs="Times New Roman"/>
                <w:color w:val="000000"/>
                <w:lang w:val="fr-FR" w:eastAsia="fr-FR"/>
              </w:rPr>
              <w:t>Les interventions prioritaires du système de laboratoire se résument ci-après :</w:t>
            </w:r>
          </w:p>
          <w:p w14:paraId="744244D0" w14:textId="406B9103" w:rsidR="0022638D" w:rsidRPr="00C92E14" w:rsidRDefault="0022638D" w:rsidP="00C92E14">
            <w:pPr>
              <w:pStyle w:val="Paragraphedeliste"/>
              <w:widowControl w:val="0"/>
              <w:numPr>
                <w:ilvl w:val="0"/>
                <w:numId w:val="9"/>
              </w:numPr>
              <w:tabs>
                <w:tab w:val="left" w:pos="7088"/>
              </w:tabs>
              <w:spacing w:before="120" w:after="120"/>
              <w:ind w:left="312" w:hanging="357"/>
              <w:contextualSpacing w:val="0"/>
              <w:rPr>
                <w:rFonts w:asciiTheme="majorHAnsi" w:hAnsiTheme="majorHAnsi" w:cstheme="minorHAnsi"/>
                <w:lang w:val="fr-FR"/>
              </w:rPr>
            </w:pPr>
            <w:r w:rsidRPr="00C92E14">
              <w:rPr>
                <w:rFonts w:asciiTheme="majorHAnsi" w:hAnsiTheme="majorHAnsi" w:cstheme="minorHAnsi"/>
                <w:lang w:val="fr-FR"/>
              </w:rPr>
              <w:t>Renforcer la coordination des intervenants des Structures de gestion et de gouvernance des laboratoires,</w:t>
            </w:r>
          </w:p>
          <w:p w14:paraId="2D56E084" w14:textId="15B5124D" w:rsidR="0022638D" w:rsidRPr="00C92E14" w:rsidRDefault="0022638D" w:rsidP="00C92E14">
            <w:pPr>
              <w:pStyle w:val="Paragraphedeliste"/>
              <w:numPr>
                <w:ilvl w:val="0"/>
                <w:numId w:val="9"/>
              </w:numPr>
              <w:spacing w:before="120" w:after="120"/>
              <w:ind w:left="312" w:hanging="357"/>
              <w:contextualSpacing w:val="0"/>
              <w:rPr>
                <w:rFonts w:asciiTheme="majorHAnsi" w:hAnsiTheme="majorHAnsi"/>
                <w:b/>
                <w:lang w:val="fr-FR"/>
              </w:rPr>
            </w:pPr>
            <w:r w:rsidRPr="00C92E14">
              <w:rPr>
                <w:rFonts w:asciiTheme="majorHAnsi" w:hAnsiTheme="majorHAnsi"/>
                <w:lang w:val="fr-FR"/>
              </w:rPr>
              <w:t xml:space="preserve">Améliorer </w:t>
            </w:r>
            <w:r w:rsidRPr="00C92E14">
              <w:rPr>
                <w:rFonts w:asciiTheme="majorHAnsi" w:hAnsiTheme="majorHAnsi" w:cs="Times New Roman"/>
                <w:lang w:val="fr-FR"/>
              </w:rPr>
              <w:t>les Infrastructures et les systèmes de gestion de l’équipement</w:t>
            </w:r>
          </w:p>
          <w:p w14:paraId="78EFF2A7" w14:textId="5E8BC5CC" w:rsidR="0022638D" w:rsidRPr="00C92E14" w:rsidRDefault="0022638D" w:rsidP="00C92E14">
            <w:pPr>
              <w:pStyle w:val="Paragraphedeliste"/>
              <w:widowControl w:val="0"/>
              <w:numPr>
                <w:ilvl w:val="0"/>
                <w:numId w:val="9"/>
              </w:numPr>
              <w:tabs>
                <w:tab w:val="left" w:pos="7088"/>
              </w:tabs>
              <w:spacing w:before="120" w:after="120"/>
              <w:ind w:left="312" w:hanging="357"/>
              <w:contextualSpacing w:val="0"/>
              <w:rPr>
                <w:rFonts w:asciiTheme="majorHAnsi" w:hAnsiTheme="majorHAnsi" w:cstheme="minorHAnsi"/>
                <w:lang w:val="fr-FR"/>
              </w:rPr>
            </w:pPr>
            <w:r w:rsidRPr="00C92E14">
              <w:rPr>
                <w:rFonts w:asciiTheme="majorHAnsi" w:hAnsiTheme="majorHAnsi" w:cstheme="minorHAnsi"/>
                <w:lang w:val="fr-FR"/>
              </w:rPr>
              <w:t>Renforcer les Systèmes d’information et réseaux intégrés de transports d’échantillons</w:t>
            </w:r>
          </w:p>
          <w:p w14:paraId="283CF48B" w14:textId="5793F392" w:rsidR="0022638D" w:rsidRPr="00C92E14" w:rsidRDefault="0022638D" w:rsidP="00C92E14">
            <w:pPr>
              <w:pStyle w:val="Paragraphedeliste"/>
              <w:widowControl w:val="0"/>
              <w:numPr>
                <w:ilvl w:val="0"/>
                <w:numId w:val="9"/>
              </w:numPr>
              <w:tabs>
                <w:tab w:val="left" w:pos="7088"/>
              </w:tabs>
              <w:spacing w:before="120" w:after="120"/>
              <w:ind w:left="312" w:hanging="357"/>
              <w:contextualSpacing w:val="0"/>
              <w:rPr>
                <w:rFonts w:asciiTheme="majorHAnsi" w:hAnsiTheme="majorHAnsi" w:cstheme="minorHAnsi"/>
                <w:lang w:val="fr-FR"/>
              </w:rPr>
            </w:pPr>
            <w:r w:rsidRPr="00C92E14">
              <w:rPr>
                <w:rFonts w:asciiTheme="majorHAnsi" w:hAnsiTheme="majorHAnsi" w:cstheme="minorHAnsi"/>
                <w:lang w:val="fr-FR"/>
              </w:rPr>
              <w:t>Appliquer le système d’assurance de la qualité dans les services de Biologie médicale dans tous les domaines et à tous les niveaux spécialement les laboratoires TB/ VIH/Palu</w:t>
            </w:r>
          </w:p>
          <w:p w14:paraId="457E4659" w14:textId="77777777" w:rsidR="000D62B7" w:rsidRPr="00C92E14" w:rsidRDefault="000D62B7" w:rsidP="00C92E14">
            <w:pPr>
              <w:spacing w:before="120" w:after="120"/>
              <w:rPr>
                <w:rFonts w:asciiTheme="majorHAnsi" w:hAnsiTheme="majorHAnsi" w:cstheme="minorHAnsi"/>
                <w:lang w:val="fr-FR"/>
              </w:rPr>
            </w:pPr>
            <w:r w:rsidRPr="00C92E14">
              <w:rPr>
                <w:rFonts w:asciiTheme="majorHAnsi" w:hAnsiTheme="majorHAnsi" w:cstheme="minorHAnsi"/>
                <w:b/>
                <w:bCs/>
                <w:lang w:val="fr-FR"/>
              </w:rPr>
              <w:t xml:space="preserve">Intervention 1 : Structures de gestion et de gouvernance du laboratoire </w:t>
            </w:r>
          </w:p>
          <w:p w14:paraId="06A15276" w14:textId="1851CE5C" w:rsidR="003D4E3E" w:rsidRPr="00C92E14" w:rsidRDefault="003D4E3E"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Soutenir les activités de coaching/mentorat des RRL (Responsables Régionaux de Laboratoire) au niveau des points de prestations</w:t>
            </w:r>
            <w:r w:rsidR="00BD31C5" w:rsidRPr="00C92E14">
              <w:rPr>
                <w:rFonts w:asciiTheme="majorHAnsi" w:hAnsiTheme="majorHAnsi" w:cstheme="minorHAnsi"/>
                <w:lang w:val="fr-FR"/>
              </w:rPr>
              <w:t xml:space="preserve"> (VIH, TB et Palu)</w:t>
            </w:r>
          </w:p>
          <w:p w14:paraId="1D6AC9CF" w14:textId="141F155B" w:rsidR="003D4E3E" w:rsidRPr="00C92E14" w:rsidRDefault="003D4E3E"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Soutenir la </w:t>
            </w:r>
            <w:r w:rsidR="006D3D81" w:rsidRPr="00C92E14">
              <w:rPr>
                <w:rFonts w:asciiTheme="majorHAnsi" w:hAnsiTheme="majorHAnsi" w:cstheme="minorHAnsi"/>
                <w:lang w:val="fr-FR"/>
              </w:rPr>
              <w:t>tenue des</w:t>
            </w:r>
            <w:r w:rsidRPr="00C92E14">
              <w:rPr>
                <w:rFonts w:asciiTheme="majorHAnsi" w:hAnsiTheme="majorHAnsi" w:cstheme="minorHAnsi"/>
                <w:lang w:val="fr-FR"/>
              </w:rPr>
              <w:t xml:space="preserve"> réunions régionales trimestrielles du Groupe </w:t>
            </w:r>
            <w:r w:rsidR="00BD31C5" w:rsidRPr="00C92E14">
              <w:rPr>
                <w:rFonts w:asciiTheme="majorHAnsi" w:hAnsiTheme="majorHAnsi" w:cstheme="minorHAnsi"/>
                <w:lang w:val="fr-FR"/>
              </w:rPr>
              <w:t>Technique laboratoire</w:t>
            </w:r>
            <w:r w:rsidRPr="00C92E14">
              <w:rPr>
                <w:rFonts w:asciiTheme="majorHAnsi" w:hAnsiTheme="majorHAnsi" w:cstheme="minorHAnsi"/>
                <w:lang w:val="fr-FR"/>
              </w:rPr>
              <w:t xml:space="preserve"> animées par les RRL</w:t>
            </w:r>
          </w:p>
          <w:p w14:paraId="0752A44E" w14:textId="06811407" w:rsidR="00BB2631"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Soutenir la tenue des réunions semestrielles du Groupe Technique national laboratoire (</w:t>
            </w:r>
            <w:proofErr w:type="gramStart"/>
            <w:r w:rsidRPr="00C92E14">
              <w:rPr>
                <w:rFonts w:asciiTheme="majorHAnsi" w:hAnsiTheme="majorHAnsi" w:cstheme="minorHAnsi"/>
                <w:lang w:val="fr-FR"/>
              </w:rPr>
              <w:t>VIH,TB</w:t>
            </w:r>
            <w:proofErr w:type="gramEnd"/>
            <w:r w:rsidRPr="00C92E14">
              <w:rPr>
                <w:rFonts w:asciiTheme="majorHAnsi" w:hAnsiTheme="majorHAnsi" w:cstheme="minorHAnsi"/>
                <w:lang w:val="fr-FR"/>
              </w:rPr>
              <w:t xml:space="preserve"> et palu) animées par la DNL</w:t>
            </w:r>
          </w:p>
          <w:p w14:paraId="10CF85DF" w14:textId="1A98BA64" w:rsidR="00DD60C2" w:rsidRDefault="00DD60C2" w:rsidP="00D7111F">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Assurer la prise en charge des </w:t>
            </w:r>
            <w:r w:rsidR="00BB2631" w:rsidRPr="00C92E14">
              <w:rPr>
                <w:rFonts w:asciiTheme="majorHAnsi" w:hAnsiTheme="majorHAnsi" w:cstheme="minorHAnsi"/>
                <w:lang w:val="fr-FR"/>
              </w:rPr>
              <w:t>Responsables Régionaux de Laboratoire</w:t>
            </w:r>
            <w:r w:rsidR="00BB2631" w:rsidRPr="00C92E14" w:rsidDel="00BB2631">
              <w:rPr>
                <w:rFonts w:asciiTheme="majorHAnsi" w:hAnsiTheme="majorHAnsi" w:cstheme="minorHAnsi"/>
                <w:lang w:val="fr-FR"/>
              </w:rPr>
              <w:t xml:space="preserve"> </w:t>
            </w:r>
            <w:r w:rsidRPr="00C92E14">
              <w:rPr>
                <w:rFonts w:asciiTheme="majorHAnsi" w:hAnsiTheme="majorHAnsi" w:cstheme="minorHAnsi"/>
                <w:lang w:val="fr-FR"/>
              </w:rPr>
              <w:t>de biologie médicale</w:t>
            </w:r>
          </w:p>
          <w:p w14:paraId="7804079E" w14:textId="30F7A2A9" w:rsidR="000334AA" w:rsidRPr="00C92E14" w:rsidRDefault="000334AA"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137041">
              <w:rPr>
                <w:rFonts w:asciiTheme="majorHAnsi" w:hAnsiTheme="majorHAnsi" w:cstheme="minorHAnsi"/>
                <w:lang w:val="fr-FR"/>
              </w:rPr>
              <w:t xml:space="preserve">Réaliser des visites </w:t>
            </w:r>
            <w:r>
              <w:rPr>
                <w:rFonts w:asciiTheme="majorHAnsi" w:hAnsiTheme="majorHAnsi" w:cstheme="minorHAnsi"/>
                <w:lang w:val="fr-FR"/>
              </w:rPr>
              <w:t>tri</w:t>
            </w:r>
            <w:r w:rsidRPr="00137041">
              <w:rPr>
                <w:rFonts w:asciiTheme="majorHAnsi" w:hAnsiTheme="majorHAnsi" w:cstheme="minorHAnsi"/>
                <w:lang w:val="fr-FR"/>
              </w:rPr>
              <w:t>mestrielles de supervision des activités de laboratoire de grande capacité fournissant des services VIH, TB et Paludisme par</w:t>
            </w:r>
            <w:r>
              <w:rPr>
                <w:rFonts w:asciiTheme="majorHAnsi" w:hAnsiTheme="majorHAnsi" w:cstheme="minorHAnsi"/>
                <w:lang w:val="fr-FR"/>
              </w:rPr>
              <w:t xml:space="preserve"> les RRL</w:t>
            </w:r>
          </w:p>
          <w:p w14:paraId="044F8598" w14:textId="7BD491F5" w:rsidR="000D62B7" w:rsidRPr="00C92E14" w:rsidRDefault="000D62B7"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Réaliser des visites </w:t>
            </w:r>
            <w:r w:rsidR="00BB2631" w:rsidRPr="00C92E14">
              <w:rPr>
                <w:rFonts w:asciiTheme="majorHAnsi" w:hAnsiTheme="majorHAnsi" w:cstheme="minorHAnsi"/>
                <w:lang w:val="fr-FR"/>
              </w:rPr>
              <w:t xml:space="preserve">semestrielles </w:t>
            </w:r>
            <w:r w:rsidRPr="00C92E14">
              <w:rPr>
                <w:rFonts w:asciiTheme="majorHAnsi" w:hAnsiTheme="majorHAnsi" w:cstheme="minorHAnsi"/>
                <w:lang w:val="fr-FR"/>
              </w:rPr>
              <w:t>de supervision des activités de laboratoire de grande capacité fournissant des services VIH</w:t>
            </w:r>
            <w:r w:rsidR="00DD60C2" w:rsidRPr="00C92E14">
              <w:rPr>
                <w:rFonts w:asciiTheme="majorHAnsi" w:hAnsiTheme="majorHAnsi" w:cstheme="minorHAnsi"/>
                <w:lang w:val="fr-FR"/>
              </w:rPr>
              <w:t>,</w:t>
            </w:r>
            <w:r w:rsidR="00682D1B" w:rsidRPr="00C92E14">
              <w:rPr>
                <w:rFonts w:asciiTheme="majorHAnsi" w:hAnsiTheme="majorHAnsi" w:cstheme="minorHAnsi"/>
                <w:lang w:val="fr-FR"/>
              </w:rPr>
              <w:t xml:space="preserve"> </w:t>
            </w:r>
            <w:r w:rsidR="00DD60C2" w:rsidRPr="00C92E14">
              <w:rPr>
                <w:rFonts w:asciiTheme="majorHAnsi" w:hAnsiTheme="majorHAnsi" w:cstheme="minorHAnsi"/>
                <w:lang w:val="fr-FR"/>
              </w:rPr>
              <w:t>TB et Paludisme</w:t>
            </w:r>
            <w:r w:rsidR="00BB2631" w:rsidRPr="00C92E14">
              <w:rPr>
                <w:rFonts w:asciiTheme="majorHAnsi" w:hAnsiTheme="majorHAnsi" w:cstheme="minorHAnsi"/>
                <w:lang w:val="fr-FR"/>
              </w:rPr>
              <w:t xml:space="preserve"> par la section réseau labo de la DNL, le LNSP et le LNRM</w:t>
            </w:r>
          </w:p>
          <w:p w14:paraId="0FE964C4" w14:textId="3C83653C" w:rsidR="000D62B7" w:rsidRPr="00C92E14" w:rsidRDefault="000D62B7"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Organiser un atelier annuel de réflexion et de prise de décision sur l'optim</w:t>
            </w:r>
            <w:r w:rsidR="00D75998" w:rsidRPr="00C92E14">
              <w:rPr>
                <w:rFonts w:asciiTheme="majorHAnsi" w:hAnsiTheme="majorHAnsi" w:cstheme="minorHAnsi"/>
                <w:lang w:val="fr-FR"/>
              </w:rPr>
              <w:t>isa</w:t>
            </w:r>
            <w:r w:rsidRPr="00C92E14">
              <w:rPr>
                <w:rFonts w:asciiTheme="majorHAnsi" w:hAnsiTheme="majorHAnsi" w:cstheme="minorHAnsi"/>
                <w:lang w:val="fr-FR"/>
              </w:rPr>
              <w:t>tion de l'approvisionnement et de l'utilisation des ré</w:t>
            </w:r>
            <w:r w:rsidR="00D75998" w:rsidRPr="00C92E14">
              <w:rPr>
                <w:rFonts w:asciiTheme="majorHAnsi" w:hAnsiTheme="majorHAnsi" w:cstheme="minorHAnsi"/>
                <w:lang w:val="fr-FR"/>
              </w:rPr>
              <w:t>a</w:t>
            </w:r>
            <w:r w:rsidRPr="00C92E14">
              <w:rPr>
                <w:rFonts w:asciiTheme="majorHAnsi" w:hAnsiTheme="majorHAnsi" w:cstheme="minorHAnsi"/>
                <w:lang w:val="fr-FR"/>
              </w:rPr>
              <w:t>ctifs et intrants de laboratoire</w:t>
            </w:r>
          </w:p>
          <w:p w14:paraId="00836FDF" w14:textId="15E6A9A9" w:rsidR="00BB2631"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Evaluer les besoins nationaux en produits de laboratoires (réactifs, consommables et équipements)</w:t>
            </w:r>
          </w:p>
          <w:p w14:paraId="4D078499" w14:textId="4507A1E1" w:rsidR="00BB2631"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Former de spécialistes en gestion de la chaine d’approvisionnement en produits de laboratoire</w:t>
            </w:r>
          </w:p>
          <w:p w14:paraId="2481CC9B" w14:textId="1082DDD6" w:rsidR="000D62B7" w:rsidRPr="00C92E14" w:rsidRDefault="000D62B7"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lastRenderedPageBreak/>
              <w:t xml:space="preserve">Assurer le suivi du paiement de la Prime de motivation des </w:t>
            </w:r>
            <w:r w:rsidR="003032F3" w:rsidRPr="00C92E14">
              <w:rPr>
                <w:rFonts w:asciiTheme="majorHAnsi" w:hAnsiTheme="majorHAnsi" w:cstheme="minorHAnsi"/>
                <w:lang w:val="fr-FR"/>
              </w:rPr>
              <w:t xml:space="preserve">personnels </w:t>
            </w:r>
            <w:r w:rsidRPr="00C92E14">
              <w:rPr>
                <w:rFonts w:asciiTheme="majorHAnsi" w:hAnsiTheme="majorHAnsi" w:cstheme="minorHAnsi"/>
                <w:lang w:val="fr-FR"/>
              </w:rPr>
              <w:t>de laboratoire charge virale</w:t>
            </w:r>
            <w:r w:rsidR="00F15744" w:rsidRPr="00C92E14">
              <w:rPr>
                <w:rFonts w:asciiTheme="majorHAnsi" w:hAnsiTheme="majorHAnsi" w:cstheme="minorHAnsi"/>
                <w:lang w:val="fr-FR"/>
              </w:rPr>
              <w:t xml:space="preserve">, CDT, sites </w:t>
            </w:r>
            <w:proofErr w:type="spellStart"/>
            <w:r w:rsidR="00F15744" w:rsidRPr="00C92E14">
              <w:rPr>
                <w:rFonts w:asciiTheme="majorHAnsi" w:hAnsiTheme="majorHAnsi" w:cstheme="minorHAnsi"/>
                <w:lang w:val="fr-FR"/>
              </w:rPr>
              <w:t>Xpert</w:t>
            </w:r>
            <w:proofErr w:type="spellEnd"/>
            <w:r w:rsidR="00F15744" w:rsidRPr="00C92E14">
              <w:rPr>
                <w:rFonts w:asciiTheme="majorHAnsi" w:hAnsiTheme="majorHAnsi" w:cstheme="minorHAnsi"/>
                <w:lang w:val="fr-FR"/>
              </w:rPr>
              <w:t>, laboratoires de référence</w:t>
            </w:r>
          </w:p>
          <w:p w14:paraId="22931121" w14:textId="4BE9F865" w:rsidR="000D62B7" w:rsidRPr="00C92E14" w:rsidRDefault="003032F3" w:rsidP="00C92E14">
            <w:pPr>
              <w:pStyle w:val="Paragraphedeliste"/>
              <w:numPr>
                <w:ilvl w:val="0"/>
                <w:numId w:val="3"/>
              </w:numPr>
              <w:spacing w:before="120" w:after="120"/>
              <w:ind w:left="357" w:hanging="357"/>
              <w:contextualSpacing w:val="0"/>
              <w:rPr>
                <w:rFonts w:asciiTheme="majorHAnsi" w:hAnsiTheme="majorHAnsi" w:cstheme="minorHAnsi"/>
                <w:lang w:val="fr-FR"/>
              </w:rPr>
            </w:pPr>
            <w:r>
              <w:rPr>
                <w:rFonts w:asciiTheme="majorHAnsi" w:hAnsiTheme="majorHAnsi" w:cstheme="minorHAnsi"/>
                <w:lang w:val="fr-FR"/>
              </w:rPr>
              <w:t xml:space="preserve">Apporter un </w:t>
            </w:r>
            <w:r w:rsidR="000D62B7" w:rsidRPr="00C92E14">
              <w:rPr>
                <w:rFonts w:asciiTheme="majorHAnsi" w:hAnsiTheme="majorHAnsi" w:cstheme="minorHAnsi"/>
                <w:lang w:val="fr-FR"/>
              </w:rPr>
              <w:t xml:space="preserve">appui en carburant pour le fonctionnement des </w:t>
            </w:r>
            <w:r w:rsidR="00020BCD">
              <w:rPr>
                <w:rFonts w:asciiTheme="majorHAnsi" w:hAnsiTheme="majorHAnsi" w:cstheme="minorHAnsi"/>
                <w:lang w:val="fr-FR"/>
              </w:rPr>
              <w:t>10</w:t>
            </w:r>
            <w:r w:rsidR="00020BCD" w:rsidRPr="00C92E14">
              <w:rPr>
                <w:rFonts w:asciiTheme="majorHAnsi" w:hAnsiTheme="majorHAnsi" w:cstheme="minorHAnsi"/>
                <w:lang w:val="fr-FR"/>
              </w:rPr>
              <w:t xml:space="preserve"> </w:t>
            </w:r>
            <w:r w:rsidR="000D62B7" w:rsidRPr="00C92E14">
              <w:rPr>
                <w:rFonts w:asciiTheme="majorHAnsi" w:hAnsiTheme="majorHAnsi" w:cstheme="minorHAnsi"/>
                <w:lang w:val="fr-FR"/>
              </w:rPr>
              <w:t xml:space="preserve">groupes électrogènes des </w:t>
            </w:r>
            <w:r w:rsidR="00BB2631" w:rsidRPr="00C92E14">
              <w:rPr>
                <w:rFonts w:asciiTheme="majorHAnsi" w:hAnsiTheme="majorHAnsi" w:cstheme="minorHAnsi"/>
                <w:lang w:val="fr-FR"/>
              </w:rPr>
              <w:t xml:space="preserve">10 </w:t>
            </w:r>
            <w:r w:rsidR="000D62B7" w:rsidRPr="00C92E14">
              <w:rPr>
                <w:rFonts w:asciiTheme="majorHAnsi" w:hAnsiTheme="majorHAnsi" w:cstheme="minorHAnsi"/>
                <w:lang w:val="fr-FR"/>
              </w:rPr>
              <w:t>laboratoires (N</w:t>
            </w:r>
            <w:r w:rsidR="00D75998" w:rsidRPr="00C92E14">
              <w:rPr>
                <w:rFonts w:asciiTheme="majorHAnsi" w:hAnsiTheme="majorHAnsi" w:cstheme="minorHAnsi"/>
                <w:lang w:val="fr-FR"/>
              </w:rPr>
              <w:t>’</w:t>
            </w:r>
            <w:r w:rsidR="00F15744" w:rsidRPr="00C92E14">
              <w:rPr>
                <w:rFonts w:asciiTheme="majorHAnsi" w:hAnsiTheme="majorHAnsi" w:cstheme="minorHAnsi"/>
                <w:lang w:val="fr-FR"/>
              </w:rPr>
              <w:t>Nzérékoré</w:t>
            </w:r>
            <w:r w:rsidR="000D62B7" w:rsidRPr="00C92E14">
              <w:rPr>
                <w:rFonts w:asciiTheme="majorHAnsi" w:hAnsiTheme="majorHAnsi" w:cstheme="minorHAnsi"/>
                <w:lang w:val="fr-FR"/>
              </w:rPr>
              <w:t>, Kankan, Labé</w:t>
            </w:r>
            <w:r w:rsidR="00F15744" w:rsidRPr="00C92E14">
              <w:rPr>
                <w:rFonts w:asciiTheme="majorHAnsi" w:hAnsiTheme="majorHAnsi" w:cstheme="minorHAnsi"/>
                <w:lang w:val="fr-FR"/>
              </w:rPr>
              <w:t xml:space="preserve">, </w:t>
            </w:r>
            <w:r w:rsidR="000D62B7" w:rsidRPr="00C92E14">
              <w:rPr>
                <w:rFonts w:asciiTheme="majorHAnsi" w:hAnsiTheme="majorHAnsi" w:cstheme="minorHAnsi"/>
                <w:lang w:val="fr-FR"/>
              </w:rPr>
              <w:t>Faranah</w:t>
            </w:r>
            <w:r w:rsidR="00F15744" w:rsidRPr="00C92E14">
              <w:rPr>
                <w:rFonts w:asciiTheme="majorHAnsi" w:hAnsiTheme="majorHAnsi" w:cstheme="minorHAnsi"/>
                <w:lang w:val="fr-FR"/>
              </w:rPr>
              <w:t xml:space="preserve">, Macenta, </w:t>
            </w:r>
            <w:r w:rsidR="00BB2631" w:rsidRPr="00C92E14">
              <w:rPr>
                <w:rFonts w:asciiTheme="majorHAnsi" w:hAnsiTheme="majorHAnsi" w:cstheme="minorHAnsi"/>
                <w:lang w:val="fr-FR"/>
              </w:rPr>
              <w:t xml:space="preserve">Mamou, Kindia, Boké, </w:t>
            </w:r>
            <w:r w:rsidR="00F15744" w:rsidRPr="00C92E14">
              <w:rPr>
                <w:rFonts w:asciiTheme="majorHAnsi" w:hAnsiTheme="majorHAnsi" w:cstheme="minorHAnsi"/>
                <w:lang w:val="fr-FR"/>
              </w:rPr>
              <w:t>le LNRM, et LNSP</w:t>
            </w:r>
            <w:r w:rsidR="000D62B7" w:rsidRPr="00C92E14">
              <w:rPr>
                <w:rFonts w:asciiTheme="majorHAnsi" w:hAnsiTheme="majorHAnsi" w:cstheme="minorHAnsi"/>
                <w:lang w:val="fr-FR"/>
              </w:rPr>
              <w:t>)</w:t>
            </w:r>
          </w:p>
          <w:p w14:paraId="7F04E904" w14:textId="76A3BC0B" w:rsidR="000D62B7" w:rsidRPr="00C92E14" w:rsidRDefault="000D62B7"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Assurer </w:t>
            </w:r>
            <w:proofErr w:type="gramStart"/>
            <w:r w:rsidRPr="00C92E14">
              <w:rPr>
                <w:rFonts w:asciiTheme="majorHAnsi" w:hAnsiTheme="majorHAnsi" w:cstheme="minorHAnsi"/>
                <w:lang w:val="fr-FR"/>
              </w:rPr>
              <w:t>le  paiement</w:t>
            </w:r>
            <w:proofErr w:type="gramEnd"/>
            <w:r w:rsidRPr="00C92E14">
              <w:rPr>
                <w:rFonts w:asciiTheme="majorHAnsi" w:hAnsiTheme="majorHAnsi" w:cstheme="minorHAnsi"/>
                <w:lang w:val="fr-FR"/>
              </w:rPr>
              <w:t xml:space="preserve"> du forfait mensuel des </w:t>
            </w:r>
            <w:r w:rsidR="0054017B" w:rsidRPr="00C92E14">
              <w:rPr>
                <w:rFonts w:asciiTheme="majorHAnsi" w:hAnsiTheme="majorHAnsi" w:cstheme="minorHAnsi"/>
                <w:lang w:val="fr-FR"/>
              </w:rPr>
              <w:t>4</w:t>
            </w:r>
            <w:r w:rsidR="0054017B">
              <w:rPr>
                <w:rFonts w:asciiTheme="majorHAnsi" w:hAnsiTheme="majorHAnsi" w:cstheme="minorHAnsi"/>
                <w:lang w:val="fr-FR"/>
              </w:rPr>
              <w:t>4</w:t>
            </w:r>
            <w:r w:rsidR="0054017B" w:rsidRPr="00C92E14">
              <w:rPr>
                <w:rFonts w:asciiTheme="majorHAnsi" w:hAnsiTheme="majorHAnsi" w:cstheme="minorHAnsi"/>
                <w:lang w:val="fr-FR"/>
              </w:rPr>
              <w:t xml:space="preserve"> </w:t>
            </w:r>
            <w:r w:rsidRPr="00C92E14">
              <w:rPr>
                <w:rFonts w:asciiTheme="majorHAnsi" w:hAnsiTheme="majorHAnsi" w:cstheme="minorHAnsi"/>
                <w:lang w:val="fr-FR"/>
              </w:rPr>
              <w:t>kits de connexion Internet</w:t>
            </w:r>
            <w:r w:rsidR="00F15744" w:rsidRPr="00C92E14">
              <w:rPr>
                <w:rFonts w:asciiTheme="majorHAnsi" w:hAnsiTheme="majorHAnsi" w:cstheme="minorHAnsi"/>
                <w:lang w:val="fr-FR"/>
              </w:rPr>
              <w:t xml:space="preserve"> </w:t>
            </w:r>
            <w:r w:rsidR="003A1231">
              <w:rPr>
                <w:rFonts w:asciiTheme="majorHAnsi" w:hAnsiTheme="majorHAnsi" w:cstheme="minorHAnsi"/>
                <w:lang w:val="fr-FR"/>
              </w:rPr>
              <w:t xml:space="preserve">pour les 40 </w:t>
            </w:r>
            <w:r w:rsidR="003A1231" w:rsidRPr="00C92E14">
              <w:rPr>
                <w:rFonts w:asciiTheme="majorHAnsi" w:hAnsiTheme="majorHAnsi" w:cstheme="minorHAnsi"/>
                <w:lang w:val="fr-FR"/>
              </w:rPr>
              <w:t xml:space="preserve"> </w:t>
            </w:r>
            <w:r w:rsidR="00F15744" w:rsidRPr="00C92E14">
              <w:rPr>
                <w:rFonts w:asciiTheme="majorHAnsi" w:hAnsiTheme="majorHAnsi" w:cstheme="minorHAnsi"/>
                <w:lang w:val="fr-FR"/>
              </w:rPr>
              <w:t xml:space="preserve">laboratoires </w:t>
            </w:r>
            <w:r w:rsidR="0054017B">
              <w:rPr>
                <w:rFonts w:asciiTheme="majorHAnsi" w:hAnsiTheme="majorHAnsi" w:cstheme="minorHAnsi"/>
                <w:lang w:val="fr-FR"/>
              </w:rPr>
              <w:t>HP/CMC/HR (</w:t>
            </w:r>
            <w:proofErr w:type="spellStart"/>
            <w:r w:rsidR="0054017B">
              <w:rPr>
                <w:rFonts w:asciiTheme="majorHAnsi" w:hAnsiTheme="majorHAnsi" w:cstheme="minorHAnsi"/>
                <w:lang w:val="fr-FR"/>
              </w:rPr>
              <w:t>site</w:t>
            </w:r>
            <w:r w:rsidR="00F15744" w:rsidRPr="00C92E14">
              <w:rPr>
                <w:rFonts w:asciiTheme="majorHAnsi" w:hAnsiTheme="majorHAnsi" w:cstheme="minorHAnsi"/>
                <w:lang w:val="fr-FR"/>
              </w:rPr>
              <w:t>VIH</w:t>
            </w:r>
            <w:proofErr w:type="spellEnd"/>
            <w:r w:rsidR="00F15744" w:rsidRPr="00C92E14">
              <w:rPr>
                <w:rFonts w:asciiTheme="majorHAnsi" w:hAnsiTheme="majorHAnsi" w:cstheme="minorHAnsi"/>
                <w:lang w:val="fr-FR"/>
              </w:rPr>
              <w:t>,</w:t>
            </w:r>
            <w:r w:rsidR="00BB2631" w:rsidRPr="00C92E14">
              <w:rPr>
                <w:rFonts w:asciiTheme="majorHAnsi" w:hAnsiTheme="majorHAnsi" w:cstheme="minorHAnsi"/>
                <w:lang w:val="fr-FR"/>
              </w:rPr>
              <w:t xml:space="preserve"> </w:t>
            </w:r>
            <w:r w:rsidR="0054017B">
              <w:rPr>
                <w:rFonts w:asciiTheme="majorHAnsi" w:hAnsiTheme="majorHAnsi" w:cstheme="minorHAnsi"/>
                <w:lang w:val="fr-FR"/>
              </w:rPr>
              <w:t xml:space="preserve"> </w:t>
            </w:r>
            <w:proofErr w:type="spellStart"/>
            <w:r w:rsidR="00F15744" w:rsidRPr="00C92E14">
              <w:rPr>
                <w:rFonts w:asciiTheme="majorHAnsi" w:hAnsiTheme="majorHAnsi" w:cstheme="minorHAnsi"/>
                <w:lang w:val="fr-FR"/>
              </w:rPr>
              <w:t>Xpert</w:t>
            </w:r>
            <w:proofErr w:type="spellEnd"/>
            <w:r w:rsidR="00F15744" w:rsidRPr="00C92E14">
              <w:rPr>
                <w:rFonts w:asciiTheme="majorHAnsi" w:hAnsiTheme="majorHAnsi" w:cstheme="minorHAnsi"/>
                <w:lang w:val="fr-FR"/>
              </w:rPr>
              <w:t xml:space="preserve">, </w:t>
            </w:r>
            <w:r w:rsidR="0054017B">
              <w:rPr>
                <w:rFonts w:asciiTheme="majorHAnsi" w:hAnsiTheme="majorHAnsi" w:cstheme="minorHAnsi"/>
                <w:lang w:val="fr-FR"/>
              </w:rPr>
              <w:t xml:space="preserve">….), 03 </w:t>
            </w:r>
            <w:r w:rsidR="00F15744" w:rsidRPr="00C92E14">
              <w:rPr>
                <w:rFonts w:asciiTheme="majorHAnsi" w:hAnsiTheme="majorHAnsi" w:cstheme="minorHAnsi"/>
                <w:lang w:val="fr-FR"/>
              </w:rPr>
              <w:t>laboratoires de référence</w:t>
            </w:r>
            <w:r w:rsidR="0054017B">
              <w:rPr>
                <w:rFonts w:asciiTheme="majorHAnsi" w:hAnsiTheme="majorHAnsi" w:cstheme="minorHAnsi"/>
                <w:lang w:val="fr-FR"/>
              </w:rPr>
              <w:t xml:space="preserve"> et la DNL</w:t>
            </w:r>
          </w:p>
          <w:p w14:paraId="7A6C29F9" w14:textId="531B8E85" w:rsidR="000D62B7" w:rsidRPr="00C92E14" w:rsidRDefault="003A0017" w:rsidP="00C92E14">
            <w:pPr>
              <w:pStyle w:val="Paragraphedeliste"/>
              <w:numPr>
                <w:ilvl w:val="0"/>
                <w:numId w:val="3"/>
              </w:numPr>
              <w:spacing w:before="120" w:after="120"/>
              <w:ind w:left="357" w:hanging="357"/>
              <w:contextualSpacing w:val="0"/>
              <w:rPr>
                <w:rFonts w:asciiTheme="majorHAnsi" w:hAnsiTheme="majorHAnsi" w:cstheme="minorHAnsi"/>
                <w:lang w:val="fr-FR"/>
              </w:rPr>
            </w:pPr>
            <w:r>
              <w:rPr>
                <w:rFonts w:asciiTheme="majorHAnsi" w:hAnsiTheme="majorHAnsi" w:cstheme="minorHAnsi"/>
                <w:lang w:val="fr-FR"/>
              </w:rPr>
              <w:t xml:space="preserve">Elaborer un plan d’élimination des </w:t>
            </w:r>
            <w:r w:rsidR="000D62B7" w:rsidRPr="00C92E14">
              <w:rPr>
                <w:rFonts w:asciiTheme="majorHAnsi" w:hAnsiTheme="majorHAnsi" w:cstheme="minorHAnsi"/>
                <w:lang w:val="fr-FR"/>
              </w:rPr>
              <w:t>déchets biomédicaux solides et liquides produits dans les laboratoires qui fournissent des services VIH/TB</w:t>
            </w:r>
          </w:p>
          <w:p w14:paraId="46DCFB7C" w14:textId="361E11AC" w:rsidR="00BB2631" w:rsidRPr="00C92E14" w:rsidRDefault="003A0017" w:rsidP="00C92E14">
            <w:pPr>
              <w:pStyle w:val="Paragraphedeliste"/>
              <w:numPr>
                <w:ilvl w:val="0"/>
                <w:numId w:val="3"/>
              </w:numPr>
              <w:spacing w:before="120" w:after="120"/>
              <w:ind w:left="357" w:hanging="357"/>
              <w:contextualSpacing w:val="0"/>
              <w:rPr>
                <w:rFonts w:asciiTheme="majorHAnsi" w:hAnsiTheme="majorHAnsi" w:cstheme="minorHAnsi"/>
                <w:lang w:val="fr-FR"/>
              </w:rPr>
            </w:pPr>
            <w:bookmarkStart w:id="1" w:name="_Hlk31898162"/>
            <w:r>
              <w:rPr>
                <w:rFonts w:asciiTheme="majorHAnsi" w:hAnsiTheme="majorHAnsi" w:cstheme="minorHAnsi"/>
                <w:lang w:val="fr-FR"/>
              </w:rPr>
              <w:t>Organiser un atelier de</w:t>
            </w:r>
            <w:r w:rsidR="00BB2631" w:rsidRPr="00C92E14">
              <w:rPr>
                <w:rFonts w:asciiTheme="majorHAnsi" w:hAnsiTheme="majorHAnsi" w:cstheme="minorHAnsi"/>
                <w:lang w:val="fr-FR"/>
              </w:rPr>
              <w:t xml:space="preserve"> révision de documents normatifs de la DNL : Normes des infrastructures et équipements, Directives de bonnes pratiques </w:t>
            </w:r>
            <w:r>
              <w:rPr>
                <w:rFonts w:asciiTheme="majorHAnsi" w:hAnsiTheme="majorHAnsi" w:cstheme="minorHAnsi"/>
                <w:lang w:val="fr-FR"/>
              </w:rPr>
              <w:t>………</w:t>
            </w:r>
            <w:r w:rsidR="00BB2631" w:rsidRPr="00C92E14">
              <w:rPr>
                <w:rFonts w:asciiTheme="majorHAnsi" w:hAnsiTheme="majorHAnsi" w:cstheme="minorHAnsi"/>
                <w:lang w:val="fr-FR"/>
              </w:rPr>
              <w:t xml:space="preserve"> </w:t>
            </w:r>
          </w:p>
          <w:p w14:paraId="26A88EC1" w14:textId="31BB845E" w:rsidR="00BB2631"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highlight w:val="yellow"/>
                <w:lang w:val="fr-FR"/>
              </w:rPr>
            </w:pPr>
            <w:r w:rsidRPr="00C92E14">
              <w:rPr>
                <w:rFonts w:asciiTheme="majorHAnsi" w:hAnsiTheme="majorHAnsi" w:cstheme="minorHAnsi"/>
                <w:highlight w:val="yellow"/>
                <w:lang w:val="fr-FR"/>
              </w:rPr>
              <w:t>Elabor</w:t>
            </w:r>
            <w:r w:rsidR="003A0017" w:rsidRPr="00C92E14">
              <w:rPr>
                <w:rFonts w:asciiTheme="majorHAnsi" w:hAnsiTheme="majorHAnsi" w:cstheme="minorHAnsi"/>
                <w:highlight w:val="yellow"/>
                <w:lang w:val="fr-FR"/>
              </w:rPr>
              <w:t xml:space="preserve">er </w:t>
            </w:r>
            <w:r w:rsidRPr="00C92E14">
              <w:rPr>
                <w:rFonts w:asciiTheme="majorHAnsi" w:hAnsiTheme="majorHAnsi" w:cstheme="minorHAnsi"/>
                <w:highlight w:val="yellow"/>
                <w:lang w:val="fr-FR"/>
              </w:rPr>
              <w:t xml:space="preserve">un plan national de lutte contre les résistances aux ARV, </w:t>
            </w:r>
            <w:proofErr w:type="spellStart"/>
            <w:r w:rsidR="003A0017" w:rsidRPr="00C92E14">
              <w:rPr>
                <w:rFonts w:asciiTheme="majorHAnsi" w:hAnsiTheme="majorHAnsi" w:cstheme="minorHAnsi"/>
                <w:highlight w:val="yellow"/>
                <w:lang w:val="fr-FR"/>
              </w:rPr>
              <w:t>anti-TB</w:t>
            </w:r>
            <w:proofErr w:type="spellEnd"/>
            <w:r w:rsidRPr="00C92E14">
              <w:rPr>
                <w:rFonts w:asciiTheme="majorHAnsi" w:hAnsiTheme="majorHAnsi" w:cstheme="minorHAnsi"/>
                <w:highlight w:val="yellow"/>
                <w:lang w:val="fr-FR"/>
              </w:rPr>
              <w:t xml:space="preserve"> et anti Paludéens</w:t>
            </w:r>
          </w:p>
          <w:bookmarkEnd w:id="1"/>
          <w:p w14:paraId="5B47E647" w14:textId="3E5833DA" w:rsidR="00D75998" w:rsidRPr="00C92E14" w:rsidRDefault="003A0017"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 </w:t>
            </w:r>
            <w:r w:rsidR="00D75998" w:rsidRPr="00C92E14">
              <w:rPr>
                <w:rFonts w:asciiTheme="majorHAnsi" w:hAnsiTheme="majorHAnsi" w:cstheme="minorHAnsi"/>
                <w:lang w:val="fr-FR"/>
              </w:rPr>
              <w:t xml:space="preserve">Assurer la supervision par le laboratoire supra </w:t>
            </w:r>
            <w:r w:rsidR="00972FD3" w:rsidRPr="00C92E14">
              <w:rPr>
                <w:rFonts w:asciiTheme="majorHAnsi" w:hAnsiTheme="majorHAnsi" w:cstheme="minorHAnsi"/>
                <w:lang w:val="fr-FR"/>
              </w:rPr>
              <w:t>national pour</w:t>
            </w:r>
            <w:r w:rsidR="00D75998" w:rsidRPr="00C92E14">
              <w:rPr>
                <w:rFonts w:asciiTheme="majorHAnsi" w:hAnsiTheme="majorHAnsi" w:cstheme="minorHAnsi"/>
                <w:lang w:val="fr-FR"/>
              </w:rPr>
              <w:t xml:space="preserve"> le LNRM et Macenta chaque année </w:t>
            </w:r>
          </w:p>
          <w:p w14:paraId="4301FC25" w14:textId="58CA18C5" w:rsidR="00E6190A" w:rsidRPr="00C92E14" w:rsidRDefault="00E6190A" w:rsidP="00C92E14">
            <w:pPr>
              <w:pStyle w:val="Paragraphedeliste"/>
              <w:numPr>
                <w:ilvl w:val="0"/>
                <w:numId w:val="3"/>
              </w:numPr>
              <w:rPr>
                <w:lang w:val="fr-FR"/>
              </w:rPr>
            </w:pPr>
            <w:r w:rsidRPr="00C92E14">
              <w:rPr>
                <w:rFonts w:asciiTheme="majorHAnsi" w:hAnsiTheme="majorHAnsi" w:cstheme="minorHAnsi"/>
                <w:lang w:val="fr-FR"/>
              </w:rPr>
              <w:t>Vulgariser le plan national de transport des échantillons</w:t>
            </w:r>
          </w:p>
          <w:p w14:paraId="705A0F00" w14:textId="7C462381" w:rsidR="00D75998" w:rsidRPr="00C92E14" w:rsidRDefault="00D75998"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Former le personnel de </w:t>
            </w:r>
            <w:r w:rsidR="00DC3D35" w:rsidRPr="00C92E14">
              <w:rPr>
                <w:rFonts w:asciiTheme="majorHAnsi" w:hAnsiTheme="majorHAnsi" w:cstheme="minorHAnsi"/>
                <w:lang w:val="fr-FR"/>
              </w:rPr>
              <w:t>laboratoire CDT</w:t>
            </w:r>
            <w:r w:rsidRPr="00C92E14">
              <w:rPr>
                <w:rFonts w:asciiTheme="majorHAnsi" w:hAnsiTheme="majorHAnsi" w:cstheme="minorHAnsi"/>
                <w:lang w:val="fr-FR"/>
              </w:rPr>
              <w:t xml:space="preserve">, sites </w:t>
            </w:r>
            <w:proofErr w:type="spellStart"/>
            <w:r w:rsidRPr="00C92E14">
              <w:rPr>
                <w:rFonts w:asciiTheme="majorHAnsi" w:hAnsiTheme="majorHAnsi" w:cstheme="minorHAnsi"/>
                <w:lang w:val="fr-FR"/>
              </w:rPr>
              <w:t>Xpert</w:t>
            </w:r>
            <w:proofErr w:type="spellEnd"/>
            <w:r w:rsidRPr="00C92E14">
              <w:rPr>
                <w:rFonts w:asciiTheme="majorHAnsi" w:hAnsiTheme="majorHAnsi" w:cstheme="minorHAnsi"/>
                <w:lang w:val="fr-FR"/>
              </w:rPr>
              <w:t xml:space="preserve">, laboratoires de cultures, LPA de Macenta et </w:t>
            </w:r>
            <w:proofErr w:type="gramStart"/>
            <w:r w:rsidRPr="00C92E14">
              <w:rPr>
                <w:rFonts w:asciiTheme="majorHAnsi" w:hAnsiTheme="majorHAnsi" w:cstheme="minorHAnsi"/>
                <w:lang w:val="fr-FR"/>
              </w:rPr>
              <w:t xml:space="preserve">LNRM, </w:t>
            </w:r>
            <w:r w:rsidR="00BB2631" w:rsidRPr="00C92E14">
              <w:rPr>
                <w:rFonts w:asciiTheme="majorHAnsi" w:hAnsiTheme="majorHAnsi" w:cstheme="minorHAnsi"/>
                <w:lang w:val="fr-FR"/>
              </w:rPr>
              <w:t xml:space="preserve"> </w:t>
            </w:r>
            <w:r w:rsidRPr="00C92E14">
              <w:rPr>
                <w:rFonts w:asciiTheme="majorHAnsi" w:hAnsiTheme="majorHAnsi" w:cstheme="minorHAnsi"/>
                <w:lang w:val="fr-FR"/>
              </w:rPr>
              <w:t>en</w:t>
            </w:r>
            <w:proofErr w:type="gramEnd"/>
            <w:r w:rsidRPr="00C92E14">
              <w:rPr>
                <w:rFonts w:asciiTheme="majorHAnsi" w:hAnsiTheme="majorHAnsi" w:cstheme="minorHAnsi"/>
                <w:lang w:val="fr-FR"/>
              </w:rPr>
              <w:t xml:space="preserve"> transport des échantillons couvrant les modules de formations validé par le LNRM recommandé par OMS/GLI</w:t>
            </w:r>
          </w:p>
          <w:p w14:paraId="7D13B9AB" w14:textId="72F48885" w:rsidR="00682D1B"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Elaborer un</w:t>
            </w:r>
            <w:r w:rsidR="00150494">
              <w:rPr>
                <w:rFonts w:asciiTheme="majorHAnsi" w:hAnsiTheme="majorHAnsi" w:cstheme="minorHAnsi"/>
                <w:lang w:val="fr-FR"/>
              </w:rPr>
              <w:t xml:space="preserve"> document normatif de laboratoire et </w:t>
            </w:r>
            <w:r w:rsidRPr="00C92E14">
              <w:rPr>
                <w:rFonts w:asciiTheme="majorHAnsi" w:hAnsiTheme="majorHAnsi" w:cstheme="minorHAnsi"/>
                <w:lang w:val="fr-FR"/>
              </w:rPr>
              <w:t xml:space="preserve">de dépistage </w:t>
            </w:r>
            <w:r w:rsidR="00150494">
              <w:rPr>
                <w:rFonts w:asciiTheme="majorHAnsi" w:hAnsiTheme="majorHAnsi" w:cstheme="minorHAnsi"/>
                <w:lang w:val="fr-FR"/>
              </w:rPr>
              <w:t xml:space="preserve">des maladies par les acteurs </w:t>
            </w:r>
            <w:r w:rsidRPr="00C92E14">
              <w:rPr>
                <w:rFonts w:asciiTheme="majorHAnsi" w:hAnsiTheme="majorHAnsi" w:cstheme="minorHAnsi"/>
                <w:lang w:val="fr-FR"/>
              </w:rPr>
              <w:t>communautaire</w:t>
            </w:r>
            <w:r w:rsidR="00150494">
              <w:rPr>
                <w:rFonts w:asciiTheme="majorHAnsi" w:hAnsiTheme="majorHAnsi" w:cstheme="minorHAnsi"/>
                <w:lang w:val="fr-FR"/>
              </w:rPr>
              <w:t>s</w:t>
            </w:r>
            <w:r w:rsidRPr="00C92E14">
              <w:rPr>
                <w:rFonts w:asciiTheme="majorHAnsi" w:hAnsiTheme="majorHAnsi" w:cstheme="minorHAnsi"/>
                <w:lang w:val="fr-FR"/>
              </w:rPr>
              <w:t xml:space="preserve"> </w:t>
            </w:r>
            <w:r w:rsidR="00150494">
              <w:rPr>
                <w:rFonts w:asciiTheme="majorHAnsi" w:hAnsiTheme="majorHAnsi" w:cstheme="minorHAnsi"/>
                <w:lang w:val="fr-FR"/>
              </w:rPr>
              <w:t xml:space="preserve"> </w:t>
            </w:r>
          </w:p>
          <w:p w14:paraId="49FE71B4" w14:textId="38692FF7" w:rsidR="00D75998" w:rsidRPr="00C92E14" w:rsidRDefault="00D75998"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Assurer la formation du personnel du LNRM dans les laboratoires supra nationa</w:t>
            </w:r>
            <w:r w:rsidR="005466CC" w:rsidRPr="00C92E14">
              <w:rPr>
                <w:rFonts w:asciiTheme="majorHAnsi" w:hAnsiTheme="majorHAnsi" w:cstheme="minorHAnsi"/>
                <w:lang w:val="fr-FR"/>
              </w:rPr>
              <w:t>ux</w:t>
            </w:r>
            <w:r w:rsidRPr="00C92E14">
              <w:rPr>
                <w:rFonts w:asciiTheme="majorHAnsi" w:hAnsiTheme="majorHAnsi" w:cstheme="minorHAnsi"/>
                <w:lang w:val="fr-FR"/>
              </w:rPr>
              <w:t xml:space="preserve"> et</w:t>
            </w:r>
            <w:r w:rsidR="00BB2631" w:rsidRPr="00C92E14">
              <w:rPr>
                <w:rFonts w:asciiTheme="majorHAnsi" w:hAnsiTheme="majorHAnsi" w:cstheme="minorHAnsi"/>
                <w:lang w:val="fr-FR"/>
              </w:rPr>
              <w:t>/</w:t>
            </w:r>
            <w:r w:rsidRPr="00C92E14">
              <w:rPr>
                <w:rFonts w:asciiTheme="majorHAnsi" w:hAnsiTheme="majorHAnsi" w:cstheme="minorHAnsi"/>
                <w:lang w:val="fr-FR"/>
              </w:rPr>
              <w:t>ou par Assistance technique International.</w:t>
            </w:r>
          </w:p>
          <w:p w14:paraId="4BA22FE7" w14:textId="42991D6F" w:rsidR="00BB2631" w:rsidRPr="00C92E14" w:rsidRDefault="00150494"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 </w:t>
            </w:r>
            <w:r w:rsidR="00BB2631" w:rsidRPr="00C92E14">
              <w:rPr>
                <w:rFonts w:asciiTheme="majorHAnsi" w:hAnsiTheme="majorHAnsi" w:cstheme="minorHAnsi"/>
                <w:lang w:val="fr-FR"/>
              </w:rPr>
              <w:t>Former/recycler les formateurs régionaux en techniques de laboratoire</w:t>
            </w:r>
          </w:p>
          <w:p w14:paraId="29388C0E" w14:textId="3E3A3CC8" w:rsidR="00BB2631"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Doter la DNL d’un véhicule de supervision des activités de laboratoires des sites de PEC des patients VIH/TB</w:t>
            </w:r>
          </w:p>
          <w:p w14:paraId="67EB02ED" w14:textId="5A550A23" w:rsidR="00BB2631"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Doter la DNL de 3 kits informatiques</w:t>
            </w:r>
            <w:r w:rsidR="00150494">
              <w:rPr>
                <w:rFonts w:asciiTheme="majorHAnsi" w:hAnsiTheme="majorHAnsi" w:cstheme="minorHAnsi"/>
                <w:lang w:val="fr-FR"/>
              </w:rPr>
              <w:t xml:space="preserve"> (3 ordinateurs portables, 3 imprimantes, 3 onduleurs, 6 multiprises, 1 disque dur externe)</w:t>
            </w:r>
            <w:r w:rsidRPr="00C92E14">
              <w:rPr>
                <w:rFonts w:asciiTheme="majorHAnsi" w:hAnsiTheme="majorHAnsi" w:cstheme="minorHAnsi"/>
                <w:lang w:val="fr-FR"/>
              </w:rPr>
              <w:t xml:space="preserve">  </w:t>
            </w:r>
          </w:p>
          <w:p w14:paraId="3DDC354F" w14:textId="09EC6EAF" w:rsidR="00BB2631"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Doter la DNL d’une photocopieuse de grande capacité  </w:t>
            </w:r>
          </w:p>
          <w:p w14:paraId="295D71C8" w14:textId="5B3A9DE5" w:rsidR="00BB2631"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 Doter la DNL d’un kit de vidéo projection (TV, vidéo projecteur, </w:t>
            </w:r>
            <w:proofErr w:type="spellStart"/>
            <w:r w:rsidRPr="00C92E14">
              <w:rPr>
                <w:rFonts w:asciiTheme="majorHAnsi" w:hAnsiTheme="majorHAnsi" w:cstheme="minorHAnsi"/>
                <w:lang w:val="fr-FR"/>
              </w:rPr>
              <w:t>cables</w:t>
            </w:r>
            <w:proofErr w:type="spellEnd"/>
            <w:r w:rsidRPr="00C92E14">
              <w:rPr>
                <w:rFonts w:asciiTheme="majorHAnsi" w:hAnsiTheme="majorHAnsi" w:cstheme="minorHAnsi"/>
                <w:lang w:val="fr-FR"/>
              </w:rPr>
              <w:t>…</w:t>
            </w:r>
            <w:proofErr w:type="gramStart"/>
            <w:r w:rsidRPr="00C92E14">
              <w:rPr>
                <w:rFonts w:asciiTheme="majorHAnsi" w:hAnsiTheme="majorHAnsi" w:cstheme="minorHAnsi"/>
                <w:lang w:val="fr-FR"/>
              </w:rPr>
              <w:t>… )</w:t>
            </w:r>
            <w:proofErr w:type="gramEnd"/>
          </w:p>
          <w:p w14:paraId="0394B5F6" w14:textId="7731FF67" w:rsidR="00BB2631" w:rsidRDefault="00BB2631" w:rsidP="00D7111F">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Réaliser une évaluation nationale des algorithmes de dépistage </w:t>
            </w:r>
            <w:r w:rsidR="00C93A82">
              <w:rPr>
                <w:rFonts w:asciiTheme="majorHAnsi" w:hAnsiTheme="majorHAnsi" w:cstheme="minorHAnsi"/>
                <w:lang w:val="fr-FR"/>
              </w:rPr>
              <w:t xml:space="preserve">des maladies prioritaires </w:t>
            </w:r>
            <w:r w:rsidR="00C93A82" w:rsidRPr="00C92E14">
              <w:rPr>
                <w:rFonts w:asciiTheme="majorHAnsi" w:hAnsiTheme="majorHAnsi" w:cstheme="minorHAnsi"/>
                <w:lang w:val="fr-FR"/>
              </w:rPr>
              <w:t>dans</w:t>
            </w:r>
            <w:r w:rsidRPr="00C92E14">
              <w:rPr>
                <w:rFonts w:asciiTheme="majorHAnsi" w:hAnsiTheme="majorHAnsi" w:cstheme="minorHAnsi"/>
                <w:lang w:val="fr-FR"/>
              </w:rPr>
              <w:t xml:space="preserve"> tous les laboratoires (publiques et privés)</w:t>
            </w:r>
          </w:p>
          <w:p w14:paraId="541FFB3E" w14:textId="6491199F" w:rsidR="00826629" w:rsidRPr="00C92E14" w:rsidRDefault="00826629" w:rsidP="00C92E14">
            <w:pPr>
              <w:pStyle w:val="Paragraphedeliste"/>
              <w:numPr>
                <w:ilvl w:val="0"/>
                <w:numId w:val="3"/>
              </w:numPr>
              <w:spacing w:before="120" w:after="120"/>
              <w:ind w:left="357" w:hanging="357"/>
              <w:contextualSpacing w:val="0"/>
              <w:rPr>
                <w:rFonts w:asciiTheme="majorHAnsi" w:hAnsiTheme="majorHAnsi" w:cstheme="minorHAnsi"/>
                <w:lang w:val="fr-FR"/>
              </w:rPr>
            </w:pPr>
            <w:r>
              <w:rPr>
                <w:rFonts w:asciiTheme="majorHAnsi" w:hAnsiTheme="majorHAnsi" w:cstheme="minorHAnsi"/>
                <w:lang w:val="fr-FR"/>
              </w:rPr>
              <w:t xml:space="preserve">Réaliser une évaluation nationale de la performance des tests de dépistage des maladies prioritaires </w:t>
            </w:r>
          </w:p>
          <w:p w14:paraId="7B155D87" w14:textId="6B37048F" w:rsidR="00BB2631" w:rsidRPr="00C92E14" w:rsidRDefault="00C93A82" w:rsidP="00C92E14">
            <w:pPr>
              <w:pStyle w:val="Paragraphedeliste"/>
              <w:numPr>
                <w:ilvl w:val="0"/>
                <w:numId w:val="3"/>
              </w:numPr>
              <w:spacing w:before="120" w:after="120"/>
              <w:ind w:left="357" w:hanging="357"/>
              <w:contextualSpacing w:val="0"/>
              <w:rPr>
                <w:rFonts w:asciiTheme="majorHAnsi" w:hAnsiTheme="majorHAnsi" w:cstheme="minorHAnsi"/>
                <w:lang w:val="fr-FR"/>
              </w:rPr>
            </w:pPr>
            <w:r>
              <w:rPr>
                <w:rFonts w:asciiTheme="majorHAnsi" w:hAnsiTheme="majorHAnsi" w:cstheme="minorHAnsi"/>
                <w:lang w:val="fr-FR"/>
              </w:rPr>
              <w:t xml:space="preserve">Organiser un atelier de révision </w:t>
            </w:r>
            <w:r w:rsidR="00BB2631" w:rsidRPr="00C92E14">
              <w:rPr>
                <w:rFonts w:asciiTheme="majorHAnsi" w:hAnsiTheme="majorHAnsi" w:cstheme="minorHAnsi"/>
                <w:lang w:val="fr-FR"/>
              </w:rPr>
              <w:t>les algorithmes de dépistage du VIH,</w:t>
            </w:r>
            <w:r>
              <w:rPr>
                <w:rFonts w:asciiTheme="majorHAnsi" w:hAnsiTheme="majorHAnsi" w:cstheme="minorHAnsi"/>
                <w:lang w:val="fr-FR"/>
              </w:rPr>
              <w:t xml:space="preserve"> </w:t>
            </w:r>
            <w:r w:rsidR="00BB2631" w:rsidRPr="00C92E14">
              <w:rPr>
                <w:rFonts w:asciiTheme="majorHAnsi" w:hAnsiTheme="majorHAnsi" w:cstheme="minorHAnsi"/>
                <w:lang w:val="fr-FR"/>
              </w:rPr>
              <w:t xml:space="preserve">TB et palu   </w:t>
            </w:r>
          </w:p>
          <w:p w14:paraId="7DB208F6" w14:textId="77777777" w:rsidR="00BB2631"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Former des acteurs de terrain à l’utilisation de l’algorithme de dépistage du VIH en Guinée</w:t>
            </w:r>
          </w:p>
          <w:p w14:paraId="26BFB186" w14:textId="3661D7EB" w:rsidR="00826629"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Mettre à jour la Cartographie des laboratoires</w:t>
            </w:r>
          </w:p>
          <w:p w14:paraId="6A83D216" w14:textId="4CDBE2A2" w:rsidR="00826629" w:rsidRPr="00C92E14" w:rsidRDefault="00826629"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Recruter un consultant international pour développer un tableau de bord des activités de laboratoire</w:t>
            </w:r>
          </w:p>
          <w:p w14:paraId="2A925105" w14:textId="50559509" w:rsidR="00826629" w:rsidRPr="00C92E14" w:rsidRDefault="00826629"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Organiser un atelier de validation du tableau de bord</w:t>
            </w:r>
          </w:p>
          <w:p w14:paraId="415CE639" w14:textId="166B7BF9" w:rsidR="000D62B7" w:rsidRPr="00C92E14" w:rsidRDefault="00826629" w:rsidP="00C92E14">
            <w:pPr>
              <w:pStyle w:val="Paragraphedeliste"/>
              <w:numPr>
                <w:ilvl w:val="0"/>
                <w:numId w:val="3"/>
              </w:numPr>
              <w:spacing w:before="120" w:after="120"/>
              <w:ind w:left="357" w:hanging="357"/>
              <w:contextualSpacing w:val="0"/>
              <w:rPr>
                <w:rFonts w:asciiTheme="majorHAnsi" w:hAnsiTheme="majorHAnsi" w:cstheme="minorHAnsi"/>
                <w:lang w:val="fr-FR"/>
              </w:rPr>
            </w:pPr>
            <w:r>
              <w:rPr>
                <w:rFonts w:asciiTheme="majorHAnsi" w:hAnsiTheme="majorHAnsi" w:cstheme="minorHAnsi"/>
                <w:lang w:val="fr-FR"/>
              </w:rPr>
              <w:t>Organiser un atelier de formation pour l’utilisation du tableau de bord</w:t>
            </w:r>
          </w:p>
          <w:p w14:paraId="23F8FEC3" w14:textId="77777777" w:rsidR="000D62B7" w:rsidRPr="00C92E14" w:rsidRDefault="000D62B7" w:rsidP="00C92E14">
            <w:pPr>
              <w:spacing w:before="120" w:after="120"/>
              <w:rPr>
                <w:rFonts w:asciiTheme="majorHAnsi" w:hAnsiTheme="majorHAnsi" w:cstheme="minorHAnsi"/>
                <w:b/>
                <w:bCs/>
                <w:lang w:val="fr-FR"/>
              </w:rPr>
            </w:pPr>
            <w:r w:rsidRPr="00C92E14">
              <w:rPr>
                <w:rFonts w:asciiTheme="majorHAnsi" w:hAnsiTheme="majorHAnsi" w:cstheme="minorHAnsi"/>
                <w:b/>
                <w:bCs/>
                <w:lang w:val="fr-FR"/>
              </w:rPr>
              <w:t>Intervention 2 : Infrastructure et systèmes de gestion de l’équipement</w:t>
            </w:r>
          </w:p>
          <w:p w14:paraId="5EF25B35" w14:textId="286E73F0" w:rsidR="00BB2631"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Formation de 2 spécialistes en certification des PSM et autres équipements des laboratoires </w:t>
            </w:r>
          </w:p>
          <w:p w14:paraId="043329D4" w14:textId="77777777" w:rsidR="00BB2631" w:rsidRPr="00C92E14" w:rsidRDefault="00BB2631" w:rsidP="00C92E14">
            <w:pPr>
              <w:pStyle w:val="Paragraphedeliste"/>
              <w:numPr>
                <w:ilvl w:val="0"/>
                <w:numId w:val="3"/>
              </w:numPr>
              <w:spacing w:before="120" w:after="120"/>
              <w:contextualSpacing w:val="0"/>
              <w:rPr>
                <w:rFonts w:asciiTheme="majorHAnsi" w:hAnsiTheme="majorHAnsi" w:cstheme="minorHAnsi"/>
                <w:lang w:val="fr-FR"/>
              </w:rPr>
            </w:pPr>
            <w:r w:rsidRPr="00C92E14">
              <w:rPr>
                <w:rFonts w:asciiTheme="majorHAnsi" w:hAnsiTheme="majorHAnsi" w:cstheme="minorHAnsi"/>
                <w:lang w:val="fr-FR"/>
              </w:rPr>
              <w:t>Réaliser un inventaire annuel des équipements biomédicaux au niveau national</w:t>
            </w:r>
          </w:p>
          <w:p w14:paraId="39D85D31" w14:textId="77777777" w:rsidR="00BB2631" w:rsidRPr="00C92E14" w:rsidRDefault="00BB2631" w:rsidP="00C92E14">
            <w:pPr>
              <w:pStyle w:val="Paragraphedeliste"/>
              <w:numPr>
                <w:ilvl w:val="0"/>
                <w:numId w:val="3"/>
              </w:numPr>
              <w:spacing w:before="120" w:after="120"/>
              <w:contextualSpacing w:val="0"/>
              <w:rPr>
                <w:rFonts w:asciiTheme="majorHAnsi" w:hAnsiTheme="majorHAnsi" w:cstheme="minorHAnsi"/>
                <w:lang w:val="fr-FR"/>
              </w:rPr>
            </w:pPr>
            <w:r w:rsidRPr="00C92E14">
              <w:rPr>
                <w:rFonts w:asciiTheme="majorHAnsi" w:hAnsiTheme="majorHAnsi" w:cstheme="minorHAnsi"/>
                <w:lang w:val="fr-FR"/>
              </w:rPr>
              <w:t>Elaborer un plan national stratégique d’élimination des équipements de laboratoire non fonctionnels et hors d’usage</w:t>
            </w:r>
          </w:p>
          <w:p w14:paraId="3C7BFCF7" w14:textId="30FC3044" w:rsidR="00BB2631" w:rsidRDefault="00BB2631" w:rsidP="00D7111F">
            <w:pPr>
              <w:pStyle w:val="Paragraphedeliste"/>
              <w:numPr>
                <w:ilvl w:val="0"/>
                <w:numId w:val="3"/>
              </w:numPr>
              <w:spacing w:before="120" w:after="120"/>
              <w:contextualSpacing w:val="0"/>
              <w:rPr>
                <w:rFonts w:asciiTheme="majorHAnsi" w:hAnsiTheme="majorHAnsi" w:cstheme="minorHAnsi"/>
                <w:lang w:val="fr-FR"/>
              </w:rPr>
            </w:pPr>
            <w:r w:rsidRPr="00C92E14">
              <w:rPr>
                <w:rFonts w:asciiTheme="majorHAnsi" w:hAnsiTheme="majorHAnsi" w:cstheme="minorHAnsi"/>
                <w:lang w:val="fr-FR"/>
              </w:rPr>
              <w:t>Former chaque année 3 agents en métrologie des équipements de laboratoire</w:t>
            </w:r>
          </w:p>
          <w:p w14:paraId="58715CCF" w14:textId="58668755" w:rsidR="005E4288" w:rsidRDefault="005E4288" w:rsidP="005E4288">
            <w:pPr>
              <w:pStyle w:val="Paragraphedeliste"/>
              <w:numPr>
                <w:ilvl w:val="0"/>
                <w:numId w:val="3"/>
              </w:numPr>
              <w:spacing w:before="120" w:after="120"/>
              <w:ind w:left="357" w:hanging="357"/>
              <w:contextualSpacing w:val="0"/>
              <w:rPr>
                <w:rFonts w:asciiTheme="majorHAnsi" w:hAnsiTheme="majorHAnsi" w:cstheme="minorHAnsi"/>
                <w:lang w:val="fr-FR"/>
              </w:rPr>
            </w:pPr>
            <w:r>
              <w:rPr>
                <w:rFonts w:asciiTheme="majorHAnsi" w:hAnsiTheme="majorHAnsi" w:cstheme="minorHAnsi"/>
                <w:lang w:val="fr-FR"/>
              </w:rPr>
              <w:t xml:space="preserve">Doter les équipes de métrologie en trousses </w:t>
            </w:r>
          </w:p>
          <w:p w14:paraId="221420CA" w14:textId="793A9BA1" w:rsidR="005E4288" w:rsidRPr="00137041" w:rsidRDefault="005E4288" w:rsidP="005E4288">
            <w:pPr>
              <w:pStyle w:val="Paragraphedeliste"/>
              <w:numPr>
                <w:ilvl w:val="0"/>
                <w:numId w:val="3"/>
              </w:numPr>
              <w:spacing w:before="120" w:after="120"/>
              <w:ind w:left="357" w:hanging="357"/>
              <w:contextualSpacing w:val="0"/>
              <w:rPr>
                <w:rFonts w:asciiTheme="majorHAnsi" w:hAnsiTheme="majorHAnsi" w:cstheme="minorHAnsi"/>
                <w:lang w:val="fr-FR"/>
              </w:rPr>
            </w:pPr>
            <w:r w:rsidRPr="00137041">
              <w:rPr>
                <w:rFonts w:asciiTheme="majorHAnsi" w:hAnsiTheme="majorHAnsi" w:cstheme="minorHAnsi"/>
                <w:lang w:val="fr-FR"/>
              </w:rPr>
              <w:t>Réaliser des missions de métrologie dans les laboratoires de biologie médicale</w:t>
            </w:r>
          </w:p>
          <w:p w14:paraId="48A5C4F9" w14:textId="4D4BEBBE" w:rsidR="00B440DF" w:rsidRPr="00C92E14" w:rsidRDefault="00B440DF" w:rsidP="00C92E14">
            <w:pPr>
              <w:pStyle w:val="Paragraphedeliste"/>
              <w:numPr>
                <w:ilvl w:val="0"/>
                <w:numId w:val="3"/>
              </w:numPr>
              <w:spacing w:before="120" w:after="120"/>
              <w:contextualSpacing w:val="0"/>
              <w:rPr>
                <w:rFonts w:asciiTheme="majorHAnsi" w:hAnsiTheme="majorHAnsi" w:cstheme="minorHAnsi"/>
                <w:lang w:val="fr-FR"/>
              </w:rPr>
            </w:pPr>
            <w:r w:rsidRPr="00C92E14">
              <w:rPr>
                <w:rFonts w:asciiTheme="majorHAnsi" w:hAnsiTheme="majorHAnsi" w:cstheme="minorHAnsi"/>
                <w:lang w:val="fr-FR"/>
              </w:rPr>
              <w:t xml:space="preserve">Mettre à niveau le laboratoire de </w:t>
            </w:r>
            <w:r w:rsidR="005E4288" w:rsidRPr="00C92E14">
              <w:rPr>
                <w:rFonts w:asciiTheme="majorHAnsi" w:hAnsiTheme="majorHAnsi" w:cstheme="minorHAnsi"/>
                <w:lang w:val="fr-FR"/>
              </w:rPr>
              <w:t>biosécurité</w:t>
            </w:r>
            <w:r w:rsidRPr="00C92E14">
              <w:rPr>
                <w:rFonts w:asciiTheme="majorHAnsi" w:hAnsiTheme="majorHAnsi" w:cstheme="minorHAnsi"/>
                <w:lang w:val="fr-FR"/>
              </w:rPr>
              <w:t xml:space="preserve"> BSL2 à un niveau BSL3 </w:t>
            </w:r>
            <w:r w:rsidR="00826629">
              <w:rPr>
                <w:rFonts w:asciiTheme="majorHAnsi" w:hAnsiTheme="majorHAnsi" w:cstheme="minorHAnsi"/>
                <w:lang w:val="fr-FR"/>
              </w:rPr>
              <w:t>d</w:t>
            </w:r>
            <w:r w:rsidRPr="00C92E14">
              <w:rPr>
                <w:rFonts w:asciiTheme="majorHAnsi" w:hAnsiTheme="majorHAnsi" w:cstheme="minorHAnsi"/>
                <w:lang w:val="fr-FR"/>
              </w:rPr>
              <w:t>es laboratoire</w:t>
            </w:r>
            <w:r w:rsidR="00BB2631" w:rsidRPr="00C92E14">
              <w:rPr>
                <w:rFonts w:asciiTheme="majorHAnsi" w:hAnsiTheme="majorHAnsi" w:cstheme="minorHAnsi"/>
                <w:lang w:val="fr-FR"/>
              </w:rPr>
              <w:t>s</w:t>
            </w:r>
            <w:r w:rsidRPr="00C92E14">
              <w:rPr>
                <w:rFonts w:asciiTheme="majorHAnsi" w:hAnsiTheme="majorHAnsi" w:cstheme="minorHAnsi"/>
                <w:lang w:val="fr-FR"/>
              </w:rPr>
              <w:t xml:space="preserve"> du LNRM et de </w:t>
            </w:r>
            <w:r w:rsidR="00BB2631" w:rsidRPr="00C92E14">
              <w:rPr>
                <w:rFonts w:asciiTheme="majorHAnsi" w:hAnsiTheme="majorHAnsi" w:cstheme="minorHAnsi"/>
                <w:lang w:val="fr-FR"/>
              </w:rPr>
              <w:t>L</w:t>
            </w:r>
            <w:r w:rsidRPr="00C92E14">
              <w:rPr>
                <w:rFonts w:asciiTheme="majorHAnsi" w:hAnsiTheme="majorHAnsi" w:cstheme="minorHAnsi"/>
                <w:lang w:val="fr-FR"/>
              </w:rPr>
              <w:t>NSP.</w:t>
            </w:r>
          </w:p>
          <w:p w14:paraId="1A826963" w14:textId="234F9DBB" w:rsidR="00AC36AC" w:rsidRPr="00C92E14" w:rsidRDefault="00AC36AC" w:rsidP="00C92E14">
            <w:pPr>
              <w:pStyle w:val="Paragraphedeliste"/>
              <w:numPr>
                <w:ilvl w:val="0"/>
                <w:numId w:val="3"/>
              </w:numPr>
              <w:spacing w:before="120" w:after="120"/>
              <w:contextualSpacing w:val="0"/>
              <w:rPr>
                <w:rFonts w:asciiTheme="majorHAnsi" w:hAnsiTheme="majorHAnsi" w:cstheme="minorHAnsi"/>
                <w:lang w:val="fr-FR"/>
              </w:rPr>
            </w:pPr>
            <w:r w:rsidRPr="00C92E14">
              <w:rPr>
                <w:rFonts w:asciiTheme="majorHAnsi" w:hAnsiTheme="majorHAnsi" w:cstheme="minorHAnsi"/>
                <w:lang w:val="fr-FR"/>
              </w:rPr>
              <w:t xml:space="preserve">Acheter 20 machines Gene </w:t>
            </w:r>
            <w:proofErr w:type="spellStart"/>
            <w:r w:rsidRPr="00C92E14">
              <w:rPr>
                <w:rFonts w:asciiTheme="majorHAnsi" w:hAnsiTheme="majorHAnsi" w:cstheme="minorHAnsi"/>
                <w:lang w:val="fr-FR"/>
              </w:rPr>
              <w:t>Xpert</w:t>
            </w:r>
            <w:proofErr w:type="spellEnd"/>
            <w:r w:rsidRPr="00C92E14">
              <w:rPr>
                <w:rFonts w:asciiTheme="majorHAnsi" w:hAnsiTheme="majorHAnsi" w:cstheme="minorHAnsi"/>
                <w:lang w:val="fr-FR"/>
              </w:rPr>
              <w:t xml:space="preserve"> pour le programme TB/VIH (charges Virale et TB) y compris onduleurs, laptops pour</w:t>
            </w:r>
            <w:r w:rsidR="00020BCD">
              <w:rPr>
                <w:rFonts w:asciiTheme="majorHAnsi" w:hAnsiTheme="majorHAnsi" w:cstheme="minorHAnsi"/>
                <w:lang w:val="fr-FR"/>
              </w:rPr>
              <w:t xml:space="preserve"> m</w:t>
            </w:r>
            <w:r w:rsidRPr="00C92E14">
              <w:rPr>
                <w:rFonts w:asciiTheme="majorHAnsi" w:hAnsiTheme="majorHAnsi" w:cstheme="minorHAnsi"/>
                <w:lang w:val="fr-FR"/>
              </w:rPr>
              <w:t xml:space="preserve">achines </w:t>
            </w:r>
            <w:proofErr w:type="spellStart"/>
            <w:r w:rsidRPr="00C92E14">
              <w:rPr>
                <w:rFonts w:asciiTheme="majorHAnsi" w:hAnsiTheme="majorHAnsi" w:cstheme="minorHAnsi"/>
                <w:lang w:val="fr-FR"/>
              </w:rPr>
              <w:t>Xpert</w:t>
            </w:r>
            <w:proofErr w:type="spellEnd"/>
          </w:p>
          <w:p w14:paraId="6413BF84" w14:textId="5982F06E" w:rsidR="001B0DDB" w:rsidRPr="00C92E14" w:rsidRDefault="00724315" w:rsidP="00C92E14">
            <w:pPr>
              <w:pStyle w:val="Paragraphedeliste"/>
              <w:numPr>
                <w:ilvl w:val="0"/>
                <w:numId w:val="3"/>
              </w:numPr>
              <w:spacing w:before="120" w:after="120"/>
              <w:contextualSpacing w:val="0"/>
              <w:rPr>
                <w:rFonts w:asciiTheme="majorHAnsi" w:hAnsiTheme="majorHAnsi" w:cstheme="minorHAnsi"/>
                <w:lang w:val="fr-FR"/>
              </w:rPr>
            </w:pPr>
            <w:r>
              <w:rPr>
                <w:rFonts w:asciiTheme="majorHAnsi" w:hAnsiTheme="majorHAnsi" w:cstheme="minorHAnsi"/>
                <w:lang w:val="fr-FR"/>
              </w:rPr>
              <w:t>Acheter</w:t>
            </w:r>
            <w:r w:rsidR="001B0DDB" w:rsidRPr="00C92E14">
              <w:rPr>
                <w:rFonts w:asciiTheme="majorHAnsi" w:hAnsiTheme="majorHAnsi" w:cstheme="minorHAnsi"/>
                <w:lang w:val="fr-FR"/>
              </w:rPr>
              <w:t xml:space="preserve"> des glacières </w:t>
            </w:r>
            <w:r>
              <w:rPr>
                <w:rFonts w:asciiTheme="majorHAnsi" w:hAnsiTheme="majorHAnsi" w:cstheme="minorHAnsi"/>
                <w:lang w:val="fr-FR"/>
              </w:rPr>
              <w:t xml:space="preserve">et autres matériels </w:t>
            </w:r>
            <w:r w:rsidR="001B0DDB" w:rsidRPr="00C92E14">
              <w:rPr>
                <w:rFonts w:asciiTheme="majorHAnsi" w:hAnsiTheme="majorHAnsi" w:cstheme="minorHAnsi"/>
                <w:lang w:val="fr-FR"/>
              </w:rPr>
              <w:t xml:space="preserve">pour le transport </w:t>
            </w:r>
            <w:r>
              <w:rPr>
                <w:rFonts w:asciiTheme="majorHAnsi" w:hAnsiTheme="majorHAnsi" w:cstheme="minorHAnsi"/>
                <w:lang w:val="fr-FR"/>
              </w:rPr>
              <w:t xml:space="preserve">sécurisé </w:t>
            </w:r>
            <w:r w:rsidR="001B0DDB" w:rsidRPr="00C92E14">
              <w:rPr>
                <w:rFonts w:asciiTheme="majorHAnsi" w:hAnsiTheme="majorHAnsi" w:cstheme="minorHAnsi"/>
                <w:lang w:val="fr-FR"/>
              </w:rPr>
              <w:t xml:space="preserve">des échantillons au niveau </w:t>
            </w:r>
            <w:r w:rsidR="005E4288" w:rsidRPr="00C92E14">
              <w:rPr>
                <w:rFonts w:asciiTheme="majorHAnsi" w:hAnsiTheme="majorHAnsi" w:cstheme="minorHAnsi"/>
                <w:lang w:val="fr-FR"/>
              </w:rPr>
              <w:t>communautaire,</w:t>
            </w:r>
            <w:r w:rsidR="001B0DDB" w:rsidRPr="00C92E14">
              <w:rPr>
                <w:rFonts w:asciiTheme="majorHAnsi" w:hAnsiTheme="majorHAnsi" w:cstheme="minorHAnsi"/>
                <w:lang w:val="fr-FR"/>
              </w:rPr>
              <w:t xml:space="preserve"> CS et district.</w:t>
            </w:r>
          </w:p>
          <w:p w14:paraId="2BB90C4D" w14:textId="77777777" w:rsidR="00D01BED" w:rsidRPr="00C92E14" w:rsidRDefault="000D62B7" w:rsidP="00C92E14">
            <w:pPr>
              <w:spacing w:before="120" w:after="120"/>
              <w:rPr>
                <w:rFonts w:asciiTheme="majorHAnsi" w:hAnsiTheme="majorHAnsi" w:cstheme="minorHAnsi"/>
                <w:b/>
                <w:bCs/>
                <w:lang w:val="fr-FR"/>
              </w:rPr>
            </w:pPr>
            <w:r w:rsidRPr="00C92E14">
              <w:rPr>
                <w:rFonts w:asciiTheme="majorHAnsi" w:hAnsiTheme="majorHAnsi" w:cstheme="minorHAnsi"/>
                <w:b/>
                <w:bCs/>
                <w:lang w:val="fr-FR"/>
              </w:rPr>
              <w:t>Intervention 3 : Systèmes d’information et réseaux intégrés de transports d’échantillons</w:t>
            </w:r>
          </w:p>
          <w:p w14:paraId="2C0D88EF" w14:textId="75B5D395" w:rsidR="00BB2631" w:rsidRDefault="00BB2631" w:rsidP="00D7111F">
            <w:pPr>
              <w:pStyle w:val="Paragraphedeliste"/>
              <w:numPr>
                <w:ilvl w:val="0"/>
                <w:numId w:val="3"/>
              </w:numPr>
              <w:suppressAutoHyphens/>
              <w:autoSpaceDN w:val="0"/>
              <w:spacing w:before="120" w:after="120"/>
              <w:ind w:left="357" w:hanging="357"/>
              <w:contextualSpacing w:val="0"/>
              <w:textAlignment w:val="baseline"/>
              <w:rPr>
                <w:rFonts w:asciiTheme="majorHAnsi" w:hAnsiTheme="majorHAnsi" w:cstheme="minorHAnsi"/>
                <w:lang w:val="fr-FR"/>
              </w:rPr>
            </w:pPr>
            <w:r w:rsidRPr="00C92E14">
              <w:rPr>
                <w:rFonts w:asciiTheme="majorHAnsi" w:hAnsiTheme="majorHAnsi" w:cstheme="minorHAnsi"/>
                <w:lang w:val="fr-FR"/>
              </w:rPr>
              <w:t xml:space="preserve">Réaliser une réunion trimestrielle d’évaluation de la qualité </w:t>
            </w:r>
            <w:r w:rsidR="00724315">
              <w:rPr>
                <w:rFonts w:asciiTheme="majorHAnsi" w:hAnsiTheme="majorHAnsi" w:cstheme="minorHAnsi"/>
                <w:lang w:val="fr-FR"/>
              </w:rPr>
              <w:t xml:space="preserve">et la validation </w:t>
            </w:r>
            <w:r w:rsidRPr="00C92E14">
              <w:rPr>
                <w:rFonts w:asciiTheme="majorHAnsi" w:hAnsiTheme="majorHAnsi" w:cstheme="minorHAnsi"/>
                <w:lang w:val="fr-FR"/>
              </w:rPr>
              <w:t>des données de laboratoires des sites de dépistage du VIH de la TB et du paludisme.</w:t>
            </w:r>
          </w:p>
          <w:p w14:paraId="64BA1FE7" w14:textId="77777777" w:rsidR="003A0017" w:rsidRPr="00137041" w:rsidRDefault="003A0017" w:rsidP="003A0017">
            <w:pPr>
              <w:pStyle w:val="Paragraphedeliste"/>
              <w:numPr>
                <w:ilvl w:val="0"/>
                <w:numId w:val="3"/>
              </w:numPr>
              <w:spacing w:before="120" w:after="120"/>
              <w:ind w:left="357" w:hanging="357"/>
              <w:contextualSpacing w:val="0"/>
              <w:rPr>
                <w:rFonts w:asciiTheme="majorHAnsi" w:hAnsiTheme="majorHAnsi" w:cstheme="minorHAnsi"/>
                <w:lang w:val="fr-FR"/>
              </w:rPr>
            </w:pPr>
            <w:r w:rsidRPr="00137041">
              <w:rPr>
                <w:rFonts w:asciiTheme="majorHAnsi" w:hAnsiTheme="majorHAnsi" w:cstheme="minorHAnsi"/>
                <w:lang w:val="fr-FR"/>
              </w:rPr>
              <w:t>Former le personnel de laboratoire VIH, TB, Palu à la gestion</w:t>
            </w:r>
            <w:r>
              <w:rPr>
                <w:rFonts w:asciiTheme="majorHAnsi" w:hAnsiTheme="majorHAnsi" w:cstheme="minorHAnsi"/>
                <w:lang w:val="fr-FR"/>
              </w:rPr>
              <w:t xml:space="preserve"> </w:t>
            </w:r>
            <w:r w:rsidRPr="00137041">
              <w:rPr>
                <w:rFonts w:asciiTheme="majorHAnsi" w:hAnsiTheme="majorHAnsi" w:cstheme="minorHAnsi"/>
                <w:lang w:val="fr-FR"/>
              </w:rPr>
              <w:t>des données de laboratoire</w:t>
            </w:r>
          </w:p>
          <w:p w14:paraId="77E625F2" w14:textId="77777777" w:rsidR="003A0017" w:rsidRPr="00137041" w:rsidRDefault="003A0017" w:rsidP="003A0017">
            <w:pPr>
              <w:pStyle w:val="Paragraphedeliste"/>
              <w:numPr>
                <w:ilvl w:val="0"/>
                <w:numId w:val="3"/>
              </w:numPr>
              <w:spacing w:before="120" w:after="120"/>
              <w:ind w:left="357" w:hanging="357"/>
              <w:contextualSpacing w:val="0"/>
              <w:rPr>
                <w:rFonts w:asciiTheme="majorHAnsi" w:hAnsiTheme="majorHAnsi" w:cstheme="minorHAnsi"/>
                <w:lang w:val="fr-FR"/>
              </w:rPr>
            </w:pPr>
            <w:r>
              <w:rPr>
                <w:rFonts w:asciiTheme="majorHAnsi" w:hAnsiTheme="majorHAnsi" w:cstheme="minorHAnsi"/>
                <w:lang w:val="fr-FR"/>
              </w:rPr>
              <w:t>Reproduire</w:t>
            </w:r>
            <w:r w:rsidRPr="00137041">
              <w:rPr>
                <w:rFonts w:asciiTheme="majorHAnsi" w:hAnsiTheme="majorHAnsi" w:cstheme="minorHAnsi"/>
                <w:lang w:val="fr-FR"/>
              </w:rPr>
              <w:t xml:space="preserve"> et </w:t>
            </w:r>
            <w:r>
              <w:rPr>
                <w:rFonts w:asciiTheme="majorHAnsi" w:hAnsiTheme="majorHAnsi" w:cstheme="minorHAnsi"/>
                <w:lang w:val="fr-FR"/>
              </w:rPr>
              <w:t>diffuser</w:t>
            </w:r>
            <w:r w:rsidRPr="00137041">
              <w:rPr>
                <w:rFonts w:asciiTheme="majorHAnsi" w:hAnsiTheme="majorHAnsi" w:cstheme="minorHAnsi"/>
                <w:lang w:val="fr-FR"/>
              </w:rPr>
              <w:t xml:space="preserve"> </w:t>
            </w:r>
            <w:r>
              <w:rPr>
                <w:rFonts w:asciiTheme="majorHAnsi" w:hAnsiTheme="majorHAnsi" w:cstheme="minorHAnsi"/>
                <w:lang w:val="fr-FR"/>
              </w:rPr>
              <w:t>l</w:t>
            </w:r>
            <w:r w:rsidRPr="00137041">
              <w:rPr>
                <w:rFonts w:asciiTheme="majorHAnsi" w:hAnsiTheme="majorHAnsi" w:cstheme="minorHAnsi"/>
                <w:lang w:val="fr-FR"/>
              </w:rPr>
              <w:t xml:space="preserve">es rapports de </w:t>
            </w:r>
            <w:r>
              <w:rPr>
                <w:rFonts w:asciiTheme="majorHAnsi" w:hAnsiTheme="majorHAnsi" w:cstheme="minorHAnsi"/>
                <w:lang w:val="fr-FR"/>
              </w:rPr>
              <w:t>s</w:t>
            </w:r>
            <w:r w:rsidRPr="00137041">
              <w:rPr>
                <w:rFonts w:asciiTheme="majorHAnsi" w:hAnsiTheme="majorHAnsi" w:cstheme="minorHAnsi"/>
                <w:lang w:val="fr-FR"/>
              </w:rPr>
              <w:t xml:space="preserve">upervision trimestrielle des CDT, </w:t>
            </w:r>
            <w:proofErr w:type="spellStart"/>
            <w:proofErr w:type="gramStart"/>
            <w:r w:rsidRPr="00137041">
              <w:rPr>
                <w:rFonts w:asciiTheme="majorHAnsi" w:hAnsiTheme="majorHAnsi" w:cstheme="minorHAnsi"/>
                <w:lang w:val="fr-FR"/>
              </w:rPr>
              <w:t>CDv</w:t>
            </w:r>
            <w:proofErr w:type="spellEnd"/>
            <w:r w:rsidRPr="00137041">
              <w:rPr>
                <w:rFonts w:asciiTheme="majorHAnsi" w:hAnsiTheme="majorHAnsi" w:cstheme="minorHAnsi"/>
                <w:lang w:val="fr-FR"/>
              </w:rPr>
              <w:t xml:space="preserve"> ,</w:t>
            </w:r>
            <w:proofErr w:type="gramEnd"/>
            <w:r w:rsidRPr="00137041">
              <w:rPr>
                <w:rFonts w:asciiTheme="majorHAnsi" w:hAnsiTheme="majorHAnsi" w:cstheme="minorHAnsi"/>
                <w:lang w:val="fr-FR"/>
              </w:rPr>
              <w:t xml:space="preserve"> sites </w:t>
            </w:r>
            <w:proofErr w:type="spellStart"/>
            <w:r w:rsidRPr="00137041">
              <w:rPr>
                <w:rFonts w:asciiTheme="majorHAnsi" w:hAnsiTheme="majorHAnsi" w:cstheme="minorHAnsi"/>
                <w:lang w:val="fr-FR"/>
              </w:rPr>
              <w:t>Xpert</w:t>
            </w:r>
            <w:proofErr w:type="spellEnd"/>
            <w:r w:rsidRPr="00137041">
              <w:rPr>
                <w:rFonts w:asciiTheme="majorHAnsi" w:hAnsiTheme="majorHAnsi" w:cstheme="minorHAnsi"/>
                <w:lang w:val="fr-FR"/>
              </w:rPr>
              <w:t xml:space="preserve"> et Paludisme.   </w:t>
            </w:r>
          </w:p>
          <w:p w14:paraId="16DAD8C1" w14:textId="534AB304" w:rsidR="003A0017" w:rsidRPr="00C92E14" w:rsidRDefault="003A0017" w:rsidP="00C92E14">
            <w:pPr>
              <w:pStyle w:val="Paragraphedeliste"/>
              <w:numPr>
                <w:ilvl w:val="0"/>
                <w:numId w:val="3"/>
              </w:numPr>
              <w:suppressAutoHyphens/>
              <w:autoSpaceDN w:val="0"/>
              <w:spacing w:before="120" w:after="120"/>
              <w:ind w:left="357" w:hanging="357"/>
              <w:contextualSpacing w:val="0"/>
              <w:textAlignment w:val="baseline"/>
              <w:rPr>
                <w:rFonts w:asciiTheme="majorHAnsi" w:hAnsiTheme="majorHAnsi" w:cstheme="minorHAnsi"/>
                <w:lang w:val="fr-FR"/>
              </w:rPr>
            </w:pPr>
            <w:r>
              <w:rPr>
                <w:rFonts w:asciiTheme="majorHAnsi" w:hAnsiTheme="majorHAnsi" w:cstheme="minorHAnsi"/>
                <w:lang w:val="fr-FR"/>
              </w:rPr>
              <w:t>Reproduire</w:t>
            </w:r>
            <w:r w:rsidRPr="00137041">
              <w:rPr>
                <w:rFonts w:asciiTheme="majorHAnsi" w:hAnsiTheme="majorHAnsi" w:cstheme="minorHAnsi"/>
                <w:lang w:val="fr-FR"/>
              </w:rPr>
              <w:t xml:space="preserve"> et </w:t>
            </w:r>
            <w:r>
              <w:rPr>
                <w:rFonts w:asciiTheme="majorHAnsi" w:hAnsiTheme="majorHAnsi" w:cstheme="minorHAnsi"/>
                <w:lang w:val="fr-FR"/>
              </w:rPr>
              <w:t>diffuser</w:t>
            </w:r>
            <w:r w:rsidRPr="00137041">
              <w:rPr>
                <w:rFonts w:asciiTheme="majorHAnsi" w:hAnsiTheme="majorHAnsi" w:cstheme="minorHAnsi"/>
                <w:lang w:val="fr-FR"/>
              </w:rPr>
              <w:t xml:space="preserve"> </w:t>
            </w:r>
            <w:r>
              <w:rPr>
                <w:rFonts w:asciiTheme="majorHAnsi" w:hAnsiTheme="majorHAnsi" w:cstheme="minorHAnsi"/>
                <w:lang w:val="fr-FR"/>
              </w:rPr>
              <w:t>l</w:t>
            </w:r>
            <w:r w:rsidRPr="00137041">
              <w:rPr>
                <w:rFonts w:asciiTheme="majorHAnsi" w:hAnsiTheme="majorHAnsi" w:cstheme="minorHAnsi"/>
                <w:lang w:val="fr-FR"/>
              </w:rPr>
              <w:t xml:space="preserve">es </w:t>
            </w:r>
            <w:r>
              <w:rPr>
                <w:rFonts w:asciiTheme="majorHAnsi" w:hAnsiTheme="majorHAnsi" w:cstheme="minorHAnsi"/>
                <w:lang w:val="fr-FR"/>
              </w:rPr>
              <w:t xml:space="preserve"> </w:t>
            </w:r>
            <w:r w:rsidRPr="00137041">
              <w:rPr>
                <w:rFonts w:asciiTheme="majorHAnsi" w:hAnsiTheme="majorHAnsi" w:cstheme="minorHAnsi"/>
                <w:lang w:val="fr-FR"/>
              </w:rPr>
              <w:t xml:space="preserve"> rapports de contrôle de qualité des CDT, </w:t>
            </w:r>
            <w:proofErr w:type="gramStart"/>
            <w:r w:rsidRPr="00137041">
              <w:rPr>
                <w:rFonts w:asciiTheme="majorHAnsi" w:hAnsiTheme="majorHAnsi" w:cstheme="minorHAnsi"/>
                <w:lang w:val="fr-FR"/>
              </w:rPr>
              <w:t>CDV ,</w:t>
            </w:r>
            <w:proofErr w:type="gramEnd"/>
            <w:r w:rsidRPr="00137041">
              <w:rPr>
                <w:rFonts w:asciiTheme="majorHAnsi" w:hAnsiTheme="majorHAnsi" w:cstheme="minorHAnsi"/>
                <w:lang w:val="fr-FR"/>
              </w:rPr>
              <w:t xml:space="preserve"> sites </w:t>
            </w:r>
            <w:proofErr w:type="spellStart"/>
            <w:r w:rsidRPr="00137041">
              <w:rPr>
                <w:rFonts w:asciiTheme="majorHAnsi" w:hAnsiTheme="majorHAnsi" w:cstheme="minorHAnsi"/>
                <w:lang w:val="fr-FR"/>
              </w:rPr>
              <w:t>Xpert</w:t>
            </w:r>
            <w:proofErr w:type="spellEnd"/>
            <w:r w:rsidRPr="00137041">
              <w:rPr>
                <w:rFonts w:asciiTheme="majorHAnsi" w:hAnsiTheme="majorHAnsi" w:cstheme="minorHAnsi"/>
                <w:lang w:val="fr-FR"/>
              </w:rPr>
              <w:t xml:space="preserve"> et Paludisme</w:t>
            </w:r>
          </w:p>
          <w:p w14:paraId="7519B638" w14:textId="3358A447" w:rsidR="00D01BED"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Développer un outil de gestion informatisée des données de biologie médicale</w:t>
            </w:r>
          </w:p>
          <w:p w14:paraId="68D85228" w14:textId="14273268" w:rsidR="00682D1B" w:rsidRPr="00C92E14" w:rsidRDefault="000D62B7"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Mettre en place un réseau </w:t>
            </w:r>
            <w:r w:rsidR="003849DE">
              <w:rPr>
                <w:rFonts w:asciiTheme="majorHAnsi" w:hAnsiTheme="majorHAnsi" w:cstheme="minorHAnsi"/>
                <w:lang w:val="fr-FR"/>
              </w:rPr>
              <w:t xml:space="preserve">pilote </w:t>
            </w:r>
            <w:r w:rsidRPr="00C92E14">
              <w:rPr>
                <w:rFonts w:asciiTheme="majorHAnsi" w:hAnsiTheme="majorHAnsi" w:cstheme="minorHAnsi"/>
                <w:lang w:val="fr-FR"/>
              </w:rPr>
              <w:t>intégré de collecte et de transport d’échantillons et de rendu de résultats (TB/VI</w:t>
            </w:r>
            <w:r w:rsidR="00B440DF" w:rsidRPr="00C92E14">
              <w:rPr>
                <w:rFonts w:asciiTheme="majorHAnsi" w:hAnsiTheme="majorHAnsi" w:cstheme="minorHAnsi"/>
                <w:lang w:val="fr-FR"/>
              </w:rPr>
              <w:t>H</w:t>
            </w:r>
            <w:r w:rsidR="001B0DDB" w:rsidRPr="00C92E14">
              <w:rPr>
                <w:rFonts w:asciiTheme="majorHAnsi" w:hAnsiTheme="majorHAnsi" w:cstheme="minorHAnsi"/>
                <w:lang w:val="fr-FR"/>
              </w:rPr>
              <w:t>)</w:t>
            </w:r>
            <w:r w:rsidR="003849DE">
              <w:rPr>
                <w:rFonts w:asciiTheme="majorHAnsi" w:hAnsiTheme="majorHAnsi" w:cstheme="minorHAnsi"/>
                <w:lang w:val="fr-FR"/>
              </w:rPr>
              <w:t xml:space="preserve"> sur 02 régions sur le modèle TB</w:t>
            </w:r>
          </w:p>
          <w:p w14:paraId="0B61D447" w14:textId="1623B365" w:rsidR="00E33465" w:rsidRPr="00C92E14" w:rsidRDefault="0038159A" w:rsidP="00C92E14">
            <w:pPr>
              <w:pStyle w:val="Paragraphedeliste"/>
              <w:spacing w:before="120" w:after="120"/>
              <w:ind w:left="357"/>
              <w:contextualSpacing w:val="0"/>
              <w:rPr>
                <w:rFonts w:asciiTheme="majorHAnsi" w:hAnsiTheme="majorHAnsi" w:cstheme="minorHAnsi"/>
                <w:lang w:val="fr-FR"/>
              </w:rPr>
            </w:pPr>
            <w:r w:rsidRPr="00C92E14">
              <w:rPr>
                <w:rFonts w:asciiTheme="majorHAnsi" w:hAnsiTheme="majorHAnsi" w:cstheme="minorHAnsi"/>
                <w:lang w:val="fr-FR"/>
              </w:rPr>
              <w:t xml:space="preserve"> </w:t>
            </w:r>
            <w:r w:rsidR="00E33465" w:rsidRPr="00C92E14">
              <w:rPr>
                <w:rFonts w:asciiTheme="majorHAnsi" w:hAnsiTheme="majorHAnsi"/>
                <w:b/>
                <w:lang w:val="fr-FR"/>
              </w:rPr>
              <w:t>Intervention 4 : Appliquer le système d’assurance de la qualité dans les services de Biologie médicale dans tous les domaines et à tous les niveaux spécialement les laboratoires TB/ VIH/Palu</w:t>
            </w:r>
          </w:p>
          <w:p w14:paraId="45FF3355" w14:textId="72A5D6B8" w:rsidR="00BB2631" w:rsidRPr="00C92E14" w:rsidRDefault="0038159A" w:rsidP="00C92E14">
            <w:pPr>
              <w:pStyle w:val="Paragraphedeliste"/>
              <w:numPr>
                <w:ilvl w:val="0"/>
                <w:numId w:val="3"/>
              </w:numPr>
              <w:spacing w:before="120" w:after="120"/>
              <w:ind w:left="357" w:hanging="357"/>
              <w:contextualSpacing w:val="0"/>
              <w:rPr>
                <w:rFonts w:asciiTheme="majorHAnsi" w:hAnsiTheme="majorHAnsi" w:cstheme="minorHAnsi"/>
                <w:lang w:val="fr-FR"/>
              </w:rPr>
            </w:pPr>
            <w:r>
              <w:rPr>
                <w:rFonts w:asciiTheme="majorHAnsi" w:hAnsiTheme="majorHAnsi" w:cstheme="minorHAnsi"/>
                <w:lang w:val="fr-FR"/>
              </w:rPr>
              <w:t xml:space="preserve">Réaliser un audit du </w:t>
            </w:r>
            <w:r w:rsidR="00BB2631" w:rsidRPr="00C92E14">
              <w:rPr>
                <w:rFonts w:asciiTheme="majorHAnsi" w:hAnsiTheme="majorHAnsi" w:cstheme="minorHAnsi"/>
                <w:lang w:val="fr-FR"/>
              </w:rPr>
              <w:t>LNRM</w:t>
            </w:r>
            <w:r>
              <w:rPr>
                <w:rFonts w:asciiTheme="majorHAnsi" w:hAnsiTheme="majorHAnsi" w:cstheme="minorHAnsi"/>
                <w:lang w:val="fr-FR"/>
              </w:rPr>
              <w:t xml:space="preserve"> et du</w:t>
            </w:r>
            <w:r w:rsidR="00BB2631" w:rsidRPr="00C92E14">
              <w:rPr>
                <w:rFonts w:asciiTheme="majorHAnsi" w:hAnsiTheme="majorHAnsi" w:cstheme="minorHAnsi"/>
                <w:lang w:val="fr-FR"/>
              </w:rPr>
              <w:t xml:space="preserve"> LNSP dans le processus d’accréditation </w:t>
            </w:r>
            <w:r>
              <w:rPr>
                <w:rFonts w:asciiTheme="majorHAnsi" w:hAnsiTheme="majorHAnsi" w:cstheme="minorHAnsi"/>
                <w:lang w:val="fr-FR"/>
              </w:rPr>
              <w:t xml:space="preserve"> </w:t>
            </w:r>
            <w:r w:rsidR="00BB2631" w:rsidRPr="00C92E14">
              <w:rPr>
                <w:rFonts w:asciiTheme="majorHAnsi" w:hAnsiTheme="majorHAnsi" w:cstheme="minorHAnsi"/>
                <w:lang w:val="fr-FR"/>
              </w:rPr>
              <w:t xml:space="preserve"> SLMTA</w:t>
            </w:r>
            <w:r>
              <w:rPr>
                <w:rFonts w:asciiTheme="majorHAnsi" w:hAnsiTheme="majorHAnsi" w:cstheme="minorHAnsi"/>
                <w:lang w:val="fr-FR"/>
              </w:rPr>
              <w:t xml:space="preserve"> selon la norme ISO 15189</w:t>
            </w:r>
          </w:p>
          <w:p w14:paraId="6A61273B" w14:textId="08CD9D2B" w:rsidR="00BB2631" w:rsidRPr="00C92E14" w:rsidRDefault="00BB2631"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Organiser de</w:t>
            </w:r>
            <w:r w:rsidR="0038159A">
              <w:rPr>
                <w:rFonts w:asciiTheme="majorHAnsi" w:hAnsiTheme="majorHAnsi" w:cstheme="minorHAnsi"/>
                <w:lang w:val="fr-FR"/>
              </w:rPr>
              <w:t xml:space="preserve">s ateliers régionaux de vulgarisation </w:t>
            </w:r>
            <w:r w:rsidRPr="00C92E14">
              <w:rPr>
                <w:rFonts w:asciiTheme="majorHAnsi" w:hAnsiTheme="majorHAnsi" w:cstheme="minorHAnsi"/>
                <w:lang w:val="fr-FR"/>
              </w:rPr>
              <w:t>du plan national qualité</w:t>
            </w:r>
          </w:p>
          <w:p w14:paraId="431963D0" w14:textId="1CC5600A" w:rsidR="00E33465" w:rsidRPr="00C92E14" w:rsidRDefault="00E33465"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Renforcer la capacité des </w:t>
            </w:r>
            <w:r w:rsidR="00983C86">
              <w:rPr>
                <w:rFonts w:asciiTheme="majorHAnsi" w:hAnsiTheme="majorHAnsi" w:cstheme="minorHAnsi"/>
                <w:lang w:val="fr-FR"/>
              </w:rPr>
              <w:t xml:space="preserve">acteurs de </w:t>
            </w:r>
            <w:r w:rsidRPr="00C92E14">
              <w:rPr>
                <w:rFonts w:asciiTheme="majorHAnsi" w:hAnsiTheme="majorHAnsi" w:cstheme="minorHAnsi"/>
                <w:lang w:val="fr-FR"/>
              </w:rPr>
              <w:t>laboratoires pour l’utilisation des résultats de laboratoire dans le cadre de la qualité du traitement et de la surveillance des maladies (TB, VIH, Paludisme et autres)</w:t>
            </w:r>
          </w:p>
          <w:p w14:paraId="4016E8FF" w14:textId="32077F8C" w:rsidR="00E33465" w:rsidRPr="00C92E14" w:rsidRDefault="00E33465"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Mettre en place un système </w:t>
            </w:r>
            <w:proofErr w:type="gramStart"/>
            <w:r w:rsidRPr="00C92E14">
              <w:rPr>
                <w:rFonts w:asciiTheme="majorHAnsi" w:hAnsiTheme="majorHAnsi" w:cstheme="minorHAnsi"/>
                <w:lang w:val="fr-FR"/>
              </w:rPr>
              <w:t>d’évaluation  externe</w:t>
            </w:r>
            <w:proofErr w:type="gramEnd"/>
            <w:r w:rsidRPr="00C92E14">
              <w:rPr>
                <w:rFonts w:asciiTheme="majorHAnsi" w:hAnsiTheme="majorHAnsi" w:cstheme="minorHAnsi"/>
                <w:lang w:val="fr-FR"/>
              </w:rPr>
              <w:t xml:space="preserve"> de la qualité </w:t>
            </w:r>
            <w:r w:rsidR="00983C86" w:rsidRPr="00314A69">
              <w:rPr>
                <w:rFonts w:asciiTheme="majorHAnsi" w:hAnsiTheme="majorHAnsi" w:cstheme="minorHAnsi"/>
                <w:lang w:val="fr-FR"/>
              </w:rPr>
              <w:t>trimestrielle</w:t>
            </w:r>
            <w:r w:rsidR="00983C86" w:rsidRPr="00C92E14">
              <w:rPr>
                <w:rFonts w:asciiTheme="majorHAnsi" w:hAnsiTheme="majorHAnsi" w:cstheme="minorHAnsi"/>
                <w:lang w:val="fr-FR"/>
              </w:rPr>
              <w:t xml:space="preserve"> </w:t>
            </w:r>
            <w:r w:rsidRPr="00C92E14">
              <w:rPr>
                <w:rFonts w:asciiTheme="majorHAnsi" w:hAnsiTheme="majorHAnsi" w:cstheme="minorHAnsi"/>
                <w:lang w:val="fr-FR"/>
              </w:rPr>
              <w:t xml:space="preserve">dans les laboratoires </w:t>
            </w:r>
            <w:r w:rsidR="00983C86">
              <w:rPr>
                <w:rFonts w:asciiTheme="majorHAnsi" w:hAnsiTheme="majorHAnsi" w:cstheme="minorHAnsi"/>
                <w:lang w:val="fr-FR"/>
              </w:rPr>
              <w:t xml:space="preserve">(public et privé) </w:t>
            </w:r>
            <w:r w:rsidRPr="00C92E14">
              <w:rPr>
                <w:rFonts w:asciiTheme="majorHAnsi" w:hAnsiTheme="majorHAnsi" w:cstheme="minorHAnsi"/>
                <w:lang w:val="fr-FR"/>
              </w:rPr>
              <w:t>de charge virale, TB et Palu (contrôle de qualité incluant les nouveaux lots de réactifs</w:t>
            </w:r>
            <w:r w:rsidR="001F31C0" w:rsidRPr="00C92E14">
              <w:rPr>
                <w:rFonts w:asciiTheme="majorHAnsi" w:hAnsiTheme="majorHAnsi" w:cstheme="minorHAnsi"/>
                <w:lang w:val="fr-FR"/>
              </w:rPr>
              <w:t>, lames, milieux de culture</w:t>
            </w:r>
            <w:r w:rsidRPr="00C92E14">
              <w:rPr>
                <w:rFonts w:asciiTheme="majorHAnsi" w:hAnsiTheme="majorHAnsi" w:cstheme="minorHAnsi"/>
                <w:lang w:val="fr-FR"/>
              </w:rPr>
              <w:t xml:space="preserve"> avant leur utilisation) </w:t>
            </w:r>
          </w:p>
          <w:p w14:paraId="36D2A75A" w14:textId="4F1ADCD4" w:rsidR="00DF1EBC" w:rsidRDefault="00F25AE8" w:rsidP="00D7111F">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Contrôles de qualité de chaque </w:t>
            </w:r>
            <w:r w:rsidR="00983C86" w:rsidRPr="00C92E14">
              <w:rPr>
                <w:rFonts w:asciiTheme="majorHAnsi" w:hAnsiTheme="majorHAnsi" w:cstheme="minorHAnsi"/>
                <w:lang w:val="fr-FR"/>
              </w:rPr>
              <w:t>CDT CDV</w:t>
            </w:r>
            <w:r w:rsidR="00983C86">
              <w:rPr>
                <w:rFonts w:asciiTheme="majorHAnsi" w:hAnsiTheme="majorHAnsi" w:cstheme="minorHAnsi"/>
                <w:lang w:val="fr-FR"/>
              </w:rPr>
              <w:t xml:space="preserve">, </w:t>
            </w:r>
            <w:r w:rsidRPr="00C92E14">
              <w:rPr>
                <w:rFonts w:asciiTheme="majorHAnsi" w:hAnsiTheme="majorHAnsi" w:cstheme="minorHAnsi"/>
                <w:lang w:val="fr-FR"/>
              </w:rPr>
              <w:t xml:space="preserve">labo des CS une fois par trimestre par les </w:t>
            </w:r>
            <w:r w:rsidR="007B67E3">
              <w:rPr>
                <w:rFonts w:asciiTheme="majorHAnsi" w:hAnsiTheme="majorHAnsi" w:cstheme="minorHAnsi"/>
                <w:lang w:val="fr-FR"/>
              </w:rPr>
              <w:t xml:space="preserve">responsables </w:t>
            </w:r>
            <w:r w:rsidRPr="00C92E14">
              <w:rPr>
                <w:rFonts w:asciiTheme="majorHAnsi" w:hAnsiTheme="majorHAnsi" w:cstheme="minorHAnsi"/>
                <w:lang w:val="fr-FR"/>
              </w:rPr>
              <w:t>région</w:t>
            </w:r>
            <w:r w:rsidR="007B67E3">
              <w:rPr>
                <w:rFonts w:asciiTheme="majorHAnsi" w:hAnsiTheme="majorHAnsi" w:cstheme="minorHAnsi"/>
                <w:lang w:val="fr-FR"/>
              </w:rPr>
              <w:t>aux de laboratoire</w:t>
            </w:r>
            <w:r w:rsidRPr="00C92E14">
              <w:rPr>
                <w:rFonts w:asciiTheme="majorHAnsi" w:hAnsiTheme="majorHAnsi" w:cstheme="minorHAnsi"/>
                <w:lang w:val="fr-FR"/>
              </w:rPr>
              <w:t xml:space="preserve"> </w:t>
            </w:r>
            <w:r w:rsidR="007B67E3">
              <w:rPr>
                <w:rFonts w:asciiTheme="majorHAnsi" w:hAnsiTheme="majorHAnsi" w:cstheme="minorHAnsi"/>
                <w:lang w:val="fr-FR"/>
              </w:rPr>
              <w:t xml:space="preserve"> </w:t>
            </w:r>
          </w:p>
          <w:p w14:paraId="49F54E96" w14:textId="54969CFD" w:rsidR="00E33465" w:rsidRPr="00C92E14" w:rsidRDefault="00F25AE8" w:rsidP="00C92E14">
            <w:pPr>
              <w:pStyle w:val="Paragraphedeliste"/>
              <w:numPr>
                <w:ilvl w:val="0"/>
                <w:numId w:val="3"/>
              </w:numPr>
              <w:spacing w:before="120" w:after="120"/>
              <w:ind w:left="357" w:hanging="357"/>
              <w:contextualSpacing w:val="0"/>
              <w:rPr>
                <w:rFonts w:asciiTheme="majorHAnsi" w:hAnsiTheme="majorHAnsi" w:cstheme="minorHAnsi"/>
                <w:lang w:val="fr-FR"/>
              </w:rPr>
            </w:pPr>
            <w:r w:rsidRPr="00C92E14">
              <w:rPr>
                <w:rFonts w:asciiTheme="majorHAnsi" w:hAnsiTheme="majorHAnsi" w:cstheme="minorHAnsi"/>
                <w:lang w:val="fr-FR"/>
              </w:rPr>
              <w:t xml:space="preserve"> </w:t>
            </w:r>
            <w:r w:rsidR="00DF1EBC" w:rsidRPr="00C92E14">
              <w:rPr>
                <w:rFonts w:asciiTheme="majorHAnsi" w:hAnsiTheme="majorHAnsi" w:cstheme="minorHAnsi"/>
                <w:lang w:val="fr-FR"/>
              </w:rPr>
              <w:t xml:space="preserve">Contrôles de qualité de chaque région et des sites </w:t>
            </w:r>
            <w:proofErr w:type="spellStart"/>
            <w:r w:rsidR="00DF1EBC" w:rsidRPr="00C92E14">
              <w:rPr>
                <w:rFonts w:asciiTheme="majorHAnsi" w:hAnsiTheme="majorHAnsi" w:cstheme="minorHAnsi"/>
                <w:lang w:val="fr-FR"/>
              </w:rPr>
              <w:t>Xpert</w:t>
            </w:r>
            <w:proofErr w:type="spellEnd"/>
            <w:r w:rsidR="00DF1EBC" w:rsidRPr="00C92E14">
              <w:rPr>
                <w:rFonts w:asciiTheme="majorHAnsi" w:hAnsiTheme="majorHAnsi" w:cstheme="minorHAnsi"/>
                <w:lang w:val="fr-FR"/>
              </w:rPr>
              <w:t xml:space="preserve"> et labo de culture, laboratoires régionaux </w:t>
            </w:r>
            <w:r w:rsidRPr="00C92E14">
              <w:rPr>
                <w:rFonts w:asciiTheme="majorHAnsi" w:hAnsiTheme="majorHAnsi" w:cstheme="minorHAnsi"/>
                <w:lang w:val="fr-FR"/>
              </w:rPr>
              <w:t>par semestre par les laboratoires de référence en collaboration avec la DNL et les</w:t>
            </w:r>
            <w:r w:rsidR="00D7111F" w:rsidRPr="00C92E14">
              <w:rPr>
                <w:rFonts w:asciiTheme="majorHAnsi" w:hAnsiTheme="majorHAnsi" w:cstheme="minorHAnsi"/>
                <w:lang w:val="fr-FR"/>
              </w:rPr>
              <w:t xml:space="preserve"> </w:t>
            </w:r>
            <w:r w:rsidRPr="00C92E14">
              <w:rPr>
                <w:rFonts w:asciiTheme="majorHAnsi" w:hAnsiTheme="majorHAnsi" w:cstheme="minorHAnsi"/>
                <w:lang w:val="fr-FR"/>
              </w:rPr>
              <w:t>programmes.</w:t>
            </w:r>
          </w:p>
          <w:p w14:paraId="0742BC89" w14:textId="56055FC9" w:rsidR="00983C86" w:rsidRPr="00C92E14" w:rsidRDefault="00983C86" w:rsidP="00D7111F">
            <w:pPr>
              <w:pStyle w:val="Paragraphedeliste"/>
              <w:numPr>
                <w:ilvl w:val="0"/>
                <w:numId w:val="3"/>
              </w:numPr>
              <w:spacing w:before="120" w:after="120"/>
              <w:ind w:left="357" w:hanging="357"/>
              <w:contextualSpacing w:val="0"/>
              <w:rPr>
                <w:rFonts w:asciiTheme="majorHAnsi" w:hAnsiTheme="majorHAnsi" w:cs="Arial"/>
                <w:color w:val="1D2228"/>
                <w:lang w:val="fr-FR"/>
              </w:rPr>
            </w:pPr>
            <w:r>
              <w:rPr>
                <w:rFonts w:asciiTheme="majorHAnsi" w:hAnsiTheme="majorHAnsi" w:cstheme="minorHAnsi"/>
                <w:lang w:val="fr-FR"/>
              </w:rPr>
              <w:t>Organiser un forum national annuel de partage de connaissances et de bonnes pratiques en matière de biologie médicale</w:t>
            </w:r>
          </w:p>
          <w:p w14:paraId="25468E52" w14:textId="62B2829B" w:rsidR="00983C86" w:rsidRPr="00C92E14" w:rsidRDefault="00983C86" w:rsidP="00C92E14">
            <w:pPr>
              <w:pStyle w:val="Paragraphedeliste"/>
              <w:numPr>
                <w:ilvl w:val="0"/>
                <w:numId w:val="3"/>
              </w:numPr>
              <w:spacing w:before="120" w:after="120"/>
              <w:ind w:left="357" w:hanging="357"/>
              <w:contextualSpacing w:val="0"/>
              <w:rPr>
                <w:rFonts w:asciiTheme="majorHAnsi" w:hAnsiTheme="majorHAnsi" w:cs="Arial"/>
                <w:color w:val="1D2228"/>
                <w:lang w:val="fr-FR"/>
              </w:rPr>
            </w:pPr>
            <w:r>
              <w:rPr>
                <w:rFonts w:asciiTheme="majorHAnsi" w:hAnsiTheme="majorHAnsi" w:cs="Arial"/>
                <w:color w:val="1D2228"/>
                <w:lang w:val="fr-FR"/>
              </w:rPr>
              <w:t>Participer aux journées du forum international de biologie en Afrique (FIBA)</w:t>
            </w:r>
          </w:p>
          <w:p w14:paraId="12807D19" w14:textId="77777777" w:rsidR="00D01BED" w:rsidRPr="00C92E14" w:rsidRDefault="00D01BED" w:rsidP="00C92E14">
            <w:pPr>
              <w:pStyle w:val="Paragraphedeliste"/>
              <w:widowControl w:val="0"/>
              <w:tabs>
                <w:tab w:val="left" w:pos="7088"/>
              </w:tabs>
              <w:spacing w:before="120" w:after="120"/>
              <w:ind w:left="812"/>
              <w:rPr>
                <w:rFonts w:asciiTheme="majorHAnsi" w:hAnsiTheme="majorHAnsi" w:cstheme="minorHAnsi"/>
                <w:lang w:val="fr-FR"/>
              </w:rPr>
            </w:pPr>
          </w:p>
        </w:tc>
      </w:tr>
      <w:tr w:rsidR="000D62B7" w:rsidRPr="00B75C61" w14:paraId="2D978E11" w14:textId="77777777" w:rsidTr="00682D1B">
        <w:trPr>
          <w:trHeight w:val="288"/>
        </w:trPr>
        <w:tc>
          <w:tcPr>
            <w:tcW w:w="1908" w:type="pct"/>
            <w:shd w:val="clear" w:color="auto" w:fill="DAEEF3" w:themeFill="accent5" w:themeFillTint="33"/>
          </w:tcPr>
          <w:p w14:paraId="098B9398"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rPr>
            </w:pPr>
            <w:r w:rsidRPr="00B75C61">
              <w:rPr>
                <w:rFonts w:ascii="Times New Roman" w:eastAsia="Arial" w:hAnsi="Times New Roman" w:cs="Times New Roman"/>
                <w:b/>
                <w:sz w:val="24"/>
                <w:szCs w:val="24"/>
                <w:lang w:val="fr-FR" w:bidi="fr-FR"/>
              </w:rPr>
              <w:lastRenderedPageBreak/>
              <w:t>Populations prioritaires</w:t>
            </w:r>
          </w:p>
        </w:tc>
        <w:tc>
          <w:tcPr>
            <w:tcW w:w="3092" w:type="pct"/>
            <w:shd w:val="clear" w:color="auto" w:fill="DAEEF3" w:themeFill="accent5" w:themeFillTint="33"/>
          </w:tcPr>
          <w:p w14:paraId="4AA9F64D"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lang w:val="fr-FR"/>
              </w:rPr>
              <w:t>Pour une optimisation des ressources, nous avons défini les différentes populations et zones prioritaires :</w:t>
            </w:r>
          </w:p>
          <w:p w14:paraId="755AB7C5" w14:textId="77777777" w:rsidR="000D62B7" w:rsidRPr="00C92E14" w:rsidRDefault="000D62B7" w:rsidP="000D62B7">
            <w:pPr>
              <w:pStyle w:val="Paragraphedeliste"/>
              <w:numPr>
                <w:ilvl w:val="0"/>
                <w:numId w:val="4"/>
              </w:numPr>
              <w:rPr>
                <w:rFonts w:asciiTheme="majorHAnsi" w:hAnsiTheme="majorHAnsi" w:cstheme="minorHAnsi"/>
                <w:lang w:val="fr-FR"/>
              </w:rPr>
            </w:pPr>
            <w:r w:rsidRPr="00C92E14">
              <w:rPr>
                <w:rFonts w:asciiTheme="majorHAnsi" w:hAnsiTheme="majorHAnsi" w:cstheme="minorHAnsi"/>
                <w:lang w:val="fr-FR"/>
              </w:rPr>
              <w:t>Techniciens de laboratoire insuffisant (2% du personnel de la santé)</w:t>
            </w:r>
          </w:p>
          <w:p w14:paraId="3448EB91" w14:textId="40C00CE2" w:rsidR="000D62B7" w:rsidRPr="00C92E14" w:rsidRDefault="000D62B7" w:rsidP="000D62B7">
            <w:pPr>
              <w:pStyle w:val="Paragraphedeliste"/>
              <w:numPr>
                <w:ilvl w:val="0"/>
                <w:numId w:val="4"/>
              </w:numPr>
              <w:rPr>
                <w:rFonts w:asciiTheme="majorHAnsi" w:hAnsiTheme="majorHAnsi" w:cstheme="minorHAnsi"/>
                <w:lang w:val="fr-FR"/>
              </w:rPr>
            </w:pPr>
            <w:r w:rsidRPr="00C92E14">
              <w:rPr>
                <w:rFonts w:asciiTheme="majorHAnsi" w:hAnsiTheme="majorHAnsi" w:cstheme="minorHAnsi"/>
                <w:lang w:val="fr-FR"/>
              </w:rPr>
              <w:t xml:space="preserve">Patients cas présumés de tuberculose et suspect TBMR/TBUR et PVVIH, Les personnes privés de liberté, enfants, contact TB, diabétiques, transporteurs, les miniers, </w:t>
            </w:r>
            <w:r w:rsidR="00D7111F" w:rsidRPr="00C92E14">
              <w:rPr>
                <w:rFonts w:asciiTheme="majorHAnsi" w:hAnsiTheme="majorHAnsi" w:cstheme="minorHAnsi"/>
                <w:lang w:val="fr-FR"/>
              </w:rPr>
              <w:t>débarcadères,</w:t>
            </w:r>
            <w:r w:rsidR="00D7111F">
              <w:rPr>
                <w:rFonts w:asciiTheme="majorHAnsi" w:hAnsiTheme="majorHAnsi" w:cstheme="minorHAnsi"/>
                <w:lang w:val="fr-FR"/>
              </w:rPr>
              <w:t xml:space="preserve"> </w:t>
            </w:r>
            <w:r w:rsidRPr="00C92E14">
              <w:rPr>
                <w:rFonts w:asciiTheme="majorHAnsi" w:hAnsiTheme="majorHAnsi" w:cstheme="minorHAnsi"/>
                <w:lang w:val="fr-FR"/>
              </w:rPr>
              <w:t>les PS, HSH, PTME</w:t>
            </w:r>
          </w:p>
          <w:p w14:paraId="6C81DBD6" w14:textId="77777777" w:rsidR="000D62B7" w:rsidRPr="00C92E14" w:rsidRDefault="000D62B7" w:rsidP="000D62B7">
            <w:pPr>
              <w:pStyle w:val="Paragraphedeliste"/>
              <w:ind w:left="360"/>
              <w:rPr>
                <w:rFonts w:asciiTheme="majorHAnsi" w:hAnsiTheme="majorHAnsi" w:cstheme="minorHAnsi"/>
                <w:lang w:val="fr-FR"/>
              </w:rPr>
            </w:pPr>
          </w:p>
          <w:p w14:paraId="4CDB897E" w14:textId="77777777" w:rsidR="000D62B7" w:rsidRPr="00C92E14" w:rsidRDefault="000D62B7" w:rsidP="000D62B7">
            <w:pPr>
              <w:pStyle w:val="Paragraphedeliste"/>
              <w:numPr>
                <w:ilvl w:val="0"/>
                <w:numId w:val="4"/>
              </w:numPr>
              <w:rPr>
                <w:rFonts w:asciiTheme="majorHAnsi" w:hAnsiTheme="majorHAnsi" w:cstheme="minorHAnsi"/>
                <w:lang w:val="fr-FR"/>
              </w:rPr>
            </w:pPr>
            <w:r w:rsidRPr="00C92E14">
              <w:rPr>
                <w:rFonts w:asciiTheme="majorHAnsi" w:hAnsiTheme="majorHAnsi" w:cstheme="minorHAnsi"/>
                <w:lang w:val="fr-FR"/>
              </w:rPr>
              <w:t>Les zones prioritaires d’extension de la mise en place des appareils à charge virale (</w:t>
            </w:r>
            <w:proofErr w:type="spellStart"/>
            <w:r w:rsidRPr="00C92E14">
              <w:rPr>
                <w:rFonts w:asciiTheme="majorHAnsi" w:hAnsiTheme="majorHAnsi" w:cstheme="minorHAnsi"/>
                <w:lang w:val="fr-FR"/>
              </w:rPr>
              <w:t>GeneXpert</w:t>
            </w:r>
            <w:proofErr w:type="spellEnd"/>
            <w:r w:rsidRPr="00C92E14">
              <w:rPr>
                <w:rFonts w:asciiTheme="majorHAnsi" w:hAnsiTheme="majorHAnsi" w:cstheme="minorHAnsi"/>
                <w:lang w:val="fr-FR"/>
              </w:rPr>
              <w:t xml:space="preserve">) : Kindia, Boké, Mamou, et les CDT abritant les Gene </w:t>
            </w:r>
            <w:proofErr w:type="spellStart"/>
            <w:r w:rsidRPr="00C92E14">
              <w:rPr>
                <w:rFonts w:asciiTheme="majorHAnsi" w:hAnsiTheme="majorHAnsi" w:cstheme="minorHAnsi"/>
                <w:lang w:val="fr-FR"/>
              </w:rPr>
              <w:t>Xpert</w:t>
            </w:r>
            <w:proofErr w:type="spellEnd"/>
          </w:p>
          <w:p w14:paraId="1D367E38" w14:textId="77777777" w:rsidR="000D62B7" w:rsidRPr="00C92E14" w:rsidRDefault="000D62B7" w:rsidP="000D62B7">
            <w:pPr>
              <w:pStyle w:val="Paragraphedeliste"/>
              <w:numPr>
                <w:ilvl w:val="0"/>
                <w:numId w:val="4"/>
              </w:numPr>
              <w:rPr>
                <w:rFonts w:asciiTheme="majorHAnsi" w:hAnsiTheme="majorHAnsi" w:cstheme="minorHAnsi"/>
                <w:highlight w:val="yellow"/>
                <w:lang w:val="fr-FR"/>
              </w:rPr>
            </w:pPr>
            <w:r w:rsidRPr="00C92E14">
              <w:rPr>
                <w:rFonts w:asciiTheme="majorHAnsi" w:hAnsiTheme="majorHAnsi" w:cstheme="minorHAnsi"/>
                <w:lang w:val="fr-FR"/>
              </w:rPr>
              <w:t>Les zones prioritaires pour la collecte et le transport des échantillons de charges virales avec extension dans tous les CS de l’intérieure du pays</w:t>
            </w:r>
          </w:p>
          <w:p w14:paraId="4E94DCD8" w14:textId="77777777" w:rsidR="000D62B7" w:rsidRPr="00C92E14" w:rsidRDefault="000D62B7" w:rsidP="000D62B7">
            <w:pPr>
              <w:rPr>
                <w:rFonts w:asciiTheme="majorHAnsi" w:hAnsiTheme="majorHAnsi" w:cstheme="minorHAnsi"/>
                <w:highlight w:val="yellow"/>
                <w:lang w:val="fr-FR"/>
              </w:rPr>
            </w:pPr>
            <w:r w:rsidRPr="00C92E14">
              <w:rPr>
                <w:rFonts w:asciiTheme="majorHAnsi" w:hAnsiTheme="majorHAnsi" w:cstheme="minorHAnsi"/>
                <w:highlight w:val="yellow"/>
                <w:lang w:val="fr-FR"/>
              </w:rPr>
              <w:t>Carte des équipements TB/VIH</w:t>
            </w:r>
          </w:p>
          <w:p w14:paraId="3FE934A4" w14:textId="77777777" w:rsidR="000D62B7" w:rsidRPr="00C92E14" w:rsidRDefault="000D62B7" w:rsidP="000D62B7">
            <w:pPr>
              <w:rPr>
                <w:rFonts w:asciiTheme="majorHAnsi" w:hAnsiTheme="majorHAnsi" w:cstheme="minorHAnsi"/>
                <w:highlight w:val="yellow"/>
                <w:lang w:val="fr-FR"/>
              </w:rPr>
            </w:pPr>
            <w:r w:rsidRPr="00C92E14">
              <w:rPr>
                <w:rFonts w:asciiTheme="majorHAnsi" w:hAnsiTheme="majorHAnsi" w:cstheme="minorHAnsi"/>
                <w:highlight w:val="yellow"/>
                <w:lang w:val="fr-FR"/>
              </w:rPr>
              <w:t>Zones prioritaires</w:t>
            </w:r>
          </w:p>
          <w:p w14:paraId="7095602D" w14:textId="77777777" w:rsidR="000D62B7" w:rsidRPr="00C92E14" w:rsidRDefault="000D62B7" w:rsidP="000D62B7">
            <w:pPr>
              <w:rPr>
                <w:rFonts w:asciiTheme="majorHAnsi" w:hAnsiTheme="majorHAnsi" w:cstheme="minorHAnsi"/>
              </w:rPr>
            </w:pPr>
            <w:r w:rsidRPr="00C92E14">
              <w:rPr>
                <w:rFonts w:asciiTheme="majorHAnsi" w:hAnsiTheme="majorHAnsi" w:cstheme="minorHAnsi"/>
                <w:highlight w:val="yellow"/>
                <w:lang w:val="fr-FR"/>
              </w:rPr>
              <w:t xml:space="preserve">Cibler les populations prioritaires </w:t>
            </w:r>
          </w:p>
        </w:tc>
      </w:tr>
      <w:tr w:rsidR="000D62B7" w:rsidRPr="00B75C61" w14:paraId="0DCBFB8E" w14:textId="77777777" w:rsidTr="00682D1B">
        <w:trPr>
          <w:trHeight w:val="288"/>
        </w:trPr>
        <w:tc>
          <w:tcPr>
            <w:tcW w:w="1908" w:type="pct"/>
            <w:shd w:val="clear" w:color="auto" w:fill="DAEEF3" w:themeFill="accent5" w:themeFillTint="33"/>
          </w:tcPr>
          <w:p w14:paraId="2A31F56C" w14:textId="77777777" w:rsidR="000D62B7" w:rsidRPr="00B75C61" w:rsidRDefault="000D62B7" w:rsidP="000D62B7">
            <w:pPr>
              <w:tabs>
                <w:tab w:val="left" w:pos="7088"/>
              </w:tabs>
              <w:spacing w:line="240" w:lineRule="atLeast"/>
              <w:rPr>
                <w:rFonts w:ascii="Times New Roman" w:eastAsia="Arial" w:hAnsi="Times New Roman" w:cs="Times New Roman"/>
                <w:b/>
                <w:sz w:val="24"/>
                <w:szCs w:val="24"/>
                <w:lang w:val="fr-FR"/>
              </w:rPr>
            </w:pPr>
            <w:r w:rsidRPr="00B75C61">
              <w:rPr>
                <w:rFonts w:ascii="Times New Roman" w:eastAsia="Arial" w:hAnsi="Times New Roman" w:cs="Times New Roman"/>
                <w:b/>
                <w:sz w:val="24"/>
                <w:szCs w:val="24"/>
                <w:lang w:val="fr-FR" w:bidi="fr-FR"/>
              </w:rPr>
              <w:t>Obstacles et inégalités</w:t>
            </w:r>
          </w:p>
        </w:tc>
        <w:tc>
          <w:tcPr>
            <w:tcW w:w="3092" w:type="pct"/>
            <w:shd w:val="clear" w:color="auto" w:fill="DAEEF3" w:themeFill="accent5" w:themeFillTint="33"/>
          </w:tcPr>
          <w:p w14:paraId="59A10281" w14:textId="77777777" w:rsidR="000D62B7" w:rsidRPr="00C92E14" w:rsidRDefault="000D62B7" w:rsidP="000D62B7">
            <w:pPr>
              <w:pStyle w:val="Default"/>
              <w:rPr>
                <w:rFonts w:asciiTheme="majorHAnsi" w:hAnsiTheme="majorHAnsi"/>
                <w:sz w:val="22"/>
                <w:szCs w:val="22"/>
                <w:lang w:val="fr-FR"/>
              </w:rPr>
            </w:pPr>
            <w:r w:rsidRPr="00C92E14">
              <w:rPr>
                <w:rFonts w:asciiTheme="majorHAnsi" w:hAnsiTheme="majorHAnsi"/>
                <w:sz w:val="22"/>
                <w:szCs w:val="22"/>
                <w:lang w:val="fr-FR"/>
              </w:rPr>
              <w:t xml:space="preserve">Énumérer les inégalités et les obstacles pertinents qui entravent l’accès aux services de santé dans le cadre de ce module. Doivent être inclus l’ensemble des inégalités et des obstacles relatifs aux droits humains, au genre ou à l’âge qui entravent l’accès aux programmes et aux services, comme le harcèlement, la stigmatisation ou la discrimination. Les inégalités et obstacles liés à la zone géographique (urbaine/rurale) ou au statut socioéconomique doivent également être mentionnés12. Décrire la façon dont ces inégalités et obstacles seront éliminés ou atténués. Pour remplir cette section, le candidat doit se reporter aux notes d’information techniques pertinentes du Fonds mondial. </w:t>
            </w:r>
          </w:p>
          <w:p w14:paraId="10E9F9A4" w14:textId="77777777" w:rsidR="000D62B7" w:rsidRPr="00C92E14" w:rsidRDefault="000D62B7" w:rsidP="000D62B7">
            <w:pPr>
              <w:spacing w:line="240" w:lineRule="atLeast"/>
              <w:rPr>
                <w:rFonts w:asciiTheme="majorHAnsi" w:eastAsia="Times New Roman" w:hAnsiTheme="majorHAnsi" w:cs="Times New Roman"/>
                <w:color w:val="000000"/>
                <w:lang w:val="fr-FR" w:eastAsia="fr-FR"/>
              </w:rPr>
            </w:pPr>
          </w:p>
          <w:p w14:paraId="7B1AB5D5" w14:textId="77777777" w:rsidR="000D62B7" w:rsidRPr="00C92E14" w:rsidRDefault="000D62B7" w:rsidP="000D62B7">
            <w:pPr>
              <w:spacing w:line="240" w:lineRule="atLeast"/>
              <w:rPr>
                <w:rFonts w:asciiTheme="majorHAnsi" w:eastAsia="Times New Roman" w:hAnsiTheme="majorHAnsi" w:cs="Times New Roman"/>
                <w:color w:val="000000"/>
                <w:lang w:val="fr-FR" w:eastAsia="fr-FR"/>
              </w:rPr>
            </w:pPr>
          </w:p>
          <w:p w14:paraId="4ABEA17E" w14:textId="77777777" w:rsidR="000D62B7" w:rsidRPr="00C92E14" w:rsidRDefault="000D62B7" w:rsidP="000D62B7">
            <w:pPr>
              <w:spacing w:line="240" w:lineRule="atLeast"/>
              <w:rPr>
                <w:rFonts w:asciiTheme="majorHAnsi" w:eastAsia="Times New Roman" w:hAnsiTheme="majorHAnsi" w:cs="Times New Roman"/>
                <w:color w:val="000000"/>
                <w:lang w:val="fr-FR" w:eastAsia="fr-FR"/>
              </w:rPr>
            </w:pPr>
          </w:p>
          <w:p w14:paraId="0E463505" w14:textId="77777777" w:rsidR="000D62B7" w:rsidRPr="00C92E14" w:rsidRDefault="000D62B7" w:rsidP="000D62B7">
            <w:pPr>
              <w:spacing w:line="240" w:lineRule="atLeast"/>
              <w:rPr>
                <w:rFonts w:asciiTheme="majorHAnsi" w:eastAsia="Times New Roman" w:hAnsiTheme="majorHAnsi" w:cs="Times New Roman"/>
                <w:color w:val="000000"/>
                <w:lang w:val="fr-FR" w:eastAsia="fr-FR"/>
              </w:rPr>
            </w:pPr>
          </w:p>
          <w:p w14:paraId="366CB6EA"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lang w:val="fr-FR"/>
              </w:rPr>
              <w:t xml:space="preserve">Plusieurs facteurs concourent à limiter l’accès au diagnostic </w:t>
            </w:r>
            <w:proofErr w:type="gramStart"/>
            <w:r w:rsidRPr="00C92E14">
              <w:rPr>
                <w:rFonts w:asciiTheme="majorHAnsi" w:hAnsiTheme="majorHAnsi" w:cstheme="minorHAnsi"/>
                <w:lang w:val="fr-FR"/>
              </w:rPr>
              <w:t>et  au</w:t>
            </w:r>
            <w:proofErr w:type="gramEnd"/>
            <w:r w:rsidRPr="00C92E14">
              <w:rPr>
                <w:rFonts w:asciiTheme="majorHAnsi" w:hAnsiTheme="majorHAnsi" w:cstheme="minorHAnsi"/>
                <w:lang w:val="fr-FR"/>
              </w:rPr>
              <w:t xml:space="preserve"> suivi biologique par les patients sous TARV, notamment des facteurs liés à l’enclavement de certaines zones, la disponibilité de l’électricité pour faire fonctionner les plateformes de charge virale (Kankan) et d’autres facteurs inerrant au fonctionnement des plateformes déjà disponibles au nombre desquels nous avons : </w:t>
            </w:r>
          </w:p>
          <w:p w14:paraId="03B20E65" w14:textId="77777777" w:rsidR="000D62B7" w:rsidRPr="00C92E14" w:rsidRDefault="000D62B7" w:rsidP="000D62B7">
            <w:pPr>
              <w:pStyle w:val="Paragraphedeliste"/>
              <w:numPr>
                <w:ilvl w:val="0"/>
                <w:numId w:val="3"/>
              </w:numPr>
              <w:rPr>
                <w:rFonts w:asciiTheme="majorHAnsi" w:hAnsiTheme="majorHAnsi" w:cstheme="minorHAnsi"/>
                <w:lang w:val="fr-FR"/>
              </w:rPr>
            </w:pPr>
            <w:r w:rsidRPr="00C92E14">
              <w:rPr>
                <w:rFonts w:asciiTheme="majorHAnsi" w:hAnsiTheme="majorHAnsi" w:cstheme="minorHAnsi"/>
                <w:lang w:val="fr-FR"/>
              </w:rPr>
              <w:t>Obstacles liés au fonctionnement des plateformes de charge virale (CV)</w:t>
            </w:r>
          </w:p>
          <w:p w14:paraId="60DEF4EF" w14:textId="77777777" w:rsidR="000D62B7" w:rsidRPr="00C92E14" w:rsidRDefault="000D62B7" w:rsidP="000D62B7">
            <w:pPr>
              <w:pStyle w:val="Paragraphedeliste"/>
              <w:numPr>
                <w:ilvl w:val="1"/>
                <w:numId w:val="3"/>
              </w:numPr>
              <w:rPr>
                <w:rFonts w:asciiTheme="majorHAnsi" w:hAnsiTheme="majorHAnsi" w:cstheme="minorHAnsi"/>
                <w:lang w:val="fr-FR"/>
              </w:rPr>
            </w:pPr>
            <w:r w:rsidRPr="00C92E14">
              <w:rPr>
                <w:rFonts w:asciiTheme="majorHAnsi" w:hAnsiTheme="majorHAnsi" w:cstheme="minorHAnsi"/>
                <w:lang w:val="fr-FR"/>
              </w:rPr>
              <w:t>Disponibilité des intrants de charge virale</w:t>
            </w:r>
          </w:p>
          <w:p w14:paraId="64675029" w14:textId="77777777" w:rsidR="000D62B7" w:rsidRPr="00C92E14" w:rsidRDefault="000D62B7" w:rsidP="000D62B7">
            <w:pPr>
              <w:pStyle w:val="Paragraphedeliste"/>
              <w:numPr>
                <w:ilvl w:val="1"/>
                <w:numId w:val="3"/>
              </w:numPr>
              <w:rPr>
                <w:rFonts w:asciiTheme="majorHAnsi" w:hAnsiTheme="majorHAnsi" w:cstheme="minorHAnsi"/>
                <w:lang w:val="fr-FR"/>
              </w:rPr>
            </w:pPr>
            <w:r w:rsidRPr="00C92E14">
              <w:rPr>
                <w:rFonts w:asciiTheme="majorHAnsi" w:hAnsiTheme="majorHAnsi" w:cstheme="minorHAnsi"/>
                <w:lang w:val="fr-FR"/>
              </w:rPr>
              <w:t>Etat de maintenance des équipements de CV</w:t>
            </w:r>
          </w:p>
          <w:p w14:paraId="6A7B1ED7" w14:textId="77777777" w:rsidR="000D62B7" w:rsidRPr="00C92E14" w:rsidRDefault="000D62B7" w:rsidP="000D62B7">
            <w:pPr>
              <w:pStyle w:val="Paragraphedeliste"/>
              <w:numPr>
                <w:ilvl w:val="1"/>
                <w:numId w:val="3"/>
              </w:numPr>
              <w:rPr>
                <w:rFonts w:asciiTheme="majorHAnsi" w:hAnsiTheme="majorHAnsi" w:cstheme="minorHAnsi"/>
                <w:lang w:val="fr-FR"/>
              </w:rPr>
            </w:pPr>
            <w:r w:rsidRPr="00C92E14">
              <w:rPr>
                <w:rFonts w:asciiTheme="majorHAnsi" w:hAnsiTheme="majorHAnsi" w:cstheme="minorHAnsi"/>
                <w:lang w:val="fr-FR"/>
              </w:rPr>
              <w:t>Disponibilité des ressources humaines</w:t>
            </w:r>
          </w:p>
          <w:p w14:paraId="105B182B" w14:textId="77777777" w:rsidR="000D62B7" w:rsidRPr="00C92E14" w:rsidRDefault="000D62B7" w:rsidP="000D62B7">
            <w:pPr>
              <w:pStyle w:val="Paragraphedeliste"/>
              <w:numPr>
                <w:ilvl w:val="0"/>
                <w:numId w:val="3"/>
              </w:numPr>
              <w:rPr>
                <w:rFonts w:asciiTheme="majorHAnsi" w:hAnsiTheme="majorHAnsi" w:cstheme="minorHAnsi"/>
                <w:lang w:val="fr-FR"/>
              </w:rPr>
            </w:pPr>
            <w:r w:rsidRPr="00C92E14">
              <w:rPr>
                <w:rFonts w:asciiTheme="majorHAnsi" w:hAnsiTheme="majorHAnsi" w:cstheme="minorHAnsi"/>
                <w:lang w:val="fr-FR"/>
              </w:rPr>
              <w:t>Obstacles liés à l’utilisation des plateformes de CV</w:t>
            </w:r>
          </w:p>
          <w:p w14:paraId="11BAD8FB" w14:textId="77777777" w:rsidR="000D62B7" w:rsidRPr="00C92E14" w:rsidRDefault="000D62B7" w:rsidP="000D62B7">
            <w:pPr>
              <w:pStyle w:val="Paragraphedeliste"/>
              <w:numPr>
                <w:ilvl w:val="1"/>
                <w:numId w:val="3"/>
              </w:numPr>
              <w:rPr>
                <w:rFonts w:asciiTheme="majorHAnsi" w:hAnsiTheme="majorHAnsi" w:cstheme="minorHAnsi"/>
                <w:lang w:val="fr-FR"/>
              </w:rPr>
            </w:pPr>
            <w:r w:rsidRPr="00C92E14">
              <w:rPr>
                <w:rFonts w:asciiTheme="majorHAnsi" w:hAnsiTheme="majorHAnsi" w:cstheme="minorHAnsi"/>
                <w:lang w:val="fr-FR"/>
              </w:rPr>
              <w:t>Niveau de la demande de CV</w:t>
            </w:r>
          </w:p>
          <w:p w14:paraId="4822C0DE" w14:textId="77777777" w:rsidR="000D62B7" w:rsidRPr="00C92E14" w:rsidRDefault="000D62B7" w:rsidP="000D62B7">
            <w:pPr>
              <w:pStyle w:val="Paragraphedeliste"/>
              <w:numPr>
                <w:ilvl w:val="1"/>
                <w:numId w:val="3"/>
              </w:numPr>
              <w:rPr>
                <w:rFonts w:asciiTheme="majorHAnsi" w:hAnsiTheme="majorHAnsi" w:cstheme="minorHAnsi"/>
                <w:lang w:val="fr-FR"/>
              </w:rPr>
            </w:pPr>
            <w:r w:rsidRPr="00C92E14">
              <w:rPr>
                <w:rFonts w:asciiTheme="majorHAnsi" w:hAnsiTheme="majorHAnsi" w:cstheme="minorHAnsi"/>
                <w:lang w:val="fr-FR"/>
              </w:rPr>
              <w:t>Non-respect de la gratuité de la CV</w:t>
            </w:r>
          </w:p>
          <w:p w14:paraId="784DDA83" w14:textId="77777777" w:rsidR="000D62B7" w:rsidRPr="00C92E14" w:rsidRDefault="000D62B7" w:rsidP="000D62B7">
            <w:pPr>
              <w:pStyle w:val="Paragraphedeliste"/>
              <w:numPr>
                <w:ilvl w:val="1"/>
                <w:numId w:val="3"/>
              </w:numPr>
              <w:rPr>
                <w:rFonts w:asciiTheme="majorHAnsi" w:hAnsiTheme="majorHAnsi" w:cstheme="minorHAnsi"/>
                <w:lang w:val="fr-FR"/>
              </w:rPr>
            </w:pPr>
            <w:r w:rsidRPr="00C92E14">
              <w:rPr>
                <w:rFonts w:asciiTheme="majorHAnsi" w:hAnsiTheme="majorHAnsi" w:cstheme="minorHAnsi"/>
                <w:lang w:val="fr-FR"/>
              </w:rPr>
              <w:t>Inaccessibilité géographique de la plateforme de CV</w:t>
            </w:r>
          </w:p>
          <w:p w14:paraId="5DC4D9EF" w14:textId="77777777" w:rsidR="000D62B7" w:rsidRPr="00C92E14" w:rsidRDefault="000D62B7" w:rsidP="000D62B7">
            <w:pPr>
              <w:pStyle w:val="Paragraphedeliste"/>
              <w:numPr>
                <w:ilvl w:val="1"/>
                <w:numId w:val="3"/>
              </w:numPr>
              <w:rPr>
                <w:rFonts w:asciiTheme="majorHAnsi" w:hAnsiTheme="majorHAnsi" w:cstheme="minorHAnsi"/>
                <w:lang w:val="fr-FR"/>
              </w:rPr>
            </w:pPr>
            <w:r w:rsidRPr="00C92E14">
              <w:rPr>
                <w:rFonts w:asciiTheme="majorHAnsi" w:hAnsiTheme="majorHAnsi" w:cstheme="minorHAnsi"/>
                <w:lang w:val="fr-FR"/>
              </w:rPr>
              <w:t>Existence de structure sanitaire non couverte le circuit actuel de collecte des échantillons de charge virale</w:t>
            </w:r>
          </w:p>
          <w:p w14:paraId="63E999E3" w14:textId="77777777" w:rsidR="000D62B7" w:rsidRPr="00C92E14" w:rsidRDefault="000D62B7" w:rsidP="000D62B7">
            <w:pPr>
              <w:pStyle w:val="Paragraphedeliste"/>
              <w:numPr>
                <w:ilvl w:val="0"/>
                <w:numId w:val="3"/>
              </w:numPr>
              <w:rPr>
                <w:rFonts w:asciiTheme="majorHAnsi" w:hAnsiTheme="majorHAnsi" w:cstheme="minorHAnsi"/>
                <w:lang w:val="fr-FR"/>
              </w:rPr>
            </w:pPr>
            <w:r w:rsidRPr="00C92E14">
              <w:rPr>
                <w:rFonts w:asciiTheme="majorHAnsi" w:hAnsiTheme="majorHAnsi" w:cstheme="minorHAnsi"/>
                <w:lang w:val="fr-FR"/>
              </w:rPr>
              <w:t>Inégalité de distribution des plateformes,</w:t>
            </w:r>
          </w:p>
          <w:p w14:paraId="13C1812B" w14:textId="77777777" w:rsidR="000D62B7" w:rsidRPr="00C92E14" w:rsidRDefault="000D62B7" w:rsidP="000D62B7">
            <w:pPr>
              <w:pStyle w:val="Paragraphedeliste"/>
              <w:numPr>
                <w:ilvl w:val="1"/>
                <w:numId w:val="3"/>
              </w:numPr>
              <w:rPr>
                <w:rFonts w:asciiTheme="majorHAnsi" w:hAnsiTheme="majorHAnsi" w:cstheme="minorHAnsi"/>
                <w:lang w:val="fr-FR"/>
              </w:rPr>
            </w:pPr>
            <w:r w:rsidRPr="00C92E14">
              <w:rPr>
                <w:rFonts w:asciiTheme="majorHAnsi" w:hAnsiTheme="majorHAnsi" w:cstheme="minorHAnsi"/>
                <w:lang w:val="fr-FR"/>
              </w:rPr>
              <w:t>Existence de zones non couverte par les plateformes fonctionnelles (préfectures couvertes sur les 33 préfectures : Conakry, Labé, Faranah, Kankan, Siguiri, N’</w:t>
            </w:r>
            <w:proofErr w:type="spellStart"/>
            <w:r w:rsidRPr="00C92E14">
              <w:rPr>
                <w:rFonts w:asciiTheme="majorHAnsi" w:hAnsiTheme="majorHAnsi" w:cstheme="minorHAnsi"/>
                <w:lang w:val="fr-FR"/>
              </w:rPr>
              <w:t>Zérékoré</w:t>
            </w:r>
            <w:proofErr w:type="spellEnd"/>
            <w:r w:rsidRPr="00C92E14">
              <w:rPr>
                <w:rFonts w:asciiTheme="majorHAnsi" w:hAnsiTheme="majorHAnsi" w:cstheme="minorHAnsi"/>
                <w:lang w:val="fr-FR"/>
              </w:rPr>
              <w:t>, Macenta, Guéckédou)</w:t>
            </w:r>
          </w:p>
          <w:p w14:paraId="01851116" w14:textId="77777777" w:rsidR="000D62B7" w:rsidRPr="00C92E14" w:rsidRDefault="000D62B7" w:rsidP="000D62B7">
            <w:pPr>
              <w:pStyle w:val="Paragraphedeliste"/>
              <w:numPr>
                <w:ilvl w:val="1"/>
                <w:numId w:val="3"/>
              </w:numPr>
              <w:rPr>
                <w:rFonts w:asciiTheme="majorHAnsi" w:hAnsiTheme="majorHAnsi" w:cstheme="minorHAnsi"/>
                <w:lang w:val="fr-FR"/>
              </w:rPr>
            </w:pPr>
            <w:r w:rsidRPr="00C92E14">
              <w:rPr>
                <w:rFonts w:asciiTheme="majorHAnsi" w:hAnsiTheme="majorHAnsi" w:cstheme="minorHAnsi"/>
                <w:lang w:val="fr-FR"/>
              </w:rPr>
              <w:t>Concentration des plateformes de grande capacité à Conakry</w:t>
            </w:r>
          </w:p>
          <w:p w14:paraId="68ED30E3" w14:textId="77777777" w:rsidR="000D62B7" w:rsidRPr="00C92E14" w:rsidRDefault="000D62B7" w:rsidP="000D62B7">
            <w:pPr>
              <w:pStyle w:val="Paragraphedeliste"/>
              <w:numPr>
                <w:ilvl w:val="0"/>
                <w:numId w:val="3"/>
              </w:numPr>
              <w:rPr>
                <w:rFonts w:asciiTheme="majorHAnsi" w:hAnsiTheme="majorHAnsi" w:cstheme="minorHAnsi"/>
                <w:lang w:val="fr-FR"/>
              </w:rPr>
            </w:pPr>
            <w:r w:rsidRPr="00C92E14">
              <w:rPr>
                <w:rFonts w:asciiTheme="majorHAnsi" w:hAnsiTheme="majorHAnsi" w:cstheme="minorHAnsi"/>
                <w:lang w:val="fr-FR"/>
              </w:rPr>
              <w:t>Obstacles liés au coût des examens</w:t>
            </w:r>
          </w:p>
          <w:p w14:paraId="6E7961A2" w14:textId="77777777" w:rsidR="000D62B7" w:rsidRPr="00C92E14" w:rsidRDefault="000D62B7" w:rsidP="000D62B7">
            <w:pPr>
              <w:pStyle w:val="Paragraphedeliste"/>
              <w:numPr>
                <w:ilvl w:val="1"/>
                <w:numId w:val="3"/>
              </w:numPr>
              <w:rPr>
                <w:rFonts w:asciiTheme="majorHAnsi" w:hAnsiTheme="majorHAnsi" w:cstheme="minorHAnsi"/>
                <w:lang w:val="fr-FR"/>
              </w:rPr>
            </w:pPr>
            <w:r w:rsidRPr="00C92E14">
              <w:rPr>
                <w:rFonts w:asciiTheme="majorHAnsi" w:hAnsiTheme="majorHAnsi" w:cstheme="minorHAnsi"/>
                <w:lang w:val="fr-FR"/>
              </w:rPr>
              <w:t xml:space="preserve">Coût des examens de routine pour le suivi biologique des PVVIH </w:t>
            </w:r>
          </w:p>
          <w:p w14:paraId="41A3821B" w14:textId="77777777" w:rsidR="000D62B7" w:rsidRPr="00C92E14" w:rsidRDefault="000D62B7" w:rsidP="000D62B7">
            <w:pPr>
              <w:pStyle w:val="Paragraphedeliste"/>
              <w:numPr>
                <w:ilvl w:val="1"/>
                <w:numId w:val="3"/>
              </w:numPr>
              <w:spacing w:line="240" w:lineRule="atLeast"/>
              <w:rPr>
                <w:rFonts w:asciiTheme="majorHAnsi" w:eastAsia="Times New Roman" w:hAnsiTheme="majorHAnsi" w:cs="Times New Roman"/>
                <w:color w:val="000000"/>
                <w:lang w:val="fr-FR" w:eastAsia="fr-FR"/>
              </w:rPr>
            </w:pPr>
            <w:r w:rsidRPr="00C92E14">
              <w:rPr>
                <w:rFonts w:asciiTheme="majorHAnsi" w:hAnsiTheme="majorHAnsi" w:cstheme="minorHAnsi"/>
                <w:lang w:val="fr-FR"/>
              </w:rPr>
              <w:t xml:space="preserve">Coût des examens à la recherches des infections opportunistes chez </w:t>
            </w:r>
            <w:proofErr w:type="gramStart"/>
            <w:r w:rsidRPr="00C92E14">
              <w:rPr>
                <w:rFonts w:asciiTheme="majorHAnsi" w:hAnsiTheme="majorHAnsi" w:cstheme="minorHAnsi"/>
                <w:lang w:val="fr-FR"/>
              </w:rPr>
              <w:t>les  PVVIH</w:t>
            </w:r>
            <w:proofErr w:type="gramEnd"/>
          </w:p>
          <w:p w14:paraId="38C32232"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lang w:val="fr-FR"/>
              </w:rPr>
              <w:t xml:space="preserve">Plusieurs facteurs concourent à limiter l’accès au diagnostic TB sensible et TB MR : </w:t>
            </w:r>
          </w:p>
          <w:p w14:paraId="3103B095"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lang w:val="fr-FR"/>
              </w:rPr>
              <w:t xml:space="preserve"> </w:t>
            </w:r>
          </w:p>
          <w:p w14:paraId="759A047D"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lang w:val="fr-FR"/>
              </w:rPr>
              <w:t xml:space="preserve">-Nombre de CDT </w:t>
            </w:r>
            <w:proofErr w:type="gramStart"/>
            <w:r w:rsidRPr="00C92E14">
              <w:rPr>
                <w:rFonts w:asciiTheme="majorHAnsi" w:hAnsiTheme="majorHAnsi" w:cstheme="minorHAnsi"/>
                <w:lang w:val="fr-FR"/>
              </w:rPr>
              <w:t>insuffisant  58</w:t>
            </w:r>
            <w:proofErr w:type="gramEnd"/>
            <w:r w:rsidRPr="00C92E14">
              <w:rPr>
                <w:rFonts w:asciiTheme="majorHAnsi" w:hAnsiTheme="majorHAnsi" w:cstheme="minorHAnsi"/>
                <w:lang w:val="fr-FR"/>
              </w:rPr>
              <w:t xml:space="preserve"> en 2019 sur 158 planifier dans le PSN TB 2021-2025 et ainsi les patients doivent parcourir les distance de plus de 5 Km.</w:t>
            </w:r>
          </w:p>
          <w:p w14:paraId="30AB30BD"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lang w:val="fr-FR"/>
              </w:rPr>
              <w:t xml:space="preserve">- Insuffisance du personnel affecté dans le réseau de laboratoire avec instabilité du personnel bénévole. </w:t>
            </w:r>
          </w:p>
          <w:p w14:paraId="327989EB" w14:textId="77777777" w:rsidR="000D62B7" w:rsidRPr="00C92E14" w:rsidRDefault="000D62B7" w:rsidP="000D62B7">
            <w:pPr>
              <w:rPr>
                <w:rFonts w:asciiTheme="majorHAnsi" w:hAnsiTheme="majorHAnsi" w:cstheme="minorHAnsi"/>
                <w:lang w:val="fr-FR"/>
              </w:rPr>
            </w:pPr>
          </w:p>
          <w:p w14:paraId="7BACCC3E"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lang w:val="fr-FR"/>
              </w:rPr>
              <w:t xml:space="preserve">-Nombre de Sites Gene </w:t>
            </w:r>
            <w:proofErr w:type="spellStart"/>
            <w:r w:rsidRPr="00C92E14">
              <w:rPr>
                <w:rFonts w:asciiTheme="majorHAnsi" w:hAnsiTheme="majorHAnsi" w:cstheme="minorHAnsi"/>
                <w:lang w:val="fr-FR"/>
              </w:rPr>
              <w:t>Xpert</w:t>
            </w:r>
            <w:proofErr w:type="spellEnd"/>
            <w:r w:rsidRPr="00C92E14">
              <w:rPr>
                <w:rFonts w:asciiTheme="majorHAnsi" w:hAnsiTheme="majorHAnsi" w:cstheme="minorHAnsi"/>
                <w:lang w:val="fr-FR"/>
              </w:rPr>
              <w:t xml:space="preserve"> </w:t>
            </w:r>
            <w:proofErr w:type="gramStart"/>
            <w:r w:rsidRPr="00C92E14">
              <w:rPr>
                <w:rFonts w:asciiTheme="majorHAnsi" w:hAnsiTheme="majorHAnsi" w:cstheme="minorHAnsi"/>
                <w:lang w:val="fr-FR"/>
              </w:rPr>
              <w:t>insuffisant  16</w:t>
            </w:r>
            <w:proofErr w:type="gramEnd"/>
            <w:r w:rsidRPr="00C92E14">
              <w:rPr>
                <w:rFonts w:asciiTheme="majorHAnsi" w:hAnsiTheme="majorHAnsi" w:cstheme="minorHAnsi"/>
                <w:lang w:val="fr-FR"/>
              </w:rPr>
              <w:t xml:space="preserve"> sites en 2019 groupant 20 machines Gene </w:t>
            </w:r>
            <w:proofErr w:type="spellStart"/>
            <w:r w:rsidRPr="00C92E14">
              <w:rPr>
                <w:rFonts w:asciiTheme="majorHAnsi" w:hAnsiTheme="majorHAnsi" w:cstheme="minorHAnsi"/>
                <w:lang w:val="fr-FR"/>
              </w:rPr>
              <w:t>Xpert</w:t>
            </w:r>
            <w:proofErr w:type="spellEnd"/>
            <w:r w:rsidRPr="00C92E14">
              <w:rPr>
                <w:rFonts w:asciiTheme="majorHAnsi" w:hAnsiTheme="majorHAnsi" w:cstheme="minorHAnsi"/>
                <w:lang w:val="fr-FR"/>
              </w:rPr>
              <w:t xml:space="preserve"> et  4 machines non fonctionnel</w:t>
            </w:r>
            <w:r w:rsidR="00BE7557" w:rsidRPr="00C92E14">
              <w:rPr>
                <w:rFonts w:asciiTheme="majorHAnsi" w:hAnsiTheme="majorHAnsi" w:cstheme="minorHAnsi"/>
                <w:lang w:val="fr-FR"/>
              </w:rPr>
              <w:t>les</w:t>
            </w:r>
            <w:r w:rsidRPr="00C92E14">
              <w:rPr>
                <w:rFonts w:asciiTheme="majorHAnsi" w:hAnsiTheme="majorHAnsi" w:cstheme="minorHAnsi"/>
                <w:lang w:val="fr-FR"/>
              </w:rPr>
              <w:t xml:space="preserve"> dans 4 structures non dépendant des programmes TB/ VIH (programme Ebola et mal</w:t>
            </w:r>
            <w:r w:rsidR="00BE7557" w:rsidRPr="00C92E14">
              <w:rPr>
                <w:rFonts w:asciiTheme="majorHAnsi" w:hAnsiTheme="majorHAnsi" w:cstheme="minorHAnsi"/>
                <w:lang w:val="fr-FR"/>
              </w:rPr>
              <w:t>a</w:t>
            </w:r>
            <w:r w:rsidRPr="00C92E14">
              <w:rPr>
                <w:rFonts w:asciiTheme="majorHAnsi" w:hAnsiTheme="majorHAnsi" w:cstheme="minorHAnsi"/>
                <w:lang w:val="fr-FR"/>
              </w:rPr>
              <w:t>dies infectieuses ou privés).</w:t>
            </w:r>
          </w:p>
          <w:p w14:paraId="2F24587E"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lang w:val="fr-FR"/>
              </w:rPr>
              <w:t xml:space="preserve">- Existence de structure </w:t>
            </w:r>
            <w:proofErr w:type="gramStart"/>
            <w:r w:rsidRPr="00C92E14">
              <w:rPr>
                <w:rFonts w:asciiTheme="majorHAnsi" w:hAnsiTheme="majorHAnsi" w:cstheme="minorHAnsi"/>
                <w:lang w:val="fr-FR"/>
              </w:rPr>
              <w:t>sanitaire  non</w:t>
            </w:r>
            <w:proofErr w:type="gramEnd"/>
            <w:r w:rsidRPr="00C92E14">
              <w:rPr>
                <w:rFonts w:asciiTheme="majorHAnsi" w:hAnsiTheme="majorHAnsi" w:cstheme="minorHAnsi"/>
                <w:lang w:val="fr-FR"/>
              </w:rPr>
              <w:t xml:space="preserve"> couverte le circuit actuel de collecte des échantillons ( seulement 92 cites prise en charge par la carte NIMBA)</w:t>
            </w:r>
          </w:p>
          <w:p w14:paraId="206397E4" w14:textId="77777777" w:rsidR="000D62B7" w:rsidRPr="00C92E14" w:rsidRDefault="000D62B7" w:rsidP="000D62B7">
            <w:pPr>
              <w:pStyle w:val="Paragraphedeliste"/>
              <w:numPr>
                <w:ilvl w:val="0"/>
                <w:numId w:val="3"/>
              </w:numPr>
              <w:rPr>
                <w:rFonts w:asciiTheme="majorHAnsi" w:hAnsiTheme="majorHAnsi" w:cstheme="minorHAnsi"/>
                <w:lang w:val="fr-FR"/>
              </w:rPr>
            </w:pPr>
            <w:r w:rsidRPr="00C92E14">
              <w:rPr>
                <w:rFonts w:asciiTheme="majorHAnsi" w:hAnsiTheme="majorHAnsi" w:cstheme="minorHAnsi"/>
                <w:lang w:val="fr-FR"/>
              </w:rPr>
              <w:t xml:space="preserve">Obstacles liés au coût de </w:t>
            </w:r>
            <w:r w:rsidR="00BE7557" w:rsidRPr="00C92E14">
              <w:rPr>
                <w:rFonts w:asciiTheme="majorHAnsi" w:hAnsiTheme="majorHAnsi" w:cstheme="minorHAnsi"/>
                <w:lang w:val="fr-FR"/>
              </w:rPr>
              <w:t>recouvrement des</w:t>
            </w:r>
            <w:r w:rsidRPr="00C92E14">
              <w:rPr>
                <w:rFonts w:asciiTheme="majorHAnsi" w:hAnsiTheme="majorHAnsi" w:cstheme="minorHAnsi"/>
                <w:lang w:val="fr-FR"/>
              </w:rPr>
              <w:t xml:space="preserve"> examens des examens de Gene </w:t>
            </w:r>
            <w:proofErr w:type="spellStart"/>
            <w:proofErr w:type="gramStart"/>
            <w:r w:rsidRPr="00C92E14">
              <w:rPr>
                <w:rFonts w:asciiTheme="majorHAnsi" w:hAnsiTheme="majorHAnsi" w:cstheme="minorHAnsi"/>
                <w:lang w:val="fr-FR"/>
              </w:rPr>
              <w:t>Xpert</w:t>
            </w:r>
            <w:proofErr w:type="spellEnd"/>
            <w:r w:rsidRPr="00C92E14">
              <w:rPr>
                <w:rFonts w:asciiTheme="majorHAnsi" w:hAnsiTheme="majorHAnsi" w:cstheme="minorHAnsi"/>
                <w:lang w:val="fr-FR"/>
              </w:rPr>
              <w:t xml:space="preserve"> ,</w:t>
            </w:r>
            <w:proofErr w:type="gramEnd"/>
            <w:r w:rsidRPr="00C92E14">
              <w:rPr>
                <w:rFonts w:asciiTheme="majorHAnsi" w:hAnsiTheme="majorHAnsi" w:cstheme="minorHAnsi"/>
                <w:lang w:val="fr-FR"/>
              </w:rPr>
              <w:t xml:space="preserve"> cultures, testes de sensibilité et LPA  gratuits pour le patient mais en réalité le </w:t>
            </w:r>
            <w:r w:rsidR="00BE7557" w:rsidRPr="00C92E14">
              <w:rPr>
                <w:rFonts w:asciiTheme="majorHAnsi" w:hAnsiTheme="majorHAnsi" w:cstheme="minorHAnsi"/>
                <w:lang w:val="fr-FR"/>
              </w:rPr>
              <w:t>recouvrement</w:t>
            </w:r>
            <w:r w:rsidRPr="00C92E14">
              <w:rPr>
                <w:rFonts w:asciiTheme="majorHAnsi" w:hAnsiTheme="majorHAnsi" w:cstheme="minorHAnsi"/>
                <w:lang w:val="fr-FR"/>
              </w:rPr>
              <w:t xml:space="preserve"> fi</w:t>
            </w:r>
            <w:r w:rsidR="00BE7557" w:rsidRPr="00C92E14">
              <w:rPr>
                <w:rFonts w:asciiTheme="majorHAnsi" w:hAnsiTheme="majorHAnsi" w:cstheme="minorHAnsi"/>
                <w:lang w:val="fr-FR"/>
              </w:rPr>
              <w:t>n</w:t>
            </w:r>
            <w:r w:rsidRPr="00C92E14">
              <w:rPr>
                <w:rFonts w:asciiTheme="majorHAnsi" w:hAnsiTheme="majorHAnsi" w:cstheme="minorHAnsi"/>
                <w:lang w:val="fr-FR"/>
              </w:rPr>
              <w:t xml:space="preserve">ancé par le </w:t>
            </w:r>
            <w:r w:rsidR="00BE7557" w:rsidRPr="00C92E14">
              <w:rPr>
                <w:rFonts w:asciiTheme="majorHAnsi" w:hAnsiTheme="majorHAnsi" w:cstheme="minorHAnsi"/>
                <w:lang w:val="fr-FR"/>
              </w:rPr>
              <w:t>fonds</w:t>
            </w:r>
            <w:r w:rsidRPr="00C92E14">
              <w:rPr>
                <w:rFonts w:asciiTheme="majorHAnsi" w:hAnsiTheme="majorHAnsi" w:cstheme="minorHAnsi"/>
                <w:lang w:val="fr-FR"/>
              </w:rPr>
              <w:t xml:space="preserve"> Mondial ne se limite qu’aux achats des intrants de laboratoire.</w:t>
            </w:r>
          </w:p>
          <w:p w14:paraId="27C6CF8F" w14:textId="77777777" w:rsidR="000D62B7" w:rsidRPr="00C92E14" w:rsidRDefault="000D62B7" w:rsidP="000D62B7">
            <w:pPr>
              <w:pStyle w:val="Paragraphedeliste"/>
              <w:numPr>
                <w:ilvl w:val="0"/>
                <w:numId w:val="3"/>
              </w:numPr>
              <w:rPr>
                <w:rFonts w:asciiTheme="majorHAnsi" w:hAnsiTheme="majorHAnsi" w:cstheme="minorHAnsi"/>
                <w:lang w:val="fr-FR"/>
              </w:rPr>
            </w:pPr>
            <w:r w:rsidRPr="00C92E14">
              <w:rPr>
                <w:rFonts w:asciiTheme="majorHAnsi" w:hAnsiTheme="majorHAnsi" w:cstheme="minorHAnsi"/>
                <w:lang w:val="fr-FR"/>
              </w:rPr>
              <w:t>Coût des examens de screening de la tuberculose (radiographie et sonde nasogastrique pédiatrique et seringue de 50cc)</w:t>
            </w:r>
            <w:r w:rsidR="00BE7557" w:rsidRPr="00C92E14">
              <w:rPr>
                <w:rFonts w:asciiTheme="majorHAnsi" w:hAnsiTheme="majorHAnsi" w:cstheme="minorHAnsi"/>
                <w:lang w:val="fr-FR"/>
              </w:rPr>
              <w:t xml:space="preserve"> </w:t>
            </w:r>
            <w:r w:rsidRPr="00C92E14">
              <w:rPr>
                <w:rFonts w:asciiTheme="majorHAnsi" w:hAnsiTheme="majorHAnsi" w:cstheme="minorHAnsi"/>
                <w:lang w:val="fr-FR"/>
              </w:rPr>
              <w:t>très chers pour les patients avec re</w:t>
            </w:r>
            <w:r w:rsidR="00BE7557" w:rsidRPr="00C92E14">
              <w:rPr>
                <w:rFonts w:asciiTheme="majorHAnsi" w:hAnsiTheme="majorHAnsi" w:cstheme="minorHAnsi"/>
                <w:lang w:val="fr-FR"/>
              </w:rPr>
              <w:t>s</w:t>
            </w:r>
            <w:r w:rsidRPr="00C92E14">
              <w:rPr>
                <w:rFonts w:asciiTheme="majorHAnsi" w:hAnsiTheme="majorHAnsi" w:cstheme="minorHAnsi"/>
                <w:lang w:val="fr-FR"/>
              </w:rPr>
              <w:t xml:space="preserve">source </w:t>
            </w:r>
            <w:proofErr w:type="spellStart"/>
            <w:r w:rsidRPr="00C92E14">
              <w:rPr>
                <w:rFonts w:asciiTheme="majorHAnsi" w:hAnsiTheme="majorHAnsi" w:cstheme="minorHAnsi"/>
                <w:lang w:val="fr-FR"/>
              </w:rPr>
              <w:t>limit</w:t>
            </w:r>
            <w:r w:rsidR="00BE7557" w:rsidRPr="00C92E14">
              <w:rPr>
                <w:rFonts w:asciiTheme="majorHAnsi" w:hAnsiTheme="majorHAnsi" w:cstheme="minorHAnsi"/>
                <w:lang w:val="fr-FR"/>
              </w:rPr>
              <w:t>e</w:t>
            </w:r>
            <w:r w:rsidRPr="00C92E14">
              <w:rPr>
                <w:rFonts w:asciiTheme="majorHAnsi" w:hAnsiTheme="majorHAnsi" w:cstheme="minorHAnsi"/>
                <w:lang w:val="fr-FR"/>
              </w:rPr>
              <w:t>és</w:t>
            </w:r>
            <w:proofErr w:type="spellEnd"/>
            <w:r w:rsidRPr="00C92E14">
              <w:rPr>
                <w:rFonts w:asciiTheme="majorHAnsi" w:hAnsiTheme="majorHAnsi" w:cstheme="minorHAnsi"/>
                <w:lang w:val="fr-FR"/>
              </w:rPr>
              <w:t>.</w:t>
            </w:r>
          </w:p>
          <w:p w14:paraId="1115709A" w14:textId="77777777" w:rsidR="000D62B7" w:rsidRPr="00C92E14" w:rsidRDefault="000D62B7" w:rsidP="000D62B7">
            <w:pPr>
              <w:rPr>
                <w:rFonts w:asciiTheme="majorHAnsi" w:hAnsiTheme="majorHAnsi" w:cstheme="minorHAnsi"/>
                <w:lang w:val="fr-FR"/>
              </w:rPr>
            </w:pPr>
          </w:p>
          <w:p w14:paraId="7E8D7AA4" w14:textId="77777777" w:rsidR="00C65591" w:rsidRPr="00C92E14" w:rsidRDefault="00C65591" w:rsidP="000D62B7">
            <w:pPr>
              <w:rPr>
                <w:rFonts w:asciiTheme="majorHAnsi" w:hAnsiTheme="majorHAnsi" w:cstheme="minorHAnsi"/>
                <w:highlight w:val="yellow"/>
                <w:lang w:val="fr-FR"/>
              </w:rPr>
            </w:pPr>
          </w:p>
          <w:p w14:paraId="14A6D659" w14:textId="77777777" w:rsidR="00C65591" w:rsidRPr="00C92E14" w:rsidRDefault="00C65591" w:rsidP="000D62B7">
            <w:pPr>
              <w:rPr>
                <w:rFonts w:asciiTheme="majorHAnsi" w:hAnsiTheme="majorHAnsi" w:cstheme="minorHAnsi"/>
                <w:highlight w:val="yellow"/>
                <w:lang w:val="fr-FR"/>
              </w:rPr>
            </w:pPr>
          </w:p>
          <w:p w14:paraId="5F79D60B" w14:textId="77777777" w:rsidR="000D62B7" w:rsidRPr="00C92E14" w:rsidRDefault="000D62B7" w:rsidP="000D62B7">
            <w:pPr>
              <w:rPr>
                <w:rFonts w:asciiTheme="majorHAnsi" w:hAnsiTheme="majorHAnsi" w:cstheme="minorHAnsi"/>
                <w:highlight w:val="yellow"/>
                <w:lang w:val="fr-FR"/>
              </w:rPr>
            </w:pPr>
            <w:r w:rsidRPr="00C92E14">
              <w:rPr>
                <w:rFonts w:asciiTheme="majorHAnsi" w:hAnsiTheme="majorHAnsi" w:cstheme="minorHAnsi"/>
                <w:highlight w:val="yellow"/>
                <w:lang w:val="fr-FR"/>
              </w:rPr>
              <w:t>Moyens pour atténuer les obstacles et inégalités :</w:t>
            </w:r>
          </w:p>
          <w:p w14:paraId="6015494C" w14:textId="77777777" w:rsidR="000D62B7" w:rsidRPr="00C92E14" w:rsidRDefault="000D62B7" w:rsidP="000D62B7">
            <w:pPr>
              <w:pStyle w:val="Commentaire"/>
              <w:rPr>
                <w:rFonts w:asciiTheme="majorHAnsi" w:hAnsiTheme="majorHAnsi" w:cstheme="minorHAnsi"/>
                <w:sz w:val="22"/>
                <w:szCs w:val="22"/>
                <w:lang w:val="fr-FR"/>
              </w:rPr>
            </w:pPr>
          </w:p>
          <w:p w14:paraId="2BA9D8A1" w14:textId="77777777" w:rsidR="000D62B7" w:rsidRPr="00C92E14" w:rsidRDefault="000D62B7" w:rsidP="000D62B7">
            <w:pPr>
              <w:pStyle w:val="Commentaire"/>
              <w:numPr>
                <w:ilvl w:val="0"/>
                <w:numId w:val="3"/>
              </w:numPr>
              <w:rPr>
                <w:rFonts w:asciiTheme="majorHAnsi" w:hAnsiTheme="majorHAnsi" w:cstheme="minorHAnsi"/>
                <w:sz w:val="22"/>
                <w:szCs w:val="22"/>
                <w:highlight w:val="cyan"/>
                <w:lang w:val="fr-FR"/>
              </w:rPr>
            </w:pPr>
            <w:r w:rsidRPr="00C92E14">
              <w:rPr>
                <w:rFonts w:asciiTheme="majorHAnsi" w:hAnsiTheme="majorHAnsi" w:cstheme="minorHAnsi"/>
                <w:sz w:val="22"/>
                <w:szCs w:val="22"/>
                <w:highlight w:val="cyan"/>
                <w:lang w:val="fr-FR"/>
              </w:rPr>
              <w:t>Assurer le transport des échantillons intégré pour les programmes TB, VIH, Paludisme et maladies non transmissible</w:t>
            </w:r>
            <w:r w:rsidR="00BE7557" w:rsidRPr="00C92E14">
              <w:rPr>
                <w:rFonts w:asciiTheme="majorHAnsi" w:hAnsiTheme="majorHAnsi" w:cstheme="minorHAnsi"/>
                <w:sz w:val="22"/>
                <w:szCs w:val="22"/>
                <w:highlight w:val="cyan"/>
                <w:lang w:val="fr-FR"/>
              </w:rPr>
              <w:t>s</w:t>
            </w:r>
          </w:p>
          <w:p w14:paraId="2DE8612C" w14:textId="77777777" w:rsidR="000D62B7" w:rsidRPr="00C92E14" w:rsidRDefault="000D62B7" w:rsidP="000D62B7">
            <w:pPr>
              <w:pStyle w:val="Commentaire"/>
              <w:numPr>
                <w:ilvl w:val="0"/>
                <w:numId w:val="3"/>
              </w:numPr>
              <w:rPr>
                <w:rFonts w:asciiTheme="majorHAnsi" w:hAnsiTheme="majorHAnsi" w:cstheme="minorHAnsi"/>
                <w:sz w:val="22"/>
                <w:szCs w:val="22"/>
                <w:lang w:val="fr-FR"/>
              </w:rPr>
            </w:pPr>
            <w:r w:rsidRPr="00C92E14">
              <w:rPr>
                <w:rFonts w:asciiTheme="majorHAnsi" w:hAnsiTheme="majorHAnsi" w:cstheme="minorHAnsi"/>
                <w:sz w:val="22"/>
                <w:szCs w:val="22"/>
                <w:lang w:val="fr-FR"/>
              </w:rPr>
              <w:t>Ouverture de nouv</w:t>
            </w:r>
            <w:r w:rsidR="00BE7557" w:rsidRPr="00C92E14">
              <w:rPr>
                <w:rFonts w:asciiTheme="majorHAnsi" w:hAnsiTheme="majorHAnsi" w:cstheme="minorHAnsi"/>
                <w:sz w:val="22"/>
                <w:szCs w:val="22"/>
                <w:lang w:val="fr-FR"/>
              </w:rPr>
              <w:t>eaux</w:t>
            </w:r>
            <w:r w:rsidRPr="00C92E14">
              <w:rPr>
                <w:rFonts w:asciiTheme="majorHAnsi" w:hAnsiTheme="majorHAnsi" w:cstheme="minorHAnsi"/>
                <w:sz w:val="22"/>
                <w:szCs w:val="22"/>
                <w:lang w:val="fr-FR"/>
              </w:rPr>
              <w:t xml:space="preserve"> CDT dans les centre</w:t>
            </w:r>
            <w:r w:rsidR="00BE7557" w:rsidRPr="00C92E14">
              <w:rPr>
                <w:rFonts w:asciiTheme="majorHAnsi" w:hAnsiTheme="majorHAnsi" w:cstheme="minorHAnsi"/>
                <w:sz w:val="22"/>
                <w:szCs w:val="22"/>
                <w:lang w:val="fr-FR"/>
              </w:rPr>
              <w:t>s</w:t>
            </w:r>
            <w:r w:rsidRPr="00C92E14">
              <w:rPr>
                <w:rFonts w:asciiTheme="majorHAnsi" w:hAnsiTheme="majorHAnsi" w:cstheme="minorHAnsi"/>
                <w:sz w:val="22"/>
                <w:szCs w:val="22"/>
                <w:lang w:val="fr-FR"/>
              </w:rPr>
              <w:t xml:space="preserve"> de santé existant pour ap</w:t>
            </w:r>
            <w:r w:rsidR="00BE7557" w:rsidRPr="00C92E14">
              <w:rPr>
                <w:rFonts w:asciiTheme="majorHAnsi" w:hAnsiTheme="majorHAnsi" w:cstheme="minorHAnsi"/>
                <w:sz w:val="22"/>
                <w:szCs w:val="22"/>
                <w:lang w:val="fr-FR"/>
              </w:rPr>
              <w:t>p</w:t>
            </w:r>
            <w:r w:rsidRPr="00C92E14">
              <w:rPr>
                <w:rFonts w:asciiTheme="majorHAnsi" w:hAnsiTheme="majorHAnsi" w:cstheme="minorHAnsi"/>
                <w:sz w:val="22"/>
                <w:szCs w:val="22"/>
                <w:lang w:val="fr-FR"/>
              </w:rPr>
              <w:t>rocher le patient aux CDT</w:t>
            </w:r>
          </w:p>
          <w:p w14:paraId="46E48FCE" w14:textId="77777777" w:rsidR="000D62B7" w:rsidRPr="00C92E14" w:rsidRDefault="000D62B7" w:rsidP="000D62B7">
            <w:pPr>
              <w:pStyle w:val="Commentaire"/>
              <w:numPr>
                <w:ilvl w:val="0"/>
                <w:numId w:val="3"/>
              </w:numPr>
              <w:rPr>
                <w:rFonts w:asciiTheme="majorHAnsi" w:hAnsiTheme="majorHAnsi" w:cstheme="minorHAnsi"/>
                <w:sz w:val="22"/>
                <w:szCs w:val="22"/>
                <w:highlight w:val="cyan"/>
                <w:lang w:val="fr-FR"/>
              </w:rPr>
            </w:pPr>
            <w:r w:rsidRPr="00C92E14">
              <w:rPr>
                <w:rFonts w:asciiTheme="majorHAnsi" w:hAnsiTheme="majorHAnsi" w:cstheme="minorHAnsi"/>
                <w:sz w:val="22"/>
                <w:szCs w:val="22"/>
                <w:highlight w:val="cyan"/>
                <w:lang w:val="fr-FR"/>
              </w:rPr>
              <w:t xml:space="preserve">Augmenter les sites </w:t>
            </w:r>
            <w:proofErr w:type="spellStart"/>
            <w:proofErr w:type="gramStart"/>
            <w:r w:rsidRPr="00C92E14">
              <w:rPr>
                <w:rFonts w:asciiTheme="majorHAnsi" w:hAnsiTheme="majorHAnsi" w:cstheme="minorHAnsi"/>
                <w:sz w:val="22"/>
                <w:szCs w:val="22"/>
                <w:highlight w:val="cyan"/>
                <w:lang w:val="fr-FR"/>
              </w:rPr>
              <w:t>Xpert</w:t>
            </w:r>
            <w:proofErr w:type="spellEnd"/>
            <w:r w:rsidRPr="00C92E14">
              <w:rPr>
                <w:rFonts w:asciiTheme="majorHAnsi" w:hAnsiTheme="majorHAnsi" w:cstheme="minorHAnsi"/>
                <w:sz w:val="22"/>
                <w:szCs w:val="22"/>
                <w:highlight w:val="cyan"/>
                <w:lang w:val="fr-FR"/>
              </w:rPr>
              <w:t xml:space="preserve">  pour</w:t>
            </w:r>
            <w:proofErr w:type="gramEnd"/>
            <w:r w:rsidRPr="00C92E14">
              <w:rPr>
                <w:rFonts w:asciiTheme="majorHAnsi" w:hAnsiTheme="majorHAnsi" w:cstheme="minorHAnsi"/>
                <w:sz w:val="22"/>
                <w:szCs w:val="22"/>
                <w:highlight w:val="cyan"/>
                <w:lang w:val="fr-FR"/>
              </w:rPr>
              <w:t xml:space="preserve"> augmenter la capacité pour le diagnostic de TB et résistance et le suivie biologique des patients TB/VIH</w:t>
            </w:r>
          </w:p>
          <w:p w14:paraId="496D9BDD" w14:textId="77777777" w:rsidR="000D62B7" w:rsidRPr="00C92E14" w:rsidRDefault="000D62B7" w:rsidP="000D62B7">
            <w:pPr>
              <w:pStyle w:val="Commentaire"/>
              <w:numPr>
                <w:ilvl w:val="0"/>
                <w:numId w:val="3"/>
              </w:numPr>
              <w:rPr>
                <w:rFonts w:asciiTheme="majorHAnsi" w:hAnsiTheme="majorHAnsi" w:cstheme="minorHAnsi"/>
                <w:sz w:val="22"/>
                <w:szCs w:val="22"/>
                <w:lang w:val="fr-FR"/>
              </w:rPr>
            </w:pPr>
            <w:r w:rsidRPr="00C92E14">
              <w:rPr>
                <w:rFonts w:asciiTheme="majorHAnsi" w:hAnsiTheme="majorHAnsi" w:cstheme="minorHAnsi"/>
                <w:sz w:val="22"/>
                <w:szCs w:val="22"/>
                <w:lang w:val="fr-FR"/>
              </w:rPr>
              <w:t xml:space="preserve">Doter le personnel dans les laboratoires à fortes </w:t>
            </w:r>
            <w:proofErr w:type="gramStart"/>
            <w:r w:rsidRPr="00C92E14">
              <w:rPr>
                <w:rFonts w:asciiTheme="majorHAnsi" w:hAnsiTheme="majorHAnsi" w:cstheme="minorHAnsi"/>
                <w:sz w:val="22"/>
                <w:szCs w:val="22"/>
                <w:lang w:val="fr-FR"/>
              </w:rPr>
              <w:t>capacité  et</w:t>
            </w:r>
            <w:proofErr w:type="gramEnd"/>
            <w:r w:rsidRPr="00C92E14">
              <w:rPr>
                <w:rFonts w:asciiTheme="majorHAnsi" w:hAnsiTheme="majorHAnsi" w:cstheme="minorHAnsi"/>
                <w:sz w:val="22"/>
                <w:szCs w:val="22"/>
                <w:lang w:val="fr-FR"/>
              </w:rPr>
              <w:t xml:space="preserve"> surtout au LNRM.</w:t>
            </w:r>
          </w:p>
          <w:p w14:paraId="0D0158D0" w14:textId="77777777" w:rsidR="000D62B7" w:rsidRPr="00C92E14" w:rsidRDefault="000D62B7" w:rsidP="000D62B7">
            <w:pPr>
              <w:pStyle w:val="Commentaire"/>
              <w:numPr>
                <w:ilvl w:val="0"/>
                <w:numId w:val="3"/>
              </w:numPr>
              <w:rPr>
                <w:rFonts w:asciiTheme="majorHAnsi" w:hAnsiTheme="majorHAnsi" w:cstheme="minorHAnsi"/>
                <w:sz w:val="22"/>
                <w:szCs w:val="22"/>
                <w:highlight w:val="cyan"/>
                <w:lang w:val="fr-FR"/>
              </w:rPr>
            </w:pPr>
            <w:r w:rsidRPr="00C92E14">
              <w:rPr>
                <w:rFonts w:asciiTheme="majorHAnsi" w:hAnsiTheme="majorHAnsi" w:cstheme="minorHAnsi"/>
                <w:sz w:val="22"/>
                <w:szCs w:val="22"/>
                <w:highlight w:val="cyan"/>
                <w:lang w:val="fr-FR"/>
              </w:rPr>
              <w:t xml:space="preserve">Equipe les sites </w:t>
            </w:r>
            <w:proofErr w:type="spellStart"/>
            <w:r w:rsidRPr="00C92E14">
              <w:rPr>
                <w:rFonts w:asciiTheme="majorHAnsi" w:hAnsiTheme="majorHAnsi" w:cstheme="minorHAnsi"/>
                <w:sz w:val="22"/>
                <w:szCs w:val="22"/>
                <w:highlight w:val="cyan"/>
                <w:lang w:val="fr-FR"/>
              </w:rPr>
              <w:t>Xpert</w:t>
            </w:r>
            <w:proofErr w:type="spellEnd"/>
            <w:r w:rsidRPr="00C92E14">
              <w:rPr>
                <w:rFonts w:asciiTheme="majorHAnsi" w:hAnsiTheme="majorHAnsi" w:cstheme="minorHAnsi"/>
                <w:sz w:val="22"/>
                <w:szCs w:val="22"/>
                <w:highlight w:val="cyan"/>
                <w:lang w:val="fr-FR"/>
              </w:rPr>
              <w:t xml:space="preserve"> en </w:t>
            </w:r>
            <w:r w:rsidR="00C65591" w:rsidRPr="00C92E14">
              <w:rPr>
                <w:rFonts w:asciiTheme="majorHAnsi" w:hAnsiTheme="majorHAnsi" w:cstheme="minorHAnsi"/>
                <w:sz w:val="22"/>
                <w:szCs w:val="22"/>
                <w:highlight w:val="cyan"/>
                <w:lang w:val="fr-FR"/>
              </w:rPr>
              <w:t>panneau</w:t>
            </w:r>
            <w:r w:rsidRPr="00C92E14">
              <w:rPr>
                <w:rFonts w:asciiTheme="majorHAnsi" w:hAnsiTheme="majorHAnsi" w:cstheme="minorHAnsi"/>
                <w:sz w:val="22"/>
                <w:szCs w:val="22"/>
                <w:highlight w:val="cyan"/>
                <w:lang w:val="fr-FR"/>
              </w:rPr>
              <w:t xml:space="preserve"> solaire pour les microscopes et machine </w:t>
            </w:r>
            <w:proofErr w:type="spellStart"/>
            <w:proofErr w:type="gramStart"/>
            <w:r w:rsidRPr="00C92E14">
              <w:rPr>
                <w:rFonts w:asciiTheme="majorHAnsi" w:hAnsiTheme="majorHAnsi" w:cstheme="minorHAnsi"/>
                <w:sz w:val="22"/>
                <w:szCs w:val="22"/>
                <w:highlight w:val="cyan"/>
                <w:lang w:val="fr-FR"/>
              </w:rPr>
              <w:t>Xpert</w:t>
            </w:r>
            <w:proofErr w:type="spellEnd"/>
            <w:r w:rsidRPr="00C92E14">
              <w:rPr>
                <w:rFonts w:asciiTheme="majorHAnsi" w:hAnsiTheme="majorHAnsi" w:cstheme="minorHAnsi"/>
                <w:sz w:val="22"/>
                <w:szCs w:val="22"/>
                <w:highlight w:val="cyan"/>
                <w:lang w:val="fr-FR"/>
              </w:rPr>
              <w:t xml:space="preserve"> .</w:t>
            </w:r>
            <w:proofErr w:type="gramEnd"/>
          </w:p>
          <w:p w14:paraId="07B8C9C8" w14:textId="77777777" w:rsidR="000D62B7" w:rsidRPr="00C92E14" w:rsidRDefault="000D62B7" w:rsidP="000D62B7">
            <w:pPr>
              <w:pStyle w:val="Commentaire"/>
              <w:numPr>
                <w:ilvl w:val="0"/>
                <w:numId w:val="3"/>
              </w:numPr>
              <w:rPr>
                <w:rFonts w:asciiTheme="majorHAnsi" w:hAnsiTheme="majorHAnsi" w:cstheme="minorHAnsi"/>
                <w:sz w:val="22"/>
                <w:szCs w:val="22"/>
                <w:lang w:val="fr-FR"/>
              </w:rPr>
            </w:pPr>
            <w:r w:rsidRPr="00C92E14">
              <w:rPr>
                <w:rFonts w:asciiTheme="majorHAnsi" w:hAnsiTheme="majorHAnsi" w:cstheme="minorHAnsi"/>
                <w:sz w:val="22"/>
                <w:szCs w:val="22"/>
                <w:lang w:val="fr-FR"/>
              </w:rPr>
              <w:t xml:space="preserve">  Assurer la connectivité des sites </w:t>
            </w:r>
          </w:p>
          <w:p w14:paraId="5721A332" w14:textId="77777777" w:rsidR="000D62B7" w:rsidRPr="00C92E14" w:rsidRDefault="000D62B7" w:rsidP="000D62B7">
            <w:pPr>
              <w:pStyle w:val="Commentaire"/>
              <w:numPr>
                <w:ilvl w:val="0"/>
                <w:numId w:val="3"/>
              </w:numPr>
              <w:rPr>
                <w:rFonts w:asciiTheme="majorHAnsi" w:hAnsiTheme="majorHAnsi" w:cstheme="minorHAnsi"/>
                <w:sz w:val="22"/>
                <w:szCs w:val="22"/>
                <w:lang w:val="fr-FR"/>
              </w:rPr>
            </w:pPr>
            <w:r w:rsidRPr="00C92E14">
              <w:rPr>
                <w:rFonts w:asciiTheme="majorHAnsi" w:hAnsiTheme="majorHAnsi" w:cstheme="minorHAnsi"/>
                <w:sz w:val="22"/>
                <w:szCs w:val="22"/>
                <w:lang w:val="fr-FR"/>
              </w:rPr>
              <w:t>Assurer un plan de maintenance de tous les équipements</w:t>
            </w:r>
          </w:p>
          <w:p w14:paraId="407E8F14" w14:textId="77777777" w:rsidR="000D62B7" w:rsidRPr="00C92E14" w:rsidRDefault="000D62B7" w:rsidP="000D62B7">
            <w:pPr>
              <w:pStyle w:val="Commentaire"/>
              <w:numPr>
                <w:ilvl w:val="0"/>
                <w:numId w:val="3"/>
              </w:numPr>
              <w:spacing w:line="240" w:lineRule="atLeast"/>
              <w:rPr>
                <w:rFonts w:asciiTheme="majorHAnsi" w:eastAsia="Times New Roman" w:hAnsiTheme="majorHAnsi" w:cs="Times New Roman"/>
                <w:color w:val="000000"/>
                <w:sz w:val="22"/>
                <w:szCs w:val="22"/>
                <w:lang w:val="fr-FR" w:eastAsia="fr-FR"/>
              </w:rPr>
            </w:pPr>
            <w:r w:rsidRPr="00C92E14">
              <w:rPr>
                <w:rFonts w:asciiTheme="majorHAnsi" w:hAnsiTheme="majorHAnsi" w:cstheme="minorHAnsi"/>
                <w:sz w:val="22"/>
                <w:szCs w:val="22"/>
                <w:lang w:val="fr-FR"/>
              </w:rPr>
              <w:t xml:space="preserve">Etendre la gratuité des tests à tous les niveaux TB en </w:t>
            </w:r>
            <w:r w:rsidR="00C65591" w:rsidRPr="00C92E14">
              <w:rPr>
                <w:rFonts w:asciiTheme="majorHAnsi" w:hAnsiTheme="majorHAnsi" w:cstheme="minorHAnsi"/>
                <w:sz w:val="22"/>
                <w:szCs w:val="22"/>
                <w:lang w:val="fr-FR"/>
              </w:rPr>
              <w:t>assurant la</w:t>
            </w:r>
            <w:r w:rsidRPr="00C92E14">
              <w:rPr>
                <w:rFonts w:asciiTheme="majorHAnsi" w:hAnsiTheme="majorHAnsi" w:cstheme="minorHAnsi"/>
                <w:sz w:val="22"/>
                <w:szCs w:val="22"/>
                <w:lang w:val="fr-FR"/>
              </w:rPr>
              <w:t xml:space="preserve"> subvention pour les </w:t>
            </w:r>
            <w:r w:rsidR="00C65591" w:rsidRPr="00C92E14">
              <w:rPr>
                <w:rFonts w:asciiTheme="majorHAnsi" w:hAnsiTheme="majorHAnsi" w:cstheme="minorHAnsi"/>
                <w:sz w:val="22"/>
                <w:szCs w:val="22"/>
                <w:lang w:val="fr-FR"/>
              </w:rPr>
              <w:t>tests gratuits</w:t>
            </w:r>
            <w:r w:rsidRPr="00C92E14">
              <w:rPr>
                <w:rFonts w:asciiTheme="majorHAnsi" w:hAnsiTheme="majorHAnsi" w:cstheme="minorHAnsi"/>
                <w:sz w:val="22"/>
                <w:szCs w:val="22"/>
                <w:lang w:val="fr-FR"/>
              </w:rPr>
              <w:t xml:space="preserve"> de Gene </w:t>
            </w:r>
            <w:proofErr w:type="spellStart"/>
            <w:r w:rsidRPr="00C92E14">
              <w:rPr>
                <w:rFonts w:asciiTheme="majorHAnsi" w:hAnsiTheme="majorHAnsi" w:cstheme="minorHAnsi"/>
                <w:sz w:val="22"/>
                <w:szCs w:val="22"/>
                <w:lang w:val="fr-FR"/>
              </w:rPr>
              <w:t>Xpert</w:t>
            </w:r>
            <w:proofErr w:type="spellEnd"/>
            <w:r w:rsidRPr="00C92E14">
              <w:rPr>
                <w:rFonts w:asciiTheme="majorHAnsi" w:hAnsiTheme="majorHAnsi" w:cstheme="minorHAnsi"/>
                <w:sz w:val="22"/>
                <w:szCs w:val="22"/>
                <w:lang w:val="fr-FR"/>
              </w:rPr>
              <w:t>, culture, DST, LPA.</w:t>
            </w:r>
          </w:p>
          <w:p w14:paraId="5243CAE8" w14:textId="77777777" w:rsidR="000D62B7" w:rsidRPr="00C92E14" w:rsidRDefault="000D62B7" w:rsidP="000D62B7">
            <w:pPr>
              <w:pStyle w:val="Commentaire"/>
              <w:numPr>
                <w:ilvl w:val="0"/>
                <w:numId w:val="3"/>
              </w:numPr>
              <w:spacing w:line="240" w:lineRule="atLeast"/>
              <w:rPr>
                <w:rFonts w:asciiTheme="majorHAnsi" w:hAnsiTheme="majorHAnsi" w:cstheme="minorHAnsi"/>
                <w:sz w:val="22"/>
                <w:szCs w:val="22"/>
                <w:lang w:val="fr-FR"/>
              </w:rPr>
            </w:pPr>
            <w:r w:rsidRPr="00C92E14">
              <w:rPr>
                <w:rFonts w:asciiTheme="majorHAnsi" w:hAnsiTheme="majorHAnsi" w:cstheme="minorHAnsi"/>
                <w:sz w:val="22"/>
                <w:szCs w:val="22"/>
                <w:lang w:val="fr-FR"/>
              </w:rPr>
              <w:t xml:space="preserve">Pour les obstacles liés au fonctionnement des plateformes il s’agira de renforcer le circuit d’approvisionnement, de renouveler les contrats de maintenance des équipements. Pour les obstacles liés à l’utilisation et la distribution des plateformes de charge virale, il s’agira de mettre en place d’un circuit de collecte des échantillons et de rendu des résultats, d’étendre la charge virale à toutes les plateformes </w:t>
            </w:r>
            <w:proofErr w:type="spellStart"/>
            <w:r w:rsidRPr="00C92E14">
              <w:rPr>
                <w:rFonts w:asciiTheme="majorHAnsi" w:hAnsiTheme="majorHAnsi" w:cstheme="minorHAnsi"/>
                <w:sz w:val="22"/>
                <w:szCs w:val="22"/>
                <w:lang w:val="fr-FR"/>
              </w:rPr>
              <w:t>GeneXpert</w:t>
            </w:r>
            <w:proofErr w:type="spellEnd"/>
            <w:r w:rsidRPr="00C92E14">
              <w:rPr>
                <w:rFonts w:asciiTheme="majorHAnsi" w:hAnsiTheme="majorHAnsi" w:cstheme="minorHAnsi"/>
                <w:sz w:val="22"/>
                <w:szCs w:val="22"/>
                <w:lang w:val="fr-FR"/>
              </w:rPr>
              <w:t>. La prise en compte dans la quantification des intrants pour le suivi biologique des PVVIH et l’achat d’intrants pour le diagnostic des infections opportunistes.</w:t>
            </w:r>
          </w:p>
        </w:tc>
      </w:tr>
      <w:tr w:rsidR="000D62B7" w:rsidRPr="00B75C61" w14:paraId="5A257A08" w14:textId="77777777" w:rsidTr="00682D1B">
        <w:trPr>
          <w:trHeight w:val="288"/>
        </w:trPr>
        <w:tc>
          <w:tcPr>
            <w:tcW w:w="1908" w:type="pct"/>
            <w:shd w:val="clear" w:color="auto" w:fill="DAEEF3" w:themeFill="accent5" w:themeFillTint="33"/>
          </w:tcPr>
          <w:p w14:paraId="657E1ED2" w14:textId="77777777" w:rsidR="000D62B7" w:rsidRPr="00B75C61" w:rsidRDefault="000D62B7" w:rsidP="000D62B7">
            <w:pPr>
              <w:pStyle w:val="Default"/>
              <w:rPr>
                <w:sz w:val="18"/>
                <w:szCs w:val="18"/>
                <w:lang w:val="fr-FR"/>
              </w:rPr>
            </w:pPr>
            <w:r w:rsidRPr="00B75C61">
              <w:rPr>
                <w:b/>
                <w:bCs/>
                <w:sz w:val="18"/>
                <w:szCs w:val="18"/>
                <w:lang w:val="fr-FR"/>
              </w:rPr>
              <w:t xml:space="preserve">Justification </w:t>
            </w:r>
          </w:p>
        </w:tc>
        <w:tc>
          <w:tcPr>
            <w:tcW w:w="3092" w:type="pct"/>
            <w:shd w:val="clear" w:color="auto" w:fill="DAEEF3" w:themeFill="accent5" w:themeFillTint="33"/>
          </w:tcPr>
          <w:p w14:paraId="32714CE2" w14:textId="77777777" w:rsidR="000D62B7" w:rsidRPr="00C92E14" w:rsidRDefault="000D62B7" w:rsidP="000D62B7">
            <w:pPr>
              <w:pStyle w:val="Default"/>
              <w:rPr>
                <w:rFonts w:asciiTheme="majorHAnsi" w:hAnsiTheme="majorHAnsi"/>
                <w:sz w:val="22"/>
                <w:szCs w:val="22"/>
                <w:lang w:val="fr-FR"/>
              </w:rPr>
            </w:pPr>
            <w:r w:rsidRPr="00C92E14">
              <w:rPr>
                <w:rFonts w:asciiTheme="majorHAnsi" w:hAnsiTheme="majorHAnsi"/>
                <w:sz w:val="22"/>
                <w:szCs w:val="22"/>
                <w:lang w:val="fr-FR"/>
              </w:rPr>
              <w:t xml:space="preserve">Description de l’analyse/des raisons qui ont conduit à donner la priorité à ce module et aux principales activités et interventions sélectionnées. </w:t>
            </w:r>
          </w:p>
          <w:p w14:paraId="3F9F57D6" w14:textId="77777777" w:rsidR="000D62B7" w:rsidRPr="00C92E14" w:rsidRDefault="000D62B7" w:rsidP="000D62B7">
            <w:pPr>
              <w:pStyle w:val="Default"/>
              <w:rPr>
                <w:rFonts w:asciiTheme="majorHAnsi" w:hAnsiTheme="majorHAnsi"/>
                <w:sz w:val="22"/>
                <w:szCs w:val="22"/>
                <w:lang w:val="fr-FR"/>
              </w:rPr>
            </w:pPr>
            <w:r w:rsidRPr="00C92E14">
              <w:rPr>
                <w:rFonts w:asciiTheme="majorHAnsi" w:hAnsiTheme="majorHAnsi"/>
                <w:sz w:val="22"/>
                <w:szCs w:val="22"/>
                <w:lang w:val="fr-FR"/>
              </w:rPr>
              <w:t xml:space="preserve">Les candidats sont fortement encouragés à citer des documents clés (par exemple, le tableau de lacunes programmatiques) pour étayer leur justification. </w:t>
            </w:r>
          </w:p>
          <w:p w14:paraId="5EF98F7F" w14:textId="77777777" w:rsidR="000D62B7" w:rsidRPr="00C92E14" w:rsidRDefault="000D62B7" w:rsidP="000D62B7">
            <w:pPr>
              <w:pStyle w:val="Default"/>
              <w:rPr>
                <w:rFonts w:asciiTheme="majorHAnsi" w:hAnsiTheme="majorHAnsi"/>
                <w:sz w:val="22"/>
                <w:szCs w:val="22"/>
                <w:lang w:val="fr-FR"/>
              </w:rPr>
            </w:pPr>
          </w:p>
          <w:p w14:paraId="2702E46A" w14:textId="77777777" w:rsidR="000D62B7" w:rsidRPr="00C92E14" w:rsidRDefault="000D62B7" w:rsidP="000D62B7">
            <w:pPr>
              <w:pStyle w:val="NormalWeb"/>
              <w:rPr>
                <w:rFonts w:asciiTheme="majorHAnsi" w:hAnsiTheme="majorHAnsi" w:cstheme="minorHAnsi"/>
                <w:sz w:val="22"/>
                <w:szCs w:val="22"/>
                <w:lang w:val="fr-FR"/>
              </w:rPr>
            </w:pPr>
            <w:r w:rsidRPr="00C92E14">
              <w:rPr>
                <w:rFonts w:asciiTheme="majorHAnsi" w:hAnsiTheme="majorHAnsi" w:cstheme="minorHAnsi"/>
                <w:sz w:val="22"/>
                <w:szCs w:val="22"/>
                <w:lang w:val="fr-FR"/>
              </w:rPr>
              <w:t>Dans le cadre de la riposte aux maladies pour la période 2021-2023 :</w:t>
            </w:r>
          </w:p>
          <w:p w14:paraId="350171DA" w14:textId="77777777" w:rsidR="000D62B7" w:rsidRPr="00C92E14" w:rsidRDefault="000D62B7" w:rsidP="000D62B7">
            <w:pPr>
              <w:pStyle w:val="NormalWeb"/>
              <w:rPr>
                <w:rFonts w:asciiTheme="majorHAnsi" w:hAnsiTheme="majorHAnsi" w:cstheme="minorHAnsi"/>
                <w:sz w:val="22"/>
                <w:szCs w:val="22"/>
                <w:lang w:val="fr-FR"/>
              </w:rPr>
            </w:pPr>
            <w:r w:rsidRPr="00C92E14">
              <w:rPr>
                <w:rFonts w:asciiTheme="majorHAnsi" w:hAnsiTheme="majorHAnsi" w:cstheme="minorHAnsi"/>
                <w:sz w:val="22"/>
                <w:szCs w:val="22"/>
                <w:lang w:val="fr-FR"/>
              </w:rPr>
              <w:t xml:space="preserve">Nombre des patients </w:t>
            </w:r>
            <w:r w:rsidR="00BE7557" w:rsidRPr="00C92E14">
              <w:rPr>
                <w:rFonts w:asciiTheme="majorHAnsi" w:hAnsiTheme="majorHAnsi" w:cstheme="minorHAnsi"/>
                <w:sz w:val="22"/>
                <w:szCs w:val="22"/>
                <w:lang w:val="fr-FR"/>
              </w:rPr>
              <w:t>présumés</w:t>
            </w:r>
            <w:r w:rsidRPr="00C92E14">
              <w:rPr>
                <w:rFonts w:asciiTheme="majorHAnsi" w:hAnsiTheme="majorHAnsi" w:cstheme="minorHAnsi"/>
                <w:sz w:val="22"/>
                <w:szCs w:val="22"/>
                <w:lang w:val="fr-FR"/>
              </w:rPr>
              <w:t xml:space="preserve"> tuberculeux </w:t>
            </w:r>
            <w:r w:rsidR="00BE7557" w:rsidRPr="00C92E14">
              <w:rPr>
                <w:rFonts w:asciiTheme="majorHAnsi" w:hAnsiTheme="majorHAnsi" w:cstheme="minorHAnsi"/>
                <w:sz w:val="22"/>
                <w:szCs w:val="22"/>
                <w:lang w:val="fr-FR"/>
              </w:rPr>
              <w:t>orientés</w:t>
            </w:r>
            <w:r w:rsidRPr="00C92E14">
              <w:rPr>
                <w:rFonts w:asciiTheme="majorHAnsi" w:hAnsiTheme="majorHAnsi" w:cstheme="minorHAnsi"/>
                <w:sz w:val="22"/>
                <w:szCs w:val="22"/>
                <w:lang w:val="fr-FR"/>
              </w:rPr>
              <w:t xml:space="preserve"> par les agents communautaires passera de 1800 en 2018 à 9507 en 2023.</w:t>
            </w:r>
          </w:p>
          <w:p w14:paraId="13798CA4" w14:textId="77777777" w:rsidR="002721C9" w:rsidRPr="00C92E14" w:rsidRDefault="000D62B7" w:rsidP="000D62B7">
            <w:pPr>
              <w:pStyle w:val="NormalWeb"/>
              <w:rPr>
                <w:rFonts w:asciiTheme="majorHAnsi" w:hAnsiTheme="majorHAnsi"/>
                <w:sz w:val="22"/>
                <w:szCs w:val="22"/>
                <w:lang w:val="fr-FR"/>
              </w:rPr>
            </w:pPr>
            <w:r w:rsidRPr="00C92E14">
              <w:rPr>
                <w:rFonts w:asciiTheme="majorHAnsi" w:hAnsiTheme="majorHAnsi" w:cstheme="minorHAnsi"/>
                <w:sz w:val="22"/>
                <w:szCs w:val="22"/>
                <w:lang w:val="fr-FR"/>
              </w:rPr>
              <w:t xml:space="preserve">Il est attendu plus de </w:t>
            </w:r>
            <w:r w:rsidR="00BE7557" w:rsidRPr="00C92E14">
              <w:rPr>
                <w:rFonts w:asciiTheme="majorHAnsi" w:hAnsiTheme="majorHAnsi" w:cstheme="minorHAnsi"/>
                <w:sz w:val="22"/>
                <w:szCs w:val="22"/>
                <w:lang w:val="fr-FR"/>
              </w:rPr>
              <w:t>8000 patients</w:t>
            </w:r>
            <w:r w:rsidRPr="00C92E14">
              <w:rPr>
                <w:rFonts w:asciiTheme="majorHAnsi" w:hAnsiTheme="majorHAnsi" w:cstheme="minorHAnsi"/>
                <w:sz w:val="22"/>
                <w:szCs w:val="22"/>
                <w:lang w:val="fr-FR"/>
              </w:rPr>
              <w:t xml:space="preserve"> tuberculeux devant recevoir un traitement adapté et de </w:t>
            </w:r>
            <w:proofErr w:type="gramStart"/>
            <w:r w:rsidRPr="00C92E14">
              <w:rPr>
                <w:rFonts w:asciiTheme="majorHAnsi" w:hAnsiTheme="majorHAnsi" w:cstheme="minorHAnsi"/>
                <w:sz w:val="22"/>
                <w:szCs w:val="22"/>
                <w:lang w:val="fr-FR"/>
              </w:rPr>
              <w:t xml:space="preserve">qualité  </w:t>
            </w:r>
            <w:r w:rsidRPr="00C92E14">
              <w:rPr>
                <w:rFonts w:asciiTheme="majorHAnsi" w:hAnsiTheme="majorHAnsi"/>
                <w:sz w:val="22"/>
                <w:szCs w:val="22"/>
                <w:lang w:val="fr-FR"/>
              </w:rPr>
              <w:t>ainsi</w:t>
            </w:r>
            <w:proofErr w:type="gramEnd"/>
            <w:r w:rsidRPr="00C92E14">
              <w:rPr>
                <w:rFonts w:asciiTheme="majorHAnsi" w:hAnsiTheme="majorHAnsi"/>
                <w:sz w:val="22"/>
                <w:szCs w:val="22"/>
                <w:lang w:val="fr-FR"/>
              </w:rPr>
              <w:t xml:space="preserve"> les patients  les  tuberculeux soumis </w:t>
            </w:r>
            <w:proofErr w:type="spellStart"/>
            <w:r w:rsidRPr="00C92E14">
              <w:rPr>
                <w:rFonts w:asciiTheme="majorHAnsi" w:hAnsiTheme="majorHAnsi"/>
                <w:sz w:val="22"/>
                <w:szCs w:val="22"/>
                <w:lang w:val="fr-FR"/>
              </w:rPr>
              <w:t>a</w:t>
            </w:r>
            <w:proofErr w:type="spellEnd"/>
            <w:r w:rsidRPr="00C92E14">
              <w:rPr>
                <w:rFonts w:asciiTheme="majorHAnsi" w:hAnsiTheme="majorHAnsi"/>
                <w:sz w:val="22"/>
                <w:szCs w:val="22"/>
                <w:lang w:val="fr-FR"/>
              </w:rPr>
              <w:t xml:space="preserve">̀ des tests de </w:t>
            </w:r>
            <w:r w:rsidR="002721C9" w:rsidRPr="00C92E14">
              <w:rPr>
                <w:rFonts w:asciiTheme="majorHAnsi" w:hAnsiTheme="majorHAnsi"/>
                <w:sz w:val="22"/>
                <w:szCs w:val="22"/>
                <w:lang w:val="fr-FR"/>
              </w:rPr>
              <w:t>sensibilité</w:t>
            </w:r>
            <w:r w:rsidRPr="00C92E14">
              <w:rPr>
                <w:rFonts w:asciiTheme="majorHAnsi" w:hAnsiTheme="majorHAnsi"/>
                <w:sz w:val="22"/>
                <w:szCs w:val="22"/>
                <w:lang w:val="fr-FR"/>
              </w:rPr>
              <w:t xml:space="preserve">́ aux </w:t>
            </w:r>
            <w:r w:rsidR="002721C9" w:rsidRPr="00C92E14">
              <w:rPr>
                <w:rFonts w:asciiTheme="majorHAnsi" w:hAnsiTheme="majorHAnsi"/>
                <w:sz w:val="22"/>
                <w:szCs w:val="22"/>
                <w:lang w:val="fr-FR"/>
              </w:rPr>
              <w:t>médicaments</w:t>
            </w:r>
            <w:r w:rsidRPr="00C92E14">
              <w:rPr>
                <w:rFonts w:asciiTheme="majorHAnsi" w:hAnsiTheme="majorHAnsi"/>
                <w:sz w:val="22"/>
                <w:szCs w:val="22"/>
                <w:lang w:val="fr-FR"/>
              </w:rPr>
              <w:t xml:space="preserve"> (cas </w:t>
            </w:r>
            <w:r w:rsidR="002721C9" w:rsidRPr="00C92E14">
              <w:rPr>
                <w:rFonts w:asciiTheme="majorHAnsi" w:hAnsiTheme="majorHAnsi"/>
                <w:sz w:val="22"/>
                <w:szCs w:val="22"/>
                <w:lang w:val="fr-FR"/>
              </w:rPr>
              <w:t>bactériologiquement</w:t>
            </w:r>
            <w:r w:rsidRPr="00C92E14">
              <w:rPr>
                <w:rFonts w:asciiTheme="majorHAnsi" w:hAnsiTheme="majorHAnsi"/>
                <w:sz w:val="22"/>
                <w:szCs w:val="22"/>
                <w:lang w:val="fr-FR"/>
              </w:rPr>
              <w:t xml:space="preserve"> positifs uniquement) passera de 14% en 2018 à 85%  en 2023 en utilisant le Gene </w:t>
            </w:r>
            <w:proofErr w:type="spellStart"/>
            <w:r w:rsidRPr="00C92E14">
              <w:rPr>
                <w:rFonts w:asciiTheme="majorHAnsi" w:hAnsiTheme="majorHAnsi"/>
                <w:sz w:val="22"/>
                <w:szCs w:val="22"/>
                <w:lang w:val="fr-FR"/>
              </w:rPr>
              <w:t>Xpert</w:t>
            </w:r>
            <w:proofErr w:type="spellEnd"/>
            <w:r w:rsidRPr="00C92E14">
              <w:rPr>
                <w:rFonts w:asciiTheme="majorHAnsi" w:hAnsiTheme="majorHAnsi"/>
                <w:sz w:val="22"/>
                <w:szCs w:val="22"/>
                <w:lang w:val="fr-FR"/>
              </w:rPr>
              <w:t xml:space="preserve"> comme premier test de diagnostic ,</w:t>
            </w:r>
          </w:p>
          <w:p w14:paraId="39153E41" w14:textId="77777777" w:rsidR="000D62B7" w:rsidRPr="00C92E14" w:rsidRDefault="000D62B7" w:rsidP="000D62B7">
            <w:pPr>
              <w:pStyle w:val="NormalWeb"/>
              <w:rPr>
                <w:rFonts w:asciiTheme="majorHAnsi" w:hAnsiTheme="majorHAnsi" w:cstheme="minorHAnsi"/>
                <w:sz w:val="22"/>
                <w:szCs w:val="22"/>
                <w:lang w:val="fr-FR"/>
              </w:rPr>
            </w:pPr>
            <w:r w:rsidRPr="00C92E14">
              <w:rPr>
                <w:rFonts w:asciiTheme="majorHAnsi" w:hAnsiTheme="majorHAnsi"/>
                <w:sz w:val="22"/>
                <w:szCs w:val="22"/>
                <w:lang w:val="fr-FR"/>
              </w:rPr>
              <w:t xml:space="preserve"> </w:t>
            </w:r>
            <w:proofErr w:type="gramStart"/>
            <w:r w:rsidRPr="00C92E14">
              <w:rPr>
                <w:rFonts w:asciiTheme="majorHAnsi" w:hAnsiTheme="majorHAnsi"/>
                <w:sz w:val="22"/>
                <w:szCs w:val="22"/>
                <w:lang w:val="fr-FR"/>
              </w:rPr>
              <w:t>nombre</w:t>
            </w:r>
            <w:proofErr w:type="gramEnd"/>
            <w:r w:rsidRPr="00C92E14">
              <w:rPr>
                <w:rFonts w:asciiTheme="majorHAnsi" w:hAnsiTheme="majorHAnsi"/>
                <w:sz w:val="22"/>
                <w:szCs w:val="22"/>
                <w:lang w:val="fr-FR"/>
              </w:rPr>
              <w:t xml:space="preserve"> de patients RR/MDR ayant été confirmé MDR passera de 79% en 2018 pour atteindre  95 en 2023.</w:t>
            </w:r>
          </w:p>
          <w:p w14:paraId="7F0212CF"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lang w:val="fr-FR"/>
              </w:rPr>
              <w:t xml:space="preserve"> Pour le VIH, les 51860 patients sous ARV en fin 2019 (</w:t>
            </w:r>
            <w:r w:rsidRPr="00C92E14">
              <w:rPr>
                <w:rFonts w:asciiTheme="majorHAnsi" w:hAnsiTheme="majorHAnsi" w:cstheme="minorHAnsi"/>
                <w:highlight w:val="yellow"/>
                <w:lang w:val="fr-FR"/>
              </w:rPr>
              <w:t>X</w:t>
            </w:r>
            <w:r w:rsidRPr="00C92E14">
              <w:rPr>
                <w:rFonts w:asciiTheme="majorHAnsi" w:hAnsiTheme="majorHAnsi" w:cstheme="minorHAnsi"/>
                <w:lang w:val="fr-FR"/>
              </w:rPr>
              <w:t xml:space="preserve"> adultes et </w:t>
            </w:r>
            <w:r w:rsidRPr="00C92E14">
              <w:rPr>
                <w:rFonts w:asciiTheme="majorHAnsi" w:hAnsiTheme="majorHAnsi" w:cstheme="minorHAnsi"/>
                <w:highlight w:val="yellow"/>
                <w:lang w:val="fr-FR"/>
              </w:rPr>
              <w:t>xx</w:t>
            </w:r>
            <w:r w:rsidRPr="00C92E14">
              <w:rPr>
                <w:rFonts w:asciiTheme="majorHAnsi" w:hAnsiTheme="majorHAnsi" w:cstheme="minorHAnsi"/>
                <w:lang w:val="fr-FR"/>
              </w:rPr>
              <w:t xml:space="preserve"> enfants) ont besoin dans le cadre de la continuité de leur traitement d'accéder à des examens biologiques de suivi (CD4, CV, NFS, etc..) pour garantir que leur traitement reste toujours adapté et de qualité. En outre l'atteinte des objectifs nationaux nécessitera le dépistage du VIH pour </w:t>
            </w:r>
            <w:r w:rsidRPr="00C92E14">
              <w:rPr>
                <w:rFonts w:asciiTheme="majorHAnsi" w:hAnsiTheme="majorHAnsi" w:cstheme="minorHAnsi"/>
                <w:highlight w:val="yellow"/>
                <w:lang w:val="fr-FR"/>
              </w:rPr>
              <w:t>XX</w:t>
            </w:r>
            <w:r w:rsidRPr="00C92E14">
              <w:rPr>
                <w:rFonts w:asciiTheme="majorHAnsi" w:hAnsiTheme="majorHAnsi" w:cstheme="minorHAnsi"/>
                <w:lang w:val="fr-FR"/>
              </w:rPr>
              <w:t xml:space="preserve"> personnes entre 2021-2023, le dépistage précoce de </w:t>
            </w:r>
            <w:r w:rsidRPr="00C92E14">
              <w:rPr>
                <w:rFonts w:asciiTheme="majorHAnsi" w:hAnsiTheme="majorHAnsi" w:cstheme="minorHAnsi"/>
                <w:highlight w:val="yellow"/>
                <w:lang w:val="fr-FR"/>
              </w:rPr>
              <w:t>XX</w:t>
            </w:r>
            <w:r w:rsidRPr="00C92E14">
              <w:rPr>
                <w:rFonts w:asciiTheme="majorHAnsi" w:hAnsiTheme="majorHAnsi" w:cstheme="minorHAnsi"/>
                <w:lang w:val="fr-FR"/>
              </w:rPr>
              <w:t xml:space="preserve"> enfants pour la même période. Le module permettra de poursuivre les efforts de mise en place des plateformes intégrées, fonctionnelle et accessible à même d'assurer i) la détection/dépistage de la tuberculose (sensible et résistante) et du VIH, ii) le suivi biologique des patients tuberculeux et VIH sous traitement.</w:t>
            </w:r>
          </w:p>
          <w:p w14:paraId="0D988F2E" w14:textId="77777777" w:rsidR="000D62B7" w:rsidRPr="00C92E14" w:rsidRDefault="000D62B7" w:rsidP="000D62B7">
            <w:pPr>
              <w:rPr>
                <w:rFonts w:asciiTheme="majorHAnsi" w:hAnsiTheme="majorHAnsi" w:cstheme="minorHAnsi"/>
                <w:lang w:val="fr-FR"/>
              </w:rPr>
            </w:pPr>
          </w:p>
          <w:p w14:paraId="30B9947B" w14:textId="77777777" w:rsidR="000D62B7" w:rsidRPr="00C92E14" w:rsidRDefault="000D62B7" w:rsidP="000D62B7">
            <w:pPr>
              <w:rPr>
                <w:rFonts w:asciiTheme="majorHAnsi" w:hAnsiTheme="majorHAnsi" w:cstheme="minorHAnsi"/>
                <w:lang w:val="fr-FR"/>
              </w:rPr>
            </w:pPr>
          </w:p>
          <w:p w14:paraId="5A81F212"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lang w:val="fr-FR"/>
              </w:rPr>
              <w:t xml:space="preserve">En dépit des progrès réalisés pour étendre la couverture en dépistage/diagnostic du VIH et de la tuberculose et du suivi biologique des PVVIH (y compris la charge virale), il reste encore des défis à relever pour étendre cette couverte à tous les PVVIH : au nombre de ces défis, nous avons entre autres : </w:t>
            </w:r>
          </w:p>
          <w:p w14:paraId="46309001" w14:textId="77777777" w:rsidR="000D62B7" w:rsidRPr="00C92E14" w:rsidRDefault="000D62B7" w:rsidP="000D62B7">
            <w:pPr>
              <w:pStyle w:val="Paragraphedeliste"/>
              <w:numPr>
                <w:ilvl w:val="0"/>
                <w:numId w:val="3"/>
              </w:numPr>
              <w:rPr>
                <w:rFonts w:asciiTheme="majorHAnsi" w:hAnsiTheme="majorHAnsi" w:cstheme="minorHAnsi"/>
                <w:lang w:val="fr-FR"/>
              </w:rPr>
            </w:pPr>
            <w:r w:rsidRPr="00C92E14">
              <w:rPr>
                <w:rFonts w:asciiTheme="majorHAnsi" w:hAnsiTheme="majorHAnsi" w:cstheme="minorHAnsi"/>
                <w:lang w:val="fr-FR"/>
              </w:rPr>
              <w:t>Offrir des prestations de qualité fournissant des données de qualité aussi bien pour le VIH que la tuberculose ;</w:t>
            </w:r>
          </w:p>
          <w:p w14:paraId="50114CAE" w14:textId="77777777" w:rsidR="000D62B7" w:rsidRPr="00C92E14" w:rsidRDefault="000D62B7" w:rsidP="000D62B7">
            <w:pPr>
              <w:pStyle w:val="Paragraphedeliste"/>
              <w:numPr>
                <w:ilvl w:val="0"/>
                <w:numId w:val="3"/>
              </w:numPr>
              <w:rPr>
                <w:rFonts w:asciiTheme="majorHAnsi" w:hAnsiTheme="majorHAnsi" w:cstheme="minorHAnsi"/>
                <w:lang w:val="fr-FR"/>
              </w:rPr>
            </w:pPr>
            <w:r w:rsidRPr="00C92E14">
              <w:rPr>
                <w:rFonts w:asciiTheme="majorHAnsi" w:hAnsiTheme="majorHAnsi" w:cstheme="minorHAnsi"/>
                <w:lang w:val="fr-FR"/>
              </w:rPr>
              <w:t>Avoir des plateformes intégrés TB/VIH fonctionnelle et synergique</w:t>
            </w:r>
          </w:p>
          <w:p w14:paraId="42B792A4" w14:textId="77777777" w:rsidR="000D62B7" w:rsidRPr="00C92E14" w:rsidRDefault="000D62B7" w:rsidP="000D62B7">
            <w:pPr>
              <w:pStyle w:val="Paragraphedeliste"/>
              <w:numPr>
                <w:ilvl w:val="0"/>
                <w:numId w:val="3"/>
              </w:numPr>
              <w:rPr>
                <w:rFonts w:asciiTheme="majorHAnsi" w:hAnsiTheme="majorHAnsi" w:cstheme="minorHAnsi"/>
                <w:lang w:val="fr-FR"/>
              </w:rPr>
            </w:pPr>
            <w:r w:rsidRPr="00C92E14">
              <w:rPr>
                <w:rFonts w:asciiTheme="majorHAnsi" w:hAnsiTheme="majorHAnsi" w:cstheme="minorHAnsi"/>
                <w:lang w:val="fr-FR"/>
              </w:rPr>
              <w:t>Réduire les ruptures d’intrant et les péremptions au niveau des laboratoires TB/VIH</w:t>
            </w:r>
          </w:p>
          <w:p w14:paraId="178178D8" w14:textId="77777777" w:rsidR="000D62B7" w:rsidRPr="00C92E14" w:rsidRDefault="000D62B7" w:rsidP="000D62B7">
            <w:pPr>
              <w:pStyle w:val="Paragraphedeliste"/>
              <w:numPr>
                <w:ilvl w:val="0"/>
                <w:numId w:val="3"/>
              </w:numPr>
              <w:rPr>
                <w:rFonts w:asciiTheme="majorHAnsi" w:hAnsiTheme="majorHAnsi" w:cstheme="minorHAnsi"/>
                <w:lang w:val="fr-FR"/>
              </w:rPr>
            </w:pPr>
            <w:r w:rsidRPr="00C92E14">
              <w:rPr>
                <w:rFonts w:asciiTheme="majorHAnsi" w:hAnsiTheme="majorHAnsi" w:cstheme="minorHAnsi"/>
                <w:lang w:val="fr-FR"/>
              </w:rPr>
              <w:t>Assurer la promptitude et la qualité des données générées au niveau des laboratoires (traitement des échantillons et rendu des résultats dans les délais requis, la remonté des données et indicateurs au niveau des programmes)</w:t>
            </w:r>
          </w:p>
          <w:p w14:paraId="5D05B316" w14:textId="77777777" w:rsidR="000D62B7" w:rsidRPr="00C92E14" w:rsidRDefault="000D62B7" w:rsidP="000D62B7">
            <w:pPr>
              <w:pStyle w:val="Paragraphedeliste"/>
              <w:numPr>
                <w:ilvl w:val="0"/>
                <w:numId w:val="3"/>
              </w:numPr>
              <w:rPr>
                <w:rFonts w:asciiTheme="majorHAnsi" w:hAnsiTheme="majorHAnsi" w:cstheme="minorHAnsi"/>
                <w:lang w:val="fr-FR"/>
              </w:rPr>
            </w:pPr>
            <w:r w:rsidRPr="00C92E14">
              <w:rPr>
                <w:rFonts w:asciiTheme="majorHAnsi" w:hAnsiTheme="majorHAnsi" w:cstheme="minorHAnsi"/>
                <w:lang w:val="fr-FR"/>
              </w:rPr>
              <w:t>Mettre en place un circuit intégré de collecte des échantillons de sang et crachat des CS vers le niveau supérieur et le rendu des résultats</w:t>
            </w:r>
          </w:p>
          <w:p w14:paraId="3EB42ACF" w14:textId="77777777" w:rsidR="000D62B7" w:rsidRPr="00C92E14" w:rsidRDefault="000D62B7" w:rsidP="000D62B7">
            <w:pPr>
              <w:rPr>
                <w:rFonts w:asciiTheme="majorHAnsi" w:hAnsiTheme="majorHAnsi" w:cstheme="minorHAnsi"/>
                <w:lang w:val="fr-FR"/>
              </w:rPr>
            </w:pPr>
          </w:p>
          <w:p w14:paraId="20DB1C8B"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lang w:val="fr-FR"/>
              </w:rPr>
              <w:t>Pour assurer tout ceci, nous avons besoin de renforcer le système de laboratoire dans l’optique de couvrir les besoins non seulement des trois maladies prioritaires (VIH, TB et Paludisme) mais aussi assurer le besoin de thématique transversale comme la santé maternelle et infantile</w:t>
            </w:r>
            <w:r w:rsidR="002721C9" w:rsidRPr="00C92E14">
              <w:rPr>
                <w:rFonts w:asciiTheme="majorHAnsi" w:hAnsiTheme="majorHAnsi" w:cstheme="minorHAnsi"/>
                <w:lang w:val="fr-FR"/>
              </w:rPr>
              <w:t>, les MNT….</w:t>
            </w:r>
          </w:p>
          <w:p w14:paraId="10E2D611" w14:textId="77777777" w:rsidR="000D62B7" w:rsidRPr="00C92E14" w:rsidRDefault="000D62B7" w:rsidP="000D62B7">
            <w:pPr>
              <w:rPr>
                <w:rFonts w:asciiTheme="majorHAnsi" w:hAnsiTheme="majorHAnsi" w:cstheme="minorHAnsi"/>
                <w:lang w:val="fr-FR"/>
              </w:rPr>
            </w:pPr>
          </w:p>
          <w:p w14:paraId="693B0E49" w14:textId="77777777" w:rsidR="000D62B7" w:rsidRPr="00C92E14" w:rsidRDefault="000D62B7" w:rsidP="000D62B7">
            <w:pPr>
              <w:pStyle w:val="Commentaire"/>
              <w:rPr>
                <w:rFonts w:asciiTheme="majorHAnsi" w:hAnsiTheme="majorHAnsi"/>
                <w:sz w:val="22"/>
                <w:szCs w:val="22"/>
                <w:lang w:val="fr-FR"/>
              </w:rPr>
            </w:pPr>
            <w:r w:rsidRPr="00C92E14">
              <w:rPr>
                <w:rFonts w:asciiTheme="majorHAnsi" w:hAnsiTheme="majorHAnsi"/>
                <w:sz w:val="22"/>
                <w:szCs w:val="22"/>
                <w:lang w:val="fr-FR"/>
              </w:rPr>
              <w:t xml:space="preserve">Vu le nombre du personnel insuffisant dans les </w:t>
            </w:r>
            <w:r w:rsidR="002721C9" w:rsidRPr="00C92E14">
              <w:rPr>
                <w:rFonts w:asciiTheme="majorHAnsi" w:hAnsiTheme="majorHAnsi"/>
                <w:sz w:val="22"/>
                <w:szCs w:val="22"/>
                <w:lang w:val="fr-FR"/>
              </w:rPr>
              <w:t>laboratoires (</w:t>
            </w:r>
            <w:r w:rsidRPr="00C92E14">
              <w:rPr>
                <w:rFonts w:asciiTheme="majorHAnsi" w:hAnsiTheme="majorHAnsi"/>
                <w:sz w:val="22"/>
                <w:szCs w:val="22"/>
                <w:lang w:val="fr-FR"/>
              </w:rPr>
              <w:t>2% du personnel de la santé</w:t>
            </w:r>
            <w:r w:rsidR="002721C9" w:rsidRPr="00C92E14">
              <w:rPr>
                <w:rFonts w:asciiTheme="majorHAnsi" w:hAnsiTheme="majorHAnsi"/>
                <w:sz w:val="22"/>
                <w:szCs w:val="22"/>
                <w:lang w:val="fr-FR"/>
              </w:rPr>
              <w:t>), il</w:t>
            </w:r>
            <w:r w:rsidRPr="00C92E14">
              <w:rPr>
                <w:rFonts w:asciiTheme="majorHAnsi" w:hAnsiTheme="majorHAnsi"/>
                <w:sz w:val="22"/>
                <w:szCs w:val="22"/>
                <w:lang w:val="fr-FR"/>
              </w:rPr>
              <w:t xml:space="preserve"> </w:t>
            </w:r>
            <w:proofErr w:type="gramStart"/>
            <w:r w:rsidRPr="00C92E14">
              <w:rPr>
                <w:rFonts w:asciiTheme="majorHAnsi" w:hAnsiTheme="majorHAnsi"/>
                <w:sz w:val="22"/>
                <w:szCs w:val="22"/>
                <w:lang w:val="fr-FR"/>
              </w:rPr>
              <w:t>faudra  prévoir</w:t>
            </w:r>
            <w:proofErr w:type="gramEnd"/>
            <w:r w:rsidRPr="00C92E14">
              <w:rPr>
                <w:rFonts w:asciiTheme="majorHAnsi" w:hAnsiTheme="majorHAnsi"/>
                <w:sz w:val="22"/>
                <w:szCs w:val="22"/>
                <w:lang w:val="fr-FR"/>
              </w:rPr>
              <w:t xml:space="preserve"> les primes basées sur les performances à tous les niveaux y compris pour le personnel  engagé par l’Etat. </w:t>
            </w:r>
          </w:p>
          <w:p w14:paraId="199FE4A2"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highlight w:val="yellow"/>
                <w:lang w:val="fr-FR"/>
              </w:rPr>
              <w:t>Ce module tient compte des orientations contenu dans le plan directeur de la politique nationale de biologie médicale</w:t>
            </w:r>
          </w:p>
          <w:p w14:paraId="2612D3B9" w14:textId="77777777" w:rsidR="000D62B7" w:rsidRPr="00C92E14" w:rsidRDefault="000D62B7" w:rsidP="000D62B7">
            <w:pPr>
              <w:rPr>
                <w:rFonts w:asciiTheme="majorHAnsi" w:hAnsiTheme="majorHAnsi" w:cstheme="minorHAnsi"/>
                <w:highlight w:val="yellow"/>
                <w:lang w:val="fr-FR"/>
              </w:rPr>
            </w:pPr>
            <w:r w:rsidRPr="00C92E14">
              <w:rPr>
                <w:rFonts w:asciiTheme="majorHAnsi" w:hAnsiTheme="majorHAnsi" w:cstheme="minorHAnsi"/>
                <w:lang w:val="fr-FR"/>
              </w:rPr>
              <w:t xml:space="preserve"> </w:t>
            </w:r>
            <w:r w:rsidRPr="00C92E14">
              <w:rPr>
                <w:rFonts w:asciiTheme="majorHAnsi" w:hAnsiTheme="majorHAnsi" w:cstheme="minorHAnsi"/>
                <w:highlight w:val="yellow"/>
                <w:lang w:val="fr-FR"/>
              </w:rPr>
              <w:t>De la politique national</w:t>
            </w:r>
            <w:r w:rsidR="002721C9" w:rsidRPr="00C92E14">
              <w:rPr>
                <w:rFonts w:asciiTheme="majorHAnsi" w:hAnsiTheme="majorHAnsi" w:cstheme="minorHAnsi"/>
                <w:highlight w:val="yellow"/>
                <w:lang w:val="fr-FR"/>
              </w:rPr>
              <w:t>e</w:t>
            </w:r>
            <w:r w:rsidRPr="00C92E14">
              <w:rPr>
                <w:rFonts w:asciiTheme="majorHAnsi" w:hAnsiTheme="majorHAnsi" w:cstheme="minorHAnsi"/>
                <w:highlight w:val="yellow"/>
                <w:lang w:val="fr-FR"/>
              </w:rPr>
              <w:t xml:space="preserve"> de transfusion sanguine, </w:t>
            </w:r>
          </w:p>
          <w:p w14:paraId="3B5134E0" w14:textId="77777777" w:rsidR="000D62B7" w:rsidRPr="00C92E14" w:rsidRDefault="000D62B7" w:rsidP="000D62B7">
            <w:pPr>
              <w:rPr>
                <w:rFonts w:asciiTheme="majorHAnsi" w:hAnsiTheme="majorHAnsi" w:cstheme="minorHAnsi"/>
                <w:lang w:val="fr-FR"/>
              </w:rPr>
            </w:pPr>
            <w:r w:rsidRPr="00C92E14">
              <w:rPr>
                <w:rFonts w:asciiTheme="majorHAnsi" w:hAnsiTheme="majorHAnsi" w:cstheme="minorHAnsi"/>
                <w:highlight w:val="yellow"/>
                <w:lang w:val="fr-FR"/>
              </w:rPr>
              <w:t>PSN-TB 2021-2025., PSN-INSP 2020-2024,</w:t>
            </w:r>
            <w:r w:rsidRPr="00C92E14">
              <w:rPr>
                <w:rFonts w:asciiTheme="majorHAnsi" w:hAnsiTheme="majorHAnsi" w:cstheme="minorHAnsi"/>
                <w:lang w:val="fr-FR"/>
              </w:rPr>
              <w:t xml:space="preserve"> </w:t>
            </w:r>
          </w:p>
          <w:p w14:paraId="356658F5" w14:textId="77777777" w:rsidR="000D62B7" w:rsidRPr="00C92E14" w:rsidRDefault="000D62B7" w:rsidP="000D62B7">
            <w:pPr>
              <w:rPr>
                <w:rFonts w:asciiTheme="majorHAnsi" w:hAnsiTheme="majorHAnsi" w:cstheme="minorHAnsi"/>
                <w:lang w:val="fr-FR"/>
              </w:rPr>
            </w:pPr>
          </w:p>
          <w:p w14:paraId="326F71D7" w14:textId="77777777" w:rsidR="000D62B7" w:rsidRPr="00C92E14" w:rsidRDefault="000D62B7" w:rsidP="000D62B7">
            <w:pPr>
              <w:pStyle w:val="Default"/>
              <w:rPr>
                <w:rFonts w:asciiTheme="majorHAnsi" w:hAnsiTheme="majorHAnsi"/>
                <w:sz w:val="22"/>
                <w:szCs w:val="22"/>
                <w:lang w:val="fr-FR"/>
              </w:rPr>
            </w:pPr>
          </w:p>
          <w:p w14:paraId="786F1FD7" w14:textId="77777777" w:rsidR="000D62B7" w:rsidRPr="00C92E14" w:rsidRDefault="000D62B7" w:rsidP="000D62B7">
            <w:pPr>
              <w:pStyle w:val="Default"/>
              <w:rPr>
                <w:rFonts w:asciiTheme="majorHAnsi" w:hAnsiTheme="majorHAnsi"/>
                <w:sz w:val="22"/>
                <w:szCs w:val="22"/>
                <w:lang w:val="fr-FR"/>
              </w:rPr>
            </w:pPr>
          </w:p>
        </w:tc>
      </w:tr>
      <w:tr w:rsidR="000D62B7" w:rsidRPr="00B75C61" w14:paraId="0DB2E188" w14:textId="77777777" w:rsidTr="00682D1B">
        <w:trPr>
          <w:trHeight w:val="288"/>
        </w:trPr>
        <w:tc>
          <w:tcPr>
            <w:tcW w:w="1908" w:type="pct"/>
            <w:shd w:val="clear" w:color="auto" w:fill="DAEEF3" w:themeFill="accent5" w:themeFillTint="33"/>
          </w:tcPr>
          <w:p w14:paraId="6AC779B8" w14:textId="77777777" w:rsidR="000D62B7" w:rsidRPr="00B75C61" w:rsidRDefault="000D62B7" w:rsidP="000D62B7">
            <w:pPr>
              <w:pStyle w:val="Default"/>
              <w:rPr>
                <w:sz w:val="18"/>
                <w:szCs w:val="18"/>
                <w:lang w:val="fr-FR"/>
              </w:rPr>
            </w:pPr>
            <w:r w:rsidRPr="00B75C61">
              <w:rPr>
                <w:b/>
                <w:bCs/>
                <w:sz w:val="18"/>
                <w:szCs w:val="18"/>
                <w:lang w:val="fr-FR"/>
              </w:rPr>
              <w:t xml:space="preserve">Résultats attendus </w:t>
            </w:r>
          </w:p>
        </w:tc>
        <w:tc>
          <w:tcPr>
            <w:tcW w:w="3092" w:type="pct"/>
            <w:shd w:val="clear" w:color="auto" w:fill="DAEEF3" w:themeFill="accent5" w:themeFillTint="33"/>
          </w:tcPr>
          <w:p w14:paraId="01956881" w14:textId="77777777" w:rsidR="000D62B7" w:rsidRPr="00C92E14" w:rsidRDefault="000D62B7" w:rsidP="000D62B7">
            <w:pPr>
              <w:pStyle w:val="Default"/>
              <w:rPr>
                <w:rFonts w:asciiTheme="majorHAnsi" w:hAnsiTheme="majorHAnsi"/>
                <w:sz w:val="22"/>
                <w:szCs w:val="22"/>
                <w:lang w:val="fr-FR"/>
              </w:rPr>
            </w:pPr>
            <w:r w:rsidRPr="00C92E14">
              <w:rPr>
                <w:rFonts w:asciiTheme="majorHAnsi" w:hAnsiTheme="majorHAnsi"/>
                <w:sz w:val="22"/>
                <w:szCs w:val="22"/>
                <w:lang w:val="fr-FR"/>
              </w:rPr>
              <w:t xml:space="preserve">Description de l’effet de l’intervention sur les populations et/ou les systèmes </w:t>
            </w:r>
          </w:p>
          <w:p w14:paraId="5BD6DCA0" w14:textId="77777777" w:rsidR="000D62B7" w:rsidRPr="00C92E14" w:rsidRDefault="000D62B7" w:rsidP="000D62B7">
            <w:pPr>
              <w:pStyle w:val="Default"/>
              <w:rPr>
                <w:rFonts w:asciiTheme="majorHAnsi" w:hAnsiTheme="majorHAnsi"/>
                <w:sz w:val="22"/>
                <w:szCs w:val="22"/>
                <w:lang w:val="fr-FR"/>
              </w:rPr>
            </w:pPr>
          </w:p>
          <w:p w14:paraId="5CDAD611" w14:textId="77777777" w:rsidR="000D62B7" w:rsidRPr="00C92E14" w:rsidRDefault="000D62B7" w:rsidP="000D62B7">
            <w:pPr>
              <w:pStyle w:val="Default"/>
              <w:rPr>
                <w:rFonts w:asciiTheme="majorHAnsi" w:hAnsiTheme="majorHAnsi"/>
                <w:sz w:val="22"/>
                <w:szCs w:val="22"/>
                <w:lang w:val="fr-FR"/>
              </w:rPr>
            </w:pPr>
          </w:p>
          <w:p w14:paraId="52533DB7" w14:textId="77777777" w:rsidR="000D62B7" w:rsidRPr="00C92E14" w:rsidRDefault="000D62B7" w:rsidP="000D62B7">
            <w:pPr>
              <w:pStyle w:val="Default"/>
              <w:jc w:val="both"/>
              <w:rPr>
                <w:rFonts w:asciiTheme="majorHAnsi" w:hAnsiTheme="majorHAnsi"/>
                <w:sz w:val="22"/>
                <w:szCs w:val="22"/>
                <w:lang w:val="fr-FR"/>
              </w:rPr>
            </w:pPr>
            <w:r w:rsidRPr="00C92E14">
              <w:rPr>
                <w:rFonts w:asciiTheme="majorHAnsi" w:hAnsiTheme="majorHAnsi"/>
                <w:sz w:val="22"/>
                <w:szCs w:val="22"/>
                <w:highlight w:val="yellow"/>
                <w:lang w:val="fr-FR"/>
              </w:rPr>
              <w:t>De 2015 à 2024, la capacité opérationnelle des établissements en infrastructures adéquates, en équipements essentiels de qualité, et en diagnostic de qualité sera de 100%.</w:t>
            </w:r>
          </w:p>
          <w:p w14:paraId="5E7372C4" w14:textId="77777777" w:rsidR="000D62B7" w:rsidRPr="00C92E14" w:rsidRDefault="000D62B7" w:rsidP="000D62B7">
            <w:pPr>
              <w:pStyle w:val="Default"/>
              <w:rPr>
                <w:rFonts w:asciiTheme="majorHAnsi" w:hAnsiTheme="majorHAnsi"/>
                <w:sz w:val="22"/>
                <w:szCs w:val="22"/>
                <w:lang w:val="fr-FR"/>
              </w:rPr>
            </w:pPr>
          </w:p>
          <w:p w14:paraId="0E06A884" w14:textId="77777777" w:rsidR="000D62B7" w:rsidRPr="00C92E14" w:rsidRDefault="000D62B7" w:rsidP="000D62B7">
            <w:pPr>
              <w:pStyle w:val="Default"/>
              <w:rPr>
                <w:rFonts w:asciiTheme="majorHAnsi" w:hAnsiTheme="majorHAnsi"/>
                <w:sz w:val="22"/>
                <w:szCs w:val="22"/>
                <w:lang w:val="fr-FR"/>
              </w:rPr>
            </w:pPr>
          </w:p>
          <w:p w14:paraId="307B853A" w14:textId="77777777" w:rsidR="000D62B7" w:rsidRPr="00C92E14" w:rsidRDefault="000D62B7" w:rsidP="000D62B7">
            <w:pPr>
              <w:pStyle w:val="Default"/>
              <w:rPr>
                <w:rFonts w:asciiTheme="majorHAnsi" w:hAnsiTheme="majorHAnsi"/>
                <w:sz w:val="22"/>
                <w:szCs w:val="22"/>
                <w:lang w:val="fr-FR"/>
              </w:rPr>
            </w:pPr>
          </w:p>
        </w:tc>
      </w:tr>
      <w:tr w:rsidR="000D62B7" w:rsidRPr="00B75C61" w14:paraId="08FB5A2D" w14:textId="77777777" w:rsidTr="00682D1B">
        <w:trPr>
          <w:trHeight w:val="288"/>
        </w:trPr>
        <w:tc>
          <w:tcPr>
            <w:tcW w:w="1908" w:type="pct"/>
            <w:shd w:val="clear" w:color="auto" w:fill="DAEEF3" w:themeFill="accent5" w:themeFillTint="33"/>
          </w:tcPr>
          <w:p w14:paraId="2282E19E" w14:textId="77777777" w:rsidR="000D62B7" w:rsidRPr="00B75C61" w:rsidRDefault="000D62B7" w:rsidP="000D62B7">
            <w:pPr>
              <w:pStyle w:val="Default"/>
              <w:rPr>
                <w:sz w:val="18"/>
                <w:szCs w:val="18"/>
                <w:lang w:val="fr-FR"/>
              </w:rPr>
            </w:pPr>
            <w:r w:rsidRPr="00B75C61">
              <w:rPr>
                <w:b/>
                <w:bCs/>
                <w:sz w:val="18"/>
                <w:szCs w:val="18"/>
                <w:lang w:val="fr-FR"/>
              </w:rPr>
              <w:t xml:space="preserve">Investissement attendu </w:t>
            </w:r>
          </w:p>
        </w:tc>
        <w:tc>
          <w:tcPr>
            <w:tcW w:w="3092" w:type="pct"/>
            <w:shd w:val="clear" w:color="auto" w:fill="DAEEF3" w:themeFill="accent5" w:themeFillTint="33"/>
          </w:tcPr>
          <w:p w14:paraId="1216419E" w14:textId="77777777" w:rsidR="000D62B7" w:rsidRPr="00C92E14" w:rsidRDefault="000D62B7" w:rsidP="000D62B7">
            <w:pPr>
              <w:pStyle w:val="Default"/>
              <w:rPr>
                <w:rFonts w:asciiTheme="majorHAnsi" w:hAnsiTheme="majorHAnsi"/>
                <w:sz w:val="22"/>
                <w:szCs w:val="22"/>
                <w:lang w:val="fr-FR"/>
              </w:rPr>
            </w:pPr>
            <w:r w:rsidRPr="00C92E14">
              <w:rPr>
                <w:rFonts w:asciiTheme="majorHAnsi" w:hAnsiTheme="majorHAnsi"/>
                <w:sz w:val="22"/>
                <w:szCs w:val="22"/>
                <w:lang w:val="fr-FR"/>
              </w:rPr>
              <w:t xml:space="preserve">Indiquer le montant proposé du financement du Fonds mondial associé au module et </w:t>
            </w:r>
          </w:p>
          <w:p w14:paraId="7AE00E5B" w14:textId="77777777" w:rsidR="000D62B7" w:rsidRPr="00C92E14" w:rsidRDefault="000D62B7" w:rsidP="000D62B7">
            <w:pPr>
              <w:pStyle w:val="Default"/>
              <w:rPr>
                <w:rFonts w:asciiTheme="majorHAnsi" w:hAnsiTheme="majorHAnsi"/>
                <w:sz w:val="22"/>
                <w:szCs w:val="22"/>
                <w:lang w:val="fr-FR"/>
              </w:rPr>
            </w:pPr>
            <w:proofErr w:type="gramStart"/>
            <w:r w:rsidRPr="00C92E14">
              <w:rPr>
                <w:rFonts w:asciiTheme="majorHAnsi" w:hAnsiTheme="majorHAnsi"/>
                <w:sz w:val="22"/>
                <w:szCs w:val="22"/>
                <w:lang w:val="fr-FR"/>
              </w:rPr>
              <w:t>indiquer</w:t>
            </w:r>
            <w:proofErr w:type="gramEnd"/>
            <w:r w:rsidRPr="00C92E14">
              <w:rPr>
                <w:rFonts w:asciiTheme="majorHAnsi" w:hAnsiTheme="majorHAnsi"/>
                <w:sz w:val="22"/>
                <w:szCs w:val="22"/>
                <w:lang w:val="fr-FR"/>
              </w:rPr>
              <w:t xml:space="preserve"> le financement externe et/ou public (si des informations sont disponibles à cet égard). </w:t>
            </w:r>
          </w:p>
          <w:p w14:paraId="0093AF99" w14:textId="77777777" w:rsidR="000D62B7" w:rsidRPr="00C92E14" w:rsidRDefault="000D62B7" w:rsidP="000D62B7">
            <w:pPr>
              <w:pStyle w:val="Default"/>
              <w:rPr>
                <w:rFonts w:asciiTheme="majorHAnsi" w:hAnsiTheme="majorHAnsi"/>
                <w:sz w:val="22"/>
                <w:szCs w:val="22"/>
                <w:lang w:val="fr-FR"/>
              </w:rPr>
            </w:pPr>
            <w:r w:rsidRPr="00C92E14">
              <w:rPr>
                <w:rFonts w:asciiTheme="majorHAnsi" w:hAnsiTheme="majorHAnsi"/>
                <w:sz w:val="22"/>
                <w:szCs w:val="22"/>
                <w:lang w:val="fr-FR"/>
              </w:rPr>
              <w:t xml:space="preserve">Les candidats doivent se référer aux tableaux du budget et du paysage de financement pour remplir ce champ. Ils doivent utiliser la devise de la demande de financement indiquée dans le tableau de la section Résumé. </w:t>
            </w:r>
          </w:p>
          <w:p w14:paraId="3CC441D8" w14:textId="77777777" w:rsidR="000D62B7" w:rsidRPr="00C92E14" w:rsidRDefault="000D62B7" w:rsidP="000D62B7">
            <w:pPr>
              <w:pStyle w:val="Default"/>
              <w:rPr>
                <w:rFonts w:asciiTheme="majorHAnsi" w:hAnsiTheme="majorHAnsi"/>
                <w:sz w:val="22"/>
                <w:szCs w:val="22"/>
                <w:lang w:val="fr-FR"/>
              </w:rPr>
            </w:pPr>
          </w:p>
          <w:p w14:paraId="501EDD53" w14:textId="77777777" w:rsidR="000D62B7" w:rsidRPr="00C92E14" w:rsidRDefault="000D62B7" w:rsidP="000D62B7">
            <w:pPr>
              <w:pStyle w:val="Default"/>
              <w:rPr>
                <w:rFonts w:asciiTheme="majorHAnsi" w:hAnsiTheme="majorHAnsi"/>
                <w:sz w:val="22"/>
                <w:szCs w:val="22"/>
                <w:lang w:val="fr-FR"/>
              </w:rPr>
            </w:pPr>
          </w:p>
          <w:p w14:paraId="4B1DA6FF" w14:textId="77777777" w:rsidR="000D62B7" w:rsidRPr="00C92E14" w:rsidRDefault="000D62B7" w:rsidP="000D62B7">
            <w:pPr>
              <w:pStyle w:val="Default"/>
              <w:rPr>
                <w:rFonts w:asciiTheme="majorHAnsi" w:hAnsiTheme="majorHAnsi"/>
                <w:sz w:val="22"/>
                <w:szCs w:val="22"/>
                <w:lang w:val="fr-FR"/>
              </w:rPr>
            </w:pPr>
          </w:p>
          <w:p w14:paraId="4B9C696A" w14:textId="77777777" w:rsidR="000D62B7" w:rsidRPr="00C92E14" w:rsidRDefault="000D62B7" w:rsidP="000D62B7">
            <w:pPr>
              <w:pStyle w:val="Default"/>
              <w:rPr>
                <w:rFonts w:asciiTheme="majorHAnsi" w:hAnsiTheme="majorHAnsi"/>
                <w:sz w:val="22"/>
                <w:szCs w:val="22"/>
                <w:lang w:val="fr-FR"/>
              </w:rPr>
            </w:pPr>
          </w:p>
          <w:p w14:paraId="4A84ED1C" w14:textId="77777777" w:rsidR="000D62B7" w:rsidRPr="00C92E14" w:rsidRDefault="000D62B7" w:rsidP="000D62B7">
            <w:pPr>
              <w:pStyle w:val="Default"/>
              <w:rPr>
                <w:rFonts w:asciiTheme="majorHAnsi" w:hAnsiTheme="majorHAnsi"/>
                <w:sz w:val="22"/>
                <w:szCs w:val="22"/>
                <w:lang w:val="fr-FR"/>
              </w:rPr>
            </w:pPr>
          </w:p>
          <w:p w14:paraId="688930B3" w14:textId="77777777" w:rsidR="000D62B7" w:rsidRPr="00C92E14" w:rsidRDefault="000D62B7" w:rsidP="000D62B7">
            <w:pPr>
              <w:pStyle w:val="Default"/>
              <w:rPr>
                <w:rFonts w:asciiTheme="majorHAnsi" w:hAnsiTheme="majorHAnsi"/>
                <w:sz w:val="22"/>
                <w:szCs w:val="22"/>
                <w:lang w:val="fr-FR"/>
              </w:rPr>
            </w:pPr>
          </w:p>
          <w:p w14:paraId="721E2196" w14:textId="77777777" w:rsidR="000D62B7" w:rsidRPr="00C92E14" w:rsidRDefault="000D62B7" w:rsidP="000D62B7">
            <w:pPr>
              <w:pStyle w:val="Default"/>
              <w:rPr>
                <w:rFonts w:asciiTheme="majorHAnsi" w:hAnsiTheme="majorHAnsi"/>
                <w:sz w:val="22"/>
                <w:szCs w:val="22"/>
                <w:lang w:val="fr-FR"/>
              </w:rPr>
            </w:pPr>
          </w:p>
        </w:tc>
      </w:tr>
    </w:tbl>
    <w:p w14:paraId="2DBF2C5E" w14:textId="77777777" w:rsidR="00853D30" w:rsidRPr="00B75C61" w:rsidRDefault="00853D30" w:rsidP="00772C9E"/>
    <w:sectPr w:rsidR="00853D30" w:rsidRPr="00B75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E45"/>
    <w:multiLevelType w:val="multilevel"/>
    <w:tmpl w:val="E2AC779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530E3"/>
    <w:multiLevelType w:val="hybridMultilevel"/>
    <w:tmpl w:val="203862D6"/>
    <w:lvl w:ilvl="0" w:tplc="5C780354">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7F972FC"/>
    <w:multiLevelType w:val="hybridMultilevel"/>
    <w:tmpl w:val="D86C399C"/>
    <w:lvl w:ilvl="0" w:tplc="A10CC0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CB06A8"/>
    <w:multiLevelType w:val="hybridMultilevel"/>
    <w:tmpl w:val="0E72A3AC"/>
    <w:lvl w:ilvl="0" w:tplc="A10CC0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537833"/>
    <w:multiLevelType w:val="hybridMultilevel"/>
    <w:tmpl w:val="2B1637B0"/>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251122B"/>
    <w:multiLevelType w:val="hybridMultilevel"/>
    <w:tmpl w:val="4E602E04"/>
    <w:lvl w:ilvl="0" w:tplc="A10CC0E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C140BC2"/>
    <w:multiLevelType w:val="hybridMultilevel"/>
    <w:tmpl w:val="611E3D46"/>
    <w:lvl w:ilvl="0" w:tplc="A10CC0E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4913ECC"/>
    <w:multiLevelType w:val="hybridMultilevel"/>
    <w:tmpl w:val="9702A280"/>
    <w:lvl w:ilvl="0" w:tplc="040C0001">
      <w:start w:val="1"/>
      <w:numFmt w:val="bullet"/>
      <w:lvlText w:val=""/>
      <w:lvlJc w:val="left"/>
      <w:pPr>
        <w:ind w:left="812" w:hanging="360"/>
      </w:pPr>
      <w:rPr>
        <w:rFonts w:ascii="Symbol" w:hAnsi="Symbol" w:hint="default"/>
      </w:rPr>
    </w:lvl>
    <w:lvl w:ilvl="1" w:tplc="040C0003" w:tentative="1">
      <w:start w:val="1"/>
      <w:numFmt w:val="bullet"/>
      <w:lvlText w:val="o"/>
      <w:lvlJc w:val="left"/>
      <w:pPr>
        <w:ind w:left="1532" w:hanging="360"/>
      </w:pPr>
      <w:rPr>
        <w:rFonts w:ascii="Courier New" w:hAnsi="Courier New" w:cs="Courier New" w:hint="default"/>
      </w:rPr>
    </w:lvl>
    <w:lvl w:ilvl="2" w:tplc="040C0005" w:tentative="1">
      <w:start w:val="1"/>
      <w:numFmt w:val="bullet"/>
      <w:lvlText w:val=""/>
      <w:lvlJc w:val="left"/>
      <w:pPr>
        <w:ind w:left="2252" w:hanging="360"/>
      </w:pPr>
      <w:rPr>
        <w:rFonts w:ascii="Wingdings" w:hAnsi="Wingdings" w:hint="default"/>
      </w:rPr>
    </w:lvl>
    <w:lvl w:ilvl="3" w:tplc="040C0001" w:tentative="1">
      <w:start w:val="1"/>
      <w:numFmt w:val="bullet"/>
      <w:lvlText w:val=""/>
      <w:lvlJc w:val="left"/>
      <w:pPr>
        <w:ind w:left="2972" w:hanging="360"/>
      </w:pPr>
      <w:rPr>
        <w:rFonts w:ascii="Symbol" w:hAnsi="Symbol" w:hint="default"/>
      </w:rPr>
    </w:lvl>
    <w:lvl w:ilvl="4" w:tplc="040C0003" w:tentative="1">
      <w:start w:val="1"/>
      <w:numFmt w:val="bullet"/>
      <w:lvlText w:val="o"/>
      <w:lvlJc w:val="left"/>
      <w:pPr>
        <w:ind w:left="3692" w:hanging="360"/>
      </w:pPr>
      <w:rPr>
        <w:rFonts w:ascii="Courier New" w:hAnsi="Courier New" w:cs="Courier New" w:hint="default"/>
      </w:rPr>
    </w:lvl>
    <w:lvl w:ilvl="5" w:tplc="040C0005" w:tentative="1">
      <w:start w:val="1"/>
      <w:numFmt w:val="bullet"/>
      <w:lvlText w:val=""/>
      <w:lvlJc w:val="left"/>
      <w:pPr>
        <w:ind w:left="4412" w:hanging="360"/>
      </w:pPr>
      <w:rPr>
        <w:rFonts w:ascii="Wingdings" w:hAnsi="Wingdings" w:hint="default"/>
      </w:rPr>
    </w:lvl>
    <w:lvl w:ilvl="6" w:tplc="040C0001" w:tentative="1">
      <w:start w:val="1"/>
      <w:numFmt w:val="bullet"/>
      <w:lvlText w:val=""/>
      <w:lvlJc w:val="left"/>
      <w:pPr>
        <w:ind w:left="5132" w:hanging="360"/>
      </w:pPr>
      <w:rPr>
        <w:rFonts w:ascii="Symbol" w:hAnsi="Symbol" w:hint="default"/>
      </w:rPr>
    </w:lvl>
    <w:lvl w:ilvl="7" w:tplc="040C0003" w:tentative="1">
      <w:start w:val="1"/>
      <w:numFmt w:val="bullet"/>
      <w:lvlText w:val="o"/>
      <w:lvlJc w:val="left"/>
      <w:pPr>
        <w:ind w:left="5852" w:hanging="360"/>
      </w:pPr>
      <w:rPr>
        <w:rFonts w:ascii="Courier New" w:hAnsi="Courier New" w:cs="Courier New" w:hint="default"/>
      </w:rPr>
    </w:lvl>
    <w:lvl w:ilvl="8" w:tplc="040C0005" w:tentative="1">
      <w:start w:val="1"/>
      <w:numFmt w:val="bullet"/>
      <w:lvlText w:val=""/>
      <w:lvlJc w:val="left"/>
      <w:pPr>
        <w:ind w:left="6572" w:hanging="360"/>
      </w:pPr>
      <w:rPr>
        <w:rFonts w:ascii="Wingdings" w:hAnsi="Wingdings" w:hint="default"/>
      </w:rPr>
    </w:lvl>
  </w:abstractNum>
  <w:abstractNum w:abstractNumId="8" w15:restartNumberingAfterBreak="0">
    <w:nsid w:val="78657B35"/>
    <w:multiLevelType w:val="hybridMultilevel"/>
    <w:tmpl w:val="6304052E"/>
    <w:lvl w:ilvl="0" w:tplc="4D02B0AC">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3B713E"/>
    <w:multiLevelType w:val="hybridMultilevel"/>
    <w:tmpl w:val="3C3C2914"/>
    <w:lvl w:ilvl="0" w:tplc="DDAC9706">
      <w:start w:val="5"/>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8"/>
  </w:num>
  <w:num w:numId="6">
    <w:abstractNumId w:val="7"/>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0B"/>
    <w:rsid w:val="00020BCD"/>
    <w:rsid w:val="0002749B"/>
    <w:rsid w:val="000334AA"/>
    <w:rsid w:val="000C64C0"/>
    <w:rsid w:val="000D62B7"/>
    <w:rsid w:val="00134140"/>
    <w:rsid w:val="00150494"/>
    <w:rsid w:val="0015485F"/>
    <w:rsid w:val="001B0DDB"/>
    <w:rsid w:val="001F31C0"/>
    <w:rsid w:val="002144B8"/>
    <w:rsid w:val="0022638D"/>
    <w:rsid w:val="00255A77"/>
    <w:rsid w:val="002721C9"/>
    <w:rsid w:val="002C2A2F"/>
    <w:rsid w:val="003032F3"/>
    <w:rsid w:val="00341687"/>
    <w:rsid w:val="00370618"/>
    <w:rsid w:val="00380E0B"/>
    <w:rsid w:val="0038159A"/>
    <w:rsid w:val="003849DE"/>
    <w:rsid w:val="003A0017"/>
    <w:rsid w:val="003A1231"/>
    <w:rsid w:val="003B7BF2"/>
    <w:rsid w:val="003D4E3E"/>
    <w:rsid w:val="00494CD4"/>
    <w:rsid w:val="004F75E1"/>
    <w:rsid w:val="0054017B"/>
    <w:rsid w:val="005466CC"/>
    <w:rsid w:val="005C0178"/>
    <w:rsid w:val="005C66D3"/>
    <w:rsid w:val="005C7EFA"/>
    <w:rsid w:val="005E4288"/>
    <w:rsid w:val="005F6D57"/>
    <w:rsid w:val="0064448C"/>
    <w:rsid w:val="00682D1B"/>
    <w:rsid w:val="006C30D7"/>
    <w:rsid w:val="006D3D81"/>
    <w:rsid w:val="00722A93"/>
    <w:rsid w:val="00724315"/>
    <w:rsid w:val="00731DB6"/>
    <w:rsid w:val="00772C9E"/>
    <w:rsid w:val="007753D8"/>
    <w:rsid w:val="007B67E3"/>
    <w:rsid w:val="008102F0"/>
    <w:rsid w:val="00826629"/>
    <w:rsid w:val="00853D30"/>
    <w:rsid w:val="0086313D"/>
    <w:rsid w:val="00972FD3"/>
    <w:rsid w:val="00983C86"/>
    <w:rsid w:val="00AA1A2B"/>
    <w:rsid w:val="00AC36AC"/>
    <w:rsid w:val="00B440DF"/>
    <w:rsid w:val="00B44128"/>
    <w:rsid w:val="00B75C61"/>
    <w:rsid w:val="00B93E30"/>
    <w:rsid w:val="00BB2631"/>
    <w:rsid w:val="00BD31C5"/>
    <w:rsid w:val="00BD4977"/>
    <w:rsid w:val="00BE7557"/>
    <w:rsid w:val="00C25324"/>
    <w:rsid w:val="00C65591"/>
    <w:rsid w:val="00C90837"/>
    <w:rsid w:val="00C92E14"/>
    <w:rsid w:val="00C93A82"/>
    <w:rsid w:val="00D01BED"/>
    <w:rsid w:val="00D7111F"/>
    <w:rsid w:val="00D75998"/>
    <w:rsid w:val="00DC3D35"/>
    <w:rsid w:val="00DC63F2"/>
    <w:rsid w:val="00DD60C2"/>
    <w:rsid w:val="00DD7D3D"/>
    <w:rsid w:val="00DF1EBC"/>
    <w:rsid w:val="00E33465"/>
    <w:rsid w:val="00E41FCB"/>
    <w:rsid w:val="00E6190A"/>
    <w:rsid w:val="00F15744"/>
    <w:rsid w:val="00F25AE8"/>
    <w:rsid w:val="00F30FCF"/>
    <w:rsid w:val="00F84872"/>
    <w:rsid w:val="00FC0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9C14"/>
  <w15:docId w15:val="{ED6B1BBA-691A-4E25-83E0-6C5481A5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Header 2,Head1.1,References,Paragraphe de liste1,List Paragraph1,Liste couleur - Accent 11,Liste couleur - Accent 111,Paragraphe de liste3,List Paragraph2,Bullets,List Paragraph nowy,Numbered List Paragraph,titre_kely"/>
    <w:basedOn w:val="Normal"/>
    <w:link w:val="ParagraphedelisteCar"/>
    <w:qFormat/>
    <w:rsid w:val="00341687"/>
    <w:pPr>
      <w:ind w:left="720"/>
      <w:contextualSpacing/>
    </w:pPr>
  </w:style>
  <w:style w:type="table" w:customStyle="1" w:styleId="TableGrid3">
    <w:name w:val="Table Grid3"/>
    <w:basedOn w:val="TableauNormal"/>
    <w:next w:val="Grilledutableau"/>
    <w:uiPriority w:val="39"/>
    <w:rsid w:val="00853D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5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3D30"/>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D497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D4977"/>
    <w:rPr>
      <w:rFonts w:ascii="Times New Roman" w:hAnsi="Times New Roman" w:cs="Times New Roman"/>
      <w:sz w:val="18"/>
      <w:szCs w:val="18"/>
    </w:rPr>
  </w:style>
  <w:style w:type="character" w:customStyle="1" w:styleId="ParagraphedelisteCar">
    <w:name w:val="Paragraphe de liste Car"/>
    <w:aliases w:val="Paragraph Car,Header 2 Car,Head1.1 Car,References Car,Paragraphe de liste1 Car,List Paragraph1 Car,Liste couleur - Accent 11 Car,Liste couleur - Accent 111 Car,Paragraphe de liste3 Car,List Paragraph2 Car,Bullets Car"/>
    <w:basedOn w:val="Policepardfaut"/>
    <w:link w:val="Paragraphedeliste"/>
    <w:uiPriority w:val="34"/>
    <w:qFormat/>
    <w:locked/>
    <w:rsid w:val="00BD4977"/>
  </w:style>
  <w:style w:type="character" w:styleId="Marquedecommentaire">
    <w:name w:val="annotation reference"/>
    <w:basedOn w:val="Policepardfaut"/>
    <w:uiPriority w:val="99"/>
    <w:semiHidden/>
    <w:unhideWhenUsed/>
    <w:rsid w:val="00BD4977"/>
    <w:rPr>
      <w:sz w:val="16"/>
      <w:szCs w:val="16"/>
    </w:rPr>
  </w:style>
  <w:style w:type="paragraph" w:styleId="Commentaire">
    <w:name w:val="annotation text"/>
    <w:basedOn w:val="Normal"/>
    <w:link w:val="CommentaireCar"/>
    <w:uiPriority w:val="99"/>
    <w:unhideWhenUsed/>
    <w:rsid w:val="00BD4977"/>
    <w:pPr>
      <w:spacing w:after="120" w:line="240" w:lineRule="auto"/>
    </w:pPr>
    <w:rPr>
      <w:rFonts w:ascii="Arial" w:hAnsi="Arial"/>
      <w:sz w:val="20"/>
      <w:szCs w:val="20"/>
      <w:lang w:val="en-US"/>
    </w:rPr>
  </w:style>
  <w:style w:type="character" w:customStyle="1" w:styleId="CommentaireCar">
    <w:name w:val="Commentaire Car"/>
    <w:basedOn w:val="Policepardfaut"/>
    <w:link w:val="Commentaire"/>
    <w:uiPriority w:val="99"/>
    <w:rsid w:val="00BD4977"/>
    <w:rPr>
      <w:rFonts w:ascii="Arial" w:hAnsi="Arial"/>
      <w:sz w:val="20"/>
      <w:szCs w:val="20"/>
      <w:lang w:val="en-US"/>
    </w:rPr>
  </w:style>
  <w:style w:type="paragraph" w:styleId="NormalWeb">
    <w:name w:val="Normal (Web)"/>
    <w:basedOn w:val="Normal"/>
    <w:uiPriority w:val="99"/>
    <w:unhideWhenUsed/>
    <w:rsid w:val="00E41FCB"/>
    <w:pPr>
      <w:spacing w:before="100" w:beforeAutospacing="1" w:after="100" w:afterAutospacing="1" w:line="240" w:lineRule="auto"/>
    </w:pPr>
    <w:rPr>
      <w:rFonts w:ascii="Times New Roman" w:eastAsia="Times New Roman" w:hAnsi="Times New Roman" w:cs="Times New Roman"/>
      <w:sz w:val="24"/>
      <w:szCs w:val="24"/>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1016">
      <w:bodyDiv w:val="1"/>
      <w:marLeft w:val="0"/>
      <w:marRight w:val="0"/>
      <w:marTop w:val="0"/>
      <w:marBottom w:val="0"/>
      <w:divBdr>
        <w:top w:val="none" w:sz="0" w:space="0" w:color="auto"/>
        <w:left w:val="none" w:sz="0" w:space="0" w:color="auto"/>
        <w:bottom w:val="none" w:sz="0" w:space="0" w:color="auto"/>
        <w:right w:val="none" w:sz="0" w:space="0" w:color="auto"/>
      </w:divBdr>
    </w:div>
    <w:div w:id="668874207">
      <w:bodyDiv w:val="1"/>
      <w:marLeft w:val="0"/>
      <w:marRight w:val="0"/>
      <w:marTop w:val="0"/>
      <w:marBottom w:val="0"/>
      <w:divBdr>
        <w:top w:val="none" w:sz="0" w:space="0" w:color="auto"/>
        <w:left w:val="none" w:sz="0" w:space="0" w:color="auto"/>
        <w:bottom w:val="none" w:sz="0" w:space="0" w:color="auto"/>
        <w:right w:val="none" w:sz="0" w:space="0" w:color="auto"/>
      </w:divBdr>
      <w:divsChild>
        <w:div w:id="493186183">
          <w:marLeft w:val="0"/>
          <w:marRight w:val="0"/>
          <w:marTop w:val="0"/>
          <w:marBottom w:val="0"/>
          <w:divBdr>
            <w:top w:val="none" w:sz="0" w:space="0" w:color="auto"/>
            <w:left w:val="none" w:sz="0" w:space="0" w:color="auto"/>
            <w:bottom w:val="none" w:sz="0" w:space="0" w:color="auto"/>
            <w:right w:val="none" w:sz="0" w:space="0" w:color="auto"/>
          </w:divBdr>
          <w:divsChild>
            <w:div w:id="423428424">
              <w:marLeft w:val="0"/>
              <w:marRight w:val="0"/>
              <w:marTop w:val="0"/>
              <w:marBottom w:val="0"/>
              <w:divBdr>
                <w:top w:val="none" w:sz="0" w:space="0" w:color="auto"/>
                <w:left w:val="none" w:sz="0" w:space="0" w:color="auto"/>
                <w:bottom w:val="none" w:sz="0" w:space="0" w:color="auto"/>
                <w:right w:val="none" w:sz="0" w:space="0" w:color="auto"/>
              </w:divBdr>
              <w:divsChild>
                <w:div w:id="1001392363">
                  <w:marLeft w:val="0"/>
                  <w:marRight w:val="0"/>
                  <w:marTop w:val="0"/>
                  <w:marBottom w:val="0"/>
                  <w:divBdr>
                    <w:top w:val="none" w:sz="0" w:space="0" w:color="auto"/>
                    <w:left w:val="none" w:sz="0" w:space="0" w:color="auto"/>
                    <w:bottom w:val="none" w:sz="0" w:space="0" w:color="auto"/>
                    <w:right w:val="none" w:sz="0" w:space="0" w:color="auto"/>
                  </w:divBdr>
                  <w:divsChild>
                    <w:div w:id="5104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38648">
      <w:bodyDiv w:val="1"/>
      <w:marLeft w:val="0"/>
      <w:marRight w:val="0"/>
      <w:marTop w:val="0"/>
      <w:marBottom w:val="0"/>
      <w:divBdr>
        <w:top w:val="none" w:sz="0" w:space="0" w:color="auto"/>
        <w:left w:val="none" w:sz="0" w:space="0" w:color="auto"/>
        <w:bottom w:val="none" w:sz="0" w:space="0" w:color="auto"/>
        <w:right w:val="none" w:sz="0" w:space="0" w:color="auto"/>
      </w:divBdr>
      <w:divsChild>
        <w:div w:id="935794422">
          <w:marLeft w:val="0"/>
          <w:marRight w:val="0"/>
          <w:marTop w:val="0"/>
          <w:marBottom w:val="0"/>
          <w:divBdr>
            <w:top w:val="none" w:sz="0" w:space="0" w:color="auto"/>
            <w:left w:val="none" w:sz="0" w:space="0" w:color="auto"/>
            <w:bottom w:val="none" w:sz="0" w:space="0" w:color="auto"/>
            <w:right w:val="none" w:sz="0" w:space="0" w:color="auto"/>
          </w:divBdr>
          <w:divsChild>
            <w:div w:id="749929657">
              <w:marLeft w:val="0"/>
              <w:marRight w:val="0"/>
              <w:marTop w:val="0"/>
              <w:marBottom w:val="0"/>
              <w:divBdr>
                <w:top w:val="none" w:sz="0" w:space="0" w:color="auto"/>
                <w:left w:val="none" w:sz="0" w:space="0" w:color="auto"/>
                <w:bottom w:val="none" w:sz="0" w:space="0" w:color="auto"/>
                <w:right w:val="none" w:sz="0" w:space="0" w:color="auto"/>
              </w:divBdr>
              <w:divsChild>
                <w:div w:id="1273780548">
                  <w:marLeft w:val="0"/>
                  <w:marRight w:val="0"/>
                  <w:marTop w:val="0"/>
                  <w:marBottom w:val="0"/>
                  <w:divBdr>
                    <w:top w:val="none" w:sz="0" w:space="0" w:color="auto"/>
                    <w:left w:val="none" w:sz="0" w:space="0" w:color="auto"/>
                    <w:bottom w:val="none" w:sz="0" w:space="0" w:color="auto"/>
                    <w:right w:val="none" w:sz="0" w:space="0" w:color="auto"/>
                  </w:divBdr>
                  <w:divsChild>
                    <w:div w:id="20285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48094">
      <w:bodyDiv w:val="1"/>
      <w:marLeft w:val="0"/>
      <w:marRight w:val="0"/>
      <w:marTop w:val="0"/>
      <w:marBottom w:val="0"/>
      <w:divBdr>
        <w:top w:val="none" w:sz="0" w:space="0" w:color="auto"/>
        <w:left w:val="none" w:sz="0" w:space="0" w:color="auto"/>
        <w:bottom w:val="none" w:sz="0" w:space="0" w:color="auto"/>
        <w:right w:val="none" w:sz="0" w:space="0" w:color="auto"/>
      </w:divBdr>
    </w:div>
    <w:div w:id="1815444029">
      <w:bodyDiv w:val="1"/>
      <w:marLeft w:val="0"/>
      <w:marRight w:val="0"/>
      <w:marTop w:val="0"/>
      <w:marBottom w:val="0"/>
      <w:divBdr>
        <w:top w:val="none" w:sz="0" w:space="0" w:color="auto"/>
        <w:left w:val="none" w:sz="0" w:space="0" w:color="auto"/>
        <w:bottom w:val="none" w:sz="0" w:space="0" w:color="auto"/>
        <w:right w:val="none" w:sz="0" w:space="0" w:color="auto"/>
      </w:divBdr>
    </w:div>
    <w:div w:id="18233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2567</Words>
  <Characters>14637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Huber, Goetz GIZ GN</cp:lastModifiedBy>
  <cp:revision>2</cp:revision>
  <cp:lastPrinted>2020-02-28T12:46:00Z</cp:lastPrinted>
  <dcterms:created xsi:type="dcterms:W3CDTF">2020-02-28T16:00:00Z</dcterms:created>
  <dcterms:modified xsi:type="dcterms:W3CDTF">2020-02-28T16:00:00Z</dcterms:modified>
</cp:coreProperties>
</file>