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18" w:rsidRPr="00343E8E" w:rsidRDefault="00536E18" w:rsidP="007C4DC5">
      <w:pPr>
        <w:tabs>
          <w:tab w:val="left" w:pos="3600"/>
        </w:tabs>
        <w:autoSpaceDE w:val="0"/>
        <w:autoSpaceDN w:val="0"/>
        <w:adjustRightInd w:val="0"/>
        <w:spacing w:after="120" w:line="276" w:lineRule="auto"/>
        <w:jc w:val="center"/>
        <w:rPr>
          <w:rFonts w:eastAsia="Times New Roman"/>
          <w:b/>
          <w:bCs/>
          <w:sz w:val="32"/>
          <w:szCs w:val="32"/>
          <w:lang w:val="fr-FR" w:eastAsia="fr-FR"/>
        </w:rPr>
      </w:pPr>
      <w:r w:rsidRPr="00343E8E">
        <w:rPr>
          <w:rFonts w:eastAsia="Times New Roman"/>
          <w:b/>
          <w:bCs/>
          <w:sz w:val="32"/>
          <w:szCs w:val="32"/>
          <w:lang w:val="fr-FR" w:eastAsia="fr-FR"/>
        </w:rPr>
        <w:t>REPUBLIQUE DE GUINEE</w:t>
      </w:r>
    </w:p>
    <w:p w:rsidR="00536E18" w:rsidRPr="00343E8E" w:rsidRDefault="00536E18" w:rsidP="007C4DC5">
      <w:pPr>
        <w:tabs>
          <w:tab w:val="left" w:pos="3600"/>
        </w:tabs>
        <w:autoSpaceDE w:val="0"/>
        <w:autoSpaceDN w:val="0"/>
        <w:adjustRightInd w:val="0"/>
        <w:spacing w:before="120" w:line="276" w:lineRule="auto"/>
        <w:jc w:val="center"/>
        <w:rPr>
          <w:rFonts w:eastAsia="Times New Roman"/>
          <w:bCs/>
          <w:sz w:val="32"/>
          <w:szCs w:val="32"/>
          <w:lang w:val="fr-FR" w:eastAsia="fr-FR"/>
        </w:rPr>
      </w:pPr>
      <w:r w:rsidRPr="00343E8E">
        <w:rPr>
          <w:rFonts w:eastAsia="Times New Roman"/>
          <w:bCs/>
          <w:sz w:val="32"/>
          <w:szCs w:val="32"/>
          <w:lang w:val="fr-FR" w:eastAsia="fr-FR"/>
        </w:rPr>
        <w:t>Travail - Justice - Solidarité</w:t>
      </w:r>
    </w:p>
    <w:p w:rsidR="00536E18" w:rsidRPr="00343E8E" w:rsidRDefault="00536E18" w:rsidP="007C4DC5">
      <w:pPr>
        <w:tabs>
          <w:tab w:val="left" w:pos="3600"/>
        </w:tabs>
        <w:autoSpaceDE w:val="0"/>
        <w:autoSpaceDN w:val="0"/>
        <w:adjustRightInd w:val="0"/>
        <w:spacing w:before="120" w:line="276" w:lineRule="auto"/>
        <w:jc w:val="center"/>
        <w:rPr>
          <w:rFonts w:ascii="Times New Roman" w:eastAsia="Times New Roman" w:hAnsi="Times New Roman"/>
          <w:bCs/>
          <w:sz w:val="24"/>
          <w:lang w:val="fr-FR" w:eastAsia="fr-FR"/>
        </w:rPr>
      </w:pPr>
      <w:r w:rsidRPr="00343E8E">
        <w:rPr>
          <w:rFonts w:ascii="Times New Roman" w:eastAsia="Times New Roman" w:hAnsi="Times New Roman"/>
          <w:b/>
          <w:caps/>
          <w:noProof/>
          <w:sz w:val="24"/>
          <w:lang w:val="fr-FR" w:eastAsia="fr-FR"/>
        </w:rPr>
        <w:drawing>
          <wp:anchor distT="0" distB="0" distL="114300" distR="114300" simplePos="0" relativeHeight="251659264" behindDoc="0" locked="0" layoutInCell="1" allowOverlap="1">
            <wp:simplePos x="0" y="0"/>
            <wp:positionH relativeFrom="column">
              <wp:posOffset>2393067</wp:posOffset>
            </wp:positionH>
            <wp:positionV relativeFrom="paragraph">
              <wp:posOffset>226502</wp:posOffset>
            </wp:positionV>
            <wp:extent cx="1153160" cy="1198245"/>
            <wp:effectExtent l="0" t="0" r="8890" b="1905"/>
            <wp:wrapNone/>
            <wp:docPr id="17" name="Image 1" descr="logo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G"/>
                    <pic:cNvPicPr>
                      <a:picLocks noChangeAspect="1" noChangeArrowheads="1"/>
                    </pic:cNvPicPr>
                  </pic:nvPicPr>
                  <pic:blipFill>
                    <a:blip r:embed="rId8" cstate="print"/>
                    <a:srcRect/>
                    <a:stretch>
                      <a:fillRect/>
                    </a:stretch>
                  </pic:blipFill>
                  <pic:spPr bwMode="auto">
                    <a:xfrm>
                      <a:off x="0" y="0"/>
                      <a:ext cx="1153160" cy="1198245"/>
                    </a:xfrm>
                    <a:prstGeom prst="rect">
                      <a:avLst/>
                    </a:prstGeom>
                    <a:noFill/>
                    <a:ln w="9525">
                      <a:noFill/>
                      <a:miter lim="800000"/>
                      <a:headEnd/>
                      <a:tailEnd/>
                    </a:ln>
                  </pic:spPr>
                </pic:pic>
              </a:graphicData>
            </a:graphic>
          </wp:anchor>
        </w:drawing>
      </w:r>
      <w:r w:rsidRPr="00343E8E">
        <w:rPr>
          <w:rFonts w:ascii="Times New Roman" w:eastAsia="Times New Roman" w:hAnsi="Times New Roman"/>
          <w:bCs/>
          <w:sz w:val="24"/>
          <w:lang w:val="fr-FR" w:eastAsia="fr-FR"/>
        </w:rPr>
        <w:t>========</w:t>
      </w:r>
    </w:p>
    <w:p w:rsidR="00536E18" w:rsidRPr="00343E8E" w:rsidRDefault="00536E18" w:rsidP="003973ED">
      <w:pPr>
        <w:tabs>
          <w:tab w:val="left" w:pos="3600"/>
        </w:tabs>
        <w:autoSpaceDE w:val="0"/>
        <w:autoSpaceDN w:val="0"/>
        <w:adjustRightInd w:val="0"/>
        <w:jc w:val="center"/>
        <w:rPr>
          <w:rFonts w:ascii="Times New Roman" w:eastAsia="Times New Roman" w:hAnsi="Times New Roman"/>
          <w:b/>
          <w:bCs/>
          <w:sz w:val="24"/>
          <w:lang w:val="fr-FR" w:eastAsia="fr-FR"/>
        </w:rPr>
      </w:pPr>
    </w:p>
    <w:p w:rsidR="00536E18" w:rsidRPr="00343E8E" w:rsidRDefault="00536E18" w:rsidP="003973ED">
      <w:pPr>
        <w:tabs>
          <w:tab w:val="left" w:pos="3600"/>
        </w:tabs>
        <w:autoSpaceDE w:val="0"/>
        <w:autoSpaceDN w:val="0"/>
        <w:adjustRightInd w:val="0"/>
        <w:jc w:val="center"/>
        <w:rPr>
          <w:rFonts w:ascii="Times New Roman" w:eastAsia="Times New Roman" w:hAnsi="Times New Roman"/>
          <w:b/>
          <w:bCs/>
          <w:sz w:val="24"/>
          <w:lang w:val="fr-FR" w:eastAsia="fr-FR"/>
        </w:rPr>
      </w:pPr>
    </w:p>
    <w:p w:rsidR="00536E18" w:rsidRPr="00343E8E" w:rsidRDefault="00536E18" w:rsidP="003973ED">
      <w:pPr>
        <w:tabs>
          <w:tab w:val="left" w:pos="3600"/>
        </w:tabs>
        <w:autoSpaceDE w:val="0"/>
        <w:autoSpaceDN w:val="0"/>
        <w:adjustRightInd w:val="0"/>
        <w:jc w:val="center"/>
        <w:rPr>
          <w:rFonts w:ascii="Times New Roman" w:eastAsia="Times New Roman" w:hAnsi="Times New Roman"/>
          <w:b/>
          <w:bCs/>
          <w:sz w:val="24"/>
          <w:lang w:val="fr-FR" w:eastAsia="fr-FR"/>
        </w:rPr>
      </w:pPr>
    </w:p>
    <w:p w:rsidR="00536E18" w:rsidRPr="00343E8E" w:rsidRDefault="00536E18" w:rsidP="003973ED">
      <w:pPr>
        <w:tabs>
          <w:tab w:val="left" w:pos="3600"/>
        </w:tabs>
        <w:autoSpaceDE w:val="0"/>
        <w:autoSpaceDN w:val="0"/>
        <w:adjustRightInd w:val="0"/>
        <w:jc w:val="center"/>
        <w:rPr>
          <w:rFonts w:ascii="Times New Roman" w:eastAsia="Times New Roman" w:hAnsi="Times New Roman"/>
          <w:b/>
          <w:bCs/>
          <w:sz w:val="24"/>
          <w:lang w:val="fr-FR" w:eastAsia="fr-FR"/>
        </w:rPr>
      </w:pPr>
    </w:p>
    <w:p w:rsidR="003973ED" w:rsidRDefault="003973ED" w:rsidP="003973ED">
      <w:pPr>
        <w:tabs>
          <w:tab w:val="left" w:pos="3600"/>
        </w:tabs>
        <w:autoSpaceDE w:val="0"/>
        <w:autoSpaceDN w:val="0"/>
        <w:adjustRightInd w:val="0"/>
        <w:jc w:val="center"/>
        <w:rPr>
          <w:rFonts w:eastAsia="Times New Roman"/>
          <w:b/>
          <w:bCs/>
          <w:sz w:val="32"/>
          <w:lang w:val="fr-FR" w:eastAsia="fr-FR"/>
        </w:rPr>
      </w:pPr>
    </w:p>
    <w:p w:rsidR="003973ED" w:rsidRDefault="003973ED" w:rsidP="003973ED">
      <w:pPr>
        <w:tabs>
          <w:tab w:val="left" w:pos="3600"/>
        </w:tabs>
        <w:autoSpaceDE w:val="0"/>
        <w:autoSpaceDN w:val="0"/>
        <w:adjustRightInd w:val="0"/>
        <w:jc w:val="center"/>
        <w:rPr>
          <w:rFonts w:eastAsia="Times New Roman"/>
          <w:b/>
          <w:bCs/>
          <w:sz w:val="32"/>
          <w:lang w:val="fr-FR" w:eastAsia="fr-FR"/>
        </w:rPr>
      </w:pPr>
    </w:p>
    <w:p w:rsidR="003973ED" w:rsidRDefault="003973ED" w:rsidP="003973ED">
      <w:pPr>
        <w:tabs>
          <w:tab w:val="left" w:pos="3600"/>
        </w:tabs>
        <w:autoSpaceDE w:val="0"/>
        <w:autoSpaceDN w:val="0"/>
        <w:adjustRightInd w:val="0"/>
        <w:jc w:val="center"/>
        <w:rPr>
          <w:rFonts w:eastAsia="Times New Roman"/>
          <w:b/>
          <w:bCs/>
          <w:sz w:val="32"/>
          <w:lang w:val="fr-FR" w:eastAsia="fr-FR"/>
        </w:rPr>
      </w:pPr>
    </w:p>
    <w:p w:rsidR="00536E18" w:rsidRPr="00343E8E" w:rsidRDefault="00536E18" w:rsidP="003973ED">
      <w:pPr>
        <w:tabs>
          <w:tab w:val="left" w:pos="3600"/>
        </w:tabs>
        <w:autoSpaceDE w:val="0"/>
        <w:autoSpaceDN w:val="0"/>
        <w:adjustRightInd w:val="0"/>
        <w:jc w:val="center"/>
        <w:rPr>
          <w:rFonts w:eastAsia="Times New Roman"/>
          <w:b/>
          <w:bCs/>
          <w:sz w:val="32"/>
          <w:lang w:val="fr-FR" w:eastAsia="fr-FR"/>
        </w:rPr>
      </w:pPr>
      <w:r w:rsidRPr="00343E8E">
        <w:rPr>
          <w:rFonts w:eastAsia="Times New Roman"/>
          <w:b/>
          <w:bCs/>
          <w:sz w:val="32"/>
          <w:lang w:val="fr-FR" w:eastAsia="fr-FR"/>
        </w:rPr>
        <w:t xml:space="preserve">MINISTERE DE LA SANTE </w:t>
      </w:r>
    </w:p>
    <w:p w:rsidR="00536E18" w:rsidRDefault="003973ED" w:rsidP="003973ED">
      <w:pPr>
        <w:spacing w:before="120" w:after="120" w:line="276" w:lineRule="auto"/>
        <w:jc w:val="center"/>
        <w:rPr>
          <w:rFonts w:cs="Tahoma"/>
          <w:b/>
          <w:lang w:val="fr-FR"/>
        </w:rPr>
      </w:pPr>
      <w:r w:rsidRPr="003973ED">
        <w:rPr>
          <w:rFonts w:cs="Tahoma"/>
          <w:b/>
          <w:noProof/>
          <w:lang w:val="fr-FR" w:eastAsia="fr-FR"/>
        </w:rPr>
        <w:drawing>
          <wp:inline distT="0" distB="0" distL="0" distR="0">
            <wp:extent cx="1171575" cy="1571625"/>
            <wp:effectExtent l="0" t="0" r="0" b="0"/>
            <wp:docPr id="15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76089" cy="1577680"/>
                    </a:xfrm>
                    <a:prstGeom prst="rect">
                      <a:avLst/>
                    </a:prstGeom>
                    <a:noFill/>
                    <a:ln w="9525">
                      <a:noFill/>
                      <a:miter lim="800000"/>
                      <a:headEnd/>
                      <a:tailEnd/>
                    </a:ln>
                  </pic:spPr>
                </pic:pic>
              </a:graphicData>
            </a:graphic>
          </wp:inline>
        </w:drawing>
      </w:r>
    </w:p>
    <w:p w:rsidR="00536E18" w:rsidRPr="003D4295" w:rsidRDefault="003973ED" w:rsidP="007C4DC5">
      <w:pPr>
        <w:spacing w:before="120" w:line="276" w:lineRule="auto"/>
        <w:jc w:val="center"/>
        <w:rPr>
          <w:rFonts w:ascii="Tahoma" w:eastAsiaTheme="minorEastAsia" w:hAnsi="Tahoma" w:cs="Tahoma"/>
          <w:b/>
          <w:bCs/>
          <w:color w:val="0070C0"/>
          <w:sz w:val="40"/>
          <w:szCs w:val="40"/>
          <w:lang w:val="fr-FR" w:eastAsia="fr-FR"/>
        </w:rPr>
      </w:pPr>
      <w:r>
        <w:rPr>
          <w:rFonts w:ascii="Tahoma" w:eastAsiaTheme="minorEastAsia" w:hAnsi="Tahoma" w:cs="Tahoma"/>
          <w:b/>
          <w:bCs/>
          <w:color w:val="0070C0"/>
          <w:sz w:val="40"/>
          <w:szCs w:val="40"/>
          <w:lang w:val="fr-FR" w:eastAsia="fr-FR"/>
        </w:rPr>
        <w:t>P</w:t>
      </w:r>
      <w:r w:rsidR="00536E18" w:rsidRPr="003D4295">
        <w:rPr>
          <w:rFonts w:ascii="Tahoma" w:eastAsiaTheme="minorEastAsia" w:hAnsi="Tahoma" w:cs="Tahoma"/>
          <w:b/>
          <w:bCs/>
          <w:color w:val="0070C0"/>
          <w:sz w:val="40"/>
          <w:szCs w:val="40"/>
          <w:lang w:val="fr-FR" w:eastAsia="fr-FR"/>
        </w:rPr>
        <w:t xml:space="preserve">LAN </w:t>
      </w:r>
      <w:r w:rsidR="003D4295">
        <w:rPr>
          <w:rFonts w:ascii="Tahoma" w:eastAsiaTheme="minorEastAsia" w:hAnsi="Tahoma" w:cs="Tahoma"/>
          <w:b/>
          <w:bCs/>
          <w:color w:val="0070C0"/>
          <w:sz w:val="40"/>
          <w:szCs w:val="40"/>
          <w:lang w:val="fr-FR" w:eastAsia="fr-FR"/>
        </w:rPr>
        <w:t>D’</w:t>
      </w:r>
      <w:r w:rsidR="003D4295" w:rsidRPr="003D4295">
        <w:rPr>
          <w:rFonts w:ascii="Tahoma" w:eastAsiaTheme="minorEastAsia" w:hAnsi="Tahoma" w:cs="Tahoma"/>
          <w:b/>
          <w:bCs/>
          <w:color w:val="0070C0"/>
          <w:sz w:val="40"/>
          <w:szCs w:val="40"/>
          <w:lang w:val="fr-FR" w:eastAsia="fr-FR"/>
        </w:rPr>
        <w:t xml:space="preserve">ACCELERATION DE LA PRISE EN CHARGE </w:t>
      </w:r>
      <w:r w:rsidR="00205669">
        <w:rPr>
          <w:rFonts w:ascii="Tahoma" w:eastAsiaTheme="minorEastAsia" w:hAnsi="Tahoma" w:cs="Tahoma"/>
          <w:b/>
          <w:bCs/>
          <w:color w:val="0070C0"/>
          <w:sz w:val="40"/>
          <w:szCs w:val="40"/>
          <w:lang w:val="fr-FR" w:eastAsia="fr-FR"/>
        </w:rPr>
        <w:t xml:space="preserve">PEDIATRIQUE </w:t>
      </w:r>
      <w:r w:rsidR="003D4295" w:rsidRPr="003D4295">
        <w:rPr>
          <w:rFonts w:ascii="Tahoma" w:eastAsiaTheme="minorEastAsia" w:hAnsi="Tahoma" w:cs="Tahoma"/>
          <w:b/>
          <w:bCs/>
          <w:color w:val="0070C0"/>
          <w:sz w:val="40"/>
          <w:szCs w:val="40"/>
          <w:lang w:val="fr-FR" w:eastAsia="fr-FR"/>
        </w:rPr>
        <w:t>DU VIH EN GUINEE</w:t>
      </w:r>
    </w:p>
    <w:p w:rsidR="00536E18" w:rsidRDefault="003D4295" w:rsidP="00023612">
      <w:pPr>
        <w:spacing w:before="120" w:line="276" w:lineRule="auto"/>
        <w:jc w:val="center"/>
        <w:rPr>
          <w:rFonts w:cs="Tahoma"/>
          <w:b/>
          <w:lang w:val="fr-FR"/>
        </w:rPr>
      </w:pPr>
      <w:r w:rsidRPr="003D4295">
        <w:rPr>
          <w:rFonts w:ascii="Tahoma" w:eastAsiaTheme="minorEastAsia" w:hAnsi="Tahoma" w:cs="Tahoma"/>
          <w:b/>
          <w:bCs/>
          <w:color w:val="0070C0"/>
          <w:sz w:val="40"/>
          <w:szCs w:val="40"/>
          <w:lang w:val="fr-FR" w:eastAsia="fr-FR"/>
        </w:rPr>
        <w:t>2017</w:t>
      </w:r>
      <w:r w:rsidR="00536E18" w:rsidRPr="003D4295">
        <w:rPr>
          <w:rFonts w:ascii="Tahoma" w:eastAsiaTheme="minorEastAsia" w:hAnsi="Tahoma" w:cs="Tahoma"/>
          <w:b/>
          <w:bCs/>
          <w:color w:val="0070C0"/>
          <w:sz w:val="40"/>
          <w:szCs w:val="40"/>
          <w:lang w:val="fr-FR" w:eastAsia="fr-FR"/>
        </w:rPr>
        <w:t>-202</w:t>
      </w:r>
      <w:r w:rsidRPr="003D4295">
        <w:rPr>
          <w:rFonts w:ascii="Tahoma" w:eastAsiaTheme="minorEastAsia" w:hAnsi="Tahoma" w:cs="Tahoma"/>
          <w:b/>
          <w:bCs/>
          <w:color w:val="0070C0"/>
          <w:sz w:val="40"/>
          <w:szCs w:val="40"/>
          <w:lang w:val="fr-FR" w:eastAsia="fr-FR"/>
        </w:rPr>
        <w:t>0</w:t>
      </w:r>
    </w:p>
    <w:p w:rsidR="00536E18" w:rsidRDefault="00536E18" w:rsidP="007C4DC5">
      <w:pPr>
        <w:spacing w:before="120" w:after="120" w:line="276" w:lineRule="auto"/>
        <w:rPr>
          <w:rFonts w:cs="Tahoma"/>
          <w:b/>
          <w:lang w:val="fr-FR"/>
        </w:rPr>
      </w:pPr>
    </w:p>
    <w:p w:rsidR="00536E18" w:rsidRDefault="00536E18" w:rsidP="007C4DC5">
      <w:pPr>
        <w:spacing w:before="120" w:after="120" w:line="276" w:lineRule="auto"/>
        <w:rPr>
          <w:rFonts w:cs="Tahoma"/>
          <w:b/>
          <w:lang w:val="fr-FR"/>
        </w:rPr>
      </w:pPr>
    </w:p>
    <w:p w:rsidR="00536E18" w:rsidRDefault="00536E18" w:rsidP="007C4DC5">
      <w:pPr>
        <w:spacing w:before="120" w:after="120" w:line="276" w:lineRule="auto"/>
        <w:rPr>
          <w:rFonts w:cs="Tahoma"/>
          <w:b/>
          <w:lang w:val="fr-FR"/>
        </w:rPr>
      </w:pPr>
    </w:p>
    <w:p w:rsidR="00536E18" w:rsidRDefault="00536E18" w:rsidP="007C4DC5">
      <w:pPr>
        <w:spacing w:before="120" w:after="120" w:line="276" w:lineRule="auto"/>
        <w:rPr>
          <w:rFonts w:cs="Tahoma"/>
          <w:b/>
          <w:lang w:val="fr-FR"/>
        </w:rPr>
      </w:pPr>
    </w:p>
    <w:p w:rsidR="00536E18" w:rsidRDefault="00536E18" w:rsidP="007C4DC5">
      <w:pPr>
        <w:spacing w:before="120" w:after="120" w:line="276" w:lineRule="auto"/>
        <w:rPr>
          <w:rFonts w:cs="Tahoma"/>
          <w:b/>
          <w:lang w:val="fr-FR"/>
        </w:rPr>
      </w:pPr>
    </w:p>
    <w:p w:rsidR="00536E18" w:rsidRDefault="00536E18" w:rsidP="007C4DC5">
      <w:pPr>
        <w:spacing w:before="120" w:after="120" w:line="276" w:lineRule="auto"/>
        <w:rPr>
          <w:rFonts w:cs="Tahoma"/>
          <w:b/>
          <w:lang w:val="fr-FR"/>
        </w:rPr>
      </w:pPr>
    </w:p>
    <w:p w:rsidR="00536E18" w:rsidRPr="00A03DBC" w:rsidRDefault="003D4295" w:rsidP="007C4DC5">
      <w:pPr>
        <w:spacing w:before="120" w:after="120" w:line="276" w:lineRule="auto"/>
        <w:jc w:val="center"/>
        <w:rPr>
          <w:rFonts w:cs="Tahoma"/>
          <w:b/>
          <w:sz w:val="24"/>
          <w:lang w:val="fr-FR"/>
        </w:rPr>
      </w:pPr>
      <w:r>
        <w:rPr>
          <w:rFonts w:cs="Tahoma"/>
          <w:b/>
          <w:sz w:val="24"/>
          <w:lang w:val="fr-FR"/>
        </w:rPr>
        <w:t>Mars 2017</w:t>
      </w:r>
    </w:p>
    <w:p w:rsidR="00536E18" w:rsidRDefault="00536E18" w:rsidP="007C4DC5">
      <w:pPr>
        <w:spacing w:before="120" w:after="120" w:line="276" w:lineRule="auto"/>
        <w:rPr>
          <w:rFonts w:cs="Tahoma"/>
          <w:b/>
          <w:lang w:val="fr-FR"/>
        </w:rPr>
      </w:pPr>
    </w:p>
    <w:p w:rsidR="007D3EC9" w:rsidRDefault="007D3EC9" w:rsidP="007C4DC5">
      <w:pPr>
        <w:spacing w:before="120" w:after="120" w:line="276" w:lineRule="auto"/>
        <w:jc w:val="center"/>
        <w:rPr>
          <w:rFonts w:cs="Tahoma"/>
          <w:b/>
          <w:color w:val="0070C0"/>
          <w:sz w:val="32"/>
          <w:szCs w:val="32"/>
          <w:lang w:val="fr-FR"/>
        </w:rPr>
        <w:sectPr w:rsidR="007D3EC9" w:rsidSect="00A02D95">
          <w:footerReference w:type="default" r:id="rId10"/>
          <w:pgSz w:w="12240" w:h="15840"/>
          <w:pgMar w:top="1440" w:right="1440" w:bottom="1440" w:left="1440" w:header="720" w:footer="720" w:gutter="0"/>
          <w:pgBorders>
            <w:top w:val="celticKnotwork" w:sz="14" w:space="24" w:color="auto"/>
            <w:left w:val="celticKnotwork" w:sz="14" w:space="24" w:color="auto"/>
            <w:bottom w:val="celticKnotwork" w:sz="14" w:space="4" w:color="auto"/>
            <w:right w:val="celticKnotwork" w:sz="14" w:space="24" w:color="auto"/>
          </w:pgBorders>
          <w:cols w:space="720"/>
          <w:docGrid w:linePitch="360"/>
        </w:sectPr>
      </w:pPr>
    </w:p>
    <w:p w:rsidR="00536E18" w:rsidRPr="00BE07AB" w:rsidRDefault="00536E18" w:rsidP="00BE07AB">
      <w:pPr>
        <w:pStyle w:val="Titre1"/>
        <w:spacing w:before="0"/>
        <w:rPr>
          <w:color w:val="auto"/>
          <w:sz w:val="32"/>
          <w:lang w:val="fr-FR"/>
        </w:rPr>
      </w:pPr>
      <w:bookmarkStart w:id="0" w:name="_Toc479179417"/>
      <w:bookmarkStart w:id="1" w:name="_Toc480382907"/>
      <w:r w:rsidRPr="00BE07AB">
        <w:rPr>
          <w:color w:val="auto"/>
          <w:sz w:val="32"/>
          <w:lang w:val="fr-FR"/>
        </w:rPr>
        <w:lastRenderedPageBreak/>
        <w:t>Table de matières</w:t>
      </w:r>
      <w:bookmarkEnd w:id="0"/>
      <w:bookmarkEnd w:id="1"/>
    </w:p>
    <w:p w:rsidR="00621353" w:rsidRDefault="00C25D03">
      <w:pPr>
        <w:pStyle w:val="TM1"/>
        <w:rPr>
          <w:rFonts w:asciiTheme="minorHAnsi" w:eastAsiaTheme="minorEastAsia" w:hAnsiTheme="minorHAnsi" w:cstheme="minorBidi"/>
          <w:b w:val="0"/>
          <w:noProof/>
          <w:sz w:val="22"/>
          <w:szCs w:val="22"/>
          <w:lang w:val="en-US" w:eastAsia="en-US"/>
        </w:rPr>
      </w:pPr>
      <w:r w:rsidRPr="00C25D03">
        <w:rPr>
          <w:rFonts w:cs="Tahoma"/>
          <w:b w:val="0"/>
          <w:color w:val="0070C0"/>
          <w:sz w:val="32"/>
          <w:szCs w:val="32"/>
        </w:rPr>
        <w:fldChar w:fldCharType="begin"/>
      </w:r>
      <w:r w:rsidR="00AD3A48" w:rsidRPr="00790771">
        <w:rPr>
          <w:rFonts w:cs="Tahoma"/>
          <w:b w:val="0"/>
          <w:color w:val="0070C0"/>
          <w:sz w:val="32"/>
          <w:szCs w:val="32"/>
        </w:rPr>
        <w:instrText xml:space="preserve"> TOC \o "1-3" \h \z \u </w:instrText>
      </w:r>
      <w:r w:rsidRPr="00C25D03">
        <w:rPr>
          <w:rFonts w:cs="Tahoma"/>
          <w:b w:val="0"/>
          <w:color w:val="0070C0"/>
          <w:sz w:val="32"/>
          <w:szCs w:val="32"/>
        </w:rPr>
        <w:fldChar w:fldCharType="separate"/>
      </w:r>
      <w:hyperlink w:anchor="_Toc480382907" w:history="1">
        <w:r w:rsidR="00621353" w:rsidRPr="00444D30">
          <w:rPr>
            <w:rStyle w:val="Lienhypertexte"/>
            <w:noProof/>
          </w:rPr>
          <w:t>Table de matières</w:t>
        </w:r>
        <w:r w:rsidR="00621353">
          <w:rPr>
            <w:noProof/>
            <w:webHidden/>
          </w:rPr>
          <w:tab/>
        </w:r>
        <w:r>
          <w:rPr>
            <w:noProof/>
            <w:webHidden/>
          </w:rPr>
          <w:fldChar w:fldCharType="begin"/>
        </w:r>
        <w:r w:rsidR="00621353">
          <w:rPr>
            <w:noProof/>
            <w:webHidden/>
          </w:rPr>
          <w:instrText xml:space="preserve"> PAGEREF _Toc480382907 \h </w:instrText>
        </w:r>
        <w:r>
          <w:rPr>
            <w:noProof/>
            <w:webHidden/>
          </w:rPr>
        </w:r>
        <w:r>
          <w:rPr>
            <w:noProof/>
            <w:webHidden/>
          </w:rPr>
          <w:fldChar w:fldCharType="separate"/>
        </w:r>
        <w:r w:rsidR="00621353">
          <w:rPr>
            <w:noProof/>
            <w:webHidden/>
          </w:rPr>
          <w:t>ii</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08" w:history="1">
        <w:r w:rsidR="00621353" w:rsidRPr="00444D30">
          <w:rPr>
            <w:rStyle w:val="Lienhypertexte"/>
            <w:noProof/>
          </w:rPr>
          <w:t>Liste des Tableaux</w:t>
        </w:r>
        <w:r w:rsidR="00621353">
          <w:rPr>
            <w:noProof/>
            <w:webHidden/>
          </w:rPr>
          <w:tab/>
        </w:r>
        <w:r>
          <w:rPr>
            <w:noProof/>
            <w:webHidden/>
          </w:rPr>
          <w:fldChar w:fldCharType="begin"/>
        </w:r>
        <w:r w:rsidR="00621353">
          <w:rPr>
            <w:noProof/>
            <w:webHidden/>
          </w:rPr>
          <w:instrText xml:space="preserve"> PAGEREF _Toc480382908 \h </w:instrText>
        </w:r>
        <w:r>
          <w:rPr>
            <w:noProof/>
            <w:webHidden/>
          </w:rPr>
        </w:r>
        <w:r>
          <w:rPr>
            <w:noProof/>
            <w:webHidden/>
          </w:rPr>
          <w:fldChar w:fldCharType="separate"/>
        </w:r>
        <w:r w:rsidR="00621353">
          <w:rPr>
            <w:noProof/>
            <w:webHidden/>
          </w:rPr>
          <w:t>iv</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09" w:history="1">
        <w:r w:rsidR="00621353" w:rsidRPr="00444D30">
          <w:rPr>
            <w:rStyle w:val="Lienhypertexte"/>
            <w:noProof/>
          </w:rPr>
          <w:t>Liste des Figures</w:t>
        </w:r>
        <w:r w:rsidR="00621353">
          <w:rPr>
            <w:noProof/>
            <w:webHidden/>
          </w:rPr>
          <w:tab/>
        </w:r>
        <w:r>
          <w:rPr>
            <w:noProof/>
            <w:webHidden/>
          </w:rPr>
          <w:fldChar w:fldCharType="begin"/>
        </w:r>
        <w:r w:rsidR="00621353">
          <w:rPr>
            <w:noProof/>
            <w:webHidden/>
          </w:rPr>
          <w:instrText xml:space="preserve"> PAGEREF _Toc480382909 \h </w:instrText>
        </w:r>
        <w:r>
          <w:rPr>
            <w:noProof/>
            <w:webHidden/>
          </w:rPr>
        </w:r>
        <w:r>
          <w:rPr>
            <w:noProof/>
            <w:webHidden/>
          </w:rPr>
          <w:fldChar w:fldCharType="separate"/>
        </w:r>
        <w:r w:rsidR="00621353">
          <w:rPr>
            <w:noProof/>
            <w:webHidden/>
          </w:rPr>
          <w:t>iv</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10" w:history="1">
        <w:r w:rsidR="00621353" w:rsidRPr="00444D30">
          <w:rPr>
            <w:rStyle w:val="Lienhypertexte"/>
            <w:noProof/>
          </w:rPr>
          <w:t>Liste des Encadrés</w:t>
        </w:r>
        <w:r w:rsidR="00621353">
          <w:rPr>
            <w:noProof/>
            <w:webHidden/>
          </w:rPr>
          <w:tab/>
        </w:r>
        <w:r>
          <w:rPr>
            <w:noProof/>
            <w:webHidden/>
          </w:rPr>
          <w:fldChar w:fldCharType="begin"/>
        </w:r>
        <w:r w:rsidR="00621353">
          <w:rPr>
            <w:noProof/>
            <w:webHidden/>
          </w:rPr>
          <w:instrText xml:space="preserve"> PAGEREF _Toc480382910 \h </w:instrText>
        </w:r>
        <w:r>
          <w:rPr>
            <w:noProof/>
            <w:webHidden/>
          </w:rPr>
        </w:r>
        <w:r>
          <w:rPr>
            <w:noProof/>
            <w:webHidden/>
          </w:rPr>
          <w:fldChar w:fldCharType="separate"/>
        </w:r>
        <w:r w:rsidR="00621353">
          <w:rPr>
            <w:noProof/>
            <w:webHidden/>
          </w:rPr>
          <w:t>iv</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11" w:history="1">
        <w:r w:rsidR="00621353" w:rsidRPr="00444D30">
          <w:rPr>
            <w:rStyle w:val="Lienhypertexte"/>
            <w:noProof/>
          </w:rPr>
          <w:t>Avant-propos</w:t>
        </w:r>
        <w:r w:rsidR="00621353">
          <w:rPr>
            <w:noProof/>
            <w:webHidden/>
          </w:rPr>
          <w:tab/>
        </w:r>
        <w:r>
          <w:rPr>
            <w:noProof/>
            <w:webHidden/>
          </w:rPr>
          <w:fldChar w:fldCharType="begin"/>
        </w:r>
        <w:r w:rsidR="00621353">
          <w:rPr>
            <w:noProof/>
            <w:webHidden/>
          </w:rPr>
          <w:instrText xml:space="preserve"> PAGEREF _Toc480382911 \h </w:instrText>
        </w:r>
        <w:r>
          <w:rPr>
            <w:noProof/>
            <w:webHidden/>
          </w:rPr>
        </w:r>
        <w:r>
          <w:rPr>
            <w:noProof/>
            <w:webHidden/>
          </w:rPr>
          <w:fldChar w:fldCharType="separate"/>
        </w:r>
        <w:r w:rsidR="00621353">
          <w:rPr>
            <w:noProof/>
            <w:webHidden/>
          </w:rPr>
          <w:t>v</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12" w:history="1">
        <w:r w:rsidR="00621353" w:rsidRPr="00444D30">
          <w:rPr>
            <w:rStyle w:val="Lienhypertexte"/>
            <w:noProof/>
          </w:rPr>
          <w:t>Remerciements</w:t>
        </w:r>
        <w:r w:rsidR="00621353">
          <w:rPr>
            <w:noProof/>
            <w:webHidden/>
          </w:rPr>
          <w:tab/>
        </w:r>
        <w:r>
          <w:rPr>
            <w:noProof/>
            <w:webHidden/>
          </w:rPr>
          <w:fldChar w:fldCharType="begin"/>
        </w:r>
        <w:r w:rsidR="00621353">
          <w:rPr>
            <w:noProof/>
            <w:webHidden/>
          </w:rPr>
          <w:instrText xml:space="preserve"> PAGEREF _Toc480382912 \h </w:instrText>
        </w:r>
        <w:r>
          <w:rPr>
            <w:noProof/>
            <w:webHidden/>
          </w:rPr>
        </w:r>
        <w:r>
          <w:rPr>
            <w:noProof/>
            <w:webHidden/>
          </w:rPr>
          <w:fldChar w:fldCharType="separate"/>
        </w:r>
        <w:r w:rsidR="00621353">
          <w:rPr>
            <w:noProof/>
            <w:webHidden/>
          </w:rPr>
          <w:t>vi</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13" w:history="1">
        <w:r w:rsidR="00621353" w:rsidRPr="00444D30">
          <w:rPr>
            <w:rStyle w:val="Lienhypertexte"/>
            <w:noProof/>
          </w:rPr>
          <w:t>Liste des acronymes et des abréviations</w:t>
        </w:r>
        <w:r w:rsidR="00621353">
          <w:rPr>
            <w:noProof/>
            <w:webHidden/>
          </w:rPr>
          <w:tab/>
        </w:r>
        <w:r>
          <w:rPr>
            <w:noProof/>
            <w:webHidden/>
          </w:rPr>
          <w:fldChar w:fldCharType="begin"/>
        </w:r>
        <w:r w:rsidR="00621353">
          <w:rPr>
            <w:noProof/>
            <w:webHidden/>
          </w:rPr>
          <w:instrText xml:space="preserve"> PAGEREF _Toc480382913 \h </w:instrText>
        </w:r>
        <w:r>
          <w:rPr>
            <w:noProof/>
            <w:webHidden/>
          </w:rPr>
        </w:r>
        <w:r>
          <w:rPr>
            <w:noProof/>
            <w:webHidden/>
          </w:rPr>
          <w:fldChar w:fldCharType="separate"/>
        </w:r>
        <w:r w:rsidR="00621353">
          <w:rPr>
            <w:noProof/>
            <w:webHidden/>
          </w:rPr>
          <w:t>vii</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14" w:history="1">
        <w:r w:rsidR="00621353" w:rsidRPr="00444D30">
          <w:rPr>
            <w:rStyle w:val="Lienhypertexte"/>
            <w:noProof/>
          </w:rPr>
          <w:t>Résumé</w:t>
        </w:r>
        <w:r w:rsidR="00621353">
          <w:rPr>
            <w:noProof/>
            <w:webHidden/>
          </w:rPr>
          <w:tab/>
        </w:r>
        <w:r>
          <w:rPr>
            <w:noProof/>
            <w:webHidden/>
          </w:rPr>
          <w:fldChar w:fldCharType="begin"/>
        </w:r>
        <w:r w:rsidR="00621353">
          <w:rPr>
            <w:noProof/>
            <w:webHidden/>
          </w:rPr>
          <w:instrText xml:space="preserve"> PAGEREF _Toc480382914 \h </w:instrText>
        </w:r>
        <w:r>
          <w:rPr>
            <w:noProof/>
            <w:webHidden/>
          </w:rPr>
        </w:r>
        <w:r>
          <w:rPr>
            <w:noProof/>
            <w:webHidden/>
          </w:rPr>
          <w:fldChar w:fldCharType="separate"/>
        </w:r>
        <w:r w:rsidR="00621353">
          <w:rPr>
            <w:noProof/>
            <w:webHidden/>
          </w:rPr>
          <w:t>viii</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15" w:history="1">
        <w:r w:rsidR="00621353" w:rsidRPr="00444D30">
          <w:rPr>
            <w:rStyle w:val="Lienhypertexte"/>
            <w:noProof/>
          </w:rPr>
          <w:t>CHAPITRE 1 : CONTEXTE ET PROFIL PAYS</w:t>
        </w:r>
        <w:r w:rsidR="00621353">
          <w:rPr>
            <w:noProof/>
            <w:webHidden/>
          </w:rPr>
          <w:tab/>
        </w:r>
        <w:r>
          <w:rPr>
            <w:noProof/>
            <w:webHidden/>
          </w:rPr>
          <w:fldChar w:fldCharType="begin"/>
        </w:r>
        <w:r w:rsidR="00621353">
          <w:rPr>
            <w:noProof/>
            <w:webHidden/>
          </w:rPr>
          <w:instrText xml:space="preserve"> PAGEREF _Toc480382915 \h </w:instrText>
        </w:r>
        <w:r>
          <w:rPr>
            <w:noProof/>
            <w:webHidden/>
          </w:rPr>
        </w:r>
        <w:r>
          <w:rPr>
            <w:noProof/>
            <w:webHidden/>
          </w:rPr>
          <w:fldChar w:fldCharType="separate"/>
        </w:r>
        <w:r w:rsidR="00621353">
          <w:rPr>
            <w:noProof/>
            <w:webHidden/>
          </w:rPr>
          <w:t>1</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16" w:history="1">
        <w:r w:rsidR="00621353" w:rsidRPr="00444D30">
          <w:rPr>
            <w:rStyle w:val="Lienhypertexte"/>
            <w:noProof/>
            <w:lang w:val="fr-FR"/>
          </w:rPr>
          <w:t>1.1</w:t>
        </w:r>
        <w:r w:rsidR="00621353">
          <w:rPr>
            <w:rFonts w:eastAsiaTheme="minorEastAsia" w:cstheme="minorBidi"/>
            <w:noProof/>
            <w:szCs w:val="22"/>
          </w:rPr>
          <w:tab/>
        </w:r>
        <w:r w:rsidR="00621353" w:rsidRPr="00444D30">
          <w:rPr>
            <w:rStyle w:val="Lienhypertexte"/>
            <w:noProof/>
            <w:lang w:val="fr-FR"/>
          </w:rPr>
          <w:t>. Contexte</w:t>
        </w:r>
        <w:r w:rsidR="00621353">
          <w:rPr>
            <w:noProof/>
            <w:webHidden/>
          </w:rPr>
          <w:tab/>
        </w:r>
        <w:r>
          <w:rPr>
            <w:noProof/>
            <w:webHidden/>
          </w:rPr>
          <w:fldChar w:fldCharType="begin"/>
        </w:r>
        <w:r w:rsidR="00621353">
          <w:rPr>
            <w:noProof/>
            <w:webHidden/>
          </w:rPr>
          <w:instrText xml:space="preserve"> PAGEREF _Toc480382916 \h </w:instrText>
        </w:r>
        <w:r>
          <w:rPr>
            <w:noProof/>
            <w:webHidden/>
          </w:rPr>
        </w:r>
        <w:r>
          <w:rPr>
            <w:noProof/>
            <w:webHidden/>
          </w:rPr>
          <w:fldChar w:fldCharType="separate"/>
        </w:r>
        <w:r w:rsidR="00621353">
          <w:rPr>
            <w:noProof/>
            <w:webHidden/>
          </w:rPr>
          <w:t>3</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17" w:history="1">
        <w:r w:rsidR="00621353" w:rsidRPr="00444D30">
          <w:rPr>
            <w:rStyle w:val="Lienhypertexte"/>
            <w:noProof/>
          </w:rPr>
          <w:t>1.2</w:t>
        </w:r>
        <w:r w:rsidR="00621353">
          <w:rPr>
            <w:rFonts w:eastAsiaTheme="minorEastAsia" w:cstheme="minorBidi"/>
            <w:noProof/>
            <w:szCs w:val="22"/>
          </w:rPr>
          <w:tab/>
        </w:r>
        <w:r w:rsidR="00621353" w:rsidRPr="00444D30">
          <w:rPr>
            <w:rStyle w:val="Lienhypertexte"/>
            <w:noProof/>
          </w:rPr>
          <w:t>Profil pays</w:t>
        </w:r>
        <w:r w:rsidR="00621353">
          <w:rPr>
            <w:noProof/>
            <w:webHidden/>
          </w:rPr>
          <w:tab/>
        </w:r>
        <w:r>
          <w:rPr>
            <w:noProof/>
            <w:webHidden/>
          </w:rPr>
          <w:fldChar w:fldCharType="begin"/>
        </w:r>
        <w:r w:rsidR="00621353">
          <w:rPr>
            <w:noProof/>
            <w:webHidden/>
          </w:rPr>
          <w:instrText xml:space="preserve"> PAGEREF _Toc480382917 \h </w:instrText>
        </w:r>
        <w:r>
          <w:rPr>
            <w:noProof/>
            <w:webHidden/>
          </w:rPr>
        </w:r>
        <w:r>
          <w:rPr>
            <w:noProof/>
            <w:webHidden/>
          </w:rPr>
          <w:fldChar w:fldCharType="separate"/>
        </w:r>
        <w:r w:rsidR="00621353">
          <w:rPr>
            <w:noProof/>
            <w:webHidden/>
          </w:rPr>
          <w:t>4</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18" w:history="1">
        <w:r w:rsidR="00621353" w:rsidRPr="00444D30">
          <w:rPr>
            <w:rStyle w:val="Lienhypertexte"/>
            <w:noProof/>
          </w:rPr>
          <w:t>CHAPITRE 2 : APPROCHE METHODOLOGIQUE</w:t>
        </w:r>
        <w:r w:rsidR="00621353">
          <w:rPr>
            <w:noProof/>
            <w:webHidden/>
          </w:rPr>
          <w:tab/>
        </w:r>
        <w:r>
          <w:rPr>
            <w:noProof/>
            <w:webHidden/>
          </w:rPr>
          <w:fldChar w:fldCharType="begin"/>
        </w:r>
        <w:r w:rsidR="00621353">
          <w:rPr>
            <w:noProof/>
            <w:webHidden/>
          </w:rPr>
          <w:instrText xml:space="preserve"> PAGEREF _Toc480382918 \h </w:instrText>
        </w:r>
        <w:r>
          <w:rPr>
            <w:noProof/>
            <w:webHidden/>
          </w:rPr>
        </w:r>
        <w:r>
          <w:rPr>
            <w:noProof/>
            <w:webHidden/>
          </w:rPr>
          <w:fldChar w:fldCharType="separate"/>
        </w:r>
        <w:r w:rsidR="00621353">
          <w:rPr>
            <w:noProof/>
            <w:webHidden/>
          </w:rPr>
          <w:t>3</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19" w:history="1">
        <w:r w:rsidR="00621353" w:rsidRPr="00444D30">
          <w:rPr>
            <w:rStyle w:val="Lienhypertexte"/>
            <w:noProof/>
            <w:lang w:val="fr-FR"/>
          </w:rPr>
          <w:t>2.1</w:t>
        </w:r>
        <w:r w:rsidR="00621353">
          <w:rPr>
            <w:rFonts w:eastAsiaTheme="minorEastAsia" w:cstheme="minorBidi"/>
            <w:noProof/>
            <w:szCs w:val="22"/>
          </w:rPr>
          <w:tab/>
        </w:r>
        <w:r w:rsidR="00621353" w:rsidRPr="00444D30">
          <w:rPr>
            <w:rStyle w:val="Lienhypertexte"/>
            <w:noProof/>
            <w:lang w:val="fr-FR"/>
          </w:rPr>
          <w:t>Justification</w:t>
        </w:r>
        <w:r w:rsidR="00621353">
          <w:rPr>
            <w:noProof/>
            <w:webHidden/>
          </w:rPr>
          <w:tab/>
        </w:r>
        <w:r>
          <w:rPr>
            <w:noProof/>
            <w:webHidden/>
          </w:rPr>
          <w:fldChar w:fldCharType="begin"/>
        </w:r>
        <w:r w:rsidR="00621353">
          <w:rPr>
            <w:noProof/>
            <w:webHidden/>
          </w:rPr>
          <w:instrText xml:space="preserve"> PAGEREF _Toc480382919 \h </w:instrText>
        </w:r>
        <w:r>
          <w:rPr>
            <w:noProof/>
            <w:webHidden/>
          </w:rPr>
        </w:r>
        <w:r>
          <w:rPr>
            <w:noProof/>
            <w:webHidden/>
          </w:rPr>
          <w:fldChar w:fldCharType="separate"/>
        </w:r>
        <w:r w:rsidR="00621353">
          <w:rPr>
            <w:noProof/>
            <w:webHidden/>
          </w:rPr>
          <w:t>6</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20" w:history="1">
        <w:r w:rsidR="00621353" w:rsidRPr="00444D30">
          <w:rPr>
            <w:rStyle w:val="Lienhypertexte"/>
            <w:noProof/>
            <w:lang w:val="fr-FR"/>
          </w:rPr>
          <w:t>2.2</w:t>
        </w:r>
        <w:r w:rsidR="00621353">
          <w:rPr>
            <w:rFonts w:eastAsiaTheme="minorEastAsia" w:cstheme="minorBidi"/>
            <w:noProof/>
            <w:szCs w:val="22"/>
          </w:rPr>
          <w:tab/>
        </w:r>
        <w:r w:rsidR="00621353" w:rsidRPr="00444D30">
          <w:rPr>
            <w:rStyle w:val="Lienhypertexte"/>
            <w:noProof/>
            <w:lang w:val="fr-FR"/>
          </w:rPr>
          <w:t>. But, Objectif général et Objectifs spécifiques</w:t>
        </w:r>
        <w:r w:rsidR="00621353">
          <w:rPr>
            <w:noProof/>
            <w:webHidden/>
          </w:rPr>
          <w:tab/>
        </w:r>
        <w:r>
          <w:rPr>
            <w:noProof/>
            <w:webHidden/>
          </w:rPr>
          <w:fldChar w:fldCharType="begin"/>
        </w:r>
        <w:r w:rsidR="00621353">
          <w:rPr>
            <w:noProof/>
            <w:webHidden/>
          </w:rPr>
          <w:instrText xml:space="preserve"> PAGEREF _Toc480382920 \h </w:instrText>
        </w:r>
        <w:r>
          <w:rPr>
            <w:noProof/>
            <w:webHidden/>
          </w:rPr>
        </w:r>
        <w:r>
          <w:rPr>
            <w:noProof/>
            <w:webHidden/>
          </w:rPr>
          <w:fldChar w:fldCharType="separate"/>
        </w:r>
        <w:r w:rsidR="00621353">
          <w:rPr>
            <w:noProof/>
            <w:webHidden/>
          </w:rPr>
          <w:t>7</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21" w:history="1">
        <w:r w:rsidR="00621353" w:rsidRPr="00444D30">
          <w:rPr>
            <w:rStyle w:val="Lienhypertexte"/>
            <w:noProof/>
            <w:lang w:val="fr-FR"/>
          </w:rPr>
          <w:t>2.3</w:t>
        </w:r>
        <w:r w:rsidR="00621353">
          <w:rPr>
            <w:rFonts w:eastAsiaTheme="minorEastAsia" w:cstheme="minorBidi"/>
            <w:noProof/>
            <w:szCs w:val="22"/>
          </w:rPr>
          <w:tab/>
        </w:r>
        <w:r w:rsidR="00621353" w:rsidRPr="00444D30">
          <w:rPr>
            <w:rStyle w:val="Lienhypertexte"/>
            <w:noProof/>
            <w:lang w:val="fr-FR"/>
          </w:rPr>
          <w:t>. Processus d’élaboration du plan</w:t>
        </w:r>
        <w:r w:rsidR="00621353">
          <w:rPr>
            <w:noProof/>
            <w:webHidden/>
          </w:rPr>
          <w:tab/>
        </w:r>
        <w:r>
          <w:rPr>
            <w:noProof/>
            <w:webHidden/>
          </w:rPr>
          <w:fldChar w:fldCharType="begin"/>
        </w:r>
        <w:r w:rsidR="00621353">
          <w:rPr>
            <w:noProof/>
            <w:webHidden/>
          </w:rPr>
          <w:instrText xml:space="preserve"> PAGEREF _Toc480382921 \h </w:instrText>
        </w:r>
        <w:r>
          <w:rPr>
            <w:noProof/>
            <w:webHidden/>
          </w:rPr>
        </w:r>
        <w:r>
          <w:rPr>
            <w:noProof/>
            <w:webHidden/>
          </w:rPr>
          <w:fldChar w:fldCharType="separate"/>
        </w:r>
        <w:r w:rsidR="00621353">
          <w:rPr>
            <w:noProof/>
            <w:webHidden/>
          </w:rPr>
          <w:t>7</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22" w:history="1">
        <w:r w:rsidR="00621353" w:rsidRPr="00444D30">
          <w:rPr>
            <w:rStyle w:val="Lienhypertexte"/>
            <w:noProof/>
            <w:lang w:val="fr-FR"/>
          </w:rPr>
          <w:t>2.4</w:t>
        </w:r>
        <w:r w:rsidR="00621353">
          <w:rPr>
            <w:rFonts w:eastAsiaTheme="minorEastAsia" w:cstheme="minorBidi"/>
            <w:noProof/>
            <w:szCs w:val="22"/>
          </w:rPr>
          <w:tab/>
        </w:r>
        <w:r w:rsidR="00621353" w:rsidRPr="00444D30">
          <w:rPr>
            <w:rStyle w:val="Lienhypertexte"/>
            <w:noProof/>
            <w:lang w:val="fr-FR"/>
          </w:rPr>
          <w:t>. Collecte des données</w:t>
        </w:r>
        <w:r w:rsidR="00621353">
          <w:rPr>
            <w:noProof/>
            <w:webHidden/>
          </w:rPr>
          <w:tab/>
        </w:r>
        <w:r>
          <w:rPr>
            <w:noProof/>
            <w:webHidden/>
          </w:rPr>
          <w:fldChar w:fldCharType="begin"/>
        </w:r>
        <w:r w:rsidR="00621353">
          <w:rPr>
            <w:noProof/>
            <w:webHidden/>
          </w:rPr>
          <w:instrText xml:space="preserve"> PAGEREF _Toc480382922 \h </w:instrText>
        </w:r>
        <w:r>
          <w:rPr>
            <w:noProof/>
            <w:webHidden/>
          </w:rPr>
        </w:r>
        <w:r>
          <w:rPr>
            <w:noProof/>
            <w:webHidden/>
          </w:rPr>
          <w:fldChar w:fldCharType="separate"/>
        </w:r>
        <w:r w:rsidR="00621353">
          <w:rPr>
            <w:noProof/>
            <w:webHidden/>
          </w:rPr>
          <w:t>7</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23" w:history="1">
        <w:r w:rsidR="00621353" w:rsidRPr="00444D30">
          <w:rPr>
            <w:rStyle w:val="Lienhypertexte"/>
            <w:noProof/>
            <w:lang w:val="fr-FR"/>
          </w:rPr>
          <w:t>2.5</w:t>
        </w:r>
        <w:r w:rsidR="00621353">
          <w:rPr>
            <w:rFonts w:eastAsiaTheme="minorEastAsia" w:cstheme="minorBidi"/>
            <w:noProof/>
            <w:szCs w:val="22"/>
          </w:rPr>
          <w:tab/>
        </w:r>
        <w:r w:rsidR="00621353" w:rsidRPr="00444D30">
          <w:rPr>
            <w:rStyle w:val="Lienhypertexte"/>
            <w:noProof/>
            <w:lang w:val="fr-FR"/>
          </w:rPr>
          <w:t>. Analyse des données</w:t>
        </w:r>
        <w:r w:rsidR="00621353">
          <w:rPr>
            <w:noProof/>
            <w:webHidden/>
          </w:rPr>
          <w:tab/>
        </w:r>
        <w:r>
          <w:rPr>
            <w:noProof/>
            <w:webHidden/>
          </w:rPr>
          <w:fldChar w:fldCharType="begin"/>
        </w:r>
        <w:r w:rsidR="00621353">
          <w:rPr>
            <w:noProof/>
            <w:webHidden/>
          </w:rPr>
          <w:instrText xml:space="preserve"> PAGEREF _Toc480382923 \h </w:instrText>
        </w:r>
        <w:r>
          <w:rPr>
            <w:noProof/>
            <w:webHidden/>
          </w:rPr>
        </w:r>
        <w:r>
          <w:rPr>
            <w:noProof/>
            <w:webHidden/>
          </w:rPr>
          <w:fldChar w:fldCharType="separate"/>
        </w:r>
        <w:r w:rsidR="00621353">
          <w:rPr>
            <w:noProof/>
            <w:webHidden/>
          </w:rPr>
          <w:t>8</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24" w:history="1">
        <w:r w:rsidR="00621353" w:rsidRPr="00444D30">
          <w:rPr>
            <w:rStyle w:val="Lienhypertexte"/>
            <w:noProof/>
          </w:rPr>
          <w:t>CHAPITRE 3 : ETAT DES LIEUX DE LA PRISE EN CHARGE DU VIH CHEZ L’ENFANT EN GUINEE</w:t>
        </w:r>
        <w:r w:rsidR="00621353">
          <w:rPr>
            <w:noProof/>
            <w:webHidden/>
          </w:rPr>
          <w:tab/>
        </w:r>
        <w:r>
          <w:rPr>
            <w:noProof/>
            <w:webHidden/>
          </w:rPr>
          <w:fldChar w:fldCharType="begin"/>
        </w:r>
        <w:r w:rsidR="00621353">
          <w:rPr>
            <w:noProof/>
            <w:webHidden/>
          </w:rPr>
          <w:instrText xml:space="preserve"> PAGEREF _Toc480382924 \h </w:instrText>
        </w:r>
        <w:r>
          <w:rPr>
            <w:noProof/>
            <w:webHidden/>
          </w:rPr>
        </w:r>
        <w:r>
          <w:rPr>
            <w:noProof/>
            <w:webHidden/>
          </w:rPr>
          <w:fldChar w:fldCharType="separate"/>
        </w:r>
        <w:r w:rsidR="00621353">
          <w:rPr>
            <w:noProof/>
            <w:webHidden/>
          </w:rPr>
          <w:t>9</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25" w:history="1">
        <w:r w:rsidR="00621353" w:rsidRPr="00444D30">
          <w:rPr>
            <w:rStyle w:val="Lienhypertexte"/>
            <w:noProof/>
            <w:lang w:val="fr-FR"/>
          </w:rPr>
          <w:t>3.1</w:t>
        </w:r>
        <w:r w:rsidR="00621353">
          <w:rPr>
            <w:rFonts w:eastAsiaTheme="minorEastAsia" w:cstheme="minorBidi"/>
            <w:noProof/>
            <w:szCs w:val="22"/>
          </w:rPr>
          <w:tab/>
        </w:r>
        <w:r w:rsidR="00621353" w:rsidRPr="00444D30">
          <w:rPr>
            <w:rStyle w:val="Lienhypertexte"/>
            <w:noProof/>
            <w:lang w:val="fr-FR"/>
          </w:rPr>
          <w:t>. Organisation du système de santé</w:t>
        </w:r>
        <w:r w:rsidR="00621353">
          <w:rPr>
            <w:noProof/>
            <w:webHidden/>
          </w:rPr>
          <w:tab/>
        </w:r>
        <w:r>
          <w:rPr>
            <w:noProof/>
            <w:webHidden/>
          </w:rPr>
          <w:fldChar w:fldCharType="begin"/>
        </w:r>
        <w:r w:rsidR="00621353">
          <w:rPr>
            <w:noProof/>
            <w:webHidden/>
          </w:rPr>
          <w:instrText xml:space="preserve"> PAGEREF _Toc480382925 \h </w:instrText>
        </w:r>
        <w:r>
          <w:rPr>
            <w:noProof/>
            <w:webHidden/>
          </w:rPr>
        </w:r>
        <w:r>
          <w:rPr>
            <w:noProof/>
            <w:webHidden/>
          </w:rPr>
          <w:fldChar w:fldCharType="separate"/>
        </w:r>
        <w:r w:rsidR="00621353">
          <w:rPr>
            <w:noProof/>
            <w:webHidden/>
          </w:rPr>
          <w:t>9</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26" w:history="1">
        <w:r w:rsidR="00621353" w:rsidRPr="00444D30">
          <w:rPr>
            <w:rStyle w:val="Lienhypertexte"/>
            <w:noProof/>
            <w:lang w:val="fr-FR"/>
          </w:rPr>
          <w:t>3.2</w:t>
        </w:r>
        <w:r w:rsidR="00621353">
          <w:rPr>
            <w:rFonts w:eastAsiaTheme="minorEastAsia" w:cstheme="minorBidi"/>
            <w:noProof/>
            <w:szCs w:val="22"/>
          </w:rPr>
          <w:tab/>
        </w:r>
        <w:r w:rsidR="00621353" w:rsidRPr="00444D30">
          <w:rPr>
            <w:rStyle w:val="Lienhypertexte"/>
            <w:noProof/>
            <w:lang w:val="fr-FR"/>
          </w:rPr>
          <w:t>Epidémiologie du VIH</w:t>
        </w:r>
        <w:r w:rsidR="00621353">
          <w:rPr>
            <w:noProof/>
            <w:webHidden/>
          </w:rPr>
          <w:tab/>
        </w:r>
        <w:r>
          <w:rPr>
            <w:noProof/>
            <w:webHidden/>
          </w:rPr>
          <w:fldChar w:fldCharType="begin"/>
        </w:r>
        <w:r w:rsidR="00621353">
          <w:rPr>
            <w:noProof/>
            <w:webHidden/>
          </w:rPr>
          <w:instrText xml:space="preserve"> PAGEREF _Toc480382926 \h </w:instrText>
        </w:r>
        <w:r>
          <w:rPr>
            <w:noProof/>
            <w:webHidden/>
          </w:rPr>
        </w:r>
        <w:r>
          <w:rPr>
            <w:noProof/>
            <w:webHidden/>
          </w:rPr>
          <w:fldChar w:fldCharType="separate"/>
        </w:r>
        <w:r w:rsidR="00621353">
          <w:rPr>
            <w:noProof/>
            <w:webHidden/>
          </w:rPr>
          <w:t>10</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27" w:history="1">
        <w:r w:rsidR="00621353" w:rsidRPr="00444D30">
          <w:rPr>
            <w:rStyle w:val="Lienhypertexte"/>
            <w:noProof/>
            <w:lang w:val="fr-FR"/>
          </w:rPr>
          <w:t>3.3</w:t>
        </w:r>
        <w:r w:rsidR="00621353">
          <w:rPr>
            <w:rFonts w:eastAsiaTheme="minorEastAsia" w:cstheme="minorBidi"/>
            <w:noProof/>
            <w:szCs w:val="22"/>
          </w:rPr>
          <w:tab/>
        </w:r>
        <w:r w:rsidR="00621353" w:rsidRPr="00444D30">
          <w:rPr>
            <w:rStyle w:val="Lienhypertexte"/>
            <w:noProof/>
            <w:lang w:val="fr-FR"/>
          </w:rPr>
          <w:t>. Réponse Pays au VIH pédiatrique</w:t>
        </w:r>
        <w:r w:rsidR="00621353">
          <w:rPr>
            <w:noProof/>
            <w:webHidden/>
          </w:rPr>
          <w:tab/>
        </w:r>
        <w:r>
          <w:rPr>
            <w:noProof/>
            <w:webHidden/>
          </w:rPr>
          <w:fldChar w:fldCharType="begin"/>
        </w:r>
        <w:r w:rsidR="00621353">
          <w:rPr>
            <w:noProof/>
            <w:webHidden/>
          </w:rPr>
          <w:instrText xml:space="preserve"> PAGEREF _Toc480382927 \h </w:instrText>
        </w:r>
        <w:r>
          <w:rPr>
            <w:noProof/>
            <w:webHidden/>
          </w:rPr>
        </w:r>
        <w:r>
          <w:rPr>
            <w:noProof/>
            <w:webHidden/>
          </w:rPr>
          <w:fldChar w:fldCharType="separate"/>
        </w:r>
        <w:r w:rsidR="00621353">
          <w:rPr>
            <w:noProof/>
            <w:webHidden/>
          </w:rPr>
          <w:t>11</w:t>
        </w:r>
        <w:r>
          <w:rPr>
            <w:noProof/>
            <w:webHidden/>
          </w:rPr>
          <w:fldChar w:fldCharType="end"/>
        </w:r>
      </w:hyperlink>
    </w:p>
    <w:p w:rsidR="00621353" w:rsidRDefault="00C25D03">
      <w:pPr>
        <w:pStyle w:val="TM3"/>
        <w:tabs>
          <w:tab w:val="left" w:pos="1320"/>
          <w:tab w:val="right" w:leader="dot" w:pos="9350"/>
        </w:tabs>
        <w:rPr>
          <w:rFonts w:eastAsiaTheme="minorEastAsia" w:cstheme="minorBidi"/>
          <w:noProof/>
          <w:szCs w:val="22"/>
        </w:rPr>
      </w:pPr>
      <w:hyperlink w:anchor="_Toc480382928" w:history="1">
        <w:r w:rsidR="00621353" w:rsidRPr="00444D30">
          <w:rPr>
            <w:rStyle w:val="Lienhypertexte"/>
            <w:noProof/>
            <w:lang w:val="fr-FR"/>
          </w:rPr>
          <w:t>3.3.1</w:t>
        </w:r>
        <w:r w:rsidR="00621353">
          <w:rPr>
            <w:rFonts w:eastAsiaTheme="minorEastAsia" w:cstheme="minorBidi"/>
            <w:noProof/>
            <w:szCs w:val="22"/>
          </w:rPr>
          <w:tab/>
        </w:r>
        <w:r w:rsidR="00621353" w:rsidRPr="00444D30">
          <w:rPr>
            <w:rStyle w:val="Lienhypertexte"/>
            <w:noProof/>
            <w:lang w:val="fr-FR"/>
          </w:rPr>
          <w:t>PTME</w:t>
        </w:r>
        <w:r w:rsidR="00621353">
          <w:rPr>
            <w:noProof/>
            <w:webHidden/>
          </w:rPr>
          <w:tab/>
        </w:r>
        <w:r>
          <w:rPr>
            <w:noProof/>
            <w:webHidden/>
          </w:rPr>
          <w:fldChar w:fldCharType="begin"/>
        </w:r>
        <w:r w:rsidR="00621353">
          <w:rPr>
            <w:noProof/>
            <w:webHidden/>
          </w:rPr>
          <w:instrText xml:space="preserve"> PAGEREF _Toc480382928 \h </w:instrText>
        </w:r>
        <w:r>
          <w:rPr>
            <w:noProof/>
            <w:webHidden/>
          </w:rPr>
        </w:r>
        <w:r>
          <w:rPr>
            <w:noProof/>
            <w:webHidden/>
          </w:rPr>
          <w:fldChar w:fldCharType="separate"/>
        </w:r>
        <w:r w:rsidR="00621353">
          <w:rPr>
            <w:noProof/>
            <w:webHidden/>
          </w:rPr>
          <w:t>11</w:t>
        </w:r>
        <w:r>
          <w:rPr>
            <w:noProof/>
            <w:webHidden/>
          </w:rPr>
          <w:fldChar w:fldCharType="end"/>
        </w:r>
      </w:hyperlink>
    </w:p>
    <w:p w:rsidR="00621353" w:rsidRDefault="00C25D03">
      <w:pPr>
        <w:pStyle w:val="TM3"/>
        <w:tabs>
          <w:tab w:val="left" w:pos="1320"/>
          <w:tab w:val="right" w:leader="dot" w:pos="9350"/>
        </w:tabs>
        <w:rPr>
          <w:rFonts w:eastAsiaTheme="minorEastAsia" w:cstheme="minorBidi"/>
          <w:noProof/>
          <w:szCs w:val="22"/>
        </w:rPr>
      </w:pPr>
      <w:hyperlink w:anchor="_Toc480382929" w:history="1">
        <w:r w:rsidR="00621353" w:rsidRPr="00444D30">
          <w:rPr>
            <w:rStyle w:val="Lienhypertexte"/>
            <w:noProof/>
            <w:lang w:val="fr-FR"/>
          </w:rPr>
          <w:t>3.3.2</w:t>
        </w:r>
        <w:r w:rsidR="00621353">
          <w:rPr>
            <w:rFonts w:eastAsiaTheme="minorEastAsia" w:cstheme="minorBidi"/>
            <w:noProof/>
            <w:szCs w:val="22"/>
          </w:rPr>
          <w:tab/>
        </w:r>
        <w:r w:rsidR="00621353" w:rsidRPr="00444D30">
          <w:rPr>
            <w:rStyle w:val="Lienhypertexte"/>
            <w:noProof/>
            <w:lang w:val="fr-FR"/>
          </w:rPr>
          <w:t>Dépistage et conseil du VIH</w:t>
        </w:r>
        <w:r w:rsidR="00621353">
          <w:rPr>
            <w:noProof/>
            <w:webHidden/>
          </w:rPr>
          <w:tab/>
        </w:r>
        <w:r>
          <w:rPr>
            <w:noProof/>
            <w:webHidden/>
          </w:rPr>
          <w:fldChar w:fldCharType="begin"/>
        </w:r>
        <w:r w:rsidR="00621353">
          <w:rPr>
            <w:noProof/>
            <w:webHidden/>
          </w:rPr>
          <w:instrText xml:space="preserve"> PAGEREF _Toc480382929 \h </w:instrText>
        </w:r>
        <w:r>
          <w:rPr>
            <w:noProof/>
            <w:webHidden/>
          </w:rPr>
        </w:r>
        <w:r>
          <w:rPr>
            <w:noProof/>
            <w:webHidden/>
          </w:rPr>
          <w:fldChar w:fldCharType="separate"/>
        </w:r>
        <w:r w:rsidR="00621353">
          <w:rPr>
            <w:noProof/>
            <w:webHidden/>
          </w:rPr>
          <w:t>13</w:t>
        </w:r>
        <w:r>
          <w:rPr>
            <w:noProof/>
            <w:webHidden/>
          </w:rPr>
          <w:fldChar w:fldCharType="end"/>
        </w:r>
      </w:hyperlink>
    </w:p>
    <w:p w:rsidR="00621353" w:rsidRDefault="00C25D03">
      <w:pPr>
        <w:pStyle w:val="TM3"/>
        <w:tabs>
          <w:tab w:val="left" w:pos="1320"/>
          <w:tab w:val="right" w:leader="dot" w:pos="9350"/>
        </w:tabs>
        <w:rPr>
          <w:rFonts w:eastAsiaTheme="minorEastAsia" w:cstheme="minorBidi"/>
          <w:noProof/>
          <w:szCs w:val="22"/>
        </w:rPr>
      </w:pPr>
      <w:hyperlink w:anchor="_Toc480382930" w:history="1">
        <w:r w:rsidR="00621353" w:rsidRPr="00444D30">
          <w:rPr>
            <w:rStyle w:val="Lienhypertexte"/>
            <w:noProof/>
            <w:lang w:val="fr-FR"/>
          </w:rPr>
          <w:t>3.3.3</w:t>
        </w:r>
        <w:r w:rsidR="00621353">
          <w:rPr>
            <w:rFonts w:eastAsiaTheme="minorEastAsia" w:cstheme="minorBidi"/>
            <w:noProof/>
            <w:szCs w:val="22"/>
          </w:rPr>
          <w:tab/>
        </w:r>
        <w:r w:rsidR="00621353" w:rsidRPr="00444D30">
          <w:rPr>
            <w:rStyle w:val="Lienhypertexte"/>
            <w:noProof/>
            <w:lang w:val="fr-FR"/>
          </w:rPr>
          <w:t>Initiation de la trithérapie antirétrovirale</w:t>
        </w:r>
        <w:r w:rsidR="00621353">
          <w:rPr>
            <w:noProof/>
            <w:webHidden/>
          </w:rPr>
          <w:tab/>
        </w:r>
        <w:r>
          <w:rPr>
            <w:noProof/>
            <w:webHidden/>
          </w:rPr>
          <w:fldChar w:fldCharType="begin"/>
        </w:r>
        <w:r w:rsidR="00621353">
          <w:rPr>
            <w:noProof/>
            <w:webHidden/>
          </w:rPr>
          <w:instrText xml:space="preserve"> PAGEREF _Toc480382930 \h </w:instrText>
        </w:r>
        <w:r>
          <w:rPr>
            <w:noProof/>
            <w:webHidden/>
          </w:rPr>
        </w:r>
        <w:r>
          <w:rPr>
            <w:noProof/>
            <w:webHidden/>
          </w:rPr>
          <w:fldChar w:fldCharType="separate"/>
        </w:r>
        <w:r w:rsidR="00621353">
          <w:rPr>
            <w:noProof/>
            <w:webHidden/>
          </w:rPr>
          <w:t>14</w:t>
        </w:r>
        <w:r>
          <w:rPr>
            <w:noProof/>
            <w:webHidden/>
          </w:rPr>
          <w:fldChar w:fldCharType="end"/>
        </w:r>
      </w:hyperlink>
    </w:p>
    <w:p w:rsidR="00621353" w:rsidRDefault="00C25D03">
      <w:pPr>
        <w:pStyle w:val="TM3"/>
        <w:tabs>
          <w:tab w:val="left" w:pos="1320"/>
          <w:tab w:val="right" w:leader="dot" w:pos="9350"/>
        </w:tabs>
        <w:rPr>
          <w:rFonts w:eastAsiaTheme="minorEastAsia" w:cstheme="minorBidi"/>
          <w:noProof/>
          <w:szCs w:val="22"/>
        </w:rPr>
      </w:pPr>
      <w:hyperlink w:anchor="_Toc480382931" w:history="1">
        <w:r w:rsidR="00621353" w:rsidRPr="00444D30">
          <w:rPr>
            <w:rStyle w:val="Lienhypertexte"/>
            <w:noProof/>
            <w:lang w:val="fr-FR"/>
          </w:rPr>
          <w:t>3.3.4</w:t>
        </w:r>
        <w:r w:rsidR="00621353">
          <w:rPr>
            <w:rFonts w:eastAsiaTheme="minorEastAsia" w:cstheme="minorBidi"/>
            <w:noProof/>
            <w:szCs w:val="22"/>
          </w:rPr>
          <w:tab/>
        </w:r>
        <w:r w:rsidR="00621353" w:rsidRPr="00444D30">
          <w:rPr>
            <w:rStyle w:val="Lienhypertexte"/>
            <w:noProof/>
            <w:lang w:val="fr-FR"/>
          </w:rPr>
          <w:t>Rétention aux soins</w:t>
        </w:r>
        <w:r w:rsidR="00621353">
          <w:rPr>
            <w:noProof/>
            <w:webHidden/>
          </w:rPr>
          <w:tab/>
        </w:r>
        <w:r>
          <w:rPr>
            <w:noProof/>
            <w:webHidden/>
          </w:rPr>
          <w:fldChar w:fldCharType="begin"/>
        </w:r>
        <w:r w:rsidR="00621353">
          <w:rPr>
            <w:noProof/>
            <w:webHidden/>
          </w:rPr>
          <w:instrText xml:space="preserve"> PAGEREF _Toc480382931 \h </w:instrText>
        </w:r>
        <w:r>
          <w:rPr>
            <w:noProof/>
            <w:webHidden/>
          </w:rPr>
        </w:r>
        <w:r>
          <w:rPr>
            <w:noProof/>
            <w:webHidden/>
          </w:rPr>
          <w:fldChar w:fldCharType="separate"/>
        </w:r>
        <w:r w:rsidR="00621353">
          <w:rPr>
            <w:noProof/>
            <w:webHidden/>
          </w:rPr>
          <w:t>17</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32" w:history="1">
        <w:r w:rsidR="00621353" w:rsidRPr="00444D30">
          <w:rPr>
            <w:rStyle w:val="Lienhypertexte"/>
            <w:noProof/>
            <w:lang w:val="fr-FR"/>
          </w:rPr>
          <w:t>3.4</w:t>
        </w:r>
        <w:r w:rsidR="00621353">
          <w:rPr>
            <w:rFonts w:eastAsiaTheme="minorEastAsia" w:cstheme="minorBidi"/>
            <w:noProof/>
            <w:szCs w:val="22"/>
          </w:rPr>
          <w:tab/>
        </w:r>
        <w:r w:rsidR="00621353" w:rsidRPr="00444D30">
          <w:rPr>
            <w:rStyle w:val="Lienhypertexte"/>
            <w:noProof/>
            <w:lang w:val="fr-FR"/>
          </w:rPr>
          <w:t xml:space="preserve"> Analyse des goulots d’étranglement de la prise en charge pédiatrique du VIH</w:t>
        </w:r>
        <w:r w:rsidR="00621353">
          <w:rPr>
            <w:noProof/>
            <w:webHidden/>
          </w:rPr>
          <w:tab/>
        </w:r>
        <w:r>
          <w:rPr>
            <w:noProof/>
            <w:webHidden/>
          </w:rPr>
          <w:fldChar w:fldCharType="begin"/>
        </w:r>
        <w:r w:rsidR="00621353">
          <w:rPr>
            <w:noProof/>
            <w:webHidden/>
          </w:rPr>
          <w:instrText xml:space="preserve"> PAGEREF _Toc480382932 \h </w:instrText>
        </w:r>
        <w:r>
          <w:rPr>
            <w:noProof/>
            <w:webHidden/>
          </w:rPr>
        </w:r>
        <w:r>
          <w:rPr>
            <w:noProof/>
            <w:webHidden/>
          </w:rPr>
          <w:fldChar w:fldCharType="separate"/>
        </w:r>
        <w:r w:rsidR="00621353">
          <w:rPr>
            <w:noProof/>
            <w:webHidden/>
          </w:rPr>
          <w:t>17</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33" w:history="1">
        <w:r w:rsidR="00621353" w:rsidRPr="00444D30">
          <w:rPr>
            <w:rStyle w:val="Lienhypertexte"/>
            <w:noProof/>
          </w:rPr>
          <w:t>CHAPITRE 4 : INTERVENTIONS STRATEGIQUES POUR L’ACCELERATION DE LA PRISE EN CHARGE PEDIATRIQUE DU VIH</w:t>
        </w:r>
        <w:r w:rsidR="00621353">
          <w:rPr>
            <w:noProof/>
            <w:webHidden/>
          </w:rPr>
          <w:tab/>
        </w:r>
        <w:r>
          <w:rPr>
            <w:noProof/>
            <w:webHidden/>
          </w:rPr>
          <w:fldChar w:fldCharType="begin"/>
        </w:r>
        <w:r w:rsidR="00621353">
          <w:rPr>
            <w:noProof/>
            <w:webHidden/>
          </w:rPr>
          <w:instrText xml:space="preserve"> PAGEREF _Toc480382933 \h </w:instrText>
        </w:r>
        <w:r>
          <w:rPr>
            <w:noProof/>
            <w:webHidden/>
          </w:rPr>
        </w:r>
        <w:r>
          <w:rPr>
            <w:noProof/>
            <w:webHidden/>
          </w:rPr>
          <w:fldChar w:fldCharType="separate"/>
        </w:r>
        <w:r w:rsidR="00621353">
          <w:rPr>
            <w:noProof/>
            <w:webHidden/>
          </w:rPr>
          <w:t>22</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34" w:history="1">
        <w:r w:rsidR="00621353" w:rsidRPr="00444D30">
          <w:rPr>
            <w:rStyle w:val="Lienhypertexte"/>
            <w:noProof/>
            <w:lang w:val="fr-FR"/>
          </w:rPr>
          <w:t>4.1</w:t>
        </w:r>
        <w:r w:rsidR="00621353">
          <w:rPr>
            <w:rFonts w:eastAsiaTheme="minorEastAsia" w:cstheme="minorBidi"/>
            <w:noProof/>
            <w:szCs w:val="22"/>
          </w:rPr>
          <w:tab/>
        </w:r>
        <w:r w:rsidR="00621353" w:rsidRPr="00444D30">
          <w:rPr>
            <w:rStyle w:val="Lienhypertexte"/>
            <w:noProof/>
            <w:lang w:val="fr-FR"/>
          </w:rPr>
          <w:t>Scénarii d’accélération (lente, modérée, rapide)</w:t>
        </w:r>
        <w:r w:rsidR="00621353">
          <w:rPr>
            <w:noProof/>
            <w:webHidden/>
          </w:rPr>
          <w:tab/>
        </w:r>
        <w:r>
          <w:rPr>
            <w:noProof/>
            <w:webHidden/>
          </w:rPr>
          <w:fldChar w:fldCharType="begin"/>
        </w:r>
        <w:r w:rsidR="00621353">
          <w:rPr>
            <w:noProof/>
            <w:webHidden/>
          </w:rPr>
          <w:instrText xml:space="preserve"> PAGEREF _Toc480382934 \h </w:instrText>
        </w:r>
        <w:r>
          <w:rPr>
            <w:noProof/>
            <w:webHidden/>
          </w:rPr>
        </w:r>
        <w:r>
          <w:rPr>
            <w:noProof/>
            <w:webHidden/>
          </w:rPr>
          <w:fldChar w:fldCharType="separate"/>
        </w:r>
        <w:r w:rsidR="00621353">
          <w:rPr>
            <w:noProof/>
            <w:webHidden/>
          </w:rPr>
          <w:t>21</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35" w:history="1">
        <w:r w:rsidR="00621353" w:rsidRPr="00444D30">
          <w:rPr>
            <w:rStyle w:val="Lienhypertexte"/>
            <w:noProof/>
            <w:lang w:val="fr-FR"/>
          </w:rPr>
          <w:t>4.2</w:t>
        </w:r>
        <w:r w:rsidR="00621353">
          <w:rPr>
            <w:rFonts w:eastAsiaTheme="minorEastAsia" w:cstheme="minorBidi"/>
            <w:noProof/>
            <w:szCs w:val="22"/>
          </w:rPr>
          <w:tab/>
        </w:r>
        <w:r w:rsidR="00621353" w:rsidRPr="00444D30">
          <w:rPr>
            <w:rStyle w:val="Lienhypertexte"/>
            <w:noProof/>
            <w:lang w:val="fr-FR"/>
          </w:rPr>
          <w:t>Théorie de changement</w:t>
        </w:r>
        <w:r w:rsidR="00621353">
          <w:rPr>
            <w:noProof/>
            <w:webHidden/>
          </w:rPr>
          <w:tab/>
        </w:r>
        <w:r>
          <w:rPr>
            <w:noProof/>
            <w:webHidden/>
          </w:rPr>
          <w:fldChar w:fldCharType="begin"/>
        </w:r>
        <w:r w:rsidR="00621353">
          <w:rPr>
            <w:noProof/>
            <w:webHidden/>
          </w:rPr>
          <w:instrText xml:space="preserve"> PAGEREF _Toc480382935 \h </w:instrText>
        </w:r>
        <w:r>
          <w:rPr>
            <w:noProof/>
            <w:webHidden/>
          </w:rPr>
        </w:r>
        <w:r>
          <w:rPr>
            <w:noProof/>
            <w:webHidden/>
          </w:rPr>
          <w:fldChar w:fldCharType="separate"/>
        </w:r>
        <w:r w:rsidR="00621353">
          <w:rPr>
            <w:noProof/>
            <w:webHidden/>
          </w:rPr>
          <w:t>21</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36" w:history="1">
        <w:r w:rsidR="00621353" w:rsidRPr="00444D30">
          <w:rPr>
            <w:rStyle w:val="Lienhypertexte"/>
            <w:noProof/>
            <w:lang w:val="fr-FR"/>
          </w:rPr>
          <w:t>4.3</w:t>
        </w:r>
        <w:r w:rsidR="00621353">
          <w:rPr>
            <w:rFonts w:eastAsiaTheme="minorEastAsia" w:cstheme="minorBidi"/>
            <w:noProof/>
            <w:szCs w:val="22"/>
          </w:rPr>
          <w:tab/>
        </w:r>
        <w:r w:rsidR="00621353" w:rsidRPr="00444D30">
          <w:rPr>
            <w:rStyle w:val="Lienhypertexte"/>
            <w:noProof/>
            <w:lang w:val="fr-FR"/>
          </w:rPr>
          <w:t>Interventions stratégiques</w:t>
        </w:r>
        <w:r w:rsidR="00621353">
          <w:rPr>
            <w:noProof/>
            <w:webHidden/>
          </w:rPr>
          <w:tab/>
        </w:r>
        <w:r>
          <w:rPr>
            <w:noProof/>
            <w:webHidden/>
          </w:rPr>
          <w:fldChar w:fldCharType="begin"/>
        </w:r>
        <w:r w:rsidR="00621353">
          <w:rPr>
            <w:noProof/>
            <w:webHidden/>
          </w:rPr>
          <w:instrText xml:space="preserve"> PAGEREF _Toc480382936 \h </w:instrText>
        </w:r>
        <w:r>
          <w:rPr>
            <w:noProof/>
            <w:webHidden/>
          </w:rPr>
        </w:r>
        <w:r>
          <w:rPr>
            <w:noProof/>
            <w:webHidden/>
          </w:rPr>
          <w:fldChar w:fldCharType="separate"/>
        </w:r>
        <w:r w:rsidR="00621353">
          <w:rPr>
            <w:noProof/>
            <w:webHidden/>
          </w:rPr>
          <w:t>24</w:t>
        </w:r>
        <w:r>
          <w:rPr>
            <w:noProof/>
            <w:webHidden/>
          </w:rPr>
          <w:fldChar w:fldCharType="end"/>
        </w:r>
      </w:hyperlink>
    </w:p>
    <w:p w:rsidR="00621353" w:rsidRDefault="00C25D03">
      <w:pPr>
        <w:pStyle w:val="TM3"/>
        <w:tabs>
          <w:tab w:val="left" w:pos="1320"/>
          <w:tab w:val="right" w:leader="dot" w:pos="9350"/>
        </w:tabs>
        <w:rPr>
          <w:rFonts w:eastAsiaTheme="minorEastAsia" w:cstheme="minorBidi"/>
          <w:noProof/>
          <w:szCs w:val="22"/>
        </w:rPr>
      </w:pPr>
      <w:hyperlink w:anchor="_Toc480382937" w:history="1">
        <w:r w:rsidR="00621353" w:rsidRPr="00444D30">
          <w:rPr>
            <w:rStyle w:val="Lienhypertexte"/>
            <w:noProof/>
            <w:lang w:val="fr-FR"/>
          </w:rPr>
          <w:t>4.3.1</w:t>
        </w:r>
        <w:r w:rsidR="00621353">
          <w:rPr>
            <w:rFonts w:eastAsiaTheme="minorEastAsia" w:cstheme="minorBidi"/>
            <w:noProof/>
            <w:szCs w:val="22"/>
          </w:rPr>
          <w:tab/>
        </w:r>
        <w:r w:rsidR="00621353" w:rsidRPr="00444D30">
          <w:rPr>
            <w:rStyle w:val="Lienhypertexte"/>
            <w:noProof/>
            <w:lang w:val="fr-FR"/>
          </w:rPr>
          <w:t>Renforcement du pilotage stratégique pour la PECP</w:t>
        </w:r>
        <w:r w:rsidR="00621353">
          <w:rPr>
            <w:noProof/>
            <w:webHidden/>
          </w:rPr>
          <w:tab/>
        </w:r>
        <w:r>
          <w:rPr>
            <w:noProof/>
            <w:webHidden/>
          </w:rPr>
          <w:fldChar w:fldCharType="begin"/>
        </w:r>
        <w:r w:rsidR="00621353">
          <w:rPr>
            <w:noProof/>
            <w:webHidden/>
          </w:rPr>
          <w:instrText xml:space="preserve"> PAGEREF _Toc480382937 \h </w:instrText>
        </w:r>
        <w:r>
          <w:rPr>
            <w:noProof/>
            <w:webHidden/>
          </w:rPr>
        </w:r>
        <w:r>
          <w:rPr>
            <w:noProof/>
            <w:webHidden/>
          </w:rPr>
          <w:fldChar w:fldCharType="separate"/>
        </w:r>
        <w:r w:rsidR="00621353">
          <w:rPr>
            <w:noProof/>
            <w:webHidden/>
          </w:rPr>
          <w:t>24</w:t>
        </w:r>
        <w:r>
          <w:rPr>
            <w:noProof/>
            <w:webHidden/>
          </w:rPr>
          <w:fldChar w:fldCharType="end"/>
        </w:r>
      </w:hyperlink>
    </w:p>
    <w:p w:rsidR="00621353" w:rsidRDefault="00C25D03">
      <w:pPr>
        <w:pStyle w:val="TM3"/>
        <w:tabs>
          <w:tab w:val="left" w:pos="1320"/>
          <w:tab w:val="right" w:leader="dot" w:pos="9350"/>
        </w:tabs>
        <w:rPr>
          <w:rFonts w:eastAsiaTheme="minorEastAsia" w:cstheme="minorBidi"/>
          <w:noProof/>
          <w:szCs w:val="22"/>
        </w:rPr>
      </w:pPr>
      <w:hyperlink w:anchor="_Toc480382938" w:history="1">
        <w:r w:rsidR="00621353" w:rsidRPr="00444D30">
          <w:rPr>
            <w:rStyle w:val="Lienhypertexte"/>
            <w:noProof/>
            <w:lang w:val="fr-FR"/>
          </w:rPr>
          <w:t>4.3.2</w:t>
        </w:r>
        <w:r w:rsidR="00621353">
          <w:rPr>
            <w:rFonts w:eastAsiaTheme="minorEastAsia" w:cstheme="minorBidi"/>
            <w:noProof/>
            <w:szCs w:val="22"/>
          </w:rPr>
          <w:tab/>
        </w:r>
        <w:r w:rsidR="00621353" w:rsidRPr="00444D30">
          <w:rPr>
            <w:rStyle w:val="Lienhypertexte"/>
            <w:noProof/>
            <w:lang w:val="fr-FR"/>
          </w:rPr>
          <w:t>Renforcement des capacités des services pour offrir des soins et services de prise en charge pédiatrique du VIH de qualité</w:t>
        </w:r>
        <w:r w:rsidR="00621353">
          <w:rPr>
            <w:noProof/>
            <w:webHidden/>
          </w:rPr>
          <w:tab/>
        </w:r>
        <w:r>
          <w:rPr>
            <w:noProof/>
            <w:webHidden/>
          </w:rPr>
          <w:fldChar w:fldCharType="begin"/>
        </w:r>
        <w:r w:rsidR="00621353">
          <w:rPr>
            <w:noProof/>
            <w:webHidden/>
          </w:rPr>
          <w:instrText xml:space="preserve"> PAGEREF _Toc480382938 \h </w:instrText>
        </w:r>
        <w:r>
          <w:rPr>
            <w:noProof/>
            <w:webHidden/>
          </w:rPr>
        </w:r>
        <w:r>
          <w:rPr>
            <w:noProof/>
            <w:webHidden/>
          </w:rPr>
          <w:fldChar w:fldCharType="separate"/>
        </w:r>
        <w:r w:rsidR="00621353">
          <w:rPr>
            <w:noProof/>
            <w:webHidden/>
          </w:rPr>
          <w:t>27</w:t>
        </w:r>
        <w:r>
          <w:rPr>
            <w:noProof/>
            <w:webHidden/>
          </w:rPr>
          <w:fldChar w:fldCharType="end"/>
        </w:r>
      </w:hyperlink>
    </w:p>
    <w:p w:rsidR="00621353" w:rsidRDefault="00C25D03">
      <w:pPr>
        <w:pStyle w:val="TM3"/>
        <w:tabs>
          <w:tab w:val="left" w:pos="1320"/>
          <w:tab w:val="right" w:leader="dot" w:pos="9350"/>
        </w:tabs>
        <w:rPr>
          <w:rFonts w:eastAsiaTheme="minorEastAsia" w:cstheme="minorBidi"/>
          <w:noProof/>
          <w:szCs w:val="22"/>
        </w:rPr>
      </w:pPr>
      <w:hyperlink w:anchor="_Toc480382939" w:history="1">
        <w:r w:rsidR="00621353" w:rsidRPr="00444D30">
          <w:rPr>
            <w:rStyle w:val="Lienhypertexte"/>
            <w:noProof/>
            <w:lang w:val="fr-FR"/>
          </w:rPr>
          <w:t>4.3.3</w:t>
        </w:r>
        <w:r w:rsidR="00621353">
          <w:rPr>
            <w:rFonts w:eastAsiaTheme="minorEastAsia" w:cstheme="minorBidi"/>
            <w:noProof/>
            <w:szCs w:val="22"/>
          </w:rPr>
          <w:tab/>
        </w:r>
        <w:r w:rsidR="00621353" w:rsidRPr="00444D30">
          <w:rPr>
            <w:rStyle w:val="Lienhypertexte"/>
            <w:noProof/>
            <w:lang w:val="fr-FR"/>
          </w:rPr>
          <w:t>Renforcement de la mobilisation communautaire pour la prise en charge pédiatrique de qualité</w:t>
        </w:r>
        <w:r w:rsidR="00621353">
          <w:rPr>
            <w:noProof/>
            <w:webHidden/>
          </w:rPr>
          <w:tab/>
        </w:r>
        <w:r>
          <w:rPr>
            <w:noProof/>
            <w:webHidden/>
          </w:rPr>
          <w:fldChar w:fldCharType="begin"/>
        </w:r>
        <w:r w:rsidR="00621353">
          <w:rPr>
            <w:noProof/>
            <w:webHidden/>
          </w:rPr>
          <w:instrText xml:space="preserve"> PAGEREF _Toc480382939 \h </w:instrText>
        </w:r>
        <w:r>
          <w:rPr>
            <w:noProof/>
            <w:webHidden/>
          </w:rPr>
        </w:r>
        <w:r>
          <w:rPr>
            <w:noProof/>
            <w:webHidden/>
          </w:rPr>
          <w:fldChar w:fldCharType="separate"/>
        </w:r>
        <w:r w:rsidR="00621353">
          <w:rPr>
            <w:noProof/>
            <w:webHidden/>
          </w:rPr>
          <w:t>30</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40" w:history="1">
        <w:r w:rsidR="00621353" w:rsidRPr="00444D30">
          <w:rPr>
            <w:rStyle w:val="Lienhypertexte"/>
            <w:noProof/>
          </w:rPr>
          <w:t>CHAPITRE 5 : ROLES ET RESPONSABILITES DES ACTEURS DANS LA MISE EN ŒUVRE</w:t>
        </w:r>
        <w:r w:rsidR="00621353">
          <w:rPr>
            <w:noProof/>
            <w:webHidden/>
          </w:rPr>
          <w:tab/>
        </w:r>
        <w:r>
          <w:rPr>
            <w:noProof/>
            <w:webHidden/>
          </w:rPr>
          <w:fldChar w:fldCharType="begin"/>
        </w:r>
        <w:r w:rsidR="00621353">
          <w:rPr>
            <w:noProof/>
            <w:webHidden/>
          </w:rPr>
          <w:instrText xml:space="preserve"> PAGEREF _Toc480382940 \h </w:instrText>
        </w:r>
        <w:r>
          <w:rPr>
            <w:noProof/>
            <w:webHidden/>
          </w:rPr>
        </w:r>
        <w:r>
          <w:rPr>
            <w:noProof/>
            <w:webHidden/>
          </w:rPr>
          <w:fldChar w:fldCharType="separate"/>
        </w:r>
        <w:r w:rsidR="00621353">
          <w:rPr>
            <w:noProof/>
            <w:webHidden/>
          </w:rPr>
          <w:t>32</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41" w:history="1">
        <w:r w:rsidR="00621353" w:rsidRPr="00444D30">
          <w:rPr>
            <w:rStyle w:val="Lienhypertexte"/>
            <w:noProof/>
            <w:lang w:val="fr-FR"/>
          </w:rPr>
          <w:t>5.1</w:t>
        </w:r>
        <w:r w:rsidR="00621353">
          <w:rPr>
            <w:rFonts w:eastAsiaTheme="minorEastAsia" w:cstheme="minorBidi"/>
            <w:noProof/>
            <w:szCs w:val="22"/>
          </w:rPr>
          <w:tab/>
        </w:r>
        <w:r w:rsidR="00621353" w:rsidRPr="00444D30">
          <w:rPr>
            <w:rStyle w:val="Lienhypertexte"/>
            <w:noProof/>
            <w:lang w:val="fr-FR"/>
          </w:rPr>
          <w:t>Le PNPCSP et les Directions techniques du Ministère de la santé</w:t>
        </w:r>
        <w:r w:rsidR="00621353">
          <w:rPr>
            <w:noProof/>
            <w:webHidden/>
          </w:rPr>
          <w:tab/>
        </w:r>
        <w:r>
          <w:rPr>
            <w:noProof/>
            <w:webHidden/>
          </w:rPr>
          <w:fldChar w:fldCharType="begin"/>
        </w:r>
        <w:r w:rsidR="00621353">
          <w:rPr>
            <w:noProof/>
            <w:webHidden/>
          </w:rPr>
          <w:instrText xml:space="preserve"> PAGEREF _Toc480382941 \h </w:instrText>
        </w:r>
        <w:r>
          <w:rPr>
            <w:noProof/>
            <w:webHidden/>
          </w:rPr>
        </w:r>
        <w:r>
          <w:rPr>
            <w:noProof/>
            <w:webHidden/>
          </w:rPr>
          <w:fldChar w:fldCharType="separate"/>
        </w:r>
        <w:r w:rsidR="00621353">
          <w:rPr>
            <w:noProof/>
            <w:webHidden/>
          </w:rPr>
          <w:t>35</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42" w:history="1">
        <w:r w:rsidR="00621353" w:rsidRPr="00444D30">
          <w:rPr>
            <w:rStyle w:val="Lienhypertexte"/>
            <w:noProof/>
            <w:lang w:val="fr-FR"/>
          </w:rPr>
          <w:t>5.2</w:t>
        </w:r>
        <w:r w:rsidR="00621353">
          <w:rPr>
            <w:rFonts w:eastAsiaTheme="minorEastAsia" w:cstheme="minorBidi"/>
            <w:noProof/>
            <w:szCs w:val="22"/>
          </w:rPr>
          <w:tab/>
        </w:r>
        <w:r w:rsidR="00621353" w:rsidRPr="00444D30">
          <w:rPr>
            <w:rStyle w:val="Lienhypertexte"/>
            <w:noProof/>
            <w:lang w:val="fr-FR"/>
          </w:rPr>
          <w:t>Société civile</w:t>
        </w:r>
        <w:r w:rsidR="00621353">
          <w:rPr>
            <w:noProof/>
            <w:webHidden/>
          </w:rPr>
          <w:tab/>
        </w:r>
        <w:r>
          <w:rPr>
            <w:noProof/>
            <w:webHidden/>
          </w:rPr>
          <w:fldChar w:fldCharType="begin"/>
        </w:r>
        <w:r w:rsidR="00621353">
          <w:rPr>
            <w:noProof/>
            <w:webHidden/>
          </w:rPr>
          <w:instrText xml:space="preserve"> PAGEREF _Toc480382942 \h </w:instrText>
        </w:r>
        <w:r>
          <w:rPr>
            <w:noProof/>
            <w:webHidden/>
          </w:rPr>
        </w:r>
        <w:r>
          <w:rPr>
            <w:noProof/>
            <w:webHidden/>
          </w:rPr>
          <w:fldChar w:fldCharType="separate"/>
        </w:r>
        <w:r w:rsidR="00621353">
          <w:rPr>
            <w:noProof/>
            <w:webHidden/>
          </w:rPr>
          <w:t>35</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43" w:history="1">
        <w:r w:rsidR="00621353" w:rsidRPr="00444D30">
          <w:rPr>
            <w:rStyle w:val="Lienhypertexte"/>
            <w:noProof/>
            <w:lang w:val="fr-FR"/>
          </w:rPr>
          <w:t>5.3</w:t>
        </w:r>
        <w:r w:rsidR="00621353">
          <w:rPr>
            <w:rFonts w:eastAsiaTheme="minorEastAsia" w:cstheme="minorBidi"/>
            <w:noProof/>
            <w:szCs w:val="22"/>
          </w:rPr>
          <w:tab/>
        </w:r>
        <w:r w:rsidR="00621353" w:rsidRPr="00444D30">
          <w:rPr>
            <w:rStyle w:val="Lienhypertexte"/>
            <w:noProof/>
            <w:lang w:val="fr-FR"/>
          </w:rPr>
          <w:t>Formations sanitaires publiques et privées</w:t>
        </w:r>
        <w:r w:rsidR="00621353">
          <w:rPr>
            <w:noProof/>
            <w:webHidden/>
          </w:rPr>
          <w:tab/>
        </w:r>
        <w:r>
          <w:rPr>
            <w:noProof/>
            <w:webHidden/>
          </w:rPr>
          <w:fldChar w:fldCharType="begin"/>
        </w:r>
        <w:r w:rsidR="00621353">
          <w:rPr>
            <w:noProof/>
            <w:webHidden/>
          </w:rPr>
          <w:instrText xml:space="preserve"> PAGEREF _Toc480382943 \h </w:instrText>
        </w:r>
        <w:r>
          <w:rPr>
            <w:noProof/>
            <w:webHidden/>
          </w:rPr>
        </w:r>
        <w:r>
          <w:rPr>
            <w:noProof/>
            <w:webHidden/>
          </w:rPr>
          <w:fldChar w:fldCharType="separate"/>
        </w:r>
        <w:r w:rsidR="00621353">
          <w:rPr>
            <w:noProof/>
            <w:webHidden/>
          </w:rPr>
          <w:t>35</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44" w:history="1">
        <w:r w:rsidR="00621353" w:rsidRPr="00444D30">
          <w:rPr>
            <w:rStyle w:val="Lienhypertexte"/>
            <w:noProof/>
            <w:lang w:val="fr-FR"/>
          </w:rPr>
          <w:t>5.4</w:t>
        </w:r>
        <w:r w:rsidR="00621353">
          <w:rPr>
            <w:rFonts w:eastAsiaTheme="minorEastAsia" w:cstheme="minorBidi"/>
            <w:noProof/>
            <w:szCs w:val="22"/>
          </w:rPr>
          <w:tab/>
        </w:r>
        <w:r w:rsidR="00621353" w:rsidRPr="00444D30">
          <w:rPr>
            <w:rStyle w:val="Lienhypertexte"/>
            <w:noProof/>
            <w:lang w:val="fr-FR"/>
          </w:rPr>
          <w:t>Prestataires de soins</w:t>
        </w:r>
        <w:r w:rsidR="00621353">
          <w:rPr>
            <w:noProof/>
            <w:webHidden/>
          </w:rPr>
          <w:tab/>
        </w:r>
        <w:r>
          <w:rPr>
            <w:noProof/>
            <w:webHidden/>
          </w:rPr>
          <w:fldChar w:fldCharType="begin"/>
        </w:r>
        <w:r w:rsidR="00621353">
          <w:rPr>
            <w:noProof/>
            <w:webHidden/>
          </w:rPr>
          <w:instrText xml:space="preserve"> PAGEREF _Toc480382944 \h </w:instrText>
        </w:r>
        <w:r>
          <w:rPr>
            <w:noProof/>
            <w:webHidden/>
          </w:rPr>
        </w:r>
        <w:r>
          <w:rPr>
            <w:noProof/>
            <w:webHidden/>
          </w:rPr>
          <w:fldChar w:fldCharType="separate"/>
        </w:r>
        <w:r w:rsidR="00621353">
          <w:rPr>
            <w:noProof/>
            <w:webHidden/>
          </w:rPr>
          <w:t>36</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45" w:history="1">
        <w:r w:rsidR="00621353" w:rsidRPr="00444D30">
          <w:rPr>
            <w:rStyle w:val="Lienhypertexte"/>
            <w:noProof/>
            <w:lang w:val="fr-FR"/>
          </w:rPr>
          <w:t>5.5</w:t>
        </w:r>
        <w:r w:rsidR="00621353">
          <w:rPr>
            <w:rFonts w:eastAsiaTheme="minorEastAsia" w:cstheme="minorBidi"/>
            <w:noProof/>
            <w:szCs w:val="22"/>
          </w:rPr>
          <w:tab/>
        </w:r>
        <w:r w:rsidR="00621353" w:rsidRPr="00444D30">
          <w:rPr>
            <w:rStyle w:val="Lienhypertexte"/>
            <w:noProof/>
            <w:lang w:val="fr-FR"/>
          </w:rPr>
          <w:t>Familles</w:t>
        </w:r>
        <w:r w:rsidR="00621353">
          <w:rPr>
            <w:noProof/>
            <w:webHidden/>
          </w:rPr>
          <w:tab/>
        </w:r>
        <w:r>
          <w:rPr>
            <w:noProof/>
            <w:webHidden/>
          </w:rPr>
          <w:fldChar w:fldCharType="begin"/>
        </w:r>
        <w:r w:rsidR="00621353">
          <w:rPr>
            <w:noProof/>
            <w:webHidden/>
          </w:rPr>
          <w:instrText xml:space="preserve"> PAGEREF _Toc480382945 \h </w:instrText>
        </w:r>
        <w:r>
          <w:rPr>
            <w:noProof/>
            <w:webHidden/>
          </w:rPr>
        </w:r>
        <w:r>
          <w:rPr>
            <w:noProof/>
            <w:webHidden/>
          </w:rPr>
          <w:fldChar w:fldCharType="separate"/>
        </w:r>
        <w:r w:rsidR="00621353">
          <w:rPr>
            <w:noProof/>
            <w:webHidden/>
          </w:rPr>
          <w:t>36</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46" w:history="1">
        <w:r w:rsidR="00621353" w:rsidRPr="00444D30">
          <w:rPr>
            <w:rStyle w:val="Lienhypertexte"/>
            <w:noProof/>
            <w:lang w:val="fr-FR"/>
          </w:rPr>
          <w:t>5.6</w:t>
        </w:r>
        <w:r w:rsidR="00621353">
          <w:rPr>
            <w:rFonts w:eastAsiaTheme="minorEastAsia" w:cstheme="minorBidi"/>
            <w:noProof/>
            <w:szCs w:val="22"/>
          </w:rPr>
          <w:tab/>
        </w:r>
        <w:r w:rsidR="00621353" w:rsidRPr="00444D30">
          <w:rPr>
            <w:rStyle w:val="Lienhypertexte"/>
            <w:noProof/>
            <w:lang w:val="fr-FR"/>
          </w:rPr>
          <w:t>Partenaires techniques et financiers bilatéraux et multilatéraux</w:t>
        </w:r>
        <w:r w:rsidR="00621353">
          <w:rPr>
            <w:noProof/>
            <w:webHidden/>
          </w:rPr>
          <w:tab/>
        </w:r>
        <w:r>
          <w:rPr>
            <w:noProof/>
            <w:webHidden/>
          </w:rPr>
          <w:fldChar w:fldCharType="begin"/>
        </w:r>
        <w:r w:rsidR="00621353">
          <w:rPr>
            <w:noProof/>
            <w:webHidden/>
          </w:rPr>
          <w:instrText xml:space="preserve"> PAGEREF _Toc480382946 \h </w:instrText>
        </w:r>
        <w:r>
          <w:rPr>
            <w:noProof/>
            <w:webHidden/>
          </w:rPr>
        </w:r>
        <w:r>
          <w:rPr>
            <w:noProof/>
            <w:webHidden/>
          </w:rPr>
          <w:fldChar w:fldCharType="separate"/>
        </w:r>
        <w:r w:rsidR="00621353">
          <w:rPr>
            <w:noProof/>
            <w:webHidden/>
          </w:rPr>
          <w:t>36</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47" w:history="1">
        <w:r w:rsidR="00621353" w:rsidRPr="00444D30">
          <w:rPr>
            <w:rStyle w:val="Lienhypertexte"/>
            <w:noProof/>
          </w:rPr>
          <w:t>CHAPITRE 6 : SUIVI EVALUATION</w:t>
        </w:r>
        <w:r w:rsidR="00621353">
          <w:rPr>
            <w:noProof/>
            <w:webHidden/>
          </w:rPr>
          <w:tab/>
        </w:r>
        <w:r>
          <w:rPr>
            <w:noProof/>
            <w:webHidden/>
          </w:rPr>
          <w:fldChar w:fldCharType="begin"/>
        </w:r>
        <w:r w:rsidR="00621353">
          <w:rPr>
            <w:noProof/>
            <w:webHidden/>
          </w:rPr>
          <w:instrText xml:space="preserve"> PAGEREF _Toc480382947 \h </w:instrText>
        </w:r>
        <w:r>
          <w:rPr>
            <w:noProof/>
            <w:webHidden/>
          </w:rPr>
        </w:r>
        <w:r>
          <w:rPr>
            <w:noProof/>
            <w:webHidden/>
          </w:rPr>
          <w:fldChar w:fldCharType="separate"/>
        </w:r>
        <w:r w:rsidR="00621353">
          <w:rPr>
            <w:noProof/>
            <w:webHidden/>
          </w:rPr>
          <w:t>35</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48" w:history="1">
        <w:r w:rsidR="00621353" w:rsidRPr="00444D30">
          <w:rPr>
            <w:rStyle w:val="Lienhypertexte"/>
            <w:noProof/>
            <w:lang w:val="fr-FR"/>
          </w:rPr>
          <w:t>6.1</w:t>
        </w:r>
        <w:r w:rsidR="00621353">
          <w:rPr>
            <w:rFonts w:eastAsiaTheme="minorEastAsia" w:cstheme="minorBidi"/>
            <w:noProof/>
            <w:szCs w:val="22"/>
          </w:rPr>
          <w:tab/>
        </w:r>
        <w:r w:rsidR="00621353" w:rsidRPr="00444D30">
          <w:rPr>
            <w:rStyle w:val="Lienhypertexte"/>
            <w:noProof/>
            <w:lang w:val="fr-FR"/>
          </w:rPr>
          <w:t>Collecte des données et circuit d’information</w:t>
        </w:r>
        <w:r w:rsidR="00621353">
          <w:rPr>
            <w:noProof/>
            <w:webHidden/>
          </w:rPr>
          <w:tab/>
        </w:r>
        <w:r>
          <w:rPr>
            <w:noProof/>
            <w:webHidden/>
          </w:rPr>
          <w:fldChar w:fldCharType="begin"/>
        </w:r>
        <w:r w:rsidR="00621353">
          <w:rPr>
            <w:noProof/>
            <w:webHidden/>
          </w:rPr>
          <w:instrText xml:space="preserve"> PAGEREF _Toc480382948 \h </w:instrText>
        </w:r>
        <w:r>
          <w:rPr>
            <w:noProof/>
            <w:webHidden/>
          </w:rPr>
        </w:r>
        <w:r>
          <w:rPr>
            <w:noProof/>
            <w:webHidden/>
          </w:rPr>
          <w:fldChar w:fldCharType="separate"/>
        </w:r>
        <w:r w:rsidR="00621353">
          <w:rPr>
            <w:noProof/>
            <w:webHidden/>
          </w:rPr>
          <w:t>39</w:t>
        </w:r>
        <w:r>
          <w:rPr>
            <w:noProof/>
            <w:webHidden/>
          </w:rPr>
          <w:fldChar w:fldCharType="end"/>
        </w:r>
      </w:hyperlink>
    </w:p>
    <w:p w:rsidR="00621353" w:rsidRDefault="00C25D03">
      <w:pPr>
        <w:pStyle w:val="TM3"/>
        <w:tabs>
          <w:tab w:val="left" w:pos="1320"/>
          <w:tab w:val="right" w:leader="dot" w:pos="9350"/>
        </w:tabs>
        <w:rPr>
          <w:rFonts w:eastAsiaTheme="minorEastAsia" w:cstheme="minorBidi"/>
          <w:noProof/>
          <w:szCs w:val="22"/>
        </w:rPr>
      </w:pPr>
      <w:hyperlink w:anchor="_Toc480382949" w:history="1">
        <w:r w:rsidR="00621353" w:rsidRPr="00444D30">
          <w:rPr>
            <w:rStyle w:val="Lienhypertexte"/>
            <w:noProof/>
            <w:lang w:val="fr-FR"/>
          </w:rPr>
          <w:t>6.1.1</w:t>
        </w:r>
        <w:r w:rsidR="00621353">
          <w:rPr>
            <w:rFonts w:eastAsiaTheme="minorEastAsia" w:cstheme="minorBidi"/>
            <w:noProof/>
            <w:szCs w:val="22"/>
          </w:rPr>
          <w:tab/>
        </w:r>
        <w:r w:rsidR="00621353" w:rsidRPr="00444D30">
          <w:rPr>
            <w:rStyle w:val="Lienhypertexte"/>
            <w:noProof/>
            <w:lang w:val="fr-FR"/>
          </w:rPr>
          <w:t>Données à collecter</w:t>
        </w:r>
        <w:r w:rsidR="00621353">
          <w:rPr>
            <w:noProof/>
            <w:webHidden/>
          </w:rPr>
          <w:tab/>
        </w:r>
        <w:r>
          <w:rPr>
            <w:noProof/>
            <w:webHidden/>
          </w:rPr>
          <w:fldChar w:fldCharType="begin"/>
        </w:r>
        <w:r w:rsidR="00621353">
          <w:rPr>
            <w:noProof/>
            <w:webHidden/>
          </w:rPr>
          <w:instrText xml:space="preserve"> PAGEREF _Toc480382949 \h </w:instrText>
        </w:r>
        <w:r>
          <w:rPr>
            <w:noProof/>
            <w:webHidden/>
          </w:rPr>
        </w:r>
        <w:r>
          <w:rPr>
            <w:noProof/>
            <w:webHidden/>
          </w:rPr>
          <w:fldChar w:fldCharType="separate"/>
        </w:r>
        <w:r w:rsidR="00621353">
          <w:rPr>
            <w:noProof/>
            <w:webHidden/>
          </w:rPr>
          <w:t>39</w:t>
        </w:r>
        <w:r>
          <w:rPr>
            <w:noProof/>
            <w:webHidden/>
          </w:rPr>
          <w:fldChar w:fldCharType="end"/>
        </w:r>
      </w:hyperlink>
    </w:p>
    <w:p w:rsidR="00621353" w:rsidRDefault="00C25D03">
      <w:pPr>
        <w:pStyle w:val="TM3"/>
        <w:tabs>
          <w:tab w:val="left" w:pos="1320"/>
          <w:tab w:val="right" w:leader="dot" w:pos="9350"/>
        </w:tabs>
        <w:rPr>
          <w:rFonts w:eastAsiaTheme="minorEastAsia" w:cstheme="minorBidi"/>
          <w:noProof/>
          <w:szCs w:val="22"/>
        </w:rPr>
      </w:pPr>
      <w:hyperlink w:anchor="_Toc480382950" w:history="1">
        <w:r w:rsidR="00621353" w:rsidRPr="00444D30">
          <w:rPr>
            <w:rStyle w:val="Lienhypertexte"/>
            <w:noProof/>
            <w:lang w:val="fr-FR"/>
          </w:rPr>
          <w:t>6.1.2</w:t>
        </w:r>
        <w:r w:rsidR="00621353">
          <w:rPr>
            <w:rFonts w:eastAsiaTheme="minorEastAsia" w:cstheme="minorBidi"/>
            <w:noProof/>
            <w:szCs w:val="22"/>
          </w:rPr>
          <w:tab/>
        </w:r>
        <w:r w:rsidR="00621353" w:rsidRPr="00444D30">
          <w:rPr>
            <w:rStyle w:val="Lienhypertexte"/>
            <w:noProof/>
            <w:lang w:val="fr-FR"/>
          </w:rPr>
          <w:t>Responsabilités, types de rapports et délais par niveau du SNIS</w:t>
        </w:r>
        <w:r w:rsidR="00621353">
          <w:rPr>
            <w:noProof/>
            <w:webHidden/>
          </w:rPr>
          <w:tab/>
        </w:r>
        <w:r>
          <w:rPr>
            <w:noProof/>
            <w:webHidden/>
          </w:rPr>
          <w:fldChar w:fldCharType="begin"/>
        </w:r>
        <w:r w:rsidR="00621353">
          <w:rPr>
            <w:noProof/>
            <w:webHidden/>
          </w:rPr>
          <w:instrText xml:space="preserve"> PAGEREF _Toc480382950 \h </w:instrText>
        </w:r>
        <w:r>
          <w:rPr>
            <w:noProof/>
            <w:webHidden/>
          </w:rPr>
        </w:r>
        <w:r>
          <w:rPr>
            <w:noProof/>
            <w:webHidden/>
          </w:rPr>
          <w:fldChar w:fldCharType="separate"/>
        </w:r>
        <w:r w:rsidR="00621353">
          <w:rPr>
            <w:noProof/>
            <w:webHidden/>
          </w:rPr>
          <w:t>43</w:t>
        </w:r>
        <w:r>
          <w:rPr>
            <w:noProof/>
            <w:webHidden/>
          </w:rPr>
          <w:fldChar w:fldCharType="end"/>
        </w:r>
      </w:hyperlink>
    </w:p>
    <w:p w:rsidR="00621353" w:rsidRDefault="00C25D03">
      <w:pPr>
        <w:pStyle w:val="TM3"/>
        <w:tabs>
          <w:tab w:val="left" w:pos="1320"/>
          <w:tab w:val="right" w:leader="dot" w:pos="9350"/>
        </w:tabs>
        <w:rPr>
          <w:rFonts w:eastAsiaTheme="minorEastAsia" w:cstheme="minorBidi"/>
          <w:noProof/>
          <w:szCs w:val="22"/>
        </w:rPr>
      </w:pPr>
      <w:hyperlink w:anchor="_Toc480382951" w:history="1">
        <w:r w:rsidR="00621353" w:rsidRPr="00444D30">
          <w:rPr>
            <w:rStyle w:val="Lienhypertexte"/>
            <w:noProof/>
            <w:lang w:val="fr-FR"/>
          </w:rPr>
          <w:t>6.1.3</w:t>
        </w:r>
        <w:r w:rsidR="00621353">
          <w:rPr>
            <w:rFonts w:eastAsiaTheme="minorEastAsia" w:cstheme="minorBidi"/>
            <w:noProof/>
            <w:szCs w:val="22"/>
          </w:rPr>
          <w:tab/>
        </w:r>
        <w:r w:rsidR="00621353" w:rsidRPr="00444D30">
          <w:rPr>
            <w:rStyle w:val="Lienhypertexte"/>
            <w:noProof/>
            <w:lang w:val="fr-FR"/>
          </w:rPr>
          <w:t>Circuit d’information</w:t>
        </w:r>
        <w:r w:rsidR="00621353">
          <w:rPr>
            <w:noProof/>
            <w:webHidden/>
          </w:rPr>
          <w:tab/>
        </w:r>
        <w:r>
          <w:rPr>
            <w:noProof/>
            <w:webHidden/>
          </w:rPr>
          <w:fldChar w:fldCharType="begin"/>
        </w:r>
        <w:r w:rsidR="00621353">
          <w:rPr>
            <w:noProof/>
            <w:webHidden/>
          </w:rPr>
          <w:instrText xml:space="preserve"> PAGEREF _Toc480382951 \h </w:instrText>
        </w:r>
        <w:r>
          <w:rPr>
            <w:noProof/>
            <w:webHidden/>
          </w:rPr>
        </w:r>
        <w:r>
          <w:rPr>
            <w:noProof/>
            <w:webHidden/>
          </w:rPr>
          <w:fldChar w:fldCharType="separate"/>
        </w:r>
        <w:r w:rsidR="00621353">
          <w:rPr>
            <w:noProof/>
            <w:webHidden/>
          </w:rPr>
          <w:t>43</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52" w:history="1">
        <w:r w:rsidR="00621353" w:rsidRPr="00444D30">
          <w:rPr>
            <w:rStyle w:val="Lienhypertexte"/>
            <w:noProof/>
            <w:lang w:val="fr-FR"/>
          </w:rPr>
          <w:t>6.2</w:t>
        </w:r>
        <w:r w:rsidR="00621353">
          <w:rPr>
            <w:rFonts w:eastAsiaTheme="minorEastAsia" w:cstheme="minorBidi"/>
            <w:noProof/>
            <w:szCs w:val="22"/>
          </w:rPr>
          <w:tab/>
        </w:r>
        <w:r w:rsidR="00621353" w:rsidRPr="00444D30">
          <w:rPr>
            <w:rStyle w:val="Lienhypertexte"/>
            <w:noProof/>
            <w:lang w:val="fr-FR"/>
          </w:rPr>
          <w:t>Indicateurs de suivi évaluation</w:t>
        </w:r>
        <w:r w:rsidR="00621353">
          <w:rPr>
            <w:noProof/>
            <w:webHidden/>
          </w:rPr>
          <w:tab/>
        </w:r>
        <w:r>
          <w:rPr>
            <w:noProof/>
            <w:webHidden/>
          </w:rPr>
          <w:fldChar w:fldCharType="begin"/>
        </w:r>
        <w:r w:rsidR="00621353">
          <w:rPr>
            <w:noProof/>
            <w:webHidden/>
          </w:rPr>
          <w:instrText xml:space="preserve"> PAGEREF _Toc480382952 \h </w:instrText>
        </w:r>
        <w:r>
          <w:rPr>
            <w:noProof/>
            <w:webHidden/>
          </w:rPr>
        </w:r>
        <w:r>
          <w:rPr>
            <w:noProof/>
            <w:webHidden/>
          </w:rPr>
          <w:fldChar w:fldCharType="separate"/>
        </w:r>
        <w:r w:rsidR="00621353">
          <w:rPr>
            <w:noProof/>
            <w:webHidden/>
          </w:rPr>
          <w:t>45</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53" w:history="1">
        <w:r w:rsidR="00621353" w:rsidRPr="00444D30">
          <w:rPr>
            <w:rStyle w:val="Lienhypertexte"/>
            <w:noProof/>
            <w:lang w:val="fr-FR"/>
          </w:rPr>
          <w:t>6.3</w:t>
        </w:r>
        <w:r w:rsidR="00621353">
          <w:rPr>
            <w:rFonts w:eastAsiaTheme="minorEastAsia" w:cstheme="minorBidi"/>
            <w:noProof/>
            <w:szCs w:val="22"/>
          </w:rPr>
          <w:tab/>
        </w:r>
        <w:r w:rsidR="00621353" w:rsidRPr="00444D30">
          <w:rPr>
            <w:rStyle w:val="Lienhypertexte"/>
            <w:noProof/>
            <w:lang w:val="fr-FR"/>
          </w:rPr>
          <w:t>Mise en œuvre du suivi-évaluation</w:t>
        </w:r>
        <w:r w:rsidR="00621353">
          <w:rPr>
            <w:noProof/>
            <w:webHidden/>
          </w:rPr>
          <w:tab/>
        </w:r>
        <w:r>
          <w:rPr>
            <w:noProof/>
            <w:webHidden/>
          </w:rPr>
          <w:fldChar w:fldCharType="begin"/>
        </w:r>
        <w:r w:rsidR="00621353">
          <w:rPr>
            <w:noProof/>
            <w:webHidden/>
          </w:rPr>
          <w:instrText xml:space="preserve"> PAGEREF _Toc480382953 \h </w:instrText>
        </w:r>
        <w:r>
          <w:rPr>
            <w:noProof/>
            <w:webHidden/>
          </w:rPr>
        </w:r>
        <w:r>
          <w:rPr>
            <w:noProof/>
            <w:webHidden/>
          </w:rPr>
          <w:fldChar w:fldCharType="separate"/>
        </w:r>
        <w:r w:rsidR="00621353">
          <w:rPr>
            <w:noProof/>
            <w:webHidden/>
          </w:rPr>
          <w:t>46</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54" w:history="1">
        <w:r w:rsidR="00621353" w:rsidRPr="00444D30">
          <w:rPr>
            <w:rStyle w:val="Lienhypertexte"/>
            <w:noProof/>
          </w:rPr>
          <w:t>CHAPITRE 7 : BUDGET</w:t>
        </w:r>
        <w:r w:rsidR="00621353">
          <w:rPr>
            <w:noProof/>
            <w:webHidden/>
          </w:rPr>
          <w:tab/>
        </w:r>
        <w:r>
          <w:rPr>
            <w:noProof/>
            <w:webHidden/>
          </w:rPr>
          <w:fldChar w:fldCharType="begin"/>
        </w:r>
        <w:r w:rsidR="00621353">
          <w:rPr>
            <w:noProof/>
            <w:webHidden/>
          </w:rPr>
          <w:instrText xml:space="preserve"> PAGEREF _Toc480382954 \h </w:instrText>
        </w:r>
        <w:r>
          <w:rPr>
            <w:noProof/>
            <w:webHidden/>
          </w:rPr>
        </w:r>
        <w:r>
          <w:rPr>
            <w:noProof/>
            <w:webHidden/>
          </w:rPr>
          <w:fldChar w:fldCharType="separate"/>
        </w:r>
        <w:r w:rsidR="00621353">
          <w:rPr>
            <w:noProof/>
            <w:webHidden/>
          </w:rPr>
          <w:t>47</w:t>
        </w:r>
        <w:r>
          <w:rPr>
            <w:noProof/>
            <w:webHidden/>
          </w:rPr>
          <w:fldChar w:fldCharType="end"/>
        </w:r>
      </w:hyperlink>
    </w:p>
    <w:p w:rsidR="00621353" w:rsidRDefault="00C25D03">
      <w:pPr>
        <w:pStyle w:val="TM2"/>
        <w:tabs>
          <w:tab w:val="left" w:pos="880"/>
          <w:tab w:val="right" w:leader="dot" w:pos="9350"/>
        </w:tabs>
        <w:rPr>
          <w:rFonts w:eastAsiaTheme="minorEastAsia" w:cstheme="minorBidi"/>
          <w:noProof/>
          <w:szCs w:val="22"/>
        </w:rPr>
      </w:pPr>
      <w:hyperlink w:anchor="_Toc480382955" w:history="1">
        <w:r w:rsidR="00621353" w:rsidRPr="00444D30">
          <w:rPr>
            <w:rStyle w:val="Lienhypertexte"/>
            <w:noProof/>
            <w:lang w:val="fr-FR"/>
          </w:rPr>
          <w:t>7.1</w:t>
        </w:r>
        <w:r w:rsidR="00621353">
          <w:rPr>
            <w:rFonts w:eastAsiaTheme="minorEastAsia" w:cstheme="minorBidi"/>
            <w:noProof/>
            <w:szCs w:val="22"/>
          </w:rPr>
          <w:tab/>
        </w:r>
        <w:r w:rsidR="00621353" w:rsidRPr="00444D30">
          <w:rPr>
            <w:rStyle w:val="Lienhypertexte"/>
            <w:noProof/>
            <w:lang w:val="fr-FR"/>
          </w:rPr>
          <w:t>Répartition des dépenses par axe et intervention</w:t>
        </w:r>
        <w:r w:rsidR="00621353">
          <w:rPr>
            <w:noProof/>
            <w:webHidden/>
          </w:rPr>
          <w:tab/>
        </w:r>
        <w:r>
          <w:rPr>
            <w:noProof/>
            <w:webHidden/>
          </w:rPr>
          <w:fldChar w:fldCharType="begin"/>
        </w:r>
        <w:r w:rsidR="00621353">
          <w:rPr>
            <w:noProof/>
            <w:webHidden/>
          </w:rPr>
          <w:instrText xml:space="preserve"> PAGEREF _Toc480382955 \h </w:instrText>
        </w:r>
        <w:r>
          <w:rPr>
            <w:noProof/>
            <w:webHidden/>
          </w:rPr>
        </w:r>
        <w:r>
          <w:rPr>
            <w:noProof/>
            <w:webHidden/>
          </w:rPr>
          <w:fldChar w:fldCharType="separate"/>
        </w:r>
        <w:r w:rsidR="00621353">
          <w:rPr>
            <w:noProof/>
            <w:webHidden/>
          </w:rPr>
          <w:t>56</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56" w:history="1">
        <w:r w:rsidR="00621353" w:rsidRPr="00444D30">
          <w:rPr>
            <w:rStyle w:val="Lienhypertexte"/>
            <w:noProof/>
          </w:rPr>
          <w:t>Références</w:t>
        </w:r>
        <w:r w:rsidR="00621353">
          <w:rPr>
            <w:noProof/>
            <w:webHidden/>
          </w:rPr>
          <w:tab/>
        </w:r>
        <w:r>
          <w:rPr>
            <w:noProof/>
            <w:webHidden/>
          </w:rPr>
          <w:fldChar w:fldCharType="begin"/>
        </w:r>
        <w:r w:rsidR="00621353">
          <w:rPr>
            <w:noProof/>
            <w:webHidden/>
          </w:rPr>
          <w:instrText xml:space="preserve"> PAGEREF _Toc480382956 \h </w:instrText>
        </w:r>
        <w:r>
          <w:rPr>
            <w:noProof/>
            <w:webHidden/>
          </w:rPr>
        </w:r>
        <w:r>
          <w:rPr>
            <w:noProof/>
            <w:webHidden/>
          </w:rPr>
          <w:fldChar w:fldCharType="separate"/>
        </w:r>
        <w:r w:rsidR="00621353">
          <w:rPr>
            <w:noProof/>
            <w:webHidden/>
          </w:rPr>
          <w:t>58</w:t>
        </w:r>
        <w:r>
          <w:rPr>
            <w:noProof/>
            <w:webHidden/>
          </w:rPr>
          <w:fldChar w:fldCharType="end"/>
        </w:r>
      </w:hyperlink>
    </w:p>
    <w:p w:rsidR="00621353" w:rsidRDefault="00C25D03">
      <w:pPr>
        <w:pStyle w:val="TM1"/>
        <w:rPr>
          <w:rFonts w:asciiTheme="minorHAnsi" w:eastAsiaTheme="minorEastAsia" w:hAnsiTheme="minorHAnsi" w:cstheme="minorBidi"/>
          <w:b w:val="0"/>
          <w:noProof/>
          <w:sz w:val="22"/>
          <w:szCs w:val="22"/>
          <w:lang w:val="en-US" w:eastAsia="en-US"/>
        </w:rPr>
      </w:pPr>
      <w:hyperlink w:anchor="_Toc480382957" w:history="1">
        <w:r w:rsidR="00621353" w:rsidRPr="00444D30">
          <w:rPr>
            <w:rStyle w:val="Lienhypertexte"/>
            <w:noProof/>
          </w:rPr>
          <w:t>Comité de rédaction</w:t>
        </w:r>
        <w:r w:rsidR="00621353">
          <w:rPr>
            <w:noProof/>
            <w:webHidden/>
          </w:rPr>
          <w:tab/>
        </w:r>
        <w:r>
          <w:rPr>
            <w:noProof/>
            <w:webHidden/>
          </w:rPr>
          <w:fldChar w:fldCharType="begin"/>
        </w:r>
        <w:r w:rsidR="00621353">
          <w:rPr>
            <w:noProof/>
            <w:webHidden/>
          </w:rPr>
          <w:instrText xml:space="preserve"> PAGEREF _Toc480382957 \h </w:instrText>
        </w:r>
        <w:r>
          <w:rPr>
            <w:noProof/>
            <w:webHidden/>
          </w:rPr>
        </w:r>
        <w:r>
          <w:rPr>
            <w:noProof/>
            <w:webHidden/>
          </w:rPr>
          <w:fldChar w:fldCharType="separate"/>
        </w:r>
        <w:r w:rsidR="00621353">
          <w:rPr>
            <w:noProof/>
            <w:webHidden/>
          </w:rPr>
          <w:t>59</w:t>
        </w:r>
        <w:r>
          <w:rPr>
            <w:noProof/>
            <w:webHidden/>
          </w:rPr>
          <w:fldChar w:fldCharType="end"/>
        </w:r>
      </w:hyperlink>
    </w:p>
    <w:p w:rsidR="00E05EA2" w:rsidRPr="00790771" w:rsidRDefault="00C25D03" w:rsidP="00536559">
      <w:pPr>
        <w:pStyle w:val="Titre1"/>
        <w:rPr>
          <w:rFonts w:cs="Tahoma"/>
          <w:b w:val="0"/>
          <w:color w:val="0070C0"/>
          <w:sz w:val="32"/>
          <w:szCs w:val="32"/>
          <w:lang w:val="fr-FR"/>
        </w:rPr>
      </w:pPr>
      <w:r w:rsidRPr="00790771">
        <w:rPr>
          <w:rFonts w:cs="Tahoma"/>
          <w:b w:val="0"/>
          <w:color w:val="0070C0"/>
          <w:sz w:val="32"/>
          <w:szCs w:val="32"/>
          <w:lang w:val="fr-FR"/>
        </w:rPr>
        <w:fldChar w:fldCharType="end"/>
      </w:r>
    </w:p>
    <w:p w:rsidR="00E05EA2" w:rsidRPr="00790771" w:rsidRDefault="00E05EA2" w:rsidP="00E05EA2">
      <w:pPr>
        <w:rPr>
          <w:rFonts w:asciiTheme="majorHAnsi" w:eastAsiaTheme="majorEastAsia" w:hAnsiTheme="majorHAnsi"/>
          <w:lang w:val="fr-FR"/>
        </w:rPr>
      </w:pPr>
      <w:r w:rsidRPr="00790771">
        <w:rPr>
          <w:lang w:val="fr-FR"/>
        </w:rPr>
        <w:br w:type="page"/>
      </w:r>
    </w:p>
    <w:p w:rsidR="00AF643D" w:rsidRPr="00BE07AB" w:rsidRDefault="00AF643D" w:rsidP="00536559">
      <w:pPr>
        <w:pStyle w:val="Titre1"/>
        <w:rPr>
          <w:color w:val="auto"/>
          <w:lang w:val="fr-FR"/>
        </w:rPr>
      </w:pPr>
      <w:bookmarkStart w:id="2" w:name="_Toc480382908"/>
      <w:r w:rsidRPr="00BE07AB">
        <w:rPr>
          <w:color w:val="auto"/>
          <w:lang w:val="fr-FR"/>
        </w:rPr>
        <w:t>Liste des Tableaux</w:t>
      </w:r>
      <w:bookmarkEnd w:id="2"/>
    </w:p>
    <w:p w:rsidR="00E05EA2" w:rsidRPr="00E05EA2" w:rsidRDefault="00E05EA2" w:rsidP="00E05EA2">
      <w:pPr>
        <w:rPr>
          <w:lang w:val="fr-FR"/>
        </w:rPr>
      </w:pPr>
    </w:p>
    <w:p w:rsidR="00621353" w:rsidRDefault="00C25D03">
      <w:pPr>
        <w:pStyle w:val="Tabledesillustrations"/>
        <w:tabs>
          <w:tab w:val="right" w:leader="dot" w:pos="9350"/>
        </w:tabs>
        <w:rPr>
          <w:rFonts w:eastAsiaTheme="minorEastAsia" w:cstheme="minorBidi"/>
          <w:noProof/>
          <w:szCs w:val="22"/>
        </w:rPr>
      </w:pPr>
      <w:r w:rsidRPr="00C25D03">
        <w:rPr>
          <w:lang w:val="fr-FR"/>
        </w:rPr>
        <w:fldChar w:fldCharType="begin"/>
      </w:r>
      <w:r w:rsidR="00AF643D">
        <w:rPr>
          <w:lang w:val="fr-FR"/>
        </w:rPr>
        <w:instrText xml:space="preserve"> TOC \h \z \c "Tableau" </w:instrText>
      </w:r>
      <w:r w:rsidRPr="00C25D03">
        <w:rPr>
          <w:lang w:val="fr-FR"/>
        </w:rPr>
        <w:fldChar w:fldCharType="separate"/>
      </w:r>
      <w:hyperlink w:anchor="_Toc480382958" w:history="1">
        <w:r w:rsidR="00621353" w:rsidRPr="00B766D2">
          <w:rPr>
            <w:rStyle w:val="Lienhypertexte"/>
            <w:noProof/>
            <w:lang w:val="fr-FR"/>
          </w:rPr>
          <w:t>Tableau 1: Répartition géographique des infrastructures publiques de soins</w:t>
        </w:r>
        <w:r w:rsidR="00621353">
          <w:rPr>
            <w:noProof/>
            <w:webHidden/>
          </w:rPr>
          <w:tab/>
        </w:r>
        <w:r>
          <w:rPr>
            <w:noProof/>
            <w:webHidden/>
          </w:rPr>
          <w:fldChar w:fldCharType="begin"/>
        </w:r>
        <w:r w:rsidR="00621353">
          <w:rPr>
            <w:noProof/>
            <w:webHidden/>
          </w:rPr>
          <w:instrText xml:space="preserve"> PAGEREF _Toc480382958 \h </w:instrText>
        </w:r>
        <w:r>
          <w:rPr>
            <w:noProof/>
            <w:webHidden/>
          </w:rPr>
        </w:r>
        <w:r>
          <w:rPr>
            <w:noProof/>
            <w:webHidden/>
          </w:rPr>
          <w:fldChar w:fldCharType="separate"/>
        </w:r>
        <w:r w:rsidR="00621353">
          <w:rPr>
            <w:noProof/>
            <w:webHidden/>
          </w:rPr>
          <w:t>9</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59" w:history="1">
        <w:r w:rsidR="00621353" w:rsidRPr="00B766D2">
          <w:rPr>
            <w:rStyle w:val="Lienhypertexte"/>
            <w:noProof/>
            <w:lang w:val="fr-FR"/>
          </w:rPr>
          <w:t>Tableau 2 : Prévalence et contribution de groupes spécifiques aux nouvelles infections VIH en Guinée</w:t>
        </w:r>
        <w:r w:rsidR="00621353">
          <w:rPr>
            <w:noProof/>
            <w:webHidden/>
          </w:rPr>
          <w:tab/>
        </w:r>
        <w:r>
          <w:rPr>
            <w:noProof/>
            <w:webHidden/>
          </w:rPr>
          <w:fldChar w:fldCharType="begin"/>
        </w:r>
        <w:r w:rsidR="00621353">
          <w:rPr>
            <w:noProof/>
            <w:webHidden/>
          </w:rPr>
          <w:instrText xml:space="preserve"> PAGEREF _Toc480382959 \h </w:instrText>
        </w:r>
        <w:r>
          <w:rPr>
            <w:noProof/>
            <w:webHidden/>
          </w:rPr>
        </w:r>
        <w:r>
          <w:rPr>
            <w:noProof/>
            <w:webHidden/>
          </w:rPr>
          <w:fldChar w:fldCharType="separate"/>
        </w:r>
        <w:r w:rsidR="00621353">
          <w:rPr>
            <w:noProof/>
            <w:webHidden/>
          </w:rPr>
          <w:t>10</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60" w:history="1">
        <w:r w:rsidR="00621353" w:rsidRPr="00B766D2">
          <w:rPr>
            <w:rStyle w:val="Lienhypertexte"/>
            <w:noProof/>
            <w:lang w:val="fr-FR"/>
          </w:rPr>
          <w:t>Tableau 3: Evolution des données programmatiques de la PTME en 2014 et 2015</w:t>
        </w:r>
        <w:r w:rsidR="00621353">
          <w:rPr>
            <w:noProof/>
            <w:webHidden/>
          </w:rPr>
          <w:tab/>
        </w:r>
        <w:r>
          <w:rPr>
            <w:noProof/>
            <w:webHidden/>
          </w:rPr>
          <w:fldChar w:fldCharType="begin"/>
        </w:r>
        <w:r w:rsidR="00621353">
          <w:rPr>
            <w:noProof/>
            <w:webHidden/>
          </w:rPr>
          <w:instrText xml:space="preserve"> PAGEREF _Toc480382960 \h </w:instrText>
        </w:r>
        <w:r>
          <w:rPr>
            <w:noProof/>
            <w:webHidden/>
          </w:rPr>
        </w:r>
        <w:r>
          <w:rPr>
            <w:noProof/>
            <w:webHidden/>
          </w:rPr>
          <w:fldChar w:fldCharType="separate"/>
        </w:r>
        <w:r w:rsidR="00621353">
          <w:rPr>
            <w:noProof/>
            <w:webHidden/>
          </w:rPr>
          <w:t>12</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61" w:history="1">
        <w:r w:rsidR="00621353" w:rsidRPr="00B766D2">
          <w:rPr>
            <w:rStyle w:val="Lienhypertexte"/>
            <w:noProof/>
            <w:lang w:val="fr-FR"/>
          </w:rPr>
          <w:t>Tableau 4: Analyse des goulots d'étranglements de la prise en charge du VIH chez l'enfant</w:t>
        </w:r>
        <w:r w:rsidR="00621353">
          <w:rPr>
            <w:noProof/>
            <w:webHidden/>
          </w:rPr>
          <w:tab/>
        </w:r>
        <w:r>
          <w:rPr>
            <w:noProof/>
            <w:webHidden/>
          </w:rPr>
          <w:fldChar w:fldCharType="begin"/>
        </w:r>
        <w:r w:rsidR="00621353">
          <w:rPr>
            <w:noProof/>
            <w:webHidden/>
          </w:rPr>
          <w:instrText xml:space="preserve"> PAGEREF _Toc480382961 \h </w:instrText>
        </w:r>
        <w:r>
          <w:rPr>
            <w:noProof/>
            <w:webHidden/>
          </w:rPr>
        </w:r>
        <w:r>
          <w:rPr>
            <w:noProof/>
            <w:webHidden/>
          </w:rPr>
          <w:fldChar w:fldCharType="separate"/>
        </w:r>
        <w:r w:rsidR="00621353">
          <w:rPr>
            <w:noProof/>
            <w:webHidden/>
          </w:rPr>
          <w:t>18</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62" w:history="1">
        <w:r w:rsidR="00621353" w:rsidRPr="00B766D2">
          <w:rPr>
            <w:rStyle w:val="Lienhypertexte"/>
            <w:noProof/>
            <w:lang w:val="fr-FR"/>
          </w:rPr>
          <w:t>Tableau 5: Données à collecter pour le dépistage</w:t>
        </w:r>
        <w:r w:rsidR="00621353">
          <w:rPr>
            <w:noProof/>
            <w:webHidden/>
          </w:rPr>
          <w:tab/>
        </w:r>
        <w:r>
          <w:rPr>
            <w:noProof/>
            <w:webHidden/>
          </w:rPr>
          <w:fldChar w:fldCharType="begin"/>
        </w:r>
        <w:r w:rsidR="00621353">
          <w:rPr>
            <w:noProof/>
            <w:webHidden/>
          </w:rPr>
          <w:instrText xml:space="preserve"> PAGEREF _Toc480382962 \h </w:instrText>
        </w:r>
        <w:r>
          <w:rPr>
            <w:noProof/>
            <w:webHidden/>
          </w:rPr>
        </w:r>
        <w:r>
          <w:rPr>
            <w:noProof/>
            <w:webHidden/>
          </w:rPr>
          <w:fldChar w:fldCharType="separate"/>
        </w:r>
        <w:r w:rsidR="00621353">
          <w:rPr>
            <w:noProof/>
            <w:webHidden/>
          </w:rPr>
          <w:t>39</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63" w:history="1">
        <w:r w:rsidR="00621353" w:rsidRPr="00B766D2">
          <w:rPr>
            <w:rStyle w:val="Lienhypertexte"/>
            <w:noProof/>
            <w:lang w:val="fr-FR"/>
          </w:rPr>
          <w:t>Tableau 6: Données à collecter pour la TARV</w:t>
        </w:r>
        <w:r w:rsidR="00621353">
          <w:rPr>
            <w:noProof/>
            <w:webHidden/>
          </w:rPr>
          <w:tab/>
        </w:r>
        <w:r>
          <w:rPr>
            <w:noProof/>
            <w:webHidden/>
          </w:rPr>
          <w:fldChar w:fldCharType="begin"/>
        </w:r>
        <w:r w:rsidR="00621353">
          <w:rPr>
            <w:noProof/>
            <w:webHidden/>
          </w:rPr>
          <w:instrText xml:space="preserve"> PAGEREF _Toc480382963 \h </w:instrText>
        </w:r>
        <w:r>
          <w:rPr>
            <w:noProof/>
            <w:webHidden/>
          </w:rPr>
        </w:r>
        <w:r>
          <w:rPr>
            <w:noProof/>
            <w:webHidden/>
          </w:rPr>
          <w:fldChar w:fldCharType="separate"/>
        </w:r>
        <w:r w:rsidR="00621353">
          <w:rPr>
            <w:noProof/>
            <w:webHidden/>
          </w:rPr>
          <w:t>41</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64" w:history="1">
        <w:r w:rsidR="00621353" w:rsidRPr="00B766D2">
          <w:rPr>
            <w:rStyle w:val="Lienhypertexte"/>
            <w:noProof/>
            <w:lang w:val="fr-FR"/>
          </w:rPr>
          <w:t>Tableau 7: Responsables et délai de transmission des rapports par niveau</w:t>
        </w:r>
        <w:r w:rsidR="00621353">
          <w:rPr>
            <w:noProof/>
            <w:webHidden/>
          </w:rPr>
          <w:tab/>
        </w:r>
        <w:r>
          <w:rPr>
            <w:noProof/>
            <w:webHidden/>
          </w:rPr>
          <w:fldChar w:fldCharType="begin"/>
        </w:r>
        <w:r w:rsidR="00621353">
          <w:rPr>
            <w:noProof/>
            <w:webHidden/>
          </w:rPr>
          <w:instrText xml:space="preserve"> PAGEREF _Toc480382964 \h </w:instrText>
        </w:r>
        <w:r>
          <w:rPr>
            <w:noProof/>
            <w:webHidden/>
          </w:rPr>
        </w:r>
        <w:r>
          <w:rPr>
            <w:noProof/>
            <w:webHidden/>
          </w:rPr>
          <w:fldChar w:fldCharType="separate"/>
        </w:r>
        <w:r w:rsidR="00621353">
          <w:rPr>
            <w:noProof/>
            <w:webHidden/>
          </w:rPr>
          <w:t>43</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65" w:history="1">
        <w:r w:rsidR="00621353" w:rsidRPr="00B766D2">
          <w:rPr>
            <w:rStyle w:val="Lienhypertexte"/>
            <w:noProof/>
            <w:lang w:val="fr-FR"/>
          </w:rPr>
          <w:t>Tableau 8: Liste des principaux indicateurs de suivi de la PECP</w:t>
        </w:r>
        <w:r w:rsidR="00621353">
          <w:rPr>
            <w:noProof/>
            <w:webHidden/>
          </w:rPr>
          <w:tab/>
        </w:r>
        <w:r>
          <w:rPr>
            <w:noProof/>
            <w:webHidden/>
          </w:rPr>
          <w:fldChar w:fldCharType="begin"/>
        </w:r>
        <w:r w:rsidR="00621353">
          <w:rPr>
            <w:noProof/>
            <w:webHidden/>
          </w:rPr>
          <w:instrText xml:space="preserve"> PAGEREF _Toc480382965 \h </w:instrText>
        </w:r>
        <w:r>
          <w:rPr>
            <w:noProof/>
            <w:webHidden/>
          </w:rPr>
        </w:r>
        <w:r>
          <w:rPr>
            <w:noProof/>
            <w:webHidden/>
          </w:rPr>
          <w:fldChar w:fldCharType="separate"/>
        </w:r>
        <w:r w:rsidR="00621353">
          <w:rPr>
            <w:noProof/>
            <w:webHidden/>
          </w:rPr>
          <w:t>45</w:t>
        </w:r>
        <w:r>
          <w:rPr>
            <w:noProof/>
            <w:webHidden/>
          </w:rPr>
          <w:fldChar w:fldCharType="end"/>
        </w:r>
      </w:hyperlink>
    </w:p>
    <w:p w:rsidR="00790771" w:rsidRDefault="00C25D03" w:rsidP="00E05EA2">
      <w:pPr>
        <w:pStyle w:val="Titre1"/>
        <w:spacing w:before="0" w:line="360" w:lineRule="auto"/>
        <w:rPr>
          <w:lang w:val="fr-FR"/>
        </w:rPr>
      </w:pPr>
      <w:r>
        <w:rPr>
          <w:lang w:val="fr-FR"/>
        </w:rPr>
        <w:fldChar w:fldCharType="end"/>
      </w:r>
    </w:p>
    <w:p w:rsidR="00AF643D" w:rsidRPr="00BE07AB" w:rsidRDefault="00AF643D" w:rsidP="00E05EA2">
      <w:pPr>
        <w:pStyle w:val="Titre1"/>
        <w:spacing w:before="0" w:line="360" w:lineRule="auto"/>
        <w:rPr>
          <w:color w:val="auto"/>
          <w:lang w:val="fr-FR"/>
        </w:rPr>
      </w:pPr>
      <w:bookmarkStart w:id="3" w:name="_Toc480382909"/>
      <w:r w:rsidRPr="00BE07AB">
        <w:rPr>
          <w:color w:val="auto"/>
          <w:lang w:val="fr-FR"/>
        </w:rPr>
        <w:t>Liste des Figures</w:t>
      </w:r>
      <w:bookmarkEnd w:id="3"/>
    </w:p>
    <w:p w:rsidR="00621353" w:rsidRDefault="00C25D03">
      <w:pPr>
        <w:pStyle w:val="Tabledesillustrations"/>
        <w:tabs>
          <w:tab w:val="right" w:leader="dot" w:pos="9350"/>
        </w:tabs>
        <w:rPr>
          <w:rFonts w:eastAsiaTheme="minorEastAsia" w:cstheme="minorBidi"/>
          <w:noProof/>
          <w:szCs w:val="22"/>
        </w:rPr>
      </w:pPr>
      <w:r w:rsidRPr="00C25D03">
        <w:rPr>
          <w:lang w:val="fr-FR"/>
        </w:rPr>
        <w:fldChar w:fldCharType="begin"/>
      </w:r>
      <w:r w:rsidR="00AF643D">
        <w:rPr>
          <w:lang w:val="fr-FR"/>
        </w:rPr>
        <w:instrText xml:space="preserve"> TOC \h \z \c "Figure" </w:instrText>
      </w:r>
      <w:r w:rsidRPr="00C25D03">
        <w:rPr>
          <w:lang w:val="fr-FR"/>
        </w:rPr>
        <w:fldChar w:fldCharType="separate"/>
      </w:r>
      <w:hyperlink w:anchor="_Toc480382966" w:history="1">
        <w:r w:rsidR="00621353" w:rsidRPr="00AE02A8">
          <w:rPr>
            <w:rStyle w:val="Lienhypertexte"/>
            <w:noProof/>
            <w:lang w:val="fr-FR"/>
          </w:rPr>
          <w:t>Figure 1: Carte de la République de Guinée</w:t>
        </w:r>
        <w:r w:rsidR="00621353">
          <w:rPr>
            <w:noProof/>
            <w:webHidden/>
          </w:rPr>
          <w:tab/>
        </w:r>
        <w:r>
          <w:rPr>
            <w:noProof/>
            <w:webHidden/>
          </w:rPr>
          <w:fldChar w:fldCharType="begin"/>
        </w:r>
        <w:r w:rsidR="00621353">
          <w:rPr>
            <w:noProof/>
            <w:webHidden/>
          </w:rPr>
          <w:instrText xml:space="preserve"> PAGEREF _Toc480382966 \h </w:instrText>
        </w:r>
        <w:r>
          <w:rPr>
            <w:noProof/>
            <w:webHidden/>
          </w:rPr>
        </w:r>
        <w:r>
          <w:rPr>
            <w:noProof/>
            <w:webHidden/>
          </w:rPr>
          <w:fldChar w:fldCharType="separate"/>
        </w:r>
        <w:r w:rsidR="00621353">
          <w:rPr>
            <w:noProof/>
            <w:webHidden/>
          </w:rPr>
          <w:t>4</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67" w:history="1">
        <w:r w:rsidR="00621353" w:rsidRPr="00AE02A8">
          <w:rPr>
            <w:rStyle w:val="Lienhypertexte"/>
            <w:noProof/>
            <w:lang w:val="fr-FR"/>
          </w:rPr>
          <w:t>Figure 2: Evolution du nombre de nouvelles infections VIH chez les enfants de 0-15 ans en Guinée</w:t>
        </w:r>
        <w:r w:rsidR="00621353">
          <w:rPr>
            <w:noProof/>
            <w:webHidden/>
          </w:rPr>
          <w:tab/>
        </w:r>
        <w:r>
          <w:rPr>
            <w:noProof/>
            <w:webHidden/>
          </w:rPr>
          <w:fldChar w:fldCharType="begin"/>
        </w:r>
        <w:r w:rsidR="00621353">
          <w:rPr>
            <w:noProof/>
            <w:webHidden/>
          </w:rPr>
          <w:instrText xml:space="preserve"> PAGEREF _Toc480382967 \h </w:instrText>
        </w:r>
        <w:r>
          <w:rPr>
            <w:noProof/>
            <w:webHidden/>
          </w:rPr>
        </w:r>
        <w:r>
          <w:rPr>
            <w:noProof/>
            <w:webHidden/>
          </w:rPr>
          <w:fldChar w:fldCharType="separate"/>
        </w:r>
        <w:r w:rsidR="00621353">
          <w:rPr>
            <w:noProof/>
            <w:webHidden/>
          </w:rPr>
          <w:t>6</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68" w:history="1">
        <w:r w:rsidR="00621353" w:rsidRPr="00AE02A8">
          <w:rPr>
            <w:rStyle w:val="Lienhypertexte"/>
            <w:noProof/>
            <w:lang w:val="fr-FR"/>
          </w:rPr>
          <w:t>Figure 3: Evolution du nombre de sites PTME de 2004-2014</w:t>
        </w:r>
        <w:r w:rsidR="00621353">
          <w:rPr>
            <w:noProof/>
            <w:webHidden/>
          </w:rPr>
          <w:tab/>
        </w:r>
        <w:r>
          <w:rPr>
            <w:noProof/>
            <w:webHidden/>
          </w:rPr>
          <w:fldChar w:fldCharType="begin"/>
        </w:r>
        <w:r w:rsidR="00621353">
          <w:rPr>
            <w:noProof/>
            <w:webHidden/>
          </w:rPr>
          <w:instrText xml:space="preserve"> PAGEREF _Toc480382968 \h </w:instrText>
        </w:r>
        <w:r>
          <w:rPr>
            <w:noProof/>
            <w:webHidden/>
          </w:rPr>
        </w:r>
        <w:r>
          <w:rPr>
            <w:noProof/>
            <w:webHidden/>
          </w:rPr>
          <w:fldChar w:fldCharType="separate"/>
        </w:r>
        <w:r w:rsidR="00621353">
          <w:rPr>
            <w:noProof/>
            <w:webHidden/>
          </w:rPr>
          <w:t>12</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69" w:history="1">
        <w:r w:rsidR="00621353" w:rsidRPr="00AE02A8">
          <w:rPr>
            <w:rStyle w:val="Lienhypertexte"/>
            <w:noProof/>
            <w:lang w:val="fr-FR"/>
          </w:rPr>
          <w:t>Figure 4: Evolution du nombre d’enfants et d’adultes (15 ans et +) mis sous ARV de 2008 à 2016</w:t>
        </w:r>
        <w:r w:rsidR="00621353">
          <w:rPr>
            <w:noProof/>
            <w:webHidden/>
          </w:rPr>
          <w:tab/>
        </w:r>
        <w:r>
          <w:rPr>
            <w:noProof/>
            <w:webHidden/>
          </w:rPr>
          <w:fldChar w:fldCharType="begin"/>
        </w:r>
        <w:r w:rsidR="00621353">
          <w:rPr>
            <w:noProof/>
            <w:webHidden/>
          </w:rPr>
          <w:instrText xml:space="preserve"> PAGEREF _Toc480382969 \h </w:instrText>
        </w:r>
        <w:r>
          <w:rPr>
            <w:noProof/>
            <w:webHidden/>
          </w:rPr>
        </w:r>
        <w:r>
          <w:rPr>
            <w:noProof/>
            <w:webHidden/>
          </w:rPr>
          <w:fldChar w:fldCharType="separate"/>
        </w:r>
        <w:r w:rsidR="00621353">
          <w:rPr>
            <w:noProof/>
            <w:webHidden/>
          </w:rPr>
          <w:t>15</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70" w:history="1">
        <w:r w:rsidR="00621353" w:rsidRPr="00AE02A8">
          <w:rPr>
            <w:rStyle w:val="Lienhypertexte"/>
            <w:noProof/>
            <w:lang w:val="fr-FR"/>
          </w:rPr>
          <w:t>Figure 5: Evolution de la couverture antirétrovirale chez les enfants  et les adultes (15 ans et +) entre 2006 et 2016</w:t>
        </w:r>
        <w:r w:rsidR="00621353">
          <w:rPr>
            <w:noProof/>
            <w:webHidden/>
          </w:rPr>
          <w:tab/>
        </w:r>
        <w:r>
          <w:rPr>
            <w:noProof/>
            <w:webHidden/>
          </w:rPr>
          <w:fldChar w:fldCharType="begin"/>
        </w:r>
        <w:r w:rsidR="00621353">
          <w:rPr>
            <w:noProof/>
            <w:webHidden/>
          </w:rPr>
          <w:instrText xml:space="preserve"> PAGEREF _Toc480382970 \h </w:instrText>
        </w:r>
        <w:r>
          <w:rPr>
            <w:noProof/>
            <w:webHidden/>
          </w:rPr>
        </w:r>
        <w:r>
          <w:rPr>
            <w:noProof/>
            <w:webHidden/>
          </w:rPr>
          <w:fldChar w:fldCharType="separate"/>
        </w:r>
        <w:r w:rsidR="00621353">
          <w:rPr>
            <w:noProof/>
            <w:webHidden/>
          </w:rPr>
          <w:t>16</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71" w:history="1">
        <w:r w:rsidR="00621353" w:rsidRPr="00AE02A8">
          <w:rPr>
            <w:rStyle w:val="Lienhypertexte"/>
            <w:noProof/>
            <w:lang w:val="fr-FR"/>
          </w:rPr>
          <w:t>Figure 6: Scénarii d’accélération de la couverture antirétrovirale chez les enfants de 0-15 ans</w:t>
        </w:r>
        <w:r w:rsidR="00621353">
          <w:rPr>
            <w:noProof/>
            <w:webHidden/>
          </w:rPr>
          <w:tab/>
        </w:r>
        <w:r>
          <w:rPr>
            <w:noProof/>
            <w:webHidden/>
          </w:rPr>
          <w:fldChar w:fldCharType="begin"/>
        </w:r>
        <w:r w:rsidR="00621353">
          <w:rPr>
            <w:noProof/>
            <w:webHidden/>
          </w:rPr>
          <w:instrText xml:space="preserve"> PAGEREF _Toc480382971 \h </w:instrText>
        </w:r>
        <w:r>
          <w:rPr>
            <w:noProof/>
            <w:webHidden/>
          </w:rPr>
        </w:r>
        <w:r>
          <w:rPr>
            <w:noProof/>
            <w:webHidden/>
          </w:rPr>
          <w:fldChar w:fldCharType="separate"/>
        </w:r>
        <w:r w:rsidR="00621353">
          <w:rPr>
            <w:noProof/>
            <w:webHidden/>
          </w:rPr>
          <w:t>22</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72" w:history="1">
        <w:r w:rsidR="00621353" w:rsidRPr="00AE02A8">
          <w:rPr>
            <w:rStyle w:val="Lienhypertexte"/>
            <w:noProof/>
            <w:lang w:val="fr-FR"/>
          </w:rPr>
          <w:t>Figure 7: Théorie de changement de l’accélération de la prise en charge pédiatrique du VIH en Guinée</w:t>
        </w:r>
        <w:r w:rsidR="00621353">
          <w:rPr>
            <w:noProof/>
            <w:webHidden/>
          </w:rPr>
          <w:tab/>
        </w:r>
        <w:r>
          <w:rPr>
            <w:noProof/>
            <w:webHidden/>
          </w:rPr>
          <w:fldChar w:fldCharType="begin"/>
        </w:r>
        <w:r w:rsidR="00621353">
          <w:rPr>
            <w:noProof/>
            <w:webHidden/>
          </w:rPr>
          <w:instrText xml:space="preserve"> PAGEREF _Toc480382972 \h </w:instrText>
        </w:r>
        <w:r>
          <w:rPr>
            <w:noProof/>
            <w:webHidden/>
          </w:rPr>
        </w:r>
        <w:r>
          <w:rPr>
            <w:noProof/>
            <w:webHidden/>
          </w:rPr>
          <w:fldChar w:fldCharType="separate"/>
        </w:r>
        <w:r w:rsidR="00621353">
          <w:rPr>
            <w:noProof/>
            <w:webHidden/>
          </w:rPr>
          <w:t>23</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73" w:history="1">
        <w:r w:rsidR="00621353" w:rsidRPr="00AE02A8">
          <w:rPr>
            <w:rStyle w:val="Lienhypertexte"/>
            <w:noProof/>
            <w:lang w:val="fr-FR"/>
          </w:rPr>
          <w:t>Figure 8: Matrice d’évaluation du statut sérologique de la fratrie du cas index adapté d’ICAP</w:t>
        </w:r>
        <w:r w:rsidR="00621353">
          <w:rPr>
            <w:noProof/>
            <w:webHidden/>
          </w:rPr>
          <w:tab/>
        </w:r>
        <w:r>
          <w:rPr>
            <w:noProof/>
            <w:webHidden/>
          </w:rPr>
          <w:fldChar w:fldCharType="begin"/>
        </w:r>
        <w:r w:rsidR="00621353">
          <w:rPr>
            <w:noProof/>
            <w:webHidden/>
          </w:rPr>
          <w:instrText xml:space="preserve"> PAGEREF _Toc480382973 \h </w:instrText>
        </w:r>
        <w:r>
          <w:rPr>
            <w:noProof/>
            <w:webHidden/>
          </w:rPr>
        </w:r>
        <w:r>
          <w:rPr>
            <w:noProof/>
            <w:webHidden/>
          </w:rPr>
          <w:fldChar w:fldCharType="separate"/>
        </w:r>
        <w:r w:rsidR="00621353">
          <w:rPr>
            <w:noProof/>
            <w:webHidden/>
          </w:rPr>
          <w:t>29</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74" w:history="1">
        <w:r w:rsidR="00621353" w:rsidRPr="00AE02A8">
          <w:rPr>
            <w:rStyle w:val="Lienhypertexte"/>
            <w:noProof/>
            <w:lang w:val="fr-FR"/>
          </w:rPr>
          <w:t>Figure 9: Circuit de transmission des données de prise en charge du VIH à l’échelon supérieur</w:t>
        </w:r>
        <w:r w:rsidR="00621353">
          <w:rPr>
            <w:noProof/>
            <w:webHidden/>
          </w:rPr>
          <w:tab/>
        </w:r>
        <w:r>
          <w:rPr>
            <w:noProof/>
            <w:webHidden/>
          </w:rPr>
          <w:fldChar w:fldCharType="begin"/>
        </w:r>
        <w:r w:rsidR="00621353">
          <w:rPr>
            <w:noProof/>
            <w:webHidden/>
          </w:rPr>
          <w:instrText xml:space="preserve"> PAGEREF _Toc480382974 \h </w:instrText>
        </w:r>
        <w:r>
          <w:rPr>
            <w:noProof/>
            <w:webHidden/>
          </w:rPr>
        </w:r>
        <w:r>
          <w:rPr>
            <w:noProof/>
            <w:webHidden/>
          </w:rPr>
          <w:fldChar w:fldCharType="separate"/>
        </w:r>
        <w:r w:rsidR="00621353">
          <w:rPr>
            <w:noProof/>
            <w:webHidden/>
          </w:rPr>
          <w:t>44</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75" w:history="1">
        <w:r w:rsidR="00621353" w:rsidRPr="00AE02A8">
          <w:rPr>
            <w:rStyle w:val="Lienhypertexte"/>
            <w:noProof/>
            <w:lang w:val="fr-FR"/>
          </w:rPr>
          <w:t>Figure 10: Fiche de suivi des taux de couverture en dépistage, initiation TARV et rétention</w:t>
        </w:r>
        <w:r w:rsidR="00621353">
          <w:rPr>
            <w:noProof/>
            <w:webHidden/>
          </w:rPr>
          <w:tab/>
        </w:r>
        <w:r>
          <w:rPr>
            <w:noProof/>
            <w:webHidden/>
          </w:rPr>
          <w:fldChar w:fldCharType="begin"/>
        </w:r>
        <w:r w:rsidR="00621353">
          <w:rPr>
            <w:noProof/>
            <w:webHidden/>
          </w:rPr>
          <w:instrText xml:space="preserve"> PAGEREF _Toc480382975 \h </w:instrText>
        </w:r>
        <w:r>
          <w:rPr>
            <w:noProof/>
            <w:webHidden/>
          </w:rPr>
        </w:r>
        <w:r>
          <w:rPr>
            <w:noProof/>
            <w:webHidden/>
          </w:rPr>
          <w:fldChar w:fldCharType="separate"/>
        </w:r>
        <w:r w:rsidR="00621353">
          <w:rPr>
            <w:noProof/>
            <w:webHidden/>
          </w:rPr>
          <w:t>46</w:t>
        </w:r>
        <w:r>
          <w:rPr>
            <w:noProof/>
            <w:webHidden/>
          </w:rPr>
          <w:fldChar w:fldCharType="end"/>
        </w:r>
      </w:hyperlink>
    </w:p>
    <w:p w:rsidR="00584D5D" w:rsidRDefault="00C25D03" w:rsidP="00584D5D">
      <w:pPr>
        <w:pStyle w:val="Titre1"/>
        <w:spacing w:before="0" w:line="360" w:lineRule="auto"/>
        <w:rPr>
          <w:lang w:val="fr-FR"/>
        </w:rPr>
      </w:pPr>
      <w:r>
        <w:rPr>
          <w:lang w:val="fr-FR"/>
        </w:rPr>
        <w:fldChar w:fldCharType="end"/>
      </w:r>
    </w:p>
    <w:p w:rsidR="00E05EA2" w:rsidRPr="00BE07AB" w:rsidRDefault="00E05EA2" w:rsidP="00584D5D">
      <w:pPr>
        <w:pStyle w:val="Titre1"/>
        <w:spacing w:before="0" w:line="360" w:lineRule="auto"/>
        <w:rPr>
          <w:color w:val="auto"/>
          <w:lang w:val="fr-FR"/>
        </w:rPr>
      </w:pPr>
      <w:bookmarkStart w:id="4" w:name="_Toc480382910"/>
      <w:r w:rsidRPr="00BE07AB">
        <w:rPr>
          <w:color w:val="auto"/>
          <w:lang w:val="fr-FR"/>
        </w:rPr>
        <w:t>Liste des Encadrés</w:t>
      </w:r>
      <w:bookmarkEnd w:id="4"/>
    </w:p>
    <w:p w:rsidR="00E05EA2" w:rsidRPr="00E05EA2" w:rsidRDefault="00E05EA2" w:rsidP="00E05EA2">
      <w:pPr>
        <w:rPr>
          <w:lang w:val="fr-FR"/>
        </w:rPr>
      </w:pPr>
    </w:p>
    <w:p w:rsidR="00621353" w:rsidRDefault="00C25D03">
      <w:pPr>
        <w:pStyle w:val="Tabledesillustrations"/>
        <w:tabs>
          <w:tab w:val="right" w:leader="dot" w:pos="9350"/>
        </w:tabs>
        <w:rPr>
          <w:rFonts w:eastAsiaTheme="minorEastAsia" w:cstheme="minorBidi"/>
          <w:noProof/>
          <w:szCs w:val="22"/>
        </w:rPr>
      </w:pPr>
      <w:r w:rsidRPr="00C25D03">
        <w:rPr>
          <w:lang w:val="fr-FR"/>
        </w:rPr>
        <w:fldChar w:fldCharType="begin"/>
      </w:r>
      <w:r w:rsidR="00E05EA2">
        <w:rPr>
          <w:lang w:val="fr-FR"/>
        </w:rPr>
        <w:instrText xml:space="preserve"> TOC \h \z \c "Encadré" </w:instrText>
      </w:r>
      <w:r w:rsidRPr="00C25D03">
        <w:rPr>
          <w:lang w:val="fr-FR"/>
        </w:rPr>
        <w:fldChar w:fldCharType="separate"/>
      </w:r>
      <w:hyperlink w:anchor="_Toc480382976" w:history="1">
        <w:r w:rsidR="00621353" w:rsidRPr="00C1260F">
          <w:rPr>
            <w:rStyle w:val="Lienhypertexte"/>
            <w:noProof/>
            <w:lang w:val="fr-FR"/>
          </w:rPr>
          <w:t xml:space="preserve">Encadré 1: </w:t>
        </w:r>
        <w:r w:rsidR="00621353" w:rsidRPr="00C1260F">
          <w:rPr>
            <w:rStyle w:val="Lienhypertexte"/>
            <w:rFonts w:cs="Arial"/>
            <w:noProof/>
            <w:lang w:val="fr-FR"/>
          </w:rPr>
          <w:t>Concept de pilotage stratégique (stewardship)</w:t>
        </w:r>
        <w:r w:rsidR="00621353">
          <w:rPr>
            <w:noProof/>
            <w:webHidden/>
          </w:rPr>
          <w:tab/>
        </w:r>
        <w:r>
          <w:rPr>
            <w:noProof/>
            <w:webHidden/>
          </w:rPr>
          <w:fldChar w:fldCharType="begin"/>
        </w:r>
        <w:r w:rsidR="00621353">
          <w:rPr>
            <w:noProof/>
            <w:webHidden/>
          </w:rPr>
          <w:instrText xml:space="preserve"> PAGEREF _Toc480382976 \h </w:instrText>
        </w:r>
        <w:r>
          <w:rPr>
            <w:noProof/>
            <w:webHidden/>
          </w:rPr>
        </w:r>
        <w:r>
          <w:rPr>
            <w:noProof/>
            <w:webHidden/>
          </w:rPr>
          <w:fldChar w:fldCharType="separate"/>
        </w:r>
        <w:r w:rsidR="00621353">
          <w:rPr>
            <w:noProof/>
            <w:webHidden/>
          </w:rPr>
          <w:t>24</w:t>
        </w:r>
        <w:r>
          <w:rPr>
            <w:noProof/>
            <w:webHidden/>
          </w:rPr>
          <w:fldChar w:fldCharType="end"/>
        </w:r>
      </w:hyperlink>
    </w:p>
    <w:p w:rsidR="00621353" w:rsidRDefault="00C25D03">
      <w:pPr>
        <w:pStyle w:val="Tabledesillustrations"/>
        <w:tabs>
          <w:tab w:val="right" w:leader="dot" w:pos="9350"/>
        </w:tabs>
        <w:rPr>
          <w:rFonts w:eastAsiaTheme="minorEastAsia" w:cstheme="minorBidi"/>
          <w:noProof/>
          <w:szCs w:val="22"/>
        </w:rPr>
      </w:pPr>
      <w:hyperlink w:anchor="_Toc480382977" w:history="1">
        <w:r w:rsidR="00621353" w:rsidRPr="00C1260F">
          <w:rPr>
            <w:rStyle w:val="Lienhypertexte"/>
            <w:noProof/>
            <w:lang w:val="fr-FR"/>
          </w:rPr>
          <w:t>Encadré 2: Etapes de la recherche action</w:t>
        </w:r>
        <w:r w:rsidR="00621353">
          <w:rPr>
            <w:noProof/>
            <w:webHidden/>
          </w:rPr>
          <w:tab/>
        </w:r>
        <w:r>
          <w:rPr>
            <w:noProof/>
            <w:webHidden/>
          </w:rPr>
          <w:fldChar w:fldCharType="begin"/>
        </w:r>
        <w:r w:rsidR="00621353">
          <w:rPr>
            <w:noProof/>
            <w:webHidden/>
          </w:rPr>
          <w:instrText xml:space="preserve"> PAGEREF _Toc480382977 \h </w:instrText>
        </w:r>
        <w:r>
          <w:rPr>
            <w:noProof/>
            <w:webHidden/>
          </w:rPr>
        </w:r>
        <w:r>
          <w:rPr>
            <w:noProof/>
            <w:webHidden/>
          </w:rPr>
          <w:fldChar w:fldCharType="separate"/>
        </w:r>
        <w:r w:rsidR="00621353">
          <w:rPr>
            <w:noProof/>
            <w:webHidden/>
          </w:rPr>
          <w:t>26</w:t>
        </w:r>
        <w:r>
          <w:rPr>
            <w:noProof/>
            <w:webHidden/>
          </w:rPr>
          <w:fldChar w:fldCharType="end"/>
        </w:r>
      </w:hyperlink>
    </w:p>
    <w:p w:rsidR="00F3266E" w:rsidRDefault="00C25D03" w:rsidP="00E05EA2">
      <w:pPr>
        <w:pStyle w:val="Titre1"/>
        <w:rPr>
          <w:lang w:val="fr-FR"/>
        </w:rPr>
      </w:pPr>
      <w:r>
        <w:rPr>
          <w:lang w:val="fr-FR"/>
        </w:rPr>
        <w:fldChar w:fldCharType="end"/>
      </w:r>
      <w:r w:rsidR="00F3266E">
        <w:rPr>
          <w:lang w:val="fr-FR"/>
        </w:rPr>
        <w:br w:type="page"/>
      </w:r>
    </w:p>
    <w:p w:rsidR="00F3266E" w:rsidRPr="00BE07AB" w:rsidRDefault="00F3266E" w:rsidP="00F3266E">
      <w:pPr>
        <w:pStyle w:val="Titre1"/>
        <w:rPr>
          <w:color w:val="auto"/>
          <w:lang w:val="fr-FR"/>
        </w:rPr>
      </w:pPr>
      <w:bookmarkStart w:id="5" w:name="_Toc480382911"/>
      <w:r w:rsidRPr="00BE07AB">
        <w:rPr>
          <w:color w:val="auto"/>
          <w:lang w:val="fr-FR"/>
        </w:rPr>
        <w:t>Avant-propos</w:t>
      </w:r>
      <w:bookmarkEnd w:id="5"/>
    </w:p>
    <w:p w:rsidR="00CC63D5" w:rsidRDefault="00CC63D5" w:rsidP="00CC63D5">
      <w:pPr>
        <w:rPr>
          <w:lang w:val="fr-FR"/>
        </w:rPr>
      </w:pPr>
    </w:p>
    <w:p w:rsidR="00CC63D5" w:rsidRPr="00CC63D5" w:rsidRDefault="00CC63D5" w:rsidP="00CC63D5">
      <w:pPr>
        <w:rPr>
          <w:rFonts w:cs="Tahoma"/>
          <w:sz w:val="24"/>
          <w:lang w:val="fr-FR"/>
        </w:rPr>
      </w:pPr>
      <w:r w:rsidRPr="00CC63D5">
        <w:rPr>
          <w:rFonts w:cs="Tahoma"/>
          <w:sz w:val="24"/>
          <w:lang w:val="fr-FR"/>
        </w:rPr>
        <w:t>La santé du couple mère-enfant constitue pour la République de Guinée, une des priorités sanitaires. La prise en charge pédiatrique du VIH reste un défi pour le Ministère de la Santé et le Programme National de Prise en Charge Sanitaire et de Prévention des IST/VIH. Des analyses conduites en 2015 par la Chair</w:t>
      </w:r>
      <w:r w:rsidR="003D518F">
        <w:rPr>
          <w:rFonts w:cs="Tahoma"/>
          <w:sz w:val="24"/>
          <w:lang w:val="fr-FR"/>
        </w:rPr>
        <w:t>e</w:t>
      </w:r>
      <w:r w:rsidRPr="00CC63D5">
        <w:rPr>
          <w:rFonts w:cs="Tahoma"/>
          <w:sz w:val="24"/>
          <w:lang w:val="fr-FR"/>
        </w:rPr>
        <w:t xml:space="preserve"> de Pédiatrie de l’Université Gamal Abel Nasser montrent qu’il existe encore de nombreux goulots qui entravent la prise en charge optimale des enfants exposés au VIH. Ces goulots concernent l’environnement programmatique, l’offre des soins et services de santé ainsi que la qualité des soins offerts, la demande et l’utilisation de ces services.</w:t>
      </w:r>
    </w:p>
    <w:p w:rsidR="00CC63D5" w:rsidRPr="00CC63D5" w:rsidRDefault="00CC63D5" w:rsidP="00CC63D5">
      <w:pPr>
        <w:rPr>
          <w:rFonts w:cs="Tahoma"/>
          <w:sz w:val="24"/>
          <w:lang w:val="fr-FR"/>
        </w:rPr>
      </w:pPr>
    </w:p>
    <w:p w:rsidR="00CC63D5" w:rsidRDefault="00CC63D5" w:rsidP="00CC63D5">
      <w:pPr>
        <w:rPr>
          <w:rFonts w:cs="Tahoma"/>
          <w:sz w:val="24"/>
          <w:lang w:val="fr-FR"/>
        </w:rPr>
      </w:pPr>
      <w:r w:rsidRPr="00CC63D5">
        <w:rPr>
          <w:rFonts w:cs="Tahoma"/>
          <w:sz w:val="24"/>
          <w:lang w:val="fr-FR"/>
        </w:rPr>
        <w:t xml:space="preserve">Afin de lever ces goulots d’étranglement et d’améliorer la santé des enfants exposés au VIH, le Ministère de la Santé et ses partenaires ont développé un Plan d’Accélération de la Prise en Charge Pédiatrique du VIH d’ici à 2020 qui vise l’atteinte des objectifs mondiaux des trois 90-90-90 adoptés depuis 2014 sous l’orientation de l’ONUSIDA. </w:t>
      </w:r>
    </w:p>
    <w:p w:rsidR="00CC63D5" w:rsidRPr="00CC63D5" w:rsidRDefault="00CC63D5" w:rsidP="00CC63D5">
      <w:pPr>
        <w:rPr>
          <w:rFonts w:cs="Tahoma"/>
          <w:sz w:val="24"/>
          <w:lang w:val="fr-FR"/>
        </w:rPr>
      </w:pPr>
    </w:p>
    <w:p w:rsidR="00CC63D5" w:rsidRPr="00CC63D5" w:rsidRDefault="00CC63D5" w:rsidP="00CC63D5">
      <w:pPr>
        <w:numPr>
          <w:ilvl w:val="0"/>
          <w:numId w:val="2"/>
        </w:numPr>
        <w:rPr>
          <w:rFonts w:cs="Tahoma"/>
          <w:sz w:val="24"/>
          <w:lang w:val="fr-FR"/>
        </w:rPr>
      </w:pPr>
      <w:r w:rsidRPr="00CC63D5">
        <w:rPr>
          <w:rFonts w:cs="Tahoma"/>
          <w:sz w:val="24"/>
          <w:lang w:val="fr-FR"/>
        </w:rPr>
        <w:t>Dépister au moins 90% des enfants de 0-15 ans infectés par le VIH d’ici 2020,</w:t>
      </w:r>
    </w:p>
    <w:p w:rsidR="00CC63D5" w:rsidRPr="00CC63D5" w:rsidRDefault="00CC63D5" w:rsidP="00CC63D5">
      <w:pPr>
        <w:numPr>
          <w:ilvl w:val="0"/>
          <w:numId w:val="2"/>
        </w:numPr>
        <w:rPr>
          <w:rFonts w:cs="Tahoma"/>
          <w:sz w:val="24"/>
          <w:lang w:val="fr-FR"/>
        </w:rPr>
      </w:pPr>
      <w:r w:rsidRPr="00CC63D5">
        <w:rPr>
          <w:rFonts w:cs="Tahoma"/>
          <w:sz w:val="24"/>
          <w:lang w:val="fr-FR"/>
        </w:rPr>
        <w:t>Mettre au moins 90% des enfants infectées par le VIH dépistées sous TARV durable d’ici 2020,</w:t>
      </w:r>
    </w:p>
    <w:p w:rsidR="00CC63D5" w:rsidRPr="00CC63D5" w:rsidRDefault="00CC63D5" w:rsidP="00CC63D5">
      <w:pPr>
        <w:pStyle w:val="Paragraphedeliste"/>
        <w:numPr>
          <w:ilvl w:val="0"/>
          <w:numId w:val="2"/>
        </w:numPr>
        <w:rPr>
          <w:rFonts w:cs="Tahoma"/>
          <w:sz w:val="24"/>
          <w:lang w:val="fr-FR"/>
        </w:rPr>
      </w:pPr>
      <w:r w:rsidRPr="00CC63D5">
        <w:rPr>
          <w:rFonts w:cs="Tahoma"/>
          <w:sz w:val="24"/>
          <w:lang w:val="fr-FR"/>
        </w:rPr>
        <w:t>Atteindre une charge virale indétectable chez au moins 90% d’enfants infectés qui reçoivent la TARV en 2020.</w:t>
      </w:r>
    </w:p>
    <w:p w:rsidR="00CC63D5" w:rsidRDefault="00CC63D5" w:rsidP="00CC63D5">
      <w:pPr>
        <w:rPr>
          <w:rFonts w:cs="Tahoma"/>
          <w:sz w:val="24"/>
          <w:lang w:val="fr-FR"/>
        </w:rPr>
      </w:pPr>
    </w:p>
    <w:p w:rsidR="00CC63D5" w:rsidRDefault="00CC63D5" w:rsidP="00CC63D5">
      <w:pPr>
        <w:rPr>
          <w:rFonts w:cs="Tahoma"/>
          <w:sz w:val="24"/>
          <w:lang w:val="fr-FR"/>
        </w:rPr>
      </w:pPr>
      <w:r w:rsidRPr="00CC63D5">
        <w:rPr>
          <w:rFonts w:cs="Tahoma"/>
          <w:sz w:val="24"/>
          <w:lang w:val="fr-FR"/>
        </w:rPr>
        <w:t xml:space="preserve">Tenant compte du gap à combler pour offrir aux enfants exposés une prise en charge adéquate, le plan a été élaboré sur la base de ressources (humaines, logistiques) importantes à mobilier suivant un modèle d’accélération rapide pour l’atteinte des cibles attendues.  </w:t>
      </w:r>
    </w:p>
    <w:p w:rsidR="00CC63D5" w:rsidRPr="00CC63D5" w:rsidRDefault="00CC63D5" w:rsidP="00CC63D5">
      <w:pPr>
        <w:rPr>
          <w:rFonts w:cs="Tahoma"/>
          <w:sz w:val="24"/>
          <w:lang w:val="fr-FR"/>
        </w:rPr>
      </w:pPr>
    </w:p>
    <w:p w:rsidR="00CC63D5" w:rsidRDefault="00CC63D5" w:rsidP="00CC63D5">
      <w:pPr>
        <w:rPr>
          <w:rFonts w:cs="Tahoma"/>
          <w:sz w:val="24"/>
          <w:lang w:val="fr-FR"/>
        </w:rPr>
      </w:pPr>
      <w:r w:rsidRPr="00CC63D5">
        <w:rPr>
          <w:rFonts w:cs="Tahoma"/>
          <w:sz w:val="24"/>
          <w:lang w:val="fr-FR"/>
        </w:rPr>
        <w:t>Le gage de notre réussite passera certainement par le renforcement du pilotage stratégique à tous les niveaux de notre pyramide sanitaire, le renforcement des capacités des formations sanitaires à prendre en charge les enfants exposés mais aussi par le renforcement des capacités des communautés, des familles et des patients pour améliorer, soutenir la demande et l’utilisation des soins et services de santé.</w:t>
      </w:r>
    </w:p>
    <w:p w:rsidR="00CC63D5" w:rsidRPr="00CC63D5" w:rsidRDefault="00CC63D5" w:rsidP="00CC63D5">
      <w:pPr>
        <w:rPr>
          <w:rFonts w:cs="Tahoma"/>
          <w:sz w:val="24"/>
          <w:lang w:val="fr-FR"/>
        </w:rPr>
      </w:pPr>
    </w:p>
    <w:p w:rsidR="00CC63D5" w:rsidRDefault="00CC63D5" w:rsidP="00CC63D5">
      <w:pPr>
        <w:rPr>
          <w:rFonts w:cs="Tahoma"/>
          <w:sz w:val="24"/>
          <w:lang w:val="fr-FR"/>
        </w:rPr>
      </w:pPr>
      <w:r w:rsidRPr="00CC63D5">
        <w:rPr>
          <w:rFonts w:cs="Tahoma"/>
          <w:sz w:val="24"/>
          <w:lang w:val="fr-FR"/>
        </w:rPr>
        <w:t xml:space="preserve">Le Ministère de la Santé reste persuadé que par l’engagement de tous les départements impliqués et surtout celui de chacun d’entre nous (personnel soignant, agent de laboratoire, agent communautaire) ce pari sera transformé en un véritable succès à l’orée de 2020 pour une génération d’enfants guinéens </w:t>
      </w:r>
      <w:r>
        <w:rPr>
          <w:rFonts w:cs="Tahoma"/>
          <w:sz w:val="24"/>
          <w:lang w:val="fr-FR"/>
        </w:rPr>
        <w:t xml:space="preserve">sans sida, </w:t>
      </w:r>
      <w:r w:rsidRPr="00CC63D5">
        <w:rPr>
          <w:rFonts w:cs="Tahoma"/>
          <w:sz w:val="24"/>
          <w:lang w:val="fr-FR"/>
        </w:rPr>
        <w:t>avec une qualité de vie et de santé améliorée.</w:t>
      </w:r>
    </w:p>
    <w:p w:rsidR="00CC63D5" w:rsidRDefault="00CC63D5" w:rsidP="00CC63D5">
      <w:pPr>
        <w:rPr>
          <w:rFonts w:cs="Tahoma"/>
          <w:sz w:val="24"/>
          <w:lang w:val="fr-FR"/>
        </w:rPr>
      </w:pPr>
    </w:p>
    <w:p w:rsidR="00CC63D5" w:rsidRDefault="00CC63D5" w:rsidP="00CC63D5">
      <w:pPr>
        <w:rPr>
          <w:rFonts w:cs="Tahoma"/>
          <w:sz w:val="24"/>
          <w:lang w:val="fr-FR"/>
        </w:rPr>
      </w:pPr>
      <w:r>
        <w:rPr>
          <w:rFonts w:cs="Tahoma"/>
          <w:sz w:val="24"/>
          <w:lang w:val="fr-FR"/>
        </w:rPr>
        <w:tab/>
      </w:r>
      <w:r>
        <w:rPr>
          <w:rFonts w:cs="Tahoma"/>
          <w:sz w:val="24"/>
          <w:lang w:val="fr-FR"/>
        </w:rPr>
        <w:tab/>
      </w:r>
      <w:r>
        <w:rPr>
          <w:rFonts w:cs="Tahoma"/>
          <w:sz w:val="24"/>
          <w:lang w:val="fr-FR"/>
        </w:rPr>
        <w:tab/>
      </w:r>
      <w:r>
        <w:rPr>
          <w:rFonts w:cs="Tahoma"/>
          <w:sz w:val="24"/>
          <w:lang w:val="fr-FR"/>
        </w:rPr>
        <w:tab/>
      </w:r>
      <w:r>
        <w:rPr>
          <w:rFonts w:cs="Tahoma"/>
          <w:sz w:val="24"/>
          <w:lang w:val="fr-FR"/>
        </w:rPr>
        <w:tab/>
      </w:r>
      <w:r>
        <w:rPr>
          <w:rFonts w:cs="Tahoma"/>
          <w:sz w:val="24"/>
          <w:lang w:val="fr-FR"/>
        </w:rPr>
        <w:tab/>
      </w:r>
      <w:r>
        <w:rPr>
          <w:rFonts w:cs="Tahoma"/>
          <w:sz w:val="24"/>
          <w:lang w:val="fr-FR"/>
        </w:rPr>
        <w:tab/>
      </w:r>
      <w:r>
        <w:rPr>
          <w:rFonts w:cs="Tahoma"/>
          <w:sz w:val="24"/>
          <w:lang w:val="fr-FR"/>
        </w:rPr>
        <w:tab/>
        <w:t>Le Ministre de la Santé</w:t>
      </w:r>
    </w:p>
    <w:p w:rsidR="00CC63D5" w:rsidRDefault="00CC63D5" w:rsidP="00CC63D5">
      <w:pPr>
        <w:rPr>
          <w:rFonts w:cs="Tahoma"/>
          <w:sz w:val="24"/>
          <w:lang w:val="fr-FR"/>
        </w:rPr>
      </w:pPr>
    </w:p>
    <w:p w:rsidR="00CC63D5" w:rsidRDefault="00CC63D5" w:rsidP="00CC63D5">
      <w:pPr>
        <w:rPr>
          <w:rFonts w:cs="Tahoma"/>
          <w:sz w:val="24"/>
          <w:lang w:val="fr-FR"/>
        </w:rPr>
      </w:pPr>
    </w:p>
    <w:p w:rsidR="00CC63D5" w:rsidRDefault="00CC63D5" w:rsidP="00CC63D5">
      <w:pPr>
        <w:rPr>
          <w:rFonts w:cs="Tahoma"/>
          <w:sz w:val="24"/>
          <w:lang w:val="fr-FR"/>
        </w:rPr>
      </w:pPr>
    </w:p>
    <w:p w:rsidR="00CC63D5" w:rsidRDefault="00CC63D5" w:rsidP="00CC63D5">
      <w:pPr>
        <w:rPr>
          <w:rFonts w:cs="Tahoma"/>
          <w:b/>
          <w:sz w:val="24"/>
          <w:u w:val="single"/>
          <w:lang w:val="fr-FR"/>
        </w:rPr>
      </w:pPr>
      <w:r>
        <w:rPr>
          <w:rFonts w:cs="Tahoma"/>
          <w:sz w:val="24"/>
          <w:lang w:val="fr-FR"/>
        </w:rPr>
        <w:tab/>
      </w:r>
      <w:r>
        <w:rPr>
          <w:rFonts w:cs="Tahoma"/>
          <w:sz w:val="24"/>
          <w:lang w:val="fr-FR"/>
        </w:rPr>
        <w:tab/>
      </w:r>
      <w:r>
        <w:rPr>
          <w:rFonts w:cs="Tahoma"/>
          <w:sz w:val="24"/>
          <w:lang w:val="fr-FR"/>
        </w:rPr>
        <w:tab/>
      </w:r>
      <w:r>
        <w:rPr>
          <w:rFonts w:cs="Tahoma"/>
          <w:sz w:val="24"/>
          <w:lang w:val="fr-FR"/>
        </w:rPr>
        <w:tab/>
      </w:r>
      <w:r>
        <w:rPr>
          <w:rFonts w:cs="Tahoma"/>
          <w:sz w:val="24"/>
          <w:lang w:val="fr-FR"/>
        </w:rPr>
        <w:tab/>
      </w:r>
      <w:r>
        <w:rPr>
          <w:rFonts w:cs="Tahoma"/>
          <w:sz w:val="24"/>
          <w:lang w:val="fr-FR"/>
        </w:rPr>
        <w:tab/>
      </w:r>
      <w:r>
        <w:rPr>
          <w:rFonts w:cs="Tahoma"/>
          <w:sz w:val="24"/>
          <w:lang w:val="fr-FR"/>
        </w:rPr>
        <w:tab/>
      </w:r>
      <w:r>
        <w:rPr>
          <w:rFonts w:cs="Tahoma"/>
          <w:sz w:val="24"/>
          <w:lang w:val="fr-FR"/>
        </w:rPr>
        <w:tab/>
      </w:r>
      <w:r w:rsidRPr="00CC63D5">
        <w:rPr>
          <w:rFonts w:cs="Tahoma"/>
          <w:b/>
          <w:sz w:val="24"/>
          <w:u w:val="single"/>
          <w:lang w:val="fr-FR"/>
        </w:rPr>
        <w:t>Dr Abdourahmane DIALLO</w:t>
      </w:r>
    </w:p>
    <w:p w:rsidR="002721B2" w:rsidRDefault="002721B2" w:rsidP="00CC63D5">
      <w:pPr>
        <w:rPr>
          <w:rFonts w:cs="Tahoma"/>
          <w:b/>
          <w:sz w:val="24"/>
          <w:u w:val="single"/>
          <w:lang w:val="fr-FR"/>
        </w:rPr>
      </w:pPr>
    </w:p>
    <w:p w:rsidR="002721B2" w:rsidRDefault="002721B2" w:rsidP="002721B2">
      <w:pPr>
        <w:rPr>
          <w:sz w:val="24"/>
          <w:lang w:val="fr-FR"/>
        </w:rPr>
      </w:pPr>
    </w:p>
    <w:p w:rsidR="002721B2" w:rsidRPr="00BE07AB" w:rsidRDefault="002721B2" w:rsidP="002721B2">
      <w:pPr>
        <w:pStyle w:val="Titre1"/>
        <w:rPr>
          <w:color w:val="auto"/>
          <w:lang w:val="fr-FR"/>
        </w:rPr>
      </w:pPr>
      <w:bookmarkStart w:id="6" w:name="_Toc480382912"/>
      <w:r>
        <w:rPr>
          <w:color w:val="auto"/>
          <w:lang w:val="fr-FR"/>
        </w:rPr>
        <w:t>R</w:t>
      </w:r>
      <w:r w:rsidRPr="00BE07AB">
        <w:rPr>
          <w:color w:val="auto"/>
          <w:lang w:val="fr-FR"/>
        </w:rPr>
        <w:t>emerciements</w:t>
      </w:r>
      <w:bookmarkEnd w:id="6"/>
    </w:p>
    <w:p w:rsidR="002721B2" w:rsidRDefault="002721B2" w:rsidP="002721B2">
      <w:pPr>
        <w:rPr>
          <w:sz w:val="24"/>
          <w:lang w:val="fr-FR"/>
        </w:rPr>
      </w:pPr>
    </w:p>
    <w:p w:rsidR="002721B2" w:rsidRPr="002721B2" w:rsidRDefault="002721B2" w:rsidP="002721B2">
      <w:pPr>
        <w:rPr>
          <w:sz w:val="24"/>
          <w:lang w:val="fr-FR"/>
        </w:rPr>
      </w:pPr>
      <w:r w:rsidRPr="002721B2">
        <w:rPr>
          <w:sz w:val="24"/>
          <w:lang w:val="fr-FR"/>
        </w:rPr>
        <w:t>Le Ministère de la Santé, le Secrétariat Exécutif du Conseil National de Lutte contre le Sida (CNLS) et le Programme National de Prise en Charge sanitaire et de Prévention des IST/VIH/sida (PNPCSP) tiennent à remercier tous ceux qui ont contribué à l</w:t>
      </w:r>
      <w:r>
        <w:rPr>
          <w:sz w:val="24"/>
          <w:lang w:val="fr-FR"/>
        </w:rPr>
        <w:t>’élaboration de ce plan</w:t>
      </w:r>
      <w:r w:rsidRPr="002721B2">
        <w:rPr>
          <w:sz w:val="24"/>
          <w:lang w:val="fr-FR"/>
        </w:rPr>
        <w:t>. Ces remerciements s’adressent en particulier :</w:t>
      </w:r>
    </w:p>
    <w:p w:rsidR="002721B2" w:rsidRPr="002721B2" w:rsidRDefault="002721B2" w:rsidP="002721B2">
      <w:pPr>
        <w:rPr>
          <w:sz w:val="24"/>
          <w:lang w:val="fr-FR"/>
        </w:rPr>
      </w:pPr>
    </w:p>
    <w:p w:rsidR="002721B2" w:rsidRPr="002721B2" w:rsidRDefault="002721B2" w:rsidP="00C46D48">
      <w:pPr>
        <w:numPr>
          <w:ilvl w:val="0"/>
          <w:numId w:val="27"/>
        </w:numPr>
        <w:rPr>
          <w:sz w:val="24"/>
          <w:lang w:val="fr-FR"/>
        </w:rPr>
      </w:pPr>
      <w:r w:rsidRPr="002721B2">
        <w:rPr>
          <w:sz w:val="24"/>
          <w:lang w:val="fr-FR"/>
        </w:rPr>
        <w:t xml:space="preserve">A l’UNICEF </w:t>
      </w:r>
      <w:r w:rsidR="00C46D48">
        <w:rPr>
          <w:sz w:val="24"/>
          <w:lang w:val="fr-FR"/>
        </w:rPr>
        <w:t xml:space="preserve">et à ses experts du bureau pays et du bureau régional </w:t>
      </w:r>
      <w:r w:rsidRPr="002721B2">
        <w:rPr>
          <w:sz w:val="24"/>
          <w:lang w:val="fr-FR"/>
        </w:rPr>
        <w:t>pour leur appui technique et financier,</w:t>
      </w:r>
    </w:p>
    <w:p w:rsidR="002721B2" w:rsidRPr="002721B2" w:rsidRDefault="002721B2" w:rsidP="00C46D48">
      <w:pPr>
        <w:numPr>
          <w:ilvl w:val="0"/>
          <w:numId w:val="27"/>
        </w:numPr>
        <w:rPr>
          <w:sz w:val="24"/>
          <w:lang w:val="fr-FR"/>
        </w:rPr>
      </w:pPr>
      <w:r w:rsidRPr="002721B2">
        <w:rPr>
          <w:sz w:val="24"/>
          <w:lang w:val="fr-FR"/>
        </w:rPr>
        <w:t>Aux partenaires pour leur appui technique,</w:t>
      </w:r>
    </w:p>
    <w:p w:rsidR="002721B2" w:rsidRDefault="002721B2" w:rsidP="00C46D48">
      <w:pPr>
        <w:numPr>
          <w:ilvl w:val="0"/>
          <w:numId w:val="27"/>
        </w:numPr>
        <w:rPr>
          <w:sz w:val="24"/>
          <w:lang w:val="fr-FR"/>
        </w:rPr>
      </w:pPr>
      <w:r w:rsidRPr="002721B2">
        <w:rPr>
          <w:sz w:val="24"/>
          <w:lang w:val="fr-FR"/>
        </w:rPr>
        <w:t xml:space="preserve">Aux cadres guinéens qui ont participé aux différents ateliers et qui n’ont ménagé aucun effort pour l’enrichissement de ce document, </w:t>
      </w:r>
    </w:p>
    <w:p w:rsidR="002721B2" w:rsidRPr="002721B2" w:rsidRDefault="002721B2" w:rsidP="00C46D48">
      <w:pPr>
        <w:numPr>
          <w:ilvl w:val="0"/>
          <w:numId w:val="27"/>
        </w:numPr>
        <w:rPr>
          <w:sz w:val="24"/>
          <w:lang w:val="fr-FR"/>
        </w:rPr>
      </w:pPr>
      <w:r>
        <w:rPr>
          <w:sz w:val="24"/>
          <w:lang w:val="fr-FR"/>
        </w:rPr>
        <w:t xml:space="preserve">Aux consultants International et National pour </w:t>
      </w:r>
      <w:r w:rsidR="008B62FB">
        <w:rPr>
          <w:sz w:val="24"/>
          <w:lang w:val="fr-FR"/>
        </w:rPr>
        <w:t>leur contribution de qualité tout le long du processus d’élaboration</w:t>
      </w:r>
    </w:p>
    <w:p w:rsidR="002721B2" w:rsidRPr="002721B2" w:rsidRDefault="002721B2" w:rsidP="00C46D48">
      <w:pPr>
        <w:numPr>
          <w:ilvl w:val="0"/>
          <w:numId w:val="27"/>
        </w:numPr>
        <w:rPr>
          <w:sz w:val="24"/>
          <w:lang w:val="fr-FR"/>
        </w:rPr>
      </w:pPr>
      <w:r w:rsidRPr="002721B2">
        <w:rPr>
          <w:sz w:val="24"/>
          <w:lang w:val="fr-FR"/>
        </w:rPr>
        <w:t xml:space="preserve">Aux personnes ressources </w:t>
      </w:r>
      <w:r w:rsidR="008B62FB">
        <w:rPr>
          <w:sz w:val="24"/>
          <w:lang w:val="fr-FR"/>
        </w:rPr>
        <w:t xml:space="preserve">nationales et étrangères </w:t>
      </w:r>
      <w:r w:rsidRPr="002721B2">
        <w:rPr>
          <w:sz w:val="24"/>
          <w:lang w:val="fr-FR"/>
        </w:rPr>
        <w:t xml:space="preserve">qui ont </w:t>
      </w:r>
      <w:r w:rsidR="008B62FB">
        <w:rPr>
          <w:sz w:val="24"/>
          <w:lang w:val="fr-FR"/>
        </w:rPr>
        <w:t>participé à</w:t>
      </w:r>
      <w:r w:rsidRPr="002721B2">
        <w:rPr>
          <w:sz w:val="24"/>
          <w:lang w:val="fr-FR"/>
        </w:rPr>
        <w:t xml:space="preserve"> l’élaboration, la finalisation et </w:t>
      </w:r>
      <w:r w:rsidR="008B62FB">
        <w:rPr>
          <w:sz w:val="24"/>
          <w:lang w:val="fr-FR"/>
        </w:rPr>
        <w:t>à la validation de ce document</w:t>
      </w:r>
      <w:r w:rsidRPr="002721B2">
        <w:rPr>
          <w:sz w:val="24"/>
          <w:lang w:val="fr-FR"/>
        </w:rPr>
        <w:t>.</w:t>
      </w:r>
    </w:p>
    <w:p w:rsidR="002721B2" w:rsidRPr="002721B2" w:rsidRDefault="002721B2" w:rsidP="002721B2">
      <w:pPr>
        <w:rPr>
          <w:sz w:val="24"/>
          <w:lang w:val="fr-FR"/>
        </w:rPr>
      </w:pPr>
    </w:p>
    <w:p w:rsidR="002721B2" w:rsidRPr="002721B2" w:rsidRDefault="002721B2" w:rsidP="002721B2">
      <w:pPr>
        <w:rPr>
          <w:sz w:val="24"/>
          <w:lang w:val="fr-FR"/>
        </w:rPr>
      </w:pPr>
      <w:r w:rsidRPr="002721B2">
        <w:rPr>
          <w:sz w:val="24"/>
          <w:lang w:val="fr-FR"/>
        </w:rPr>
        <w:t xml:space="preserve">Ils expriment enfin leur profonde gratuite à tous ceux qui ont consacré leur temps et leur attention pour permettre que ce document </w:t>
      </w:r>
      <w:r w:rsidR="00C46D48">
        <w:rPr>
          <w:sz w:val="24"/>
          <w:lang w:val="fr-FR"/>
        </w:rPr>
        <w:t>soit l’instrument indispensable pour accélérer la prise en charge pédiatrique du VIH en Guinée</w:t>
      </w:r>
      <w:r w:rsidRPr="002721B2">
        <w:rPr>
          <w:sz w:val="24"/>
          <w:lang w:val="fr-FR"/>
        </w:rPr>
        <w:t>.</w:t>
      </w:r>
    </w:p>
    <w:p w:rsidR="002721B2" w:rsidRPr="002721B2" w:rsidRDefault="002721B2" w:rsidP="002721B2">
      <w:pPr>
        <w:rPr>
          <w:sz w:val="24"/>
          <w:lang w:val="fr-FR"/>
        </w:rPr>
      </w:pPr>
    </w:p>
    <w:p w:rsidR="002721B2" w:rsidRPr="002721B2" w:rsidRDefault="002721B2" w:rsidP="002721B2">
      <w:pPr>
        <w:rPr>
          <w:sz w:val="24"/>
          <w:lang w:val="fr-FR"/>
        </w:rPr>
      </w:pPr>
    </w:p>
    <w:p w:rsidR="002721B2" w:rsidRPr="002721B2" w:rsidRDefault="002721B2" w:rsidP="002721B2">
      <w:pPr>
        <w:rPr>
          <w:sz w:val="24"/>
          <w:lang w:val="fr-FR"/>
        </w:rPr>
      </w:pPr>
    </w:p>
    <w:p w:rsidR="002721B2" w:rsidRPr="002721B2" w:rsidRDefault="002721B2" w:rsidP="002721B2">
      <w:pPr>
        <w:rPr>
          <w:sz w:val="24"/>
          <w:lang w:val="fr-FR"/>
        </w:rPr>
      </w:pPr>
      <w:r w:rsidRPr="002721B2">
        <w:rPr>
          <w:sz w:val="24"/>
          <w:lang w:val="fr-FR"/>
        </w:rPr>
        <w:tab/>
      </w:r>
      <w:r w:rsidRPr="002721B2">
        <w:rPr>
          <w:sz w:val="24"/>
          <w:lang w:val="fr-FR"/>
        </w:rPr>
        <w:tab/>
      </w:r>
      <w:r w:rsidRPr="002721B2">
        <w:rPr>
          <w:sz w:val="24"/>
          <w:lang w:val="fr-FR"/>
        </w:rPr>
        <w:tab/>
      </w:r>
      <w:r w:rsidRPr="002721B2">
        <w:rPr>
          <w:sz w:val="24"/>
          <w:lang w:val="fr-FR"/>
        </w:rPr>
        <w:tab/>
      </w:r>
      <w:r w:rsidRPr="002721B2">
        <w:rPr>
          <w:sz w:val="24"/>
          <w:lang w:val="fr-FR"/>
        </w:rPr>
        <w:tab/>
      </w:r>
      <w:r w:rsidRPr="002721B2">
        <w:rPr>
          <w:sz w:val="24"/>
          <w:lang w:val="fr-FR"/>
        </w:rPr>
        <w:tab/>
      </w:r>
      <w:r w:rsidRPr="002721B2">
        <w:rPr>
          <w:sz w:val="24"/>
          <w:lang w:val="fr-FR"/>
        </w:rPr>
        <w:tab/>
      </w:r>
      <w:r w:rsidRPr="002721B2">
        <w:rPr>
          <w:sz w:val="24"/>
          <w:lang w:val="fr-FR"/>
        </w:rPr>
        <w:tab/>
        <w:t>Le Coordonnateur National</w:t>
      </w:r>
    </w:p>
    <w:p w:rsidR="002721B2" w:rsidRPr="002721B2" w:rsidRDefault="002721B2" w:rsidP="002721B2">
      <w:pPr>
        <w:rPr>
          <w:sz w:val="24"/>
          <w:lang w:val="fr-FR"/>
        </w:rPr>
      </w:pPr>
      <w:r w:rsidRPr="002721B2">
        <w:rPr>
          <w:sz w:val="24"/>
          <w:lang w:val="fr-FR"/>
        </w:rPr>
        <w:tab/>
      </w:r>
      <w:r w:rsidRPr="002721B2">
        <w:rPr>
          <w:sz w:val="24"/>
          <w:lang w:val="fr-FR"/>
        </w:rPr>
        <w:tab/>
      </w:r>
      <w:r w:rsidRPr="002721B2">
        <w:rPr>
          <w:sz w:val="24"/>
          <w:lang w:val="fr-FR"/>
        </w:rPr>
        <w:tab/>
      </w:r>
      <w:r w:rsidRPr="002721B2">
        <w:rPr>
          <w:sz w:val="24"/>
          <w:lang w:val="fr-FR"/>
        </w:rPr>
        <w:tab/>
      </w:r>
      <w:r w:rsidRPr="002721B2">
        <w:rPr>
          <w:sz w:val="24"/>
          <w:lang w:val="fr-FR"/>
        </w:rPr>
        <w:tab/>
      </w:r>
      <w:r w:rsidRPr="002721B2">
        <w:rPr>
          <w:sz w:val="24"/>
          <w:lang w:val="fr-FR"/>
        </w:rPr>
        <w:tab/>
      </w:r>
      <w:r w:rsidRPr="002721B2">
        <w:rPr>
          <w:sz w:val="24"/>
          <w:lang w:val="fr-FR"/>
        </w:rPr>
        <w:tab/>
      </w:r>
      <w:r w:rsidRPr="002721B2">
        <w:rPr>
          <w:sz w:val="24"/>
          <w:lang w:val="fr-FR"/>
        </w:rPr>
        <w:tab/>
        <w:t>PNPCSP</w:t>
      </w:r>
    </w:p>
    <w:p w:rsidR="002721B2" w:rsidRPr="002721B2" w:rsidRDefault="002721B2" w:rsidP="002721B2">
      <w:pPr>
        <w:rPr>
          <w:sz w:val="24"/>
          <w:lang w:val="fr-FR"/>
        </w:rPr>
      </w:pPr>
    </w:p>
    <w:p w:rsidR="002721B2" w:rsidRPr="002721B2" w:rsidRDefault="002721B2" w:rsidP="002721B2">
      <w:pPr>
        <w:rPr>
          <w:sz w:val="24"/>
          <w:lang w:val="fr-FR"/>
        </w:rPr>
      </w:pPr>
    </w:p>
    <w:p w:rsidR="002721B2" w:rsidRPr="002721B2" w:rsidRDefault="002721B2" w:rsidP="002721B2">
      <w:pPr>
        <w:rPr>
          <w:sz w:val="24"/>
          <w:lang w:val="fr-FR"/>
        </w:rPr>
      </w:pPr>
    </w:p>
    <w:p w:rsidR="002721B2" w:rsidRPr="002721B2" w:rsidRDefault="002721B2" w:rsidP="002721B2">
      <w:pPr>
        <w:rPr>
          <w:sz w:val="24"/>
          <w:lang w:val="fr-FR"/>
        </w:rPr>
      </w:pPr>
    </w:p>
    <w:p w:rsidR="002721B2" w:rsidRPr="002721B2" w:rsidRDefault="002721B2" w:rsidP="002721B2">
      <w:pPr>
        <w:rPr>
          <w:b/>
          <w:sz w:val="24"/>
          <w:u w:val="single"/>
          <w:lang w:val="fr-FR"/>
        </w:rPr>
      </w:pPr>
      <w:r w:rsidRPr="002721B2">
        <w:rPr>
          <w:sz w:val="24"/>
          <w:lang w:val="fr-FR"/>
        </w:rPr>
        <w:tab/>
      </w:r>
      <w:r w:rsidRPr="002721B2">
        <w:rPr>
          <w:sz w:val="24"/>
          <w:lang w:val="fr-FR"/>
        </w:rPr>
        <w:tab/>
      </w:r>
      <w:r w:rsidRPr="002721B2">
        <w:rPr>
          <w:sz w:val="24"/>
          <w:lang w:val="fr-FR"/>
        </w:rPr>
        <w:tab/>
      </w:r>
      <w:r w:rsidRPr="002721B2">
        <w:rPr>
          <w:sz w:val="24"/>
          <w:lang w:val="fr-FR"/>
        </w:rPr>
        <w:tab/>
      </w:r>
      <w:r w:rsidRPr="002721B2">
        <w:rPr>
          <w:sz w:val="24"/>
          <w:lang w:val="fr-FR"/>
        </w:rPr>
        <w:tab/>
      </w:r>
      <w:r w:rsidRPr="002721B2">
        <w:rPr>
          <w:sz w:val="24"/>
          <w:lang w:val="fr-FR"/>
        </w:rPr>
        <w:tab/>
      </w:r>
      <w:r w:rsidRPr="002721B2">
        <w:rPr>
          <w:sz w:val="24"/>
          <w:lang w:val="fr-FR"/>
        </w:rPr>
        <w:tab/>
      </w:r>
      <w:r w:rsidRPr="002721B2">
        <w:rPr>
          <w:sz w:val="24"/>
          <w:lang w:val="fr-FR"/>
        </w:rPr>
        <w:tab/>
      </w:r>
      <w:r w:rsidRPr="002721B2">
        <w:rPr>
          <w:b/>
          <w:sz w:val="24"/>
          <w:u w:val="single"/>
          <w:lang w:val="fr-FR"/>
        </w:rPr>
        <w:t>Dr Youssouf KOITA</w:t>
      </w:r>
    </w:p>
    <w:p w:rsidR="002721B2" w:rsidRPr="00CC63D5" w:rsidRDefault="002721B2" w:rsidP="00CC63D5">
      <w:pPr>
        <w:rPr>
          <w:rFonts w:cs="Tahoma"/>
          <w:b/>
          <w:sz w:val="24"/>
          <w:u w:val="single"/>
          <w:lang w:val="fr-FR"/>
        </w:rPr>
      </w:pPr>
    </w:p>
    <w:p w:rsidR="00F3266E" w:rsidRDefault="00F3266E">
      <w:pPr>
        <w:spacing w:after="160" w:line="259" w:lineRule="auto"/>
        <w:jc w:val="left"/>
        <w:rPr>
          <w:lang w:val="fr-FR"/>
        </w:rPr>
      </w:pPr>
      <w:r>
        <w:rPr>
          <w:lang w:val="fr-FR"/>
        </w:rPr>
        <w:br w:type="page"/>
      </w:r>
    </w:p>
    <w:p w:rsidR="00536E18" w:rsidRPr="00BE07AB" w:rsidRDefault="00536E18" w:rsidP="00AD3A48">
      <w:pPr>
        <w:pStyle w:val="Titre1"/>
        <w:rPr>
          <w:color w:val="auto"/>
          <w:lang w:val="fr-FR"/>
        </w:rPr>
      </w:pPr>
      <w:bookmarkStart w:id="7" w:name="_Toc480382913"/>
      <w:r w:rsidRPr="00BE07AB">
        <w:rPr>
          <w:color w:val="auto"/>
          <w:lang w:val="fr-FR"/>
        </w:rPr>
        <w:t>Liste des acronymes et des abréviations</w:t>
      </w:r>
      <w:bookmarkEnd w:id="7"/>
    </w:p>
    <w:p w:rsidR="000768C8" w:rsidRPr="000768C8" w:rsidRDefault="000768C8" w:rsidP="000768C8">
      <w:pPr>
        <w:rPr>
          <w:lang w:val="fr-FR"/>
        </w:rPr>
      </w:pPr>
    </w:p>
    <w:tbl>
      <w:tblPr>
        <w:tblW w:w="9214" w:type="dxa"/>
        <w:tblInd w:w="70" w:type="dxa"/>
        <w:tblCellMar>
          <w:left w:w="70" w:type="dxa"/>
          <w:right w:w="70" w:type="dxa"/>
        </w:tblCellMar>
        <w:tblLook w:val="04A0"/>
      </w:tblPr>
      <w:tblGrid>
        <w:gridCol w:w="1276"/>
        <w:gridCol w:w="7938"/>
      </w:tblGrid>
      <w:tr w:rsidR="00C61BE0" w:rsidRPr="000768C8" w:rsidTr="00C61BE0">
        <w:trPr>
          <w:trHeight w:val="225"/>
        </w:trPr>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C61BE0" w:rsidRPr="00C61BE0" w:rsidRDefault="00C61BE0" w:rsidP="00C61BE0">
            <w:pPr>
              <w:spacing w:line="276" w:lineRule="auto"/>
              <w:jc w:val="center"/>
              <w:rPr>
                <w:rFonts w:eastAsia="Times New Roman" w:cs="Arial"/>
                <w:b/>
                <w:color w:val="000000"/>
                <w:lang w:val="fr-FR" w:eastAsia="fr-FR"/>
              </w:rPr>
            </w:pPr>
            <w:r w:rsidRPr="00C61BE0">
              <w:rPr>
                <w:rFonts w:eastAsia="Times New Roman" w:cs="Arial"/>
                <w:b/>
                <w:color w:val="000000"/>
                <w:szCs w:val="22"/>
                <w:lang w:val="fr-FR" w:eastAsia="fr-FR"/>
              </w:rPr>
              <w:t>Acronyme</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C61BE0" w:rsidRPr="000768C8" w:rsidRDefault="00C61BE0" w:rsidP="00C61BE0">
            <w:pPr>
              <w:spacing w:line="276" w:lineRule="auto"/>
              <w:jc w:val="center"/>
              <w:rPr>
                <w:rFonts w:eastAsia="Times New Roman" w:cs="Arial"/>
                <w:b/>
                <w:color w:val="000000"/>
                <w:lang w:val="fr-FR" w:eastAsia="fr-FR"/>
              </w:rPr>
            </w:pPr>
            <w:r w:rsidRPr="000768C8">
              <w:rPr>
                <w:rFonts w:eastAsia="Times New Roman" w:cs="Arial"/>
                <w:b/>
                <w:color w:val="000000"/>
                <w:szCs w:val="22"/>
                <w:lang w:val="fr-FR" w:eastAsia="fr-FR"/>
              </w:rPr>
              <w:t>: Signification</w:t>
            </w:r>
          </w:p>
        </w:tc>
      </w:tr>
      <w:tr w:rsidR="00C61BE0" w:rsidRPr="000768C8" w:rsidTr="00C61BE0">
        <w:trPr>
          <w:trHeight w:val="225"/>
        </w:trPr>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color w:val="000000"/>
                <w:lang w:val="fr-FR" w:eastAsia="fr-FR"/>
              </w:rPr>
            </w:pPr>
            <w:bookmarkStart w:id="8" w:name="RANGE!A1:C234"/>
            <w:r w:rsidRPr="00C61BE0">
              <w:rPr>
                <w:rFonts w:eastAsia="Times New Roman" w:cs="Arial"/>
                <w:b/>
                <w:color w:val="000000"/>
                <w:szCs w:val="22"/>
                <w:lang w:val="fr-FR" w:eastAsia="fr-FR"/>
              </w:rPr>
              <w:t>AC</w:t>
            </w:r>
            <w:bookmarkEnd w:id="8"/>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color w:val="000000"/>
                <w:lang w:val="fr-FR" w:eastAsia="fr-FR"/>
              </w:rPr>
            </w:pPr>
            <w:r w:rsidRPr="000768C8">
              <w:rPr>
                <w:rFonts w:eastAsia="Times New Roman" w:cs="Arial"/>
                <w:color w:val="000000"/>
                <w:szCs w:val="22"/>
                <w:lang w:val="fr-FR" w:eastAsia="fr-FR"/>
              </w:rPr>
              <w:t>: Agent Communautaire</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color w:val="000000"/>
                <w:lang w:val="fr-FR" w:eastAsia="fr-FR"/>
              </w:rPr>
            </w:pPr>
            <w:r w:rsidRPr="00C61BE0">
              <w:rPr>
                <w:rFonts w:eastAsia="Times New Roman" w:cs="Arial"/>
                <w:b/>
                <w:color w:val="000000"/>
                <w:szCs w:val="22"/>
                <w:lang w:val="fr-FR" w:eastAsia="fr-FR"/>
              </w:rPr>
              <w:t>ARV</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color w:val="000000"/>
                <w:lang w:val="fr-FR" w:eastAsia="fr-FR"/>
              </w:rPr>
            </w:pPr>
            <w:r w:rsidRPr="000768C8">
              <w:rPr>
                <w:rFonts w:eastAsia="Times New Roman" w:cs="Arial"/>
                <w:color w:val="000000"/>
                <w:szCs w:val="22"/>
                <w:lang w:val="fr-FR" w:eastAsia="fr-FR"/>
              </w:rPr>
              <w:t>: Antirétroviral</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color w:val="000000"/>
                <w:lang w:val="fr-FR" w:eastAsia="fr-FR"/>
              </w:rPr>
            </w:pPr>
            <w:r w:rsidRPr="00C61BE0">
              <w:rPr>
                <w:rFonts w:eastAsia="Times New Roman" w:cs="Arial"/>
                <w:b/>
                <w:color w:val="000000"/>
                <w:szCs w:val="22"/>
                <w:lang w:val="fr-FR" w:eastAsia="fr-FR"/>
              </w:rPr>
              <w:t>CDV</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color w:val="000000"/>
                <w:lang w:val="fr-FR" w:eastAsia="fr-FR"/>
              </w:rPr>
            </w:pPr>
            <w:r w:rsidRPr="000768C8">
              <w:rPr>
                <w:rFonts w:eastAsia="Times New Roman" w:cs="Arial"/>
                <w:color w:val="000000"/>
                <w:szCs w:val="22"/>
                <w:lang w:val="fr-FR" w:eastAsia="fr-FR"/>
              </w:rPr>
              <w:t>: Centre de Dépistage Volontaire</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CNLS</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D0AFF">
            <w:pPr>
              <w:spacing w:line="276" w:lineRule="auto"/>
              <w:rPr>
                <w:rFonts w:eastAsia="Times New Roman" w:cs="Arial"/>
                <w:lang w:val="fr-FR" w:eastAsia="fr-FR"/>
              </w:rPr>
            </w:pPr>
            <w:r>
              <w:rPr>
                <w:rFonts w:eastAsia="Times New Roman" w:cs="Arial"/>
                <w:szCs w:val="22"/>
                <w:lang w:val="fr-FR" w:eastAsia="fr-FR"/>
              </w:rPr>
              <w:t>: Co</w:t>
            </w:r>
            <w:r w:rsidR="007D0AFF">
              <w:rPr>
                <w:rFonts w:eastAsia="Times New Roman" w:cs="Arial"/>
                <w:szCs w:val="22"/>
                <w:lang w:val="fr-FR" w:eastAsia="fr-FR"/>
              </w:rPr>
              <w:t>nseil</w:t>
            </w:r>
            <w:r>
              <w:rPr>
                <w:rFonts w:eastAsia="Times New Roman" w:cs="Arial"/>
                <w:szCs w:val="22"/>
                <w:lang w:val="fr-FR" w:eastAsia="fr-FR"/>
              </w:rPr>
              <w:t xml:space="preserve"> National de Lutte contre le Sida</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485D87">
            <w:pPr>
              <w:spacing w:line="276" w:lineRule="auto"/>
              <w:rPr>
                <w:rFonts w:eastAsia="Times New Roman" w:cs="Arial"/>
                <w:b/>
                <w:lang w:val="fr-FR" w:eastAsia="fr-FR"/>
              </w:rPr>
            </w:pPr>
            <w:r w:rsidRPr="00C61BE0">
              <w:rPr>
                <w:rFonts w:eastAsia="Times New Roman" w:cs="Arial"/>
                <w:b/>
                <w:szCs w:val="22"/>
                <w:lang w:val="fr-FR" w:eastAsia="fr-FR"/>
              </w:rPr>
              <w:t>CPN</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485D87">
            <w:pPr>
              <w:spacing w:line="276" w:lineRule="auto"/>
              <w:rPr>
                <w:rFonts w:eastAsia="Times New Roman" w:cs="Arial"/>
                <w:lang w:val="fr-FR" w:eastAsia="fr-FR"/>
              </w:rPr>
            </w:pPr>
            <w:r w:rsidRPr="000768C8">
              <w:rPr>
                <w:rFonts w:eastAsia="Times New Roman" w:cs="Arial"/>
                <w:szCs w:val="22"/>
                <w:lang w:val="fr-FR" w:eastAsia="fr-FR"/>
              </w:rPr>
              <w:t>: Consultation Prénatale</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485D87">
            <w:pPr>
              <w:spacing w:line="276" w:lineRule="auto"/>
              <w:rPr>
                <w:rFonts w:eastAsia="Times New Roman" w:cs="Arial"/>
                <w:b/>
                <w:lang w:val="fr-FR" w:eastAsia="fr-FR"/>
              </w:rPr>
            </w:pPr>
            <w:r w:rsidRPr="00C61BE0">
              <w:rPr>
                <w:rFonts w:eastAsia="Times New Roman" w:cs="Arial"/>
                <w:b/>
                <w:szCs w:val="22"/>
                <w:lang w:val="fr-FR" w:eastAsia="fr-FR"/>
              </w:rPr>
              <w:t>CS</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485D87">
            <w:pPr>
              <w:spacing w:line="276" w:lineRule="auto"/>
              <w:rPr>
                <w:rFonts w:eastAsia="Times New Roman" w:cs="Arial"/>
                <w:lang w:val="fr-FR" w:eastAsia="fr-FR"/>
              </w:rPr>
            </w:pPr>
            <w:r w:rsidRPr="000768C8">
              <w:rPr>
                <w:rFonts w:eastAsia="Times New Roman" w:cs="Arial"/>
                <w:szCs w:val="22"/>
                <w:lang w:val="fr-FR" w:eastAsia="fr-FR"/>
              </w:rPr>
              <w:t>: Centre de Santé</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DCS</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Pr>
                <w:rFonts w:eastAsia="Times New Roman" w:cs="Arial"/>
                <w:szCs w:val="22"/>
                <w:lang w:val="fr-FR" w:eastAsia="fr-FR"/>
              </w:rPr>
              <w:t xml:space="preserve">: Direction Communale de la Santé </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DHIS</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xml:space="preserve">: Plateforme d’Information Sanitaire du District de santé </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DPS</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Direction Préfectorale de la Santé</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DRS</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Direction Régionale de la Santé</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0768C8">
            <w:pPr>
              <w:spacing w:line="276" w:lineRule="auto"/>
              <w:rPr>
                <w:rFonts w:eastAsia="Times New Roman" w:cs="Arial"/>
                <w:b/>
                <w:lang w:val="fr-FR" w:eastAsia="fr-FR"/>
              </w:rPr>
            </w:pPr>
            <w:r w:rsidRPr="00C61BE0">
              <w:rPr>
                <w:rFonts w:eastAsia="Times New Roman" w:cs="Arial"/>
                <w:b/>
                <w:szCs w:val="22"/>
                <w:lang w:val="fr-FR" w:eastAsia="fr-FR"/>
              </w:rPr>
              <w:t>DSVCO</w:t>
            </w:r>
          </w:p>
        </w:tc>
        <w:tc>
          <w:tcPr>
            <w:tcW w:w="7938" w:type="dxa"/>
            <w:tcBorders>
              <w:top w:val="nil"/>
              <w:left w:val="nil"/>
              <w:bottom w:val="single" w:sz="4" w:space="0" w:color="auto"/>
              <w:right w:val="single" w:sz="4" w:space="0" w:color="auto"/>
            </w:tcBorders>
            <w:shd w:val="clear" w:color="auto" w:fill="auto"/>
            <w:vAlign w:val="center"/>
            <w:hideMark/>
          </w:tcPr>
          <w:p w:rsidR="00C61BE0" w:rsidRDefault="00C61BE0" w:rsidP="000768C8">
            <w:pPr>
              <w:spacing w:line="276" w:lineRule="auto"/>
              <w:rPr>
                <w:rFonts w:eastAsia="Times New Roman" w:cs="Arial"/>
                <w:lang w:val="fr-FR" w:eastAsia="fr-FR"/>
              </w:rPr>
            </w:pPr>
            <w:r>
              <w:rPr>
                <w:rFonts w:eastAsia="Times New Roman" w:cs="Arial"/>
                <w:szCs w:val="22"/>
                <w:lang w:val="fr-FR" w:eastAsia="fr-FR"/>
              </w:rPr>
              <w:t>: Direction Sanitaire de la Ville de Conakry</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0768C8">
            <w:pPr>
              <w:spacing w:line="276" w:lineRule="auto"/>
              <w:rPr>
                <w:rFonts w:eastAsia="Times New Roman" w:cs="Arial"/>
                <w:b/>
                <w:lang w:val="fr-FR" w:eastAsia="fr-FR"/>
              </w:rPr>
            </w:pPr>
            <w:r w:rsidRPr="00C61BE0">
              <w:rPr>
                <w:rFonts w:eastAsia="Times New Roman" w:cs="Arial"/>
                <w:b/>
                <w:szCs w:val="22"/>
                <w:lang w:val="fr-FR" w:eastAsia="fr-FR"/>
              </w:rPr>
              <w:t>ENSS</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0768C8">
            <w:pPr>
              <w:spacing w:line="276" w:lineRule="auto"/>
              <w:rPr>
                <w:rFonts w:eastAsia="Times New Roman" w:cs="Arial"/>
                <w:lang w:val="fr-FR" w:eastAsia="fr-FR"/>
              </w:rPr>
            </w:pPr>
            <w:r>
              <w:rPr>
                <w:rFonts w:eastAsia="Times New Roman" w:cs="Arial"/>
                <w:szCs w:val="22"/>
                <w:lang w:val="fr-FR" w:eastAsia="fr-FR"/>
              </w:rPr>
              <w:t>: Enquête Nationale de Surveillance Sentinelle</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0768C8">
            <w:pPr>
              <w:spacing w:line="276" w:lineRule="auto"/>
              <w:rPr>
                <w:rFonts w:eastAsia="Times New Roman" w:cs="Arial"/>
                <w:b/>
                <w:lang w:val="fr-FR" w:eastAsia="fr-FR"/>
              </w:rPr>
            </w:pPr>
            <w:r w:rsidRPr="00C61BE0">
              <w:rPr>
                <w:rFonts w:eastAsia="Times New Roman" w:cs="Arial"/>
                <w:b/>
                <w:szCs w:val="22"/>
                <w:lang w:val="fr-FR" w:eastAsia="fr-FR"/>
              </w:rPr>
              <w:t>ESCOMB</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0768C8">
            <w:pPr>
              <w:spacing w:line="276" w:lineRule="auto"/>
              <w:rPr>
                <w:rFonts w:eastAsia="Times New Roman" w:cs="Arial"/>
                <w:lang w:val="fr-FR" w:eastAsia="fr-FR"/>
              </w:rPr>
            </w:pPr>
            <w:r>
              <w:rPr>
                <w:rFonts w:eastAsia="Times New Roman" w:cs="Arial"/>
                <w:szCs w:val="22"/>
                <w:lang w:val="fr-FR" w:eastAsia="fr-FR"/>
              </w:rPr>
              <w:t>: Enquête de Surveillance Comportementale et Biologique</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0768C8">
            <w:pPr>
              <w:spacing w:line="276" w:lineRule="auto"/>
              <w:rPr>
                <w:rFonts w:eastAsia="Times New Roman" w:cs="Arial"/>
                <w:b/>
                <w:lang w:val="fr-FR" w:eastAsia="fr-FR"/>
              </w:rPr>
            </w:pPr>
            <w:r w:rsidRPr="00C61BE0">
              <w:rPr>
                <w:rFonts w:eastAsia="Times New Roman" w:cs="Arial"/>
                <w:b/>
                <w:szCs w:val="22"/>
                <w:lang w:val="fr-FR" w:eastAsia="fr-FR"/>
              </w:rPr>
              <w:t>HN</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0768C8">
            <w:pPr>
              <w:spacing w:line="276" w:lineRule="auto"/>
              <w:rPr>
                <w:rFonts w:eastAsia="Times New Roman" w:cs="Arial"/>
                <w:lang w:val="fr-FR" w:eastAsia="fr-FR"/>
              </w:rPr>
            </w:pPr>
            <w:r w:rsidRPr="000768C8">
              <w:rPr>
                <w:rFonts w:eastAsia="Times New Roman" w:cs="Arial"/>
                <w:szCs w:val="22"/>
                <w:lang w:val="fr-FR" w:eastAsia="fr-FR"/>
              </w:rPr>
              <w:t>: Hôpital National</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0768C8">
            <w:pPr>
              <w:spacing w:line="276" w:lineRule="auto"/>
              <w:rPr>
                <w:rFonts w:eastAsia="Times New Roman" w:cs="Arial"/>
                <w:b/>
                <w:lang w:val="fr-FR" w:eastAsia="fr-FR"/>
              </w:rPr>
            </w:pPr>
            <w:r w:rsidRPr="00C61BE0">
              <w:rPr>
                <w:rFonts w:eastAsia="Times New Roman" w:cs="Arial"/>
                <w:b/>
                <w:szCs w:val="22"/>
                <w:lang w:val="fr-FR" w:eastAsia="fr-FR"/>
              </w:rPr>
              <w:t>HP</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0768C8">
            <w:pPr>
              <w:spacing w:line="276" w:lineRule="auto"/>
              <w:rPr>
                <w:rFonts w:eastAsia="Times New Roman" w:cs="Arial"/>
                <w:lang w:val="fr-FR" w:eastAsia="fr-FR"/>
              </w:rPr>
            </w:pPr>
            <w:r w:rsidRPr="000768C8">
              <w:rPr>
                <w:rFonts w:eastAsia="Times New Roman" w:cs="Arial"/>
                <w:szCs w:val="22"/>
                <w:lang w:val="fr-FR" w:eastAsia="fr-FR"/>
              </w:rPr>
              <w:t>: Hôpital Préfectoral</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0768C8">
            <w:pPr>
              <w:spacing w:line="276" w:lineRule="auto"/>
              <w:rPr>
                <w:rFonts w:eastAsia="Times New Roman" w:cs="Arial"/>
                <w:b/>
                <w:lang w:val="fr-FR" w:eastAsia="fr-FR"/>
              </w:rPr>
            </w:pPr>
            <w:r w:rsidRPr="00C61BE0">
              <w:rPr>
                <w:rFonts w:eastAsia="Times New Roman" w:cs="Arial"/>
                <w:b/>
                <w:szCs w:val="22"/>
                <w:lang w:val="fr-FR" w:eastAsia="fr-FR"/>
              </w:rPr>
              <w:t>HR</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0768C8">
            <w:pPr>
              <w:spacing w:line="276" w:lineRule="auto"/>
              <w:rPr>
                <w:rFonts w:eastAsia="Times New Roman" w:cs="Arial"/>
                <w:lang w:val="fr-FR" w:eastAsia="fr-FR"/>
              </w:rPr>
            </w:pPr>
            <w:r w:rsidRPr="000768C8">
              <w:rPr>
                <w:rFonts w:eastAsia="Times New Roman" w:cs="Arial"/>
                <w:szCs w:val="22"/>
                <w:lang w:val="fr-FR" w:eastAsia="fr-FR"/>
              </w:rPr>
              <w:t>: Hôpital Régional</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INSE</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xml:space="preserve">: Institut de </w:t>
            </w:r>
            <w:r w:rsidRPr="00650F3E">
              <w:rPr>
                <w:rFonts w:eastAsia="Times New Roman" w:cs="Arial"/>
                <w:szCs w:val="22"/>
                <w:lang w:val="fr-FR" w:eastAsia="fr-FR"/>
              </w:rPr>
              <w:t>Nutrition</w:t>
            </w:r>
            <w:r w:rsidRPr="000768C8">
              <w:rPr>
                <w:rFonts w:eastAsia="Times New Roman" w:cs="Arial"/>
                <w:szCs w:val="22"/>
                <w:lang w:val="fr-FR" w:eastAsia="fr-FR"/>
              </w:rPr>
              <w:t xml:space="preserve"> et de Santé de l'Enfant</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 xml:space="preserve">MS </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Ministère de la Santé</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MSF</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xml:space="preserve">: Médecins Sans Frontières </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OMS</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Organisation Mondiale de la Santé</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ONUSIDA</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Agence des Nations Unies pour la lutte contre le Sida</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PECP</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Pr>
                <w:rFonts w:eastAsia="Times New Roman" w:cs="Arial"/>
                <w:szCs w:val="22"/>
                <w:lang w:val="fr-FR" w:eastAsia="fr-FR"/>
              </w:rPr>
              <w:t>: Prise en Charge Pédiatrique du VIH</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PF</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Planification Familiale</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PMA</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Paquet Minimum d’Activités</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7C4DC5">
            <w:pPr>
              <w:spacing w:line="276" w:lineRule="auto"/>
              <w:rPr>
                <w:rFonts w:eastAsia="Times New Roman" w:cs="Arial"/>
                <w:b/>
                <w:lang w:val="fr-FR" w:eastAsia="fr-FR"/>
              </w:rPr>
            </w:pPr>
            <w:r w:rsidRPr="00C61BE0">
              <w:rPr>
                <w:b/>
              </w:rPr>
              <w:t>PNPCSP</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C61BE0">
            <w:pPr>
              <w:spacing w:line="276" w:lineRule="auto"/>
              <w:ind w:left="102" w:hanging="102"/>
              <w:rPr>
                <w:rFonts w:eastAsia="Times New Roman" w:cs="Arial"/>
                <w:lang w:val="fr-FR" w:eastAsia="fr-FR"/>
              </w:rPr>
            </w:pPr>
            <w:r>
              <w:rPr>
                <w:rFonts w:eastAsia="Times New Roman" w:cs="Arial"/>
                <w:szCs w:val="22"/>
                <w:lang w:val="fr-FR" w:eastAsia="fr-FR"/>
              </w:rPr>
              <w:t>: Programme National de Prise en Charge Sanitaire et de Prévention des IST/VIH/SIDA</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 xml:space="preserve">PS </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Poste de Santé</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PTF</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Partenaire Technique et Financier</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PTME</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Prévention de la Transmission Mère- Enfant</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b/>
                <w:lang w:val="fr-FR"/>
              </w:rPr>
              <w:t>PVVIH</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A72A48">
            <w:pPr>
              <w:spacing w:line="276" w:lineRule="auto"/>
              <w:rPr>
                <w:rFonts w:eastAsia="Times New Roman" w:cs="Arial"/>
                <w:lang w:val="fr-FR" w:eastAsia="fr-FR"/>
              </w:rPr>
            </w:pPr>
            <w:r>
              <w:rPr>
                <w:rFonts w:eastAsia="Times New Roman" w:cs="Arial"/>
                <w:szCs w:val="22"/>
                <w:lang w:val="fr-FR" w:eastAsia="fr-FR"/>
              </w:rPr>
              <w:t xml:space="preserve">: </w:t>
            </w:r>
            <w:r>
              <w:rPr>
                <w:lang w:val="fr-FR"/>
              </w:rPr>
              <w:t xml:space="preserve">Personnes Vivant avec le VIH </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 xml:space="preserve">SIDA </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Syndrome d'immunodéficience Acquise</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SNIS</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Système National d’Information Sanitaire</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SRMNIA</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F3266E">
            <w:pPr>
              <w:spacing w:line="276" w:lineRule="auto"/>
              <w:ind w:left="186" w:hanging="186"/>
              <w:rPr>
                <w:rFonts w:eastAsia="Times New Roman" w:cs="Arial"/>
                <w:lang w:val="fr-FR" w:eastAsia="fr-FR"/>
              </w:rPr>
            </w:pPr>
            <w:r>
              <w:rPr>
                <w:rFonts w:eastAsia="Times New Roman" w:cs="Arial"/>
                <w:szCs w:val="22"/>
                <w:lang w:val="fr-FR" w:eastAsia="fr-FR"/>
              </w:rPr>
              <w:t xml:space="preserve">: </w:t>
            </w:r>
            <w:r w:rsidRPr="000768C8">
              <w:rPr>
                <w:rFonts w:eastAsia="Times New Roman" w:cs="Arial"/>
                <w:szCs w:val="22"/>
                <w:lang w:val="fr-FR" w:eastAsia="fr-FR"/>
              </w:rPr>
              <w:t>Santé de la Reproduction, Maternelle, Néonatale</w:t>
            </w:r>
            <w:r>
              <w:rPr>
                <w:rFonts w:eastAsia="Times New Roman" w:cs="Arial"/>
                <w:szCs w:val="22"/>
                <w:lang w:val="fr-FR" w:eastAsia="fr-FR"/>
              </w:rPr>
              <w:t xml:space="preserve"> et</w:t>
            </w:r>
            <w:r w:rsidRPr="000768C8">
              <w:rPr>
                <w:rFonts w:eastAsia="Times New Roman" w:cs="Arial"/>
                <w:szCs w:val="22"/>
                <w:lang w:val="fr-FR" w:eastAsia="fr-FR"/>
              </w:rPr>
              <w:t xml:space="preserve"> Infantile</w:t>
            </w:r>
            <w:r>
              <w:rPr>
                <w:rFonts w:eastAsia="Times New Roman" w:cs="Arial"/>
                <w:szCs w:val="22"/>
                <w:lang w:val="fr-FR" w:eastAsia="fr-FR"/>
              </w:rPr>
              <w:t xml:space="preserve"> et Adolescents</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TARV</w:t>
            </w:r>
          </w:p>
        </w:tc>
        <w:tc>
          <w:tcPr>
            <w:tcW w:w="7938" w:type="dxa"/>
            <w:tcBorders>
              <w:top w:val="nil"/>
              <w:left w:val="nil"/>
              <w:bottom w:val="single" w:sz="4" w:space="0" w:color="auto"/>
              <w:right w:val="single" w:sz="4" w:space="0" w:color="auto"/>
            </w:tcBorders>
            <w:shd w:val="clear" w:color="auto" w:fill="auto"/>
            <w:vAlign w:val="center"/>
            <w:hideMark/>
          </w:tcPr>
          <w:p w:rsidR="00C61BE0" w:rsidRDefault="00C61BE0" w:rsidP="00F3266E">
            <w:pPr>
              <w:spacing w:line="276" w:lineRule="auto"/>
              <w:ind w:left="186" w:hanging="186"/>
              <w:rPr>
                <w:rFonts w:eastAsia="Times New Roman" w:cs="Arial"/>
                <w:lang w:val="fr-FR" w:eastAsia="fr-FR"/>
              </w:rPr>
            </w:pPr>
            <w:r>
              <w:rPr>
                <w:rFonts w:eastAsia="Times New Roman" w:cs="Arial"/>
                <w:szCs w:val="22"/>
                <w:lang w:val="fr-FR" w:eastAsia="fr-FR"/>
              </w:rPr>
              <w:t xml:space="preserve">: Traitement </w:t>
            </w:r>
            <w:r w:rsidRPr="000768C8">
              <w:rPr>
                <w:rFonts w:eastAsia="Times New Roman" w:cs="Arial"/>
                <w:color w:val="000000"/>
                <w:szCs w:val="22"/>
                <w:lang w:val="fr-FR" w:eastAsia="fr-FR"/>
              </w:rPr>
              <w:t>Antirétroviral</w:t>
            </w:r>
          </w:p>
        </w:tc>
      </w:tr>
      <w:tr w:rsidR="00C61BE0" w:rsidRPr="00ED18BA" w:rsidTr="00C61BE0">
        <w:trPr>
          <w:trHeight w:val="225"/>
        </w:trPr>
        <w:tc>
          <w:tcPr>
            <w:tcW w:w="1276" w:type="dxa"/>
            <w:tcBorders>
              <w:top w:val="nil"/>
              <w:left w:val="single" w:sz="4" w:space="0" w:color="auto"/>
              <w:bottom w:val="single" w:sz="4" w:space="0" w:color="auto"/>
              <w:right w:val="nil"/>
            </w:tcBorders>
            <w:shd w:val="clear" w:color="auto" w:fill="auto"/>
            <w:noWrap/>
            <w:vAlign w:val="center"/>
            <w:hideMark/>
          </w:tcPr>
          <w:p w:rsidR="00C61BE0" w:rsidRPr="00C61BE0" w:rsidRDefault="00C61BE0" w:rsidP="007C4DC5">
            <w:pPr>
              <w:spacing w:line="276" w:lineRule="auto"/>
              <w:rPr>
                <w:rFonts w:eastAsia="Times New Roman" w:cs="Arial"/>
                <w:b/>
                <w:lang w:val="fr-FR" w:eastAsia="fr-FR"/>
              </w:rPr>
            </w:pPr>
            <w:r w:rsidRPr="00C61BE0">
              <w:rPr>
                <w:rFonts w:eastAsia="Times New Roman" w:cs="Arial"/>
                <w:b/>
                <w:szCs w:val="22"/>
                <w:lang w:val="fr-FR" w:eastAsia="fr-FR"/>
              </w:rPr>
              <w:t>UNICEF</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Fonds des Nations Unies pour l’Enfance</w:t>
            </w:r>
          </w:p>
        </w:tc>
      </w:tr>
      <w:tr w:rsidR="00C61BE0" w:rsidRPr="000768C8" w:rsidTr="00C61BE0">
        <w:trPr>
          <w:trHeight w:val="225"/>
        </w:trPr>
        <w:tc>
          <w:tcPr>
            <w:tcW w:w="1276" w:type="dxa"/>
            <w:tcBorders>
              <w:top w:val="nil"/>
              <w:left w:val="single" w:sz="4" w:space="0" w:color="auto"/>
              <w:bottom w:val="single" w:sz="4" w:space="0" w:color="auto"/>
              <w:right w:val="nil"/>
            </w:tcBorders>
            <w:shd w:val="clear" w:color="auto" w:fill="auto"/>
            <w:vAlign w:val="center"/>
            <w:hideMark/>
          </w:tcPr>
          <w:p w:rsidR="00C61BE0" w:rsidRPr="00C61BE0" w:rsidRDefault="00C61BE0" w:rsidP="007C4DC5">
            <w:pPr>
              <w:spacing w:line="276" w:lineRule="auto"/>
              <w:rPr>
                <w:rFonts w:eastAsia="Times New Roman" w:cs="Arial"/>
                <w:b/>
                <w:color w:val="000000"/>
                <w:lang w:val="fr-FR" w:eastAsia="fr-FR"/>
              </w:rPr>
            </w:pPr>
            <w:r w:rsidRPr="00C61BE0">
              <w:rPr>
                <w:rFonts w:eastAsia="Times New Roman" w:cs="Arial"/>
                <w:b/>
                <w:color w:val="000000"/>
                <w:szCs w:val="22"/>
                <w:lang w:val="fr-FR" w:eastAsia="fr-FR"/>
              </w:rPr>
              <w:t>VIH</w:t>
            </w:r>
          </w:p>
        </w:tc>
        <w:tc>
          <w:tcPr>
            <w:tcW w:w="7938" w:type="dxa"/>
            <w:tcBorders>
              <w:top w:val="nil"/>
              <w:left w:val="nil"/>
              <w:bottom w:val="single" w:sz="4" w:space="0" w:color="auto"/>
              <w:right w:val="single" w:sz="4" w:space="0" w:color="auto"/>
            </w:tcBorders>
            <w:shd w:val="clear" w:color="auto" w:fill="auto"/>
            <w:vAlign w:val="center"/>
            <w:hideMark/>
          </w:tcPr>
          <w:p w:rsidR="00C61BE0" w:rsidRPr="000768C8" w:rsidRDefault="00C61BE0" w:rsidP="007C4DC5">
            <w:pPr>
              <w:spacing w:line="276" w:lineRule="auto"/>
              <w:rPr>
                <w:rFonts w:eastAsia="Times New Roman" w:cs="Arial"/>
                <w:lang w:val="fr-FR" w:eastAsia="fr-FR"/>
              </w:rPr>
            </w:pPr>
            <w:r w:rsidRPr="000768C8">
              <w:rPr>
                <w:rFonts w:eastAsia="Times New Roman" w:cs="Arial"/>
                <w:szCs w:val="22"/>
                <w:lang w:val="fr-FR" w:eastAsia="fr-FR"/>
              </w:rPr>
              <w:t>: Virus de l'Immunodéficience Humaine</w:t>
            </w:r>
          </w:p>
        </w:tc>
      </w:tr>
    </w:tbl>
    <w:p w:rsidR="00536E18" w:rsidRDefault="00536E18" w:rsidP="007C4DC5">
      <w:pPr>
        <w:spacing w:line="276" w:lineRule="auto"/>
      </w:pPr>
    </w:p>
    <w:p w:rsidR="00536E18" w:rsidRPr="00BE07AB" w:rsidRDefault="00536E18" w:rsidP="00AD3A48">
      <w:pPr>
        <w:pStyle w:val="Titre1"/>
        <w:rPr>
          <w:color w:val="auto"/>
          <w:sz w:val="32"/>
          <w:lang w:val="fr-FR"/>
        </w:rPr>
      </w:pPr>
      <w:bookmarkStart w:id="9" w:name="_Toc480382914"/>
      <w:r w:rsidRPr="00BE07AB">
        <w:rPr>
          <w:color w:val="auto"/>
          <w:sz w:val="32"/>
          <w:lang w:val="fr-FR"/>
        </w:rPr>
        <w:t>Résumé</w:t>
      </w:r>
      <w:bookmarkEnd w:id="9"/>
    </w:p>
    <w:p w:rsidR="007B6867" w:rsidRPr="007B6867" w:rsidRDefault="007B6867" w:rsidP="007B6867">
      <w:pPr>
        <w:rPr>
          <w:lang w:val="fr-FR"/>
        </w:rPr>
      </w:pPr>
    </w:p>
    <w:p w:rsidR="008060B3" w:rsidRDefault="00940181" w:rsidP="00C61BE0">
      <w:pPr>
        <w:rPr>
          <w:rFonts w:cs="Tahoma"/>
          <w:sz w:val="24"/>
          <w:lang w:val="fr-FR"/>
        </w:rPr>
      </w:pPr>
      <w:r w:rsidRPr="00C61BE0">
        <w:rPr>
          <w:rFonts w:cs="Tahoma"/>
          <w:sz w:val="24"/>
          <w:lang w:val="fr-FR"/>
        </w:rPr>
        <w:t xml:space="preserve">En </w:t>
      </w:r>
      <w:r w:rsidR="009B39B3" w:rsidRPr="00C61BE0">
        <w:rPr>
          <w:rFonts w:cs="Tahoma"/>
          <w:sz w:val="24"/>
          <w:lang w:val="fr-FR"/>
        </w:rPr>
        <w:t>2016</w:t>
      </w:r>
      <w:r w:rsidRPr="00C61BE0">
        <w:rPr>
          <w:rFonts w:cs="Tahoma"/>
          <w:sz w:val="24"/>
          <w:lang w:val="fr-FR"/>
        </w:rPr>
        <w:t xml:space="preserve">, la prévalence du VIH chez les enfants de 0-15 ans </w:t>
      </w:r>
      <w:r w:rsidR="009B39B3" w:rsidRPr="00C61BE0">
        <w:rPr>
          <w:rFonts w:cs="Tahoma"/>
          <w:sz w:val="24"/>
          <w:lang w:val="fr-FR"/>
        </w:rPr>
        <w:t>était</w:t>
      </w:r>
      <w:r w:rsidRPr="00C61BE0">
        <w:rPr>
          <w:rFonts w:cs="Tahoma"/>
          <w:sz w:val="24"/>
          <w:lang w:val="fr-FR"/>
        </w:rPr>
        <w:t xml:space="preserve"> estimée à 0,24% soit </w:t>
      </w:r>
      <w:r w:rsidR="009B39B3" w:rsidRPr="00C61BE0">
        <w:rPr>
          <w:rFonts w:cs="Tahoma"/>
          <w:sz w:val="24"/>
          <w:lang w:val="fr-FR"/>
        </w:rPr>
        <w:t xml:space="preserve">13842 enfants vivant avec le VIH. Parmi eux, </w:t>
      </w:r>
      <w:r w:rsidR="0012640A" w:rsidRPr="00C61BE0">
        <w:rPr>
          <w:rFonts w:cs="Tahoma"/>
          <w:sz w:val="24"/>
          <w:lang w:val="fr-FR"/>
        </w:rPr>
        <w:t xml:space="preserve">seuls </w:t>
      </w:r>
      <w:r w:rsidR="009B39B3" w:rsidRPr="00C61BE0">
        <w:rPr>
          <w:rFonts w:cs="Tahoma"/>
          <w:sz w:val="24"/>
          <w:lang w:val="fr-FR"/>
        </w:rPr>
        <w:t>2374 enfants (17%) étaient sous traitement antirétroviral. Le nombre de décès d’enfants dus au sida était estimé à 738 cas. Par ailleurs, plus de 1000 nouvelles infections sont enregistrées chaque année chez les enfants de 0-15 ans.</w:t>
      </w:r>
    </w:p>
    <w:p w:rsidR="00C61BE0" w:rsidRPr="00C61BE0" w:rsidRDefault="00C61BE0" w:rsidP="00C61BE0">
      <w:pPr>
        <w:rPr>
          <w:rFonts w:cs="Tahoma"/>
          <w:sz w:val="24"/>
          <w:lang w:val="fr-FR"/>
        </w:rPr>
      </w:pPr>
    </w:p>
    <w:p w:rsidR="008060B3" w:rsidRDefault="009B39B3" w:rsidP="00C61BE0">
      <w:pPr>
        <w:rPr>
          <w:rFonts w:cs="Tahoma"/>
          <w:sz w:val="24"/>
          <w:lang w:val="fr-FR"/>
        </w:rPr>
      </w:pPr>
      <w:r w:rsidRPr="00C61BE0">
        <w:rPr>
          <w:rFonts w:cs="Tahoma"/>
          <w:sz w:val="24"/>
          <w:lang w:val="fr-FR"/>
        </w:rPr>
        <w:t xml:space="preserve">La Guinée à souscrit aux Objectifs </w:t>
      </w:r>
      <w:r w:rsidR="008060B3" w:rsidRPr="00C61BE0">
        <w:rPr>
          <w:rFonts w:cs="Tahoma"/>
          <w:sz w:val="24"/>
          <w:lang w:val="fr-FR"/>
        </w:rPr>
        <w:t xml:space="preserve">mondiaux </w:t>
      </w:r>
      <w:r w:rsidRPr="00C61BE0">
        <w:rPr>
          <w:rFonts w:cs="Tahoma"/>
          <w:sz w:val="24"/>
          <w:lang w:val="fr-FR"/>
        </w:rPr>
        <w:t xml:space="preserve">90-90-90 </w:t>
      </w:r>
      <w:r w:rsidR="008060B3" w:rsidRPr="00C61BE0">
        <w:rPr>
          <w:rFonts w:cs="Tahoma"/>
          <w:sz w:val="24"/>
          <w:lang w:val="fr-FR"/>
        </w:rPr>
        <w:t xml:space="preserve">adoptés en 2014 pour mettre fin à l’épidémie de sida. Ces objectifs </w:t>
      </w:r>
      <w:r w:rsidRPr="00C61BE0">
        <w:rPr>
          <w:rFonts w:cs="Tahoma"/>
          <w:sz w:val="24"/>
          <w:lang w:val="fr-FR"/>
        </w:rPr>
        <w:t xml:space="preserve">visent </w:t>
      </w:r>
      <w:r w:rsidR="008060B3" w:rsidRPr="00C61BE0">
        <w:rPr>
          <w:rFonts w:cs="Tahoma"/>
          <w:sz w:val="24"/>
          <w:lang w:val="fr-FR"/>
        </w:rPr>
        <w:t xml:space="preserve"> notamment qu’en 2020 :</w:t>
      </w:r>
    </w:p>
    <w:p w:rsidR="00C61BE0" w:rsidRPr="00C61BE0" w:rsidRDefault="00C61BE0" w:rsidP="00C61BE0">
      <w:pPr>
        <w:rPr>
          <w:rFonts w:cs="Tahoma"/>
          <w:sz w:val="24"/>
          <w:lang w:val="fr-FR"/>
        </w:rPr>
      </w:pPr>
    </w:p>
    <w:p w:rsidR="008060B3" w:rsidRPr="00C61BE0" w:rsidRDefault="008060B3" w:rsidP="00C61BE0">
      <w:pPr>
        <w:pStyle w:val="Paragraphedeliste"/>
        <w:numPr>
          <w:ilvl w:val="0"/>
          <w:numId w:val="2"/>
        </w:numPr>
        <w:rPr>
          <w:rFonts w:cs="Tahoma"/>
          <w:sz w:val="24"/>
          <w:lang w:val="fr-FR"/>
        </w:rPr>
      </w:pPr>
      <w:r w:rsidRPr="00C61BE0">
        <w:rPr>
          <w:sz w:val="24"/>
          <w:lang w:val="fr-FR"/>
        </w:rPr>
        <w:t>90% des personnes vivant avec le VIH connaissent leur statut sérologique</w:t>
      </w:r>
    </w:p>
    <w:p w:rsidR="008060B3" w:rsidRPr="00C61BE0" w:rsidRDefault="008060B3" w:rsidP="00C61BE0">
      <w:pPr>
        <w:pStyle w:val="Paragraphedeliste"/>
        <w:numPr>
          <w:ilvl w:val="0"/>
          <w:numId w:val="2"/>
        </w:numPr>
        <w:rPr>
          <w:rFonts w:cs="Tahoma"/>
          <w:sz w:val="24"/>
          <w:lang w:val="fr-FR"/>
        </w:rPr>
      </w:pPr>
      <w:r w:rsidRPr="00C61BE0">
        <w:rPr>
          <w:sz w:val="24"/>
          <w:lang w:val="fr-FR"/>
        </w:rPr>
        <w:t>90% de toutes les personnes infectées par le VIH dépistées reçoivent un traitement anti rétroviral durable</w:t>
      </w:r>
    </w:p>
    <w:p w:rsidR="009B39B3" w:rsidRPr="00C61BE0" w:rsidRDefault="008060B3" w:rsidP="00C61BE0">
      <w:pPr>
        <w:pStyle w:val="Paragraphedeliste"/>
        <w:numPr>
          <w:ilvl w:val="0"/>
          <w:numId w:val="2"/>
        </w:numPr>
        <w:rPr>
          <w:rFonts w:cs="Tahoma"/>
          <w:sz w:val="24"/>
          <w:lang w:val="fr-FR"/>
        </w:rPr>
      </w:pPr>
      <w:r w:rsidRPr="00C61BE0">
        <w:rPr>
          <w:sz w:val="24"/>
          <w:lang w:val="fr-FR"/>
        </w:rPr>
        <w:t>90% des personnes recevant un traitement antirétroviral ont une charge virale durablement supprimée</w:t>
      </w:r>
    </w:p>
    <w:p w:rsidR="00C61BE0" w:rsidRDefault="00C61BE0" w:rsidP="00C61BE0">
      <w:pPr>
        <w:rPr>
          <w:rFonts w:cs="Tahoma"/>
          <w:sz w:val="24"/>
          <w:lang w:val="fr-FR"/>
        </w:rPr>
      </w:pPr>
    </w:p>
    <w:p w:rsidR="00536E18" w:rsidRPr="00C61BE0" w:rsidRDefault="008060B3" w:rsidP="00C61BE0">
      <w:pPr>
        <w:rPr>
          <w:rFonts w:cs="Tahoma"/>
          <w:sz w:val="24"/>
          <w:lang w:val="fr-FR"/>
        </w:rPr>
      </w:pPr>
      <w:r w:rsidRPr="00C61BE0">
        <w:rPr>
          <w:rFonts w:cs="Tahoma"/>
          <w:sz w:val="24"/>
          <w:lang w:val="fr-FR"/>
        </w:rPr>
        <w:t xml:space="preserve">Or il ne reste plus que 4 ans pour l’évaluation finale du niveau de réalisation de ces objectifs. Au regard de la faible couverture actuelle en traitement antirétroviral, il est judicieux de mettre en place des stratégies pour accélérer le dépistage, l’initiation du traitement antirétroviral et la rétention chez les enfants infectés par le VIH en Guinée. </w:t>
      </w:r>
    </w:p>
    <w:p w:rsidR="00C61BE0" w:rsidRDefault="00C61BE0" w:rsidP="00C61BE0">
      <w:pPr>
        <w:rPr>
          <w:rFonts w:cs="Tahoma"/>
          <w:sz w:val="24"/>
          <w:lang w:val="fr-FR"/>
        </w:rPr>
      </w:pPr>
    </w:p>
    <w:p w:rsidR="008060B3" w:rsidRDefault="00271D6D" w:rsidP="00C61BE0">
      <w:pPr>
        <w:rPr>
          <w:rFonts w:cs="Tahoma"/>
          <w:sz w:val="24"/>
          <w:lang w:val="fr-FR"/>
        </w:rPr>
      </w:pPr>
      <w:r w:rsidRPr="00C61BE0">
        <w:rPr>
          <w:rFonts w:cs="Tahoma"/>
          <w:sz w:val="24"/>
          <w:lang w:val="fr-FR"/>
        </w:rPr>
        <w:t>Le présent plan comporte :</w:t>
      </w:r>
    </w:p>
    <w:p w:rsidR="00C61BE0" w:rsidRPr="00C61BE0" w:rsidRDefault="00C61BE0" w:rsidP="00C61BE0">
      <w:pPr>
        <w:rPr>
          <w:rFonts w:cs="Tahoma"/>
          <w:sz w:val="24"/>
          <w:lang w:val="fr-FR"/>
        </w:rPr>
      </w:pPr>
    </w:p>
    <w:p w:rsidR="00271D6D" w:rsidRPr="00C61BE0" w:rsidRDefault="00271D6D" w:rsidP="00C61BE0">
      <w:pPr>
        <w:pStyle w:val="Paragraphedeliste"/>
        <w:numPr>
          <w:ilvl w:val="0"/>
          <w:numId w:val="2"/>
        </w:numPr>
        <w:rPr>
          <w:rFonts w:cs="Tahoma"/>
          <w:sz w:val="24"/>
          <w:lang w:val="fr-FR"/>
        </w:rPr>
      </w:pPr>
      <w:r w:rsidRPr="00C61BE0">
        <w:rPr>
          <w:rFonts w:cs="Tahoma"/>
          <w:sz w:val="24"/>
          <w:lang w:val="fr-FR"/>
        </w:rPr>
        <w:t>L’approche méthodologique utilisée pour la rédaction du plan</w:t>
      </w:r>
    </w:p>
    <w:p w:rsidR="00271D6D" w:rsidRPr="00C61BE0" w:rsidRDefault="00271D6D" w:rsidP="00C61BE0">
      <w:pPr>
        <w:pStyle w:val="Paragraphedeliste"/>
        <w:numPr>
          <w:ilvl w:val="0"/>
          <w:numId w:val="2"/>
        </w:numPr>
        <w:rPr>
          <w:rFonts w:cs="Tahoma"/>
          <w:sz w:val="24"/>
          <w:lang w:val="fr-FR"/>
        </w:rPr>
      </w:pPr>
      <w:r w:rsidRPr="00C61BE0">
        <w:rPr>
          <w:rFonts w:cs="Tahoma"/>
          <w:sz w:val="24"/>
          <w:lang w:val="fr-FR"/>
        </w:rPr>
        <w:t>Le contexte et le profil pays</w:t>
      </w:r>
    </w:p>
    <w:p w:rsidR="00271D6D" w:rsidRPr="00C61BE0" w:rsidRDefault="00271D6D" w:rsidP="00C61BE0">
      <w:pPr>
        <w:pStyle w:val="Paragraphedeliste"/>
        <w:numPr>
          <w:ilvl w:val="0"/>
          <w:numId w:val="2"/>
        </w:numPr>
        <w:rPr>
          <w:rFonts w:cs="Tahoma"/>
          <w:sz w:val="24"/>
          <w:lang w:val="fr-FR"/>
        </w:rPr>
      </w:pPr>
      <w:r w:rsidRPr="00C61BE0">
        <w:rPr>
          <w:rFonts w:cs="Tahoma"/>
          <w:sz w:val="24"/>
          <w:lang w:val="fr-FR"/>
        </w:rPr>
        <w:t>L’état des lieux de la prise en charge du VIH chez les enfants de 0-15 ans y compris les goulots d’étranglement limitant la mise à échelle des interventions</w:t>
      </w:r>
    </w:p>
    <w:p w:rsidR="00271D6D" w:rsidRPr="00C61BE0" w:rsidRDefault="00271D6D" w:rsidP="00C61BE0">
      <w:pPr>
        <w:pStyle w:val="Paragraphedeliste"/>
        <w:numPr>
          <w:ilvl w:val="0"/>
          <w:numId w:val="2"/>
        </w:numPr>
        <w:rPr>
          <w:rFonts w:cs="Tahoma"/>
          <w:sz w:val="24"/>
          <w:lang w:val="fr-FR"/>
        </w:rPr>
      </w:pPr>
      <w:r w:rsidRPr="00C61BE0">
        <w:rPr>
          <w:rFonts w:cs="Tahoma"/>
          <w:sz w:val="24"/>
          <w:lang w:val="fr-FR"/>
        </w:rPr>
        <w:t>Les axes stratégiques et les activités pour l’accélération de la prise en charge pédiatrique du VIH</w:t>
      </w:r>
    </w:p>
    <w:p w:rsidR="00271D6D" w:rsidRPr="00C61BE0" w:rsidRDefault="00271D6D" w:rsidP="00C61BE0">
      <w:pPr>
        <w:pStyle w:val="Paragraphedeliste"/>
        <w:numPr>
          <w:ilvl w:val="0"/>
          <w:numId w:val="2"/>
        </w:numPr>
        <w:rPr>
          <w:rFonts w:cs="Tahoma"/>
          <w:sz w:val="24"/>
          <w:lang w:val="fr-FR"/>
        </w:rPr>
      </w:pPr>
      <w:r w:rsidRPr="00C61BE0">
        <w:rPr>
          <w:rFonts w:cs="Tahoma"/>
          <w:sz w:val="24"/>
          <w:lang w:val="fr-FR"/>
        </w:rPr>
        <w:t>Le rôle et les responsabilités majeurs des différents acteurs dans la mise en œuvre du plan</w:t>
      </w:r>
    </w:p>
    <w:p w:rsidR="00271D6D" w:rsidRPr="00C61BE0" w:rsidRDefault="00271D6D" w:rsidP="00C61BE0">
      <w:pPr>
        <w:pStyle w:val="Paragraphedeliste"/>
        <w:numPr>
          <w:ilvl w:val="0"/>
          <w:numId w:val="2"/>
        </w:numPr>
        <w:rPr>
          <w:rFonts w:cs="Tahoma"/>
          <w:sz w:val="24"/>
          <w:lang w:val="fr-FR"/>
        </w:rPr>
      </w:pPr>
      <w:r w:rsidRPr="00C61BE0">
        <w:rPr>
          <w:rFonts w:cs="Tahoma"/>
          <w:sz w:val="24"/>
          <w:lang w:val="fr-FR"/>
        </w:rPr>
        <w:t>Le suivi évaluation des activités</w:t>
      </w:r>
    </w:p>
    <w:p w:rsidR="00C61BE0" w:rsidRDefault="00C61BE0" w:rsidP="00C61BE0">
      <w:pPr>
        <w:rPr>
          <w:rFonts w:cs="Tahoma"/>
          <w:sz w:val="24"/>
          <w:lang w:val="fr-FR"/>
        </w:rPr>
      </w:pPr>
    </w:p>
    <w:p w:rsidR="00271D6D" w:rsidRPr="00C61BE0" w:rsidRDefault="00A05D9D" w:rsidP="00C61BE0">
      <w:pPr>
        <w:rPr>
          <w:rFonts w:cs="Tahoma"/>
          <w:sz w:val="24"/>
          <w:lang w:val="fr-FR"/>
        </w:rPr>
      </w:pPr>
      <w:r w:rsidRPr="00C61BE0">
        <w:rPr>
          <w:rFonts w:cs="Tahoma"/>
          <w:sz w:val="24"/>
          <w:lang w:val="fr-FR"/>
        </w:rPr>
        <w:t xml:space="preserve">Le processus de rédaction du plan a été inclusif. Les acteurs impliqués dans la prise en charge du VIH chez les enfants – Personnes vivant avec le VIH, société civile, prestataires, gestionnaires de services, gestionnaires du Programme, partenaires techniques et financiers. </w:t>
      </w:r>
    </w:p>
    <w:p w:rsidR="00C61BE0" w:rsidRDefault="00C61BE0" w:rsidP="00C61BE0">
      <w:pPr>
        <w:rPr>
          <w:rFonts w:cs="Arial"/>
          <w:sz w:val="24"/>
          <w:lang w:val="fr-FR"/>
        </w:rPr>
      </w:pPr>
    </w:p>
    <w:p w:rsidR="0049798E" w:rsidRDefault="0049798E" w:rsidP="00C61BE0">
      <w:pPr>
        <w:rPr>
          <w:rFonts w:cs="Arial"/>
          <w:sz w:val="24"/>
          <w:lang w:val="fr-FR"/>
        </w:rPr>
      </w:pPr>
      <w:r w:rsidRPr="00C61BE0">
        <w:rPr>
          <w:rFonts w:cs="Arial"/>
          <w:sz w:val="24"/>
          <w:lang w:val="fr-FR"/>
        </w:rPr>
        <w:t>L’objectif général du plan est d’accélérer l’élimination du sida pédiatrique. Comme objectifs spécifiques, il s’agit de :</w:t>
      </w:r>
    </w:p>
    <w:p w:rsidR="00C61BE0" w:rsidRPr="00C61BE0" w:rsidRDefault="00C61BE0" w:rsidP="00C61BE0">
      <w:pPr>
        <w:rPr>
          <w:rFonts w:cs="Arial"/>
          <w:sz w:val="24"/>
          <w:lang w:val="fr-FR"/>
        </w:rPr>
      </w:pPr>
    </w:p>
    <w:p w:rsidR="0049798E" w:rsidRPr="00C61BE0" w:rsidRDefault="0049798E" w:rsidP="00C61BE0">
      <w:pPr>
        <w:pStyle w:val="Paragraphedeliste"/>
        <w:numPr>
          <w:ilvl w:val="0"/>
          <w:numId w:val="2"/>
        </w:numPr>
        <w:rPr>
          <w:rFonts w:cs="Arial"/>
          <w:sz w:val="24"/>
          <w:lang w:val="fr-FR"/>
        </w:rPr>
      </w:pPr>
      <w:r w:rsidRPr="00C61BE0">
        <w:rPr>
          <w:rFonts w:cs="Arial"/>
          <w:sz w:val="24"/>
          <w:lang w:val="fr-FR"/>
        </w:rPr>
        <w:t>Dépister au moins 90% des enfants de 0-15 ans infectés par le VIH EN 2020</w:t>
      </w:r>
    </w:p>
    <w:p w:rsidR="0049798E" w:rsidRPr="00C61BE0" w:rsidRDefault="0049798E" w:rsidP="00C61BE0">
      <w:pPr>
        <w:pStyle w:val="Paragraphedeliste"/>
        <w:numPr>
          <w:ilvl w:val="0"/>
          <w:numId w:val="2"/>
        </w:numPr>
        <w:rPr>
          <w:sz w:val="24"/>
          <w:lang w:val="fr-FR"/>
        </w:rPr>
      </w:pPr>
      <w:r w:rsidRPr="00C61BE0">
        <w:rPr>
          <w:rFonts w:cs="Arial"/>
          <w:sz w:val="24"/>
          <w:lang w:val="fr-FR"/>
        </w:rPr>
        <w:t xml:space="preserve">Mettre au moins 90% des  </w:t>
      </w:r>
      <w:r w:rsidRPr="00C61BE0">
        <w:rPr>
          <w:sz w:val="24"/>
          <w:lang w:val="fr-FR"/>
        </w:rPr>
        <w:t>enfants infectées par le VIH dépistées sous TARV durable EN 2020</w:t>
      </w:r>
    </w:p>
    <w:p w:rsidR="0049798E" w:rsidRPr="00C61BE0" w:rsidRDefault="0049798E" w:rsidP="00C61BE0">
      <w:pPr>
        <w:pStyle w:val="Paragraphedeliste"/>
        <w:numPr>
          <w:ilvl w:val="0"/>
          <w:numId w:val="2"/>
        </w:numPr>
        <w:rPr>
          <w:rFonts w:cs="Arial"/>
          <w:sz w:val="24"/>
          <w:lang w:val="fr-FR"/>
        </w:rPr>
      </w:pPr>
      <w:r w:rsidRPr="00C61BE0">
        <w:rPr>
          <w:rFonts w:cs="Arial"/>
          <w:sz w:val="24"/>
          <w:lang w:val="fr-FR"/>
        </w:rPr>
        <w:t>Atteindre une charge virale indétectable chez au moins 90% d’enfants infectés qui reçoivent la TARV en 2020.</w:t>
      </w:r>
    </w:p>
    <w:p w:rsidR="00C61BE0" w:rsidRDefault="00C61BE0" w:rsidP="00C61BE0">
      <w:pPr>
        <w:rPr>
          <w:rFonts w:cs="Tahoma"/>
          <w:sz w:val="24"/>
          <w:lang w:val="fr-FR"/>
        </w:rPr>
      </w:pPr>
    </w:p>
    <w:p w:rsidR="0049798E" w:rsidRPr="00C61BE0" w:rsidRDefault="0049798E" w:rsidP="00C61BE0">
      <w:pPr>
        <w:rPr>
          <w:rFonts w:cs="Tahoma"/>
          <w:sz w:val="24"/>
          <w:lang w:val="fr-FR"/>
        </w:rPr>
      </w:pPr>
      <w:r w:rsidRPr="00C61BE0">
        <w:rPr>
          <w:rFonts w:cs="Tahoma"/>
          <w:sz w:val="24"/>
          <w:lang w:val="fr-FR"/>
        </w:rPr>
        <w:t>Plusieurs goulots d’étranglement limitent aujourd’hui la mise à échelle des interventions. Ces goulots relèvent de l’environnement programmatique, de l’offre des soins et services de santé ainsi que de la qualité des soins, et enfin de la demande et de l’utilisation des services.</w:t>
      </w:r>
    </w:p>
    <w:p w:rsidR="00C61BE0" w:rsidRDefault="00C61BE0" w:rsidP="00C61BE0">
      <w:pPr>
        <w:rPr>
          <w:rFonts w:cs="Tahoma"/>
          <w:sz w:val="24"/>
          <w:lang w:val="fr-FR"/>
        </w:rPr>
      </w:pPr>
    </w:p>
    <w:p w:rsidR="00536E18" w:rsidRPr="00C61BE0" w:rsidRDefault="0049798E" w:rsidP="00C61BE0">
      <w:pPr>
        <w:rPr>
          <w:rFonts w:cs="Tahoma"/>
          <w:sz w:val="24"/>
          <w:lang w:val="fr-FR"/>
        </w:rPr>
      </w:pPr>
      <w:r w:rsidRPr="00C61BE0">
        <w:rPr>
          <w:rFonts w:cs="Tahoma"/>
          <w:sz w:val="24"/>
          <w:lang w:val="fr-FR"/>
        </w:rPr>
        <w:t>Concernant l’environnement programmatique, on note une faible diffusion des directives opérationnelles de prise en charge du VIH pédiatrique, l’insuffisance des ressources financières, la faible coordination des acteurs et des interventions et le faible leadership du Ministère de la Santé.</w:t>
      </w:r>
    </w:p>
    <w:p w:rsidR="00AA10CF" w:rsidRPr="00C61BE0" w:rsidRDefault="00AA10CF" w:rsidP="00C61BE0">
      <w:pPr>
        <w:rPr>
          <w:rFonts w:cs="Tahoma"/>
          <w:sz w:val="24"/>
          <w:lang w:val="fr-FR"/>
        </w:rPr>
      </w:pPr>
    </w:p>
    <w:p w:rsidR="00853302" w:rsidRPr="00C61BE0" w:rsidRDefault="0049798E" w:rsidP="00C61BE0">
      <w:pPr>
        <w:rPr>
          <w:rFonts w:cs="Tahoma"/>
          <w:sz w:val="24"/>
          <w:lang w:val="fr-FR"/>
        </w:rPr>
      </w:pPr>
      <w:r w:rsidRPr="00C61BE0">
        <w:rPr>
          <w:rFonts w:cs="Tahoma"/>
          <w:sz w:val="24"/>
          <w:lang w:val="fr-FR"/>
        </w:rPr>
        <w:t xml:space="preserve">L’offre de soins est limitée par les ruptures en médicaments antirétroviraux et de lutte contre les infections opportunistes, en </w:t>
      </w:r>
      <w:r w:rsidR="00853302" w:rsidRPr="00C61BE0">
        <w:rPr>
          <w:rFonts w:cs="Tahoma"/>
          <w:sz w:val="24"/>
          <w:lang w:val="fr-FR"/>
        </w:rPr>
        <w:t xml:space="preserve">réactifs et </w:t>
      </w:r>
      <w:r w:rsidRPr="00C61BE0">
        <w:rPr>
          <w:rFonts w:cs="Tahoma"/>
          <w:sz w:val="24"/>
          <w:lang w:val="fr-FR"/>
        </w:rPr>
        <w:t>cons</w:t>
      </w:r>
      <w:r w:rsidR="00853302" w:rsidRPr="00C61BE0">
        <w:rPr>
          <w:rFonts w:cs="Tahoma"/>
          <w:sz w:val="24"/>
          <w:lang w:val="fr-FR"/>
        </w:rPr>
        <w:t>ommables de laboratoire, en insuffisance qualitative et quantitative du personnel, et au sous-équipement des formations sanitaires. Par ailleurs, on note la faible intégration de la prise en charge pédiatrique dans les services de SRMNIA/PTME, la faible délégation des tâches, la faible décentralisation de la prise en charge dans les structures périphériques (Centres de santé voire Postes de santé) et la faible implication des communautés dans la mise en œuvre des activités. De même, le secteur privé est peu associé.</w:t>
      </w:r>
    </w:p>
    <w:p w:rsidR="00C61BE0" w:rsidRDefault="00C61BE0" w:rsidP="00C61BE0">
      <w:pPr>
        <w:rPr>
          <w:rFonts w:cs="Tahoma"/>
          <w:sz w:val="24"/>
          <w:lang w:val="fr-FR"/>
        </w:rPr>
      </w:pPr>
    </w:p>
    <w:p w:rsidR="00853302" w:rsidRPr="00C61BE0" w:rsidRDefault="00853302" w:rsidP="00C61BE0">
      <w:pPr>
        <w:rPr>
          <w:rFonts w:cs="Tahoma"/>
          <w:sz w:val="24"/>
          <w:lang w:val="fr-FR"/>
        </w:rPr>
      </w:pPr>
      <w:r w:rsidRPr="00C61BE0">
        <w:rPr>
          <w:rFonts w:cs="Tahoma"/>
          <w:sz w:val="24"/>
          <w:lang w:val="fr-FR"/>
        </w:rPr>
        <w:t xml:space="preserve">Concernant la demande et l’utilisation des services, les paiements limitent l’utilisation des services en général. La mobilisation sociale est insuffisante et se traduit par la faible connaissance des populations </w:t>
      </w:r>
      <w:r w:rsidR="00374B2D" w:rsidRPr="00C61BE0">
        <w:rPr>
          <w:rFonts w:cs="Tahoma"/>
          <w:sz w:val="24"/>
          <w:lang w:val="fr-FR"/>
        </w:rPr>
        <w:t>en matière de VIH et de prise en charge pédiatrique du VIH. Les associations communautaires sont peu impliquées dans le dépistage, l’initiation du traitement et la mise en œuvre des stratégies de rétention et de recherche des perdus de vue.</w:t>
      </w:r>
    </w:p>
    <w:p w:rsidR="00C61BE0" w:rsidRDefault="00C61BE0" w:rsidP="00C61BE0">
      <w:pPr>
        <w:rPr>
          <w:rFonts w:cs="Tahoma"/>
          <w:sz w:val="24"/>
          <w:lang w:val="fr-FR"/>
        </w:rPr>
      </w:pPr>
    </w:p>
    <w:p w:rsidR="00066B36" w:rsidRPr="00C61BE0" w:rsidRDefault="00374B2D" w:rsidP="00C61BE0">
      <w:pPr>
        <w:rPr>
          <w:sz w:val="24"/>
          <w:lang w:val="fr-FR"/>
        </w:rPr>
      </w:pPr>
      <w:r w:rsidRPr="00C61BE0">
        <w:rPr>
          <w:rFonts w:cs="Tahoma"/>
          <w:sz w:val="24"/>
          <w:lang w:val="fr-FR"/>
        </w:rPr>
        <w:t>Le modèle d’accélération rapide a</w:t>
      </w:r>
      <w:r w:rsidR="00066B36" w:rsidRPr="00C61BE0">
        <w:rPr>
          <w:rFonts w:cs="Tahoma"/>
          <w:sz w:val="24"/>
          <w:lang w:val="fr-FR"/>
        </w:rPr>
        <w:t xml:space="preserve"> été retenu. Il Ce modèle repose sur l’hypothèse que l</w:t>
      </w:r>
      <w:r w:rsidR="00066B36" w:rsidRPr="00C61BE0">
        <w:rPr>
          <w:sz w:val="24"/>
          <w:lang w:val="fr-FR"/>
        </w:rPr>
        <w:t>es goulots d’étranglement identifiés seront rapidement levés à tous les niveaux du système. Il se base sur la volonté politique, l’engagement des gestionnaires du programme et de tous les acteurs (patients, prestataires, société civile, gestionnaires des services de santé, partenaires techniques et financiers) à délivrer des interventions à haut impact de lutte contre le VIH chez les enfants de 0-15 ans. La mise en œuvre effective des interventions permet</w:t>
      </w:r>
      <w:r w:rsidR="00C322EA" w:rsidRPr="00C61BE0">
        <w:rPr>
          <w:sz w:val="24"/>
          <w:lang w:val="fr-FR"/>
        </w:rPr>
        <w:t>tra</w:t>
      </w:r>
      <w:r w:rsidR="00066B36" w:rsidRPr="00C61BE0">
        <w:rPr>
          <w:sz w:val="24"/>
          <w:lang w:val="fr-FR"/>
        </w:rPr>
        <w:t xml:space="preserve"> de couvrir rapidement les besoins des enfants. Toutefois, l’accroissement sera modéré en 2017 compte tenu du retard pris dans l’élaboration et la validation du plan de PECP du VIH (Mars-Avril 2017).</w:t>
      </w:r>
    </w:p>
    <w:p w:rsidR="00794C39" w:rsidRPr="00C61BE0" w:rsidRDefault="00794C39" w:rsidP="00C61BE0">
      <w:pPr>
        <w:rPr>
          <w:sz w:val="24"/>
          <w:lang w:val="fr-FR"/>
        </w:rPr>
      </w:pPr>
    </w:p>
    <w:p w:rsidR="00066B36" w:rsidRPr="00C61BE0" w:rsidRDefault="00066B36" w:rsidP="00C61BE0">
      <w:pPr>
        <w:rPr>
          <w:sz w:val="24"/>
          <w:lang w:val="fr-FR"/>
        </w:rPr>
      </w:pPr>
      <w:r w:rsidRPr="00C61BE0">
        <w:rPr>
          <w:sz w:val="24"/>
          <w:lang w:val="fr-FR"/>
        </w:rPr>
        <w:t>Ainsi, les couvertures de 36%, 72%, 82% et 90% seront atteintes en 2017, 2018, 2019 et 2020. Ceci correspond à 4927, 9714, 10881 et 11723 enfants de 0-15 ans infectés par le VIH sous TARV en 2017, 2018, 2019 et 2020.</w:t>
      </w:r>
    </w:p>
    <w:p w:rsidR="00794C39" w:rsidRPr="00C61BE0" w:rsidRDefault="00794C39" w:rsidP="00C61BE0">
      <w:pPr>
        <w:rPr>
          <w:sz w:val="24"/>
          <w:lang w:val="fr-FR"/>
        </w:rPr>
      </w:pPr>
    </w:p>
    <w:p w:rsidR="00C322EA" w:rsidRDefault="00C322EA" w:rsidP="00C61BE0">
      <w:pPr>
        <w:rPr>
          <w:sz w:val="24"/>
          <w:lang w:val="fr-FR"/>
        </w:rPr>
      </w:pPr>
      <w:r w:rsidRPr="00C61BE0">
        <w:rPr>
          <w:sz w:val="24"/>
          <w:lang w:val="fr-FR"/>
        </w:rPr>
        <w:t>Trois axes stratégiques ont été identifiés à savoir :</w:t>
      </w:r>
    </w:p>
    <w:p w:rsidR="00C61BE0" w:rsidRPr="00C61BE0" w:rsidRDefault="00C61BE0" w:rsidP="00C61BE0">
      <w:pPr>
        <w:rPr>
          <w:sz w:val="24"/>
          <w:lang w:val="fr-FR"/>
        </w:rPr>
      </w:pPr>
    </w:p>
    <w:p w:rsidR="00865523" w:rsidRPr="00C61BE0" w:rsidRDefault="00865523" w:rsidP="00C61BE0">
      <w:pPr>
        <w:pStyle w:val="Paragraphedeliste"/>
        <w:numPr>
          <w:ilvl w:val="0"/>
          <w:numId w:val="2"/>
        </w:numPr>
        <w:rPr>
          <w:sz w:val="24"/>
          <w:lang w:val="fr-FR"/>
        </w:rPr>
      </w:pPr>
      <w:r w:rsidRPr="00C61BE0">
        <w:rPr>
          <w:sz w:val="24"/>
          <w:lang w:val="fr-FR"/>
        </w:rPr>
        <w:t>Le renforcement du pilotage stratégique (</w:t>
      </w:r>
      <w:r w:rsidRPr="00C61BE0">
        <w:rPr>
          <w:i/>
          <w:sz w:val="24"/>
          <w:lang w:val="fr-FR"/>
        </w:rPr>
        <w:t>stewardship</w:t>
      </w:r>
      <w:r w:rsidRPr="00C61BE0">
        <w:rPr>
          <w:sz w:val="24"/>
          <w:lang w:val="fr-FR"/>
        </w:rPr>
        <w:t>) pour l’accélération rapide de la PECP du VIH à tous les niveaux</w:t>
      </w:r>
    </w:p>
    <w:p w:rsidR="00865523" w:rsidRPr="00C61BE0" w:rsidRDefault="00865523" w:rsidP="00C61BE0">
      <w:pPr>
        <w:pStyle w:val="Paragraphedeliste"/>
        <w:numPr>
          <w:ilvl w:val="0"/>
          <w:numId w:val="2"/>
        </w:numPr>
        <w:rPr>
          <w:sz w:val="24"/>
          <w:lang w:val="fr-FR"/>
        </w:rPr>
      </w:pPr>
      <w:r w:rsidRPr="00C61BE0">
        <w:rPr>
          <w:sz w:val="24"/>
          <w:lang w:val="fr-FR"/>
        </w:rPr>
        <w:t>Le renforcement des capacités des formations sanitaires pour le dépistage, le traitement ARV, les soins et le suivi des enfants VIH+</w:t>
      </w:r>
    </w:p>
    <w:p w:rsidR="00865523" w:rsidRPr="00C61BE0" w:rsidRDefault="00865523" w:rsidP="00C61BE0">
      <w:pPr>
        <w:pStyle w:val="Paragraphedeliste"/>
        <w:numPr>
          <w:ilvl w:val="0"/>
          <w:numId w:val="2"/>
        </w:numPr>
        <w:rPr>
          <w:sz w:val="24"/>
          <w:lang w:val="fr-FR"/>
        </w:rPr>
      </w:pPr>
      <w:r w:rsidRPr="00C61BE0">
        <w:rPr>
          <w:sz w:val="24"/>
          <w:lang w:val="fr-FR"/>
        </w:rPr>
        <w:t>Le  renforcement des capacités  des communautés, familles et patients pour améliorer et soutenir la demande et l’utilisation des soins et services de santé par les enfants infectés par le VIH.</w:t>
      </w:r>
    </w:p>
    <w:p w:rsidR="00AA10CF" w:rsidRPr="00C61BE0" w:rsidRDefault="00AA10CF" w:rsidP="00C61BE0">
      <w:pPr>
        <w:pStyle w:val="Paragraphedeliste"/>
        <w:rPr>
          <w:sz w:val="24"/>
          <w:lang w:val="fr-FR"/>
        </w:rPr>
      </w:pPr>
    </w:p>
    <w:p w:rsidR="00374B2D" w:rsidRDefault="00865523" w:rsidP="00C61BE0">
      <w:pPr>
        <w:rPr>
          <w:rFonts w:cs="Tahoma"/>
          <w:sz w:val="24"/>
          <w:lang w:val="fr-FR"/>
        </w:rPr>
      </w:pPr>
      <w:r w:rsidRPr="00C61BE0">
        <w:rPr>
          <w:rFonts w:cs="Tahoma"/>
          <w:sz w:val="24"/>
          <w:lang w:val="fr-FR"/>
        </w:rPr>
        <w:t>Pour le renforcement du pilotage stratégique, il s’agit de :</w:t>
      </w:r>
    </w:p>
    <w:p w:rsidR="00C61BE0" w:rsidRPr="00C61BE0" w:rsidRDefault="00C61BE0" w:rsidP="00C61BE0">
      <w:pPr>
        <w:rPr>
          <w:rFonts w:cs="Tahoma"/>
          <w:sz w:val="24"/>
          <w:lang w:val="fr-FR"/>
        </w:rPr>
      </w:pPr>
    </w:p>
    <w:p w:rsidR="00865523" w:rsidRPr="00C61BE0" w:rsidRDefault="00865523" w:rsidP="00C61BE0">
      <w:pPr>
        <w:pStyle w:val="Paragraphedeliste"/>
        <w:numPr>
          <w:ilvl w:val="0"/>
          <w:numId w:val="2"/>
        </w:numPr>
        <w:rPr>
          <w:sz w:val="24"/>
          <w:lang w:val="fr-FR"/>
        </w:rPr>
      </w:pPr>
      <w:r w:rsidRPr="00C61BE0">
        <w:rPr>
          <w:sz w:val="24"/>
          <w:lang w:val="fr-FR"/>
        </w:rPr>
        <w:t>L’</w:t>
      </w:r>
      <w:r w:rsidR="002006D3" w:rsidRPr="00C61BE0">
        <w:rPr>
          <w:sz w:val="24"/>
          <w:lang w:val="fr-FR"/>
        </w:rPr>
        <w:t>a</w:t>
      </w:r>
      <w:r w:rsidRPr="00C61BE0">
        <w:rPr>
          <w:sz w:val="24"/>
          <w:lang w:val="fr-FR"/>
        </w:rPr>
        <w:t xml:space="preserve">ctualisation, </w:t>
      </w:r>
      <w:r w:rsidR="002006D3" w:rsidRPr="00C61BE0">
        <w:rPr>
          <w:sz w:val="24"/>
          <w:lang w:val="fr-FR"/>
        </w:rPr>
        <w:t xml:space="preserve">la </w:t>
      </w:r>
      <w:r w:rsidRPr="00C61BE0">
        <w:rPr>
          <w:sz w:val="24"/>
          <w:lang w:val="fr-FR"/>
        </w:rPr>
        <w:t xml:space="preserve">diffusion et </w:t>
      </w:r>
      <w:r w:rsidR="002006D3" w:rsidRPr="00C61BE0">
        <w:rPr>
          <w:sz w:val="24"/>
          <w:lang w:val="fr-FR"/>
        </w:rPr>
        <w:t>l’</w:t>
      </w:r>
      <w:r w:rsidRPr="00C61BE0">
        <w:rPr>
          <w:sz w:val="24"/>
          <w:lang w:val="fr-FR"/>
        </w:rPr>
        <w:t xml:space="preserve">application des directives pour le dépistage VIH, l’initiation du </w:t>
      </w:r>
      <w:r w:rsidR="002006D3" w:rsidRPr="00C61BE0">
        <w:rPr>
          <w:sz w:val="24"/>
          <w:lang w:val="fr-FR"/>
        </w:rPr>
        <w:t>traitement antirétroviral</w:t>
      </w:r>
      <w:r w:rsidRPr="00C61BE0">
        <w:rPr>
          <w:sz w:val="24"/>
          <w:lang w:val="fr-FR"/>
        </w:rPr>
        <w:t xml:space="preserve"> et le suivi les enfants de 0-15 ans infectés par le VIH</w:t>
      </w:r>
    </w:p>
    <w:p w:rsidR="002006D3" w:rsidRPr="00C61BE0" w:rsidRDefault="002006D3" w:rsidP="00C61BE0">
      <w:pPr>
        <w:pStyle w:val="Paragraphedeliste"/>
        <w:numPr>
          <w:ilvl w:val="0"/>
          <w:numId w:val="2"/>
        </w:numPr>
        <w:rPr>
          <w:sz w:val="24"/>
          <w:lang w:val="fr-FR"/>
        </w:rPr>
      </w:pPr>
      <w:r w:rsidRPr="00C61BE0">
        <w:rPr>
          <w:sz w:val="24"/>
          <w:lang w:val="fr-FR"/>
        </w:rPr>
        <w:t>L’amélioration de la g</w:t>
      </w:r>
      <w:r w:rsidR="00865523" w:rsidRPr="00C61BE0">
        <w:rPr>
          <w:sz w:val="24"/>
          <w:lang w:val="fr-FR"/>
        </w:rPr>
        <w:t xml:space="preserve">estion et </w:t>
      </w:r>
      <w:r w:rsidRPr="00C61BE0">
        <w:rPr>
          <w:sz w:val="24"/>
          <w:lang w:val="fr-FR"/>
        </w:rPr>
        <w:t xml:space="preserve">de la </w:t>
      </w:r>
      <w:r w:rsidR="00865523" w:rsidRPr="00C61BE0">
        <w:rPr>
          <w:sz w:val="24"/>
          <w:lang w:val="fr-FR"/>
        </w:rPr>
        <w:t>coordination des activités du programme</w:t>
      </w:r>
    </w:p>
    <w:p w:rsidR="002006D3" w:rsidRPr="00C61BE0" w:rsidRDefault="002006D3" w:rsidP="00C61BE0">
      <w:pPr>
        <w:pStyle w:val="Paragraphedeliste"/>
        <w:numPr>
          <w:ilvl w:val="0"/>
          <w:numId w:val="2"/>
        </w:numPr>
        <w:rPr>
          <w:sz w:val="24"/>
          <w:lang w:val="fr-FR"/>
        </w:rPr>
      </w:pPr>
      <w:r w:rsidRPr="00C61BE0">
        <w:rPr>
          <w:sz w:val="24"/>
          <w:lang w:val="fr-FR"/>
        </w:rPr>
        <w:t>La m</w:t>
      </w:r>
      <w:r w:rsidR="00865523" w:rsidRPr="00C61BE0">
        <w:rPr>
          <w:sz w:val="24"/>
          <w:lang w:val="fr-FR"/>
        </w:rPr>
        <w:t xml:space="preserve">obilisation </w:t>
      </w:r>
      <w:r w:rsidRPr="00C61BE0">
        <w:rPr>
          <w:sz w:val="24"/>
          <w:lang w:val="fr-FR"/>
        </w:rPr>
        <w:t xml:space="preserve">accrue </w:t>
      </w:r>
      <w:r w:rsidR="00865523" w:rsidRPr="00C61BE0">
        <w:rPr>
          <w:sz w:val="24"/>
          <w:lang w:val="fr-FR"/>
        </w:rPr>
        <w:t>des ressources (financement)</w:t>
      </w:r>
    </w:p>
    <w:p w:rsidR="002006D3" w:rsidRPr="00C61BE0" w:rsidRDefault="002006D3" w:rsidP="00C61BE0">
      <w:pPr>
        <w:pStyle w:val="Paragraphedeliste"/>
        <w:numPr>
          <w:ilvl w:val="0"/>
          <w:numId w:val="2"/>
        </w:numPr>
        <w:rPr>
          <w:sz w:val="24"/>
          <w:lang w:val="fr-FR"/>
        </w:rPr>
      </w:pPr>
      <w:r w:rsidRPr="00C61BE0">
        <w:rPr>
          <w:sz w:val="24"/>
          <w:lang w:val="fr-FR"/>
        </w:rPr>
        <w:t>Le renforcement du s</w:t>
      </w:r>
      <w:r w:rsidR="00865523" w:rsidRPr="00C61BE0">
        <w:rPr>
          <w:sz w:val="24"/>
          <w:lang w:val="fr-FR"/>
        </w:rPr>
        <w:t xml:space="preserve">uivi et évaluation des activités </w:t>
      </w:r>
    </w:p>
    <w:p w:rsidR="00865523" w:rsidRPr="00C61BE0" w:rsidRDefault="002006D3" w:rsidP="00C61BE0">
      <w:pPr>
        <w:pStyle w:val="Paragraphedeliste"/>
        <w:numPr>
          <w:ilvl w:val="0"/>
          <w:numId w:val="2"/>
        </w:numPr>
        <w:rPr>
          <w:sz w:val="24"/>
          <w:lang w:val="fr-FR"/>
        </w:rPr>
      </w:pPr>
      <w:r w:rsidRPr="00C61BE0">
        <w:rPr>
          <w:sz w:val="24"/>
          <w:lang w:val="fr-FR"/>
        </w:rPr>
        <w:t xml:space="preserve">La </w:t>
      </w:r>
      <w:r w:rsidR="001F349C" w:rsidRPr="00C61BE0">
        <w:rPr>
          <w:sz w:val="24"/>
          <w:lang w:val="fr-FR"/>
        </w:rPr>
        <w:t xml:space="preserve">mise en œuvre de la </w:t>
      </w:r>
      <w:r w:rsidRPr="00C61BE0">
        <w:rPr>
          <w:sz w:val="24"/>
          <w:lang w:val="fr-FR"/>
        </w:rPr>
        <w:t>r</w:t>
      </w:r>
      <w:r w:rsidR="00865523" w:rsidRPr="00C61BE0">
        <w:rPr>
          <w:sz w:val="24"/>
          <w:lang w:val="fr-FR"/>
        </w:rPr>
        <w:t>echerche action</w:t>
      </w:r>
      <w:r w:rsidR="00AA10CF" w:rsidRPr="00C61BE0">
        <w:rPr>
          <w:sz w:val="24"/>
          <w:lang w:val="fr-FR"/>
        </w:rPr>
        <w:t>.</w:t>
      </w:r>
    </w:p>
    <w:p w:rsidR="00AA10CF" w:rsidRPr="00C61BE0" w:rsidRDefault="00AA10CF" w:rsidP="00C61BE0">
      <w:pPr>
        <w:rPr>
          <w:sz w:val="24"/>
          <w:lang w:val="fr-FR"/>
        </w:rPr>
      </w:pPr>
    </w:p>
    <w:p w:rsidR="00865523" w:rsidRDefault="002006D3" w:rsidP="00C61BE0">
      <w:pPr>
        <w:rPr>
          <w:sz w:val="24"/>
          <w:lang w:val="fr-FR"/>
        </w:rPr>
      </w:pPr>
      <w:r w:rsidRPr="00C61BE0">
        <w:rPr>
          <w:sz w:val="24"/>
          <w:lang w:val="fr-FR"/>
        </w:rPr>
        <w:t>Le deuxième axe stratégique est le r</w:t>
      </w:r>
      <w:r w:rsidR="00865523" w:rsidRPr="00C61BE0">
        <w:rPr>
          <w:sz w:val="24"/>
          <w:lang w:val="fr-FR"/>
        </w:rPr>
        <w:t>enforcement des capacités des services pour offrir des soins et services de prise en charge pédiatrique du VIH de qualité</w:t>
      </w:r>
      <w:r w:rsidRPr="00C61BE0">
        <w:rPr>
          <w:sz w:val="24"/>
          <w:lang w:val="fr-FR"/>
        </w:rPr>
        <w:t xml:space="preserve">. Les interventions majeures sont :  </w:t>
      </w:r>
    </w:p>
    <w:p w:rsidR="00C61BE0" w:rsidRPr="00C61BE0" w:rsidRDefault="00C61BE0" w:rsidP="00C61BE0">
      <w:pPr>
        <w:rPr>
          <w:sz w:val="24"/>
          <w:lang w:val="fr-FR"/>
        </w:rPr>
      </w:pPr>
    </w:p>
    <w:p w:rsidR="00865523" w:rsidRPr="00C61BE0" w:rsidRDefault="002006D3" w:rsidP="00C61BE0">
      <w:pPr>
        <w:pStyle w:val="Paragraphedeliste"/>
        <w:numPr>
          <w:ilvl w:val="0"/>
          <w:numId w:val="2"/>
        </w:numPr>
        <w:rPr>
          <w:sz w:val="24"/>
          <w:lang w:val="fr-FR"/>
        </w:rPr>
      </w:pPr>
      <w:r w:rsidRPr="00C61BE0">
        <w:rPr>
          <w:sz w:val="24"/>
          <w:lang w:val="fr-FR"/>
        </w:rPr>
        <w:t>L’a</w:t>
      </w:r>
      <w:r w:rsidR="00865523" w:rsidRPr="00C61BE0">
        <w:rPr>
          <w:sz w:val="24"/>
          <w:lang w:val="fr-FR"/>
        </w:rPr>
        <w:t xml:space="preserve">ccélération de l’intégration des activités de </w:t>
      </w:r>
      <w:r w:rsidR="00AA10CF" w:rsidRPr="00C61BE0">
        <w:rPr>
          <w:sz w:val="24"/>
          <w:lang w:val="fr-FR"/>
        </w:rPr>
        <w:t>prise en charge pédiatrique du VIH</w:t>
      </w:r>
      <w:r w:rsidR="00865523" w:rsidRPr="00C61BE0">
        <w:rPr>
          <w:sz w:val="24"/>
          <w:lang w:val="fr-FR"/>
        </w:rPr>
        <w:t xml:space="preserve"> dans les services de SRMNIA/PTME</w:t>
      </w:r>
    </w:p>
    <w:p w:rsidR="002006D3" w:rsidRPr="00C61BE0" w:rsidRDefault="002006D3" w:rsidP="00C61BE0">
      <w:pPr>
        <w:pStyle w:val="Paragraphedeliste"/>
        <w:numPr>
          <w:ilvl w:val="0"/>
          <w:numId w:val="2"/>
        </w:numPr>
        <w:rPr>
          <w:sz w:val="24"/>
          <w:lang w:val="fr-FR"/>
        </w:rPr>
      </w:pPr>
      <w:r w:rsidRPr="00C61BE0">
        <w:rPr>
          <w:sz w:val="24"/>
          <w:lang w:val="fr-FR"/>
        </w:rPr>
        <w:t>Le r</w:t>
      </w:r>
      <w:r w:rsidR="00865523" w:rsidRPr="00C61BE0">
        <w:rPr>
          <w:sz w:val="24"/>
          <w:lang w:val="fr-FR"/>
        </w:rPr>
        <w:t xml:space="preserve">enforcement du plateau technique des formations sanitaires (équipements ; </w:t>
      </w:r>
      <w:r w:rsidRPr="00C61BE0">
        <w:rPr>
          <w:sz w:val="24"/>
          <w:lang w:val="fr-FR"/>
        </w:rPr>
        <w:t>médicaments ARV et médicaments de prise en charge des infections opportunistes</w:t>
      </w:r>
      <w:r w:rsidR="00865523" w:rsidRPr="00C61BE0">
        <w:rPr>
          <w:sz w:val="24"/>
          <w:lang w:val="fr-FR"/>
        </w:rPr>
        <w:t>, réactifs de laboratoire et consommables ; ressources humaines</w:t>
      </w:r>
      <w:r w:rsidRPr="00C61BE0">
        <w:rPr>
          <w:sz w:val="24"/>
          <w:lang w:val="fr-FR"/>
        </w:rPr>
        <w:t xml:space="preserve"> en qualité et en quantité</w:t>
      </w:r>
      <w:r w:rsidR="00865523" w:rsidRPr="00C61BE0">
        <w:rPr>
          <w:sz w:val="24"/>
          <w:lang w:val="fr-FR"/>
        </w:rPr>
        <w:t>)</w:t>
      </w:r>
    </w:p>
    <w:p w:rsidR="002006D3" w:rsidRPr="00C61BE0" w:rsidRDefault="002006D3" w:rsidP="00C61BE0">
      <w:pPr>
        <w:pStyle w:val="Paragraphedeliste"/>
        <w:numPr>
          <w:ilvl w:val="0"/>
          <w:numId w:val="2"/>
        </w:numPr>
        <w:rPr>
          <w:sz w:val="24"/>
          <w:lang w:val="fr-FR"/>
        </w:rPr>
      </w:pPr>
      <w:r w:rsidRPr="00C61BE0">
        <w:rPr>
          <w:sz w:val="24"/>
          <w:lang w:val="fr-FR"/>
        </w:rPr>
        <w:t>Le renforcement du d</w:t>
      </w:r>
      <w:r w:rsidR="00865523" w:rsidRPr="00C61BE0">
        <w:rPr>
          <w:sz w:val="24"/>
          <w:lang w:val="fr-FR"/>
        </w:rPr>
        <w:t>épistage des enfants infectés par le VIH</w:t>
      </w:r>
    </w:p>
    <w:p w:rsidR="00865523" w:rsidRPr="00C61BE0" w:rsidRDefault="002006D3" w:rsidP="00C61BE0">
      <w:pPr>
        <w:pStyle w:val="Paragraphedeliste"/>
        <w:numPr>
          <w:ilvl w:val="0"/>
          <w:numId w:val="2"/>
        </w:numPr>
        <w:rPr>
          <w:sz w:val="24"/>
          <w:lang w:val="fr-FR"/>
        </w:rPr>
      </w:pPr>
      <w:r w:rsidRPr="00C61BE0">
        <w:rPr>
          <w:sz w:val="24"/>
          <w:lang w:val="fr-FR"/>
        </w:rPr>
        <w:t xml:space="preserve">La </w:t>
      </w:r>
      <w:r w:rsidR="001F349C" w:rsidRPr="00C61BE0">
        <w:rPr>
          <w:sz w:val="24"/>
          <w:lang w:val="fr-FR"/>
        </w:rPr>
        <w:t>décentralisation</w:t>
      </w:r>
      <w:r w:rsidRPr="00C61BE0">
        <w:rPr>
          <w:sz w:val="24"/>
          <w:lang w:val="fr-FR"/>
        </w:rPr>
        <w:t xml:space="preserve"> de l’i</w:t>
      </w:r>
      <w:r w:rsidR="00865523" w:rsidRPr="00C61BE0">
        <w:rPr>
          <w:sz w:val="24"/>
          <w:lang w:val="fr-FR"/>
        </w:rPr>
        <w:t xml:space="preserve">nitiation du </w:t>
      </w:r>
      <w:r w:rsidRPr="00C61BE0">
        <w:rPr>
          <w:sz w:val="24"/>
          <w:lang w:val="fr-FR"/>
        </w:rPr>
        <w:t>traitement antirétroviral</w:t>
      </w:r>
      <w:r w:rsidR="00865523" w:rsidRPr="00C61BE0">
        <w:rPr>
          <w:sz w:val="24"/>
          <w:lang w:val="fr-FR"/>
        </w:rPr>
        <w:t xml:space="preserve">, </w:t>
      </w:r>
      <w:r w:rsidRPr="00C61BE0">
        <w:rPr>
          <w:sz w:val="24"/>
          <w:lang w:val="fr-FR"/>
        </w:rPr>
        <w:t xml:space="preserve">du </w:t>
      </w:r>
      <w:r w:rsidR="00865523" w:rsidRPr="00C61BE0">
        <w:rPr>
          <w:sz w:val="24"/>
          <w:lang w:val="fr-FR"/>
        </w:rPr>
        <w:t xml:space="preserve">suivi et </w:t>
      </w:r>
      <w:r w:rsidRPr="00C61BE0">
        <w:rPr>
          <w:sz w:val="24"/>
          <w:lang w:val="fr-FR"/>
        </w:rPr>
        <w:t xml:space="preserve">de la </w:t>
      </w:r>
      <w:r w:rsidR="00865523" w:rsidRPr="00C61BE0">
        <w:rPr>
          <w:sz w:val="24"/>
          <w:lang w:val="fr-FR"/>
        </w:rPr>
        <w:t>rétention des enfants infectés par le VIH</w:t>
      </w:r>
    </w:p>
    <w:p w:rsidR="00794C39" w:rsidRPr="00C61BE0" w:rsidRDefault="00794C39" w:rsidP="00C61BE0">
      <w:pPr>
        <w:pStyle w:val="Paragraphedeliste"/>
        <w:rPr>
          <w:sz w:val="24"/>
          <w:lang w:val="fr-FR"/>
        </w:rPr>
      </w:pPr>
    </w:p>
    <w:p w:rsidR="00865523" w:rsidRDefault="002F20CE" w:rsidP="00C61BE0">
      <w:pPr>
        <w:rPr>
          <w:sz w:val="24"/>
          <w:lang w:val="fr-FR"/>
        </w:rPr>
      </w:pPr>
      <w:r w:rsidRPr="00C61BE0">
        <w:rPr>
          <w:sz w:val="24"/>
          <w:lang w:val="fr-FR"/>
        </w:rPr>
        <w:t>Le troisième axe stratégique est le r</w:t>
      </w:r>
      <w:r w:rsidR="00865523" w:rsidRPr="00C61BE0">
        <w:rPr>
          <w:sz w:val="24"/>
          <w:lang w:val="fr-FR"/>
        </w:rPr>
        <w:t>enforcement de la mobilisation communautaire pour la prise en charge pédiatrique de qualité</w:t>
      </w:r>
      <w:r w:rsidRPr="00C61BE0">
        <w:rPr>
          <w:sz w:val="24"/>
          <w:lang w:val="fr-FR"/>
        </w:rPr>
        <w:t xml:space="preserve"> du VIH. Les interventions majeures consistent en :</w:t>
      </w:r>
    </w:p>
    <w:p w:rsidR="00C61BE0" w:rsidRPr="00C61BE0" w:rsidRDefault="00C61BE0" w:rsidP="00C61BE0">
      <w:pPr>
        <w:rPr>
          <w:sz w:val="24"/>
          <w:lang w:val="fr-FR"/>
        </w:rPr>
      </w:pPr>
    </w:p>
    <w:p w:rsidR="002F20CE" w:rsidRPr="00C61BE0" w:rsidRDefault="002F20CE" w:rsidP="00C61BE0">
      <w:pPr>
        <w:pStyle w:val="Paragraphedeliste"/>
        <w:numPr>
          <w:ilvl w:val="0"/>
          <w:numId w:val="2"/>
        </w:numPr>
        <w:rPr>
          <w:sz w:val="24"/>
          <w:lang w:val="fr-FR"/>
        </w:rPr>
      </w:pPr>
      <w:r w:rsidRPr="00C61BE0">
        <w:rPr>
          <w:sz w:val="24"/>
          <w:lang w:val="fr-FR"/>
        </w:rPr>
        <w:t>Le r</w:t>
      </w:r>
      <w:r w:rsidR="00865523" w:rsidRPr="00C61BE0">
        <w:rPr>
          <w:sz w:val="24"/>
          <w:lang w:val="fr-FR"/>
        </w:rPr>
        <w:t xml:space="preserve">enforcement de la communication et de la mobilisation sociale en faveur de la </w:t>
      </w:r>
      <w:r w:rsidRPr="00C61BE0">
        <w:rPr>
          <w:sz w:val="24"/>
          <w:lang w:val="fr-FR"/>
        </w:rPr>
        <w:t>prise en charge pédiatrique du VIH</w:t>
      </w:r>
    </w:p>
    <w:p w:rsidR="002F20CE" w:rsidRPr="00C61BE0" w:rsidRDefault="002F20CE" w:rsidP="00C61BE0">
      <w:pPr>
        <w:pStyle w:val="Paragraphedeliste"/>
        <w:numPr>
          <w:ilvl w:val="0"/>
          <w:numId w:val="2"/>
        </w:numPr>
        <w:rPr>
          <w:sz w:val="24"/>
          <w:lang w:val="fr-FR"/>
        </w:rPr>
      </w:pPr>
      <w:r w:rsidRPr="00C61BE0">
        <w:rPr>
          <w:sz w:val="24"/>
          <w:lang w:val="fr-FR"/>
        </w:rPr>
        <w:t>La d</w:t>
      </w:r>
      <w:r w:rsidR="00865523" w:rsidRPr="00C61BE0">
        <w:rPr>
          <w:sz w:val="24"/>
          <w:lang w:val="fr-FR"/>
        </w:rPr>
        <w:t xml:space="preserve">éfinition et </w:t>
      </w:r>
      <w:r w:rsidRPr="00C61BE0">
        <w:rPr>
          <w:sz w:val="24"/>
          <w:lang w:val="fr-FR"/>
        </w:rPr>
        <w:t xml:space="preserve">la </w:t>
      </w:r>
      <w:r w:rsidR="00865523" w:rsidRPr="00C61BE0">
        <w:rPr>
          <w:sz w:val="24"/>
          <w:lang w:val="fr-FR"/>
        </w:rPr>
        <w:t xml:space="preserve">mise en œuvre du paquet de soins communautaires </w:t>
      </w:r>
    </w:p>
    <w:p w:rsidR="00536E18" w:rsidRPr="00C61BE0" w:rsidRDefault="002F20CE" w:rsidP="00C61BE0">
      <w:pPr>
        <w:pStyle w:val="Paragraphedeliste"/>
        <w:numPr>
          <w:ilvl w:val="0"/>
          <w:numId w:val="2"/>
        </w:numPr>
        <w:rPr>
          <w:rFonts w:cs="Tahoma"/>
          <w:sz w:val="24"/>
          <w:lang w:val="fr-FR"/>
        </w:rPr>
      </w:pPr>
      <w:r w:rsidRPr="00C61BE0">
        <w:rPr>
          <w:sz w:val="24"/>
          <w:lang w:val="fr-FR"/>
        </w:rPr>
        <w:t>Le r</w:t>
      </w:r>
      <w:r w:rsidR="00865523" w:rsidRPr="00C61BE0">
        <w:rPr>
          <w:sz w:val="24"/>
          <w:lang w:val="fr-FR"/>
        </w:rPr>
        <w:t>enforcement des capacités des médiateurs communautaires et des associations impliquées dans la lutte contre le VIH</w:t>
      </w:r>
    </w:p>
    <w:p w:rsidR="00C61BE0" w:rsidRDefault="00C61BE0" w:rsidP="00C61BE0">
      <w:pPr>
        <w:rPr>
          <w:rFonts w:cs="Tahoma"/>
          <w:sz w:val="24"/>
          <w:lang w:val="fr-FR"/>
        </w:rPr>
      </w:pPr>
    </w:p>
    <w:p w:rsidR="00536E18" w:rsidRPr="00C61BE0" w:rsidRDefault="002F20CE" w:rsidP="00C61BE0">
      <w:pPr>
        <w:rPr>
          <w:rFonts w:cs="Tahoma"/>
          <w:sz w:val="24"/>
          <w:lang w:val="fr-FR"/>
        </w:rPr>
      </w:pPr>
      <w:r w:rsidRPr="00C61BE0">
        <w:rPr>
          <w:rFonts w:cs="Tahoma"/>
          <w:sz w:val="24"/>
          <w:lang w:val="fr-FR"/>
        </w:rPr>
        <w:t xml:space="preserve">Pour chaque intervention majeure, des activités spécifiques ont été décrites. </w:t>
      </w:r>
      <w:r w:rsidR="00657901" w:rsidRPr="00C61BE0">
        <w:rPr>
          <w:rFonts w:cs="Tahoma"/>
          <w:sz w:val="24"/>
          <w:lang w:val="fr-FR"/>
        </w:rPr>
        <w:t xml:space="preserve">Par ailleurs, les rôles et responsabilités majeures de chaque acteur ont été définis. </w:t>
      </w:r>
    </w:p>
    <w:p w:rsidR="00C61BE0" w:rsidRDefault="00C61BE0" w:rsidP="00C61BE0">
      <w:pPr>
        <w:rPr>
          <w:rFonts w:cs="Tahoma"/>
          <w:sz w:val="24"/>
          <w:lang w:val="fr-FR"/>
        </w:rPr>
      </w:pPr>
    </w:p>
    <w:p w:rsidR="003309AC" w:rsidRPr="00C61BE0" w:rsidRDefault="00FD36BE" w:rsidP="00C61BE0">
      <w:pPr>
        <w:rPr>
          <w:rFonts w:cs="Tahoma"/>
          <w:sz w:val="24"/>
          <w:lang w:val="fr-FR"/>
        </w:rPr>
      </w:pPr>
      <w:r w:rsidRPr="00C61BE0">
        <w:rPr>
          <w:rFonts w:cs="Tahoma"/>
          <w:sz w:val="24"/>
          <w:lang w:val="fr-FR"/>
        </w:rPr>
        <w:t xml:space="preserve">En termes de suivi et évaluation des activités, les données à collecter, les rôles et responsabilités de chaque niveau de soins, les indicateurs de suivi ont été décrits. Outre le suivi des activités </w:t>
      </w:r>
      <w:r w:rsidR="003309AC" w:rsidRPr="00C61BE0">
        <w:rPr>
          <w:rFonts w:cs="Tahoma"/>
          <w:sz w:val="24"/>
          <w:lang w:val="fr-FR"/>
        </w:rPr>
        <w:t>au travers des données</w:t>
      </w:r>
      <w:r w:rsidRPr="00C61BE0">
        <w:rPr>
          <w:rFonts w:cs="Tahoma"/>
          <w:sz w:val="24"/>
          <w:lang w:val="fr-FR"/>
        </w:rPr>
        <w:t xml:space="preserve"> routine, </w:t>
      </w:r>
      <w:r w:rsidR="003309AC" w:rsidRPr="00C61BE0">
        <w:rPr>
          <w:rFonts w:cs="Tahoma"/>
          <w:sz w:val="24"/>
          <w:lang w:val="fr-FR"/>
        </w:rPr>
        <w:t xml:space="preserve">la recherche opérationnelle et des </w:t>
      </w:r>
      <w:r w:rsidRPr="00C61BE0">
        <w:rPr>
          <w:rFonts w:cs="Tahoma"/>
          <w:sz w:val="24"/>
          <w:lang w:val="fr-FR"/>
        </w:rPr>
        <w:t xml:space="preserve"> enquêtes seront effectuées</w:t>
      </w:r>
      <w:r w:rsidR="003309AC" w:rsidRPr="00C61BE0">
        <w:rPr>
          <w:rFonts w:cs="Tahoma"/>
          <w:sz w:val="24"/>
          <w:lang w:val="fr-FR"/>
        </w:rPr>
        <w:t>. La recherche opérationnelle permet de mieux comprendre des défis opérationnels de mise en œuvre du plan pour apporter des solutions adaptées au contexte. Les enquêtes contribueront à renseigner des indicateurs d</w:t>
      </w:r>
      <w:r w:rsidRPr="00C61BE0">
        <w:rPr>
          <w:rFonts w:cs="Tahoma"/>
          <w:sz w:val="24"/>
          <w:lang w:val="fr-FR"/>
        </w:rPr>
        <w:t xml:space="preserve">’impact </w:t>
      </w:r>
      <w:r w:rsidR="003309AC" w:rsidRPr="00C61BE0">
        <w:rPr>
          <w:rFonts w:cs="Tahoma"/>
          <w:sz w:val="24"/>
          <w:lang w:val="fr-FR"/>
        </w:rPr>
        <w:t>et des indicateurs nécessitant un échantillon représentatif de la population telle que la prévalence du VIH chez les enfants.</w:t>
      </w:r>
    </w:p>
    <w:p w:rsidR="00C61BE0" w:rsidRDefault="00C61BE0" w:rsidP="00C61BE0">
      <w:pPr>
        <w:rPr>
          <w:rFonts w:cs="Tahoma"/>
          <w:sz w:val="24"/>
          <w:lang w:val="fr-FR"/>
        </w:rPr>
      </w:pPr>
    </w:p>
    <w:p w:rsidR="00536E18" w:rsidRPr="00C61BE0" w:rsidRDefault="003309AC" w:rsidP="00C61BE0">
      <w:pPr>
        <w:rPr>
          <w:rFonts w:cs="Tahoma"/>
          <w:sz w:val="24"/>
          <w:lang w:val="fr-FR"/>
        </w:rPr>
      </w:pPr>
      <w:r w:rsidRPr="00C61BE0">
        <w:rPr>
          <w:rFonts w:cs="Tahoma"/>
          <w:sz w:val="24"/>
          <w:lang w:val="fr-FR"/>
        </w:rPr>
        <w:t>Le budget</w:t>
      </w:r>
      <w:r w:rsidR="005B6150">
        <w:rPr>
          <w:rFonts w:cs="Tahoma"/>
          <w:sz w:val="24"/>
          <w:lang w:val="fr-FR"/>
        </w:rPr>
        <w:t xml:space="preserve"> </w:t>
      </w:r>
      <w:r w:rsidRPr="00C61BE0">
        <w:rPr>
          <w:rFonts w:cs="Tahoma"/>
          <w:sz w:val="24"/>
          <w:lang w:val="fr-FR"/>
        </w:rPr>
        <w:t>global du plan est de</w:t>
      </w:r>
      <w:r w:rsidR="00621353" w:rsidRPr="006016A8">
        <w:rPr>
          <w:rFonts w:ascii="Calibri" w:eastAsia="Times New Roman" w:hAnsi="Calibri"/>
          <w:b/>
          <w:bCs/>
          <w:color w:val="000000"/>
          <w:sz w:val="24"/>
          <w:lang w:val="fr-FR" w:eastAsia="fr-FR"/>
        </w:rPr>
        <w:t>5 990 350</w:t>
      </w:r>
      <w:r w:rsidR="00621353">
        <w:rPr>
          <w:rFonts w:ascii="Calibri" w:eastAsia="Times New Roman" w:hAnsi="Calibri"/>
          <w:b/>
          <w:bCs/>
          <w:color w:val="000000"/>
          <w:sz w:val="24"/>
          <w:lang w:val="fr-FR" w:eastAsia="fr-FR"/>
        </w:rPr>
        <w:t> US$.</w:t>
      </w:r>
    </w:p>
    <w:p w:rsidR="00A02D95" w:rsidRDefault="00A02D95" w:rsidP="00C61BE0">
      <w:pPr>
        <w:rPr>
          <w:rFonts w:cs="Tahoma"/>
          <w:b/>
          <w:sz w:val="24"/>
          <w:lang w:val="fr-FR"/>
        </w:rPr>
        <w:sectPr w:rsidR="00A02D95" w:rsidSect="00A02D95">
          <w:footerReference w:type="default" r:id="rId11"/>
          <w:pgSz w:w="12240" w:h="15840"/>
          <w:pgMar w:top="1440" w:right="1440" w:bottom="1440" w:left="1440" w:header="720" w:footer="720" w:gutter="0"/>
          <w:pgBorders>
            <w:bottom w:val="single" w:sz="4" w:space="4" w:color="auto"/>
          </w:pgBorders>
          <w:pgNumType w:fmt="lowerRoman"/>
          <w:cols w:space="720"/>
          <w:docGrid w:linePitch="360"/>
        </w:sectPr>
      </w:pPr>
    </w:p>
    <w:p w:rsidR="00616B86" w:rsidRPr="00940181" w:rsidRDefault="00616B86" w:rsidP="00616B86">
      <w:pPr>
        <w:rPr>
          <w:noProof/>
          <w:lang w:val="fr-FR"/>
        </w:rPr>
      </w:pPr>
    </w:p>
    <w:p w:rsidR="00616B86" w:rsidRPr="00940181" w:rsidRDefault="00616B86" w:rsidP="00616B86">
      <w:pPr>
        <w:rPr>
          <w:noProof/>
          <w:lang w:val="fr-FR"/>
        </w:rPr>
      </w:pPr>
    </w:p>
    <w:p w:rsidR="00616B86" w:rsidRPr="00940181" w:rsidRDefault="00616B86" w:rsidP="00616B86">
      <w:pPr>
        <w:rPr>
          <w:noProof/>
          <w:lang w:val="fr-FR"/>
        </w:rPr>
      </w:pPr>
    </w:p>
    <w:p w:rsidR="008C6338" w:rsidRDefault="008C6338" w:rsidP="008C6338">
      <w:pPr>
        <w:pStyle w:val="Titre1"/>
        <w:spacing w:before="0"/>
        <w:jc w:val="center"/>
        <w:rPr>
          <w:noProof/>
          <w:sz w:val="40"/>
          <w:lang w:val="fr-FR"/>
        </w:rPr>
      </w:pPr>
    </w:p>
    <w:p w:rsidR="008C6338" w:rsidRDefault="008C6338" w:rsidP="008C6338">
      <w:pPr>
        <w:pStyle w:val="Titre1"/>
        <w:spacing w:before="0"/>
        <w:jc w:val="center"/>
        <w:rPr>
          <w:noProof/>
          <w:sz w:val="40"/>
          <w:lang w:val="fr-FR"/>
        </w:rPr>
      </w:pPr>
    </w:p>
    <w:p w:rsidR="008C6338" w:rsidRDefault="008C6338" w:rsidP="008C6338">
      <w:pPr>
        <w:pStyle w:val="Titre1"/>
        <w:spacing w:before="0"/>
        <w:jc w:val="center"/>
        <w:rPr>
          <w:noProof/>
          <w:sz w:val="40"/>
          <w:lang w:val="fr-FR"/>
        </w:rPr>
      </w:pPr>
    </w:p>
    <w:p w:rsidR="008C6338" w:rsidRDefault="008C6338" w:rsidP="008C6338">
      <w:pPr>
        <w:pStyle w:val="Titre1"/>
        <w:spacing w:before="0"/>
        <w:jc w:val="center"/>
        <w:rPr>
          <w:noProof/>
          <w:sz w:val="40"/>
          <w:lang w:val="fr-FR"/>
        </w:rPr>
      </w:pPr>
    </w:p>
    <w:p w:rsidR="008C6338" w:rsidRDefault="008C6338" w:rsidP="008C6338">
      <w:pPr>
        <w:pStyle w:val="Titre1"/>
        <w:spacing w:before="0"/>
        <w:jc w:val="center"/>
        <w:rPr>
          <w:noProof/>
          <w:sz w:val="40"/>
          <w:lang w:val="fr-FR"/>
        </w:rPr>
      </w:pPr>
    </w:p>
    <w:p w:rsidR="008C6338" w:rsidRDefault="008C6338" w:rsidP="008C6338">
      <w:pPr>
        <w:pStyle w:val="Titre1"/>
        <w:spacing w:before="0"/>
        <w:jc w:val="center"/>
        <w:rPr>
          <w:noProof/>
          <w:sz w:val="40"/>
          <w:lang w:val="fr-FR"/>
        </w:rPr>
      </w:pPr>
    </w:p>
    <w:p w:rsidR="008C6338" w:rsidRDefault="008C6338" w:rsidP="008C6338">
      <w:pPr>
        <w:pStyle w:val="Titre1"/>
        <w:spacing w:before="0"/>
        <w:jc w:val="center"/>
        <w:rPr>
          <w:noProof/>
          <w:sz w:val="40"/>
          <w:lang w:val="fr-FR"/>
        </w:rPr>
      </w:pPr>
    </w:p>
    <w:p w:rsidR="008C6338" w:rsidRDefault="008C6338" w:rsidP="008C6338">
      <w:pPr>
        <w:pStyle w:val="Titre1"/>
        <w:spacing w:before="0"/>
        <w:jc w:val="center"/>
        <w:rPr>
          <w:noProof/>
          <w:sz w:val="40"/>
          <w:lang w:val="fr-FR"/>
        </w:rPr>
      </w:pPr>
    </w:p>
    <w:p w:rsidR="008C6338" w:rsidRDefault="008C6338" w:rsidP="008C6338">
      <w:pPr>
        <w:pStyle w:val="Titre1"/>
        <w:spacing w:before="0"/>
        <w:jc w:val="center"/>
        <w:rPr>
          <w:noProof/>
          <w:sz w:val="40"/>
          <w:lang w:val="fr-FR"/>
        </w:rPr>
      </w:pPr>
    </w:p>
    <w:p w:rsidR="00616B86" w:rsidRPr="00CB2C53" w:rsidRDefault="00023612" w:rsidP="008C6338">
      <w:pPr>
        <w:pStyle w:val="Titre1"/>
        <w:spacing w:before="0"/>
        <w:jc w:val="center"/>
        <w:rPr>
          <w:noProof/>
          <w:sz w:val="40"/>
          <w:lang w:val="fr-FR"/>
        </w:rPr>
      </w:pPr>
      <w:bookmarkStart w:id="10" w:name="_Toc480382915"/>
      <w:r w:rsidRPr="00CB2C53">
        <w:rPr>
          <w:noProof/>
          <w:sz w:val="40"/>
          <w:lang w:val="fr-FR"/>
        </w:rPr>
        <w:t>C</w:t>
      </w:r>
      <w:r w:rsidR="0068719C" w:rsidRPr="00CB2C53">
        <w:rPr>
          <w:noProof/>
          <w:sz w:val="40"/>
          <w:lang w:val="fr-FR"/>
        </w:rPr>
        <w:t>HAPITRE 1</w:t>
      </w:r>
      <w:r w:rsidR="00BE07AB">
        <w:rPr>
          <w:noProof/>
          <w:sz w:val="40"/>
          <w:lang w:val="fr-FR"/>
        </w:rPr>
        <w:t> :</w:t>
      </w:r>
      <w:r w:rsidR="0068719C" w:rsidRPr="00CB2C53">
        <w:rPr>
          <w:noProof/>
          <w:sz w:val="40"/>
          <w:lang w:val="fr-FR"/>
        </w:rPr>
        <w:t> </w:t>
      </w:r>
      <w:r w:rsidR="000123EE" w:rsidRPr="00CB2C53">
        <w:rPr>
          <w:noProof/>
          <w:sz w:val="40"/>
          <w:lang w:val="fr-FR"/>
        </w:rPr>
        <w:t>CONTEXTE</w:t>
      </w:r>
      <w:r w:rsidR="0068719C" w:rsidRPr="00CB2C53">
        <w:rPr>
          <w:noProof/>
          <w:sz w:val="40"/>
          <w:lang w:val="fr-FR"/>
        </w:rPr>
        <w:t xml:space="preserve"> ET PROFIL PAYS</w:t>
      </w:r>
      <w:bookmarkEnd w:id="10"/>
    </w:p>
    <w:p w:rsidR="008C6338" w:rsidRDefault="008C6338" w:rsidP="00616B86">
      <w:pPr>
        <w:rPr>
          <w:noProof/>
          <w:lang w:val="fr-FR"/>
        </w:rPr>
        <w:sectPr w:rsidR="008C6338" w:rsidSect="008C6338">
          <w:footerReference w:type="default" r:id="rId12"/>
          <w:pgSz w:w="12240" w:h="15840"/>
          <w:pgMar w:top="1440" w:right="1440" w:bottom="1440" w:left="1440" w:header="720" w:footer="720" w:gutter="0"/>
          <w:pgNumType w:start="1"/>
          <w:cols w:space="720"/>
          <w:docGrid w:linePitch="360"/>
        </w:sectPr>
      </w:pPr>
    </w:p>
    <w:p w:rsidR="00A1753F" w:rsidRPr="00BE07AB" w:rsidRDefault="00BE07AB" w:rsidP="00BE07AB">
      <w:pPr>
        <w:pStyle w:val="Titre2"/>
        <w:spacing w:before="0"/>
        <w:ind w:left="426" w:hanging="426"/>
        <w:rPr>
          <w:color w:val="auto"/>
          <w:sz w:val="28"/>
          <w:lang w:val="fr-FR"/>
        </w:rPr>
      </w:pPr>
      <w:bookmarkStart w:id="11" w:name="_Toc480382916"/>
      <w:r>
        <w:rPr>
          <w:color w:val="auto"/>
          <w:sz w:val="28"/>
          <w:lang w:val="fr-FR"/>
        </w:rPr>
        <w:t>.</w:t>
      </w:r>
      <w:r w:rsidR="000123EE" w:rsidRPr="00BE07AB">
        <w:rPr>
          <w:color w:val="auto"/>
          <w:sz w:val="28"/>
          <w:lang w:val="fr-FR"/>
        </w:rPr>
        <w:t>Contexte</w:t>
      </w:r>
      <w:bookmarkEnd w:id="11"/>
    </w:p>
    <w:p w:rsidR="00CC6A87" w:rsidRDefault="00CC6A87" w:rsidP="00C61BE0">
      <w:pPr>
        <w:rPr>
          <w:rFonts w:eastAsia="Times New Roman" w:cs="Tahoma"/>
          <w:bCs/>
          <w:lang w:val="fr-FR" w:eastAsia="fr-FR"/>
        </w:rPr>
      </w:pPr>
    </w:p>
    <w:p w:rsidR="00A1753F" w:rsidRDefault="00A1753F" w:rsidP="00C61BE0">
      <w:pPr>
        <w:rPr>
          <w:rFonts w:eastAsia="Times New Roman" w:cs="Tahoma"/>
          <w:sz w:val="24"/>
          <w:lang w:val="fr-FR" w:eastAsia="fr-FR"/>
        </w:rPr>
      </w:pPr>
      <w:r w:rsidRPr="00C61BE0">
        <w:rPr>
          <w:rFonts w:eastAsia="Times New Roman" w:cs="Tahoma"/>
          <w:bCs/>
          <w:sz w:val="24"/>
          <w:lang w:val="fr-FR" w:eastAsia="fr-FR"/>
        </w:rPr>
        <w:t>La République de Guinée, pays d’Afrique Occidentale, de 245 857 km², est limitée par la Guinée Bissau au Nord-Ouest, le Sénégal et le Mali au Nord, la Côte d’Ivoire et le Mali à l’Est, le Libéria et la Sierra Leone au Sud et l’Océan Atlantique à l’Ouest sur plus de  300 km de côte</w:t>
      </w:r>
      <w:r w:rsidR="00933752" w:rsidRPr="00C61BE0">
        <w:rPr>
          <w:rFonts w:eastAsia="Times New Roman" w:cs="Tahoma"/>
          <w:bCs/>
          <w:sz w:val="24"/>
          <w:lang w:val="fr-FR" w:eastAsia="fr-FR"/>
        </w:rPr>
        <w:t xml:space="preserve"> (Figure 1)</w:t>
      </w:r>
      <w:r w:rsidRPr="00C61BE0">
        <w:rPr>
          <w:rFonts w:eastAsia="Times New Roman" w:cs="Tahoma"/>
          <w:bCs/>
          <w:sz w:val="24"/>
          <w:lang w:val="fr-FR" w:eastAsia="fr-FR"/>
        </w:rPr>
        <w:t xml:space="preserve">. </w:t>
      </w:r>
      <w:r w:rsidRPr="00C61BE0">
        <w:rPr>
          <w:rFonts w:eastAsia="Times New Roman" w:cs="Tahoma"/>
          <w:sz w:val="24"/>
          <w:lang w:val="fr-FR" w:eastAsia="fr-FR"/>
        </w:rPr>
        <w:t xml:space="preserve">Son climat est de type tropical alternant une saison pluvieuse et une saison sèche d’environ six mois chacune. </w:t>
      </w:r>
      <w:r w:rsidRPr="00C61BE0">
        <w:rPr>
          <w:rFonts w:eastAsia="Times New Roman" w:cs="Tahoma"/>
          <w:bCs/>
          <w:sz w:val="24"/>
          <w:lang w:val="fr-FR" w:eastAsia="fr-FR"/>
        </w:rPr>
        <w:t>La Guinée comprend qua</w:t>
      </w:r>
      <w:r w:rsidRPr="00C61BE0">
        <w:rPr>
          <w:rFonts w:eastAsia="Times New Roman" w:cs="Tahoma"/>
          <w:sz w:val="24"/>
          <w:lang w:val="fr-FR" w:eastAsia="fr-FR"/>
        </w:rPr>
        <w:t xml:space="preserve">tre régions naturelles qui sont : la Basse Guinée, la Moyenne Guinée, la Haute </w:t>
      </w:r>
      <w:r w:rsidR="00BC1503" w:rsidRPr="00C61BE0">
        <w:rPr>
          <w:rFonts w:eastAsia="Times New Roman" w:cs="Tahoma"/>
          <w:sz w:val="24"/>
          <w:lang w:val="fr-FR" w:eastAsia="fr-FR"/>
        </w:rPr>
        <w:t>Guinée et la Guinée forestière.</w:t>
      </w:r>
    </w:p>
    <w:p w:rsidR="00C61BE0" w:rsidRPr="00C61BE0" w:rsidRDefault="00C61BE0" w:rsidP="00C61BE0">
      <w:pPr>
        <w:rPr>
          <w:rFonts w:eastAsia="Times New Roman" w:cs="Tahoma"/>
          <w:sz w:val="24"/>
          <w:lang w:val="fr-FR" w:eastAsia="fr-FR"/>
        </w:rPr>
      </w:pPr>
    </w:p>
    <w:p w:rsidR="00A1753F" w:rsidRPr="00C61BE0" w:rsidRDefault="00A1753F" w:rsidP="00C61BE0">
      <w:pPr>
        <w:rPr>
          <w:rFonts w:eastAsia="Times New Roman" w:cs="Tahoma"/>
          <w:sz w:val="24"/>
          <w:lang w:val="fr-FR" w:eastAsia="fr-FR"/>
        </w:rPr>
      </w:pPr>
      <w:r w:rsidRPr="00C61BE0">
        <w:rPr>
          <w:rFonts w:eastAsia="Times New Roman" w:cs="Tahoma"/>
          <w:sz w:val="24"/>
          <w:lang w:val="fr-FR" w:eastAsia="fr-FR"/>
        </w:rPr>
        <w:t>En 2014, la population guinéenne était de 10.628.972 d’habitants soit 43 habitants au km</w:t>
      </w:r>
      <w:r w:rsidRPr="00C61BE0">
        <w:rPr>
          <w:rFonts w:eastAsia="Times New Roman" w:cs="Tahoma"/>
          <w:sz w:val="24"/>
          <w:vertAlign w:val="superscript"/>
          <w:lang w:val="fr-FR" w:eastAsia="fr-FR"/>
        </w:rPr>
        <w:t>2</w:t>
      </w:r>
      <w:r w:rsidRPr="00C61BE0">
        <w:rPr>
          <w:rFonts w:eastAsia="Times New Roman" w:cs="Tahoma"/>
          <w:sz w:val="24"/>
          <w:lang w:val="fr-FR" w:eastAsia="fr-FR"/>
        </w:rPr>
        <w:t xml:space="preserve"> (Ministère du Plan, 2014)</w:t>
      </w:r>
      <w:r w:rsidRPr="00C61BE0">
        <w:rPr>
          <w:rStyle w:val="Appelnotedebasdep"/>
          <w:rFonts w:eastAsia="Times New Roman" w:cs="Tahoma"/>
          <w:sz w:val="24"/>
          <w:lang w:eastAsia="fr-FR"/>
        </w:rPr>
        <w:footnoteReference w:id="2"/>
      </w:r>
      <w:r w:rsidRPr="00C61BE0">
        <w:rPr>
          <w:rFonts w:eastAsia="Times New Roman" w:cs="Tahoma"/>
          <w:sz w:val="24"/>
          <w:lang w:val="fr-FR" w:eastAsia="fr-FR"/>
        </w:rPr>
        <w:t xml:space="preserve"> et atteindra 14 423 741 habitants en 2024. Les femmes représentent près de 52% de la population. La majorité de la population est jeune (44% sont âgés de moins de 15 ans) et vit en milieu rural (70%) presque exclusivement de l’agriculture et de l’élevage. La démographie est marquée par de fortes disparités régionales: Haute Guinée (24,9%), Basse Guinée (21,8%), Moyenne Guinée (19,3%), Guinée Forestière (18,3%) et la zone spéciale de Conakry (15,7%) de la population totale</w:t>
      </w:r>
      <w:r w:rsidRPr="00C61BE0">
        <w:rPr>
          <w:rFonts w:eastAsia="Times New Roman" w:cs="Tahoma"/>
          <w:sz w:val="24"/>
          <w:vertAlign w:val="superscript"/>
          <w:lang w:eastAsia="fr-FR"/>
        </w:rPr>
        <w:footnoteReference w:id="3"/>
      </w:r>
      <w:r w:rsidRPr="00C61BE0">
        <w:rPr>
          <w:rFonts w:eastAsia="Times New Roman" w:cs="Tahoma"/>
          <w:sz w:val="24"/>
          <w:lang w:val="fr-FR" w:eastAsia="fr-FR"/>
        </w:rPr>
        <w:t xml:space="preserve">. La taille moyenne des ménages est de plus de 6 personnes. </w:t>
      </w:r>
    </w:p>
    <w:p w:rsidR="00C61BE0" w:rsidRDefault="00C61BE0" w:rsidP="00C61BE0">
      <w:pPr>
        <w:rPr>
          <w:rFonts w:eastAsia="Times New Roman" w:cs="Tahoma"/>
          <w:sz w:val="24"/>
          <w:lang w:val="fr-FR" w:eastAsia="fr-FR"/>
        </w:rPr>
      </w:pPr>
    </w:p>
    <w:p w:rsidR="00A1753F" w:rsidRPr="00C61BE0" w:rsidRDefault="00A1753F" w:rsidP="00C61BE0">
      <w:pPr>
        <w:rPr>
          <w:rFonts w:eastAsia="Times New Roman" w:cs="Tahoma"/>
          <w:sz w:val="24"/>
          <w:lang w:val="fr-FR" w:eastAsia="fr-FR"/>
        </w:rPr>
      </w:pPr>
      <w:r w:rsidRPr="00C61BE0">
        <w:rPr>
          <w:rFonts w:eastAsia="Times New Roman" w:cs="Tahoma"/>
          <w:sz w:val="24"/>
          <w:lang w:val="fr-FR" w:eastAsia="fr-FR"/>
        </w:rPr>
        <w:t xml:space="preserve">Le taux brut de natalité était de 34‰ en 2012 avec un indice synthétique de fécondité de 5,1. </w:t>
      </w:r>
      <w:r w:rsidRPr="00C61BE0">
        <w:rPr>
          <w:rFonts w:eastAsia="Batang" w:cs="Tahoma"/>
          <w:sz w:val="24"/>
          <w:lang w:val="fr-FR"/>
        </w:rPr>
        <w:t xml:space="preserve">Les taux brut de mortalité sont de 4,9 et 4,7 décès pour 1000 habitants chez les femmes et les hommes respectivement. </w:t>
      </w:r>
      <w:r w:rsidRPr="00C61BE0">
        <w:rPr>
          <w:rFonts w:eastAsia="Times New Roman" w:cs="Tahoma"/>
          <w:sz w:val="24"/>
          <w:lang w:val="fr-FR" w:eastAsia="fr-FR"/>
        </w:rPr>
        <w:t>L’espérance de vie à la naissance est de 58,9 ans</w:t>
      </w:r>
      <w:r w:rsidRPr="00C61BE0">
        <w:rPr>
          <w:rFonts w:eastAsia="Times New Roman" w:cs="Tahoma"/>
          <w:sz w:val="24"/>
          <w:vertAlign w:val="superscript"/>
          <w:lang w:eastAsia="fr-FR"/>
        </w:rPr>
        <w:footnoteReference w:id="4"/>
      </w:r>
      <w:r w:rsidRPr="00C61BE0">
        <w:rPr>
          <w:rFonts w:eastAsia="Times New Roman" w:cs="Tahoma"/>
          <w:sz w:val="24"/>
          <w:lang w:val="fr-FR" w:eastAsia="fr-FR"/>
        </w:rPr>
        <w:t>.</w:t>
      </w:r>
    </w:p>
    <w:p w:rsidR="00C61BE0" w:rsidRDefault="00C61BE0" w:rsidP="00C61BE0">
      <w:pPr>
        <w:widowControl w:val="0"/>
        <w:rPr>
          <w:rFonts w:eastAsia="Times New Roman" w:cs="Tahoma"/>
          <w:sz w:val="24"/>
          <w:lang w:val="fr-FR" w:eastAsia="fr-FR"/>
        </w:rPr>
      </w:pPr>
    </w:p>
    <w:p w:rsidR="00A1753F" w:rsidRPr="00C61BE0" w:rsidRDefault="00A1753F" w:rsidP="00C61BE0">
      <w:pPr>
        <w:widowControl w:val="0"/>
        <w:rPr>
          <w:rFonts w:eastAsia="Times New Roman" w:cs="Tahoma"/>
          <w:sz w:val="24"/>
          <w:lang w:val="fr-FR" w:eastAsia="fr-FR"/>
        </w:rPr>
      </w:pPr>
      <w:r w:rsidRPr="00C61BE0">
        <w:rPr>
          <w:rFonts w:eastAsia="Times New Roman" w:cs="Tahoma"/>
          <w:sz w:val="24"/>
          <w:lang w:val="fr-FR" w:eastAsia="fr-FR"/>
        </w:rPr>
        <w:t>La situation socioéconomique de la Guinée est marquée par la persistance de la pauvreté. La Guinée occupait le 178</w:t>
      </w:r>
      <w:r w:rsidRPr="00C61BE0">
        <w:rPr>
          <w:rFonts w:eastAsia="Times New Roman" w:cs="Tahoma"/>
          <w:sz w:val="24"/>
          <w:vertAlign w:val="superscript"/>
          <w:lang w:val="fr-FR" w:eastAsia="fr-FR"/>
        </w:rPr>
        <w:t>ème</w:t>
      </w:r>
      <w:r w:rsidRPr="00C61BE0">
        <w:rPr>
          <w:rFonts w:eastAsia="Times New Roman" w:cs="Tahoma"/>
          <w:sz w:val="24"/>
          <w:lang w:val="fr-FR" w:eastAsia="fr-FR"/>
        </w:rPr>
        <w:t xml:space="preserve"> rang sur 186 pays</w:t>
      </w:r>
      <w:r w:rsidRPr="00C61BE0">
        <w:rPr>
          <w:rFonts w:eastAsia="Times New Roman" w:cs="Tahoma"/>
          <w:sz w:val="24"/>
          <w:vertAlign w:val="superscript"/>
          <w:lang w:eastAsia="fr-FR"/>
        </w:rPr>
        <w:footnoteReference w:id="5"/>
      </w:r>
      <w:r w:rsidRPr="00C61BE0">
        <w:rPr>
          <w:rFonts w:eastAsia="Times New Roman" w:cs="Tahoma"/>
          <w:sz w:val="24"/>
          <w:lang w:val="fr-FR" w:eastAsia="fr-FR"/>
        </w:rPr>
        <w:t xml:space="preserve"> à l’indice de développement humain durable (IDH). De plus, les données de l’ELEP 2012 (Enquête Légère pour l’Évaluation de la Pauvreté) indiquent que 55,2% de la population vivent en dessous du seuil de pauvreté.  La croissance économique était estimée à 3,9% en 2011, et le secteur secondaire a perdu 2 points en 2015 suite à la survenue de la MVE.  Malgré des efforts ces dernières années, le financement des secteurs sociaux prioritaires (santé, éducation, agriculture etc.) par le Budget national  reste faibl</w:t>
      </w:r>
      <w:r w:rsidR="0038417C" w:rsidRPr="00C61BE0">
        <w:rPr>
          <w:rFonts w:eastAsia="Times New Roman" w:cs="Tahoma"/>
          <w:sz w:val="24"/>
          <w:lang w:val="fr-FR" w:eastAsia="fr-FR"/>
        </w:rPr>
        <w:t xml:space="preserve">e au regard </w:t>
      </w:r>
      <w:r w:rsidRPr="00C61BE0">
        <w:rPr>
          <w:rFonts w:eastAsia="Times New Roman" w:cs="Tahoma"/>
          <w:sz w:val="24"/>
          <w:lang w:val="fr-FR" w:eastAsia="fr-FR"/>
        </w:rPr>
        <w:t xml:space="preserve">des besoins des populations. </w:t>
      </w:r>
    </w:p>
    <w:p w:rsidR="00C61BE0" w:rsidRDefault="00C61BE0" w:rsidP="00C61BE0">
      <w:pPr>
        <w:widowControl w:val="0"/>
        <w:rPr>
          <w:rFonts w:eastAsia="Times New Roman" w:cs="Tahoma"/>
          <w:sz w:val="24"/>
          <w:lang w:val="fr-FR" w:eastAsia="fr-FR"/>
        </w:rPr>
      </w:pPr>
    </w:p>
    <w:p w:rsidR="00A1753F" w:rsidRPr="00C61BE0" w:rsidRDefault="00A1753F" w:rsidP="00C61BE0">
      <w:pPr>
        <w:widowControl w:val="0"/>
        <w:rPr>
          <w:rFonts w:eastAsia="Times New Roman" w:cs="Tahoma"/>
          <w:sz w:val="24"/>
          <w:lang w:val="fr-FR" w:eastAsia="fr-FR"/>
        </w:rPr>
      </w:pPr>
      <w:r w:rsidRPr="00C61BE0">
        <w:rPr>
          <w:rFonts w:eastAsia="Times New Roman" w:cs="Tahoma"/>
          <w:sz w:val="24"/>
          <w:lang w:val="fr-FR" w:eastAsia="fr-FR"/>
        </w:rPr>
        <w:t>Le Taux Brut de</w:t>
      </w:r>
      <w:r w:rsidR="00BC1503" w:rsidRPr="00C61BE0">
        <w:rPr>
          <w:rFonts w:eastAsia="Times New Roman" w:cs="Tahoma"/>
          <w:sz w:val="24"/>
          <w:lang w:val="fr-FR" w:eastAsia="fr-FR"/>
        </w:rPr>
        <w:t xml:space="preserve"> Scolarisation au primaire</w:t>
      </w:r>
      <w:r w:rsidRPr="00C61BE0">
        <w:rPr>
          <w:rFonts w:eastAsia="Times New Roman" w:cs="Tahoma"/>
          <w:sz w:val="24"/>
          <w:lang w:val="fr-FR" w:eastAsia="fr-FR"/>
        </w:rPr>
        <w:t xml:space="preserve">, en hausse est passé de 78,3% en 2010 à 80% en 2011 </w:t>
      </w:r>
      <w:r w:rsidR="008C6338">
        <w:rPr>
          <w:rFonts w:eastAsia="Times New Roman" w:cs="Tahoma"/>
          <w:sz w:val="24"/>
          <w:lang w:val="fr-FR" w:eastAsia="fr-FR"/>
        </w:rPr>
        <w:t xml:space="preserve">et 81% en 2012. Selon l’Enquête </w:t>
      </w:r>
      <w:r w:rsidRPr="00C61BE0">
        <w:rPr>
          <w:rFonts w:eastAsia="Times New Roman" w:cs="Tahoma"/>
          <w:sz w:val="24"/>
          <w:lang w:val="fr-FR" w:eastAsia="fr-FR"/>
        </w:rPr>
        <w:t>Légère pour l’Evaluation de la Pauvreté (ELEP) de 2008, le taux d’alphabétisation</w:t>
      </w:r>
      <w:r w:rsidRPr="00C61BE0">
        <w:rPr>
          <w:rFonts w:eastAsia="Times New Roman" w:cs="Tahoma"/>
          <w:sz w:val="24"/>
          <w:vertAlign w:val="superscript"/>
          <w:lang w:eastAsia="fr-FR"/>
        </w:rPr>
        <w:footnoteReference w:id="6"/>
      </w:r>
      <w:r w:rsidRPr="00C61BE0">
        <w:rPr>
          <w:rFonts w:eastAsia="Times New Roman" w:cs="Tahoma"/>
          <w:sz w:val="24"/>
          <w:lang w:val="fr-FR" w:eastAsia="fr-FR"/>
        </w:rPr>
        <w:t xml:space="preserve"> était de 34,5% soit 49,9% et 21,5% pour les hommes et les femmes respectivement. </w:t>
      </w:r>
    </w:p>
    <w:p w:rsidR="00A1753F" w:rsidRPr="00C61BE0" w:rsidRDefault="00A1753F" w:rsidP="00C61BE0">
      <w:pPr>
        <w:rPr>
          <w:rFonts w:eastAsia="Times New Roman" w:cs="Tahoma"/>
          <w:sz w:val="24"/>
          <w:lang w:val="fr-FR" w:eastAsia="fr-FR"/>
        </w:rPr>
      </w:pPr>
    </w:p>
    <w:p w:rsidR="00A1753F" w:rsidRPr="00C61BE0" w:rsidRDefault="00A1753F" w:rsidP="00C61BE0">
      <w:pPr>
        <w:rPr>
          <w:rFonts w:cs="Tahoma"/>
          <w:sz w:val="24"/>
          <w:highlight w:val="yellow"/>
          <w:lang w:val="fr-FR" w:eastAsia="fr-FR"/>
        </w:rPr>
      </w:pPr>
      <w:r w:rsidRPr="00C61BE0">
        <w:rPr>
          <w:rFonts w:cs="Tahoma"/>
          <w:sz w:val="24"/>
          <w:lang w:val="fr-FR"/>
        </w:rPr>
        <w:t>Selon l’Enquête Démographique et de Santé 2012, le ratio de la mortalité maternelle était de 724 pour 100 000 n</w:t>
      </w:r>
      <w:r w:rsidRPr="00C61BE0">
        <w:rPr>
          <w:rFonts w:cs="Tahoma"/>
          <w:sz w:val="24"/>
          <w:lang w:val="fr-FR" w:eastAsia="fr-FR"/>
        </w:rPr>
        <w:t>aissances vivantes, le taux de mortalité néonatale de 33‰, le taux de  mortalité infanto juvénile de 123‰ et le taux de mortalité infantile de 67‰ naissances vivantes.</w:t>
      </w:r>
    </w:p>
    <w:p w:rsidR="00A1753F" w:rsidRPr="00C61BE0" w:rsidRDefault="00A1753F" w:rsidP="00C61BE0">
      <w:pPr>
        <w:contextualSpacing/>
        <w:rPr>
          <w:rFonts w:ascii="Tahoma" w:eastAsia="Times New Roman" w:hAnsi="Tahoma" w:cs="Tahoma"/>
          <w:bCs/>
          <w:sz w:val="24"/>
          <w:lang w:val="fr-FR" w:eastAsia="fr-FR"/>
        </w:rPr>
      </w:pPr>
    </w:p>
    <w:p w:rsidR="004002DA" w:rsidRPr="00E1561C" w:rsidRDefault="00FA7EDF" w:rsidP="000123EE">
      <w:pPr>
        <w:ind w:firstLine="720"/>
        <w:rPr>
          <w:rFonts w:ascii="Arial" w:hAnsi="Arial" w:cs="Arial"/>
          <w:lang w:val="fr-FR"/>
        </w:rPr>
      </w:pPr>
      <w:r>
        <w:rPr>
          <w:rFonts w:ascii="Arial" w:hAnsi="Arial" w:cs="Arial"/>
          <w:noProof/>
          <w:lang w:val="fr-FR" w:eastAsia="fr-FR"/>
        </w:rPr>
        <w:drawing>
          <wp:inline distT="0" distB="0" distL="0" distR="0">
            <wp:extent cx="5076825" cy="3390900"/>
            <wp:effectExtent l="1905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a:srcRect/>
                    <a:stretch>
                      <a:fillRect/>
                    </a:stretch>
                  </pic:blipFill>
                  <pic:spPr bwMode="auto">
                    <a:xfrm>
                      <a:off x="0" y="0"/>
                      <a:ext cx="5076825" cy="3390900"/>
                    </a:xfrm>
                    <a:prstGeom prst="rect">
                      <a:avLst/>
                    </a:prstGeom>
                    <a:noFill/>
                  </pic:spPr>
                </pic:pic>
              </a:graphicData>
            </a:graphic>
          </wp:inline>
        </w:drawing>
      </w:r>
    </w:p>
    <w:p w:rsidR="004002DA" w:rsidRPr="00E1561C" w:rsidRDefault="004002DA" w:rsidP="000123EE">
      <w:pPr>
        <w:ind w:firstLine="720"/>
        <w:rPr>
          <w:rFonts w:ascii="Arial" w:hAnsi="Arial" w:cs="Arial"/>
          <w:lang w:val="fr-FR"/>
        </w:rPr>
      </w:pPr>
    </w:p>
    <w:p w:rsidR="00F402CC" w:rsidRDefault="00E1561C" w:rsidP="00C61BE0">
      <w:pPr>
        <w:pStyle w:val="Lgende"/>
        <w:spacing w:after="0"/>
        <w:jc w:val="center"/>
        <w:rPr>
          <w:color w:val="auto"/>
          <w:sz w:val="24"/>
          <w:lang w:val="fr-FR"/>
        </w:rPr>
      </w:pPr>
      <w:bookmarkStart w:id="12" w:name="_Toc480382966"/>
      <w:r w:rsidRPr="00C61BE0">
        <w:rPr>
          <w:color w:val="auto"/>
          <w:sz w:val="24"/>
          <w:lang w:val="fr-FR"/>
        </w:rPr>
        <w:t xml:space="preserve">Figure </w:t>
      </w:r>
      <w:r w:rsidR="00C25D03" w:rsidRPr="00C61BE0">
        <w:rPr>
          <w:color w:val="auto"/>
          <w:sz w:val="24"/>
        </w:rPr>
        <w:fldChar w:fldCharType="begin"/>
      </w:r>
      <w:r w:rsidRPr="00C61BE0">
        <w:rPr>
          <w:color w:val="auto"/>
          <w:sz w:val="24"/>
          <w:lang w:val="fr-FR"/>
        </w:rPr>
        <w:instrText xml:space="preserve"> SEQ Figure \* ARABIC </w:instrText>
      </w:r>
      <w:r w:rsidR="00C25D03" w:rsidRPr="00C61BE0">
        <w:rPr>
          <w:color w:val="auto"/>
          <w:sz w:val="24"/>
        </w:rPr>
        <w:fldChar w:fldCharType="separate"/>
      </w:r>
      <w:r w:rsidR="00774C46" w:rsidRPr="00C61BE0">
        <w:rPr>
          <w:noProof/>
          <w:color w:val="auto"/>
          <w:sz w:val="24"/>
          <w:lang w:val="fr-FR"/>
        </w:rPr>
        <w:t>1</w:t>
      </w:r>
      <w:r w:rsidR="00C25D03" w:rsidRPr="00C61BE0">
        <w:rPr>
          <w:color w:val="auto"/>
          <w:sz w:val="24"/>
        </w:rPr>
        <w:fldChar w:fldCharType="end"/>
      </w:r>
      <w:r w:rsidRPr="00C61BE0">
        <w:rPr>
          <w:color w:val="auto"/>
          <w:sz w:val="24"/>
          <w:lang w:val="fr-FR"/>
        </w:rPr>
        <w:t>: Carte de la République de Guinée</w:t>
      </w:r>
      <w:bookmarkEnd w:id="12"/>
    </w:p>
    <w:p w:rsidR="00952B7C" w:rsidRDefault="00952B7C" w:rsidP="00952B7C">
      <w:pPr>
        <w:rPr>
          <w:lang w:val="fr-FR"/>
        </w:rPr>
      </w:pPr>
    </w:p>
    <w:p w:rsidR="004002DA" w:rsidRPr="00BE07AB" w:rsidRDefault="0068719C" w:rsidP="00C61BE0">
      <w:pPr>
        <w:pStyle w:val="Titre2"/>
        <w:spacing w:before="0"/>
        <w:ind w:left="567" w:hanging="567"/>
        <w:rPr>
          <w:noProof/>
          <w:color w:val="auto"/>
          <w:sz w:val="28"/>
        </w:rPr>
      </w:pPr>
      <w:bookmarkStart w:id="13" w:name="_Toc480382917"/>
      <w:r w:rsidRPr="00BE07AB">
        <w:rPr>
          <w:noProof/>
          <w:color w:val="auto"/>
          <w:sz w:val="28"/>
        </w:rPr>
        <w:t>Profil pays</w:t>
      </w:r>
      <w:bookmarkEnd w:id="13"/>
    </w:p>
    <w:p w:rsidR="00BC1503" w:rsidRPr="00C61BE0" w:rsidRDefault="00BC1503" w:rsidP="00C61BE0">
      <w:pPr>
        <w:rPr>
          <w:sz w:val="24"/>
          <w:lang w:val="fr-FR"/>
        </w:rPr>
      </w:pPr>
    </w:p>
    <w:p w:rsidR="0068719C" w:rsidRDefault="00192FC1" w:rsidP="00C61BE0">
      <w:pPr>
        <w:rPr>
          <w:sz w:val="24"/>
          <w:lang w:val="fr-FR"/>
        </w:rPr>
      </w:pPr>
      <w:r w:rsidRPr="00C61BE0">
        <w:rPr>
          <w:sz w:val="24"/>
          <w:lang w:val="fr-FR"/>
        </w:rPr>
        <w:t>Le T</w:t>
      </w:r>
      <w:r w:rsidR="0068719C" w:rsidRPr="00C61BE0">
        <w:rPr>
          <w:sz w:val="24"/>
          <w:lang w:val="fr-FR"/>
        </w:rPr>
        <w:t>ableau 1 résume quelques indicateurs de la Guinée.</w:t>
      </w:r>
    </w:p>
    <w:p w:rsidR="00C61BE0" w:rsidRPr="00C61BE0" w:rsidRDefault="00C61BE0" w:rsidP="00C61BE0">
      <w:pPr>
        <w:rPr>
          <w:sz w:val="24"/>
          <w:lang w:val="fr-FR"/>
        </w:rPr>
      </w:pPr>
    </w:p>
    <w:p w:rsidR="004002DA" w:rsidRDefault="004002DA" w:rsidP="00C61BE0">
      <w:pPr>
        <w:pStyle w:val="Lgende"/>
        <w:spacing w:after="0"/>
        <w:jc w:val="center"/>
        <w:rPr>
          <w:noProof/>
          <w:color w:val="auto"/>
          <w:sz w:val="24"/>
          <w:szCs w:val="24"/>
          <w:lang w:val="fr-FR"/>
        </w:rPr>
      </w:pPr>
      <w:r w:rsidRPr="00C61BE0">
        <w:rPr>
          <w:noProof/>
          <w:color w:val="auto"/>
          <w:sz w:val="24"/>
          <w:szCs w:val="24"/>
          <w:lang w:val="fr-FR"/>
        </w:rPr>
        <w:t>Tableau 1 : Récapitulatif des indicateurs sociodémographiques de la République de Guinée</w:t>
      </w:r>
    </w:p>
    <w:p w:rsidR="00C61BE0" w:rsidRPr="00C61BE0" w:rsidRDefault="00C61BE0" w:rsidP="00C61BE0">
      <w:pPr>
        <w:rPr>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103"/>
        <w:gridCol w:w="2127"/>
        <w:gridCol w:w="1559"/>
      </w:tblGrid>
      <w:tr w:rsidR="000B6140" w:rsidRPr="00C61BE0" w:rsidTr="00FA5925">
        <w:tc>
          <w:tcPr>
            <w:tcW w:w="567" w:type="dxa"/>
            <w:shd w:val="clear" w:color="auto" w:fill="F2F2F2" w:themeFill="background1" w:themeFillShade="F2"/>
            <w:vAlign w:val="center"/>
          </w:tcPr>
          <w:p w:rsidR="000B6140" w:rsidRPr="00C61BE0" w:rsidRDefault="000B6140" w:rsidP="00C61BE0">
            <w:pPr>
              <w:autoSpaceDE w:val="0"/>
              <w:autoSpaceDN w:val="0"/>
              <w:adjustRightInd w:val="0"/>
              <w:spacing w:before="60" w:after="60"/>
              <w:jc w:val="center"/>
              <w:rPr>
                <w:rFonts w:asciiTheme="majorHAnsi" w:hAnsiTheme="majorHAnsi" w:cs="Arial"/>
                <w:b/>
                <w:sz w:val="24"/>
              </w:rPr>
            </w:pPr>
            <w:r w:rsidRPr="00C61BE0">
              <w:rPr>
                <w:rFonts w:asciiTheme="majorHAnsi" w:hAnsiTheme="majorHAnsi" w:cs="Arial"/>
                <w:b/>
                <w:sz w:val="24"/>
                <w:szCs w:val="22"/>
              </w:rPr>
              <w:t>N°</w:t>
            </w:r>
          </w:p>
        </w:tc>
        <w:tc>
          <w:tcPr>
            <w:tcW w:w="5103" w:type="dxa"/>
            <w:shd w:val="clear" w:color="auto" w:fill="F2F2F2" w:themeFill="background1" w:themeFillShade="F2"/>
            <w:vAlign w:val="center"/>
          </w:tcPr>
          <w:p w:rsidR="000B6140" w:rsidRPr="00C61BE0" w:rsidRDefault="000B6140" w:rsidP="00C61BE0">
            <w:pPr>
              <w:autoSpaceDE w:val="0"/>
              <w:autoSpaceDN w:val="0"/>
              <w:adjustRightInd w:val="0"/>
              <w:spacing w:before="60" w:after="60"/>
              <w:jc w:val="center"/>
              <w:rPr>
                <w:rFonts w:asciiTheme="majorHAnsi" w:hAnsiTheme="majorHAnsi" w:cs="Arial"/>
                <w:b/>
                <w:sz w:val="24"/>
              </w:rPr>
            </w:pPr>
            <w:r w:rsidRPr="00C61BE0">
              <w:rPr>
                <w:rFonts w:asciiTheme="majorHAnsi" w:hAnsiTheme="majorHAnsi" w:cs="Arial"/>
                <w:b/>
                <w:sz w:val="24"/>
                <w:szCs w:val="22"/>
              </w:rPr>
              <w:t>Indicateurs</w:t>
            </w:r>
          </w:p>
        </w:tc>
        <w:tc>
          <w:tcPr>
            <w:tcW w:w="2127" w:type="dxa"/>
            <w:shd w:val="clear" w:color="auto" w:fill="F2F2F2" w:themeFill="background1" w:themeFillShade="F2"/>
            <w:vAlign w:val="center"/>
          </w:tcPr>
          <w:p w:rsidR="000B6140" w:rsidRPr="00C61BE0" w:rsidRDefault="000B6140" w:rsidP="00C61BE0">
            <w:pPr>
              <w:autoSpaceDE w:val="0"/>
              <w:autoSpaceDN w:val="0"/>
              <w:adjustRightInd w:val="0"/>
              <w:spacing w:before="60" w:after="60"/>
              <w:jc w:val="center"/>
              <w:rPr>
                <w:rFonts w:asciiTheme="majorHAnsi" w:hAnsiTheme="majorHAnsi" w:cs="Arial"/>
                <w:b/>
                <w:sz w:val="24"/>
              </w:rPr>
            </w:pPr>
            <w:r w:rsidRPr="00C61BE0">
              <w:rPr>
                <w:rFonts w:asciiTheme="majorHAnsi" w:hAnsiTheme="majorHAnsi" w:cs="Arial"/>
                <w:b/>
                <w:sz w:val="24"/>
                <w:szCs w:val="22"/>
              </w:rPr>
              <w:t>Valeur</w:t>
            </w:r>
          </w:p>
        </w:tc>
        <w:tc>
          <w:tcPr>
            <w:tcW w:w="1559" w:type="dxa"/>
            <w:shd w:val="clear" w:color="auto" w:fill="F2F2F2" w:themeFill="background1" w:themeFillShade="F2"/>
            <w:vAlign w:val="center"/>
          </w:tcPr>
          <w:p w:rsidR="000B6140" w:rsidRPr="00C61BE0" w:rsidRDefault="000B6140" w:rsidP="00C61BE0">
            <w:pPr>
              <w:autoSpaceDE w:val="0"/>
              <w:autoSpaceDN w:val="0"/>
              <w:adjustRightInd w:val="0"/>
              <w:spacing w:before="60" w:after="60"/>
              <w:jc w:val="center"/>
              <w:rPr>
                <w:rFonts w:asciiTheme="majorHAnsi" w:hAnsiTheme="majorHAnsi" w:cs="Arial"/>
                <w:b/>
                <w:sz w:val="24"/>
              </w:rPr>
            </w:pPr>
            <w:r w:rsidRPr="00C61BE0">
              <w:rPr>
                <w:rFonts w:asciiTheme="majorHAnsi" w:hAnsiTheme="majorHAnsi" w:cs="Arial"/>
                <w:b/>
                <w:sz w:val="24"/>
                <w:szCs w:val="22"/>
              </w:rPr>
              <w:t>Année</w:t>
            </w:r>
          </w:p>
        </w:tc>
      </w:tr>
      <w:tr w:rsidR="000B6140" w:rsidRPr="00C61BE0" w:rsidTr="00FA5925">
        <w:trPr>
          <w:trHeight w:val="305"/>
        </w:trPr>
        <w:tc>
          <w:tcPr>
            <w:tcW w:w="567" w:type="dxa"/>
            <w:vAlign w:val="center"/>
          </w:tcPr>
          <w:p w:rsidR="000B6140" w:rsidRPr="00C61BE0" w:rsidRDefault="000B6140" w:rsidP="00945432">
            <w:pPr>
              <w:autoSpaceDE w:val="0"/>
              <w:autoSpaceDN w:val="0"/>
              <w:adjustRightInd w:val="0"/>
              <w:rPr>
                <w:rFonts w:asciiTheme="majorHAnsi" w:hAnsiTheme="majorHAnsi" w:cs="Arial"/>
                <w:sz w:val="24"/>
              </w:rPr>
            </w:pPr>
            <w:r w:rsidRPr="00C61BE0">
              <w:rPr>
                <w:rFonts w:asciiTheme="majorHAnsi" w:hAnsiTheme="majorHAnsi" w:cs="Arial"/>
                <w:sz w:val="24"/>
                <w:szCs w:val="22"/>
              </w:rPr>
              <w:t>1</w:t>
            </w:r>
          </w:p>
        </w:tc>
        <w:tc>
          <w:tcPr>
            <w:tcW w:w="5103" w:type="dxa"/>
            <w:vAlign w:val="center"/>
          </w:tcPr>
          <w:p w:rsidR="000B6140" w:rsidRPr="00C61BE0" w:rsidRDefault="000B6140" w:rsidP="00945432">
            <w:pPr>
              <w:autoSpaceDE w:val="0"/>
              <w:autoSpaceDN w:val="0"/>
              <w:adjustRightInd w:val="0"/>
              <w:rPr>
                <w:rFonts w:asciiTheme="majorHAnsi" w:hAnsiTheme="majorHAnsi" w:cs="Arial"/>
                <w:sz w:val="24"/>
              </w:rPr>
            </w:pPr>
            <w:r w:rsidRPr="00C61BE0">
              <w:rPr>
                <w:rFonts w:asciiTheme="majorHAnsi" w:hAnsiTheme="majorHAnsi" w:cs="Arial"/>
                <w:sz w:val="24"/>
                <w:szCs w:val="22"/>
              </w:rPr>
              <w:t>Population générale</w:t>
            </w:r>
          </w:p>
        </w:tc>
        <w:tc>
          <w:tcPr>
            <w:tcW w:w="2127"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10 200 000</w:t>
            </w:r>
          </w:p>
        </w:tc>
        <w:tc>
          <w:tcPr>
            <w:tcW w:w="1559"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2011</w:t>
            </w:r>
          </w:p>
        </w:tc>
      </w:tr>
      <w:tr w:rsidR="000B6140" w:rsidRPr="00C61BE0" w:rsidTr="00FA5925">
        <w:trPr>
          <w:trHeight w:val="359"/>
        </w:trPr>
        <w:tc>
          <w:tcPr>
            <w:tcW w:w="567" w:type="dxa"/>
            <w:vAlign w:val="center"/>
          </w:tcPr>
          <w:p w:rsidR="000B6140" w:rsidRPr="00C61BE0" w:rsidRDefault="000B6140" w:rsidP="00945432">
            <w:pPr>
              <w:autoSpaceDE w:val="0"/>
              <w:autoSpaceDN w:val="0"/>
              <w:adjustRightInd w:val="0"/>
              <w:rPr>
                <w:rFonts w:asciiTheme="majorHAnsi" w:hAnsiTheme="majorHAnsi" w:cs="Arial"/>
                <w:sz w:val="24"/>
              </w:rPr>
            </w:pPr>
            <w:r w:rsidRPr="00C61BE0">
              <w:rPr>
                <w:rFonts w:asciiTheme="majorHAnsi" w:hAnsiTheme="majorHAnsi" w:cs="Arial"/>
                <w:sz w:val="24"/>
                <w:szCs w:val="22"/>
              </w:rPr>
              <w:t>2</w:t>
            </w:r>
          </w:p>
        </w:tc>
        <w:tc>
          <w:tcPr>
            <w:tcW w:w="5103" w:type="dxa"/>
            <w:vAlign w:val="center"/>
          </w:tcPr>
          <w:p w:rsidR="000B6140" w:rsidRPr="00C61BE0" w:rsidRDefault="000B6140" w:rsidP="00945432">
            <w:pPr>
              <w:autoSpaceDE w:val="0"/>
              <w:autoSpaceDN w:val="0"/>
              <w:adjustRightInd w:val="0"/>
              <w:rPr>
                <w:rFonts w:asciiTheme="majorHAnsi" w:hAnsiTheme="majorHAnsi" w:cs="Arial"/>
                <w:sz w:val="24"/>
              </w:rPr>
            </w:pPr>
            <w:r w:rsidRPr="00C61BE0">
              <w:rPr>
                <w:rFonts w:asciiTheme="majorHAnsi" w:hAnsiTheme="majorHAnsi" w:cs="Arial"/>
                <w:sz w:val="24"/>
                <w:szCs w:val="22"/>
              </w:rPr>
              <w:t>Taux d’accroissement annuel moyen</w:t>
            </w:r>
          </w:p>
        </w:tc>
        <w:tc>
          <w:tcPr>
            <w:tcW w:w="2127"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2,7%</w:t>
            </w:r>
          </w:p>
        </w:tc>
        <w:tc>
          <w:tcPr>
            <w:tcW w:w="1559"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2011</w:t>
            </w:r>
          </w:p>
        </w:tc>
      </w:tr>
      <w:tr w:rsidR="000B6140" w:rsidRPr="00C61BE0" w:rsidTr="00FA5925">
        <w:trPr>
          <w:trHeight w:val="341"/>
        </w:trPr>
        <w:tc>
          <w:tcPr>
            <w:tcW w:w="567" w:type="dxa"/>
            <w:vAlign w:val="center"/>
          </w:tcPr>
          <w:p w:rsidR="000B6140" w:rsidRPr="00C61BE0" w:rsidRDefault="000B6140" w:rsidP="00945432">
            <w:pPr>
              <w:autoSpaceDE w:val="0"/>
              <w:autoSpaceDN w:val="0"/>
              <w:adjustRightInd w:val="0"/>
              <w:rPr>
                <w:rFonts w:asciiTheme="majorHAnsi" w:hAnsiTheme="majorHAnsi" w:cs="Arial"/>
                <w:sz w:val="24"/>
              </w:rPr>
            </w:pPr>
            <w:r w:rsidRPr="00C61BE0">
              <w:rPr>
                <w:rFonts w:asciiTheme="majorHAnsi" w:hAnsiTheme="majorHAnsi" w:cs="Arial"/>
                <w:sz w:val="24"/>
                <w:szCs w:val="22"/>
              </w:rPr>
              <w:t>3</w:t>
            </w:r>
          </w:p>
        </w:tc>
        <w:tc>
          <w:tcPr>
            <w:tcW w:w="5103" w:type="dxa"/>
            <w:vAlign w:val="center"/>
          </w:tcPr>
          <w:p w:rsidR="000B6140" w:rsidRPr="00C61BE0" w:rsidRDefault="000B6140" w:rsidP="00945432">
            <w:pPr>
              <w:autoSpaceDE w:val="0"/>
              <w:autoSpaceDN w:val="0"/>
              <w:adjustRightInd w:val="0"/>
              <w:rPr>
                <w:rFonts w:asciiTheme="majorHAnsi" w:hAnsiTheme="majorHAnsi" w:cs="Arial"/>
                <w:sz w:val="24"/>
                <w:lang w:val="fr-FR"/>
              </w:rPr>
            </w:pPr>
            <w:r w:rsidRPr="00C61BE0">
              <w:rPr>
                <w:rFonts w:asciiTheme="majorHAnsi" w:hAnsiTheme="majorHAnsi" w:cs="Arial"/>
                <w:sz w:val="24"/>
                <w:szCs w:val="22"/>
                <w:lang w:val="fr-FR"/>
              </w:rPr>
              <w:t>Population de moins de  15 ans</w:t>
            </w:r>
          </w:p>
        </w:tc>
        <w:tc>
          <w:tcPr>
            <w:tcW w:w="2127"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40,31%</w:t>
            </w:r>
          </w:p>
        </w:tc>
        <w:tc>
          <w:tcPr>
            <w:tcW w:w="1559"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2010</w:t>
            </w:r>
          </w:p>
        </w:tc>
      </w:tr>
      <w:tr w:rsidR="000B6140" w:rsidRPr="00C61BE0" w:rsidTr="00FA5925">
        <w:trPr>
          <w:trHeight w:val="373"/>
        </w:trPr>
        <w:tc>
          <w:tcPr>
            <w:tcW w:w="567" w:type="dxa"/>
            <w:vAlign w:val="center"/>
          </w:tcPr>
          <w:p w:rsidR="000B6140" w:rsidRPr="00C61BE0" w:rsidRDefault="000B6140" w:rsidP="00945432">
            <w:pPr>
              <w:autoSpaceDE w:val="0"/>
              <w:autoSpaceDN w:val="0"/>
              <w:adjustRightInd w:val="0"/>
              <w:rPr>
                <w:rFonts w:asciiTheme="majorHAnsi" w:hAnsiTheme="majorHAnsi" w:cs="Arial"/>
                <w:sz w:val="24"/>
              </w:rPr>
            </w:pPr>
            <w:r w:rsidRPr="00C61BE0">
              <w:rPr>
                <w:rFonts w:asciiTheme="majorHAnsi" w:hAnsiTheme="majorHAnsi" w:cs="Arial"/>
                <w:sz w:val="24"/>
                <w:szCs w:val="22"/>
              </w:rPr>
              <w:t>4</w:t>
            </w:r>
          </w:p>
        </w:tc>
        <w:tc>
          <w:tcPr>
            <w:tcW w:w="5103" w:type="dxa"/>
            <w:vAlign w:val="center"/>
          </w:tcPr>
          <w:p w:rsidR="000B6140" w:rsidRPr="00C61BE0" w:rsidRDefault="000B6140" w:rsidP="00945432">
            <w:pPr>
              <w:autoSpaceDE w:val="0"/>
              <w:autoSpaceDN w:val="0"/>
              <w:adjustRightInd w:val="0"/>
              <w:rPr>
                <w:rFonts w:asciiTheme="majorHAnsi" w:hAnsiTheme="majorHAnsi" w:cs="Arial"/>
                <w:sz w:val="24"/>
                <w:lang w:val="fr-FR"/>
              </w:rPr>
            </w:pPr>
            <w:r w:rsidRPr="00C61BE0">
              <w:rPr>
                <w:rFonts w:asciiTheme="majorHAnsi" w:hAnsiTheme="majorHAnsi" w:cs="Arial"/>
                <w:sz w:val="24"/>
                <w:szCs w:val="22"/>
                <w:lang w:val="fr-FR"/>
              </w:rPr>
              <w:t>Taux d'alphabétisme des adultes de 15 ans et plus</w:t>
            </w:r>
          </w:p>
        </w:tc>
        <w:tc>
          <w:tcPr>
            <w:tcW w:w="2127"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39,5%</w:t>
            </w:r>
          </w:p>
        </w:tc>
        <w:tc>
          <w:tcPr>
            <w:tcW w:w="1559"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2011</w:t>
            </w:r>
          </w:p>
        </w:tc>
      </w:tr>
      <w:tr w:rsidR="000B6140" w:rsidRPr="00C61BE0" w:rsidTr="00FA5925">
        <w:trPr>
          <w:trHeight w:val="449"/>
        </w:trPr>
        <w:tc>
          <w:tcPr>
            <w:tcW w:w="567" w:type="dxa"/>
            <w:vAlign w:val="center"/>
          </w:tcPr>
          <w:p w:rsidR="000B6140" w:rsidRPr="00C61BE0" w:rsidRDefault="000B6140" w:rsidP="00945432">
            <w:pPr>
              <w:autoSpaceDE w:val="0"/>
              <w:autoSpaceDN w:val="0"/>
              <w:adjustRightInd w:val="0"/>
              <w:rPr>
                <w:rFonts w:asciiTheme="majorHAnsi" w:hAnsiTheme="majorHAnsi" w:cs="Arial"/>
                <w:sz w:val="24"/>
              </w:rPr>
            </w:pPr>
            <w:r w:rsidRPr="00C61BE0">
              <w:rPr>
                <w:rFonts w:asciiTheme="majorHAnsi" w:hAnsiTheme="majorHAnsi" w:cs="Arial"/>
                <w:sz w:val="24"/>
                <w:szCs w:val="22"/>
              </w:rPr>
              <w:t>5</w:t>
            </w:r>
          </w:p>
        </w:tc>
        <w:tc>
          <w:tcPr>
            <w:tcW w:w="5103" w:type="dxa"/>
            <w:vAlign w:val="center"/>
          </w:tcPr>
          <w:p w:rsidR="000B6140" w:rsidRPr="00C61BE0" w:rsidRDefault="000B6140" w:rsidP="00945432">
            <w:pPr>
              <w:autoSpaceDE w:val="0"/>
              <w:autoSpaceDN w:val="0"/>
              <w:adjustRightInd w:val="0"/>
              <w:rPr>
                <w:rFonts w:asciiTheme="majorHAnsi" w:hAnsiTheme="majorHAnsi" w:cs="Arial"/>
                <w:sz w:val="24"/>
                <w:lang w:val="fr-FR"/>
              </w:rPr>
            </w:pPr>
            <w:r w:rsidRPr="00C61BE0">
              <w:rPr>
                <w:rFonts w:asciiTheme="majorHAnsi" w:hAnsiTheme="majorHAnsi" w:cs="Arial"/>
                <w:sz w:val="24"/>
                <w:szCs w:val="22"/>
                <w:lang w:val="fr-FR"/>
              </w:rPr>
              <w:t>PIB par habitant en US$</w:t>
            </w:r>
          </w:p>
        </w:tc>
        <w:tc>
          <w:tcPr>
            <w:tcW w:w="2127"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1048</w:t>
            </w:r>
          </w:p>
        </w:tc>
        <w:tc>
          <w:tcPr>
            <w:tcW w:w="1559"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2011</w:t>
            </w:r>
          </w:p>
        </w:tc>
      </w:tr>
      <w:tr w:rsidR="000B6140" w:rsidRPr="00C61BE0" w:rsidTr="00FA5925">
        <w:trPr>
          <w:trHeight w:val="341"/>
        </w:trPr>
        <w:tc>
          <w:tcPr>
            <w:tcW w:w="567" w:type="dxa"/>
            <w:vAlign w:val="center"/>
          </w:tcPr>
          <w:p w:rsidR="000B6140" w:rsidRPr="00C61BE0" w:rsidRDefault="000B6140" w:rsidP="00945432">
            <w:pPr>
              <w:autoSpaceDE w:val="0"/>
              <w:autoSpaceDN w:val="0"/>
              <w:adjustRightInd w:val="0"/>
              <w:rPr>
                <w:rFonts w:asciiTheme="majorHAnsi" w:hAnsiTheme="majorHAnsi" w:cs="Arial"/>
                <w:sz w:val="24"/>
              </w:rPr>
            </w:pPr>
            <w:r w:rsidRPr="00C61BE0">
              <w:rPr>
                <w:rFonts w:asciiTheme="majorHAnsi" w:hAnsiTheme="majorHAnsi" w:cs="Arial"/>
                <w:sz w:val="24"/>
                <w:szCs w:val="22"/>
              </w:rPr>
              <w:t>6</w:t>
            </w:r>
          </w:p>
        </w:tc>
        <w:tc>
          <w:tcPr>
            <w:tcW w:w="5103" w:type="dxa"/>
            <w:vAlign w:val="center"/>
          </w:tcPr>
          <w:p w:rsidR="000B6140" w:rsidRPr="00C61BE0" w:rsidRDefault="000B6140" w:rsidP="00945432">
            <w:pPr>
              <w:autoSpaceDE w:val="0"/>
              <w:autoSpaceDN w:val="0"/>
              <w:adjustRightInd w:val="0"/>
              <w:rPr>
                <w:rFonts w:asciiTheme="majorHAnsi" w:hAnsiTheme="majorHAnsi" w:cs="Arial"/>
                <w:sz w:val="24"/>
                <w:lang w:val="fr-FR"/>
              </w:rPr>
            </w:pPr>
            <w:r w:rsidRPr="00C61BE0">
              <w:rPr>
                <w:rFonts w:asciiTheme="majorHAnsi" w:hAnsiTheme="majorHAnsi" w:cs="Arial"/>
                <w:sz w:val="24"/>
                <w:szCs w:val="22"/>
                <w:lang w:val="fr-FR"/>
              </w:rPr>
              <w:t>Indicateur de Développement Humain (IDH)</w:t>
            </w:r>
          </w:p>
        </w:tc>
        <w:tc>
          <w:tcPr>
            <w:tcW w:w="2127"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0 ,344</w:t>
            </w:r>
          </w:p>
        </w:tc>
        <w:tc>
          <w:tcPr>
            <w:tcW w:w="1559"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2011</w:t>
            </w:r>
          </w:p>
        </w:tc>
      </w:tr>
      <w:tr w:rsidR="000B6140" w:rsidRPr="00C61BE0" w:rsidTr="00FA5925">
        <w:trPr>
          <w:trHeight w:val="435"/>
        </w:trPr>
        <w:tc>
          <w:tcPr>
            <w:tcW w:w="567" w:type="dxa"/>
            <w:vAlign w:val="center"/>
          </w:tcPr>
          <w:p w:rsidR="000B6140" w:rsidRPr="00C61BE0" w:rsidRDefault="000B6140" w:rsidP="00945432">
            <w:pPr>
              <w:autoSpaceDE w:val="0"/>
              <w:autoSpaceDN w:val="0"/>
              <w:adjustRightInd w:val="0"/>
              <w:rPr>
                <w:rFonts w:asciiTheme="majorHAnsi" w:hAnsiTheme="majorHAnsi" w:cs="Arial"/>
                <w:sz w:val="24"/>
              </w:rPr>
            </w:pPr>
            <w:r w:rsidRPr="00C61BE0">
              <w:rPr>
                <w:rFonts w:asciiTheme="majorHAnsi" w:hAnsiTheme="majorHAnsi" w:cs="Arial"/>
                <w:sz w:val="24"/>
                <w:szCs w:val="22"/>
              </w:rPr>
              <w:t>7</w:t>
            </w:r>
          </w:p>
        </w:tc>
        <w:tc>
          <w:tcPr>
            <w:tcW w:w="5103" w:type="dxa"/>
            <w:vAlign w:val="center"/>
          </w:tcPr>
          <w:p w:rsidR="000B6140" w:rsidRPr="00C61BE0" w:rsidRDefault="000B6140" w:rsidP="00945432">
            <w:pPr>
              <w:autoSpaceDE w:val="0"/>
              <w:autoSpaceDN w:val="0"/>
              <w:adjustRightInd w:val="0"/>
              <w:rPr>
                <w:rFonts w:asciiTheme="majorHAnsi" w:hAnsiTheme="majorHAnsi" w:cs="Arial"/>
                <w:sz w:val="24"/>
                <w:lang w:val="fr-FR"/>
              </w:rPr>
            </w:pPr>
            <w:r w:rsidRPr="00C61BE0">
              <w:rPr>
                <w:rFonts w:asciiTheme="majorHAnsi" w:hAnsiTheme="majorHAnsi" w:cs="Arial"/>
                <w:sz w:val="24"/>
                <w:szCs w:val="22"/>
                <w:lang w:val="fr-FR"/>
              </w:rPr>
              <w:t>Indicateur Sexo-spécifique de Développement Humain (ISDH)</w:t>
            </w:r>
          </w:p>
        </w:tc>
        <w:tc>
          <w:tcPr>
            <w:tcW w:w="2127"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0,425</w:t>
            </w:r>
          </w:p>
        </w:tc>
        <w:tc>
          <w:tcPr>
            <w:tcW w:w="1559"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2009</w:t>
            </w:r>
          </w:p>
        </w:tc>
      </w:tr>
      <w:tr w:rsidR="000B6140" w:rsidRPr="00C61BE0" w:rsidTr="00FA5925">
        <w:trPr>
          <w:trHeight w:val="440"/>
        </w:trPr>
        <w:tc>
          <w:tcPr>
            <w:tcW w:w="567" w:type="dxa"/>
            <w:vAlign w:val="center"/>
          </w:tcPr>
          <w:p w:rsidR="000B6140" w:rsidRPr="00C61BE0" w:rsidRDefault="000B6140" w:rsidP="00945432">
            <w:pPr>
              <w:autoSpaceDE w:val="0"/>
              <w:autoSpaceDN w:val="0"/>
              <w:adjustRightInd w:val="0"/>
              <w:rPr>
                <w:rFonts w:asciiTheme="majorHAnsi" w:hAnsiTheme="majorHAnsi" w:cs="Arial"/>
                <w:sz w:val="24"/>
              </w:rPr>
            </w:pPr>
            <w:r w:rsidRPr="00C61BE0">
              <w:rPr>
                <w:rFonts w:asciiTheme="majorHAnsi" w:hAnsiTheme="majorHAnsi" w:cs="Arial"/>
                <w:sz w:val="24"/>
                <w:szCs w:val="22"/>
              </w:rPr>
              <w:t>8</w:t>
            </w:r>
          </w:p>
        </w:tc>
        <w:tc>
          <w:tcPr>
            <w:tcW w:w="5103" w:type="dxa"/>
            <w:vAlign w:val="center"/>
          </w:tcPr>
          <w:p w:rsidR="000B6140" w:rsidRPr="00C61BE0" w:rsidRDefault="000B6140" w:rsidP="00945432">
            <w:pPr>
              <w:autoSpaceDE w:val="0"/>
              <w:autoSpaceDN w:val="0"/>
              <w:adjustRightInd w:val="0"/>
              <w:rPr>
                <w:rFonts w:asciiTheme="majorHAnsi" w:hAnsiTheme="majorHAnsi" w:cs="Arial"/>
                <w:sz w:val="24"/>
                <w:lang w:val="fr-FR"/>
              </w:rPr>
            </w:pPr>
            <w:r w:rsidRPr="00C61BE0">
              <w:rPr>
                <w:rFonts w:asciiTheme="majorHAnsi" w:hAnsiTheme="majorHAnsi" w:cs="Arial"/>
                <w:sz w:val="24"/>
                <w:szCs w:val="22"/>
                <w:lang w:val="fr-FR"/>
              </w:rPr>
              <w:t>Classement sur la base de l’ISDH</w:t>
            </w:r>
          </w:p>
        </w:tc>
        <w:tc>
          <w:tcPr>
            <w:tcW w:w="2127"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143</w:t>
            </w:r>
            <w:r w:rsidRPr="00C61BE0">
              <w:rPr>
                <w:rFonts w:asciiTheme="majorHAnsi" w:hAnsiTheme="majorHAnsi" w:cs="Arial"/>
                <w:sz w:val="24"/>
                <w:szCs w:val="22"/>
                <w:vertAlign w:val="superscript"/>
              </w:rPr>
              <w:t>e</w:t>
            </w:r>
            <w:r w:rsidRPr="00C61BE0">
              <w:rPr>
                <w:rFonts w:asciiTheme="majorHAnsi" w:hAnsiTheme="majorHAnsi" w:cs="Arial"/>
                <w:sz w:val="24"/>
                <w:szCs w:val="22"/>
              </w:rPr>
              <w:t xml:space="preserve"> sur 155 pays</w:t>
            </w:r>
          </w:p>
        </w:tc>
        <w:tc>
          <w:tcPr>
            <w:tcW w:w="1559" w:type="dxa"/>
            <w:vAlign w:val="center"/>
          </w:tcPr>
          <w:p w:rsidR="000B6140" w:rsidRPr="00C61BE0" w:rsidRDefault="000B6140" w:rsidP="00945432">
            <w:pPr>
              <w:autoSpaceDE w:val="0"/>
              <w:autoSpaceDN w:val="0"/>
              <w:adjustRightInd w:val="0"/>
              <w:jc w:val="center"/>
              <w:rPr>
                <w:rFonts w:asciiTheme="majorHAnsi" w:hAnsiTheme="majorHAnsi" w:cs="Arial"/>
                <w:sz w:val="24"/>
              </w:rPr>
            </w:pPr>
            <w:r w:rsidRPr="00C61BE0">
              <w:rPr>
                <w:rFonts w:asciiTheme="majorHAnsi" w:hAnsiTheme="majorHAnsi" w:cs="Arial"/>
                <w:sz w:val="24"/>
                <w:szCs w:val="22"/>
              </w:rPr>
              <w:t>2009</w:t>
            </w:r>
          </w:p>
        </w:tc>
      </w:tr>
    </w:tbl>
    <w:p w:rsidR="000B6140" w:rsidRPr="00C61BE0" w:rsidRDefault="000B6140" w:rsidP="00C61BE0">
      <w:pPr>
        <w:autoSpaceDE w:val="0"/>
        <w:autoSpaceDN w:val="0"/>
        <w:adjustRightInd w:val="0"/>
        <w:jc w:val="center"/>
        <w:rPr>
          <w:rFonts w:asciiTheme="majorHAnsi" w:hAnsiTheme="majorHAnsi" w:cs="Arial"/>
          <w:lang w:val="fr-FR"/>
        </w:rPr>
      </w:pPr>
      <w:r w:rsidRPr="00C61BE0">
        <w:rPr>
          <w:rFonts w:asciiTheme="majorHAnsi" w:hAnsiTheme="majorHAnsi"/>
          <w:sz w:val="24"/>
          <w:lang w:val="fr-FR"/>
        </w:rPr>
        <w:t xml:space="preserve">Source : </w:t>
      </w:r>
      <w:r w:rsidRPr="00C61BE0">
        <w:rPr>
          <w:rFonts w:asciiTheme="majorHAnsi" w:hAnsiTheme="majorHAnsi" w:cs="Arial"/>
          <w:lang w:val="fr-FR"/>
        </w:rPr>
        <w:t>Rapport Mondial sur Développement Humain 2009, 2010 et 2011</w:t>
      </w:r>
    </w:p>
    <w:p w:rsidR="0030351D" w:rsidRPr="00C61BE0" w:rsidRDefault="0030351D" w:rsidP="0068719C">
      <w:pPr>
        <w:rPr>
          <w:rFonts w:asciiTheme="majorHAnsi" w:hAnsiTheme="majorHAnsi"/>
          <w:sz w:val="24"/>
          <w:lang w:val="fr-FR"/>
        </w:rPr>
        <w:sectPr w:rsidR="0030351D" w:rsidRPr="00C61BE0" w:rsidSect="00F402CC">
          <w:footerReference w:type="default" r:id="rId14"/>
          <w:pgSz w:w="12240" w:h="15840"/>
          <w:pgMar w:top="1440" w:right="1440" w:bottom="1440" w:left="1440" w:header="720" w:footer="720" w:gutter="0"/>
          <w:pgNumType w:start="3"/>
          <w:cols w:space="720"/>
          <w:docGrid w:linePitch="360"/>
        </w:sectPr>
      </w:pPr>
    </w:p>
    <w:p w:rsidR="0068719C" w:rsidRDefault="0068719C" w:rsidP="0068719C">
      <w:pPr>
        <w:rPr>
          <w:lang w:val="fr-FR"/>
        </w:rPr>
      </w:pPr>
    </w:p>
    <w:p w:rsidR="00BC1503" w:rsidRDefault="00BC1503" w:rsidP="0068719C">
      <w:pPr>
        <w:rPr>
          <w:lang w:val="fr-FR"/>
        </w:rPr>
      </w:pPr>
    </w:p>
    <w:p w:rsidR="00BC1503" w:rsidRDefault="00BC1503" w:rsidP="0068719C">
      <w:pPr>
        <w:rPr>
          <w:lang w:val="fr-FR"/>
        </w:rPr>
      </w:pPr>
    </w:p>
    <w:p w:rsidR="00BC1503" w:rsidRDefault="00BC1503" w:rsidP="0068719C">
      <w:pPr>
        <w:rPr>
          <w:lang w:val="fr-FR"/>
        </w:rPr>
      </w:pPr>
    </w:p>
    <w:p w:rsidR="00BC1503" w:rsidRDefault="00BC1503" w:rsidP="0068719C">
      <w:pPr>
        <w:rPr>
          <w:lang w:val="fr-FR"/>
        </w:rPr>
      </w:pPr>
    </w:p>
    <w:p w:rsidR="00BC1503" w:rsidRDefault="00BC1503" w:rsidP="0068719C">
      <w:pPr>
        <w:rPr>
          <w:lang w:val="fr-FR"/>
        </w:rPr>
      </w:pPr>
    </w:p>
    <w:p w:rsidR="00BC1503" w:rsidRDefault="00BC1503" w:rsidP="0068719C">
      <w:pPr>
        <w:rPr>
          <w:lang w:val="fr-FR"/>
        </w:rPr>
      </w:pPr>
    </w:p>
    <w:p w:rsidR="00BC1503" w:rsidRDefault="00BC1503" w:rsidP="0068719C">
      <w:pPr>
        <w:rPr>
          <w:lang w:val="fr-FR"/>
        </w:rPr>
      </w:pPr>
    </w:p>
    <w:p w:rsidR="00BC1503" w:rsidRDefault="00BC1503" w:rsidP="0068719C">
      <w:pPr>
        <w:rPr>
          <w:lang w:val="fr-FR"/>
        </w:rPr>
      </w:pPr>
    </w:p>
    <w:p w:rsidR="00BC1503" w:rsidRDefault="00BC1503" w:rsidP="0068719C">
      <w:pPr>
        <w:rPr>
          <w:lang w:val="fr-FR"/>
        </w:rPr>
      </w:pPr>
    </w:p>
    <w:p w:rsidR="00BC1503" w:rsidRDefault="00BC1503" w:rsidP="0068719C">
      <w:pPr>
        <w:rPr>
          <w:lang w:val="fr-FR"/>
        </w:rPr>
      </w:pPr>
    </w:p>
    <w:p w:rsidR="00BC1503" w:rsidRDefault="00BC1503" w:rsidP="0068719C">
      <w:pPr>
        <w:rPr>
          <w:lang w:val="fr-FR"/>
        </w:rPr>
      </w:pPr>
    </w:p>
    <w:p w:rsidR="0030351D" w:rsidRDefault="0030351D" w:rsidP="0068719C">
      <w:pPr>
        <w:rPr>
          <w:lang w:val="fr-FR"/>
        </w:rPr>
      </w:pPr>
    </w:p>
    <w:p w:rsidR="0030351D" w:rsidRDefault="0030351D" w:rsidP="0068719C">
      <w:pPr>
        <w:rPr>
          <w:lang w:val="fr-FR"/>
        </w:rPr>
      </w:pPr>
    </w:p>
    <w:p w:rsidR="00820245" w:rsidRDefault="00820245" w:rsidP="0068719C">
      <w:pPr>
        <w:rPr>
          <w:lang w:val="fr-FR"/>
        </w:rPr>
      </w:pPr>
    </w:p>
    <w:p w:rsidR="00820245" w:rsidRDefault="00820245" w:rsidP="0068719C">
      <w:pPr>
        <w:rPr>
          <w:lang w:val="fr-FR"/>
        </w:rPr>
      </w:pPr>
    </w:p>
    <w:p w:rsidR="00820245" w:rsidRDefault="00820245" w:rsidP="0068719C">
      <w:pPr>
        <w:rPr>
          <w:lang w:val="fr-FR"/>
        </w:rPr>
      </w:pPr>
    </w:p>
    <w:p w:rsidR="0030351D" w:rsidRDefault="0030351D" w:rsidP="0068719C">
      <w:pPr>
        <w:rPr>
          <w:lang w:val="fr-FR"/>
        </w:rPr>
      </w:pPr>
    </w:p>
    <w:p w:rsidR="0030351D" w:rsidRDefault="0030351D" w:rsidP="0068719C">
      <w:pPr>
        <w:rPr>
          <w:lang w:val="fr-FR"/>
        </w:rPr>
      </w:pPr>
    </w:p>
    <w:p w:rsidR="0030351D" w:rsidRDefault="0030351D" w:rsidP="0068719C">
      <w:pPr>
        <w:rPr>
          <w:lang w:val="fr-FR"/>
        </w:rPr>
      </w:pPr>
    </w:p>
    <w:p w:rsidR="0030351D" w:rsidRPr="0068719C" w:rsidRDefault="0030351D" w:rsidP="0068719C">
      <w:pPr>
        <w:rPr>
          <w:lang w:val="fr-FR"/>
        </w:rPr>
      </w:pPr>
    </w:p>
    <w:p w:rsidR="00DF5A3A" w:rsidRDefault="00D710D5" w:rsidP="00952B7C">
      <w:pPr>
        <w:pStyle w:val="Titre1"/>
        <w:spacing w:before="0"/>
        <w:jc w:val="center"/>
        <w:rPr>
          <w:sz w:val="40"/>
          <w:szCs w:val="40"/>
          <w:lang w:val="fr-FR"/>
        </w:rPr>
      </w:pPr>
      <w:bookmarkStart w:id="14" w:name="_Toc480382918"/>
      <w:r w:rsidRPr="0030351D">
        <w:rPr>
          <w:sz w:val="40"/>
          <w:szCs w:val="40"/>
          <w:lang w:val="fr-FR"/>
        </w:rPr>
        <w:t>CHAPITRE 2</w:t>
      </w:r>
      <w:r w:rsidR="00BE07AB">
        <w:rPr>
          <w:sz w:val="40"/>
          <w:szCs w:val="40"/>
          <w:lang w:val="fr-FR"/>
        </w:rPr>
        <w:t> :</w:t>
      </w:r>
      <w:r w:rsidR="00E27974">
        <w:rPr>
          <w:sz w:val="40"/>
          <w:szCs w:val="40"/>
          <w:lang w:val="fr-FR"/>
        </w:rPr>
        <w:t xml:space="preserve">APPROCHE </w:t>
      </w:r>
      <w:r w:rsidR="0030351D" w:rsidRPr="0030351D">
        <w:rPr>
          <w:sz w:val="40"/>
          <w:szCs w:val="40"/>
          <w:lang w:val="fr-FR"/>
        </w:rPr>
        <w:t>METHODOLOGI</w:t>
      </w:r>
      <w:r w:rsidR="00E27974">
        <w:rPr>
          <w:sz w:val="40"/>
          <w:szCs w:val="40"/>
          <w:lang w:val="fr-FR"/>
        </w:rPr>
        <w:t>QUE</w:t>
      </w:r>
      <w:bookmarkEnd w:id="14"/>
    </w:p>
    <w:p w:rsidR="0030351D" w:rsidRDefault="0030351D" w:rsidP="00F402CC">
      <w:pPr>
        <w:rPr>
          <w:lang w:val="fr-FR"/>
        </w:rPr>
        <w:sectPr w:rsidR="0030351D" w:rsidSect="00F402CC">
          <w:footerReference w:type="default" r:id="rId15"/>
          <w:pgSz w:w="12240" w:h="15840"/>
          <w:pgMar w:top="1440" w:right="1440" w:bottom="1440" w:left="1440" w:header="720" w:footer="720" w:gutter="0"/>
          <w:pgNumType w:start="3"/>
          <w:cols w:space="720"/>
          <w:docGrid w:linePitch="360"/>
        </w:sectPr>
      </w:pPr>
    </w:p>
    <w:p w:rsidR="00D710D5" w:rsidRPr="00C61BE0" w:rsidRDefault="00D710D5" w:rsidP="00C61BE0">
      <w:pPr>
        <w:pStyle w:val="Titre2"/>
        <w:numPr>
          <w:ilvl w:val="1"/>
          <w:numId w:val="10"/>
        </w:numPr>
        <w:spacing w:before="0"/>
        <w:ind w:left="426" w:hanging="426"/>
        <w:rPr>
          <w:color w:val="auto"/>
          <w:sz w:val="28"/>
          <w:szCs w:val="28"/>
          <w:lang w:val="fr-FR"/>
        </w:rPr>
      </w:pPr>
      <w:bookmarkStart w:id="15" w:name="_Toc480382919"/>
      <w:r w:rsidRPr="00C61BE0">
        <w:rPr>
          <w:color w:val="auto"/>
          <w:sz w:val="28"/>
          <w:szCs w:val="28"/>
          <w:lang w:val="fr-FR"/>
        </w:rPr>
        <w:t>Justification</w:t>
      </w:r>
      <w:bookmarkEnd w:id="15"/>
    </w:p>
    <w:p w:rsidR="00641A1B" w:rsidRDefault="00641A1B" w:rsidP="00D710D5">
      <w:pPr>
        <w:rPr>
          <w:lang w:val="fr-FR"/>
        </w:rPr>
      </w:pPr>
    </w:p>
    <w:p w:rsidR="00D710D5" w:rsidRPr="00C61BE0" w:rsidRDefault="00D710D5" w:rsidP="00C61BE0">
      <w:pPr>
        <w:rPr>
          <w:sz w:val="24"/>
          <w:lang w:val="fr-FR"/>
        </w:rPr>
      </w:pPr>
      <w:r w:rsidRPr="00C61BE0">
        <w:rPr>
          <w:sz w:val="24"/>
          <w:lang w:val="fr-FR"/>
        </w:rPr>
        <w:t>En 2016, les besoins non couverts en TARV chez les enfants de 0-15 ans infectés par le VIH étaient de 83% soit 11468 enfants. De plus, les tendances maximales actuelles de gain de la couverture sont de 4%</w:t>
      </w:r>
      <w:r w:rsidR="00641A1B" w:rsidRPr="00C61BE0">
        <w:rPr>
          <w:sz w:val="24"/>
          <w:lang w:val="fr-FR"/>
        </w:rPr>
        <w:t xml:space="preserve"> pa</w:t>
      </w:r>
      <w:r w:rsidR="00952B7C">
        <w:rPr>
          <w:sz w:val="24"/>
          <w:lang w:val="fr-FR"/>
        </w:rPr>
        <w:t>r</w:t>
      </w:r>
      <w:r w:rsidR="00641A1B" w:rsidRPr="00C61BE0">
        <w:rPr>
          <w:sz w:val="24"/>
          <w:lang w:val="fr-FR"/>
        </w:rPr>
        <w:t xml:space="preserve"> an</w:t>
      </w:r>
      <w:r w:rsidRPr="00C61BE0">
        <w:rPr>
          <w:sz w:val="24"/>
          <w:lang w:val="fr-FR"/>
        </w:rPr>
        <w:t xml:space="preserve">. </w:t>
      </w:r>
      <w:r w:rsidR="00641A1B" w:rsidRPr="00C61BE0">
        <w:rPr>
          <w:sz w:val="24"/>
          <w:lang w:val="fr-FR"/>
        </w:rPr>
        <w:t>Par ailleurs, m</w:t>
      </w:r>
      <w:r w:rsidRPr="00C61BE0">
        <w:rPr>
          <w:sz w:val="24"/>
          <w:lang w:val="fr-FR"/>
        </w:rPr>
        <w:t xml:space="preserve">ême si l’on observe une baisse, plus de 1000 nouvelles infections VIH seront enregistrées chaque année jusqu’en 2020 en Guinée </w:t>
      </w:r>
      <w:r w:rsidR="00FA7EDF" w:rsidRPr="00C61BE0">
        <w:rPr>
          <w:sz w:val="24"/>
          <w:lang w:val="fr-FR"/>
        </w:rPr>
        <w:t xml:space="preserve">(Figure 2) </w:t>
      </w:r>
      <w:r w:rsidRPr="00C61BE0">
        <w:rPr>
          <w:sz w:val="24"/>
          <w:lang w:val="fr-FR"/>
        </w:rPr>
        <w:t>selon le modèle actuel de la réponse (Spectrum, 2016).</w:t>
      </w:r>
    </w:p>
    <w:p w:rsidR="00641A1B" w:rsidRPr="00C61BE0" w:rsidRDefault="00641A1B" w:rsidP="00C61BE0">
      <w:pPr>
        <w:rPr>
          <w:sz w:val="24"/>
          <w:lang w:val="fr-FR"/>
        </w:rPr>
      </w:pPr>
    </w:p>
    <w:p w:rsidR="00D710D5" w:rsidRPr="00C61BE0" w:rsidRDefault="00D710D5" w:rsidP="00FA5925">
      <w:pPr>
        <w:spacing w:after="120"/>
        <w:jc w:val="center"/>
        <w:rPr>
          <w:sz w:val="24"/>
          <w:lang w:val="fr-FR"/>
        </w:rPr>
      </w:pPr>
      <w:r w:rsidRPr="00C61BE0">
        <w:rPr>
          <w:noProof/>
          <w:sz w:val="24"/>
          <w:lang w:val="fr-FR" w:eastAsia="fr-FR"/>
        </w:rPr>
        <w:drawing>
          <wp:inline distT="0" distB="0" distL="0" distR="0">
            <wp:extent cx="4238100" cy="2862469"/>
            <wp:effectExtent l="19050" t="0" r="1005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10D5" w:rsidRPr="00C61BE0" w:rsidRDefault="00D710D5" w:rsidP="00FA5925">
      <w:pPr>
        <w:spacing w:after="120"/>
        <w:contextualSpacing/>
        <w:jc w:val="center"/>
        <w:rPr>
          <w:sz w:val="24"/>
          <w:lang w:val="fr-FR"/>
        </w:rPr>
      </w:pPr>
      <w:r w:rsidRPr="00C61BE0">
        <w:rPr>
          <w:sz w:val="24"/>
          <w:lang w:val="fr-FR"/>
        </w:rPr>
        <w:t>Source : Spectrum 2016</w:t>
      </w:r>
    </w:p>
    <w:p w:rsidR="00C61BE0" w:rsidRDefault="00C61BE0" w:rsidP="00C61BE0">
      <w:pPr>
        <w:pStyle w:val="Lgende"/>
        <w:spacing w:after="0"/>
        <w:rPr>
          <w:sz w:val="24"/>
          <w:szCs w:val="24"/>
          <w:lang w:val="fr-FR"/>
        </w:rPr>
      </w:pPr>
    </w:p>
    <w:p w:rsidR="00D710D5" w:rsidRPr="00C61BE0" w:rsidRDefault="00D710D5" w:rsidP="00C61BE0">
      <w:pPr>
        <w:pStyle w:val="Lgende"/>
        <w:spacing w:after="0"/>
        <w:jc w:val="center"/>
        <w:rPr>
          <w:color w:val="auto"/>
          <w:sz w:val="24"/>
          <w:szCs w:val="24"/>
          <w:lang w:val="fr-FR"/>
        </w:rPr>
      </w:pPr>
      <w:bookmarkStart w:id="16" w:name="_Toc480382967"/>
      <w:r w:rsidRPr="00C61BE0">
        <w:rPr>
          <w:color w:val="auto"/>
          <w:sz w:val="24"/>
          <w:szCs w:val="24"/>
          <w:lang w:val="fr-FR"/>
        </w:rPr>
        <w:t xml:space="preserve">Figure </w:t>
      </w:r>
      <w:r w:rsidR="00C25D03" w:rsidRPr="00C61BE0">
        <w:rPr>
          <w:color w:val="auto"/>
          <w:sz w:val="24"/>
          <w:szCs w:val="24"/>
        </w:rPr>
        <w:fldChar w:fldCharType="begin"/>
      </w:r>
      <w:r w:rsidRPr="00C61BE0">
        <w:rPr>
          <w:color w:val="auto"/>
          <w:sz w:val="24"/>
          <w:szCs w:val="24"/>
          <w:lang w:val="fr-FR"/>
        </w:rPr>
        <w:instrText xml:space="preserve"> SEQ Figure \* ARABIC </w:instrText>
      </w:r>
      <w:r w:rsidR="00C25D03" w:rsidRPr="00C61BE0">
        <w:rPr>
          <w:color w:val="auto"/>
          <w:sz w:val="24"/>
          <w:szCs w:val="24"/>
        </w:rPr>
        <w:fldChar w:fldCharType="separate"/>
      </w:r>
      <w:r w:rsidR="00774C46" w:rsidRPr="00C61BE0">
        <w:rPr>
          <w:noProof/>
          <w:color w:val="auto"/>
          <w:sz w:val="24"/>
          <w:szCs w:val="24"/>
          <w:lang w:val="fr-FR"/>
        </w:rPr>
        <w:t>2</w:t>
      </w:r>
      <w:r w:rsidR="00C25D03" w:rsidRPr="00C61BE0">
        <w:rPr>
          <w:color w:val="auto"/>
          <w:sz w:val="24"/>
          <w:szCs w:val="24"/>
        </w:rPr>
        <w:fldChar w:fldCharType="end"/>
      </w:r>
      <w:r w:rsidRPr="00C61BE0">
        <w:rPr>
          <w:color w:val="auto"/>
          <w:sz w:val="24"/>
          <w:szCs w:val="24"/>
          <w:lang w:val="fr-FR"/>
        </w:rPr>
        <w:t>: Evolution du nombre de nouvelles infections VIH chez les enfants de 0-15 ans en Guinée</w:t>
      </w:r>
      <w:bookmarkEnd w:id="16"/>
    </w:p>
    <w:p w:rsidR="00C61BE0" w:rsidRDefault="00C61BE0" w:rsidP="00C61BE0">
      <w:pPr>
        <w:rPr>
          <w:sz w:val="24"/>
          <w:lang w:val="fr-FR"/>
        </w:rPr>
      </w:pPr>
    </w:p>
    <w:p w:rsidR="00D710D5" w:rsidRDefault="00D710D5" w:rsidP="00C61BE0">
      <w:pPr>
        <w:rPr>
          <w:sz w:val="24"/>
          <w:lang w:val="fr-FR"/>
        </w:rPr>
      </w:pPr>
      <w:r w:rsidRPr="00C61BE0">
        <w:rPr>
          <w:sz w:val="24"/>
          <w:lang w:val="fr-FR"/>
        </w:rPr>
        <w:t>Par contre la Guinée a souscrit aux Objectifs 90-90-90. Il s’agit pour le pays qu’en  2020 :</w:t>
      </w:r>
    </w:p>
    <w:p w:rsidR="00E67A6B" w:rsidRPr="00C61BE0" w:rsidRDefault="00E67A6B" w:rsidP="00C61BE0">
      <w:pPr>
        <w:rPr>
          <w:sz w:val="24"/>
          <w:lang w:val="fr-FR"/>
        </w:rPr>
      </w:pPr>
    </w:p>
    <w:p w:rsidR="00D710D5" w:rsidRPr="00C61BE0" w:rsidRDefault="00D710D5" w:rsidP="00C61BE0">
      <w:pPr>
        <w:pStyle w:val="Paragraphedeliste"/>
        <w:numPr>
          <w:ilvl w:val="0"/>
          <w:numId w:val="2"/>
        </w:numPr>
        <w:rPr>
          <w:sz w:val="24"/>
          <w:lang w:val="fr-FR"/>
        </w:rPr>
      </w:pPr>
      <w:r w:rsidRPr="00C61BE0">
        <w:rPr>
          <w:sz w:val="24"/>
          <w:lang w:val="fr-FR"/>
        </w:rPr>
        <w:t>90% des personnes vivant avec le VIH connaissent leur statut sérologique</w:t>
      </w:r>
    </w:p>
    <w:p w:rsidR="00D710D5" w:rsidRPr="00C61BE0" w:rsidRDefault="00D710D5" w:rsidP="00C61BE0">
      <w:pPr>
        <w:pStyle w:val="Paragraphedeliste"/>
        <w:numPr>
          <w:ilvl w:val="0"/>
          <w:numId w:val="2"/>
        </w:numPr>
        <w:rPr>
          <w:sz w:val="24"/>
          <w:lang w:val="fr-FR"/>
        </w:rPr>
      </w:pPr>
      <w:r w:rsidRPr="00C61BE0">
        <w:rPr>
          <w:sz w:val="24"/>
          <w:lang w:val="fr-FR"/>
        </w:rPr>
        <w:t xml:space="preserve">90% de toutes les personnes infectées par le VIH dépistées reçoivent un traitement anti rétroviral </w:t>
      </w:r>
      <w:r w:rsidR="00FA5925">
        <w:rPr>
          <w:sz w:val="24"/>
          <w:lang w:val="fr-FR"/>
        </w:rPr>
        <w:t xml:space="preserve">(TARV) </w:t>
      </w:r>
      <w:r w:rsidRPr="00C61BE0">
        <w:rPr>
          <w:sz w:val="24"/>
          <w:lang w:val="fr-FR"/>
        </w:rPr>
        <w:t>durable</w:t>
      </w:r>
    </w:p>
    <w:p w:rsidR="00D710D5" w:rsidRPr="00C61BE0" w:rsidRDefault="00D710D5" w:rsidP="00C61BE0">
      <w:pPr>
        <w:pStyle w:val="Paragraphedeliste"/>
        <w:numPr>
          <w:ilvl w:val="0"/>
          <w:numId w:val="2"/>
        </w:numPr>
        <w:rPr>
          <w:sz w:val="24"/>
          <w:lang w:val="fr-FR"/>
        </w:rPr>
      </w:pPr>
      <w:r w:rsidRPr="00C61BE0">
        <w:rPr>
          <w:sz w:val="24"/>
          <w:lang w:val="fr-FR"/>
        </w:rPr>
        <w:t xml:space="preserve">90% des personnes recevant un </w:t>
      </w:r>
      <w:r w:rsidR="00FA5925">
        <w:rPr>
          <w:sz w:val="24"/>
          <w:lang w:val="fr-FR"/>
        </w:rPr>
        <w:t>TARV</w:t>
      </w:r>
      <w:r w:rsidRPr="00C61BE0">
        <w:rPr>
          <w:sz w:val="24"/>
          <w:lang w:val="fr-FR"/>
        </w:rPr>
        <w:t xml:space="preserve"> ont une charge virale durablement supprimée (ONUSIDA, 2014).</w:t>
      </w:r>
    </w:p>
    <w:p w:rsidR="00E67A6B" w:rsidRDefault="00E67A6B" w:rsidP="00C61BE0">
      <w:pPr>
        <w:rPr>
          <w:sz w:val="24"/>
          <w:lang w:val="fr-FR"/>
        </w:rPr>
      </w:pPr>
    </w:p>
    <w:p w:rsidR="00D710D5" w:rsidRDefault="00641A1B" w:rsidP="00C61BE0">
      <w:pPr>
        <w:rPr>
          <w:sz w:val="24"/>
          <w:lang w:val="fr-FR"/>
        </w:rPr>
      </w:pPr>
      <w:r w:rsidRPr="00C61BE0">
        <w:rPr>
          <w:sz w:val="24"/>
          <w:lang w:val="fr-FR"/>
        </w:rPr>
        <w:t>Bien que ambitieux, ces objectifs sont réalisables. Toutefois, i</w:t>
      </w:r>
      <w:r w:rsidR="00D710D5" w:rsidRPr="00C61BE0">
        <w:rPr>
          <w:sz w:val="24"/>
          <w:lang w:val="fr-FR"/>
        </w:rPr>
        <w:t>l ne reste plus que quatre ans pour l’évaluation. Il est donc crucial d’impulser un nouveau rythme pour pouvoir atteindre ces objectifs en 2020.</w:t>
      </w:r>
    </w:p>
    <w:p w:rsidR="00E67A6B" w:rsidRDefault="00E67A6B" w:rsidP="00C61BE0">
      <w:pPr>
        <w:rPr>
          <w:sz w:val="24"/>
          <w:lang w:val="fr-FR"/>
        </w:rPr>
      </w:pPr>
    </w:p>
    <w:p w:rsidR="00952B7C" w:rsidRDefault="00952B7C" w:rsidP="00C61BE0">
      <w:pPr>
        <w:rPr>
          <w:sz w:val="24"/>
          <w:lang w:val="fr-FR"/>
        </w:rPr>
      </w:pPr>
    </w:p>
    <w:p w:rsidR="00952B7C" w:rsidRDefault="00952B7C" w:rsidP="00C61BE0">
      <w:pPr>
        <w:rPr>
          <w:sz w:val="24"/>
          <w:lang w:val="fr-FR"/>
        </w:rPr>
      </w:pPr>
    </w:p>
    <w:p w:rsidR="00D710D5" w:rsidRPr="00E67A6B" w:rsidRDefault="00BE07AB" w:rsidP="00E67A6B">
      <w:pPr>
        <w:pStyle w:val="Titre2"/>
        <w:numPr>
          <w:ilvl w:val="1"/>
          <w:numId w:val="10"/>
        </w:numPr>
        <w:spacing w:before="0"/>
        <w:ind w:left="426" w:hanging="426"/>
        <w:rPr>
          <w:color w:val="auto"/>
          <w:sz w:val="28"/>
          <w:szCs w:val="28"/>
          <w:lang w:val="fr-FR"/>
        </w:rPr>
      </w:pPr>
      <w:bookmarkStart w:id="17" w:name="_Toc480382920"/>
      <w:r>
        <w:rPr>
          <w:color w:val="auto"/>
          <w:sz w:val="28"/>
          <w:szCs w:val="28"/>
          <w:lang w:val="fr-FR"/>
        </w:rPr>
        <w:t xml:space="preserve">. </w:t>
      </w:r>
      <w:r w:rsidR="00D710D5" w:rsidRPr="00E67A6B">
        <w:rPr>
          <w:color w:val="auto"/>
          <w:sz w:val="28"/>
          <w:szCs w:val="28"/>
          <w:lang w:val="fr-FR"/>
        </w:rPr>
        <w:t>But, Objectif général et Objectifs spécifiques</w:t>
      </w:r>
      <w:bookmarkEnd w:id="17"/>
    </w:p>
    <w:p w:rsidR="00641A1B" w:rsidRPr="00C61BE0" w:rsidRDefault="00641A1B" w:rsidP="00C61BE0">
      <w:pPr>
        <w:rPr>
          <w:rFonts w:cs="Arial"/>
          <w:sz w:val="24"/>
          <w:lang w:val="fr-FR"/>
        </w:rPr>
      </w:pPr>
    </w:p>
    <w:p w:rsidR="00D710D5" w:rsidRDefault="00D710D5" w:rsidP="00C61BE0">
      <w:pPr>
        <w:rPr>
          <w:rFonts w:cs="Arial"/>
          <w:sz w:val="24"/>
          <w:lang w:val="fr-FR"/>
        </w:rPr>
      </w:pPr>
      <w:r w:rsidRPr="00C61BE0">
        <w:rPr>
          <w:rFonts w:cs="Arial"/>
          <w:sz w:val="24"/>
          <w:lang w:val="fr-FR"/>
        </w:rPr>
        <w:t>Le but du plan est de contribuer à l’amélioration de la santé des enfants de 0-15 ans en Guinée. L’objectif général est d’</w:t>
      </w:r>
      <w:r w:rsidR="00226CD2" w:rsidRPr="00C61BE0">
        <w:rPr>
          <w:rFonts w:cs="Arial"/>
          <w:sz w:val="24"/>
          <w:lang w:val="fr-FR"/>
        </w:rPr>
        <w:t>accélérer l’élimination du</w:t>
      </w:r>
      <w:r w:rsidRPr="00C61BE0">
        <w:rPr>
          <w:rFonts w:cs="Arial"/>
          <w:sz w:val="24"/>
          <w:lang w:val="fr-FR"/>
        </w:rPr>
        <w:t xml:space="preserve"> sida pédiatrique. Comme objectifs spécifiques, il s’agit de :</w:t>
      </w:r>
    </w:p>
    <w:p w:rsidR="00E67A6B" w:rsidRPr="00C61BE0" w:rsidRDefault="00E67A6B" w:rsidP="00C61BE0">
      <w:pPr>
        <w:rPr>
          <w:rFonts w:cs="Arial"/>
          <w:sz w:val="24"/>
          <w:lang w:val="fr-FR"/>
        </w:rPr>
      </w:pPr>
    </w:p>
    <w:p w:rsidR="00D710D5" w:rsidRPr="00C61BE0" w:rsidRDefault="00D710D5" w:rsidP="00C61BE0">
      <w:pPr>
        <w:pStyle w:val="Paragraphedeliste"/>
        <w:numPr>
          <w:ilvl w:val="0"/>
          <w:numId w:val="2"/>
        </w:numPr>
        <w:rPr>
          <w:rFonts w:cs="Arial"/>
          <w:sz w:val="24"/>
          <w:lang w:val="fr-FR"/>
        </w:rPr>
      </w:pPr>
      <w:r w:rsidRPr="00C61BE0">
        <w:rPr>
          <w:rFonts w:cs="Arial"/>
          <w:sz w:val="24"/>
          <w:lang w:val="fr-FR"/>
        </w:rPr>
        <w:t>Dépister au moins 90% des enfants de 0-15 ans infectés par le VIH</w:t>
      </w:r>
      <w:r w:rsidR="00226CD2" w:rsidRPr="00C61BE0">
        <w:rPr>
          <w:rFonts w:cs="Arial"/>
          <w:sz w:val="24"/>
          <w:lang w:val="fr-FR"/>
        </w:rPr>
        <w:t xml:space="preserve"> EN 2020</w:t>
      </w:r>
    </w:p>
    <w:p w:rsidR="00D710D5" w:rsidRPr="00C61BE0" w:rsidRDefault="00D710D5" w:rsidP="00C61BE0">
      <w:pPr>
        <w:pStyle w:val="Paragraphedeliste"/>
        <w:numPr>
          <w:ilvl w:val="0"/>
          <w:numId w:val="2"/>
        </w:numPr>
        <w:rPr>
          <w:sz w:val="24"/>
          <w:lang w:val="fr-FR"/>
        </w:rPr>
      </w:pPr>
      <w:r w:rsidRPr="00C61BE0">
        <w:rPr>
          <w:rFonts w:cs="Arial"/>
          <w:sz w:val="24"/>
          <w:lang w:val="fr-FR"/>
        </w:rPr>
        <w:t xml:space="preserve">Mettre au moins 90% des  </w:t>
      </w:r>
      <w:r w:rsidRPr="00C61BE0">
        <w:rPr>
          <w:sz w:val="24"/>
          <w:lang w:val="fr-FR"/>
        </w:rPr>
        <w:t>enfants infectés par le VIH dépistés sous TARV durable</w:t>
      </w:r>
      <w:r w:rsidR="00FA5925">
        <w:rPr>
          <w:sz w:val="24"/>
          <w:lang w:val="fr-FR"/>
        </w:rPr>
        <w:t>en</w:t>
      </w:r>
      <w:r w:rsidR="00226CD2" w:rsidRPr="00C61BE0">
        <w:rPr>
          <w:sz w:val="24"/>
          <w:lang w:val="fr-FR"/>
        </w:rPr>
        <w:t>2020</w:t>
      </w:r>
    </w:p>
    <w:p w:rsidR="00D710D5" w:rsidRDefault="00D710D5" w:rsidP="00C61BE0">
      <w:pPr>
        <w:pStyle w:val="Paragraphedeliste"/>
        <w:numPr>
          <w:ilvl w:val="0"/>
          <w:numId w:val="2"/>
        </w:numPr>
        <w:rPr>
          <w:rFonts w:cs="Arial"/>
          <w:sz w:val="24"/>
          <w:lang w:val="fr-FR"/>
        </w:rPr>
      </w:pPr>
      <w:r w:rsidRPr="00C61BE0">
        <w:rPr>
          <w:rFonts w:cs="Arial"/>
          <w:sz w:val="24"/>
          <w:lang w:val="fr-FR"/>
        </w:rPr>
        <w:t>Atteindre une charge virale indétectable chez au moins 90% d’enfants infectés qui reçoivent l</w:t>
      </w:r>
      <w:r w:rsidR="00FA5925">
        <w:rPr>
          <w:rFonts w:cs="Arial"/>
          <w:sz w:val="24"/>
          <w:lang w:val="fr-FR"/>
        </w:rPr>
        <w:t>e</w:t>
      </w:r>
      <w:r w:rsidRPr="00C61BE0">
        <w:rPr>
          <w:rFonts w:cs="Arial"/>
          <w:sz w:val="24"/>
          <w:lang w:val="fr-FR"/>
        </w:rPr>
        <w:t xml:space="preserve"> TARV</w:t>
      </w:r>
      <w:r w:rsidR="00226CD2" w:rsidRPr="00C61BE0">
        <w:rPr>
          <w:rFonts w:cs="Arial"/>
          <w:sz w:val="24"/>
          <w:lang w:val="fr-FR"/>
        </w:rPr>
        <w:t xml:space="preserve"> en 2020</w:t>
      </w:r>
      <w:r w:rsidR="005A5994" w:rsidRPr="00C61BE0">
        <w:rPr>
          <w:rFonts w:cs="Arial"/>
          <w:sz w:val="24"/>
          <w:lang w:val="fr-FR"/>
        </w:rPr>
        <w:t>.</w:t>
      </w:r>
    </w:p>
    <w:p w:rsidR="00E67A6B" w:rsidRPr="00C61BE0" w:rsidRDefault="00E67A6B" w:rsidP="00BE07AB">
      <w:pPr>
        <w:pStyle w:val="Paragraphedeliste"/>
        <w:rPr>
          <w:rFonts w:cs="Arial"/>
          <w:sz w:val="24"/>
          <w:lang w:val="fr-FR"/>
        </w:rPr>
      </w:pPr>
    </w:p>
    <w:p w:rsidR="00D710D5" w:rsidRPr="00E67A6B" w:rsidRDefault="00BE07AB" w:rsidP="00E67A6B">
      <w:pPr>
        <w:pStyle w:val="Titre2"/>
        <w:numPr>
          <w:ilvl w:val="1"/>
          <w:numId w:val="10"/>
        </w:numPr>
        <w:spacing w:before="0"/>
        <w:ind w:left="426" w:hanging="426"/>
        <w:rPr>
          <w:color w:val="auto"/>
          <w:sz w:val="28"/>
          <w:szCs w:val="28"/>
          <w:lang w:val="fr-FR"/>
        </w:rPr>
      </w:pPr>
      <w:bookmarkStart w:id="18" w:name="_Toc480382921"/>
      <w:r>
        <w:rPr>
          <w:color w:val="auto"/>
          <w:sz w:val="28"/>
          <w:szCs w:val="28"/>
          <w:lang w:val="fr-FR"/>
        </w:rPr>
        <w:t>.</w:t>
      </w:r>
      <w:r w:rsidR="00D710D5" w:rsidRPr="00E67A6B">
        <w:rPr>
          <w:color w:val="auto"/>
          <w:sz w:val="28"/>
          <w:szCs w:val="28"/>
          <w:lang w:val="fr-FR"/>
        </w:rPr>
        <w:t xml:space="preserve"> Processus d’élaboration du plan</w:t>
      </w:r>
      <w:bookmarkEnd w:id="18"/>
    </w:p>
    <w:p w:rsidR="00641A1B" w:rsidRPr="00C61BE0" w:rsidRDefault="00641A1B" w:rsidP="00C61BE0">
      <w:pPr>
        <w:rPr>
          <w:sz w:val="24"/>
          <w:lang w:val="fr-FR"/>
        </w:rPr>
      </w:pPr>
    </w:p>
    <w:p w:rsidR="00641A1B" w:rsidRDefault="00D710D5" w:rsidP="00C61BE0">
      <w:pPr>
        <w:rPr>
          <w:sz w:val="24"/>
          <w:lang w:val="fr-FR"/>
        </w:rPr>
      </w:pPr>
      <w:r w:rsidRPr="00C61BE0">
        <w:rPr>
          <w:sz w:val="24"/>
          <w:lang w:val="fr-FR"/>
        </w:rPr>
        <w:t>Le plan d’accélération a été élaboré selon une approche participative et inclus</w:t>
      </w:r>
      <w:r w:rsidR="00FA5925">
        <w:rPr>
          <w:sz w:val="24"/>
          <w:lang w:val="fr-FR"/>
        </w:rPr>
        <w:t>if, et a été</w:t>
      </w:r>
      <w:r w:rsidRPr="00C61BE0">
        <w:rPr>
          <w:sz w:val="24"/>
          <w:lang w:val="fr-FR"/>
        </w:rPr>
        <w:t xml:space="preserve"> pilotée par le PNPCSP. </w:t>
      </w:r>
      <w:r w:rsidR="00192FC1" w:rsidRPr="00C61BE0">
        <w:rPr>
          <w:sz w:val="24"/>
          <w:lang w:val="fr-FR"/>
        </w:rPr>
        <w:t xml:space="preserve">Un atelier </w:t>
      </w:r>
      <w:r w:rsidR="00D063E3" w:rsidRPr="00C61BE0">
        <w:rPr>
          <w:sz w:val="24"/>
          <w:lang w:val="fr-FR"/>
        </w:rPr>
        <w:t>national</w:t>
      </w:r>
      <w:r w:rsidR="00D063E3">
        <w:rPr>
          <w:sz w:val="24"/>
          <w:lang w:val="fr-FR"/>
        </w:rPr>
        <w:t xml:space="preserve"> a </w:t>
      </w:r>
      <w:r w:rsidR="00192FC1" w:rsidRPr="00C61BE0">
        <w:rPr>
          <w:sz w:val="24"/>
          <w:lang w:val="fr-FR"/>
        </w:rPr>
        <w:t>été organisé</w:t>
      </w:r>
      <w:r w:rsidRPr="00C61BE0">
        <w:rPr>
          <w:sz w:val="24"/>
          <w:lang w:val="fr-FR"/>
        </w:rPr>
        <w:t xml:space="preserve"> pour l’identification des goulots d’étranglement et des solutions, la formulation des axes stratégiques et des activités pour accélérer la PECP en Guinée. Tous les détenteurs d’enjeux ont été inclus et on</w:t>
      </w:r>
      <w:r w:rsidR="00F738D6" w:rsidRPr="00C61BE0">
        <w:rPr>
          <w:sz w:val="24"/>
          <w:lang w:val="fr-FR"/>
        </w:rPr>
        <w:t>t</w:t>
      </w:r>
      <w:r w:rsidRPr="00C61BE0">
        <w:rPr>
          <w:sz w:val="24"/>
          <w:lang w:val="fr-FR"/>
        </w:rPr>
        <w:t xml:space="preserve"> contribué. Il s’agit des personnes vivant avec le VIH</w:t>
      </w:r>
      <w:r w:rsidR="00F738D6" w:rsidRPr="00C61BE0">
        <w:rPr>
          <w:sz w:val="24"/>
          <w:lang w:val="fr-FR"/>
        </w:rPr>
        <w:t xml:space="preserve"> (PVVIH)</w:t>
      </w:r>
      <w:r w:rsidRPr="00C61BE0">
        <w:rPr>
          <w:sz w:val="24"/>
          <w:lang w:val="fr-FR"/>
        </w:rPr>
        <w:t>, des prestataires, des gestionnaires des services de santé, du Comité National de Lutte contre le Sida, du PNPCSP, des chercheurs et des partenaires techniques et financiers impliqués dans le lutte contre le VIH/sida en Guinée (UNICEF, ONUSIDA, OMS, MSF</w:t>
      </w:r>
      <w:r w:rsidR="00192FC1" w:rsidRPr="00C61BE0">
        <w:rPr>
          <w:sz w:val="24"/>
          <w:lang w:val="fr-FR"/>
        </w:rPr>
        <w:t>, SOLTHIS,…</w:t>
      </w:r>
      <w:r w:rsidRPr="00C61BE0">
        <w:rPr>
          <w:sz w:val="24"/>
          <w:lang w:val="fr-FR"/>
        </w:rPr>
        <w:t>)</w:t>
      </w:r>
      <w:r w:rsidR="00641A1B" w:rsidRPr="00C61BE0">
        <w:rPr>
          <w:sz w:val="24"/>
          <w:lang w:val="fr-FR"/>
        </w:rPr>
        <w:t>. Deux consultants (national et international) ont appuyé le processus</w:t>
      </w:r>
      <w:r w:rsidR="0017274A" w:rsidRPr="00C61BE0">
        <w:rPr>
          <w:sz w:val="24"/>
          <w:lang w:val="fr-FR"/>
        </w:rPr>
        <w:t xml:space="preserve"> sur la base des termes de référence qui précisaient les obj</w:t>
      </w:r>
      <w:r w:rsidR="00192FC1" w:rsidRPr="00C61BE0">
        <w:rPr>
          <w:sz w:val="24"/>
          <w:lang w:val="fr-FR"/>
        </w:rPr>
        <w:t>ectifs et les livrables attendu</w:t>
      </w:r>
      <w:r w:rsidR="0017274A" w:rsidRPr="00C61BE0">
        <w:rPr>
          <w:sz w:val="24"/>
          <w:lang w:val="fr-FR"/>
        </w:rPr>
        <w:t>s.</w:t>
      </w:r>
      <w:r w:rsidR="00641A1B" w:rsidRPr="00C61BE0">
        <w:rPr>
          <w:sz w:val="24"/>
          <w:lang w:val="fr-FR"/>
        </w:rPr>
        <w:t xml:space="preserve">De plus, des sessions restreintes de travail ont été organisées pour la pré-validation. </w:t>
      </w:r>
    </w:p>
    <w:p w:rsidR="00E67A6B" w:rsidRPr="00C61BE0" w:rsidRDefault="00E67A6B" w:rsidP="00C61BE0">
      <w:pPr>
        <w:rPr>
          <w:sz w:val="24"/>
          <w:lang w:val="fr-FR"/>
        </w:rPr>
      </w:pPr>
    </w:p>
    <w:p w:rsidR="00DF5A3A" w:rsidRPr="00E67A6B" w:rsidRDefault="00BE07AB" w:rsidP="00E67A6B">
      <w:pPr>
        <w:pStyle w:val="Titre2"/>
        <w:numPr>
          <w:ilvl w:val="1"/>
          <w:numId w:val="10"/>
        </w:numPr>
        <w:spacing w:before="0"/>
        <w:ind w:left="426" w:hanging="426"/>
        <w:rPr>
          <w:color w:val="auto"/>
          <w:sz w:val="28"/>
          <w:szCs w:val="28"/>
          <w:lang w:val="fr-FR"/>
        </w:rPr>
      </w:pPr>
      <w:bookmarkStart w:id="19" w:name="_Toc480382922"/>
      <w:r>
        <w:rPr>
          <w:color w:val="auto"/>
          <w:sz w:val="28"/>
          <w:szCs w:val="28"/>
          <w:lang w:val="fr-FR"/>
        </w:rPr>
        <w:t xml:space="preserve">. </w:t>
      </w:r>
      <w:r w:rsidR="00D710D5" w:rsidRPr="00E67A6B">
        <w:rPr>
          <w:color w:val="auto"/>
          <w:sz w:val="28"/>
          <w:szCs w:val="28"/>
          <w:lang w:val="fr-FR"/>
        </w:rPr>
        <w:t>Collecte des données</w:t>
      </w:r>
      <w:bookmarkEnd w:id="19"/>
    </w:p>
    <w:p w:rsidR="00641A1B" w:rsidRPr="00C61BE0" w:rsidRDefault="00641A1B" w:rsidP="00C61BE0">
      <w:pPr>
        <w:rPr>
          <w:sz w:val="24"/>
          <w:lang w:val="fr-FR"/>
        </w:rPr>
      </w:pPr>
    </w:p>
    <w:p w:rsidR="004D7FA0" w:rsidRDefault="00D710D5" w:rsidP="00C61BE0">
      <w:pPr>
        <w:rPr>
          <w:sz w:val="24"/>
          <w:lang w:val="fr-FR"/>
        </w:rPr>
      </w:pPr>
      <w:r w:rsidRPr="00C61BE0">
        <w:rPr>
          <w:sz w:val="24"/>
          <w:lang w:val="fr-FR"/>
        </w:rPr>
        <w:t>Les données ont été collectées à travers une revue documentaire et les contribu</w:t>
      </w:r>
      <w:r w:rsidR="00192FC1" w:rsidRPr="00C61BE0">
        <w:rPr>
          <w:sz w:val="24"/>
          <w:lang w:val="fr-FR"/>
        </w:rPr>
        <w:t>tions des participants lors de l’</w:t>
      </w:r>
      <w:r w:rsidRPr="00C61BE0">
        <w:rPr>
          <w:sz w:val="24"/>
          <w:lang w:val="fr-FR"/>
        </w:rPr>
        <w:t>atelier</w:t>
      </w:r>
      <w:r w:rsidR="004D7FA0" w:rsidRPr="00C61BE0">
        <w:rPr>
          <w:sz w:val="24"/>
          <w:lang w:val="fr-FR"/>
        </w:rPr>
        <w:t xml:space="preserve"> nation</w:t>
      </w:r>
      <w:r w:rsidR="00192FC1" w:rsidRPr="00C61BE0">
        <w:rPr>
          <w:sz w:val="24"/>
          <w:lang w:val="fr-FR"/>
        </w:rPr>
        <w:t>al</w:t>
      </w:r>
      <w:r w:rsidR="004D7FA0" w:rsidRPr="00C61BE0">
        <w:rPr>
          <w:sz w:val="24"/>
          <w:lang w:val="fr-FR"/>
        </w:rPr>
        <w:t>. Les documents consultés étaient</w:t>
      </w:r>
      <w:r w:rsidR="0063001D" w:rsidRPr="00C61BE0">
        <w:rPr>
          <w:sz w:val="24"/>
          <w:lang w:val="fr-FR"/>
        </w:rPr>
        <w:t xml:space="preserve"> entre autres</w:t>
      </w:r>
      <w:r w:rsidR="004D7FA0" w:rsidRPr="00C61BE0">
        <w:rPr>
          <w:sz w:val="24"/>
          <w:lang w:val="fr-FR"/>
        </w:rPr>
        <w:t> :</w:t>
      </w:r>
    </w:p>
    <w:p w:rsidR="00E67A6B" w:rsidRPr="00C61BE0" w:rsidRDefault="00E67A6B" w:rsidP="00C61BE0">
      <w:pPr>
        <w:rPr>
          <w:sz w:val="24"/>
          <w:lang w:val="fr-FR"/>
        </w:rPr>
      </w:pPr>
    </w:p>
    <w:p w:rsidR="00226CD2" w:rsidRPr="00C61BE0" w:rsidRDefault="00226CD2" w:rsidP="00C61BE0">
      <w:pPr>
        <w:pStyle w:val="Paragraphedeliste"/>
        <w:numPr>
          <w:ilvl w:val="0"/>
          <w:numId w:val="2"/>
        </w:numPr>
        <w:rPr>
          <w:sz w:val="24"/>
          <w:lang w:val="fr-FR"/>
        </w:rPr>
      </w:pPr>
      <w:r w:rsidRPr="00C61BE0">
        <w:rPr>
          <w:sz w:val="24"/>
          <w:lang w:val="fr-FR"/>
        </w:rPr>
        <w:t xml:space="preserve">Les rapports annuels du </w:t>
      </w:r>
      <w:r w:rsidR="007F519A" w:rsidRPr="00C61BE0">
        <w:rPr>
          <w:sz w:val="24"/>
          <w:lang w:val="fr-FR"/>
        </w:rPr>
        <w:t>PNPCSP de 2008 à 2016</w:t>
      </w:r>
    </w:p>
    <w:p w:rsidR="00D3071F" w:rsidRPr="00C61BE0" w:rsidRDefault="00D3071F" w:rsidP="00C61BE0">
      <w:pPr>
        <w:pStyle w:val="Paragraphedeliste"/>
        <w:numPr>
          <w:ilvl w:val="0"/>
          <w:numId w:val="2"/>
        </w:numPr>
        <w:rPr>
          <w:sz w:val="24"/>
          <w:lang w:val="fr-FR"/>
        </w:rPr>
      </w:pPr>
      <w:r w:rsidRPr="00C61BE0">
        <w:rPr>
          <w:sz w:val="24"/>
          <w:lang w:val="fr-FR"/>
        </w:rPr>
        <w:t xml:space="preserve">Les Documents de politiques de santé de la Guinée </w:t>
      </w:r>
    </w:p>
    <w:p w:rsidR="00D3071F" w:rsidRPr="00C61BE0" w:rsidRDefault="00D3071F" w:rsidP="00C61BE0">
      <w:pPr>
        <w:pStyle w:val="Paragraphedeliste"/>
        <w:numPr>
          <w:ilvl w:val="0"/>
          <w:numId w:val="2"/>
        </w:numPr>
        <w:rPr>
          <w:sz w:val="24"/>
          <w:lang w:val="fr-FR"/>
        </w:rPr>
      </w:pPr>
      <w:r w:rsidRPr="00C61BE0">
        <w:rPr>
          <w:sz w:val="24"/>
          <w:lang w:val="fr-FR"/>
        </w:rPr>
        <w:t>Les Documents de normes et standard de prise en charge du VIH chez l’enfant et l’adolescent</w:t>
      </w:r>
    </w:p>
    <w:p w:rsidR="00D3071F" w:rsidRPr="00C61BE0" w:rsidRDefault="00D3071F" w:rsidP="00C61BE0">
      <w:pPr>
        <w:pStyle w:val="Paragraphedeliste"/>
        <w:numPr>
          <w:ilvl w:val="0"/>
          <w:numId w:val="2"/>
        </w:numPr>
        <w:rPr>
          <w:sz w:val="24"/>
          <w:lang w:val="fr-FR"/>
        </w:rPr>
      </w:pPr>
      <w:r w:rsidRPr="00C61BE0">
        <w:rPr>
          <w:sz w:val="24"/>
          <w:lang w:val="fr-FR"/>
        </w:rPr>
        <w:t>Les Rapports d’études et d’enquêtes liées à la santé de l’enfant et au VIH</w:t>
      </w:r>
    </w:p>
    <w:p w:rsidR="00192FC1" w:rsidRPr="00C61BE0" w:rsidRDefault="00192FC1" w:rsidP="00C61BE0">
      <w:pPr>
        <w:pStyle w:val="Paragraphedeliste"/>
        <w:numPr>
          <w:ilvl w:val="0"/>
          <w:numId w:val="2"/>
        </w:numPr>
        <w:rPr>
          <w:sz w:val="24"/>
          <w:lang w:val="fr-FR"/>
        </w:rPr>
      </w:pPr>
      <w:r w:rsidRPr="00C61BE0">
        <w:rPr>
          <w:sz w:val="24"/>
          <w:lang w:val="fr-FR"/>
        </w:rPr>
        <w:t>Le Plan stratégique pour l’élimination de la transmission mère</w:t>
      </w:r>
      <w:r w:rsidR="00FA5925">
        <w:rPr>
          <w:sz w:val="24"/>
          <w:lang w:val="fr-FR"/>
        </w:rPr>
        <w:t>-</w:t>
      </w:r>
      <w:r w:rsidRPr="00C61BE0">
        <w:rPr>
          <w:sz w:val="24"/>
          <w:lang w:val="fr-FR"/>
        </w:rPr>
        <w:t>enfant du VIH 2015-2017</w:t>
      </w:r>
    </w:p>
    <w:p w:rsidR="0063001D" w:rsidRPr="00C61BE0" w:rsidRDefault="0063001D" w:rsidP="00C61BE0">
      <w:pPr>
        <w:pStyle w:val="Paragraphedeliste"/>
        <w:numPr>
          <w:ilvl w:val="0"/>
          <w:numId w:val="2"/>
        </w:numPr>
        <w:rPr>
          <w:sz w:val="24"/>
          <w:lang w:val="fr-FR"/>
        </w:rPr>
      </w:pPr>
      <w:r w:rsidRPr="00C61BE0">
        <w:rPr>
          <w:sz w:val="24"/>
          <w:lang w:val="fr-FR"/>
        </w:rPr>
        <w:t xml:space="preserve">Le Plan stratégique de lutte contre le VIH/sida </w:t>
      </w:r>
      <w:r w:rsidR="00F738D6" w:rsidRPr="00C61BE0">
        <w:rPr>
          <w:sz w:val="24"/>
          <w:lang w:val="fr-FR"/>
        </w:rPr>
        <w:t xml:space="preserve">2013-2017 </w:t>
      </w:r>
      <w:r w:rsidRPr="00C61BE0">
        <w:rPr>
          <w:sz w:val="24"/>
          <w:lang w:val="fr-FR"/>
        </w:rPr>
        <w:t>en Guinée</w:t>
      </w:r>
    </w:p>
    <w:p w:rsidR="00D3071F" w:rsidRPr="00C61BE0" w:rsidRDefault="00D3071F" w:rsidP="00C61BE0">
      <w:pPr>
        <w:pStyle w:val="Paragraphedeliste"/>
        <w:numPr>
          <w:ilvl w:val="0"/>
          <w:numId w:val="2"/>
        </w:numPr>
        <w:rPr>
          <w:sz w:val="24"/>
          <w:lang w:val="fr-FR"/>
        </w:rPr>
      </w:pPr>
      <w:r w:rsidRPr="00C61BE0">
        <w:rPr>
          <w:sz w:val="24"/>
          <w:lang w:val="fr-FR"/>
        </w:rPr>
        <w:t>Les Données Spectrum sur le VIH</w:t>
      </w:r>
    </w:p>
    <w:p w:rsidR="007F519A" w:rsidRPr="00C61BE0" w:rsidRDefault="007F519A" w:rsidP="00C61BE0">
      <w:pPr>
        <w:pStyle w:val="Paragraphedeliste"/>
        <w:numPr>
          <w:ilvl w:val="0"/>
          <w:numId w:val="2"/>
        </w:numPr>
        <w:rPr>
          <w:sz w:val="24"/>
          <w:lang w:val="fr-FR"/>
        </w:rPr>
      </w:pPr>
      <w:r w:rsidRPr="00C61BE0">
        <w:rPr>
          <w:sz w:val="24"/>
          <w:lang w:val="fr-FR"/>
        </w:rPr>
        <w:t>Les Directives OMS</w:t>
      </w:r>
      <w:r w:rsidR="00F738D6" w:rsidRPr="00C61BE0">
        <w:rPr>
          <w:sz w:val="24"/>
          <w:lang w:val="fr-FR"/>
        </w:rPr>
        <w:t xml:space="preserve"> de prise en charge du VIH</w:t>
      </w:r>
    </w:p>
    <w:p w:rsidR="00E67A6B" w:rsidRDefault="00E67A6B" w:rsidP="00C61BE0">
      <w:pPr>
        <w:rPr>
          <w:sz w:val="24"/>
          <w:lang w:val="fr-FR"/>
        </w:rPr>
      </w:pPr>
    </w:p>
    <w:p w:rsidR="0017274A" w:rsidRPr="00C61BE0" w:rsidRDefault="0017274A" w:rsidP="00C61BE0">
      <w:pPr>
        <w:rPr>
          <w:sz w:val="24"/>
          <w:lang w:val="fr-FR"/>
        </w:rPr>
      </w:pPr>
      <w:r w:rsidRPr="00C61BE0">
        <w:rPr>
          <w:sz w:val="24"/>
          <w:lang w:val="fr-FR"/>
        </w:rPr>
        <w:t>L’atelier d’analyse des goulots d’étranglement et de formulation des stratégies a réuni une vingtaine de participants</w:t>
      </w:r>
      <w:r w:rsidR="00F738D6" w:rsidRPr="00C61BE0">
        <w:rPr>
          <w:sz w:val="24"/>
          <w:lang w:val="fr-FR"/>
        </w:rPr>
        <w:t>. Les</w:t>
      </w:r>
      <w:r w:rsidRPr="00C61BE0">
        <w:rPr>
          <w:sz w:val="24"/>
          <w:lang w:val="fr-FR"/>
        </w:rPr>
        <w:t xml:space="preserve"> Sections VIH du Bureau régional de l’Unicef et du Bureau Pays</w:t>
      </w:r>
      <w:r w:rsidR="00F738D6" w:rsidRPr="00C61BE0">
        <w:rPr>
          <w:sz w:val="24"/>
          <w:lang w:val="fr-FR"/>
        </w:rPr>
        <w:t xml:space="preserve"> ont participé à la revue interne du plan</w:t>
      </w:r>
      <w:r w:rsidRPr="00C61BE0">
        <w:rPr>
          <w:sz w:val="24"/>
          <w:lang w:val="fr-FR"/>
        </w:rPr>
        <w:t>.</w:t>
      </w:r>
    </w:p>
    <w:p w:rsidR="007118AB" w:rsidRPr="00E67A6B" w:rsidRDefault="00BE07AB" w:rsidP="00E67A6B">
      <w:pPr>
        <w:pStyle w:val="Titre2"/>
        <w:numPr>
          <w:ilvl w:val="1"/>
          <w:numId w:val="10"/>
        </w:numPr>
        <w:spacing w:before="0"/>
        <w:ind w:left="426" w:hanging="426"/>
        <w:rPr>
          <w:color w:val="auto"/>
          <w:sz w:val="28"/>
          <w:szCs w:val="28"/>
          <w:lang w:val="fr-FR"/>
        </w:rPr>
      </w:pPr>
      <w:bookmarkStart w:id="20" w:name="_Toc480382923"/>
      <w:r>
        <w:rPr>
          <w:color w:val="auto"/>
          <w:sz w:val="28"/>
          <w:szCs w:val="28"/>
          <w:lang w:val="fr-FR"/>
        </w:rPr>
        <w:t xml:space="preserve">. </w:t>
      </w:r>
      <w:r w:rsidR="007118AB" w:rsidRPr="00E67A6B">
        <w:rPr>
          <w:color w:val="auto"/>
          <w:sz w:val="28"/>
          <w:szCs w:val="28"/>
          <w:lang w:val="fr-FR"/>
        </w:rPr>
        <w:t>Analyse des données</w:t>
      </w:r>
      <w:bookmarkEnd w:id="20"/>
    </w:p>
    <w:p w:rsidR="00E67A6B" w:rsidRDefault="00E67A6B" w:rsidP="00C61BE0">
      <w:pPr>
        <w:jc w:val="left"/>
        <w:rPr>
          <w:sz w:val="24"/>
          <w:lang w:val="fr-FR"/>
        </w:rPr>
      </w:pPr>
    </w:p>
    <w:p w:rsidR="00880B02" w:rsidRDefault="007118AB" w:rsidP="00C61BE0">
      <w:pPr>
        <w:jc w:val="left"/>
        <w:rPr>
          <w:sz w:val="24"/>
          <w:lang w:val="fr-FR"/>
        </w:rPr>
      </w:pPr>
      <w:r w:rsidRPr="00C61BE0">
        <w:rPr>
          <w:sz w:val="24"/>
          <w:lang w:val="fr-FR"/>
        </w:rPr>
        <w:t xml:space="preserve">Le cadre conceptuel d’analyse </w:t>
      </w:r>
      <w:r w:rsidR="0063001D" w:rsidRPr="00C61BE0">
        <w:rPr>
          <w:sz w:val="24"/>
          <w:lang w:val="fr-FR"/>
        </w:rPr>
        <w:t>tenait compte</w:t>
      </w:r>
      <w:r w:rsidR="00880B02" w:rsidRPr="00C61BE0">
        <w:rPr>
          <w:sz w:val="24"/>
          <w:lang w:val="fr-FR"/>
        </w:rPr>
        <w:t xml:space="preserve"> des thématiques suivantes :</w:t>
      </w:r>
    </w:p>
    <w:p w:rsidR="00E67A6B" w:rsidRPr="00C61BE0" w:rsidRDefault="00E67A6B" w:rsidP="00C61BE0">
      <w:pPr>
        <w:jc w:val="left"/>
        <w:rPr>
          <w:sz w:val="24"/>
          <w:lang w:val="fr-FR"/>
        </w:rPr>
      </w:pPr>
    </w:p>
    <w:p w:rsidR="00880B02" w:rsidRPr="00C61BE0" w:rsidRDefault="00880B02" w:rsidP="00C61BE0">
      <w:pPr>
        <w:pStyle w:val="Paragraphedeliste"/>
        <w:numPr>
          <w:ilvl w:val="0"/>
          <w:numId w:val="2"/>
        </w:numPr>
        <w:jc w:val="left"/>
        <w:rPr>
          <w:sz w:val="24"/>
          <w:lang w:val="fr-FR"/>
        </w:rPr>
      </w:pPr>
      <w:r w:rsidRPr="00C61BE0">
        <w:rPr>
          <w:sz w:val="24"/>
          <w:lang w:val="fr-FR"/>
        </w:rPr>
        <w:t>L’environnement programmatique</w:t>
      </w:r>
    </w:p>
    <w:p w:rsidR="00880B02" w:rsidRPr="00C61BE0" w:rsidRDefault="00880B02" w:rsidP="00C61BE0">
      <w:pPr>
        <w:pStyle w:val="Paragraphedeliste"/>
        <w:numPr>
          <w:ilvl w:val="0"/>
          <w:numId w:val="2"/>
        </w:numPr>
        <w:jc w:val="left"/>
        <w:rPr>
          <w:sz w:val="24"/>
          <w:lang w:val="fr-FR"/>
        </w:rPr>
      </w:pPr>
      <w:r w:rsidRPr="00C61BE0">
        <w:rPr>
          <w:sz w:val="24"/>
          <w:lang w:val="fr-FR"/>
        </w:rPr>
        <w:t>L’offre de soins et des services de santé</w:t>
      </w:r>
    </w:p>
    <w:p w:rsidR="00880B02" w:rsidRPr="00C61BE0" w:rsidRDefault="00880B02" w:rsidP="00C61BE0">
      <w:pPr>
        <w:pStyle w:val="Paragraphedeliste"/>
        <w:numPr>
          <w:ilvl w:val="0"/>
          <w:numId w:val="2"/>
        </w:numPr>
        <w:jc w:val="left"/>
        <w:rPr>
          <w:sz w:val="24"/>
          <w:lang w:val="fr-FR"/>
        </w:rPr>
      </w:pPr>
      <w:r w:rsidRPr="00C61BE0">
        <w:rPr>
          <w:sz w:val="24"/>
          <w:lang w:val="fr-FR"/>
        </w:rPr>
        <w:t>La demande et l’utilisation des services</w:t>
      </w:r>
    </w:p>
    <w:p w:rsidR="00B93DDB" w:rsidRPr="00C61BE0" w:rsidRDefault="00880B02" w:rsidP="00C61BE0">
      <w:pPr>
        <w:pStyle w:val="Paragraphedeliste"/>
        <w:numPr>
          <w:ilvl w:val="0"/>
          <w:numId w:val="2"/>
        </w:numPr>
        <w:jc w:val="left"/>
        <w:rPr>
          <w:sz w:val="24"/>
          <w:lang w:val="fr-FR"/>
        </w:rPr>
      </w:pPr>
      <w:r w:rsidRPr="00C61BE0">
        <w:rPr>
          <w:sz w:val="24"/>
          <w:lang w:val="fr-FR"/>
        </w:rPr>
        <w:t>La qualité des soins</w:t>
      </w:r>
      <w:r w:rsidR="00B93DDB" w:rsidRPr="00C61BE0">
        <w:rPr>
          <w:sz w:val="24"/>
          <w:lang w:val="fr-FR"/>
        </w:rPr>
        <w:t>.</w:t>
      </w:r>
    </w:p>
    <w:p w:rsidR="00E67A6B" w:rsidRDefault="00E67A6B" w:rsidP="00C61BE0">
      <w:pPr>
        <w:jc w:val="left"/>
        <w:rPr>
          <w:sz w:val="24"/>
          <w:lang w:val="fr-FR"/>
        </w:rPr>
      </w:pPr>
    </w:p>
    <w:p w:rsidR="00641A1B" w:rsidRPr="00641A1B" w:rsidRDefault="00641A1B" w:rsidP="00C61BE0">
      <w:pPr>
        <w:jc w:val="left"/>
        <w:rPr>
          <w:lang w:val="fr-FR"/>
        </w:rPr>
        <w:sectPr w:rsidR="00641A1B" w:rsidRPr="00641A1B" w:rsidSect="00F402CC">
          <w:footerReference w:type="default" r:id="rId17"/>
          <w:pgSz w:w="12240" w:h="15840"/>
          <w:pgMar w:top="1440" w:right="1440" w:bottom="1440" w:left="1440" w:header="720" w:footer="720" w:gutter="0"/>
          <w:pgNumType w:start="6"/>
          <w:cols w:space="720"/>
          <w:docGrid w:linePitch="360"/>
        </w:sectPr>
      </w:pPr>
      <w:r w:rsidRPr="00C61BE0">
        <w:rPr>
          <w:sz w:val="24"/>
          <w:lang w:val="fr-FR"/>
        </w:rPr>
        <w:t xml:space="preserve">Les données quantitatives ont été analysées sur Excel et des tableaux et graphiques ont été produits. Les données qualitatives ont été regroupées par thématiques. </w:t>
      </w:r>
    </w:p>
    <w:p w:rsidR="004D7FA0" w:rsidRDefault="004D7FA0" w:rsidP="00B93DDB">
      <w:pPr>
        <w:jc w:val="left"/>
        <w:rPr>
          <w:lang w:val="fr-FR"/>
        </w:rPr>
      </w:pPr>
    </w:p>
    <w:p w:rsidR="00E67A6B" w:rsidRPr="00B93DDB" w:rsidRDefault="00E67A6B" w:rsidP="00B93DDB">
      <w:pPr>
        <w:jc w:val="left"/>
        <w:rPr>
          <w:lang w:val="fr-FR"/>
        </w:rPr>
      </w:pPr>
    </w:p>
    <w:p w:rsidR="007533D5" w:rsidRDefault="007533D5" w:rsidP="00F402CC">
      <w:pPr>
        <w:pStyle w:val="Titre1"/>
        <w:spacing w:before="0"/>
        <w:rPr>
          <w:sz w:val="40"/>
          <w:szCs w:val="40"/>
          <w:lang w:val="fr-FR"/>
        </w:rPr>
      </w:pPr>
    </w:p>
    <w:p w:rsidR="007533D5" w:rsidRDefault="007533D5" w:rsidP="007533D5">
      <w:pPr>
        <w:pStyle w:val="Titre1"/>
        <w:spacing w:before="0"/>
        <w:jc w:val="center"/>
        <w:rPr>
          <w:sz w:val="40"/>
          <w:szCs w:val="40"/>
          <w:lang w:val="fr-FR"/>
        </w:rPr>
      </w:pPr>
    </w:p>
    <w:p w:rsidR="007533D5" w:rsidRDefault="007533D5" w:rsidP="007533D5">
      <w:pPr>
        <w:pStyle w:val="Titre1"/>
        <w:spacing w:before="0"/>
        <w:jc w:val="center"/>
        <w:rPr>
          <w:sz w:val="40"/>
          <w:szCs w:val="40"/>
          <w:lang w:val="fr-FR"/>
        </w:rPr>
      </w:pPr>
    </w:p>
    <w:p w:rsidR="007533D5" w:rsidRDefault="007533D5" w:rsidP="007533D5">
      <w:pPr>
        <w:pStyle w:val="Titre1"/>
        <w:spacing w:before="0"/>
        <w:jc w:val="center"/>
        <w:rPr>
          <w:sz w:val="40"/>
          <w:szCs w:val="40"/>
          <w:lang w:val="fr-FR"/>
        </w:rPr>
      </w:pPr>
    </w:p>
    <w:p w:rsidR="007533D5" w:rsidRDefault="007533D5" w:rsidP="007533D5">
      <w:pPr>
        <w:pStyle w:val="Titre1"/>
        <w:spacing w:before="0"/>
        <w:jc w:val="center"/>
        <w:rPr>
          <w:sz w:val="40"/>
          <w:szCs w:val="40"/>
          <w:lang w:val="fr-FR"/>
        </w:rPr>
      </w:pPr>
    </w:p>
    <w:p w:rsidR="007533D5" w:rsidRDefault="007533D5" w:rsidP="007533D5">
      <w:pPr>
        <w:pStyle w:val="Titre1"/>
        <w:spacing w:before="0"/>
        <w:jc w:val="center"/>
        <w:rPr>
          <w:sz w:val="40"/>
          <w:szCs w:val="40"/>
          <w:lang w:val="fr-FR"/>
        </w:rPr>
      </w:pPr>
    </w:p>
    <w:p w:rsidR="007533D5" w:rsidRDefault="007533D5" w:rsidP="007533D5">
      <w:pPr>
        <w:pStyle w:val="Titre1"/>
        <w:spacing w:before="0"/>
        <w:jc w:val="center"/>
        <w:rPr>
          <w:sz w:val="40"/>
          <w:szCs w:val="40"/>
          <w:lang w:val="fr-FR"/>
        </w:rPr>
      </w:pPr>
    </w:p>
    <w:p w:rsidR="007533D5" w:rsidRDefault="007533D5" w:rsidP="007533D5">
      <w:pPr>
        <w:pStyle w:val="Titre1"/>
        <w:spacing w:before="0"/>
        <w:jc w:val="center"/>
        <w:rPr>
          <w:sz w:val="40"/>
          <w:szCs w:val="40"/>
          <w:lang w:val="fr-FR"/>
        </w:rPr>
      </w:pPr>
    </w:p>
    <w:p w:rsidR="007533D5" w:rsidRDefault="007533D5" w:rsidP="007533D5">
      <w:pPr>
        <w:pStyle w:val="Titre1"/>
        <w:spacing w:before="0"/>
        <w:jc w:val="center"/>
        <w:rPr>
          <w:sz w:val="40"/>
          <w:szCs w:val="40"/>
          <w:lang w:val="fr-FR"/>
        </w:rPr>
      </w:pPr>
    </w:p>
    <w:p w:rsidR="007533D5" w:rsidRDefault="007533D5" w:rsidP="007533D5">
      <w:pPr>
        <w:pStyle w:val="Titre1"/>
        <w:spacing w:before="0"/>
        <w:jc w:val="center"/>
        <w:rPr>
          <w:sz w:val="40"/>
          <w:szCs w:val="40"/>
          <w:lang w:val="fr-FR"/>
        </w:rPr>
      </w:pPr>
    </w:p>
    <w:p w:rsidR="007533D5" w:rsidRDefault="007533D5" w:rsidP="007533D5">
      <w:pPr>
        <w:pStyle w:val="Titre1"/>
        <w:spacing w:before="0"/>
        <w:jc w:val="center"/>
        <w:rPr>
          <w:sz w:val="40"/>
          <w:szCs w:val="40"/>
          <w:lang w:val="fr-FR"/>
        </w:rPr>
      </w:pPr>
    </w:p>
    <w:p w:rsidR="00B93DDB" w:rsidRDefault="004D7FA0" w:rsidP="007533D5">
      <w:pPr>
        <w:pStyle w:val="Titre1"/>
        <w:spacing w:before="0"/>
        <w:jc w:val="center"/>
        <w:rPr>
          <w:sz w:val="40"/>
          <w:szCs w:val="40"/>
          <w:lang w:val="fr-FR"/>
        </w:rPr>
      </w:pPr>
      <w:bookmarkStart w:id="21" w:name="_Toc480382924"/>
      <w:r w:rsidRPr="00B93DDB">
        <w:rPr>
          <w:sz w:val="40"/>
          <w:szCs w:val="40"/>
          <w:lang w:val="fr-FR"/>
        </w:rPr>
        <w:t>CHAPITRE 3</w:t>
      </w:r>
      <w:r w:rsidR="00BE07AB">
        <w:rPr>
          <w:sz w:val="40"/>
          <w:szCs w:val="40"/>
          <w:lang w:val="fr-FR"/>
        </w:rPr>
        <w:t> :</w:t>
      </w:r>
      <w:r w:rsidRPr="00B93DDB">
        <w:rPr>
          <w:sz w:val="40"/>
          <w:szCs w:val="40"/>
          <w:lang w:val="fr-FR"/>
        </w:rPr>
        <w:t xml:space="preserve"> ETAT DES LIEUX DE LA PRISE EN CHARGE DU VIH CHEZ L’ENFANT EN GUINEE</w:t>
      </w:r>
      <w:bookmarkEnd w:id="21"/>
    </w:p>
    <w:p w:rsidR="007533D5" w:rsidRDefault="007533D5" w:rsidP="00B93DDB">
      <w:pPr>
        <w:rPr>
          <w:lang w:val="fr-FR"/>
        </w:rPr>
        <w:sectPr w:rsidR="007533D5" w:rsidSect="007533D5">
          <w:footerReference w:type="default" r:id="rId18"/>
          <w:pgSz w:w="12240" w:h="15840"/>
          <w:pgMar w:top="1440" w:right="1440" w:bottom="1440" w:left="1440" w:header="720" w:footer="720" w:gutter="0"/>
          <w:pgNumType w:start="9"/>
          <w:cols w:space="720"/>
          <w:docGrid w:linePitch="360"/>
        </w:sectPr>
      </w:pPr>
    </w:p>
    <w:p w:rsidR="000123EE" w:rsidRPr="00E67A6B" w:rsidRDefault="00E67A6B" w:rsidP="009B2B2E">
      <w:pPr>
        <w:pStyle w:val="Titre2"/>
        <w:numPr>
          <w:ilvl w:val="1"/>
          <w:numId w:val="19"/>
        </w:numPr>
        <w:rPr>
          <w:color w:val="auto"/>
          <w:sz w:val="28"/>
          <w:szCs w:val="28"/>
          <w:lang w:val="fr-FR"/>
        </w:rPr>
      </w:pPr>
      <w:bookmarkStart w:id="22" w:name="_Toc480382925"/>
      <w:r>
        <w:rPr>
          <w:color w:val="auto"/>
          <w:sz w:val="28"/>
          <w:szCs w:val="28"/>
          <w:lang w:val="fr-FR"/>
        </w:rPr>
        <w:t xml:space="preserve">. </w:t>
      </w:r>
      <w:r w:rsidR="00340B22" w:rsidRPr="00E67A6B">
        <w:rPr>
          <w:color w:val="auto"/>
          <w:sz w:val="28"/>
          <w:szCs w:val="28"/>
          <w:lang w:val="fr-FR"/>
        </w:rPr>
        <w:t>Organisation du système de santé</w:t>
      </w:r>
      <w:bookmarkEnd w:id="22"/>
    </w:p>
    <w:p w:rsidR="00340B22" w:rsidRPr="00E67A6B" w:rsidRDefault="00340B22" w:rsidP="00E67A6B">
      <w:pPr>
        <w:pStyle w:val="Paragraphedeliste"/>
        <w:ind w:left="1080"/>
        <w:rPr>
          <w:rFonts w:ascii="Arial" w:hAnsi="Arial" w:cs="Arial"/>
          <w:sz w:val="24"/>
          <w:lang w:val="fr-FR"/>
        </w:rPr>
      </w:pPr>
    </w:p>
    <w:p w:rsidR="00E36E7B" w:rsidRDefault="00E36E7B" w:rsidP="00E67A6B">
      <w:pPr>
        <w:rPr>
          <w:rFonts w:cs="Arial"/>
          <w:noProof/>
          <w:sz w:val="24"/>
          <w:lang w:val="fr-FR"/>
        </w:rPr>
      </w:pPr>
      <w:r w:rsidRPr="00E67A6B">
        <w:rPr>
          <w:rFonts w:cs="Arial"/>
          <w:noProof/>
          <w:sz w:val="24"/>
          <w:lang w:val="fr-FR"/>
        </w:rPr>
        <w:t>Le système de soins est composé de trois niveaux</w:t>
      </w:r>
      <w:r w:rsidR="008D3449" w:rsidRPr="00E67A6B">
        <w:rPr>
          <w:rFonts w:cs="Arial"/>
          <w:noProof/>
          <w:sz w:val="24"/>
          <w:lang w:val="fr-FR"/>
        </w:rPr>
        <w:t xml:space="preserve"> –central, régional et préfectoral</w:t>
      </w:r>
      <w:r w:rsidRPr="00E67A6B">
        <w:rPr>
          <w:rFonts w:cs="Arial"/>
          <w:noProof/>
          <w:sz w:val="24"/>
          <w:lang w:val="fr-FR"/>
        </w:rPr>
        <w:t>. Sur le plan administratif, on distingue :</w:t>
      </w:r>
    </w:p>
    <w:p w:rsidR="00E67A6B" w:rsidRPr="00E67A6B" w:rsidRDefault="00E67A6B" w:rsidP="00E67A6B">
      <w:pPr>
        <w:rPr>
          <w:rFonts w:cs="Arial"/>
          <w:noProof/>
          <w:sz w:val="24"/>
          <w:lang w:val="fr-FR"/>
        </w:rPr>
      </w:pPr>
    </w:p>
    <w:p w:rsidR="00E36E7B" w:rsidRPr="00E67A6B" w:rsidRDefault="00E36E7B" w:rsidP="00E67A6B">
      <w:pPr>
        <w:pStyle w:val="Listecouleur-Accent11"/>
        <w:numPr>
          <w:ilvl w:val="0"/>
          <w:numId w:val="1"/>
        </w:numPr>
        <w:rPr>
          <w:rFonts w:asciiTheme="minorHAnsi" w:hAnsiTheme="minorHAnsi" w:cs="Arial"/>
          <w:noProof/>
          <w:lang w:val="fr-FR"/>
        </w:rPr>
      </w:pPr>
      <w:r w:rsidRPr="00E67A6B">
        <w:rPr>
          <w:rFonts w:asciiTheme="minorHAnsi" w:hAnsiTheme="minorHAnsi" w:cs="Arial"/>
          <w:noProof/>
          <w:lang w:val="fr-FR"/>
        </w:rPr>
        <w:t>Le niveau central qui est chargé de la conception</w:t>
      </w:r>
      <w:r w:rsidR="008D3449" w:rsidRPr="00E67A6B">
        <w:rPr>
          <w:rFonts w:asciiTheme="minorHAnsi" w:hAnsiTheme="minorHAnsi" w:cs="Arial"/>
          <w:noProof/>
          <w:lang w:val="fr-FR"/>
        </w:rPr>
        <w:t xml:space="preserve"> et de la définition des politiques, des normes et standards et de la</w:t>
      </w:r>
      <w:r w:rsidRPr="00E67A6B">
        <w:rPr>
          <w:rFonts w:asciiTheme="minorHAnsi" w:hAnsiTheme="minorHAnsi" w:cs="Arial"/>
          <w:noProof/>
          <w:lang w:val="fr-FR"/>
        </w:rPr>
        <w:t xml:space="preserve"> mise en œuvre des orientations du Gouvernement en matière de santé</w:t>
      </w:r>
    </w:p>
    <w:p w:rsidR="00E36E7B" w:rsidRPr="00E67A6B" w:rsidRDefault="00E36E7B" w:rsidP="00E67A6B">
      <w:pPr>
        <w:pStyle w:val="Listecouleur-Accent11"/>
        <w:numPr>
          <w:ilvl w:val="0"/>
          <w:numId w:val="1"/>
        </w:numPr>
        <w:rPr>
          <w:rFonts w:asciiTheme="minorHAnsi" w:hAnsiTheme="minorHAnsi" w:cs="Arial"/>
          <w:noProof/>
          <w:lang w:val="fr-FR"/>
        </w:rPr>
      </w:pPr>
      <w:r w:rsidRPr="00E67A6B">
        <w:rPr>
          <w:rFonts w:asciiTheme="minorHAnsi" w:hAnsiTheme="minorHAnsi" w:cs="Arial"/>
          <w:noProof/>
          <w:lang w:val="fr-FR"/>
        </w:rPr>
        <w:t>Le niveau régional est la structure intermédiaire chargée de la supervision et du contrôle des orientations données par le niveau central, en vue de leur traduction en activités opérationnelles.</w:t>
      </w:r>
      <w:r w:rsidR="0063001D" w:rsidRPr="00E67A6B">
        <w:rPr>
          <w:rFonts w:asciiTheme="minorHAnsi" w:hAnsiTheme="minorHAnsi" w:cs="Arial"/>
          <w:noProof/>
          <w:lang w:val="fr-FR"/>
        </w:rPr>
        <w:t xml:space="preserve"> Il compte 7 Directions Régionales de la Santé (DRS) et la Direction de la Santé de la Ville de Conakry (DSVCO)</w:t>
      </w:r>
    </w:p>
    <w:p w:rsidR="00FA5925" w:rsidRDefault="00E36E7B" w:rsidP="00FA5925">
      <w:pPr>
        <w:pStyle w:val="Listecouleur-Accent11"/>
        <w:spacing w:before="120" w:after="120"/>
        <w:ind w:left="0"/>
        <w:rPr>
          <w:rFonts w:asciiTheme="minorHAnsi" w:hAnsiTheme="minorHAnsi" w:cs="Arial"/>
          <w:noProof/>
          <w:sz w:val="22"/>
          <w:szCs w:val="22"/>
          <w:lang w:val="fr-FR"/>
        </w:rPr>
      </w:pPr>
      <w:r w:rsidRPr="00E67A6B">
        <w:rPr>
          <w:rFonts w:asciiTheme="minorHAnsi" w:hAnsiTheme="minorHAnsi" w:cs="Arial"/>
          <w:noProof/>
          <w:lang w:val="fr-FR"/>
        </w:rPr>
        <w:t>Le niveau préfectoral est appelé opérationnel et est chargé de la réalisation des activités sur le terrain.</w:t>
      </w:r>
      <w:r w:rsidR="0063001D" w:rsidRPr="00E67A6B">
        <w:rPr>
          <w:rFonts w:asciiTheme="minorHAnsi" w:hAnsiTheme="minorHAnsi" w:cs="Arial"/>
          <w:noProof/>
          <w:lang w:val="fr-FR"/>
        </w:rPr>
        <w:t xml:space="preserve"> Il compte 33 Directions Préfectorales de la Santé (DPS) et 5 Directions Communales de la Santé (DCS) à Conakry.</w:t>
      </w:r>
      <w:r w:rsidR="00FA5925">
        <w:rPr>
          <w:rFonts w:asciiTheme="minorHAnsi" w:hAnsiTheme="minorHAnsi" w:cs="Arial"/>
          <w:noProof/>
          <w:sz w:val="22"/>
          <w:szCs w:val="22"/>
          <w:lang w:val="fr-FR"/>
        </w:rPr>
        <w:t>Il y a au total 1385 formations sanitaires publiques (Tableau 1). Il s’agit de 925 postes de santé (PS), 407 Centres de Santé (CS), 5 Centres de Santé Améliorés (CSA), 33 Hôpitaux Préfectoraux (HP), 5 Centres Médicaux Communaux (CMC), 7 Hopitaux Régionaux (HR) et 3 hôpitaux Nationaux (HN).</w:t>
      </w:r>
    </w:p>
    <w:p w:rsidR="00FA5925" w:rsidRDefault="00FA5925" w:rsidP="00FA5925">
      <w:pPr>
        <w:pStyle w:val="Listecouleur-Accent11"/>
        <w:rPr>
          <w:rFonts w:asciiTheme="minorHAnsi" w:hAnsiTheme="minorHAnsi" w:cs="Arial"/>
          <w:noProof/>
          <w:lang w:val="fr-FR"/>
        </w:rPr>
      </w:pPr>
    </w:p>
    <w:p w:rsidR="00FA5925" w:rsidRPr="00660F2D" w:rsidRDefault="00FA5925" w:rsidP="00FA5925">
      <w:pPr>
        <w:pStyle w:val="Lgende"/>
        <w:rPr>
          <w:color w:val="000000" w:themeColor="text1"/>
          <w:sz w:val="24"/>
          <w:lang w:val="fr-FR"/>
        </w:rPr>
      </w:pPr>
      <w:bookmarkStart w:id="23" w:name="_Toc444089311"/>
      <w:bookmarkStart w:id="24" w:name="_Toc479343638"/>
      <w:bookmarkStart w:id="25" w:name="_Toc480382958"/>
      <w:r w:rsidRPr="00660F2D">
        <w:rPr>
          <w:color w:val="000000" w:themeColor="text1"/>
          <w:lang w:val="fr-FR"/>
        </w:rPr>
        <w:t xml:space="preserve">Tableau </w:t>
      </w:r>
      <w:r w:rsidR="00C25D03" w:rsidRPr="00660F2D">
        <w:rPr>
          <w:color w:val="000000" w:themeColor="text1"/>
        </w:rPr>
        <w:fldChar w:fldCharType="begin"/>
      </w:r>
      <w:r w:rsidRPr="00660F2D">
        <w:rPr>
          <w:color w:val="000000" w:themeColor="text1"/>
          <w:lang w:val="fr-FR"/>
        </w:rPr>
        <w:instrText xml:space="preserve"> SEQ Tableau \* ARABIC </w:instrText>
      </w:r>
      <w:r w:rsidR="00C25D03" w:rsidRPr="00660F2D">
        <w:rPr>
          <w:color w:val="000000" w:themeColor="text1"/>
        </w:rPr>
        <w:fldChar w:fldCharType="separate"/>
      </w:r>
      <w:r w:rsidR="00CD1586" w:rsidRPr="00660F2D">
        <w:rPr>
          <w:noProof/>
          <w:color w:val="000000" w:themeColor="text1"/>
          <w:lang w:val="fr-FR"/>
        </w:rPr>
        <w:t>1</w:t>
      </w:r>
      <w:r w:rsidR="00C25D03" w:rsidRPr="00660F2D">
        <w:rPr>
          <w:color w:val="000000" w:themeColor="text1"/>
        </w:rPr>
        <w:fldChar w:fldCharType="end"/>
      </w:r>
      <w:r w:rsidRPr="00660F2D">
        <w:rPr>
          <w:color w:val="000000" w:themeColor="text1"/>
          <w:sz w:val="24"/>
          <w:lang w:val="fr-FR"/>
        </w:rPr>
        <w:t>: Répartition géographique des infrastructures publiques de soins</w:t>
      </w:r>
      <w:bookmarkEnd w:id="23"/>
      <w:bookmarkEnd w:id="24"/>
      <w:bookmarkEnd w:id="25"/>
    </w:p>
    <w:p w:rsidR="00FA5925" w:rsidRPr="00A877CE" w:rsidRDefault="00FA5925" w:rsidP="00FA5925">
      <w:pPr>
        <w:ind w:left="360"/>
        <w:rPr>
          <w:rFonts w:ascii="Times New Roman" w:hAnsi="Times New Roman"/>
          <w:b/>
          <w:sz w:val="24"/>
          <w:lang w:val="fr-FR"/>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22"/>
        <w:gridCol w:w="1134"/>
        <w:gridCol w:w="851"/>
        <w:gridCol w:w="926"/>
        <w:gridCol w:w="1058"/>
        <w:gridCol w:w="851"/>
        <w:gridCol w:w="850"/>
        <w:gridCol w:w="1134"/>
      </w:tblGrid>
      <w:tr w:rsidR="00FA5925" w:rsidRPr="0035219B" w:rsidTr="00FA5925">
        <w:trPr>
          <w:trHeight w:val="315"/>
          <w:jc w:val="center"/>
        </w:trPr>
        <w:tc>
          <w:tcPr>
            <w:tcW w:w="2422" w:type="dxa"/>
            <w:shd w:val="clear" w:color="auto" w:fill="F2F2F2" w:themeFill="background1" w:themeFillShade="F2"/>
            <w:hideMark/>
          </w:tcPr>
          <w:p w:rsidR="00FA5925" w:rsidRPr="0035219B" w:rsidRDefault="00FA5925" w:rsidP="00FA5925">
            <w:pPr>
              <w:jc w:val="center"/>
              <w:rPr>
                <w:b/>
                <w:sz w:val="24"/>
                <w:lang w:val="fr-CA" w:eastAsia="fr-CA"/>
              </w:rPr>
            </w:pPr>
            <w:r w:rsidRPr="0035219B">
              <w:rPr>
                <w:b/>
                <w:sz w:val="24"/>
                <w:lang w:eastAsia="fr-CA"/>
              </w:rPr>
              <w:t>Régions</w:t>
            </w:r>
          </w:p>
        </w:tc>
        <w:tc>
          <w:tcPr>
            <w:tcW w:w="1134" w:type="dxa"/>
            <w:shd w:val="clear" w:color="auto" w:fill="F2F2F2" w:themeFill="background1" w:themeFillShade="F2"/>
            <w:hideMark/>
          </w:tcPr>
          <w:p w:rsidR="00FA5925" w:rsidRPr="0035219B" w:rsidRDefault="00FA5925" w:rsidP="00FA5925">
            <w:pPr>
              <w:jc w:val="center"/>
              <w:rPr>
                <w:b/>
                <w:sz w:val="24"/>
                <w:lang w:val="fr-CA" w:eastAsia="fr-CA"/>
              </w:rPr>
            </w:pPr>
            <w:r w:rsidRPr="0035219B">
              <w:rPr>
                <w:b/>
                <w:sz w:val="24"/>
                <w:lang w:eastAsia="fr-CA"/>
              </w:rPr>
              <w:t>PS</w:t>
            </w:r>
          </w:p>
        </w:tc>
        <w:tc>
          <w:tcPr>
            <w:tcW w:w="851" w:type="dxa"/>
            <w:shd w:val="clear" w:color="auto" w:fill="F2F2F2" w:themeFill="background1" w:themeFillShade="F2"/>
            <w:hideMark/>
          </w:tcPr>
          <w:p w:rsidR="00FA5925" w:rsidRPr="0035219B" w:rsidRDefault="00FA5925" w:rsidP="00FA5925">
            <w:pPr>
              <w:jc w:val="center"/>
              <w:rPr>
                <w:b/>
                <w:sz w:val="24"/>
                <w:lang w:val="fr-CA" w:eastAsia="fr-CA"/>
              </w:rPr>
            </w:pPr>
            <w:r w:rsidRPr="0035219B">
              <w:rPr>
                <w:b/>
                <w:sz w:val="24"/>
                <w:lang w:eastAsia="fr-CA"/>
              </w:rPr>
              <w:t>CS</w:t>
            </w:r>
          </w:p>
        </w:tc>
        <w:tc>
          <w:tcPr>
            <w:tcW w:w="926" w:type="dxa"/>
            <w:shd w:val="clear" w:color="auto" w:fill="F2F2F2" w:themeFill="background1" w:themeFillShade="F2"/>
            <w:hideMark/>
          </w:tcPr>
          <w:p w:rsidR="00FA5925" w:rsidRPr="0035219B" w:rsidRDefault="00FA5925" w:rsidP="00FA5925">
            <w:pPr>
              <w:jc w:val="center"/>
              <w:rPr>
                <w:b/>
                <w:sz w:val="24"/>
                <w:lang w:val="fr-CA" w:eastAsia="fr-CA"/>
              </w:rPr>
            </w:pPr>
            <w:r w:rsidRPr="0035219B">
              <w:rPr>
                <w:b/>
                <w:sz w:val="24"/>
                <w:lang w:eastAsia="fr-CA"/>
              </w:rPr>
              <w:t>CSA</w:t>
            </w:r>
          </w:p>
        </w:tc>
        <w:tc>
          <w:tcPr>
            <w:tcW w:w="1058" w:type="dxa"/>
            <w:shd w:val="clear" w:color="auto" w:fill="F2F2F2" w:themeFill="background1" w:themeFillShade="F2"/>
            <w:hideMark/>
          </w:tcPr>
          <w:p w:rsidR="00FA5925" w:rsidRPr="0035219B" w:rsidRDefault="00FA5925" w:rsidP="00FA5925">
            <w:pPr>
              <w:jc w:val="center"/>
              <w:rPr>
                <w:b/>
                <w:sz w:val="24"/>
                <w:lang w:val="fr-CA" w:eastAsia="fr-CA"/>
              </w:rPr>
            </w:pPr>
            <w:r w:rsidRPr="0035219B">
              <w:rPr>
                <w:b/>
                <w:sz w:val="24"/>
                <w:lang w:val="de-DE" w:eastAsia="fr-CA"/>
              </w:rPr>
              <w:t>HP/CMC</w:t>
            </w:r>
          </w:p>
        </w:tc>
        <w:tc>
          <w:tcPr>
            <w:tcW w:w="851" w:type="dxa"/>
            <w:shd w:val="clear" w:color="auto" w:fill="F2F2F2" w:themeFill="background1" w:themeFillShade="F2"/>
            <w:hideMark/>
          </w:tcPr>
          <w:p w:rsidR="00FA5925" w:rsidRPr="0035219B" w:rsidRDefault="00FA5925" w:rsidP="00FA5925">
            <w:pPr>
              <w:jc w:val="center"/>
              <w:rPr>
                <w:b/>
                <w:sz w:val="24"/>
                <w:lang w:val="fr-CA" w:eastAsia="fr-CA"/>
              </w:rPr>
            </w:pPr>
            <w:r w:rsidRPr="0035219B">
              <w:rPr>
                <w:b/>
                <w:sz w:val="24"/>
                <w:lang w:val="de-DE" w:eastAsia="fr-CA"/>
              </w:rPr>
              <w:t>HR</w:t>
            </w:r>
          </w:p>
        </w:tc>
        <w:tc>
          <w:tcPr>
            <w:tcW w:w="850" w:type="dxa"/>
            <w:shd w:val="clear" w:color="auto" w:fill="F2F2F2" w:themeFill="background1" w:themeFillShade="F2"/>
            <w:hideMark/>
          </w:tcPr>
          <w:p w:rsidR="00FA5925" w:rsidRPr="0035219B" w:rsidRDefault="00FA5925" w:rsidP="00FA5925">
            <w:pPr>
              <w:jc w:val="center"/>
              <w:rPr>
                <w:b/>
                <w:sz w:val="24"/>
                <w:lang w:val="fr-CA" w:eastAsia="fr-CA"/>
              </w:rPr>
            </w:pPr>
            <w:r w:rsidRPr="0035219B">
              <w:rPr>
                <w:b/>
                <w:sz w:val="24"/>
                <w:lang w:val="de-DE" w:eastAsia="fr-CA"/>
              </w:rPr>
              <w:t>HN</w:t>
            </w:r>
          </w:p>
        </w:tc>
        <w:tc>
          <w:tcPr>
            <w:tcW w:w="1134" w:type="dxa"/>
            <w:shd w:val="clear" w:color="auto" w:fill="F2F2F2" w:themeFill="background1" w:themeFillShade="F2"/>
            <w:hideMark/>
          </w:tcPr>
          <w:p w:rsidR="00FA5925" w:rsidRPr="0035219B" w:rsidRDefault="00FA5925" w:rsidP="00FA5925">
            <w:pPr>
              <w:jc w:val="center"/>
              <w:rPr>
                <w:b/>
                <w:sz w:val="24"/>
                <w:lang w:val="fr-CA" w:eastAsia="fr-CA"/>
              </w:rPr>
            </w:pPr>
            <w:r w:rsidRPr="0035219B">
              <w:rPr>
                <w:b/>
                <w:sz w:val="24"/>
                <w:lang w:eastAsia="fr-CA"/>
              </w:rPr>
              <w:t>TOTAL</w:t>
            </w:r>
          </w:p>
        </w:tc>
      </w:tr>
      <w:tr w:rsidR="00FA5925" w:rsidRPr="0035219B" w:rsidTr="00FA5925">
        <w:trPr>
          <w:trHeight w:val="330"/>
          <w:jc w:val="center"/>
        </w:trPr>
        <w:tc>
          <w:tcPr>
            <w:tcW w:w="2422" w:type="dxa"/>
            <w:shd w:val="clear" w:color="auto" w:fill="auto"/>
            <w:hideMark/>
          </w:tcPr>
          <w:p w:rsidR="00FA5925" w:rsidRPr="0035219B" w:rsidRDefault="00FA5925" w:rsidP="00FA5925">
            <w:pPr>
              <w:rPr>
                <w:sz w:val="24"/>
                <w:lang w:val="fr-CA" w:eastAsia="fr-CA"/>
              </w:rPr>
            </w:pPr>
            <w:r w:rsidRPr="0035219B">
              <w:rPr>
                <w:sz w:val="24"/>
                <w:lang w:eastAsia="fr-CA"/>
              </w:rPr>
              <w:t>Ville de Conakry</w:t>
            </w:r>
          </w:p>
        </w:tc>
        <w:tc>
          <w:tcPr>
            <w:tcW w:w="1134" w:type="dxa"/>
            <w:shd w:val="clear" w:color="auto" w:fill="auto"/>
            <w:hideMark/>
          </w:tcPr>
          <w:p w:rsidR="00FA5925" w:rsidRPr="0035219B" w:rsidRDefault="00FA5925" w:rsidP="00FA5925">
            <w:pPr>
              <w:jc w:val="center"/>
              <w:rPr>
                <w:sz w:val="24"/>
                <w:lang w:val="fr-CA" w:eastAsia="fr-CA"/>
              </w:rPr>
            </w:pPr>
            <w:r w:rsidRPr="0035219B">
              <w:rPr>
                <w:sz w:val="24"/>
                <w:lang w:eastAsia="fr-CA"/>
              </w:rPr>
              <w:t>4</w:t>
            </w: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22</w:t>
            </w:r>
          </w:p>
        </w:tc>
        <w:tc>
          <w:tcPr>
            <w:tcW w:w="926" w:type="dxa"/>
            <w:shd w:val="clear" w:color="auto" w:fill="auto"/>
            <w:hideMark/>
          </w:tcPr>
          <w:p w:rsidR="00FA5925" w:rsidRPr="0035219B" w:rsidRDefault="00FA5925" w:rsidP="00FA5925">
            <w:pPr>
              <w:jc w:val="center"/>
              <w:rPr>
                <w:sz w:val="24"/>
                <w:lang w:val="fr-CA" w:eastAsia="fr-CA"/>
              </w:rPr>
            </w:pPr>
            <w:r w:rsidRPr="0035219B">
              <w:rPr>
                <w:sz w:val="24"/>
                <w:lang w:eastAsia="fr-CA"/>
              </w:rPr>
              <w:t>0</w:t>
            </w:r>
          </w:p>
        </w:tc>
        <w:tc>
          <w:tcPr>
            <w:tcW w:w="1058" w:type="dxa"/>
            <w:shd w:val="clear" w:color="auto" w:fill="auto"/>
            <w:hideMark/>
          </w:tcPr>
          <w:p w:rsidR="00FA5925" w:rsidRPr="0035219B" w:rsidRDefault="00FA5925" w:rsidP="00FA5925">
            <w:pPr>
              <w:jc w:val="center"/>
              <w:rPr>
                <w:sz w:val="24"/>
                <w:lang w:val="fr-CA" w:eastAsia="fr-CA"/>
              </w:rPr>
            </w:pPr>
            <w:r w:rsidRPr="0035219B">
              <w:rPr>
                <w:sz w:val="24"/>
                <w:lang w:eastAsia="fr-CA"/>
              </w:rPr>
              <w:t>5</w:t>
            </w: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0</w:t>
            </w:r>
          </w:p>
        </w:tc>
        <w:tc>
          <w:tcPr>
            <w:tcW w:w="850" w:type="dxa"/>
            <w:shd w:val="clear" w:color="auto" w:fill="auto"/>
            <w:hideMark/>
          </w:tcPr>
          <w:p w:rsidR="00FA5925" w:rsidRPr="0035219B" w:rsidRDefault="00FA5925" w:rsidP="00FA5925">
            <w:pPr>
              <w:jc w:val="center"/>
              <w:rPr>
                <w:sz w:val="24"/>
                <w:lang w:val="fr-CA" w:eastAsia="fr-CA"/>
              </w:rPr>
            </w:pPr>
            <w:r w:rsidRPr="0035219B">
              <w:rPr>
                <w:sz w:val="24"/>
                <w:lang w:eastAsia="fr-CA"/>
              </w:rPr>
              <w:t>3</w:t>
            </w:r>
          </w:p>
        </w:tc>
        <w:tc>
          <w:tcPr>
            <w:tcW w:w="1134" w:type="dxa"/>
            <w:shd w:val="clear" w:color="auto" w:fill="auto"/>
            <w:noWrap/>
            <w:vAlign w:val="bottom"/>
            <w:hideMark/>
          </w:tcPr>
          <w:p w:rsidR="00FA5925" w:rsidRPr="0035219B" w:rsidRDefault="00FA5925" w:rsidP="00FA5925">
            <w:pPr>
              <w:jc w:val="center"/>
              <w:rPr>
                <w:sz w:val="24"/>
                <w:lang w:val="fr-CA" w:eastAsia="fr-CA"/>
              </w:rPr>
            </w:pPr>
            <w:r w:rsidRPr="0035219B">
              <w:rPr>
                <w:sz w:val="24"/>
                <w:lang w:val="fr-CA" w:eastAsia="fr-CA"/>
              </w:rPr>
              <w:t>34</w:t>
            </w:r>
          </w:p>
        </w:tc>
      </w:tr>
      <w:tr w:rsidR="00FA5925" w:rsidRPr="0035219B" w:rsidTr="00FA5925">
        <w:trPr>
          <w:trHeight w:val="330"/>
          <w:jc w:val="center"/>
        </w:trPr>
        <w:tc>
          <w:tcPr>
            <w:tcW w:w="2422" w:type="dxa"/>
            <w:shd w:val="clear" w:color="auto" w:fill="auto"/>
            <w:hideMark/>
          </w:tcPr>
          <w:p w:rsidR="00FA5925" w:rsidRPr="0035219B" w:rsidRDefault="00FA5925" w:rsidP="00FA5925">
            <w:pPr>
              <w:rPr>
                <w:sz w:val="24"/>
                <w:lang w:val="fr-CA" w:eastAsia="fr-CA"/>
              </w:rPr>
            </w:pPr>
            <w:r w:rsidRPr="0035219B">
              <w:rPr>
                <w:sz w:val="24"/>
                <w:lang w:eastAsia="fr-CA"/>
              </w:rPr>
              <w:t xml:space="preserve">Région de Kindia </w:t>
            </w:r>
          </w:p>
        </w:tc>
        <w:tc>
          <w:tcPr>
            <w:tcW w:w="1134" w:type="dxa"/>
            <w:shd w:val="clear" w:color="auto" w:fill="auto"/>
            <w:hideMark/>
          </w:tcPr>
          <w:p w:rsidR="00FA5925" w:rsidRPr="0035219B" w:rsidRDefault="00FA5925" w:rsidP="00FA5925">
            <w:pPr>
              <w:jc w:val="center"/>
              <w:rPr>
                <w:sz w:val="24"/>
                <w:lang w:val="fr-CA" w:eastAsia="fr-CA"/>
              </w:rPr>
            </w:pPr>
            <w:r w:rsidRPr="0035219B">
              <w:rPr>
                <w:sz w:val="24"/>
                <w:lang w:eastAsia="fr-CA"/>
              </w:rPr>
              <w:t>153</w:t>
            </w: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55</w:t>
            </w:r>
          </w:p>
        </w:tc>
        <w:tc>
          <w:tcPr>
            <w:tcW w:w="926" w:type="dxa"/>
            <w:shd w:val="clear" w:color="auto" w:fill="auto"/>
            <w:hideMark/>
          </w:tcPr>
          <w:p w:rsidR="00FA5925" w:rsidRPr="0035219B" w:rsidRDefault="00FA5925" w:rsidP="00FA5925">
            <w:pPr>
              <w:jc w:val="center"/>
              <w:rPr>
                <w:sz w:val="24"/>
                <w:lang w:val="fr-CA" w:eastAsia="fr-CA"/>
              </w:rPr>
            </w:pPr>
            <w:r w:rsidRPr="0035219B">
              <w:rPr>
                <w:sz w:val="24"/>
                <w:lang w:eastAsia="fr-CA"/>
              </w:rPr>
              <w:t>0</w:t>
            </w:r>
          </w:p>
        </w:tc>
        <w:tc>
          <w:tcPr>
            <w:tcW w:w="1058" w:type="dxa"/>
            <w:shd w:val="clear" w:color="auto" w:fill="auto"/>
            <w:hideMark/>
          </w:tcPr>
          <w:p w:rsidR="00FA5925" w:rsidRPr="0035219B" w:rsidRDefault="00FA5925" w:rsidP="00FA5925">
            <w:pPr>
              <w:jc w:val="center"/>
              <w:rPr>
                <w:sz w:val="24"/>
                <w:lang w:val="fr-CA" w:eastAsia="fr-CA"/>
              </w:rPr>
            </w:pPr>
            <w:r w:rsidRPr="0035219B">
              <w:rPr>
                <w:sz w:val="24"/>
                <w:lang w:eastAsia="fr-CA"/>
              </w:rPr>
              <w:t>5</w:t>
            </w: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1</w:t>
            </w:r>
          </w:p>
        </w:tc>
        <w:tc>
          <w:tcPr>
            <w:tcW w:w="850" w:type="dxa"/>
            <w:shd w:val="clear" w:color="auto" w:fill="auto"/>
            <w:hideMark/>
          </w:tcPr>
          <w:p w:rsidR="00FA5925" w:rsidRPr="0035219B" w:rsidRDefault="00FA5925" w:rsidP="00FA5925">
            <w:pPr>
              <w:jc w:val="center"/>
              <w:rPr>
                <w:sz w:val="24"/>
                <w:lang w:val="fr-CA" w:eastAsia="fr-CA"/>
              </w:rPr>
            </w:pPr>
            <w:r w:rsidRPr="0035219B">
              <w:rPr>
                <w:sz w:val="24"/>
                <w:lang w:eastAsia="fr-CA"/>
              </w:rPr>
              <w:t>0</w:t>
            </w:r>
          </w:p>
        </w:tc>
        <w:tc>
          <w:tcPr>
            <w:tcW w:w="1134" w:type="dxa"/>
            <w:shd w:val="clear" w:color="auto" w:fill="auto"/>
            <w:noWrap/>
            <w:vAlign w:val="bottom"/>
            <w:hideMark/>
          </w:tcPr>
          <w:p w:rsidR="00FA5925" w:rsidRPr="0035219B" w:rsidRDefault="00FA5925" w:rsidP="00FA5925">
            <w:pPr>
              <w:jc w:val="center"/>
              <w:rPr>
                <w:sz w:val="24"/>
                <w:lang w:val="fr-CA" w:eastAsia="fr-CA"/>
              </w:rPr>
            </w:pPr>
            <w:r w:rsidRPr="0035219B">
              <w:rPr>
                <w:sz w:val="24"/>
                <w:lang w:val="fr-CA" w:eastAsia="fr-CA"/>
              </w:rPr>
              <w:t>214</w:t>
            </w:r>
          </w:p>
        </w:tc>
      </w:tr>
      <w:tr w:rsidR="00FA5925" w:rsidRPr="0035219B" w:rsidTr="00FA5925">
        <w:trPr>
          <w:trHeight w:val="330"/>
          <w:jc w:val="center"/>
        </w:trPr>
        <w:tc>
          <w:tcPr>
            <w:tcW w:w="2422" w:type="dxa"/>
            <w:shd w:val="clear" w:color="auto" w:fill="auto"/>
            <w:hideMark/>
          </w:tcPr>
          <w:p w:rsidR="00FA5925" w:rsidRPr="0035219B" w:rsidRDefault="00FA5925" w:rsidP="00FA5925">
            <w:pPr>
              <w:rPr>
                <w:sz w:val="24"/>
                <w:lang w:val="fr-CA" w:eastAsia="fr-CA"/>
              </w:rPr>
            </w:pPr>
            <w:r w:rsidRPr="0035219B">
              <w:rPr>
                <w:sz w:val="24"/>
                <w:lang w:eastAsia="fr-CA"/>
              </w:rPr>
              <w:t xml:space="preserve">Région de Boké </w:t>
            </w:r>
          </w:p>
        </w:tc>
        <w:tc>
          <w:tcPr>
            <w:tcW w:w="1134" w:type="dxa"/>
            <w:shd w:val="clear" w:color="auto" w:fill="auto"/>
            <w:hideMark/>
          </w:tcPr>
          <w:p w:rsidR="00FA5925" w:rsidRPr="0035219B" w:rsidRDefault="00FA5925" w:rsidP="00FA5925">
            <w:pPr>
              <w:jc w:val="center"/>
              <w:rPr>
                <w:sz w:val="24"/>
                <w:lang w:val="fr-CA" w:eastAsia="fr-CA"/>
              </w:rPr>
            </w:pPr>
            <w:r w:rsidRPr="0035219B">
              <w:rPr>
                <w:sz w:val="24"/>
                <w:lang w:eastAsia="fr-CA"/>
              </w:rPr>
              <w:t>108</w:t>
            </w: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42</w:t>
            </w:r>
          </w:p>
        </w:tc>
        <w:tc>
          <w:tcPr>
            <w:tcW w:w="926" w:type="dxa"/>
            <w:shd w:val="clear" w:color="auto" w:fill="auto"/>
            <w:hideMark/>
          </w:tcPr>
          <w:p w:rsidR="00FA5925" w:rsidRPr="0035219B" w:rsidRDefault="00FA5925" w:rsidP="00FA5925">
            <w:pPr>
              <w:jc w:val="center"/>
              <w:rPr>
                <w:sz w:val="24"/>
                <w:lang w:val="fr-CA" w:eastAsia="fr-CA"/>
              </w:rPr>
            </w:pPr>
            <w:r w:rsidRPr="0035219B">
              <w:rPr>
                <w:sz w:val="24"/>
                <w:lang w:eastAsia="fr-CA"/>
              </w:rPr>
              <w:t>2</w:t>
            </w:r>
          </w:p>
        </w:tc>
        <w:tc>
          <w:tcPr>
            <w:tcW w:w="1058" w:type="dxa"/>
            <w:shd w:val="clear" w:color="auto" w:fill="auto"/>
            <w:hideMark/>
          </w:tcPr>
          <w:p w:rsidR="00FA5925" w:rsidRPr="0035219B" w:rsidRDefault="00FA5925" w:rsidP="00FA5925">
            <w:pPr>
              <w:jc w:val="center"/>
              <w:rPr>
                <w:sz w:val="24"/>
                <w:lang w:val="fr-CA" w:eastAsia="fr-CA"/>
              </w:rPr>
            </w:pPr>
            <w:r w:rsidRPr="0035219B">
              <w:rPr>
                <w:sz w:val="24"/>
                <w:lang w:eastAsia="fr-CA"/>
              </w:rPr>
              <w:t>4</w:t>
            </w: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1</w:t>
            </w:r>
          </w:p>
        </w:tc>
        <w:tc>
          <w:tcPr>
            <w:tcW w:w="850" w:type="dxa"/>
            <w:shd w:val="clear" w:color="auto" w:fill="auto"/>
            <w:hideMark/>
          </w:tcPr>
          <w:p w:rsidR="00FA5925" w:rsidRPr="0035219B" w:rsidRDefault="00FA5925" w:rsidP="00FA5925">
            <w:pPr>
              <w:jc w:val="center"/>
              <w:rPr>
                <w:sz w:val="24"/>
                <w:lang w:val="fr-CA" w:eastAsia="fr-CA"/>
              </w:rPr>
            </w:pPr>
            <w:r w:rsidRPr="0035219B">
              <w:rPr>
                <w:sz w:val="24"/>
                <w:lang w:eastAsia="fr-CA"/>
              </w:rPr>
              <w:t>0</w:t>
            </w:r>
          </w:p>
        </w:tc>
        <w:tc>
          <w:tcPr>
            <w:tcW w:w="1134" w:type="dxa"/>
            <w:shd w:val="clear" w:color="auto" w:fill="auto"/>
            <w:noWrap/>
            <w:vAlign w:val="bottom"/>
            <w:hideMark/>
          </w:tcPr>
          <w:p w:rsidR="00FA5925" w:rsidRPr="0035219B" w:rsidRDefault="00FA5925" w:rsidP="00FA5925">
            <w:pPr>
              <w:jc w:val="center"/>
              <w:rPr>
                <w:sz w:val="24"/>
                <w:lang w:val="fr-CA" w:eastAsia="fr-CA"/>
              </w:rPr>
            </w:pPr>
            <w:r w:rsidRPr="0035219B">
              <w:rPr>
                <w:sz w:val="24"/>
                <w:lang w:val="fr-CA" w:eastAsia="fr-CA"/>
              </w:rPr>
              <w:t>157</w:t>
            </w:r>
          </w:p>
        </w:tc>
      </w:tr>
      <w:tr w:rsidR="00FA5925" w:rsidRPr="0035219B" w:rsidTr="00FA5925">
        <w:trPr>
          <w:trHeight w:val="330"/>
          <w:jc w:val="center"/>
        </w:trPr>
        <w:tc>
          <w:tcPr>
            <w:tcW w:w="2422" w:type="dxa"/>
            <w:shd w:val="clear" w:color="auto" w:fill="auto"/>
            <w:hideMark/>
          </w:tcPr>
          <w:p w:rsidR="00FA5925" w:rsidRPr="0035219B" w:rsidRDefault="00FA5925" w:rsidP="00FA5925">
            <w:pPr>
              <w:rPr>
                <w:sz w:val="24"/>
                <w:lang w:val="fr-CA" w:eastAsia="fr-CA"/>
              </w:rPr>
            </w:pPr>
            <w:r w:rsidRPr="0035219B">
              <w:rPr>
                <w:sz w:val="24"/>
                <w:lang w:eastAsia="fr-CA"/>
              </w:rPr>
              <w:t>Région de Mamou</w:t>
            </w:r>
          </w:p>
        </w:tc>
        <w:tc>
          <w:tcPr>
            <w:tcW w:w="1134" w:type="dxa"/>
            <w:shd w:val="clear" w:color="auto" w:fill="auto"/>
            <w:hideMark/>
          </w:tcPr>
          <w:p w:rsidR="00FA5925" w:rsidRPr="0035219B" w:rsidRDefault="00FA5925" w:rsidP="00FA5925">
            <w:pPr>
              <w:jc w:val="center"/>
              <w:rPr>
                <w:sz w:val="24"/>
                <w:lang w:val="fr-CA" w:eastAsia="fr-CA"/>
              </w:rPr>
            </w:pPr>
            <w:r w:rsidRPr="0035219B">
              <w:rPr>
                <w:sz w:val="24"/>
                <w:lang w:eastAsia="fr-CA"/>
              </w:rPr>
              <w:t>97</w:t>
            </w: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36</w:t>
            </w:r>
          </w:p>
        </w:tc>
        <w:tc>
          <w:tcPr>
            <w:tcW w:w="926" w:type="dxa"/>
            <w:shd w:val="clear" w:color="auto" w:fill="auto"/>
            <w:hideMark/>
          </w:tcPr>
          <w:p w:rsidR="00FA5925" w:rsidRPr="0035219B" w:rsidRDefault="00FA5925" w:rsidP="00FA5925">
            <w:pPr>
              <w:jc w:val="center"/>
              <w:rPr>
                <w:sz w:val="24"/>
                <w:lang w:val="fr-CA" w:eastAsia="fr-CA"/>
              </w:rPr>
            </w:pPr>
            <w:r w:rsidRPr="0035219B">
              <w:rPr>
                <w:sz w:val="24"/>
                <w:lang w:eastAsia="fr-CA"/>
              </w:rPr>
              <w:t>0</w:t>
            </w:r>
          </w:p>
        </w:tc>
        <w:tc>
          <w:tcPr>
            <w:tcW w:w="1058" w:type="dxa"/>
            <w:shd w:val="clear" w:color="auto" w:fill="auto"/>
            <w:hideMark/>
          </w:tcPr>
          <w:p w:rsidR="00FA5925" w:rsidRPr="0035219B" w:rsidRDefault="00FA5925" w:rsidP="00FA5925">
            <w:pPr>
              <w:jc w:val="center"/>
              <w:rPr>
                <w:sz w:val="24"/>
                <w:lang w:val="fr-CA" w:eastAsia="fr-CA"/>
              </w:rPr>
            </w:pP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1</w:t>
            </w:r>
          </w:p>
        </w:tc>
        <w:tc>
          <w:tcPr>
            <w:tcW w:w="850" w:type="dxa"/>
            <w:shd w:val="clear" w:color="auto" w:fill="auto"/>
            <w:hideMark/>
          </w:tcPr>
          <w:p w:rsidR="00FA5925" w:rsidRPr="0035219B" w:rsidRDefault="00FA5925" w:rsidP="00FA5925">
            <w:pPr>
              <w:jc w:val="center"/>
              <w:rPr>
                <w:sz w:val="24"/>
                <w:lang w:val="fr-CA" w:eastAsia="fr-CA"/>
              </w:rPr>
            </w:pPr>
            <w:r w:rsidRPr="0035219B">
              <w:rPr>
                <w:sz w:val="24"/>
                <w:lang w:eastAsia="fr-CA"/>
              </w:rPr>
              <w:t>0</w:t>
            </w:r>
          </w:p>
        </w:tc>
        <w:tc>
          <w:tcPr>
            <w:tcW w:w="1134" w:type="dxa"/>
            <w:shd w:val="clear" w:color="auto" w:fill="auto"/>
            <w:noWrap/>
            <w:vAlign w:val="bottom"/>
            <w:hideMark/>
          </w:tcPr>
          <w:p w:rsidR="00FA5925" w:rsidRPr="0035219B" w:rsidRDefault="00FA5925" w:rsidP="00FA5925">
            <w:pPr>
              <w:jc w:val="center"/>
              <w:rPr>
                <w:sz w:val="24"/>
                <w:lang w:val="fr-CA" w:eastAsia="fr-CA"/>
              </w:rPr>
            </w:pPr>
            <w:r w:rsidRPr="0035219B">
              <w:rPr>
                <w:sz w:val="24"/>
                <w:lang w:val="fr-CA" w:eastAsia="fr-CA"/>
              </w:rPr>
              <w:t>136</w:t>
            </w:r>
          </w:p>
        </w:tc>
      </w:tr>
      <w:tr w:rsidR="00FA5925" w:rsidRPr="0035219B" w:rsidTr="00FA5925">
        <w:trPr>
          <w:trHeight w:val="330"/>
          <w:jc w:val="center"/>
        </w:trPr>
        <w:tc>
          <w:tcPr>
            <w:tcW w:w="2422" w:type="dxa"/>
            <w:shd w:val="clear" w:color="auto" w:fill="auto"/>
            <w:hideMark/>
          </w:tcPr>
          <w:p w:rsidR="00FA5925" w:rsidRPr="0035219B" w:rsidRDefault="00FA5925" w:rsidP="00FA5925">
            <w:pPr>
              <w:rPr>
                <w:sz w:val="24"/>
                <w:lang w:val="fr-CA" w:eastAsia="fr-CA"/>
              </w:rPr>
            </w:pPr>
            <w:r w:rsidRPr="0035219B">
              <w:rPr>
                <w:sz w:val="24"/>
                <w:lang w:eastAsia="fr-CA"/>
              </w:rPr>
              <w:t xml:space="preserve">Région de Labé </w:t>
            </w:r>
          </w:p>
        </w:tc>
        <w:tc>
          <w:tcPr>
            <w:tcW w:w="1134" w:type="dxa"/>
            <w:shd w:val="clear" w:color="auto" w:fill="auto"/>
            <w:hideMark/>
          </w:tcPr>
          <w:p w:rsidR="00FA5925" w:rsidRPr="0035219B" w:rsidRDefault="00FA5925" w:rsidP="00FA5925">
            <w:pPr>
              <w:jc w:val="center"/>
              <w:rPr>
                <w:sz w:val="24"/>
                <w:lang w:val="fr-CA" w:eastAsia="fr-CA"/>
              </w:rPr>
            </w:pPr>
            <w:r w:rsidRPr="0035219B">
              <w:rPr>
                <w:sz w:val="24"/>
                <w:lang w:eastAsia="fr-CA"/>
              </w:rPr>
              <w:t>176</w:t>
            </w: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65</w:t>
            </w:r>
          </w:p>
        </w:tc>
        <w:tc>
          <w:tcPr>
            <w:tcW w:w="926" w:type="dxa"/>
            <w:shd w:val="clear" w:color="auto" w:fill="auto"/>
            <w:hideMark/>
          </w:tcPr>
          <w:p w:rsidR="00FA5925" w:rsidRPr="0035219B" w:rsidRDefault="00FA5925" w:rsidP="00FA5925">
            <w:pPr>
              <w:jc w:val="center"/>
              <w:rPr>
                <w:sz w:val="24"/>
                <w:lang w:val="fr-CA" w:eastAsia="fr-CA"/>
              </w:rPr>
            </w:pPr>
            <w:r w:rsidRPr="0035219B">
              <w:rPr>
                <w:sz w:val="24"/>
                <w:lang w:eastAsia="fr-CA"/>
              </w:rPr>
              <w:t>1</w:t>
            </w:r>
          </w:p>
        </w:tc>
        <w:tc>
          <w:tcPr>
            <w:tcW w:w="1058" w:type="dxa"/>
            <w:shd w:val="clear" w:color="auto" w:fill="auto"/>
            <w:hideMark/>
          </w:tcPr>
          <w:p w:rsidR="00FA5925" w:rsidRPr="0035219B" w:rsidRDefault="00FA5925" w:rsidP="00FA5925">
            <w:pPr>
              <w:jc w:val="center"/>
              <w:rPr>
                <w:sz w:val="24"/>
                <w:lang w:val="fr-CA" w:eastAsia="fr-CA"/>
              </w:rPr>
            </w:pPr>
            <w:r w:rsidRPr="0035219B">
              <w:rPr>
                <w:sz w:val="24"/>
                <w:lang w:eastAsia="fr-CA"/>
              </w:rPr>
              <w:t>4</w:t>
            </w: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1</w:t>
            </w:r>
          </w:p>
        </w:tc>
        <w:tc>
          <w:tcPr>
            <w:tcW w:w="850" w:type="dxa"/>
            <w:shd w:val="clear" w:color="auto" w:fill="auto"/>
            <w:hideMark/>
          </w:tcPr>
          <w:p w:rsidR="00FA5925" w:rsidRPr="0035219B" w:rsidRDefault="00FA5925" w:rsidP="00FA5925">
            <w:pPr>
              <w:jc w:val="center"/>
              <w:rPr>
                <w:sz w:val="24"/>
                <w:lang w:val="fr-CA" w:eastAsia="fr-CA"/>
              </w:rPr>
            </w:pPr>
            <w:r w:rsidRPr="0035219B">
              <w:rPr>
                <w:sz w:val="24"/>
                <w:lang w:eastAsia="fr-CA"/>
              </w:rPr>
              <w:t>0</w:t>
            </w:r>
          </w:p>
        </w:tc>
        <w:tc>
          <w:tcPr>
            <w:tcW w:w="1134" w:type="dxa"/>
            <w:shd w:val="clear" w:color="auto" w:fill="auto"/>
            <w:noWrap/>
            <w:vAlign w:val="bottom"/>
            <w:hideMark/>
          </w:tcPr>
          <w:p w:rsidR="00FA5925" w:rsidRPr="0035219B" w:rsidRDefault="00FA5925" w:rsidP="00FA5925">
            <w:pPr>
              <w:jc w:val="center"/>
              <w:rPr>
                <w:sz w:val="24"/>
                <w:lang w:val="fr-CA" w:eastAsia="fr-CA"/>
              </w:rPr>
            </w:pPr>
            <w:r w:rsidRPr="0035219B">
              <w:rPr>
                <w:sz w:val="24"/>
                <w:lang w:val="fr-CA" w:eastAsia="fr-CA"/>
              </w:rPr>
              <w:t>247</w:t>
            </w:r>
          </w:p>
        </w:tc>
      </w:tr>
      <w:tr w:rsidR="00FA5925" w:rsidRPr="0035219B" w:rsidTr="00FA5925">
        <w:trPr>
          <w:trHeight w:val="330"/>
          <w:jc w:val="center"/>
        </w:trPr>
        <w:tc>
          <w:tcPr>
            <w:tcW w:w="2422" w:type="dxa"/>
            <w:shd w:val="clear" w:color="auto" w:fill="auto"/>
            <w:hideMark/>
          </w:tcPr>
          <w:p w:rsidR="00FA5925" w:rsidRPr="0035219B" w:rsidRDefault="00FA5925" w:rsidP="00FA5925">
            <w:pPr>
              <w:rPr>
                <w:sz w:val="24"/>
                <w:lang w:val="fr-CA" w:eastAsia="fr-CA"/>
              </w:rPr>
            </w:pPr>
            <w:r w:rsidRPr="0035219B">
              <w:rPr>
                <w:sz w:val="24"/>
                <w:lang w:eastAsia="fr-CA"/>
              </w:rPr>
              <w:t>Région de Faranah</w:t>
            </w:r>
          </w:p>
        </w:tc>
        <w:tc>
          <w:tcPr>
            <w:tcW w:w="1134" w:type="dxa"/>
            <w:shd w:val="clear" w:color="auto" w:fill="auto"/>
            <w:hideMark/>
          </w:tcPr>
          <w:p w:rsidR="00FA5925" w:rsidRPr="0035219B" w:rsidRDefault="00FA5925" w:rsidP="00FA5925">
            <w:pPr>
              <w:jc w:val="center"/>
              <w:rPr>
                <w:sz w:val="24"/>
                <w:lang w:val="fr-CA" w:eastAsia="fr-CA"/>
              </w:rPr>
            </w:pPr>
            <w:r w:rsidRPr="0035219B">
              <w:rPr>
                <w:sz w:val="24"/>
                <w:lang w:eastAsia="fr-CA"/>
              </w:rPr>
              <w:t>96</w:t>
            </w: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43</w:t>
            </w:r>
          </w:p>
        </w:tc>
        <w:tc>
          <w:tcPr>
            <w:tcW w:w="926" w:type="dxa"/>
            <w:shd w:val="clear" w:color="auto" w:fill="auto"/>
            <w:hideMark/>
          </w:tcPr>
          <w:p w:rsidR="00FA5925" w:rsidRPr="0035219B" w:rsidRDefault="00FA5925" w:rsidP="00FA5925">
            <w:pPr>
              <w:jc w:val="center"/>
              <w:rPr>
                <w:sz w:val="24"/>
                <w:lang w:val="fr-CA" w:eastAsia="fr-CA"/>
              </w:rPr>
            </w:pPr>
            <w:r w:rsidRPr="0035219B">
              <w:rPr>
                <w:sz w:val="24"/>
                <w:lang w:eastAsia="fr-CA"/>
              </w:rPr>
              <w:t>0</w:t>
            </w:r>
          </w:p>
        </w:tc>
        <w:tc>
          <w:tcPr>
            <w:tcW w:w="1058" w:type="dxa"/>
            <w:shd w:val="clear" w:color="auto" w:fill="auto"/>
            <w:hideMark/>
          </w:tcPr>
          <w:p w:rsidR="00FA5925" w:rsidRPr="0035219B" w:rsidRDefault="00FA5925" w:rsidP="00FA5925">
            <w:pPr>
              <w:jc w:val="center"/>
              <w:rPr>
                <w:sz w:val="24"/>
                <w:lang w:val="fr-CA" w:eastAsia="fr-CA"/>
              </w:rPr>
            </w:pPr>
            <w:r w:rsidRPr="0035219B">
              <w:rPr>
                <w:sz w:val="24"/>
                <w:lang w:eastAsia="fr-CA"/>
              </w:rPr>
              <w:t>3</w:t>
            </w: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1</w:t>
            </w:r>
          </w:p>
        </w:tc>
        <w:tc>
          <w:tcPr>
            <w:tcW w:w="850" w:type="dxa"/>
            <w:shd w:val="clear" w:color="auto" w:fill="auto"/>
            <w:hideMark/>
          </w:tcPr>
          <w:p w:rsidR="00FA5925" w:rsidRPr="0035219B" w:rsidRDefault="00FA5925" w:rsidP="00FA5925">
            <w:pPr>
              <w:jc w:val="center"/>
              <w:rPr>
                <w:sz w:val="24"/>
                <w:lang w:val="fr-CA" w:eastAsia="fr-CA"/>
              </w:rPr>
            </w:pPr>
            <w:r w:rsidRPr="0035219B">
              <w:rPr>
                <w:sz w:val="24"/>
                <w:lang w:eastAsia="fr-CA"/>
              </w:rPr>
              <w:t>0</w:t>
            </w:r>
          </w:p>
        </w:tc>
        <w:tc>
          <w:tcPr>
            <w:tcW w:w="1134" w:type="dxa"/>
            <w:shd w:val="clear" w:color="auto" w:fill="auto"/>
            <w:noWrap/>
            <w:vAlign w:val="bottom"/>
            <w:hideMark/>
          </w:tcPr>
          <w:p w:rsidR="00FA5925" w:rsidRPr="0035219B" w:rsidRDefault="00FA5925" w:rsidP="00FA5925">
            <w:pPr>
              <w:jc w:val="center"/>
              <w:rPr>
                <w:sz w:val="24"/>
                <w:lang w:val="fr-CA" w:eastAsia="fr-CA"/>
              </w:rPr>
            </w:pPr>
            <w:r w:rsidRPr="0035219B">
              <w:rPr>
                <w:sz w:val="24"/>
                <w:lang w:val="fr-CA" w:eastAsia="fr-CA"/>
              </w:rPr>
              <w:t>143</w:t>
            </w:r>
          </w:p>
        </w:tc>
      </w:tr>
      <w:tr w:rsidR="00FA5925" w:rsidRPr="0035219B" w:rsidTr="00FA5925">
        <w:trPr>
          <w:trHeight w:val="330"/>
          <w:jc w:val="center"/>
        </w:trPr>
        <w:tc>
          <w:tcPr>
            <w:tcW w:w="2422" w:type="dxa"/>
            <w:shd w:val="clear" w:color="auto" w:fill="auto"/>
            <w:hideMark/>
          </w:tcPr>
          <w:p w:rsidR="00FA5925" w:rsidRPr="0035219B" w:rsidRDefault="00FA5925" w:rsidP="00FA5925">
            <w:pPr>
              <w:rPr>
                <w:sz w:val="24"/>
                <w:lang w:val="fr-CA" w:eastAsia="fr-CA"/>
              </w:rPr>
            </w:pPr>
            <w:r w:rsidRPr="0035219B">
              <w:rPr>
                <w:sz w:val="24"/>
                <w:lang w:eastAsia="fr-CA"/>
              </w:rPr>
              <w:t>Région de Kankan</w:t>
            </w:r>
          </w:p>
        </w:tc>
        <w:tc>
          <w:tcPr>
            <w:tcW w:w="1134" w:type="dxa"/>
            <w:shd w:val="clear" w:color="auto" w:fill="auto"/>
            <w:hideMark/>
          </w:tcPr>
          <w:p w:rsidR="00FA5925" w:rsidRPr="0035219B" w:rsidRDefault="00FA5925" w:rsidP="00FA5925">
            <w:pPr>
              <w:jc w:val="center"/>
              <w:rPr>
                <w:sz w:val="24"/>
                <w:lang w:val="fr-CA" w:eastAsia="fr-CA"/>
              </w:rPr>
            </w:pPr>
            <w:r w:rsidRPr="0035219B">
              <w:rPr>
                <w:sz w:val="24"/>
                <w:lang w:eastAsia="fr-CA"/>
              </w:rPr>
              <w:t>134</w:t>
            </w: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67</w:t>
            </w:r>
          </w:p>
        </w:tc>
        <w:tc>
          <w:tcPr>
            <w:tcW w:w="926" w:type="dxa"/>
            <w:shd w:val="clear" w:color="auto" w:fill="auto"/>
            <w:hideMark/>
          </w:tcPr>
          <w:p w:rsidR="00FA5925" w:rsidRPr="0035219B" w:rsidRDefault="00FA5925" w:rsidP="00FA5925">
            <w:pPr>
              <w:jc w:val="center"/>
              <w:rPr>
                <w:sz w:val="24"/>
                <w:lang w:val="fr-CA" w:eastAsia="fr-CA"/>
              </w:rPr>
            </w:pPr>
            <w:r w:rsidRPr="0035219B">
              <w:rPr>
                <w:sz w:val="24"/>
                <w:lang w:eastAsia="fr-CA"/>
              </w:rPr>
              <w:t>0</w:t>
            </w:r>
          </w:p>
        </w:tc>
        <w:tc>
          <w:tcPr>
            <w:tcW w:w="1058" w:type="dxa"/>
            <w:shd w:val="clear" w:color="auto" w:fill="auto"/>
            <w:hideMark/>
          </w:tcPr>
          <w:p w:rsidR="00FA5925" w:rsidRPr="0035219B" w:rsidRDefault="00FA5925" w:rsidP="00FA5925">
            <w:pPr>
              <w:jc w:val="center"/>
              <w:rPr>
                <w:sz w:val="24"/>
                <w:lang w:val="fr-CA" w:eastAsia="fr-CA"/>
              </w:rPr>
            </w:pPr>
            <w:r w:rsidRPr="0035219B">
              <w:rPr>
                <w:sz w:val="24"/>
                <w:lang w:eastAsia="fr-CA"/>
              </w:rPr>
              <w:t>4</w:t>
            </w: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1</w:t>
            </w:r>
          </w:p>
        </w:tc>
        <w:tc>
          <w:tcPr>
            <w:tcW w:w="850" w:type="dxa"/>
            <w:shd w:val="clear" w:color="auto" w:fill="auto"/>
            <w:hideMark/>
          </w:tcPr>
          <w:p w:rsidR="00FA5925" w:rsidRPr="0035219B" w:rsidRDefault="00FA5925" w:rsidP="00FA5925">
            <w:pPr>
              <w:jc w:val="center"/>
              <w:rPr>
                <w:sz w:val="24"/>
                <w:lang w:val="fr-CA" w:eastAsia="fr-CA"/>
              </w:rPr>
            </w:pPr>
            <w:r w:rsidRPr="0035219B">
              <w:rPr>
                <w:sz w:val="24"/>
                <w:lang w:eastAsia="fr-CA"/>
              </w:rPr>
              <w:t>0</w:t>
            </w:r>
          </w:p>
        </w:tc>
        <w:tc>
          <w:tcPr>
            <w:tcW w:w="1134" w:type="dxa"/>
            <w:shd w:val="clear" w:color="auto" w:fill="auto"/>
            <w:noWrap/>
            <w:vAlign w:val="bottom"/>
            <w:hideMark/>
          </w:tcPr>
          <w:p w:rsidR="00FA5925" w:rsidRPr="0035219B" w:rsidRDefault="00FA5925" w:rsidP="00FA5925">
            <w:pPr>
              <w:jc w:val="center"/>
              <w:rPr>
                <w:sz w:val="24"/>
                <w:lang w:val="fr-CA" w:eastAsia="fr-CA"/>
              </w:rPr>
            </w:pPr>
            <w:r w:rsidRPr="0035219B">
              <w:rPr>
                <w:sz w:val="24"/>
                <w:lang w:val="fr-CA" w:eastAsia="fr-CA"/>
              </w:rPr>
              <w:t>206</w:t>
            </w:r>
          </w:p>
        </w:tc>
      </w:tr>
      <w:tr w:rsidR="00FA5925" w:rsidRPr="0035219B" w:rsidTr="00FA5925">
        <w:trPr>
          <w:trHeight w:val="330"/>
          <w:jc w:val="center"/>
        </w:trPr>
        <w:tc>
          <w:tcPr>
            <w:tcW w:w="2422" w:type="dxa"/>
            <w:shd w:val="clear" w:color="auto" w:fill="auto"/>
            <w:hideMark/>
          </w:tcPr>
          <w:p w:rsidR="00FA5925" w:rsidRPr="0035219B" w:rsidRDefault="00FA5925" w:rsidP="00FA5925">
            <w:pPr>
              <w:rPr>
                <w:sz w:val="24"/>
                <w:lang w:val="fr-CA" w:eastAsia="fr-CA"/>
              </w:rPr>
            </w:pPr>
            <w:r w:rsidRPr="0035219B">
              <w:rPr>
                <w:sz w:val="24"/>
                <w:lang w:eastAsia="fr-CA"/>
              </w:rPr>
              <w:t>Région de N’Zérékoré</w:t>
            </w:r>
          </w:p>
        </w:tc>
        <w:tc>
          <w:tcPr>
            <w:tcW w:w="1134" w:type="dxa"/>
            <w:shd w:val="clear" w:color="auto" w:fill="auto"/>
            <w:hideMark/>
          </w:tcPr>
          <w:p w:rsidR="00FA5925" w:rsidRPr="0035219B" w:rsidRDefault="00FA5925" w:rsidP="00FA5925">
            <w:pPr>
              <w:jc w:val="center"/>
              <w:rPr>
                <w:sz w:val="24"/>
                <w:lang w:val="fr-CA" w:eastAsia="fr-CA"/>
              </w:rPr>
            </w:pPr>
            <w:r w:rsidRPr="0035219B">
              <w:rPr>
                <w:sz w:val="24"/>
                <w:lang w:eastAsia="fr-CA"/>
              </w:rPr>
              <w:t>157</w:t>
            </w: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77</w:t>
            </w:r>
          </w:p>
        </w:tc>
        <w:tc>
          <w:tcPr>
            <w:tcW w:w="926" w:type="dxa"/>
            <w:shd w:val="clear" w:color="auto" w:fill="auto"/>
            <w:hideMark/>
          </w:tcPr>
          <w:p w:rsidR="00FA5925" w:rsidRPr="0035219B" w:rsidRDefault="00FA5925" w:rsidP="00FA5925">
            <w:pPr>
              <w:jc w:val="center"/>
              <w:rPr>
                <w:sz w:val="24"/>
                <w:lang w:val="fr-CA" w:eastAsia="fr-CA"/>
              </w:rPr>
            </w:pPr>
            <w:r w:rsidRPr="0035219B">
              <w:rPr>
                <w:sz w:val="24"/>
                <w:lang w:eastAsia="fr-CA"/>
              </w:rPr>
              <w:t>2</w:t>
            </w:r>
          </w:p>
        </w:tc>
        <w:tc>
          <w:tcPr>
            <w:tcW w:w="1058" w:type="dxa"/>
            <w:shd w:val="clear" w:color="auto" w:fill="auto"/>
            <w:hideMark/>
          </w:tcPr>
          <w:p w:rsidR="00FA5925" w:rsidRPr="0035219B" w:rsidRDefault="00FA5925" w:rsidP="00FA5925">
            <w:pPr>
              <w:jc w:val="center"/>
              <w:rPr>
                <w:sz w:val="24"/>
                <w:lang w:val="fr-CA" w:eastAsia="fr-CA"/>
              </w:rPr>
            </w:pPr>
            <w:r w:rsidRPr="0035219B">
              <w:rPr>
                <w:sz w:val="24"/>
                <w:lang w:eastAsia="fr-CA"/>
              </w:rPr>
              <w:t>7</w:t>
            </w:r>
          </w:p>
        </w:tc>
        <w:tc>
          <w:tcPr>
            <w:tcW w:w="851" w:type="dxa"/>
            <w:shd w:val="clear" w:color="auto" w:fill="auto"/>
            <w:hideMark/>
          </w:tcPr>
          <w:p w:rsidR="00FA5925" w:rsidRPr="0035219B" w:rsidRDefault="00FA5925" w:rsidP="00FA5925">
            <w:pPr>
              <w:jc w:val="center"/>
              <w:rPr>
                <w:sz w:val="24"/>
                <w:lang w:val="fr-CA" w:eastAsia="fr-CA"/>
              </w:rPr>
            </w:pPr>
            <w:r w:rsidRPr="0035219B">
              <w:rPr>
                <w:sz w:val="24"/>
                <w:lang w:eastAsia="fr-CA"/>
              </w:rPr>
              <w:t>1</w:t>
            </w:r>
          </w:p>
        </w:tc>
        <w:tc>
          <w:tcPr>
            <w:tcW w:w="850" w:type="dxa"/>
            <w:shd w:val="clear" w:color="auto" w:fill="auto"/>
            <w:hideMark/>
          </w:tcPr>
          <w:p w:rsidR="00FA5925" w:rsidRPr="0035219B" w:rsidRDefault="00FA5925" w:rsidP="00FA5925">
            <w:pPr>
              <w:jc w:val="center"/>
              <w:rPr>
                <w:sz w:val="24"/>
                <w:lang w:val="fr-CA" w:eastAsia="fr-CA"/>
              </w:rPr>
            </w:pPr>
            <w:r w:rsidRPr="0035219B">
              <w:rPr>
                <w:sz w:val="24"/>
                <w:lang w:eastAsia="fr-CA"/>
              </w:rPr>
              <w:t>0</w:t>
            </w:r>
          </w:p>
        </w:tc>
        <w:tc>
          <w:tcPr>
            <w:tcW w:w="1134" w:type="dxa"/>
            <w:shd w:val="clear" w:color="auto" w:fill="auto"/>
            <w:noWrap/>
            <w:vAlign w:val="bottom"/>
            <w:hideMark/>
          </w:tcPr>
          <w:p w:rsidR="00FA5925" w:rsidRPr="0035219B" w:rsidRDefault="00FA5925" w:rsidP="00FA5925">
            <w:pPr>
              <w:jc w:val="center"/>
              <w:rPr>
                <w:sz w:val="24"/>
                <w:lang w:val="fr-CA" w:eastAsia="fr-CA"/>
              </w:rPr>
            </w:pPr>
            <w:r w:rsidRPr="0035219B">
              <w:rPr>
                <w:sz w:val="24"/>
                <w:lang w:val="fr-CA" w:eastAsia="fr-CA"/>
              </w:rPr>
              <w:t>244</w:t>
            </w:r>
          </w:p>
        </w:tc>
      </w:tr>
      <w:tr w:rsidR="00FA5925" w:rsidRPr="0035219B" w:rsidTr="00FA5925">
        <w:trPr>
          <w:trHeight w:val="330"/>
          <w:jc w:val="center"/>
        </w:trPr>
        <w:tc>
          <w:tcPr>
            <w:tcW w:w="2422" w:type="dxa"/>
            <w:shd w:val="clear" w:color="auto" w:fill="auto"/>
          </w:tcPr>
          <w:p w:rsidR="00FA5925" w:rsidRPr="0035219B" w:rsidRDefault="00FA5925" w:rsidP="00FA5925">
            <w:pPr>
              <w:jc w:val="center"/>
              <w:rPr>
                <w:b/>
                <w:sz w:val="24"/>
                <w:lang w:eastAsia="fr-CA"/>
              </w:rPr>
            </w:pPr>
            <w:r w:rsidRPr="0035219B">
              <w:rPr>
                <w:b/>
                <w:sz w:val="24"/>
                <w:lang w:eastAsia="fr-CA"/>
              </w:rPr>
              <w:t>Total</w:t>
            </w:r>
          </w:p>
        </w:tc>
        <w:tc>
          <w:tcPr>
            <w:tcW w:w="1134" w:type="dxa"/>
            <w:shd w:val="clear" w:color="auto" w:fill="auto"/>
            <w:vAlign w:val="center"/>
          </w:tcPr>
          <w:p w:rsidR="00FA5925" w:rsidRPr="0035219B" w:rsidRDefault="00FA5925" w:rsidP="00FA5925">
            <w:pPr>
              <w:jc w:val="center"/>
              <w:rPr>
                <w:b/>
                <w:sz w:val="24"/>
                <w:lang w:val="fr-CA" w:eastAsia="fr-CA"/>
              </w:rPr>
            </w:pPr>
            <w:r w:rsidRPr="0035219B">
              <w:rPr>
                <w:b/>
                <w:sz w:val="24"/>
                <w:lang w:eastAsia="fr-CA"/>
              </w:rPr>
              <w:t>925</w:t>
            </w:r>
          </w:p>
        </w:tc>
        <w:tc>
          <w:tcPr>
            <w:tcW w:w="851" w:type="dxa"/>
            <w:shd w:val="clear" w:color="auto" w:fill="auto"/>
            <w:vAlign w:val="center"/>
          </w:tcPr>
          <w:p w:rsidR="00FA5925" w:rsidRPr="0035219B" w:rsidRDefault="00FA5925" w:rsidP="00FA5925">
            <w:pPr>
              <w:jc w:val="center"/>
              <w:rPr>
                <w:b/>
                <w:sz w:val="24"/>
                <w:lang w:val="fr-CA" w:eastAsia="fr-CA"/>
              </w:rPr>
            </w:pPr>
            <w:r w:rsidRPr="0035219B">
              <w:rPr>
                <w:b/>
                <w:sz w:val="24"/>
                <w:lang w:val="fr-CA" w:eastAsia="fr-CA"/>
              </w:rPr>
              <w:t>407</w:t>
            </w:r>
          </w:p>
        </w:tc>
        <w:tc>
          <w:tcPr>
            <w:tcW w:w="926" w:type="dxa"/>
            <w:shd w:val="clear" w:color="auto" w:fill="auto"/>
            <w:vAlign w:val="center"/>
          </w:tcPr>
          <w:p w:rsidR="00FA5925" w:rsidRPr="0035219B" w:rsidRDefault="00FA5925" w:rsidP="00FA5925">
            <w:pPr>
              <w:jc w:val="center"/>
              <w:rPr>
                <w:b/>
                <w:sz w:val="24"/>
                <w:lang w:val="fr-CA" w:eastAsia="fr-CA"/>
              </w:rPr>
            </w:pPr>
            <w:r w:rsidRPr="0035219B">
              <w:rPr>
                <w:b/>
                <w:sz w:val="24"/>
                <w:lang w:val="fr-CA" w:eastAsia="fr-CA"/>
              </w:rPr>
              <w:t>5</w:t>
            </w:r>
          </w:p>
        </w:tc>
        <w:tc>
          <w:tcPr>
            <w:tcW w:w="1058" w:type="dxa"/>
            <w:shd w:val="clear" w:color="auto" w:fill="auto"/>
            <w:vAlign w:val="center"/>
          </w:tcPr>
          <w:p w:rsidR="00FA5925" w:rsidRPr="0035219B" w:rsidRDefault="00FA5925" w:rsidP="00FA5925">
            <w:pPr>
              <w:jc w:val="center"/>
              <w:rPr>
                <w:b/>
                <w:sz w:val="24"/>
                <w:lang w:val="fr-CA" w:eastAsia="fr-CA"/>
              </w:rPr>
            </w:pPr>
            <w:r w:rsidRPr="0035219B">
              <w:rPr>
                <w:b/>
                <w:sz w:val="24"/>
                <w:lang w:val="fr-CA" w:eastAsia="fr-CA"/>
              </w:rPr>
              <w:t>38</w:t>
            </w:r>
          </w:p>
        </w:tc>
        <w:tc>
          <w:tcPr>
            <w:tcW w:w="851" w:type="dxa"/>
            <w:shd w:val="clear" w:color="auto" w:fill="auto"/>
            <w:vAlign w:val="center"/>
          </w:tcPr>
          <w:p w:rsidR="00FA5925" w:rsidRPr="0035219B" w:rsidRDefault="00FA5925" w:rsidP="00FA5925">
            <w:pPr>
              <w:jc w:val="center"/>
              <w:rPr>
                <w:b/>
                <w:sz w:val="24"/>
                <w:lang w:val="fr-CA" w:eastAsia="fr-CA"/>
              </w:rPr>
            </w:pPr>
            <w:r w:rsidRPr="0035219B">
              <w:rPr>
                <w:b/>
                <w:sz w:val="24"/>
                <w:lang w:val="fr-CA" w:eastAsia="fr-CA"/>
              </w:rPr>
              <w:t>7</w:t>
            </w:r>
          </w:p>
        </w:tc>
        <w:tc>
          <w:tcPr>
            <w:tcW w:w="850" w:type="dxa"/>
            <w:shd w:val="clear" w:color="auto" w:fill="auto"/>
            <w:vAlign w:val="center"/>
          </w:tcPr>
          <w:p w:rsidR="00FA5925" w:rsidRPr="0035219B" w:rsidRDefault="00FA5925" w:rsidP="00FA5925">
            <w:pPr>
              <w:jc w:val="center"/>
              <w:rPr>
                <w:b/>
                <w:sz w:val="24"/>
                <w:lang w:val="fr-CA" w:eastAsia="fr-CA"/>
              </w:rPr>
            </w:pPr>
            <w:r w:rsidRPr="0035219B">
              <w:rPr>
                <w:b/>
                <w:sz w:val="24"/>
                <w:lang w:val="fr-CA" w:eastAsia="fr-CA"/>
              </w:rPr>
              <w:t>3</w:t>
            </w:r>
          </w:p>
        </w:tc>
        <w:tc>
          <w:tcPr>
            <w:tcW w:w="1134" w:type="dxa"/>
            <w:shd w:val="clear" w:color="auto" w:fill="auto"/>
            <w:noWrap/>
            <w:vAlign w:val="center"/>
          </w:tcPr>
          <w:p w:rsidR="00FA5925" w:rsidRPr="0035219B" w:rsidRDefault="00FA5925" w:rsidP="00FA5925">
            <w:pPr>
              <w:jc w:val="center"/>
              <w:rPr>
                <w:b/>
                <w:sz w:val="24"/>
                <w:lang w:val="fr-CA" w:eastAsia="fr-CA"/>
              </w:rPr>
            </w:pPr>
            <w:r w:rsidRPr="0035219B">
              <w:rPr>
                <w:b/>
                <w:sz w:val="24"/>
                <w:lang w:val="fr-CA" w:eastAsia="fr-CA"/>
              </w:rPr>
              <w:t>1385</w:t>
            </w:r>
          </w:p>
        </w:tc>
      </w:tr>
    </w:tbl>
    <w:p w:rsidR="00FA5925" w:rsidRDefault="00FA5925" w:rsidP="00FA5925">
      <w:pPr>
        <w:rPr>
          <w:noProof/>
          <w:sz w:val="24"/>
          <w:lang w:val="fr-FR"/>
        </w:rPr>
      </w:pPr>
    </w:p>
    <w:p w:rsidR="00E36E7B" w:rsidRPr="00E67A6B" w:rsidRDefault="00E36E7B" w:rsidP="00FA5925">
      <w:pPr>
        <w:pStyle w:val="Listecouleur-Accent11"/>
        <w:rPr>
          <w:rFonts w:asciiTheme="minorHAnsi" w:hAnsiTheme="minorHAnsi" w:cs="Arial"/>
          <w:noProof/>
          <w:lang w:val="fr-FR"/>
        </w:rPr>
      </w:pPr>
    </w:p>
    <w:p w:rsidR="00E67A6B" w:rsidRDefault="00E67A6B" w:rsidP="00E67A6B">
      <w:pPr>
        <w:rPr>
          <w:noProof/>
          <w:sz w:val="24"/>
          <w:lang w:val="fr-FR"/>
        </w:rPr>
      </w:pPr>
    </w:p>
    <w:p w:rsidR="00FA4F17" w:rsidRPr="00E67A6B" w:rsidRDefault="00FA4F17" w:rsidP="00E67A6B">
      <w:pPr>
        <w:rPr>
          <w:noProof/>
          <w:sz w:val="24"/>
          <w:lang w:val="fr-FR"/>
        </w:rPr>
      </w:pPr>
      <w:r w:rsidRPr="00E67A6B">
        <w:rPr>
          <w:noProof/>
          <w:sz w:val="24"/>
          <w:lang w:val="fr-FR"/>
        </w:rPr>
        <w:t xml:space="preserve">A côté du secteur public, il existe un sous-secteur privé associatif et </w:t>
      </w:r>
      <w:r w:rsidR="008D3449" w:rsidRPr="00E67A6B">
        <w:rPr>
          <w:noProof/>
          <w:sz w:val="24"/>
          <w:lang w:val="fr-FR"/>
        </w:rPr>
        <w:t>à but lucratif en plein essor. On compte 228 </w:t>
      </w:r>
      <w:r w:rsidRPr="00E67A6B">
        <w:rPr>
          <w:noProof/>
          <w:sz w:val="24"/>
          <w:lang w:val="fr-FR"/>
        </w:rPr>
        <w:t xml:space="preserve">cabinets de soins et de consultations, 33 centres médicaux chirurgicaux, 11 polycliniques, 17 cabinets dentaires et 16 cabinets de sages-femmes. Les structures pharmaceutiques et biomédicales privées sont constituées de 25 sociétés </w:t>
      </w:r>
      <w:r w:rsidR="008D3449" w:rsidRPr="00E67A6B">
        <w:rPr>
          <w:noProof/>
          <w:sz w:val="24"/>
          <w:lang w:val="fr-FR"/>
        </w:rPr>
        <w:t xml:space="preserve">de </w:t>
      </w:r>
      <w:r w:rsidRPr="00E67A6B">
        <w:rPr>
          <w:noProof/>
          <w:sz w:val="24"/>
          <w:lang w:val="fr-FR"/>
        </w:rPr>
        <w:t>grossistes répartiteurs, 16 agences de promotion médicales, 284 officines, 39 points de vente et 5 laboratoires d’analyse biomédicales.</w:t>
      </w:r>
      <w:r w:rsidR="0063001D" w:rsidRPr="00E67A6B">
        <w:rPr>
          <w:noProof/>
          <w:sz w:val="24"/>
          <w:lang w:val="fr-FR"/>
        </w:rPr>
        <w:t xml:space="preserve"> Dans les domaines pharmaceutique et médical, on remarque le développement rapide et incontrôlé du secteur informel illicite entraînant un risque réel et élevé pour la santé de la population.</w:t>
      </w:r>
    </w:p>
    <w:p w:rsidR="00E67A6B" w:rsidRDefault="00E67A6B" w:rsidP="00E67A6B">
      <w:pPr>
        <w:rPr>
          <w:noProof/>
          <w:sz w:val="24"/>
          <w:lang w:val="fr-FR"/>
        </w:rPr>
      </w:pPr>
    </w:p>
    <w:p w:rsidR="00FA4F17" w:rsidRPr="00E67A6B" w:rsidRDefault="008D3449" w:rsidP="00E67A6B">
      <w:pPr>
        <w:rPr>
          <w:noProof/>
          <w:sz w:val="24"/>
          <w:lang w:val="fr-FR"/>
        </w:rPr>
      </w:pPr>
      <w:r w:rsidRPr="00E67A6B">
        <w:rPr>
          <w:noProof/>
          <w:sz w:val="24"/>
          <w:lang w:val="fr-FR"/>
        </w:rPr>
        <w:t>Le personnel est inégalement ré</w:t>
      </w:r>
      <w:r w:rsidR="00FA4F17" w:rsidRPr="00E67A6B">
        <w:rPr>
          <w:noProof/>
          <w:sz w:val="24"/>
          <w:lang w:val="fr-FR"/>
        </w:rPr>
        <w:t>parti entre la capitale et les préfectures. Il faut noter que la part du budget de l’Etat alloué au fonctionnement du M</w:t>
      </w:r>
      <w:r w:rsidR="008C75C0" w:rsidRPr="00E67A6B">
        <w:rPr>
          <w:noProof/>
          <w:sz w:val="24"/>
          <w:lang w:val="fr-FR"/>
        </w:rPr>
        <w:t xml:space="preserve">inistère de la </w:t>
      </w:r>
      <w:r w:rsidR="00FA4F17" w:rsidRPr="00E67A6B">
        <w:rPr>
          <w:noProof/>
          <w:sz w:val="24"/>
          <w:lang w:val="fr-FR"/>
        </w:rPr>
        <w:t>S</w:t>
      </w:r>
      <w:r w:rsidR="008C75C0" w:rsidRPr="00E67A6B">
        <w:rPr>
          <w:noProof/>
          <w:sz w:val="24"/>
          <w:lang w:val="fr-FR"/>
        </w:rPr>
        <w:t>anté (MS)</w:t>
      </w:r>
      <w:r w:rsidR="00FA4F17" w:rsidRPr="00E67A6B">
        <w:rPr>
          <w:noProof/>
          <w:sz w:val="24"/>
          <w:lang w:val="fr-FR"/>
        </w:rPr>
        <w:t xml:space="preserve"> est en baisse depuis 1997. De plus, le taux de décaissement est faible </w:t>
      </w:r>
      <w:r w:rsidRPr="00E67A6B">
        <w:rPr>
          <w:noProof/>
          <w:sz w:val="24"/>
          <w:lang w:val="fr-FR"/>
        </w:rPr>
        <w:t>limitant</w:t>
      </w:r>
      <w:r w:rsidR="00FA4F17" w:rsidRPr="00E67A6B">
        <w:rPr>
          <w:noProof/>
          <w:sz w:val="24"/>
          <w:lang w:val="fr-FR"/>
        </w:rPr>
        <w:t xml:space="preserve"> le fonctionnement adéquat des structures de santé. </w:t>
      </w:r>
    </w:p>
    <w:p w:rsidR="00340B22" w:rsidRPr="00E67A6B" w:rsidRDefault="00340B22" w:rsidP="00E67A6B">
      <w:pPr>
        <w:rPr>
          <w:rFonts w:ascii="Arial" w:hAnsi="Arial" w:cs="Arial"/>
          <w:sz w:val="24"/>
          <w:lang w:val="fr-FR"/>
        </w:rPr>
      </w:pPr>
    </w:p>
    <w:p w:rsidR="00340B22" w:rsidRPr="00E67A6B" w:rsidRDefault="00340B22" w:rsidP="00E67A6B">
      <w:pPr>
        <w:pStyle w:val="Titre2"/>
        <w:numPr>
          <w:ilvl w:val="1"/>
          <w:numId w:val="19"/>
        </w:numPr>
        <w:spacing w:before="0"/>
        <w:rPr>
          <w:color w:val="auto"/>
          <w:sz w:val="28"/>
          <w:szCs w:val="28"/>
          <w:lang w:val="fr-FR"/>
        </w:rPr>
      </w:pPr>
      <w:bookmarkStart w:id="26" w:name="_Toc480382926"/>
      <w:r w:rsidRPr="00E67A6B">
        <w:rPr>
          <w:color w:val="auto"/>
          <w:sz w:val="28"/>
          <w:szCs w:val="28"/>
          <w:lang w:val="fr-FR"/>
        </w:rPr>
        <w:t>Epidémiologie du VIH</w:t>
      </w:r>
      <w:bookmarkEnd w:id="26"/>
    </w:p>
    <w:p w:rsidR="0067437F" w:rsidRPr="00E67A6B" w:rsidRDefault="0067437F" w:rsidP="00E67A6B">
      <w:pPr>
        <w:pStyle w:val="Paragraphedeliste"/>
        <w:ind w:left="1080"/>
        <w:rPr>
          <w:rFonts w:ascii="Arial" w:hAnsi="Arial" w:cs="Arial"/>
          <w:sz w:val="24"/>
          <w:lang w:val="fr-FR"/>
        </w:rPr>
      </w:pPr>
    </w:p>
    <w:p w:rsidR="00974350" w:rsidRPr="00E67A6B" w:rsidRDefault="00974350" w:rsidP="00E67A6B">
      <w:pPr>
        <w:shd w:val="clear" w:color="auto" w:fill="FFFFFF"/>
        <w:rPr>
          <w:sz w:val="24"/>
          <w:lang w:val="fr-FR"/>
        </w:rPr>
      </w:pPr>
      <w:r w:rsidRPr="00E67A6B">
        <w:rPr>
          <w:sz w:val="24"/>
          <w:lang w:val="fr-FR"/>
        </w:rPr>
        <w:t>D’après les estimations, la Guinée connaît une épidémie de VIH généralisée de faible niveau, av</w:t>
      </w:r>
      <w:r w:rsidR="008D3449" w:rsidRPr="00E67A6B">
        <w:rPr>
          <w:sz w:val="24"/>
          <w:lang w:val="fr-FR"/>
        </w:rPr>
        <w:t>ec un taux de prévalence de 1,7</w:t>
      </w:r>
      <w:r w:rsidRPr="00E67A6B">
        <w:rPr>
          <w:sz w:val="24"/>
          <w:lang w:val="fr-FR"/>
        </w:rPr>
        <w:t>% (EDS 2012). Ce taux semble s’être relativement stabilisé depuis 2005, date à</w:t>
      </w:r>
      <w:r w:rsidR="008D3449" w:rsidRPr="00E67A6B">
        <w:rPr>
          <w:sz w:val="24"/>
          <w:lang w:val="fr-FR"/>
        </w:rPr>
        <w:t xml:space="preserve"> laquelle il était estimé à 1,5</w:t>
      </w:r>
      <w:r w:rsidRPr="00E67A6B">
        <w:rPr>
          <w:sz w:val="24"/>
          <w:lang w:val="fr-FR"/>
        </w:rPr>
        <w:t>% (E</w:t>
      </w:r>
      <w:r w:rsidR="00D848D4" w:rsidRPr="00E67A6B">
        <w:rPr>
          <w:sz w:val="24"/>
          <w:lang w:val="fr-FR"/>
        </w:rPr>
        <w:t>DS 2005).</w:t>
      </w:r>
      <w:r w:rsidRPr="00E67A6B">
        <w:rPr>
          <w:sz w:val="24"/>
          <w:lang w:val="fr-FR"/>
        </w:rPr>
        <w:t xml:space="preserve"> Il existe toutefois des différences importantes</w:t>
      </w:r>
      <w:r w:rsidR="008D3449" w:rsidRPr="00E67A6B">
        <w:rPr>
          <w:sz w:val="24"/>
          <w:lang w:val="fr-FR"/>
        </w:rPr>
        <w:t xml:space="preserve"> e</w:t>
      </w:r>
      <w:r w:rsidRPr="00E67A6B">
        <w:rPr>
          <w:sz w:val="24"/>
          <w:lang w:val="fr-FR"/>
        </w:rPr>
        <w:t xml:space="preserve">n fonction </w:t>
      </w:r>
      <w:r w:rsidR="008D3449" w:rsidRPr="00E67A6B">
        <w:rPr>
          <w:sz w:val="24"/>
          <w:lang w:val="fr-FR"/>
        </w:rPr>
        <w:t xml:space="preserve">des zones géographiques, du sexe et de l’âge. En effet, les prévalences sont de </w:t>
      </w:r>
      <w:r w:rsidR="0076652D" w:rsidRPr="00E67A6B">
        <w:rPr>
          <w:sz w:val="24"/>
          <w:lang w:val="fr-FR"/>
        </w:rPr>
        <w:t xml:space="preserve">i) </w:t>
      </w:r>
      <w:r w:rsidR="008D3449" w:rsidRPr="00E67A6B">
        <w:rPr>
          <w:sz w:val="24"/>
          <w:lang w:val="fr-FR"/>
        </w:rPr>
        <w:t>2,7</w:t>
      </w:r>
      <w:r w:rsidRPr="00E67A6B">
        <w:rPr>
          <w:sz w:val="24"/>
          <w:lang w:val="fr-FR"/>
        </w:rPr>
        <w:t>% en zone urbai</w:t>
      </w:r>
      <w:r w:rsidR="008D3449" w:rsidRPr="00E67A6B">
        <w:rPr>
          <w:sz w:val="24"/>
          <w:lang w:val="fr-FR"/>
        </w:rPr>
        <w:t>ne contre 1,2 % en zone rurale</w:t>
      </w:r>
      <w:r w:rsidRPr="00E67A6B">
        <w:rPr>
          <w:sz w:val="24"/>
          <w:lang w:val="fr-FR"/>
        </w:rPr>
        <w:t xml:space="preserve">; </w:t>
      </w:r>
      <w:r w:rsidR="0076652D" w:rsidRPr="00E67A6B">
        <w:rPr>
          <w:sz w:val="24"/>
          <w:lang w:val="fr-FR"/>
        </w:rPr>
        <w:t>ii)</w:t>
      </w:r>
      <w:r w:rsidR="008D3449" w:rsidRPr="00E67A6B">
        <w:rPr>
          <w:sz w:val="24"/>
          <w:lang w:val="fr-FR"/>
        </w:rPr>
        <w:t xml:space="preserve"> de 2,1</w:t>
      </w:r>
      <w:r w:rsidRPr="00E67A6B">
        <w:rPr>
          <w:sz w:val="24"/>
          <w:lang w:val="fr-FR"/>
        </w:rPr>
        <w:t xml:space="preserve">% </w:t>
      </w:r>
      <w:r w:rsidR="008D3449" w:rsidRPr="00E67A6B">
        <w:rPr>
          <w:sz w:val="24"/>
          <w:lang w:val="fr-FR"/>
        </w:rPr>
        <w:t>chez les femmes contre 1,2</w:t>
      </w:r>
      <w:r w:rsidRPr="00E67A6B">
        <w:rPr>
          <w:sz w:val="24"/>
          <w:lang w:val="fr-FR"/>
        </w:rPr>
        <w:t xml:space="preserve">% </w:t>
      </w:r>
      <w:r w:rsidR="008D3449" w:rsidRPr="00E67A6B">
        <w:rPr>
          <w:sz w:val="24"/>
          <w:lang w:val="fr-FR"/>
        </w:rPr>
        <w:t>chez les hommes</w:t>
      </w:r>
      <w:r w:rsidR="0076652D" w:rsidRPr="00E67A6B">
        <w:rPr>
          <w:sz w:val="24"/>
          <w:lang w:val="fr-FR"/>
        </w:rPr>
        <w:t xml:space="preserve"> ; et enfin </w:t>
      </w:r>
      <w:r w:rsidR="00FA5925">
        <w:rPr>
          <w:sz w:val="24"/>
          <w:lang w:val="fr-FR"/>
        </w:rPr>
        <w:t xml:space="preserve">iii) </w:t>
      </w:r>
      <w:r w:rsidR="0076652D" w:rsidRPr="00E67A6B">
        <w:rPr>
          <w:sz w:val="24"/>
          <w:lang w:val="fr-FR"/>
        </w:rPr>
        <w:t>de 0,9</w:t>
      </w:r>
      <w:r w:rsidRPr="00E67A6B">
        <w:rPr>
          <w:sz w:val="24"/>
          <w:lang w:val="fr-FR"/>
        </w:rPr>
        <w:t xml:space="preserve">% chez les 15-24 ans, </w:t>
      </w:r>
      <w:r w:rsidR="0076652D" w:rsidRPr="00E67A6B">
        <w:rPr>
          <w:sz w:val="24"/>
          <w:lang w:val="fr-FR"/>
        </w:rPr>
        <w:t>1,5</w:t>
      </w:r>
      <w:r w:rsidRPr="00E67A6B">
        <w:rPr>
          <w:sz w:val="24"/>
          <w:lang w:val="fr-FR"/>
        </w:rPr>
        <w:t xml:space="preserve">% chez les 15-19 ans, </w:t>
      </w:r>
      <w:r w:rsidR="0076652D" w:rsidRPr="00E67A6B">
        <w:rPr>
          <w:sz w:val="24"/>
          <w:lang w:val="fr-FR"/>
        </w:rPr>
        <w:t>et 2,3% chez les 25-49 ans.</w:t>
      </w:r>
    </w:p>
    <w:p w:rsidR="00E67A6B" w:rsidRDefault="00E67A6B" w:rsidP="00E67A6B">
      <w:pPr>
        <w:shd w:val="clear" w:color="auto" w:fill="FFFFFF"/>
        <w:rPr>
          <w:sz w:val="24"/>
          <w:lang w:val="fr-FR"/>
        </w:rPr>
      </w:pPr>
    </w:p>
    <w:p w:rsidR="00BB07F6" w:rsidRPr="00E67A6B" w:rsidRDefault="00BB07F6" w:rsidP="00E67A6B">
      <w:pPr>
        <w:shd w:val="clear" w:color="auto" w:fill="FFFFFF"/>
        <w:rPr>
          <w:sz w:val="24"/>
          <w:lang w:val="fr-FR"/>
        </w:rPr>
      </w:pPr>
      <w:r w:rsidRPr="00E67A6B">
        <w:rPr>
          <w:sz w:val="24"/>
          <w:lang w:val="fr-FR"/>
        </w:rPr>
        <w:t>En 2015, les prévalences étaient de 1,6% chez les jeunes de 15 à 24 ans.</w:t>
      </w:r>
    </w:p>
    <w:p w:rsidR="00974350" w:rsidRPr="00E67A6B" w:rsidRDefault="00974350" w:rsidP="00E67A6B">
      <w:pPr>
        <w:rPr>
          <w:sz w:val="24"/>
          <w:lang w:val="fr-FR"/>
        </w:rPr>
      </w:pPr>
    </w:p>
    <w:p w:rsidR="00EE4081" w:rsidRPr="00E67A6B" w:rsidRDefault="0076652D" w:rsidP="00E67A6B">
      <w:pPr>
        <w:pStyle w:val="PECP"/>
        <w:spacing w:before="0" w:after="0"/>
        <w:rPr>
          <w:szCs w:val="24"/>
        </w:rPr>
      </w:pPr>
      <w:r w:rsidRPr="00E67A6B">
        <w:rPr>
          <w:rFonts w:asciiTheme="minorHAnsi" w:hAnsiTheme="minorHAnsi"/>
          <w:szCs w:val="24"/>
        </w:rPr>
        <w:t>En 2017, l</w:t>
      </w:r>
      <w:r w:rsidR="00CE0064" w:rsidRPr="00E67A6B">
        <w:rPr>
          <w:rFonts w:asciiTheme="minorHAnsi" w:hAnsiTheme="minorHAnsi"/>
          <w:szCs w:val="24"/>
        </w:rPr>
        <w:t>e nombre de</w:t>
      </w:r>
      <w:r w:rsidRPr="00E67A6B">
        <w:rPr>
          <w:rFonts w:asciiTheme="minorHAnsi" w:hAnsiTheme="minorHAnsi"/>
          <w:szCs w:val="24"/>
        </w:rPr>
        <w:t xml:space="preserve">PVVIH </w:t>
      </w:r>
      <w:r w:rsidR="00CE0064" w:rsidRPr="00E67A6B">
        <w:rPr>
          <w:rFonts w:asciiTheme="minorHAnsi" w:hAnsiTheme="minorHAnsi"/>
          <w:szCs w:val="24"/>
        </w:rPr>
        <w:t xml:space="preserve">est </w:t>
      </w:r>
      <w:r w:rsidRPr="00E67A6B">
        <w:rPr>
          <w:rFonts w:asciiTheme="minorHAnsi" w:hAnsiTheme="minorHAnsi"/>
          <w:szCs w:val="24"/>
        </w:rPr>
        <w:t xml:space="preserve">estimé à 136 135personnes </w:t>
      </w:r>
      <w:r w:rsidR="00CE0064" w:rsidRPr="00E67A6B">
        <w:rPr>
          <w:rFonts w:asciiTheme="minorHAnsi" w:hAnsiTheme="minorHAnsi"/>
          <w:szCs w:val="24"/>
        </w:rPr>
        <w:t xml:space="preserve">dont </w:t>
      </w:r>
      <w:r w:rsidRPr="00E67A6B">
        <w:rPr>
          <w:rFonts w:asciiTheme="minorHAnsi" w:hAnsiTheme="minorHAnsi"/>
          <w:szCs w:val="24"/>
        </w:rPr>
        <w:t>13685 enfants de moins de 15 ans (SPECTRUM 2017)</w:t>
      </w:r>
      <w:r w:rsidR="00CE0064" w:rsidRPr="00E67A6B">
        <w:rPr>
          <w:rFonts w:asciiTheme="minorHAnsi" w:hAnsiTheme="minorHAnsi"/>
          <w:szCs w:val="24"/>
        </w:rPr>
        <w:t>. Bien que l’épidémie soit d</w:t>
      </w:r>
      <w:r w:rsidR="0049317A" w:rsidRPr="00E67A6B">
        <w:rPr>
          <w:rFonts w:asciiTheme="minorHAnsi" w:hAnsiTheme="minorHAnsi"/>
          <w:szCs w:val="24"/>
        </w:rPr>
        <w:t xml:space="preserve">e type généralisé, il y a </w:t>
      </w:r>
      <w:r w:rsidR="00CE0064" w:rsidRPr="00E67A6B">
        <w:rPr>
          <w:rFonts w:asciiTheme="minorHAnsi" w:hAnsiTheme="minorHAnsi"/>
          <w:szCs w:val="24"/>
        </w:rPr>
        <w:t>une concentration de l’infection chez certai</w:t>
      </w:r>
      <w:r w:rsidR="0049317A" w:rsidRPr="00E67A6B">
        <w:rPr>
          <w:rFonts w:asciiTheme="minorHAnsi" w:hAnsiTheme="minorHAnsi"/>
          <w:szCs w:val="24"/>
        </w:rPr>
        <w:t xml:space="preserve">nes catégories de population. Par exemple, </w:t>
      </w:r>
      <w:r w:rsidR="00E903DD" w:rsidRPr="00E67A6B">
        <w:rPr>
          <w:rFonts w:asciiTheme="minorHAnsi" w:hAnsiTheme="minorHAnsi"/>
          <w:szCs w:val="24"/>
        </w:rPr>
        <w:t xml:space="preserve">chez les professionnelles de sexe (PS), des études ont trouvé des </w:t>
      </w:r>
      <w:r w:rsidR="00CE0064" w:rsidRPr="00E67A6B">
        <w:rPr>
          <w:rFonts w:asciiTheme="minorHAnsi" w:hAnsiTheme="minorHAnsi"/>
          <w:szCs w:val="24"/>
        </w:rPr>
        <w:t>prévalence</w:t>
      </w:r>
      <w:r w:rsidR="00E903DD" w:rsidRPr="00E67A6B">
        <w:rPr>
          <w:rFonts w:asciiTheme="minorHAnsi" w:hAnsiTheme="minorHAnsi"/>
          <w:szCs w:val="24"/>
        </w:rPr>
        <w:t>s de 42% en 2001(</w:t>
      </w:r>
      <w:r w:rsidR="00CE0064" w:rsidRPr="00E67A6B">
        <w:rPr>
          <w:rFonts w:asciiTheme="minorHAnsi" w:hAnsiTheme="minorHAnsi"/>
          <w:szCs w:val="24"/>
        </w:rPr>
        <w:t>ESSIDAGUI</w:t>
      </w:r>
      <w:r w:rsidR="00E903DD" w:rsidRPr="00E67A6B">
        <w:rPr>
          <w:rFonts w:asciiTheme="minorHAnsi" w:hAnsiTheme="minorHAnsi"/>
          <w:szCs w:val="24"/>
        </w:rPr>
        <w:t>, 2001), de 34,4% en 2007(</w:t>
      </w:r>
      <w:r w:rsidR="00BA7437" w:rsidRPr="00E67A6B">
        <w:rPr>
          <w:rFonts w:asciiTheme="minorHAnsi" w:hAnsiTheme="minorHAnsi"/>
          <w:szCs w:val="24"/>
        </w:rPr>
        <w:t>CNLS</w:t>
      </w:r>
      <w:r w:rsidR="00E903DD" w:rsidRPr="00E67A6B">
        <w:rPr>
          <w:rFonts w:asciiTheme="minorHAnsi" w:hAnsiTheme="minorHAnsi"/>
          <w:szCs w:val="24"/>
        </w:rPr>
        <w:t>, 2007</w:t>
      </w:r>
      <w:r w:rsidR="00CE0064" w:rsidRPr="00E67A6B">
        <w:rPr>
          <w:rFonts w:asciiTheme="minorHAnsi" w:hAnsiTheme="minorHAnsi"/>
          <w:szCs w:val="24"/>
        </w:rPr>
        <w:t xml:space="preserve">) et 16,7% </w:t>
      </w:r>
      <w:r w:rsidR="00CA381A" w:rsidRPr="00E67A6B">
        <w:rPr>
          <w:rFonts w:asciiTheme="minorHAnsi" w:hAnsiTheme="minorHAnsi"/>
          <w:szCs w:val="24"/>
        </w:rPr>
        <w:t xml:space="preserve">en 2012 </w:t>
      </w:r>
      <w:r w:rsidR="00E903DD" w:rsidRPr="00E67A6B">
        <w:rPr>
          <w:rFonts w:asciiTheme="minorHAnsi" w:hAnsiTheme="minorHAnsi"/>
          <w:szCs w:val="24"/>
        </w:rPr>
        <w:t>(</w:t>
      </w:r>
      <w:r w:rsidR="00BA7437" w:rsidRPr="00E67A6B">
        <w:rPr>
          <w:rFonts w:asciiTheme="minorHAnsi" w:hAnsiTheme="minorHAnsi"/>
          <w:szCs w:val="24"/>
        </w:rPr>
        <w:t>CNLS</w:t>
      </w:r>
      <w:r w:rsidR="00E903DD" w:rsidRPr="00E67A6B">
        <w:rPr>
          <w:rFonts w:asciiTheme="minorHAnsi" w:hAnsiTheme="minorHAnsi"/>
          <w:szCs w:val="24"/>
        </w:rPr>
        <w:t>, 2012)</w:t>
      </w:r>
      <w:r w:rsidR="00BB07F6" w:rsidRPr="00E67A6B">
        <w:rPr>
          <w:rFonts w:asciiTheme="minorHAnsi" w:hAnsiTheme="minorHAnsi"/>
          <w:szCs w:val="24"/>
        </w:rPr>
        <w:t xml:space="preserve"> et 14,2% en 2015 (</w:t>
      </w:r>
      <w:r w:rsidR="006606A5" w:rsidRPr="00E67A6B">
        <w:rPr>
          <w:rFonts w:asciiTheme="minorHAnsi" w:hAnsiTheme="minorHAnsi"/>
          <w:szCs w:val="24"/>
        </w:rPr>
        <w:t>CNLS</w:t>
      </w:r>
      <w:r w:rsidR="00BB07F6" w:rsidRPr="00E67A6B">
        <w:rPr>
          <w:rFonts w:asciiTheme="minorHAnsi" w:hAnsiTheme="minorHAnsi"/>
          <w:szCs w:val="24"/>
        </w:rPr>
        <w:t>, 2015</w:t>
      </w:r>
      <w:r w:rsidR="006606A5" w:rsidRPr="00E67A6B">
        <w:rPr>
          <w:rFonts w:asciiTheme="minorHAnsi" w:hAnsiTheme="minorHAnsi"/>
          <w:szCs w:val="24"/>
        </w:rPr>
        <w:t>a</w:t>
      </w:r>
      <w:r w:rsidR="00BB07F6" w:rsidRPr="00E67A6B">
        <w:rPr>
          <w:rFonts w:asciiTheme="minorHAnsi" w:hAnsiTheme="minorHAnsi"/>
          <w:szCs w:val="24"/>
        </w:rPr>
        <w:t>)</w:t>
      </w:r>
      <w:r w:rsidR="00E903DD" w:rsidRPr="00E67A6B">
        <w:rPr>
          <w:rFonts w:asciiTheme="minorHAnsi" w:hAnsiTheme="minorHAnsi"/>
          <w:szCs w:val="24"/>
        </w:rPr>
        <w:t xml:space="preserve">. En </w:t>
      </w:r>
      <w:r w:rsidR="00BB07F6" w:rsidRPr="00E67A6B">
        <w:rPr>
          <w:rFonts w:asciiTheme="minorHAnsi" w:hAnsiTheme="minorHAnsi"/>
          <w:szCs w:val="24"/>
        </w:rPr>
        <w:t>2015</w:t>
      </w:r>
      <w:r w:rsidR="00E903DD" w:rsidRPr="00E67A6B">
        <w:rPr>
          <w:rFonts w:asciiTheme="minorHAnsi" w:hAnsiTheme="minorHAnsi"/>
          <w:szCs w:val="24"/>
        </w:rPr>
        <w:t xml:space="preserve">, ces prévalences étaient </w:t>
      </w:r>
      <w:r w:rsidR="00AB12CB">
        <w:rPr>
          <w:rFonts w:asciiTheme="minorHAnsi" w:hAnsiTheme="minorHAnsi"/>
          <w:szCs w:val="24"/>
        </w:rPr>
        <w:t xml:space="preserve">de </w:t>
      </w:r>
      <w:r w:rsidR="00BB07F6" w:rsidRPr="00E67A6B">
        <w:rPr>
          <w:rFonts w:asciiTheme="minorHAnsi" w:hAnsiTheme="minorHAnsi"/>
          <w:szCs w:val="24"/>
        </w:rPr>
        <w:t>8,5</w:t>
      </w:r>
      <w:r w:rsidR="00E903DD" w:rsidRPr="00E67A6B">
        <w:rPr>
          <w:rFonts w:asciiTheme="minorHAnsi" w:hAnsiTheme="minorHAnsi"/>
          <w:szCs w:val="24"/>
        </w:rPr>
        <w:t>% chez les</w:t>
      </w:r>
      <w:r w:rsidR="00CE0064" w:rsidRPr="00E67A6B">
        <w:rPr>
          <w:rFonts w:asciiTheme="minorHAnsi" w:hAnsiTheme="minorHAnsi"/>
          <w:szCs w:val="24"/>
        </w:rPr>
        <w:t xml:space="preserve"> personnes en milieu carcéral, </w:t>
      </w:r>
      <w:r w:rsidR="00E903DD" w:rsidRPr="00E67A6B">
        <w:rPr>
          <w:rFonts w:asciiTheme="minorHAnsi" w:hAnsiTheme="minorHAnsi"/>
          <w:szCs w:val="24"/>
        </w:rPr>
        <w:t xml:space="preserve">5,9% chez les </w:t>
      </w:r>
      <w:r w:rsidR="00BB07F6" w:rsidRPr="00E67A6B">
        <w:rPr>
          <w:rFonts w:asciiTheme="minorHAnsi" w:hAnsiTheme="minorHAnsi"/>
          <w:szCs w:val="24"/>
        </w:rPr>
        <w:t>miniers (5,1</w:t>
      </w:r>
      <w:r w:rsidR="00CE0064" w:rsidRPr="00E67A6B">
        <w:rPr>
          <w:rFonts w:asciiTheme="minorHAnsi" w:hAnsiTheme="minorHAnsi"/>
          <w:szCs w:val="24"/>
        </w:rPr>
        <w:t xml:space="preserve">%) et </w:t>
      </w:r>
      <w:r w:rsidR="00E903DD" w:rsidRPr="00E67A6B">
        <w:rPr>
          <w:rFonts w:asciiTheme="minorHAnsi" w:hAnsiTheme="minorHAnsi"/>
          <w:szCs w:val="24"/>
        </w:rPr>
        <w:t>4,5% chez les hommes en uniformes</w:t>
      </w:r>
      <w:r w:rsidR="00635D1A" w:rsidRPr="00E67A6B">
        <w:rPr>
          <w:rFonts w:asciiTheme="minorHAnsi" w:hAnsiTheme="minorHAnsi"/>
          <w:szCs w:val="24"/>
        </w:rPr>
        <w:t>, 4,6% chez les pêcheurs et 4,2% chez les routiers</w:t>
      </w:r>
      <w:r w:rsidR="000432CE" w:rsidRPr="00E67A6B">
        <w:rPr>
          <w:rFonts w:asciiTheme="minorHAnsi" w:hAnsiTheme="minorHAnsi"/>
          <w:szCs w:val="24"/>
        </w:rPr>
        <w:t xml:space="preserve"> (</w:t>
      </w:r>
      <w:r w:rsidR="00BA7437" w:rsidRPr="00E67A6B">
        <w:rPr>
          <w:rFonts w:asciiTheme="minorHAnsi" w:hAnsiTheme="minorHAnsi"/>
          <w:szCs w:val="24"/>
        </w:rPr>
        <w:t>CNLS</w:t>
      </w:r>
      <w:r w:rsidR="00982958" w:rsidRPr="00E67A6B">
        <w:rPr>
          <w:rFonts w:asciiTheme="minorHAnsi" w:hAnsiTheme="minorHAnsi"/>
          <w:szCs w:val="24"/>
        </w:rPr>
        <w:t>, 201</w:t>
      </w:r>
      <w:r w:rsidR="00635D1A" w:rsidRPr="00E67A6B">
        <w:rPr>
          <w:rFonts w:asciiTheme="minorHAnsi" w:hAnsiTheme="minorHAnsi"/>
          <w:szCs w:val="24"/>
        </w:rPr>
        <w:t>5</w:t>
      </w:r>
      <w:r w:rsidR="006606A5" w:rsidRPr="00E67A6B">
        <w:rPr>
          <w:rFonts w:asciiTheme="minorHAnsi" w:hAnsiTheme="minorHAnsi"/>
          <w:szCs w:val="24"/>
        </w:rPr>
        <w:t>b</w:t>
      </w:r>
      <w:r w:rsidR="000432CE" w:rsidRPr="00E67A6B">
        <w:rPr>
          <w:rFonts w:asciiTheme="minorHAnsi" w:hAnsiTheme="minorHAnsi"/>
          <w:szCs w:val="24"/>
        </w:rPr>
        <w:t>)</w:t>
      </w:r>
      <w:r w:rsidR="00CE0064" w:rsidRPr="00E67A6B">
        <w:rPr>
          <w:rFonts w:asciiTheme="minorHAnsi" w:hAnsiTheme="minorHAnsi"/>
          <w:szCs w:val="24"/>
        </w:rPr>
        <w:t xml:space="preserve">. </w:t>
      </w:r>
      <w:r w:rsidR="00EE4081" w:rsidRPr="00E67A6B">
        <w:rPr>
          <w:rFonts w:asciiTheme="minorHAnsi" w:hAnsiTheme="minorHAnsi"/>
          <w:szCs w:val="24"/>
        </w:rPr>
        <w:t xml:space="preserve">La transmission verticale du VIH occupe une place  importante dans les  nouvelles infections VIH en Guinée bien plus que les populations clés. En </w:t>
      </w:r>
      <w:r w:rsidR="00040711" w:rsidRPr="00E67A6B">
        <w:rPr>
          <w:rFonts w:asciiTheme="minorHAnsi" w:hAnsiTheme="minorHAnsi"/>
          <w:szCs w:val="24"/>
        </w:rPr>
        <w:t>effet l’étude sur les modes de t</w:t>
      </w:r>
      <w:r w:rsidR="00CA381A" w:rsidRPr="00E67A6B">
        <w:rPr>
          <w:rFonts w:asciiTheme="minorHAnsi" w:hAnsiTheme="minorHAnsi"/>
          <w:szCs w:val="24"/>
        </w:rPr>
        <w:t xml:space="preserve">ransmission du VIH </w:t>
      </w:r>
      <w:r w:rsidR="00EE4081" w:rsidRPr="00E67A6B">
        <w:rPr>
          <w:rFonts w:asciiTheme="minorHAnsi" w:hAnsiTheme="minorHAnsi"/>
          <w:szCs w:val="24"/>
        </w:rPr>
        <w:t xml:space="preserve"> montre que les couples hétérosexuels dits « stables » contribuent pour près de 20% aux nouvelles infections</w:t>
      </w:r>
      <w:r w:rsidR="00011AA0" w:rsidRPr="00E67A6B">
        <w:rPr>
          <w:rFonts w:asciiTheme="minorHAnsi" w:hAnsiTheme="minorHAnsi"/>
          <w:szCs w:val="24"/>
        </w:rPr>
        <w:t xml:space="preserve"> (Tableau 1)</w:t>
      </w:r>
      <w:r w:rsidR="00EE4081" w:rsidRPr="00E67A6B">
        <w:rPr>
          <w:szCs w:val="24"/>
        </w:rPr>
        <w:t>.</w:t>
      </w:r>
    </w:p>
    <w:p w:rsidR="00EE4081" w:rsidRPr="00E67A6B" w:rsidRDefault="00EE4081" w:rsidP="00E67A6B">
      <w:pPr>
        <w:rPr>
          <w:rFonts w:ascii="Arial Narrow" w:eastAsia="Times New Roman" w:hAnsi="Arial Narrow" w:cs="Tahoma"/>
          <w:sz w:val="24"/>
          <w:lang w:val="fr-FR"/>
        </w:rPr>
      </w:pPr>
    </w:p>
    <w:p w:rsidR="00EE4081" w:rsidRPr="00E67A6B" w:rsidRDefault="00EE4081" w:rsidP="00E67A6B">
      <w:pPr>
        <w:pStyle w:val="Lgende"/>
        <w:spacing w:after="0"/>
        <w:jc w:val="center"/>
        <w:rPr>
          <w:color w:val="auto"/>
          <w:sz w:val="24"/>
          <w:szCs w:val="24"/>
          <w:lang w:val="fr-FR"/>
        </w:rPr>
      </w:pPr>
      <w:bookmarkStart w:id="27" w:name="_Toc480382959"/>
      <w:r w:rsidRPr="00E67A6B">
        <w:rPr>
          <w:color w:val="auto"/>
          <w:sz w:val="24"/>
          <w:szCs w:val="24"/>
          <w:lang w:val="fr-FR"/>
        </w:rPr>
        <w:t xml:space="preserve">Tableau </w:t>
      </w:r>
      <w:r w:rsidR="00C25D03" w:rsidRPr="00E67A6B">
        <w:rPr>
          <w:color w:val="auto"/>
          <w:sz w:val="24"/>
          <w:szCs w:val="24"/>
        </w:rPr>
        <w:fldChar w:fldCharType="begin"/>
      </w:r>
      <w:r w:rsidRPr="00E67A6B">
        <w:rPr>
          <w:color w:val="auto"/>
          <w:sz w:val="24"/>
          <w:szCs w:val="24"/>
          <w:lang w:val="fr-FR"/>
        </w:rPr>
        <w:instrText xml:space="preserve"> SEQ Tableau \* ARABIC </w:instrText>
      </w:r>
      <w:r w:rsidR="00C25D03" w:rsidRPr="00E67A6B">
        <w:rPr>
          <w:color w:val="auto"/>
          <w:sz w:val="24"/>
          <w:szCs w:val="24"/>
        </w:rPr>
        <w:fldChar w:fldCharType="separate"/>
      </w:r>
      <w:r w:rsidR="00CD1586">
        <w:rPr>
          <w:noProof/>
          <w:color w:val="auto"/>
          <w:sz w:val="24"/>
          <w:szCs w:val="24"/>
          <w:lang w:val="fr-FR"/>
        </w:rPr>
        <w:t>2</w:t>
      </w:r>
      <w:r w:rsidR="00C25D03" w:rsidRPr="00E67A6B">
        <w:rPr>
          <w:color w:val="auto"/>
          <w:sz w:val="24"/>
          <w:szCs w:val="24"/>
        </w:rPr>
        <w:fldChar w:fldCharType="end"/>
      </w:r>
      <w:r w:rsidR="00150851" w:rsidRPr="00E67A6B">
        <w:rPr>
          <w:color w:val="auto"/>
          <w:sz w:val="24"/>
          <w:szCs w:val="24"/>
          <w:lang w:val="fr-FR"/>
        </w:rPr>
        <w:t xml:space="preserve"> : </w:t>
      </w:r>
      <w:r w:rsidRPr="00E67A6B">
        <w:rPr>
          <w:color w:val="auto"/>
          <w:sz w:val="24"/>
          <w:szCs w:val="24"/>
          <w:lang w:val="fr-FR"/>
        </w:rPr>
        <w:t>Prévalence et contribution de groupes spécifiques aux nouvelles infections VIH en Guinée</w:t>
      </w:r>
      <w:bookmarkEnd w:id="27"/>
    </w:p>
    <w:p w:rsidR="00EE4081" w:rsidRPr="00E67A6B" w:rsidRDefault="00EE4081" w:rsidP="00E67A6B">
      <w:pPr>
        <w:jc w:val="center"/>
        <w:rPr>
          <w:rFonts w:ascii="Times New Roman" w:hAnsi="Times New Roman"/>
          <w:b/>
          <w:sz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694"/>
        <w:gridCol w:w="3118"/>
      </w:tblGrid>
      <w:tr w:rsidR="00EE4081" w:rsidRPr="00AB12CB" w:rsidTr="00C56BA6">
        <w:trPr>
          <w:jc w:val="center"/>
        </w:trPr>
        <w:tc>
          <w:tcPr>
            <w:tcW w:w="3510" w:type="dxa"/>
            <w:shd w:val="clear" w:color="auto" w:fill="DDD9C3"/>
            <w:vAlign w:val="center"/>
          </w:tcPr>
          <w:p w:rsidR="00EE4081" w:rsidRPr="00AB12CB" w:rsidRDefault="00EE4081" w:rsidP="00E67A6B">
            <w:pPr>
              <w:jc w:val="center"/>
              <w:rPr>
                <w:b/>
                <w:sz w:val="24"/>
                <w:lang w:val="fr-CA"/>
              </w:rPr>
            </w:pPr>
            <w:r w:rsidRPr="00AB12CB">
              <w:rPr>
                <w:b/>
                <w:sz w:val="24"/>
                <w:lang w:val="fr-CA"/>
              </w:rPr>
              <w:t>Groupes de population</w:t>
            </w:r>
          </w:p>
        </w:tc>
        <w:tc>
          <w:tcPr>
            <w:tcW w:w="2694" w:type="dxa"/>
            <w:shd w:val="clear" w:color="auto" w:fill="DDD9C3"/>
            <w:vAlign w:val="center"/>
          </w:tcPr>
          <w:p w:rsidR="00EE4081" w:rsidRPr="00AB12CB" w:rsidRDefault="00EE4081" w:rsidP="00E67A6B">
            <w:pPr>
              <w:jc w:val="center"/>
              <w:rPr>
                <w:b/>
                <w:sz w:val="24"/>
                <w:lang w:val="fr-CA"/>
              </w:rPr>
            </w:pPr>
            <w:r w:rsidRPr="00AB12CB">
              <w:rPr>
                <w:b/>
                <w:sz w:val="24"/>
                <w:lang w:val="fr-CA"/>
              </w:rPr>
              <w:t>Prévalence du VIH</w:t>
            </w:r>
          </w:p>
        </w:tc>
        <w:tc>
          <w:tcPr>
            <w:tcW w:w="3118" w:type="dxa"/>
            <w:shd w:val="clear" w:color="auto" w:fill="DDD9C3"/>
            <w:vAlign w:val="center"/>
          </w:tcPr>
          <w:p w:rsidR="00EE4081" w:rsidRPr="00AB12CB" w:rsidRDefault="00EE4081" w:rsidP="00E67A6B">
            <w:pPr>
              <w:jc w:val="center"/>
              <w:rPr>
                <w:b/>
                <w:sz w:val="24"/>
                <w:lang w:val="fr-CA"/>
              </w:rPr>
            </w:pPr>
            <w:r w:rsidRPr="00AB12CB">
              <w:rPr>
                <w:b/>
                <w:sz w:val="24"/>
                <w:lang w:val="fr-CA"/>
              </w:rPr>
              <w:t>Contribution aux nouvelles infections</w:t>
            </w:r>
          </w:p>
        </w:tc>
      </w:tr>
      <w:tr w:rsidR="00EE4081" w:rsidRPr="00AB12CB" w:rsidTr="00025519">
        <w:trPr>
          <w:jc w:val="center"/>
        </w:trPr>
        <w:tc>
          <w:tcPr>
            <w:tcW w:w="3510" w:type="dxa"/>
            <w:shd w:val="clear" w:color="auto" w:fill="auto"/>
          </w:tcPr>
          <w:p w:rsidR="00EE4081" w:rsidRPr="00AB12CB" w:rsidRDefault="00EE4081" w:rsidP="00E67A6B">
            <w:pPr>
              <w:rPr>
                <w:sz w:val="24"/>
                <w:lang w:val="fr-CA"/>
              </w:rPr>
            </w:pPr>
            <w:r w:rsidRPr="00AB12CB">
              <w:rPr>
                <w:sz w:val="24"/>
                <w:lang w:val="fr-CA"/>
              </w:rPr>
              <w:t xml:space="preserve">Femmes enceintes </w:t>
            </w:r>
          </w:p>
        </w:tc>
        <w:tc>
          <w:tcPr>
            <w:tcW w:w="2694" w:type="dxa"/>
          </w:tcPr>
          <w:p w:rsidR="00EE4081" w:rsidRPr="00AB12CB" w:rsidRDefault="00527266" w:rsidP="00E67A6B">
            <w:pPr>
              <w:rPr>
                <w:sz w:val="24"/>
                <w:lang w:val="fr-CA"/>
              </w:rPr>
            </w:pPr>
            <w:r w:rsidRPr="00AB12CB">
              <w:rPr>
                <w:sz w:val="24"/>
                <w:lang w:val="fr-CA"/>
              </w:rPr>
              <w:t>3,56</w:t>
            </w:r>
            <w:r w:rsidR="00EE4081" w:rsidRPr="00AB12CB">
              <w:rPr>
                <w:sz w:val="24"/>
                <w:lang w:val="fr-CA"/>
              </w:rPr>
              <w:t>% (</w:t>
            </w:r>
            <w:r w:rsidRPr="00AB12CB">
              <w:rPr>
                <w:noProof/>
                <w:sz w:val="24"/>
              </w:rPr>
              <w:t>ENSS 2015</w:t>
            </w:r>
            <w:r w:rsidR="00EE4081" w:rsidRPr="00AB12CB">
              <w:rPr>
                <w:noProof/>
                <w:sz w:val="24"/>
              </w:rPr>
              <w:t>)</w:t>
            </w:r>
          </w:p>
        </w:tc>
        <w:tc>
          <w:tcPr>
            <w:tcW w:w="3118" w:type="dxa"/>
          </w:tcPr>
          <w:p w:rsidR="00EE4081" w:rsidRPr="00AB12CB" w:rsidRDefault="00EE4081" w:rsidP="00E67A6B">
            <w:pPr>
              <w:rPr>
                <w:sz w:val="24"/>
                <w:lang w:val="fr-CA"/>
              </w:rPr>
            </w:pPr>
          </w:p>
        </w:tc>
      </w:tr>
      <w:tr w:rsidR="00EE4081" w:rsidRPr="00AB12CB" w:rsidTr="00025519">
        <w:trPr>
          <w:jc w:val="center"/>
        </w:trPr>
        <w:tc>
          <w:tcPr>
            <w:tcW w:w="3510" w:type="dxa"/>
            <w:shd w:val="clear" w:color="auto" w:fill="auto"/>
          </w:tcPr>
          <w:p w:rsidR="00EE4081" w:rsidRPr="00AB12CB" w:rsidRDefault="00EE4081" w:rsidP="00E67A6B">
            <w:pPr>
              <w:rPr>
                <w:sz w:val="24"/>
                <w:lang w:val="fr-CA"/>
              </w:rPr>
            </w:pPr>
            <w:r w:rsidRPr="00AB12CB">
              <w:rPr>
                <w:sz w:val="24"/>
                <w:lang w:val="fr-CA"/>
              </w:rPr>
              <w:t xml:space="preserve">Transmission verticale </w:t>
            </w:r>
          </w:p>
        </w:tc>
        <w:tc>
          <w:tcPr>
            <w:tcW w:w="2694" w:type="dxa"/>
          </w:tcPr>
          <w:p w:rsidR="00EE4081" w:rsidRPr="00AB12CB" w:rsidRDefault="00EE4081" w:rsidP="00E67A6B">
            <w:pPr>
              <w:rPr>
                <w:sz w:val="24"/>
                <w:lang w:val="fr-CA"/>
              </w:rPr>
            </w:pPr>
          </w:p>
        </w:tc>
        <w:tc>
          <w:tcPr>
            <w:tcW w:w="3118" w:type="dxa"/>
          </w:tcPr>
          <w:p w:rsidR="00EE4081" w:rsidRPr="00AB12CB" w:rsidRDefault="00EE4081" w:rsidP="00E67A6B">
            <w:pPr>
              <w:jc w:val="center"/>
              <w:rPr>
                <w:sz w:val="24"/>
                <w:lang w:val="fr-CA"/>
              </w:rPr>
            </w:pPr>
            <w:r w:rsidRPr="00AB12CB">
              <w:rPr>
                <w:sz w:val="24"/>
                <w:lang w:val="fr-CA"/>
              </w:rPr>
              <w:t>19,9%</w:t>
            </w:r>
          </w:p>
        </w:tc>
      </w:tr>
      <w:tr w:rsidR="00EE4081" w:rsidRPr="00AB12CB" w:rsidTr="00025519">
        <w:trPr>
          <w:jc w:val="center"/>
        </w:trPr>
        <w:tc>
          <w:tcPr>
            <w:tcW w:w="3510" w:type="dxa"/>
            <w:shd w:val="clear" w:color="auto" w:fill="auto"/>
          </w:tcPr>
          <w:p w:rsidR="00EE4081" w:rsidRPr="00AB12CB" w:rsidRDefault="00EE4081" w:rsidP="00E67A6B">
            <w:pPr>
              <w:rPr>
                <w:sz w:val="24"/>
                <w:lang w:val="fr-CA"/>
              </w:rPr>
            </w:pPr>
            <w:r w:rsidRPr="00AB12CB">
              <w:rPr>
                <w:sz w:val="24"/>
                <w:lang w:val="fr-CA"/>
              </w:rPr>
              <w:t>Hommes ayant rapport sexuels avec les hommes</w:t>
            </w:r>
          </w:p>
        </w:tc>
        <w:tc>
          <w:tcPr>
            <w:tcW w:w="2694" w:type="dxa"/>
          </w:tcPr>
          <w:p w:rsidR="00EE4081" w:rsidRPr="00AB12CB" w:rsidRDefault="00EE4081" w:rsidP="00E67A6B">
            <w:pPr>
              <w:rPr>
                <w:sz w:val="24"/>
                <w:lang w:val="fr-CA"/>
              </w:rPr>
            </w:pPr>
            <w:r w:rsidRPr="00AB12CB">
              <w:rPr>
                <w:sz w:val="24"/>
                <w:lang w:val="fr-CA"/>
              </w:rPr>
              <w:t>56,6% (</w:t>
            </w:r>
            <w:r w:rsidRPr="00AB12CB">
              <w:rPr>
                <w:noProof/>
                <w:sz w:val="24"/>
              </w:rPr>
              <w:t>ESCOMB 2012)</w:t>
            </w:r>
          </w:p>
        </w:tc>
        <w:tc>
          <w:tcPr>
            <w:tcW w:w="3118" w:type="dxa"/>
          </w:tcPr>
          <w:p w:rsidR="00EE4081" w:rsidRPr="00AB12CB" w:rsidRDefault="00EE4081" w:rsidP="00E67A6B">
            <w:pPr>
              <w:jc w:val="center"/>
              <w:rPr>
                <w:sz w:val="24"/>
                <w:lang w:val="fr-CA"/>
              </w:rPr>
            </w:pPr>
            <w:r w:rsidRPr="00AB12CB">
              <w:rPr>
                <w:sz w:val="24"/>
                <w:lang w:val="fr-CA"/>
              </w:rPr>
              <w:t>10%-20%</w:t>
            </w:r>
          </w:p>
        </w:tc>
      </w:tr>
      <w:tr w:rsidR="00EE4081" w:rsidRPr="00AB12CB" w:rsidTr="00025519">
        <w:trPr>
          <w:jc w:val="center"/>
        </w:trPr>
        <w:tc>
          <w:tcPr>
            <w:tcW w:w="3510" w:type="dxa"/>
            <w:shd w:val="clear" w:color="auto" w:fill="auto"/>
          </w:tcPr>
          <w:p w:rsidR="00EE4081" w:rsidRPr="00AB12CB" w:rsidRDefault="00EE4081" w:rsidP="00E67A6B">
            <w:pPr>
              <w:rPr>
                <w:sz w:val="24"/>
                <w:lang w:val="fr-CA"/>
              </w:rPr>
            </w:pPr>
            <w:r w:rsidRPr="00AB12CB">
              <w:rPr>
                <w:sz w:val="24"/>
                <w:lang w:val="fr-CA"/>
              </w:rPr>
              <w:t xml:space="preserve">Professionnels du Sexe </w:t>
            </w:r>
          </w:p>
        </w:tc>
        <w:tc>
          <w:tcPr>
            <w:tcW w:w="2694" w:type="dxa"/>
          </w:tcPr>
          <w:p w:rsidR="00EE4081" w:rsidRPr="00AB12CB" w:rsidRDefault="00EE4081" w:rsidP="00E67A6B">
            <w:pPr>
              <w:rPr>
                <w:sz w:val="24"/>
                <w:lang w:val="fr-CA"/>
              </w:rPr>
            </w:pPr>
            <w:r w:rsidRPr="00AB12CB">
              <w:rPr>
                <w:sz w:val="24"/>
                <w:lang w:val="fr-CA"/>
              </w:rPr>
              <w:t>16,7% (</w:t>
            </w:r>
            <w:r w:rsidRPr="00AB12CB">
              <w:rPr>
                <w:noProof/>
                <w:sz w:val="24"/>
              </w:rPr>
              <w:t>ESCOMB 2012)</w:t>
            </w:r>
          </w:p>
        </w:tc>
        <w:tc>
          <w:tcPr>
            <w:tcW w:w="3118" w:type="dxa"/>
          </w:tcPr>
          <w:p w:rsidR="00EE4081" w:rsidRPr="00AB12CB" w:rsidRDefault="00EE4081" w:rsidP="00E67A6B">
            <w:pPr>
              <w:jc w:val="center"/>
              <w:rPr>
                <w:sz w:val="24"/>
                <w:lang w:val="fr-CA"/>
              </w:rPr>
            </w:pPr>
            <w:r w:rsidRPr="00AB12CB">
              <w:rPr>
                <w:sz w:val="24"/>
                <w:lang w:val="fr-CA"/>
              </w:rPr>
              <w:t>6-7%</w:t>
            </w:r>
          </w:p>
        </w:tc>
      </w:tr>
      <w:tr w:rsidR="00EE4081" w:rsidRPr="00AB12CB" w:rsidTr="00025519">
        <w:trPr>
          <w:jc w:val="center"/>
        </w:trPr>
        <w:tc>
          <w:tcPr>
            <w:tcW w:w="3510" w:type="dxa"/>
            <w:shd w:val="clear" w:color="auto" w:fill="auto"/>
          </w:tcPr>
          <w:p w:rsidR="00EE4081" w:rsidRPr="00AB12CB" w:rsidRDefault="00EE4081" w:rsidP="00E67A6B">
            <w:pPr>
              <w:rPr>
                <w:sz w:val="24"/>
                <w:lang w:val="fr-CA"/>
              </w:rPr>
            </w:pPr>
            <w:r w:rsidRPr="00AB12CB">
              <w:rPr>
                <w:sz w:val="24"/>
                <w:lang w:val="fr-CA"/>
              </w:rPr>
              <w:t>Population carcérale</w:t>
            </w:r>
          </w:p>
        </w:tc>
        <w:tc>
          <w:tcPr>
            <w:tcW w:w="2694" w:type="dxa"/>
          </w:tcPr>
          <w:p w:rsidR="00EE4081" w:rsidRPr="00AB12CB" w:rsidRDefault="00EE4081" w:rsidP="00E67A6B">
            <w:pPr>
              <w:rPr>
                <w:sz w:val="24"/>
                <w:lang w:val="fr-CA"/>
              </w:rPr>
            </w:pPr>
            <w:r w:rsidRPr="00AB12CB">
              <w:rPr>
                <w:sz w:val="24"/>
                <w:lang w:val="fr-CA"/>
              </w:rPr>
              <w:t>9,4% (</w:t>
            </w:r>
            <w:r w:rsidRPr="00AB12CB">
              <w:rPr>
                <w:noProof/>
                <w:sz w:val="24"/>
              </w:rPr>
              <w:t>ESCOMB 2012 )</w:t>
            </w:r>
          </w:p>
        </w:tc>
        <w:tc>
          <w:tcPr>
            <w:tcW w:w="3118" w:type="dxa"/>
          </w:tcPr>
          <w:p w:rsidR="00EE4081" w:rsidRPr="00AB12CB" w:rsidRDefault="00EE4081" w:rsidP="00E67A6B">
            <w:pPr>
              <w:jc w:val="center"/>
              <w:rPr>
                <w:sz w:val="24"/>
                <w:lang w:val="fr-CA"/>
              </w:rPr>
            </w:pPr>
          </w:p>
        </w:tc>
      </w:tr>
      <w:tr w:rsidR="00EE4081" w:rsidRPr="00AB12CB" w:rsidTr="00025519">
        <w:trPr>
          <w:jc w:val="center"/>
        </w:trPr>
        <w:tc>
          <w:tcPr>
            <w:tcW w:w="3510" w:type="dxa"/>
            <w:shd w:val="clear" w:color="auto" w:fill="auto"/>
          </w:tcPr>
          <w:p w:rsidR="00EE4081" w:rsidRPr="00AB12CB" w:rsidRDefault="00EE4081" w:rsidP="00E67A6B">
            <w:pPr>
              <w:rPr>
                <w:sz w:val="24"/>
                <w:lang w:val="fr-CA"/>
              </w:rPr>
            </w:pPr>
            <w:r w:rsidRPr="00AB12CB">
              <w:rPr>
                <w:sz w:val="24"/>
                <w:lang w:val="fr-CA"/>
              </w:rPr>
              <w:t>Miniers</w:t>
            </w:r>
          </w:p>
        </w:tc>
        <w:tc>
          <w:tcPr>
            <w:tcW w:w="2694" w:type="dxa"/>
          </w:tcPr>
          <w:p w:rsidR="00EE4081" w:rsidRPr="00AB12CB" w:rsidRDefault="00EE4081" w:rsidP="00E67A6B">
            <w:pPr>
              <w:rPr>
                <w:sz w:val="24"/>
                <w:lang w:val="fr-CA"/>
              </w:rPr>
            </w:pPr>
            <w:r w:rsidRPr="00AB12CB">
              <w:rPr>
                <w:sz w:val="24"/>
                <w:lang w:val="fr-CA"/>
              </w:rPr>
              <w:t>5,9% (</w:t>
            </w:r>
            <w:r w:rsidRPr="00AB12CB">
              <w:rPr>
                <w:noProof/>
                <w:sz w:val="24"/>
              </w:rPr>
              <w:t>ESCOMB 2012 )</w:t>
            </w:r>
          </w:p>
        </w:tc>
        <w:tc>
          <w:tcPr>
            <w:tcW w:w="3118" w:type="dxa"/>
          </w:tcPr>
          <w:p w:rsidR="00EE4081" w:rsidRPr="00AB12CB" w:rsidRDefault="00EE4081" w:rsidP="00E67A6B">
            <w:pPr>
              <w:jc w:val="center"/>
              <w:rPr>
                <w:sz w:val="24"/>
                <w:lang w:val="fr-CA"/>
              </w:rPr>
            </w:pPr>
          </w:p>
        </w:tc>
      </w:tr>
      <w:tr w:rsidR="00EE4081" w:rsidRPr="00AB12CB" w:rsidTr="00025519">
        <w:trPr>
          <w:jc w:val="center"/>
        </w:trPr>
        <w:tc>
          <w:tcPr>
            <w:tcW w:w="3510" w:type="dxa"/>
            <w:shd w:val="clear" w:color="auto" w:fill="auto"/>
          </w:tcPr>
          <w:p w:rsidR="00EE4081" w:rsidRPr="00AB12CB" w:rsidRDefault="00EE4081" w:rsidP="00E67A6B">
            <w:pPr>
              <w:rPr>
                <w:sz w:val="24"/>
                <w:lang w:val="fr-CA"/>
              </w:rPr>
            </w:pPr>
            <w:r w:rsidRPr="00AB12CB">
              <w:rPr>
                <w:sz w:val="24"/>
                <w:lang w:val="fr-CA"/>
              </w:rPr>
              <w:t xml:space="preserve">Usagers de Drogue Injectable </w:t>
            </w:r>
          </w:p>
        </w:tc>
        <w:tc>
          <w:tcPr>
            <w:tcW w:w="2694" w:type="dxa"/>
          </w:tcPr>
          <w:p w:rsidR="00EE4081" w:rsidRPr="00AB12CB" w:rsidRDefault="00EE4081" w:rsidP="00E67A6B">
            <w:pPr>
              <w:rPr>
                <w:sz w:val="24"/>
                <w:lang w:val="fr-CA"/>
              </w:rPr>
            </w:pPr>
          </w:p>
        </w:tc>
        <w:tc>
          <w:tcPr>
            <w:tcW w:w="3118" w:type="dxa"/>
          </w:tcPr>
          <w:p w:rsidR="00EE4081" w:rsidRPr="00AB12CB" w:rsidRDefault="00EE4081" w:rsidP="00E67A6B">
            <w:pPr>
              <w:jc w:val="center"/>
              <w:rPr>
                <w:sz w:val="24"/>
                <w:lang w:val="fr-CA"/>
              </w:rPr>
            </w:pPr>
            <w:r w:rsidRPr="00AB12CB">
              <w:rPr>
                <w:sz w:val="24"/>
                <w:lang w:val="fr-CA"/>
              </w:rPr>
              <w:t>&lt;5%</w:t>
            </w:r>
          </w:p>
        </w:tc>
      </w:tr>
    </w:tbl>
    <w:p w:rsidR="00EE4081" w:rsidRPr="00025519" w:rsidRDefault="00EE4081" w:rsidP="00025519">
      <w:pPr>
        <w:rPr>
          <w:noProof/>
          <w:sz w:val="24"/>
          <w:lang w:val="fr-FR"/>
        </w:rPr>
      </w:pPr>
      <w:r w:rsidRPr="00025519">
        <w:rPr>
          <w:noProof/>
          <w:sz w:val="24"/>
          <w:lang w:val="fr-FR"/>
        </w:rPr>
        <w:t xml:space="preserve">Source : </w:t>
      </w:r>
      <w:r w:rsidR="00011AA0" w:rsidRPr="00025519">
        <w:rPr>
          <w:noProof/>
          <w:sz w:val="24"/>
          <w:lang w:val="fr-FR"/>
        </w:rPr>
        <w:t>Rapports ESCOMB 2012</w:t>
      </w:r>
    </w:p>
    <w:p w:rsidR="00267439" w:rsidRPr="00E67A6B" w:rsidRDefault="00267439" w:rsidP="00E67A6B">
      <w:pPr>
        <w:rPr>
          <w:noProof/>
          <w:sz w:val="24"/>
          <w:lang w:val="fr-FR"/>
        </w:rPr>
      </w:pPr>
    </w:p>
    <w:p w:rsidR="00176A11" w:rsidRPr="00E67A6B" w:rsidRDefault="00176A11" w:rsidP="00E67A6B">
      <w:pPr>
        <w:rPr>
          <w:noProof/>
          <w:sz w:val="24"/>
          <w:lang w:val="fr-FR"/>
        </w:rPr>
      </w:pPr>
      <w:r w:rsidRPr="00E67A6B">
        <w:rPr>
          <w:noProof/>
          <w:sz w:val="24"/>
          <w:lang w:val="fr-FR"/>
        </w:rPr>
        <w:t>Selon l’E</w:t>
      </w:r>
      <w:r w:rsidR="00D56F52" w:rsidRPr="00E67A6B">
        <w:rPr>
          <w:noProof/>
          <w:sz w:val="24"/>
          <w:lang w:val="fr-FR"/>
        </w:rPr>
        <w:t xml:space="preserve">nquête </w:t>
      </w:r>
      <w:r w:rsidRPr="00E67A6B">
        <w:rPr>
          <w:noProof/>
          <w:sz w:val="24"/>
          <w:lang w:val="fr-FR"/>
        </w:rPr>
        <w:t>N</w:t>
      </w:r>
      <w:r w:rsidR="00D56F52" w:rsidRPr="00E67A6B">
        <w:rPr>
          <w:noProof/>
          <w:sz w:val="24"/>
          <w:lang w:val="fr-FR"/>
        </w:rPr>
        <w:t xml:space="preserve">ationale de </w:t>
      </w:r>
      <w:r w:rsidRPr="00E67A6B">
        <w:rPr>
          <w:noProof/>
          <w:sz w:val="24"/>
          <w:lang w:val="fr-FR"/>
        </w:rPr>
        <w:t>S</w:t>
      </w:r>
      <w:r w:rsidR="00D56F52" w:rsidRPr="00E67A6B">
        <w:rPr>
          <w:noProof/>
          <w:sz w:val="24"/>
          <w:lang w:val="fr-FR"/>
        </w:rPr>
        <w:t xml:space="preserve">urveillance </w:t>
      </w:r>
      <w:r w:rsidRPr="00E67A6B">
        <w:rPr>
          <w:noProof/>
          <w:sz w:val="24"/>
          <w:lang w:val="fr-FR"/>
        </w:rPr>
        <w:t>S</w:t>
      </w:r>
      <w:r w:rsidR="00011AA0" w:rsidRPr="00E67A6B">
        <w:rPr>
          <w:noProof/>
          <w:sz w:val="24"/>
          <w:lang w:val="fr-FR"/>
        </w:rPr>
        <w:t xml:space="preserve">entinelle </w:t>
      </w:r>
      <w:r w:rsidR="00527266" w:rsidRPr="00E67A6B">
        <w:rPr>
          <w:noProof/>
          <w:sz w:val="24"/>
          <w:lang w:val="fr-FR"/>
        </w:rPr>
        <w:t xml:space="preserve">(ENSS) </w:t>
      </w:r>
      <w:r w:rsidR="00D56F52" w:rsidRPr="00E67A6B">
        <w:rPr>
          <w:noProof/>
          <w:sz w:val="24"/>
          <w:lang w:val="fr-FR"/>
        </w:rPr>
        <w:t>de</w:t>
      </w:r>
      <w:r w:rsidRPr="00E67A6B">
        <w:rPr>
          <w:noProof/>
          <w:sz w:val="24"/>
          <w:lang w:val="fr-FR"/>
        </w:rPr>
        <w:t> </w:t>
      </w:r>
      <w:r w:rsidR="00D56F52" w:rsidRPr="00E67A6B">
        <w:rPr>
          <w:noProof/>
          <w:sz w:val="24"/>
          <w:lang w:val="fr-FR"/>
        </w:rPr>
        <w:t>2015</w:t>
      </w:r>
      <w:r w:rsidR="00011AA0" w:rsidRPr="00E67A6B">
        <w:rPr>
          <w:noProof/>
          <w:sz w:val="24"/>
          <w:lang w:val="fr-FR"/>
        </w:rPr>
        <w:t xml:space="preserve"> (CNLS, 2015b)</w:t>
      </w:r>
      <w:r w:rsidRPr="00E67A6B">
        <w:rPr>
          <w:noProof/>
          <w:sz w:val="24"/>
          <w:lang w:val="fr-FR"/>
        </w:rPr>
        <w:t>, la prévalence du VIH chez</w:t>
      </w:r>
      <w:r w:rsidR="00D56F52" w:rsidRPr="00E67A6B">
        <w:rPr>
          <w:noProof/>
          <w:sz w:val="24"/>
          <w:lang w:val="fr-FR"/>
        </w:rPr>
        <w:t xml:space="preserve"> les femmes enceintes est de 3,56</w:t>
      </w:r>
      <w:r w:rsidRPr="00E67A6B">
        <w:rPr>
          <w:noProof/>
          <w:sz w:val="24"/>
          <w:lang w:val="fr-FR"/>
        </w:rPr>
        <w:t xml:space="preserve"> % . Elle est </w:t>
      </w:r>
      <w:r w:rsidR="00A10AEF" w:rsidRPr="00E67A6B">
        <w:rPr>
          <w:noProof/>
          <w:sz w:val="24"/>
          <w:lang w:val="fr-FR"/>
        </w:rPr>
        <w:t xml:space="preserve">légèrement </w:t>
      </w:r>
      <w:r w:rsidRPr="00E67A6B">
        <w:rPr>
          <w:noProof/>
          <w:sz w:val="24"/>
          <w:lang w:val="fr-FR"/>
        </w:rPr>
        <w:t>p</w:t>
      </w:r>
      <w:r w:rsidR="00A10AEF" w:rsidRPr="00E67A6B">
        <w:rPr>
          <w:noProof/>
          <w:sz w:val="24"/>
          <w:lang w:val="fr-FR"/>
        </w:rPr>
        <w:t>lus élévée en milieu urbain (3,64</w:t>
      </w:r>
      <w:r w:rsidRPr="00E67A6B">
        <w:rPr>
          <w:noProof/>
          <w:sz w:val="24"/>
          <w:lang w:val="fr-FR"/>
        </w:rPr>
        <w:t>%) qu’en milieu rura</w:t>
      </w:r>
      <w:r w:rsidR="00A10AEF" w:rsidRPr="00E67A6B">
        <w:rPr>
          <w:noProof/>
          <w:sz w:val="24"/>
          <w:lang w:val="fr-FR"/>
        </w:rPr>
        <w:t>l (3,44</w:t>
      </w:r>
      <w:r w:rsidR="000432CE" w:rsidRPr="00E67A6B">
        <w:rPr>
          <w:noProof/>
          <w:sz w:val="24"/>
          <w:lang w:val="fr-FR"/>
        </w:rPr>
        <w:t xml:space="preserve">%). </w:t>
      </w:r>
      <w:r w:rsidRPr="00E67A6B">
        <w:rPr>
          <w:noProof/>
          <w:sz w:val="24"/>
          <w:lang w:val="fr-FR"/>
        </w:rPr>
        <w:t xml:space="preserve">Elle est </w:t>
      </w:r>
      <w:r w:rsidR="000432CE" w:rsidRPr="00E67A6B">
        <w:rPr>
          <w:noProof/>
          <w:sz w:val="24"/>
          <w:lang w:val="fr-FR"/>
        </w:rPr>
        <w:t xml:space="preserve">globalement </w:t>
      </w:r>
      <w:r w:rsidRPr="00E67A6B">
        <w:rPr>
          <w:noProof/>
          <w:sz w:val="24"/>
          <w:lang w:val="fr-FR"/>
        </w:rPr>
        <w:t>de 3,</w:t>
      </w:r>
      <w:r w:rsidR="00A10AEF" w:rsidRPr="00E67A6B">
        <w:rPr>
          <w:noProof/>
          <w:sz w:val="24"/>
          <w:lang w:val="fr-FR"/>
        </w:rPr>
        <w:t>56</w:t>
      </w:r>
      <w:r w:rsidR="000432CE" w:rsidRPr="00E67A6B">
        <w:rPr>
          <w:noProof/>
          <w:sz w:val="24"/>
          <w:lang w:val="fr-FR"/>
        </w:rPr>
        <w:t>% chez les femmes enceintes (</w:t>
      </w:r>
      <w:r w:rsidR="00A10AEF" w:rsidRPr="00E67A6B">
        <w:rPr>
          <w:noProof/>
          <w:sz w:val="24"/>
          <w:lang w:val="fr-FR"/>
        </w:rPr>
        <w:t>IC :3,20</w:t>
      </w:r>
      <w:r w:rsidRPr="00E67A6B">
        <w:rPr>
          <w:noProof/>
          <w:sz w:val="24"/>
          <w:lang w:val="fr-FR"/>
        </w:rPr>
        <w:t>-4,0</w:t>
      </w:r>
      <w:r w:rsidR="00A10AEF" w:rsidRPr="00E67A6B">
        <w:rPr>
          <w:noProof/>
          <w:sz w:val="24"/>
          <w:lang w:val="fr-FR"/>
        </w:rPr>
        <w:t>)</w:t>
      </w:r>
      <w:r w:rsidR="00105F8F" w:rsidRPr="00E67A6B">
        <w:rPr>
          <w:noProof/>
          <w:sz w:val="24"/>
          <w:lang w:val="fr-FR"/>
        </w:rPr>
        <w:t>.</w:t>
      </w:r>
      <w:r w:rsidR="00D56F52" w:rsidRPr="00E67A6B">
        <w:rPr>
          <w:noProof/>
          <w:sz w:val="24"/>
          <w:lang w:val="fr-FR"/>
        </w:rPr>
        <w:t xml:space="preserve"> La prévalence de la syphilis était de 2,19%.</w:t>
      </w:r>
    </w:p>
    <w:p w:rsidR="00EE4081" w:rsidRPr="00E67A6B" w:rsidRDefault="00EE4081" w:rsidP="00E67A6B">
      <w:pPr>
        <w:rPr>
          <w:sz w:val="24"/>
          <w:lang w:val="fr-CA"/>
        </w:rPr>
      </w:pPr>
    </w:p>
    <w:p w:rsidR="00C0198F" w:rsidRPr="00E67A6B" w:rsidRDefault="00E67A6B" w:rsidP="00E67A6B">
      <w:pPr>
        <w:pStyle w:val="Titre2"/>
        <w:numPr>
          <w:ilvl w:val="1"/>
          <w:numId w:val="19"/>
        </w:numPr>
        <w:spacing w:before="0"/>
        <w:rPr>
          <w:color w:val="auto"/>
          <w:sz w:val="28"/>
          <w:szCs w:val="28"/>
          <w:lang w:val="fr-FR"/>
        </w:rPr>
      </w:pPr>
      <w:bookmarkStart w:id="28" w:name="_Toc480382927"/>
      <w:r>
        <w:rPr>
          <w:color w:val="auto"/>
          <w:sz w:val="28"/>
          <w:szCs w:val="28"/>
          <w:lang w:val="fr-FR"/>
        </w:rPr>
        <w:t>.</w:t>
      </w:r>
      <w:r w:rsidR="000123EE" w:rsidRPr="00E67A6B">
        <w:rPr>
          <w:color w:val="auto"/>
          <w:sz w:val="28"/>
          <w:szCs w:val="28"/>
          <w:lang w:val="fr-FR"/>
        </w:rPr>
        <w:t>Réponse Pays au VIH pédiatrique</w:t>
      </w:r>
      <w:bookmarkEnd w:id="28"/>
    </w:p>
    <w:p w:rsidR="00E67A6B" w:rsidRDefault="00E67A6B" w:rsidP="00E67A6B">
      <w:pPr>
        <w:pStyle w:val="PECP"/>
        <w:spacing w:before="0" w:after="0"/>
        <w:rPr>
          <w:rFonts w:asciiTheme="minorHAnsi" w:hAnsiTheme="minorHAnsi"/>
          <w:szCs w:val="24"/>
        </w:rPr>
      </w:pPr>
    </w:p>
    <w:p w:rsidR="00C50CEC" w:rsidRPr="00E67A6B" w:rsidRDefault="00C50CEC" w:rsidP="00E67A6B">
      <w:pPr>
        <w:pStyle w:val="PECP"/>
        <w:spacing w:before="0" w:after="0"/>
        <w:rPr>
          <w:rFonts w:asciiTheme="minorHAnsi" w:hAnsiTheme="minorHAnsi"/>
          <w:szCs w:val="24"/>
        </w:rPr>
      </w:pPr>
      <w:r w:rsidRPr="00E67A6B">
        <w:rPr>
          <w:rFonts w:asciiTheme="minorHAnsi" w:hAnsiTheme="minorHAnsi"/>
          <w:szCs w:val="24"/>
        </w:rPr>
        <w:t>Le Gouvernement s’est engagé à répondre à l’épidémie du VIH/Sida à travers la formulation d’une réponse nationale articulée sur une approche multisectorielle, une implication du secteur privé et de la société civile y compris les PVVIH.  En effet, le Cadre Stratégique National 2013-2017 qui fait suite à deux précédents cadres (2003-2007 et 2008-2012) explicite la vision de la riposte nationale et des stratégies à l’horizon 2017. Il repose sur la  Déclaration de Politique sur le VIH et le sida et vise à « Intensifier les efforts pour éliminer le VIH et le sida » et à faire de l’objectif  « Trois Zéro » une réalité en Guinée: « Zéro nouvelle infection par le VIH, Zéro discrimination, Zéro décès liés au Sida » d’ici fin 2017.</w:t>
      </w:r>
      <w:bookmarkStart w:id="29" w:name="_Toc415209697"/>
      <w:bookmarkStart w:id="30" w:name="_Toc416207776"/>
      <w:bookmarkStart w:id="31" w:name="_Toc416948712"/>
      <w:bookmarkStart w:id="32" w:name="_Toc416949173"/>
      <w:bookmarkStart w:id="33" w:name="_Toc417246348"/>
      <w:bookmarkStart w:id="34" w:name="_Toc417246875"/>
      <w:bookmarkStart w:id="35" w:name="_Toc417246979"/>
      <w:bookmarkStart w:id="36" w:name="_Toc417247718"/>
      <w:bookmarkStart w:id="37" w:name="_Toc417248037"/>
      <w:bookmarkStart w:id="38" w:name="_Toc417412526"/>
      <w:bookmarkStart w:id="39" w:name="_Toc417573591"/>
      <w:bookmarkStart w:id="40" w:name="_Toc428455201"/>
    </w:p>
    <w:p w:rsidR="00E67A6B" w:rsidRDefault="00E67A6B" w:rsidP="00E67A6B">
      <w:pPr>
        <w:pStyle w:val="PECP"/>
        <w:spacing w:before="0" w:after="0"/>
        <w:rPr>
          <w:rFonts w:asciiTheme="minorHAnsi" w:hAnsiTheme="minorHAnsi"/>
          <w:szCs w:val="24"/>
        </w:rPr>
      </w:pPr>
    </w:p>
    <w:p w:rsidR="00C50CEC" w:rsidRPr="00E67A6B" w:rsidRDefault="00C50CEC" w:rsidP="00E67A6B">
      <w:pPr>
        <w:pStyle w:val="PECP"/>
        <w:spacing w:before="0" w:after="0"/>
        <w:rPr>
          <w:rFonts w:asciiTheme="minorHAnsi" w:hAnsiTheme="minorHAnsi"/>
          <w:szCs w:val="24"/>
        </w:rPr>
      </w:pPr>
      <w:r w:rsidRPr="00E67A6B">
        <w:rPr>
          <w:rFonts w:asciiTheme="minorHAnsi" w:hAnsiTheme="minorHAnsi"/>
          <w:szCs w:val="24"/>
        </w:rPr>
        <w:t>Le pays dispose d’une loi sur le VIH dans le cadre de la protection juridique et des droits des PVVIH, y compris la lutte contre la stigmatisation et la discrimination. C’est l’ordonnance 56/2008/PRG relative à la prévention, la prise en charge et le contrôle du VIH/Sida en Guinée.</w:t>
      </w:r>
      <w:bookmarkEnd w:id="29"/>
      <w:bookmarkEnd w:id="30"/>
      <w:bookmarkEnd w:id="31"/>
      <w:bookmarkEnd w:id="32"/>
      <w:bookmarkEnd w:id="33"/>
      <w:bookmarkEnd w:id="34"/>
      <w:bookmarkEnd w:id="35"/>
      <w:bookmarkEnd w:id="36"/>
      <w:bookmarkEnd w:id="37"/>
      <w:bookmarkEnd w:id="38"/>
      <w:bookmarkEnd w:id="39"/>
      <w:bookmarkEnd w:id="40"/>
    </w:p>
    <w:p w:rsidR="00C50CEC" w:rsidRPr="00E67A6B" w:rsidRDefault="00C50CEC" w:rsidP="00E67A6B">
      <w:pPr>
        <w:rPr>
          <w:sz w:val="24"/>
          <w:lang w:val="fr-FR"/>
        </w:rPr>
      </w:pPr>
    </w:p>
    <w:p w:rsidR="00C50CEC" w:rsidRPr="00E67A6B" w:rsidRDefault="00C50CEC" w:rsidP="00E67A6B">
      <w:pPr>
        <w:pStyle w:val="Titre3"/>
        <w:numPr>
          <w:ilvl w:val="2"/>
          <w:numId w:val="19"/>
        </w:numPr>
        <w:spacing w:before="0"/>
        <w:rPr>
          <w:color w:val="auto"/>
          <w:sz w:val="24"/>
          <w:lang w:val="fr-FR"/>
        </w:rPr>
      </w:pPr>
      <w:bookmarkStart w:id="41" w:name="_Toc480382928"/>
      <w:r w:rsidRPr="00E67A6B">
        <w:rPr>
          <w:color w:val="auto"/>
          <w:sz w:val="24"/>
          <w:lang w:val="fr-FR"/>
        </w:rPr>
        <w:t>PTME</w:t>
      </w:r>
      <w:bookmarkEnd w:id="41"/>
    </w:p>
    <w:p w:rsidR="00E67A6B" w:rsidRDefault="00E67A6B" w:rsidP="00E67A6B">
      <w:pPr>
        <w:pStyle w:val="PECP"/>
        <w:spacing w:before="0" w:after="0"/>
        <w:rPr>
          <w:rFonts w:asciiTheme="minorHAnsi" w:hAnsiTheme="minorHAnsi"/>
          <w:szCs w:val="24"/>
        </w:rPr>
      </w:pPr>
    </w:p>
    <w:p w:rsidR="00C50CEC" w:rsidRDefault="00C50CEC" w:rsidP="00E67A6B">
      <w:pPr>
        <w:pStyle w:val="PECP"/>
        <w:spacing w:before="0" w:after="0"/>
        <w:rPr>
          <w:rFonts w:asciiTheme="minorHAnsi" w:hAnsiTheme="minorHAnsi"/>
          <w:szCs w:val="24"/>
        </w:rPr>
      </w:pPr>
      <w:r w:rsidRPr="00E67A6B">
        <w:rPr>
          <w:rFonts w:asciiTheme="minorHAnsi" w:hAnsiTheme="minorHAnsi"/>
          <w:szCs w:val="24"/>
        </w:rPr>
        <w:t xml:space="preserve">Le Programme de Prévention de la Transmission Mère-Enfant du  VIH (PTME) a démarré en 2004 en Guinée avec 5 sites pilotes </w:t>
      </w:r>
      <w:r w:rsidRPr="00E67A6B">
        <w:rPr>
          <w:rFonts w:asciiTheme="minorHAnsi" w:hAnsiTheme="minorHAnsi"/>
          <w:szCs w:val="24"/>
          <w:lang w:val="fr-CA"/>
        </w:rPr>
        <w:t xml:space="preserve">dans la ville de Conakry et 2 sites à Forécariah. </w:t>
      </w:r>
      <w:r w:rsidRPr="00E67A6B">
        <w:rPr>
          <w:rFonts w:asciiTheme="minorHAnsi" w:hAnsiTheme="minorHAnsi"/>
          <w:szCs w:val="24"/>
        </w:rPr>
        <w:t>En 201</w:t>
      </w:r>
      <w:r w:rsidR="00AB12CB">
        <w:rPr>
          <w:rFonts w:asciiTheme="minorHAnsi" w:hAnsiTheme="minorHAnsi"/>
          <w:szCs w:val="24"/>
        </w:rPr>
        <w:t>6</w:t>
      </w:r>
      <w:r w:rsidR="002E56EB" w:rsidRPr="00E67A6B">
        <w:rPr>
          <w:rFonts w:asciiTheme="minorHAnsi" w:hAnsiTheme="minorHAnsi"/>
          <w:szCs w:val="24"/>
        </w:rPr>
        <w:t xml:space="preserve">, </w:t>
      </w:r>
      <w:r w:rsidR="00AB12CB">
        <w:rPr>
          <w:rFonts w:asciiTheme="minorHAnsi" w:hAnsiTheme="minorHAnsi"/>
          <w:szCs w:val="24"/>
        </w:rPr>
        <w:t>323</w:t>
      </w:r>
      <w:r w:rsidR="002E56EB" w:rsidRPr="00E67A6B">
        <w:rPr>
          <w:rFonts w:asciiTheme="minorHAnsi" w:hAnsiTheme="minorHAnsi"/>
          <w:szCs w:val="24"/>
        </w:rPr>
        <w:t xml:space="preserve">sur </w:t>
      </w:r>
      <w:r w:rsidR="00AB12CB">
        <w:rPr>
          <w:rFonts w:asciiTheme="minorHAnsi" w:hAnsiTheme="minorHAnsi"/>
          <w:szCs w:val="24"/>
        </w:rPr>
        <w:t xml:space="preserve">plus de </w:t>
      </w:r>
      <w:r w:rsidR="002E56EB" w:rsidRPr="00E67A6B">
        <w:rPr>
          <w:rFonts w:asciiTheme="minorHAnsi" w:hAnsiTheme="minorHAnsi"/>
          <w:szCs w:val="24"/>
        </w:rPr>
        <w:t>1</w:t>
      </w:r>
      <w:r w:rsidR="00AB12CB">
        <w:rPr>
          <w:rFonts w:asciiTheme="minorHAnsi" w:hAnsiTheme="minorHAnsi"/>
          <w:szCs w:val="24"/>
        </w:rPr>
        <w:t>600</w:t>
      </w:r>
      <w:r w:rsidR="002E56EB" w:rsidRPr="00E67A6B">
        <w:rPr>
          <w:rFonts w:asciiTheme="minorHAnsi" w:hAnsiTheme="minorHAnsi"/>
          <w:szCs w:val="24"/>
        </w:rPr>
        <w:t xml:space="preserve"> (2</w:t>
      </w:r>
      <w:r w:rsidR="00AB12CB">
        <w:rPr>
          <w:rFonts w:asciiTheme="minorHAnsi" w:hAnsiTheme="minorHAnsi"/>
          <w:szCs w:val="24"/>
        </w:rPr>
        <w:t>0</w:t>
      </w:r>
      <w:r w:rsidRPr="00E67A6B">
        <w:rPr>
          <w:rFonts w:asciiTheme="minorHAnsi" w:hAnsiTheme="minorHAnsi"/>
          <w:szCs w:val="24"/>
        </w:rPr>
        <w:t xml:space="preserve">%) formations sanitaires (FS) offraient des soins de PTME </w:t>
      </w:r>
      <w:r w:rsidR="008C0D1B" w:rsidRPr="00E67A6B">
        <w:rPr>
          <w:rFonts w:asciiTheme="minorHAnsi" w:hAnsiTheme="minorHAnsi"/>
          <w:szCs w:val="24"/>
        </w:rPr>
        <w:t xml:space="preserve">(Figure 3) </w:t>
      </w:r>
      <w:r w:rsidRPr="00E67A6B">
        <w:rPr>
          <w:rFonts w:asciiTheme="minorHAnsi" w:hAnsiTheme="minorHAnsi"/>
          <w:szCs w:val="24"/>
        </w:rPr>
        <w:t>malgré les efforts fournis par l’Etat et les partenaires techniqu</w:t>
      </w:r>
      <w:r w:rsidR="002E56EB" w:rsidRPr="00E67A6B">
        <w:rPr>
          <w:rFonts w:asciiTheme="minorHAnsi" w:hAnsiTheme="minorHAnsi"/>
          <w:szCs w:val="24"/>
        </w:rPr>
        <w:t>es et financiers</w:t>
      </w:r>
      <w:r w:rsidR="008C0D1B" w:rsidRPr="00E67A6B">
        <w:rPr>
          <w:rFonts w:asciiTheme="minorHAnsi" w:hAnsiTheme="minorHAnsi"/>
          <w:szCs w:val="24"/>
        </w:rPr>
        <w:t xml:space="preserve"> (PNPCSP, 2015)</w:t>
      </w:r>
      <w:r w:rsidR="002E56EB" w:rsidRPr="00E67A6B">
        <w:rPr>
          <w:rFonts w:asciiTheme="minorHAnsi" w:hAnsiTheme="minorHAnsi"/>
          <w:szCs w:val="24"/>
        </w:rPr>
        <w:t>. De 2013 à 2015</w:t>
      </w:r>
      <w:r w:rsidRPr="00E67A6B">
        <w:rPr>
          <w:rFonts w:asciiTheme="minorHAnsi" w:hAnsiTheme="minorHAnsi"/>
          <w:szCs w:val="24"/>
        </w:rPr>
        <w:t xml:space="preserve">, le nombre de sites de PTME a doublé avec l’appui de l’Unicef qui a facilité l’intégration de la SMNI/PTME dans 130 Centres de santé (CS). Par ailleurs, l’Unicef a appuyé la formation des prestataires de 155 sites de PTME des régions de Boké, Kindia et Labé. De plus, 20 prestataires de 10 sites ont été formés des régions de Faranah, N’Zérékoré et Kankan avec  l’appui de JHPIEGHO. </w:t>
      </w:r>
    </w:p>
    <w:p w:rsidR="00E67A6B" w:rsidRPr="00E67A6B" w:rsidRDefault="00E67A6B" w:rsidP="00E67A6B">
      <w:pPr>
        <w:pStyle w:val="PECP"/>
        <w:spacing w:before="0" w:after="0"/>
        <w:rPr>
          <w:rFonts w:asciiTheme="minorHAnsi" w:hAnsiTheme="minorHAnsi"/>
          <w:szCs w:val="24"/>
        </w:rPr>
      </w:pPr>
    </w:p>
    <w:p w:rsidR="002E56EB" w:rsidRPr="00E67A6B" w:rsidRDefault="00DC5ACA" w:rsidP="00E67A6B">
      <w:pPr>
        <w:pStyle w:val="PECP"/>
        <w:spacing w:before="0" w:after="0"/>
        <w:jc w:val="center"/>
        <w:rPr>
          <w:rFonts w:asciiTheme="minorHAnsi" w:hAnsiTheme="minorHAnsi"/>
          <w:szCs w:val="24"/>
        </w:rPr>
      </w:pPr>
      <w:r w:rsidRPr="00DC5ACA">
        <w:rPr>
          <w:rFonts w:asciiTheme="minorHAnsi" w:hAnsiTheme="minorHAnsi"/>
          <w:noProof/>
          <w:szCs w:val="24"/>
          <w:lang w:eastAsia="fr-FR"/>
        </w:rPr>
        <w:drawing>
          <wp:inline distT="0" distB="0" distL="0" distR="0">
            <wp:extent cx="4935722" cy="3232298"/>
            <wp:effectExtent l="19050" t="0" r="17278" b="620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0CEC" w:rsidRPr="00E67A6B" w:rsidRDefault="00C50CEC" w:rsidP="00E67A6B">
      <w:pPr>
        <w:rPr>
          <w:sz w:val="24"/>
          <w:lang w:val="fr-FR"/>
        </w:rPr>
      </w:pPr>
    </w:p>
    <w:p w:rsidR="00C50CEC" w:rsidRPr="00E67A6B" w:rsidRDefault="00C50CEC" w:rsidP="00E67A6B">
      <w:pPr>
        <w:pStyle w:val="Lgende"/>
        <w:spacing w:after="0"/>
        <w:jc w:val="center"/>
        <w:rPr>
          <w:color w:val="auto"/>
          <w:sz w:val="24"/>
          <w:szCs w:val="24"/>
          <w:lang w:val="fr-FR"/>
        </w:rPr>
      </w:pPr>
      <w:bookmarkStart w:id="42" w:name="_Toc480382968"/>
      <w:r w:rsidRPr="00E67A6B">
        <w:rPr>
          <w:color w:val="auto"/>
          <w:sz w:val="24"/>
          <w:szCs w:val="24"/>
          <w:lang w:val="fr-FR"/>
        </w:rPr>
        <w:t xml:space="preserve">Figure </w:t>
      </w:r>
      <w:r w:rsidR="00C25D03" w:rsidRPr="00E67A6B">
        <w:rPr>
          <w:color w:val="auto"/>
          <w:sz w:val="24"/>
          <w:szCs w:val="24"/>
        </w:rPr>
        <w:fldChar w:fldCharType="begin"/>
      </w:r>
      <w:r w:rsidRPr="00E67A6B">
        <w:rPr>
          <w:color w:val="auto"/>
          <w:sz w:val="24"/>
          <w:szCs w:val="24"/>
          <w:lang w:val="fr-FR"/>
        </w:rPr>
        <w:instrText xml:space="preserve"> SEQ Figure \* ARABIC </w:instrText>
      </w:r>
      <w:r w:rsidR="00C25D03" w:rsidRPr="00E67A6B">
        <w:rPr>
          <w:color w:val="auto"/>
          <w:sz w:val="24"/>
          <w:szCs w:val="24"/>
        </w:rPr>
        <w:fldChar w:fldCharType="separate"/>
      </w:r>
      <w:r w:rsidR="00774C46" w:rsidRPr="00E67A6B">
        <w:rPr>
          <w:noProof/>
          <w:color w:val="auto"/>
          <w:sz w:val="24"/>
          <w:szCs w:val="24"/>
          <w:lang w:val="fr-FR"/>
        </w:rPr>
        <w:t>3</w:t>
      </w:r>
      <w:r w:rsidR="00C25D03" w:rsidRPr="00E67A6B">
        <w:rPr>
          <w:color w:val="auto"/>
          <w:sz w:val="24"/>
          <w:szCs w:val="24"/>
        </w:rPr>
        <w:fldChar w:fldCharType="end"/>
      </w:r>
      <w:r w:rsidRPr="00E67A6B">
        <w:rPr>
          <w:color w:val="auto"/>
          <w:sz w:val="24"/>
          <w:szCs w:val="24"/>
          <w:lang w:val="fr-FR"/>
        </w:rPr>
        <w:t>: Evolution du nombre de sites PTME de 2004-2014</w:t>
      </w:r>
      <w:bookmarkEnd w:id="42"/>
    </w:p>
    <w:p w:rsidR="00E67A6B" w:rsidRDefault="00E67A6B" w:rsidP="00E67A6B">
      <w:pPr>
        <w:pStyle w:val="PECP"/>
        <w:spacing w:before="0" w:after="0"/>
        <w:rPr>
          <w:szCs w:val="24"/>
        </w:rPr>
      </w:pPr>
    </w:p>
    <w:p w:rsidR="00C50CEC" w:rsidRPr="00DC5ACA" w:rsidRDefault="00C50CEC" w:rsidP="00DC5ACA">
      <w:pPr>
        <w:rPr>
          <w:sz w:val="24"/>
          <w:lang w:val="fr-CA"/>
        </w:rPr>
      </w:pPr>
      <w:r w:rsidRPr="00DC5ACA">
        <w:rPr>
          <w:sz w:val="24"/>
          <w:lang w:val="fr-CA"/>
        </w:rPr>
        <w:t xml:space="preserve">Parmi les </w:t>
      </w:r>
      <w:r w:rsidR="002E56EB" w:rsidRPr="00DC5ACA">
        <w:rPr>
          <w:sz w:val="24"/>
          <w:lang w:val="fr-CA"/>
        </w:rPr>
        <w:t>297</w:t>
      </w:r>
      <w:r w:rsidRPr="00DC5ACA">
        <w:rPr>
          <w:sz w:val="24"/>
          <w:lang w:val="fr-CA"/>
        </w:rPr>
        <w:t xml:space="preserve"> sites, </w:t>
      </w:r>
      <w:r w:rsidR="002E56EB" w:rsidRPr="00DC5ACA">
        <w:rPr>
          <w:sz w:val="24"/>
          <w:lang w:val="fr-CA"/>
        </w:rPr>
        <w:t xml:space="preserve">environ </w:t>
      </w:r>
      <w:r w:rsidRPr="00DC5ACA">
        <w:rPr>
          <w:sz w:val="24"/>
          <w:lang w:val="fr-CA"/>
        </w:rPr>
        <w:t xml:space="preserve">10 structures privées de soins étaient des sites  de PTME en 2014.  </w:t>
      </w:r>
    </w:p>
    <w:p w:rsidR="00A10AEF" w:rsidRPr="00E67A6B" w:rsidRDefault="00A10AEF" w:rsidP="00E67A6B">
      <w:pPr>
        <w:rPr>
          <w:sz w:val="24"/>
          <w:lang w:val="fr-CA"/>
        </w:rPr>
      </w:pPr>
    </w:p>
    <w:p w:rsidR="00A10AEF" w:rsidRPr="00E67A6B" w:rsidRDefault="00A10AEF" w:rsidP="00E67A6B">
      <w:pPr>
        <w:rPr>
          <w:sz w:val="24"/>
          <w:lang w:val="fr-CA"/>
        </w:rPr>
      </w:pPr>
      <w:r w:rsidRPr="00E67A6B">
        <w:rPr>
          <w:sz w:val="24"/>
          <w:lang w:val="fr-CA"/>
        </w:rPr>
        <w:t xml:space="preserve">Le Tableau </w:t>
      </w:r>
      <w:r w:rsidR="00752FE7">
        <w:rPr>
          <w:sz w:val="24"/>
          <w:lang w:val="fr-CA"/>
        </w:rPr>
        <w:t>3</w:t>
      </w:r>
      <w:r w:rsidRPr="00E67A6B">
        <w:rPr>
          <w:sz w:val="24"/>
          <w:lang w:val="fr-CA"/>
        </w:rPr>
        <w:t>ci-dessous met en évidence le rôle important de la transmission verticale du VIH dans la dynamique des nouvelles infections en Guinée.</w:t>
      </w:r>
    </w:p>
    <w:p w:rsidR="00C50CEC" w:rsidRDefault="00C50CEC" w:rsidP="00E67A6B">
      <w:pPr>
        <w:rPr>
          <w:rFonts w:ascii="Times New Roman" w:hAnsi="Times New Roman"/>
          <w:sz w:val="24"/>
          <w:lang w:val="fr-CA"/>
        </w:rPr>
      </w:pPr>
    </w:p>
    <w:p w:rsidR="00E67A6B" w:rsidRDefault="00E67A6B" w:rsidP="00E67A6B">
      <w:pPr>
        <w:rPr>
          <w:rFonts w:ascii="Times New Roman" w:hAnsi="Times New Roman"/>
          <w:sz w:val="24"/>
          <w:lang w:val="fr-CA"/>
        </w:rPr>
      </w:pPr>
    </w:p>
    <w:p w:rsidR="00E67A6B" w:rsidRPr="00E67A6B" w:rsidRDefault="00E67A6B" w:rsidP="00E67A6B">
      <w:pPr>
        <w:rPr>
          <w:rFonts w:ascii="Times New Roman" w:hAnsi="Times New Roman"/>
          <w:sz w:val="24"/>
          <w:lang w:val="fr-CA"/>
        </w:rPr>
      </w:pPr>
    </w:p>
    <w:p w:rsidR="00C50CEC" w:rsidRDefault="00C50CEC" w:rsidP="00E67A6B">
      <w:pPr>
        <w:pStyle w:val="Lgende"/>
        <w:spacing w:after="0"/>
        <w:jc w:val="center"/>
        <w:rPr>
          <w:color w:val="auto"/>
          <w:sz w:val="24"/>
          <w:szCs w:val="24"/>
          <w:lang w:val="fr-FR"/>
        </w:rPr>
      </w:pPr>
      <w:bookmarkStart w:id="43" w:name="_Toc480382960"/>
      <w:r w:rsidRPr="00E67A6B">
        <w:rPr>
          <w:color w:val="auto"/>
          <w:sz w:val="24"/>
          <w:szCs w:val="24"/>
          <w:lang w:val="fr-FR"/>
        </w:rPr>
        <w:t xml:space="preserve">Tableau </w:t>
      </w:r>
      <w:r w:rsidR="00C25D03" w:rsidRPr="00E67A6B">
        <w:rPr>
          <w:color w:val="auto"/>
          <w:sz w:val="24"/>
          <w:szCs w:val="24"/>
        </w:rPr>
        <w:fldChar w:fldCharType="begin"/>
      </w:r>
      <w:r w:rsidRPr="00E67A6B">
        <w:rPr>
          <w:color w:val="auto"/>
          <w:sz w:val="24"/>
          <w:szCs w:val="24"/>
          <w:lang w:val="fr-FR"/>
        </w:rPr>
        <w:instrText xml:space="preserve"> SEQ Tableau \* ARABIC </w:instrText>
      </w:r>
      <w:r w:rsidR="00C25D03" w:rsidRPr="00E67A6B">
        <w:rPr>
          <w:color w:val="auto"/>
          <w:sz w:val="24"/>
          <w:szCs w:val="24"/>
        </w:rPr>
        <w:fldChar w:fldCharType="separate"/>
      </w:r>
      <w:r w:rsidR="00CD1586">
        <w:rPr>
          <w:noProof/>
          <w:color w:val="auto"/>
          <w:sz w:val="24"/>
          <w:szCs w:val="24"/>
          <w:lang w:val="fr-FR"/>
        </w:rPr>
        <w:t>3</w:t>
      </w:r>
      <w:r w:rsidR="00C25D03" w:rsidRPr="00E67A6B">
        <w:rPr>
          <w:color w:val="auto"/>
          <w:sz w:val="24"/>
          <w:szCs w:val="24"/>
        </w:rPr>
        <w:fldChar w:fldCharType="end"/>
      </w:r>
      <w:r w:rsidRPr="00E67A6B">
        <w:rPr>
          <w:color w:val="auto"/>
          <w:sz w:val="24"/>
          <w:szCs w:val="24"/>
          <w:lang w:val="fr-FR"/>
        </w:rPr>
        <w:t xml:space="preserve">: </w:t>
      </w:r>
      <w:r w:rsidR="00AE43D7" w:rsidRPr="00E67A6B">
        <w:rPr>
          <w:color w:val="auto"/>
          <w:sz w:val="24"/>
          <w:szCs w:val="24"/>
          <w:lang w:val="fr-FR"/>
        </w:rPr>
        <w:t>Evolution des d</w:t>
      </w:r>
      <w:r w:rsidRPr="00E67A6B">
        <w:rPr>
          <w:color w:val="auto"/>
          <w:sz w:val="24"/>
          <w:szCs w:val="24"/>
          <w:lang w:val="fr-FR"/>
        </w:rPr>
        <w:t xml:space="preserve">onnées programmatiques de la PTME </w:t>
      </w:r>
      <w:r w:rsidR="002E56EB" w:rsidRPr="00E67A6B">
        <w:rPr>
          <w:color w:val="auto"/>
          <w:sz w:val="24"/>
          <w:szCs w:val="24"/>
          <w:lang w:val="fr-FR"/>
        </w:rPr>
        <w:t>en</w:t>
      </w:r>
      <w:r w:rsidR="00313059" w:rsidRPr="00E67A6B">
        <w:rPr>
          <w:color w:val="auto"/>
          <w:sz w:val="24"/>
          <w:szCs w:val="24"/>
          <w:lang w:val="fr-FR"/>
        </w:rPr>
        <w:t xml:space="preserve">2014 et </w:t>
      </w:r>
      <w:r w:rsidRPr="00E67A6B">
        <w:rPr>
          <w:color w:val="auto"/>
          <w:sz w:val="24"/>
          <w:szCs w:val="24"/>
          <w:lang w:val="fr-FR"/>
        </w:rPr>
        <w:t>2015</w:t>
      </w:r>
      <w:bookmarkEnd w:id="43"/>
    </w:p>
    <w:tbl>
      <w:tblPr>
        <w:tblW w:w="8460" w:type="dxa"/>
        <w:tblInd w:w="456" w:type="dxa"/>
        <w:tblLayout w:type="fixed"/>
        <w:tblCellMar>
          <w:left w:w="0" w:type="dxa"/>
          <w:right w:w="0" w:type="dxa"/>
        </w:tblCellMar>
        <w:tblLook w:val="01E0"/>
      </w:tblPr>
      <w:tblGrid>
        <w:gridCol w:w="5310"/>
        <w:gridCol w:w="1452"/>
        <w:gridCol w:w="1698"/>
      </w:tblGrid>
      <w:tr w:rsidR="00DC5ACA" w:rsidTr="00ED18BA">
        <w:trPr>
          <w:trHeight w:hRule="exact" w:val="396"/>
        </w:trPr>
        <w:tc>
          <w:tcPr>
            <w:tcW w:w="531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DC5ACA" w:rsidRPr="00497874" w:rsidRDefault="00DC5ACA" w:rsidP="00ED18BA">
            <w:pPr>
              <w:spacing w:before="56"/>
              <w:ind w:left="64"/>
              <w:rPr>
                <w:rFonts w:ascii="Calibri" w:eastAsia="Calibri" w:hAnsi="Calibri" w:cs="Calibri"/>
                <w:lang w:val="fr-FR"/>
              </w:rPr>
            </w:pPr>
            <w:r>
              <w:rPr>
                <w:rFonts w:ascii="Calibri" w:eastAsia="Calibri" w:hAnsi="Calibri" w:cs="Calibri"/>
                <w:szCs w:val="22"/>
                <w:lang w:val="fr-FR"/>
              </w:rPr>
              <w:t>Indicateurs</w:t>
            </w:r>
          </w:p>
        </w:tc>
        <w:tc>
          <w:tcPr>
            <w:tcW w:w="145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DC5ACA" w:rsidRDefault="00DC5ACA" w:rsidP="00ED18BA">
            <w:pPr>
              <w:spacing w:before="56"/>
              <w:ind w:right="782"/>
              <w:jc w:val="center"/>
              <w:rPr>
                <w:rFonts w:ascii="Calibri" w:eastAsia="Calibri" w:hAnsi="Calibri" w:cs="Calibri"/>
              </w:rPr>
            </w:pPr>
            <w:r>
              <w:rPr>
                <w:rFonts w:ascii="Calibri" w:eastAsia="Calibri" w:hAnsi="Calibri" w:cs="Calibri"/>
                <w:szCs w:val="22"/>
              </w:rPr>
              <w:t>2015</w:t>
            </w:r>
          </w:p>
        </w:tc>
        <w:tc>
          <w:tcPr>
            <w:tcW w:w="16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DC5ACA" w:rsidRDefault="00DC5ACA" w:rsidP="00ED18BA">
            <w:pPr>
              <w:spacing w:before="56"/>
              <w:ind w:right="782"/>
              <w:jc w:val="center"/>
              <w:rPr>
                <w:rFonts w:ascii="Calibri" w:eastAsia="Calibri" w:hAnsi="Calibri" w:cs="Calibri"/>
              </w:rPr>
            </w:pPr>
            <w:r>
              <w:rPr>
                <w:rFonts w:ascii="Calibri" w:eastAsia="Calibri" w:hAnsi="Calibri" w:cs="Calibri"/>
                <w:szCs w:val="22"/>
              </w:rPr>
              <w:t>2016</w:t>
            </w:r>
          </w:p>
        </w:tc>
      </w:tr>
      <w:tr w:rsidR="00DC5ACA" w:rsidTr="00ED18BA">
        <w:trPr>
          <w:trHeight w:hRule="exact" w:val="396"/>
        </w:trPr>
        <w:tc>
          <w:tcPr>
            <w:tcW w:w="5310" w:type="dxa"/>
            <w:tcBorders>
              <w:top w:val="single" w:sz="5" w:space="0" w:color="000000"/>
              <w:left w:val="single" w:sz="5" w:space="0" w:color="000000"/>
              <w:bottom w:val="single" w:sz="5" w:space="0" w:color="000000"/>
              <w:right w:val="single" w:sz="5" w:space="0" w:color="000000"/>
            </w:tcBorders>
            <w:vAlign w:val="center"/>
          </w:tcPr>
          <w:p w:rsidR="00DC5ACA" w:rsidRPr="00497874" w:rsidRDefault="00DC5ACA" w:rsidP="00ED18BA">
            <w:pPr>
              <w:spacing w:before="56"/>
              <w:ind w:left="64"/>
              <w:rPr>
                <w:rFonts w:ascii="Calibri" w:eastAsia="Calibri" w:hAnsi="Calibri" w:cs="Calibri"/>
                <w:lang w:val="fr-FR"/>
              </w:rPr>
            </w:pPr>
            <w:r w:rsidRPr="00497874">
              <w:rPr>
                <w:rFonts w:ascii="Calibri" w:eastAsia="Calibri" w:hAnsi="Calibri" w:cs="Calibri"/>
                <w:spacing w:val="-1"/>
                <w:szCs w:val="22"/>
                <w:lang w:val="fr-FR"/>
              </w:rPr>
              <w:t>N</w:t>
            </w:r>
            <w:r w:rsidRPr="00497874">
              <w:rPr>
                <w:rFonts w:ascii="Calibri" w:eastAsia="Calibri" w:hAnsi="Calibri" w:cs="Calibri"/>
                <w:spacing w:val="1"/>
                <w:szCs w:val="22"/>
                <w:lang w:val="fr-FR"/>
              </w:rPr>
              <w:t>om</w:t>
            </w:r>
            <w:r w:rsidRPr="00497874">
              <w:rPr>
                <w:rFonts w:ascii="Calibri" w:eastAsia="Calibri" w:hAnsi="Calibri" w:cs="Calibri"/>
                <w:spacing w:val="-1"/>
                <w:szCs w:val="22"/>
                <w:lang w:val="fr-FR"/>
              </w:rPr>
              <w:t>b</w:t>
            </w:r>
            <w:r w:rsidRPr="00497874">
              <w:rPr>
                <w:rFonts w:ascii="Calibri" w:eastAsia="Calibri" w:hAnsi="Calibri" w:cs="Calibri"/>
                <w:spacing w:val="-3"/>
                <w:szCs w:val="22"/>
                <w:lang w:val="fr-FR"/>
              </w:rPr>
              <w:t>r</w:t>
            </w:r>
            <w:r w:rsidRPr="00497874">
              <w:rPr>
                <w:rFonts w:ascii="Calibri" w:eastAsia="Calibri" w:hAnsi="Calibri" w:cs="Calibri"/>
                <w:szCs w:val="22"/>
                <w:lang w:val="fr-FR"/>
              </w:rPr>
              <w:t>e</w:t>
            </w:r>
            <w:r w:rsidR="00C57943">
              <w:rPr>
                <w:rFonts w:ascii="Calibri" w:eastAsia="Calibri" w:hAnsi="Calibri" w:cs="Calibri"/>
                <w:szCs w:val="22"/>
                <w:lang w:val="fr-FR"/>
              </w:rPr>
              <w:t xml:space="preserve"> </w:t>
            </w:r>
            <w:r w:rsidRPr="00497874">
              <w:rPr>
                <w:rFonts w:ascii="Calibri" w:eastAsia="Calibri" w:hAnsi="Calibri" w:cs="Calibri"/>
                <w:spacing w:val="-1"/>
                <w:szCs w:val="22"/>
                <w:lang w:val="fr-FR"/>
              </w:rPr>
              <w:t>d</w:t>
            </w:r>
            <w:r w:rsidRPr="00497874">
              <w:rPr>
                <w:rFonts w:ascii="Calibri" w:eastAsia="Calibri" w:hAnsi="Calibri" w:cs="Calibri"/>
                <w:szCs w:val="22"/>
                <w:lang w:val="fr-FR"/>
              </w:rPr>
              <w:t>e</w:t>
            </w:r>
            <w:r w:rsidR="00C57943">
              <w:rPr>
                <w:rFonts w:ascii="Calibri" w:eastAsia="Calibri" w:hAnsi="Calibri" w:cs="Calibri"/>
                <w:szCs w:val="22"/>
                <w:lang w:val="fr-FR"/>
              </w:rPr>
              <w:t xml:space="preserve"> </w:t>
            </w:r>
            <w:r w:rsidRPr="00497874">
              <w:rPr>
                <w:rFonts w:ascii="Calibri" w:eastAsia="Calibri" w:hAnsi="Calibri" w:cs="Calibri"/>
                <w:szCs w:val="22"/>
                <w:lang w:val="fr-FR"/>
              </w:rPr>
              <w:t>s</w:t>
            </w:r>
            <w:r w:rsidRPr="00497874">
              <w:rPr>
                <w:rFonts w:ascii="Calibri" w:eastAsia="Calibri" w:hAnsi="Calibri" w:cs="Calibri"/>
                <w:spacing w:val="-3"/>
                <w:szCs w:val="22"/>
                <w:lang w:val="fr-FR"/>
              </w:rPr>
              <w:t>i</w:t>
            </w:r>
            <w:r w:rsidRPr="00497874">
              <w:rPr>
                <w:rFonts w:ascii="Calibri" w:eastAsia="Calibri" w:hAnsi="Calibri" w:cs="Calibri"/>
                <w:szCs w:val="22"/>
                <w:lang w:val="fr-FR"/>
              </w:rPr>
              <w:t>t</w:t>
            </w:r>
            <w:r w:rsidRPr="00497874">
              <w:rPr>
                <w:rFonts w:ascii="Calibri" w:eastAsia="Calibri" w:hAnsi="Calibri" w:cs="Calibri"/>
                <w:spacing w:val="1"/>
                <w:szCs w:val="22"/>
                <w:lang w:val="fr-FR"/>
              </w:rPr>
              <w:t>e</w:t>
            </w:r>
            <w:r w:rsidRPr="00497874">
              <w:rPr>
                <w:rFonts w:ascii="Calibri" w:eastAsia="Calibri" w:hAnsi="Calibri" w:cs="Calibri"/>
                <w:szCs w:val="22"/>
                <w:lang w:val="fr-FR"/>
              </w:rPr>
              <w:t>s</w:t>
            </w:r>
            <w:r w:rsidR="00C57943">
              <w:rPr>
                <w:rFonts w:ascii="Calibri" w:eastAsia="Calibri" w:hAnsi="Calibri" w:cs="Calibri"/>
                <w:szCs w:val="22"/>
                <w:lang w:val="fr-FR"/>
              </w:rPr>
              <w:t xml:space="preserve"> </w:t>
            </w:r>
            <w:r w:rsidRPr="00497874">
              <w:rPr>
                <w:rFonts w:ascii="Calibri" w:eastAsia="Calibri" w:hAnsi="Calibri" w:cs="Calibri"/>
                <w:spacing w:val="1"/>
                <w:szCs w:val="22"/>
                <w:lang w:val="fr-FR"/>
              </w:rPr>
              <w:t>P</w:t>
            </w:r>
            <w:r w:rsidRPr="00497874">
              <w:rPr>
                <w:rFonts w:ascii="Calibri" w:eastAsia="Calibri" w:hAnsi="Calibri" w:cs="Calibri"/>
                <w:spacing w:val="-2"/>
                <w:szCs w:val="22"/>
                <w:lang w:val="fr-FR"/>
              </w:rPr>
              <w:t>T</w:t>
            </w:r>
            <w:r w:rsidRPr="00497874">
              <w:rPr>
                <w:rFonts w:ascii="Calibri" w:eastAsia="Calibri" w:hAnsi="Calibri" w:cs="Calibri"/>
                <w:spacing w:val="1"/>
                <w:szCs w:val="22"/>
                <w:lang w:val="fr-FR"/>
              </w:rPr>
              <w:t>M</w:t>
            </w:r>
            <w:r w:rsidRPr="00497874">
              <w:rPr>
                <w:rFonts w:ascii="Calibri" w:eastAsia="Calibri" w:hAnsi="Calibri" w:cs="Calibri"/>
                <w:szCs w:val="22"/>
                <w:lang w:val="fr-FR"/>
              </w:rPr>
              <w:t>E</w:t>
            </w:r>
            <w:r w:rsidR="00C57943">
              <w:rPr>
                <w:rFonts w:ascii="Calibri" w:eastAsia="Calibri" w:hAnsi="Calibri" w:cs="Calibri"/>
                <w:szCs w:val="22"/>
                <w:lang w:val="fr-FR"/>
              </w:rPr>
              <w:t xml:space="preserve"> </w:t>
            </w:r>
            <w:r w:rsidRPr="00497874">
              <w:rPr>
                <w:rFonts w:ascii="Calibri" w:eastAsia="Calibri" w:hAnsi="Calibri" w:cs="Calibri"/>
                <w:spacing w:val="1"/>
                <w:szCs w:val="22"/>
                <w:lang w:val="fr-FR"/>
              </w:rPr>
              <w:t>(o</w:t>
            </w:r>
            <w:r w:rsidRPr="00497874">
              <w:rPr>
                <w:rFonts w:ascii="Calibri" w:eastAsia="Calibri" w:hAnsi="Calibri" w:cs="Calibri"/>
                <w:szCs w:val="22"/>
                <w:lang w:val="fr-FR"/>
              </w:rPr>
              <w:t>f</w:t>
            </w:r>
            <w:r w:rsidRPr="00497874">
              <w:rPr>
                <w:rFonts w:ascii="Calibri" w:eastAsia="Calibri" w:hAnsi="Calibri" w:cs="Calibri"/>
                <w:spacing w:val="-3"/>
                <w:szCs w:val="22"/>
                <w:lang w:val="fr-FR"/>
              </w:rPr>
              <w:t>f</w:t>
            </w:r>
            <w:r w:rsidRPr="00497874">
              <w:rPr>
                <w:rFonts w:ascii="Calibri" w:eastAsia="Calibri" w:hAnsi="Calibri" w:cs="Calibri"/>
                <w:szCs w:val="22"/>
                <w:lang w:val="fr-FR"/>
              </w:rPr>
              <w:t>re</w:t>
            </w:r>
            <w:r w:rsidR="00C57943">
              <w:rPr>
                <w:rFonts w:ascii="Calibri" w:eastAsia="Calibri" w:hAnsi="Calibri" w:cs="Calibri"/>
                <w:szCs w:val="22"/>
                <w:lang w:val="fr-FR"/>
              </w:rPr>
              <w:t xml:space="preserve"> </w:t>
            </w:r>
            <w:r w:rsidRPr="00497874">
              <w:rPr>
                <w:rFonts w:ascii="Calibri" w:eastAsia="Calibri" w:hAnsi="Calibri" w:cs="Calibri"/>
                <w:spacing w:val="-1"/>
                <w:szCs w:val="22"/>
                <w:lang w:val="fr-FR"/>
              </w:rPr>
              <w:t>d</w:t>
            </w:r>
            <w:r w:rsidRPr="00497874">
              <w:rPr>
                <w:rFonts w:ascii="Calibri" w:eastAsia="Calibri" w:hAnsi="Calibri" w:cs="Calibri"/>
                <w:szCs w:val="22"/>
                <w:lang w:val="fr-FR"/>
              </w:rPr>
              <w:t>e</w:t>
            </w:r>
            <w:r w:rsidR="00C57943">
              <w:rPr>
                <w:rFonts w:ascii="Calibri" w:eastAsia="Calibri" w:hAnsi="Calibri" w:cs="Calibri"/>
                <w:szCs w:val="22"/>
                <w:lang w:val="fr-FR"/>
              </w:rPr>
              <w:t xml:space="preserve"> </w:t>
            </w:r>
            <w:r w:rsidRPr="00497874">
              <w:rPr>
                <w:rFonts w:ascii="Calibri" w:eastAsia="Calibri" w:hAnsi="Calibri" w:cs="Calibri"/>
                <w:spacing w:val="-2"/>
                <w:szCs w:val="22"/>
                <w:lang w:val="fr-FR"/>
              </w:rPr>
              <w:t>s</w:t>
            </w:r>
            <w:r w:rsidRPr="00497874">
              <w:rPr>
                <w:rFonts w:ascii="Calibri" w:eastAsia="Calibri" w:hAnsi="Calibri" w:cs="Calibri"/>
                <w:szCs w:val="22"/>
                <w:lang w:val="fr-FR"/>
              </w:rPr>
              <w:t>er</w:t>
            </w:r>
            <w:r w:rsidRPr="00497874">
              <w:rPr>
                <w:rFonts w:ascii="Calibri" w:eastAsia="Calibri" w:hAnsi="Calibri" w:cs="Calibri"/>
                <w:spacing w:val="1"/>
                <w:szCs w:val="22"/>
                <w:lang w:val="fr-FR"/>
              </w:rPr>
              <w:t>v</w:t>
            </w:r>
            <w:r w:rsidRPr="00497874">
              <w:rPr>
                <w:rFonts w:ascii="Calibri" w:eastAsia="Calibri" w:hAnsi="Calibri" w:cs="Calibri"/>
                <w:spacing w:val="-3"/>
                <w:szCs w:val="22"/>
                <w:lang w:val="fr-FR"/>
              </w:rPr>
              <w:t>i</w:t>
            </w:r>
            <w:r w:rsidRPr="00497874">
              <w:rPr>
                <w:rFonts w:ascii="Calibri" w:eastAsia="Calibri" w:hAnsi="Calibri" w:cs="Calibri"/>
                <w:szCs w:val="22"/>
                <w:lang w:val="fr-FR"/>
              </w:rPr>
              <w:t>ce</w:t>
            </w:r>
            <w:r w:rsidRPr="00497874">
              <w:rPr>
                <w:rFonts w:ascii="Calibri" w:eastAsia="Calibri" w:hAnsi="Calibri" w:cs="Calibri"/>
                <w:spacing w:val="1"/>
                <w:szCs w:val="22"/>
                <w:lang w:val="fr-FR"/>
              </w:rPr>
              <w:t>s</w:t>
            </w:r>
            <w:r w:rsidRPr="00497874">
              <w:rPr>
                <w:rFonts w:ascii="Calibri" w:eastAsia="Calibri" w:hAnsi="Calibri" w:cs="Calibri"/>
                <w:szCs w:val="22"/>
                <w:lang w:val="fr-FR"/>
              </w:rPr>
              <w:t>)</w:t>
            </w:r>
          </w:p>
        </w:tc>
        <w:tc>
          <w:tcPr>
            <w:tcW w:w="1452"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rsidRPr="00345CCB">
              <w:t>297</w:t>
            </w:r>
          </w:p>
        </w:tc>
        <w:tc>
          <w:tcPr>
            <w:tcW w:w="1698"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rsidRPr="00345CCB">
              <w:t>323</w:t>
            </w:r>
          </w:p>
        </w:tc>
      </w:tr>
      <w:tr w:rsidR="00DC5ACA" w:rsidRPr="00815464" w:rsidTr="00ED18BA">
        <w:trPr>
          <w:trHeight w:hRule="exact" w:val="396"/>
        </w:trPr>
        <w:tc>
          <w:tcPr>
            <w:tcW w:w="5310" w:type="dxa"/>
            <w:tcBorders>
              <w:top w:val="single" w:sz="5" w:space="0" w:color="000000"/>
              <w:left w:val="single" w:sz="5" w:space="0" w:color="000000"/>
              <w:bottom w:val="single" w:sz="5" w:space="0" w:color="000000"/>
              <w:right w:val="single" w:sz="5" w:space="0" w:color="000000"/>
            </w:tcBorders>
            <w:vAlign w:val="center"/>
          </w:tcPr>
          <w:p w:rsidR="00DC5ACA" w:rsidRPr="00497874" w:rsidRDefault="00DC5ACA" w:rsidP="00ED18BA">
            <w:pPr>
              <w:spacing w:before="56"/>
              <w:ind w:left="64"/>
              <w:rPr>
                <w:rFonts w:ascii="Calibri" w:eastAsia="Calibri" w:hAnsi="Calibri" w:cs="Calibri"/>
                <w:spacing w:val="-1"/>
                <w:lang w:val="fr-FR"/>
              </w:rPr>
            </w:pPr>
            <w:r>
              <w:rPr>
                <w:rFonts w:ascii="Calibri" w:eastAsia="Calibri" w:hAnsi="Calibri" w:cs="Calibri"/>
                <w:spacing w:val="-1"/>
                <w:szCs w:val="22"/>
                <w:lang w:val="fr-FR"/>
              </w:rPr>
              <w:t>Nombre de femmes enceintes attendues</w:t>
            </w:r>
          </w:p>
        </w:tc>
        <w:tc>
          <w:tcPr>
            <w:tcW w:w="1452" w:type="dxa"/>
            <w:tcBorders>
              <w:top w:val="single" w:sz="5" w:space="0" w:color="000000"/>
              <w:left w:val="single" w:sz="5" w:space="0" w:color="000000"/>
              <w:bottom w:val="single" w:sz="5" w:space="0" w:color="000000"/>
              <w:right w:val="single" w:sz="5" w:space="0" w:color="000000"/>
            </w:tcBorders>
            <w:vAlign w:val="center"/>
          </w:tcPr>
          <w:p w:rsidR="00DC5ACA" w:rsidRPr="00815464" w:rsidRDefault="00DC5ACA" w:rsidP="00ED18BA">
            <w:pPr>
              <w:tabs>
                <w:tab w:val="left" w:pos="5580"/>
                <w:tab w:val="left" w:pos="6840"/>
              </w:tabs>
              <w:jc w:val="center"/>
              <w:rPr>
                <w:lang w:val="fr-FR"/>
              </w:rPr>
            </w:pPr>
            <w:r>
              <w:rPr>
                <w:lang w:val="fr-FR"/>
              </w:rPr>
              <w:t>488 826</w:t>
            </w:r>
          </w:p>
        </w:tc>
        <w:tc>
          <w:tcPr>
            <w:tcW w:w="1698" w:type="dxa"/>
            <w:tcBorders>
              <w:top w:val="single" w:sz="5" w:space="0" w:color="000000"/>
              <w:left w:val="single" w:sz="5" w:space="0" w:color="000000"/>
              <w:bottom w:val="single" w:sz="5" w:space="0" w:color="000000"/>
              <w:right w:val="single" w:sz="5" w:space="0" w:color="000000"/>
            </w:tcBorders>
            <w:vAlign w:val="center"/>
          </w:tcPr>
          <w:p w:rsidR="00DC5ACA" w:rsidRPr="00815464" w:rsidRDefault="00DC5ACA" w:rsidP="00ED18BA">
            <w:pPr>
              <w:tabs>
                <w:tab w:val="left" w:pos="5580"/>
                <w:tab w:val="left" w:pos="6840"/>
              </w:tabs>
              <w:jc w:val="center"/>
              <w:rPr>
                <w:lang w:val="fr-FR"/>
              </w:rPr>
            </w:pPr>
            <w:r>
              <w:rPr>
                <w:lang w:val="fr-FR"/>
              </w:rPr>
              <w:t>499 591</w:t>
            </w:r>
          </w:p>
        </w:tc>
      </w:tr>
      <w:tr w:rsidR="00DC5ACA" w:rsidTr="00ED18BA">
        <w:trPr>
          <w:trHeight w:hRule="exact" w:val="485"/>
        </w:trPr>
        <w:tc>
          <w:tcPr>
            <w:tcW w:w="5310" w:type="dxa"/>
            <w:tcBorders>
              <w:top w:val="single" w:sz="5" w:space="0" w:color="000000"/>
              <w:left w:val="single" w:sz="5" w:space="0" w:color="000000"/>
              <w:bottom w:val="single" w:sz="5" w:space="0" w:color="000000"/>
              <w:right w:val="single" w:sz="5" w:space="0" w:color="000000"/>
            </w:tcBorders>
            <w:vAlign w:val="center"/>
          </w:tcPr>
          <w:p w:rsidR="00DC5ACA" w:rsidRPr="00497874" w:rsidRDefault="00DC5ACA" w:rsidP="00ED18BA">
            <w:pPr>
              <w:spacing w:before="99"/>
              <w:ind w:left="64"/>
              <w:rPr>
                <w:rFonts w:ascii="Calibri" w:eastAsia="Calibri" w:hAnsi="Calibri" w:cs="Calibri"/>
                <w:lang w:val="fr-FR"/>
              </w:rPr>
            </w:pPr>
            <w:r w:rsidRPr="00497874">
              <w:rPr>
                <w:rFonts w:ascii="Calibri" w:eastAsia="Calibri" w:hAnsi="Calibri" w:cs="Calibri"/>
                <w:spacing w:val="-1"/>
                <w:szCs w:val="22"/>
                <w:lang w:val="fr-FR"/>
              </w:rPr>
              <w:t>N</w:t>
            </w:r>
            <w:r w:rsidRPr="00497874">
              <w:rPr>
                <w:rFonts w:ascii="Calibri" w:eastAsia="Calibri" w:hAnsi="Calibri" w:cs="Calibri"/>
                <w:spacing w:val="1"/>
                <w:szCs w:val="22"/>
                <w:lang w:val="fr-FR"/>
              </w:rPr>
              <w:t>om</w:t>
            </w:r>
            <w:r w:rsidRPr="00497874">
              <w:rPr>
                <w:rFonts w:ascii="Calibri" w:eastAsia="Calibri" w:hAnsi="Calibri" w:cs="Calibri"/>
                <w:spacing w:val="-1"/>
                <w:szCs w:val="22"/>
                <w:lang w:val="fr-FR"/>
              </w:rPr>
              <w:t>b</w:t>
            </w:r>
            <w:r w:rsidRPr="00497874">
              <w:rPr>
                <w:rFonts w:ascii="Calibri" w:eastAsia="Calibri" w:hAnsi="Calibri" w:cs="Calibri"/>
                <w:spacing w:val="-3"/>
                <w:szCs w:val="22"/>
                <w:lang w:val="fr-FR"/>
              </w:rPr>
              <w:t>r</w:t>
            </w:r>
            <w:r w:rsidRPr="00497874">
              <w:rPr>
                <w:rFonts w:ascii="Calibri" w:eastAsia="Calibri" w:hAnsi="Calibri" w:cs="Calibri"/>
                <w:szCs w:val="22"/>
                <w:lang w:val="fr-FR"/>
              </w:rPr>
              <w:t>e</w:t>
            </w:r>
            <w:r w:rsidR="00C57943">
              <w:rPr>
                <w:rFonts w:ascii="Calibri" w:eastAsia="Calibri" w:hAnsi="Calibri" w:cs="Calibri"/>
                <w:szCs w:val="22"/>
                <w:lang w:val="fr-FR"/>
              </w:rPr>
              <w:t xml:space="preserve"> </w:t>
            </w:r>
            <w:r w:rsidRPr="00497874">
              <w:rPr>
                <w:rFonts w:ascii="Calibri" w:eastAsia="Calibri" w:hAnsi="Calibri" w:cs="Calibri"/>
                <w:spacing w:val="-1"/>
                <w:szCs w:val="22"/>
                <w:lang w:val="fr-FR"/>
              </w:rPr>
              <w:t>d</w:t>
            </w:r>
            <w:r w:rsidRPr="00497874">
              <w:rPr>
                <w:rFonts w:ascii="Calibri" w:eastAsia="Calibri" w:hAnsi="Calibri" w:cs="Calibri"/>
                <w:szCs w:val="22"/>
                <w:lang w:val="fr-FR"/>
              </w:rPr>
              <w:t>e</w:t>
            </w:r>
            <w:r w:rsidR="00C57943">
              <w:rPr>
                <w:rFonts w:ascii="Calibri" w:eastAsia="Calibri" w:hAnsi="Calibri" w:cs="Calibri"/>
                <w:szCs w:val="22"/>
                <w:lang w:val="fr-FR"/>
              </w:rPr>
              <w:t xml:space="preserve"> </w:t>
            </w:r>
            <w:r w:rsidRPr="00497874">
              <w:rPr>
                <w:rFonts w:ascii="Calibri" w:eastAsia="Calibri" w:hAnsi="Calibri" w:cs="Calibri"/>
                <w:spacing w:val="-3"/>
                <w:szCs w:val="22"/>
                <w:lang w:val="fr-FR"/>
              </w:rPr>
              <w:t>f</w:t>
            </w:r>
            <w:r w:rsidRPr="00497874">
              <w:rPr>
                <w:rFonts w:ascii="Calibri" w:eastAsia="Calibri" w:hAnsi="Calibri" w:cs="Calibri"/>
                <w:szCs w:val="22"/>
                <w:lang w:val="fr-FR"/>
              </w:rPr>
              <w:t>e</w:t>
            </w:r>
            <w:r w:rsidRPr="00497874">
              <w:rPr>
                <w:rFonts w:ascii="Calibri" w:eastAsia="Calibri" w:hAnsi="Calibri" w:cs="Calibri"/>
                <w:spacing w:val="-1"/>
                <w:szCs w:val="22"/>
                <w:lang w:val="fr-FR"/>
              </w:rPr>
              <w:t>mm</w:t>
            </w:r>
            <w:r w:rsidRPr="00497874">
              <w:rPr>
                <w:rFonts w:ascii="Calibri" w:eastAsia="Calibri" w:hAnsi="Calibri" w:cs="Calibri"/>
                <w:szCs w:val="22"/>
                <w:lang w:val="fr-FR"/>
              </w:rPr>
              <w:t>es</w:t>
            </w:r>
            <w:r w:rsidR="00C57943">
              <w:rPr>
                <w:rFonts w:ascii="Calibri" w:eastAsia="Calibri" w:hAnsi="Calibri" w:cs="Calibri"/>
                <w:szCs w:val="22"/>
                <w:lang w:val="fr-FR"/>
              </w:rPr>
              <w:t xml:space="preserve"> </w:t>
            </w:r>
            <w:r w:rsidRPr="00497874">
              <w:rPr>
                <w:rFonts w:ascii="Calibri" w:eastAsia="Calibri" w:hAnsi="Calibri" w:cs="Calibri"/>
                <w:szCs w:val="22"/>
                <w:lang w:val="fr-FR"/>
              </w:rPr>
              <w:t>en</w:t>
            </w:r>
            <w:r w:rsidRPr="00497874">
              <w:rPr>
                <w:rFonts w:ascii="Calibri" w:eastAsia="Calibri" w:hAnsi="Calibri" w:cs="Calibri"/>
                <w:spacing w:val="-2"/>
                <w:szCs w:val="22"/>
                <w:lang w:val="fr-FR"/>
              </w:rPr>
              <w:t>c</w:t>
            </w:r>
            <w:r w:rsidRPr="00497874">
              <w:rPr>
                <w:rFonts w:ascii="Calibri" w:eastAsia="Calibri" w:hAnsi="Calibri" w:cs="Calibri"/>
                <w:szCs w:val="22"/>
                <w:lang w:val="fr-FR"/>
              </w:rPr>
              <w:t>ei</w:t>
            </w:r>
            <w:r w:rsidRPr="00497874">
              <w:rPr>
                <w:rFonts w:ascii="Calibri" w:eastAsia="Calibri" w:hAnsi="Calibri" w:cs="Calibri"/>
                <w:spacing w:val="-3"/>
                <w:szCs w:val="22"/>
                <w:lang w:val="fr-FR"/>
              </w:rPr>
              <w:t>n</w:t>
            </w:r>
            <w:r w:rsidRPr="00497874">
              <w:rPr>
                <w:rFonts w:ascii="Calibri" w:eastAsia="Calibri" w:hAnsi="Calibri" w:cs="Calibri"/>
                <w:szCs w:val="22"/>
                <w:lang w:val="fr-FR"/>
              </w:rPr>
              <w:t>t</w:t>
            </w:r>
            <w:r w:rsidRPr="00497874">
              <w:rPr>
                <w:rFonts w:ascii="Calibri" w:eastAsia="Calibri" w:hAnsi="Calibri" w:cs="Calibri"/>
                <w:spacing w:val="1"/>
                <w:szCs w:val="22"/>
                <w:lang w:val="fr-FR"/>
              </w:rPr>
              <w:t>e</w:t>
            </w:r>
            <w:r w:rsidRPr="00497874">
              <w:rPr>
                <w:rFonts w:ascii="Calibri" w:eastAsia="Calibri" w:hAnsi="Calibri" w:cs="Calibri"/>
                <w:szCs w:val="22"/>
                <w:lang w:val="fr-FR"/>
              </w:rPr>
              <w:t xml:space="preserve">s </w:t>
            </w:r>
            <w:r w:rsidRPr="00497874">
              <w:rPr>
                <w:rFonts w:ascii="Calibri" w:eastAsia="Calibri" w:hAnsi="Calibri" w:cs="Calibri"/>
                <w:spacing w:val="-2"/>
                <w:szCs w:val="22"/>
                <w:lang w:val="fr-FR"/>
              </w:rPr>
              <w:t>r</w:t>
            </w:r>
            <w:r w:rsidRPr="00497874">
              <w:rPr>
                <w:rFonts w:ascii="Calibri" w:eastAsia="Calibri" w:hAnsi="Calibri" w:cs="Calibri"/>
                <w:szCs w:val="22"/>
                <w:lang w:val="fr-FR"/>
              </w:rPr>
              <w:t>eçues</w:t>
            </w:r>
            <w:r w:rsidR="00C57943">
              <w:rPr>
                <w:rFonts w:ascii="Calibri" w:eastAsia="Calibri" w:hAnsi="Calibri" w:cs="Calibri"/>
                <w:szCs w:val="22"/>
                <w:lang w:val="fr-FR"/>
              </w:rPr>
              <w:t xml:space="preserve"> </w:t>
            </w:r>
            <w:r w:rsidRPr="00497874">
              <w:rPr>
                <w:rFonts w:ascii="Calibri" w:eastAsia="Calibri" w:hAnsi="Calibri" w:cs="Calibri"/>
                <w:szCs w:val="22"/>
                <w:lang w:val="fr-FR"/>
              </w:rPr>
              <w:t xml:space="preserve">en </w:t>
            </w:r>
            <w:r w:rsidRPr="00497874">
              <w:rPr>
                <w:rFonts w:ascii="Calibri" w:eastAsia="Calibri" w:hAnsi="Calibri" w:cs="Calibri"/>
                <w:spacing w:val="-2"/>
                <w:szCs w:val="22"/>
                <w:lang w:val="fr-FR"/>
              </w:rPr>
              <w:t>C</w:t>
            </w:r>
            <w:r w:rsidRPr="00497874">
              <w:rPr>
                <w:rFonts w:ascii="Calibri" w:eastAsia="Calibri" w:hAnsi="Calibri" w:cs="Calibri"/>
                <w:spacing w:val="1"/>
                <w:szCs w:val="22"/>
                <w:lang w:val="fr-FR"/>
              </w:rPr>
              <w:t>P</w:t>
            </w:r>
            <w:r w:rsidRPr="00497874">
              <w:rPr>
                <w:rFonts w:ascii="Calibri" w:eastAsia="Calibri" w:hAnsi="Calibri" w:cs="Calibri"/>
                <w:spacing w:val="-1"/>
                <w:szCs w:val="22"/>
                <w:lang w:val="fr-FR"/>
              </w:rPr>
              <w:t>N/</w:t>
            </w:r>
            <w:r w:rsidRPr="00497874">
              <w:rPr>
                <w:rFonts w:ascii="Calibri" w:eastAsia="Calibri" w:hAnsi="Calibri" w:cs="Calibri"/>
                <w:spacing w:val="1"/>
                <w:szCs w:val="22"/>
                <w:lang w:val="fr-FR"/>
              </w:rPr>
              <w:t>P</w:t>
            </w:r>
            <w:r w:rsidRPr="00497874">
              <w:rPr>
                <w:rFonts w:ascii="Calibri" w:eastAsia="Calibri" w:hAnsi="Calibri" w:cs="Calibri"/>
                <w:spacing w:val="-2"/>
                <w:szCs w:val="22"/>
                <w:lang w:val="fr-FR"/>
              </w:rPr>
              <w:t>T</w:t>
            </w:r>
            <w:r w:rsidRPr="00497874">
              <w:rPr>
                <w:rFonts w:ascii="Calibri" w:eastAsia="Calibri" w:hAnsi="Calibri" w:cs="Calibri"/>
                <w:spacing w:val="1"/>
                <w:szCs w:val="22"/>
                <w:lang w:val="fr-FR"/>
              </w:rPr>
              <w:t>M</w:t>
            </w:r>
            <w:r w:rsidRPr="00497874">
              <w:rPr>
                <w:rFonts w:ascii="Calibri" w:eastAsia="Calibri" w:hAnsi="Calibri" w:cs="Calibri"/>
                <w:szCs w:val="22"/>
                <w:lang w:val="fr-FR"/>
              </w:rPr>
              <w:t>E</w:t>
            </w:r>
          </w:p>
        </w:tc>
        <w:tc>
          <w:tcPr>
            <w:tcW w:w="1452"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rsidRPr="00345CCB">
              <w:t>223 040</w:t>
            </w:r>
            <w:r>
              <w:t xml:space="preserve"> (46%)</w:t>
            </w:r>
          </w:p>
        </w:tc>
        <w:tc>
          <w:tcPr>
            <w:tcW w:w="1698"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rsidRPr="00345CCB">
              <w:t>278007</w:t>
            </w:r>
            <w:r>
              <w:t xml:space="preserve"> (56%)</w:t>
            </w:r>
          </w:p>
        </w:tc>
      </w:tr>
      <w:tr w:rsidR="00DC5ACA" w:rsidTr="00ED18BA">
        <w:trPr>
          <w:trHeight w:hRule="exact" w:val="669"/>
        </w:trPr>
        <w:tc>
          <w:tcPr>
            <w:tcW w:w="5310" w:type="dxa"/>
            <w:tcBorders>
              <w:top w:val="single" w:sz="5" w:space="0" w:color="000000"/>
              <w:left w:val="single" w:sz="5" w:space="0" w:color="000000"/>
              <w:bottom w:val="single" w:sz="5" w:space="0" w:color="000000"/>
              <w:right w:val="single" w:sz="5" w:space="0" w:color="000000"/>
            </w:tcBorders>
            <w:vAlign w:val="center"/>
          </w:tcPr>
          <w:p w:rsidR="00DC5ACA" w:rsidRPr="00497874" w:rsidRDefault="00DC5ACA" w:rsidP="00ED18BA">
            <w:pPr>
              <w:spacing w:before="4" w:line="100" w:lineRule="exact"/>
              <w:rPr>
                <w:sz w:val="10"/>
                <w:szCs w:val="10"/>
                <w:lang w:val="fr-FR"/>
              </w:rPr>
            </w:pPr>
          </w:p>
          <w:p w:rsidR="00DC5ACA" w:rsidRPr="00497874" w:rsidRDefault="00DC5ACA" w:rsidP="00ED18BA">
            <w:pPr>
              <w:ind w:left="64"/>
              <w:rPr>
                <w:rFonts w:ascii="Calibri" w:eastAsia="Calibri" w:hAnsi="Calibri" w:cs="Calibri"/>
                <w:lang w:val="fr-FR"/>
              </w:rPr>
            </w:pPr>
            <w:r w:rsidRPr="00497874">
              <w:rPr>
                <w:rFonts w:ascii="Calibri" w:eastAsia="Calibri" w:hAnsi="Calibri" w:cs="Calibri"/>
                <w:spacing w:val="-1"/>
                <w:szCs w:val="22"/>
                <w:lang w:val="fr-FR"/>
              </w:rPr>
              <w:t>N</w:t>
            </w:r>
            <w:r w:rsidRPr="00497874">
              <w:rPr>
                <w:rFonts w:ascii="Calibri" w:eastAsia="Calibri" w:hAnsi="Calibri" w:cs="Calibri"/>
                <w:spacing w:val="1"/>
                <w:szCs w:val="22"/>
                <w:lang w:val="fr-FR"/>
              </w:rPr>
              <w:t>om</w:t>
            </w:r>
            <w:r w:rsidRPr="00497874">
              <w:rPr>
                <w:rFonts w:ascii="Calibri" w:eastAsia="Calibri" w:hAnsi="Calibri" w:cs="Calibri"/>
                <w:spacing w:val="-1"/>
                <w:szCs w:val="22"/>
                <w:lang w:val="fr-FR"/>
              </w:rPr>
              <w:t>b</w:t>
            </w:r>
            <w:r w:rsidRPr="00497874">
              <w:rPr>
                <w:rFonts w:ascii="Calibri" w:eastAsia="Calibri" w:hAnsi="Calibri" w:cs="Calibri"/>
                <w:spacing w:val="-3"/>
                <w:szCs w:val="22"/>
                <w:lang w:val="fr-FR"/>
              </w:rPr>
              <w:t>r</w:t>
            </w:r>
            <w:r w:rsidRPr="00497874">
              <w:rPr>
                <w:rFonts w:ascii="Calibri" w:eastAsia="Calibri" w:hAnsi="Calibri" w:cs="Calibri"/>
                <w:szCs w:val="22"/>
                <w:lang w:val="fr-FR"/>
              </w:rPr>
              <w:t>e</w:t>
            </w:r>
            <w:r w:rsidR="00C57943">
              <w:rPr>
                <w:rFonts w:ascii="Calibri" w:eastAsia="Calibri" w:hAnsi="Calibri" w:cs="Calibri"/>
                <w:szCs w:val="22"/>
                <w:lang w:val="fr-FR"/>
              </w:rPr>
              <w:t xml:space="preserve"> </w:t>
            </w:r>
            <w:r w:rsidRPr="00497874">
              <w:rPr>
                <w:rFonts w:ascii="Calibri" w:eastAsia="Calibri" w:hAnsi="Calibri" w:cs="Calibri"/>
                <w:spacing w:val="-1"/>
                <w:szCs w:val="22"/>
                <w:lang w:val="fr-FR"/>
              </w:rPr>
              <w:t>d</w:t>
            </w:r>
            <w:r w:rsidRPr="00497874">
              <w:rPr>
                <w:rFonts w:ascii="Calibri" w:eastAsia="Calibri" w:hAnsi="Calibri" w:cs="Calibri"/>
                <w:szCs w:val="22"/>
                <w:lang w:val="fr-FR"/>
              </w:rPr>
              <w:t>e</w:t>
            </w:r>
            <w:r w:rsidR="00C57943">
              <w:rPr>
                <w:rFonts w:ascii="Calibri" w:eastAsia="Calibri" w:hAnsi="Calibri" w:cs="Calibri"/>
                <w:szCs w:val="22"/>
                <w:lang w:val="fr-FR"/>
              </w:rPr>
              <w:t xml:space="preserve"> </w:t>
            </w:r>
            <w:r w:rsidRPr="00497874">
              <w:rPr>
                <w:rFonts w:ascii="Calibri" w:eastAsia="Calibri" w:hAnsi="Calibri" w:cs="Calibri"/>
                <w:spacing w:val="-3"/>
                <w:szCs w:val="22"/>
                <w:lang w:val="fr-FR"/>
              </w:rPr>
              <w:t>f</w:t>
            </w:r>
            <w:r w:rsidRPr="00497874">
              <w:rPr>
                <w:rFonts w:ascii="Calibri" w:eastAsia="Calibri" w:hAnsi="Calibri" w:cs="Calibri"/>
                <w:szCs w:val="22"/>
                <w:lang w:val="fr-FR"/>
              </w:rPr>
              <w:t>e</w:t>
            </w:r>
            <w:r w:rsidRPr="00497874">
              <w:rPr>
                <w:rFonts w:ascii="Calibri" w:eastAsia="Calibri" w:hAnsi="Calibri" w:cs="Calibri"/>
                <w:spacing w:val="-1"/>
                <w:szCs w:val="22"/>
                <w:lang w:val="fr-FR"/>
              </w:rPr>
              <w:t>mm</w:t>
            </w:r>
            <w:r w:rsidRPr="00497874">
              <w:rPr>
                <w:rFonts w:ascii="Calibri" w:eastAsia="Calibri" w:hAnsi="Calibri" w:cs="Calibri"/>
                <w:szCs w:val="22"/>
                <w:lang w:val="fr-FR"/>
              </w:rPr>
              <w:t>es</w:t>
            </w:r>
            <w:r w:rsidR="00C57943">
              <w:rPr>
                <w:rFonts w:ascii="Calibri" w:eastAsia="Calibri" w:hAnsi="Calibri" w:cs="Calibri"/>
                <w:szCs w:val="22"/>
                <w:lang w:val="fr-FR"/>
              </w:rPr>
              <w:t xml:space="preserve"> </w:t>
            </w:r>
            <w:r w:rsidRPr="00497874">
              <w:rPr>
                <w:rFonts w:ascii="Calibri" w:eastAsia="Calibri" w:hAnsi="Calibri" w:cs="Calibri"/>
                <w:szCs w:val="22"/>
                <w:lang w:val="fr-FR"/>
              </w:rPr>
              <w:t>en</w:t>
            </w:r>
            <w:r w:rsidRPr="00497874">
              <w:rPr>
                <w:rFonts w:ascii="Calibri" w:eastAsia="Calibri" w:hAnsi="Calibri" w:cs="Calibri"/>
                <w:spacing w:val="-2"/>
                <w:szCs w:val="22"/>
                <w:lang w:val="fr-FR"/>
              </w:rPr>
              <w:t>c</w:t>
            </w:r>
            <w:r w:rsidRPr="00497874">
              <w:rPr>
                <w:rFonts w:ascii="Calibri" w:eastAsia="Calibri" w:hAnsi="Calibri" w:cs="Calibri"/>
                <w:szCs w:val="22"/>
                <w:lang w:val="fr-FR"/>
              </w:rPr>
              <w:t>ei</w:t>
            </w:r>
            <w:r w:rsidRPr="00497874">
              <w:rPr>
                <w:rFonts w:ascii="Calibri" w:eastAsia="Calibri" w:hAnsi="Calibri" w:cs="Calibri"/>
                <w:spacing w:val="-3"/>
                <w:szCs w:val="22"/>
                <w:lang w:val="fr-FR"/>
              </w:rPr>
              <w:t>n</w:t>
            </w:r>
            <w:r w:rsidRPr="00497874">
              <w:rPr>
                <w:rFonts w:ascii="Calibri" w:eastAsia="Calibri" w:hAnsi="Calibri" w:cs="Calibri"/>
                <w:szCs w:val="22"/>
                <w:lang w:val="fr-FR"/>
              </w:rPr>
              <w:t>t</w:t>
            </w:r>
            <w:r w:rsidRPr="00497874">
              <w:rPr>
                <w:rFonts w:ascii="Calibri" w:eastAsia="Calibri" w:hAnsi="Calibri" w:cs="Calibri"/>
                <w:spacing w:val="1"/>
                <w:szCs w:val="22"/>
                <w:lang w:val="fr-FR"/>
              </w:rPr>
              <w:t>e</w:t>
            </w:r>
            <w:r w:rsidRPr="00497874">
              <w:rPr>
                <w:rFonts w:ascii="Calibri" w:eastAsia="Calibri" w:hAnsi="Calibri" w:cs="Calibri"/>
                <w:szCs w:val="22"/>
                <w:lang w:val="fr-FR"/>
              </w:rPr>
              <w:t>s q</w:t>
            </w:r>
            <w:r w:rsidRPr="00497874">
              <w:rPr>
                <w:rFonts w:ascii="Calibri" w:eastAsia="Calibri" w:hAnsi="Calibri" w:cs="Calibri"/>
                <w:spacing w:val="-1"/>
                <w:szCs w:val="22"/>
                <w:lang w:val="fr-FR"/>
              </w:rPr>
              <w:t>u</w:t>
            </w:r>
            <w:r w:rsidRPr="00497874">
              <w:rPr>
                <w:rFonts w:ascii="Calibri" w:eastAsia="Calibri" w:hAnsi="Calibri" w:cs="Calibri"/>
                <w:szCs w:val="22"/>
                <w:lang w:val="fr-FR"/>
              </w:rPr>
              <w:t>i</w:t>
            </w:r>
            <w:r w:rsidR="00C57943">
              <w:rPr>
                <w:rFonts w:ascii="Calibri" w:eastAsia="Calibri" w:hAnsi="Calibri" w:cs="Calibri"/>
                <w:szCs w:val="22"/>
                <w:lang w:val="fr-FR"/>
              </w:rPr>
              <w:t xml:space="preserve"> </w:t>
            </w:r>
            <w:r w:rsidRPr="00497874">
              <w:rPr>
                <w:rFonts w:ascii="Calibri" w:eastAsia="Calibri" w:hAnsi="Calibri" w:cs="Calibri"/>
                <w:spacing w:val="1"/>
                <w:szCs w:val="22"/>
                <w:lang w:val="fr-FR"/>
              </w:rPr>
              <w:t>o</w:t>
            </w:r>
            <w:r w:rsidRPr="00497874">
              <w:rPr>
                <w:rFonts w:ascii="Calibri" w:eastAsia="Calibri" w:hAnsi="Calibri" w:cs="Calibri"/>
                <w:spacing w:val="-1"/>
                <w:szCs w:val="22"/>
                <w:lang w:val="fr-FR"/>
              </w:rPr>
              <w:t>n</w:t>
            </w:r>
            <w:r w:rsidRPr="00497874">
              <w:rPr>
                <w:rFonts w:ascii="Calibri" w:eastAsia="Calibri" w:hAnsi="Calibri" w:cs="Calibri"/>
                <w:szCs w:val="22"/>
                <w:lang w:val="fr-FR"/>
              </w:rPr>
              <w:t>t</w:t>
            </w:r>
            <w:r w:rsidR="00C57943">
              <w:rPr>
                <w:rFonts w:ascii="Calibri" w:eastAsia="Calibri" w:hAnsi="Calibri" w:cs="Calibri"/>
                <w:szCs w:val="22"/>
                <w:lang w:val="fr-FR"/>
              </w:rPr>
              <w:t xml:space="preserve"> </w:t>
            </w:r>
            <w:r w:rsidRPr="00497874">
              <w:rPr>
                <w:rFonts w:ascii="Calibri" w:eastAsia="Calibri" w:hAnsi="Calibri" w:cs="Calibri"/>
                <w:spacing w:val="-1"/>
                <w:szCs w:val="22"/>
                <w:lang w:val="fr-FR"/>
              </w:rPr>
              <w:t>b</w:t>
            </w:r>
            <w:r w:rsidRPr="00497874">
              <w:rPr>
                <w:rFonts w:ascii="Calibri" w:eastAsia="Calibri" w:hAnsi="Calibri" w:cs="Calibri"/>
                <w:szCs w:val="22"/>
                <w:lang w:val="fr-FR"/>
              </w:rPr>
              <w:t>é</w:t>
            </w:r>
            <w:r w:rsidRPr="00497874">
              <w:rPr>
                <w:rFonts w:ascii="Calibri" w:eastAsia="Calibri" w:hAnsi="Calibri" w:cs="Calibri"/>
                <w:spacing w:val="-3"/>
                <w:szCs w:val="22"/>
                <w:lang w:val="fr-FR"/>
              </w:rPr>
              <w:t>n</w:t>
            </w:r>
            <w:r w:rsidRPr="00497874">
              <w:rPr>
                <w:rFonts w:ascii="Calibri" w:eastAsia="Calibri" w:hAnsi="Calibri" w:cs="Calibri"/>
                <w:szCs w:val="22"/>
                <w:lang w:val="fr-FR"/>
              </w:rPr>
              <w:t>éficié</w:t>
            </w:r>
            <w:r w:rsidR="00C57943">
              <w:rPr>
                <w:rFonts w:ascii="Calibri" w:eastAsia="Calibri" w:hAnsi="Calibri" w:cs="Calibri"/>
                <w:szCs w:val="22"/>
                <w:lang w:val="fr-FR"/>
              </w:rPr>
              <w:t xml:space="preserve"> </w:t>
            </w:r>
            <w:r w:rsidRPr="00497874">
              <w:rPr>
                <w:rFonts w:ascii="Calibri" w:eastAsia="Calibri" w:hAnsi="Calibri" w:cs="Calibri"/>
                <w:spacing w:val="-1"/>
                <w:szCs w:val="22"/>
                <w:lang w:val="fr-FR"/>
              </w:rPr>
              <w:t>d</w:t>
            </w:r>
            <w:r w:rsidRPr="00497874">
              <w:rPr>
                <w:rFonts w:ascii="Calibri" w:eastAsia="Calibri" w:hAnsi="Calibri" w:cs="Calibri"/>
                <w:szCs w:val="22"/>
                <w:lang w:val="fr-FR"/>
              </w:rPr>
              <w:t>’</w:t>
            </w:r>
            <w:r w:rsidRPr="00497874">
              <w:rPr>
                <w:rFonts w:ascii="Calibri" w:eastAsia="Calibri" w:hAnsi="Calibri" w:cs="Calibri"/>
                <w:spacing w:val="-1"/>
                <w:szCs w:val="22"/>
                <w:lang w:val="fr-FR"/>
              </w:rPr>
              <w:t>u</w:t>
            </w:r>
            <w:r w:rsidRPr="00497874">
              <w:rPr>
                <w:rFonts w:ascii="Calibri" w:eastAsia="Calibri" w:hAnsi="Calibri" w:cs="Calibri"/>
                <w:szCs w:val="22"/>
                <w:lang w:val="fr-FR"/>
              </w:rPr>
              <w:t>n</w:t>
            </w:r>
            <w:r w:rsidRPr="00497874">
              <w:rPr>
                <w:rFonts w:ascii="Calibri" w:eastAsia="Calibri" w:hAnsi="Calibri" w:cs="Calibri"/>
                <w:spacing w:val="-2"/>
                <w:szCs w:val="22"/>
                <w:lang w:val="fr-FR"/>
              </w:rPr>
              <w:t xml:space="preserve"> t</w:t>
            </w:r>
            <w:r w:rsidRPr="00497874">
              <w:rPr>
                <w:rFonts w:ascii="Calibri" w:eastAsia="Calibri" w:hAnsi="Calibri" w:cs="Calibri"/>
                <w:szCs w:val="22"/>
                <w:lang w:val="fr-FR"/>
              </w:rPr>
              <w:t>est</w:t>
            </w:r>
            <w:r w:rsidR="00C57943">
              <w:rPr>
                <w:rFonts w:ascii="Calibri" w:eastAsia="Calibri" w:hAnsi="Calibri" w:cs="Calibri"/>
                <w:szCs w:val="22"/>
                <w:lang w:val="fr-FR"/>
              </w:rPr>
              <w:t xml:space="preserve"> </w:t>
            </w:r>
            <w:r w:rsidRPr="00497874">
              <w:rPr>
                <w:rFonts w:ascii="Calibri" w:eastAsia="Calibri" w:hAnsi="Calibri" w:cs="Calibri"/>
                <w:szCs w:val="22"/>
                <w:lang w:val="fr-FR"/>
              </w:rPr>
              <w:t>de</w:t>
            </w:r>
            <w:r w:rsidR="00C57943">
              <w:rPr>
                <w:rFonts w:ascii="Calibri" w:eastAsia="Calibri" w:hAnsi="Calibri" w:cs="Calibri"/>
                <w:szCs w:val="22"/>
                <w:lang w:val="fr-FR"/>
              </w:rPr>
              <w:t xml:space="preserve"> </w:t>
            </w:r>
            <w:r w:rsidRPr="00497874">
              <w:rPr>
                <w:rFonts w:ascii="Calibri" w:eastAsia="Calibri" w:hAnsi="Calibri" w:cs="Calibri"/>
                <w:szCs w:val="22"/>
                <w:lang w:val="fr-FR"/>
              </w:rPr>
              <w:t>dép</w:t>
            </w:r>
            <w:r w:rsidRPr="00497874">
              <w:rPr>
                <w:rFonts w:ascii="Calibri" w:eastAsia="Calibri" w:hAnsi="Calibri" w:cs="Calibri"/>
                <w:spacing w:val="-1"/>
                <w:szCs w:val="22"/>
                <w:lang w:val="fr-FR"/>
              </w:rPr>
              <w:t>i</w:t>
            </w:r>
            <w:r w:rsidRPr="00497874">
              <w:rPr>
                <w:rFonts w:ascii="Calibri" w:eastAsia="Calibri" w:hAnsi="Calibri" w:cs="Calibri"/>
                <w:szCs w:val="22"/>
                <w:lang w:val="fr-FR"/>
              </w:rPr>
              <w:t>stage</w:t>
            </w:r>
            <w:r w:rsidR="00C57943">
              <w:rPr>
                <w:rFonts w:ascii="Calibri" w:eastAsia="Calibri" w:hAnsi="Calibri" w:cs="Calibri"/>
                <w:szCs w:val="22"/>
                <w:lang w:val="fr-FR"/>
              </w:rPr>
              <w:t xml:space="preserve"> </w:t>
            </w:r>
            <w:r w:rsidRPr="00497874">
              <w:rPr>
                <w:rFonts w:ascii="Calibri" w:eastAsia="Calibri" w:hAnsi="Calibri" w:cs="Calibri"/>
                <w:szCs w:val="22"/>
                <w:lang w:val="fr-FR"/>
              </w:rPr>
              <w:t>du</w:t>
            </w:r>
            <w:r w:rsidR="00C57943">
              <w:rPr>
                <w:rFonts w:ascii="Calibri" w:eastAsia="Calibri" w:hAnsi="Calibri" w:cs="Calibri"/>
                <w:szCs w:val="22"/>
                <w:lang w:val="fr-FR"/>
              </w:rPr>
              <w:t xml:space="preserve"> </w:t>
            </w:r>
            <w:r w:rsidRPr="00497874">
              <w:rPr>
                <w:rFonts w:ascii="Calibri" w:eastAsia="Calibri" w:hAnsi="Calibri" w:cs="Calibri"/>
                <w:szCs w:val="22"/>
                <w:lang w:val="fr-FR"/>
              </w:rPr>
              <w:t>VIH</w:t>
            </w:r>
          </w:p>
        </w:tc>
        <w:tc>
          <w:tcPr>
            <w:tcW w:w="1452"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rsidRPr="00345CCB">
              <w:t>131 598</w:t>
            </w:r>
            <w:r>
              <w:t xml:space="preserve"> (59%)</w:t>
            </w:r>
          </w:p>
        </w:tc>
        <w:tc>
          <w:tcPr>
            <w:tcW w:w="1698" w:type="dxa"/>
            <w:tcBorders>
              <w:top w:val="single" w:sz="5" w:space="0" w:color="000000"/>
              <w:left w:val="single" w:sz="5" w:space="0" w:color="000000"/>
              <w:bottom w:val="single" w:sz="5" w:space="0" w:color="000000"/>
              <w:right w:val="single" w:sz="5" w:space="0" w:color="000000"/>
            </w:tcBorders>
            <w:vAlign w:val="center"/>
          </w:tcPr>
          <w:p w:rsidR="00DC5ACA" w:rsidRPr="008F2386" w:rsidRDefault="00DC5ACA" w:rsidP="00ED18BA">
            <w:pPr>
              <w:tabs>
                <w:tab w:val="left" w:pos="5580"/>
                <w:tab w:val="left" w:pos="6840"/>
              </w:tabs>
              <w:jc w:val="center"/>
              <w:rPr>
                <w:sz w:val="18"/>
                <w:szCs w:val="18"/>
              </w:rPr>
            </w:pPr>
            <w:r w:rsidRPr="008F2386">
              <w:rPr>
                <w:sz w:val="18"/>
                <w:szCs w:val="18"/>
              </w:rPr>
              <w:t>183061 (66%)</w:t>
            </w:r>
          </w:p>
          <w:p w:rsidR="00DC5ACA" w:rsidRPr="008F2386" w:rsidRDefault="00DC5ACA" w:rsidP="00ED18BA">
            <w:pPr>
              <w:tabs>
                <w:tab w:val="left" w:pos="5580"/>
                <w:tab w:val="left" w:pos="6840"/>
              </w:tabs>
              <w:jc w:val="center"/>
              <w:rPr>
                <w:sz w:val="18"/>
                <w:szCs w:val="18"/>
              </w:rPr>
            </w:pPr>
            <w:r w:rsidRPr="008F2386">
              <w:rPr>
                <w:sz w:val="18"/>
                <w:szCs w:val="18"/>
              </w:rPr>
              <w:t>37% FE attendues</w:t>
            </w:r>
          </w:p>
        </w:tc>
      </w:tr>
      <w:tr w:rsidR="00DC5ACA" w:rsidTr="00ED18BA">
        <w:trPr>
          <w:trHeight w:hRule="exact" w:val="723"/>
        </w:trPr>
        <w:tc>
          <w:tcPr>
            <w:tcW w:w="5310" w:type="dxa"/>
            <w:tcBorders>
              <w:top w:val="single" w:sz="5" w:space="0" w:color="000000"/>
              <w:left w:val="single" w:sz="5" w:space="0" w:color="000000"/>
              <w:bottom w:val="single" w:sz="5" w:space="0" w:color="000000"/>
              <w:right w:val="single" w:sz="5" w:space="0" w:color="000000"/>
            </w:tcBorders>
            <w:vAlign w:val="center"/>
          </w:tcPr>
          <w:p w:rsidR="00DC5ACA" w:rsidRPr="00497874" w:rsidRDefault="00DC5ACA" w:rsidP="00ED18BA">
            <w:pPr>
              <w:spacing w:before="10"/>
              <w:ind w:left="64"/>
              <w:rPr>
                <w:rFonts w:ascii="Calibri" w:eastAsia="Calibri" w:hAnsi="Calibri" w:cs="Calibri"/>
                <w:lang w:val="fr-FR"/>
              </w:rPr>
            </w:pPr>
            <w:r w:rsidRPr="00497874">
              <w:rPr>
                <w:rFonts w:ascii="Calibri" w:eastAsia="Calibri" w:hAnsi="Calibri" w:cs="Calibri"/>
                <w:spacing w:val="-1"/>
                <w:szCs w:val="22"/>
                <w:lang w:val="fr-FR"/>
              </w:rPr>
              <w:t>N</w:t>
            </w:r>
            <w:r w:rsidRPr="00497874">
              <w:rPr>
                <w:rFonts w:ascii="Calibri" w:eastAsia="Calibri" w:hAnsi="Calibri" w:cs="Calibri"/>
                <w:spacing w:val="1"/>
                <w:szCs w:val="22"/>
                <w:lang w:val="fr-FR"/>
              </w:rPr>
              <w:t>om</w:t>
            </w:r>
            <w:r w:rsidRPr="00497874">
              <w:rPr>
                <w:rFonts w:ascii="Calibri" w:eastAsia="Calibri" w:hAnsi="Calibri" w:cs="Calibri"/>
                <w:spacing w:val="-1"/>
                <w:szCs w:val="22"/>
                <w:lang w:val="fr-FR"/>
              </w:rPr>
              <w:t>b</w:t>
            </w:r>
            <w:r w:rsidRPr="00497874">
              <w:rPr>
                <w:rFonts w:ascii="Calibri" w:eastAsia="Calibri" w:hAnsi="Calibri" w:cs="Calibri"/>
                <w:spacing w:val="-3"/>
                <w:szCs w:val="22"/>
                <w:lang w:val="fr-FR"/>
              </w:rPr>
              <w:t>r</w:t>
            </w:r>
            <w:r w:rsidRPr="00497874">
              <w:rPr>
                <w:rFonts w:ascii="Calibri" w:eastAsia="Calibri" w:hAnsi="Calibri" w:cs="Calibri"/>
                <w:szCs w:val="22"/>
                <w:lang w:val="fr-FR"/>
              </w:rPr>
              <w:t>e</w:t>
            </w:r>
            <w:r w:rsidRPr="00497874">
              <w:rPr>
                <w:rFonts w:ascii="Calibri" w:eastAsia="Calibri" w:hAnsi="Calibri" w:cs="Calibri"/>
                <w:spacing w:val="-1"/>
                <w:szCs w:val="22"/>
                <w:lang w:val="fr-FR"/>
              </w:rPr>
              <w:t>d</w:t>
            </w:r>
            <w:r w:rsidRPr="00497874">
              <w:rPr>
                <w:rFonts w:ascii="Calibri" w:eastAsia="Calibri" w:hAnsi="Calibri" w:cs="Calibri"/>
                <w:szCs w:val="22"/>
                <w:lang w:val="fr-FR"/>
              </w:rPr>
              <w:t>e</w:t>
            </w:r>
            <w:r w:rsidRPr="00497874">
              <w:rPr>
                <w:rFonts w:ascii="Calibri" w:eastAsia="Calibri" w:hAnsi="Calibri" w:cs="Calibri"/>
                <w:spacing w:val="-3"/>
                <w:szCs w:val="22"/>
                <w:lang w:val="fr-FR"/>
              </w:rPr>
              <w:t>f</w:t>
            </w:r>
            <w:r w:rsidRPr="00497874">
              <w:rPr>
                <w:rFonts w:ascii="Calibri" w:eastAsia="Calibri" w:hAnsi="Calibri" w:cs="Calibri"/>
                <w:szCs w:val="22"/>
                <w:lang w:val="fr-FR"/>
              </w:rPr>
              <w:t>e</w:t>
            </w:r>
            <w:r w:rsidRPr="00497874">
              <w:rPr>
                <w:rFonts w:ascii="Calibri" w:eastAsia="Calibri" w:hAnsi="Calibri" w:cs="Calibri"/>
                <w:spacing w:val="-1"/>
                <w:szCs w:val="22"/>
                <w:lang w:val="fr-FR"/>
              </w:rPr>
              <w:t>mm</w:t>
            </w:r>
            <w:r w:rsidRPr="00497874">
              <w:rPr>
                <w:rFonts w:ascii="Calibri" w:eastAsia="Calibri" w:hAnsi="Calibri" w:cs="Calibri"/>
                <w:szCs w:val="22"/>
                <w:lang w:val="fr-FR"/>
              </w:rPr>
              <w:t>esen</w:t>
            </w:r>
            <w:r w:rsidRPr="00497874">
              <w:rPr>
                <w:rFonts w:ascii="Calibri" w:eastAsia="Calibri" w:hAnsi="Calibri" w:cs="Calibri"/>
                <w:spacing w:val="-2"/>
                <w:szCs w:val="22"/>
                <w:lang w:val="fr-FR"/>
              </w:rPr>
              <w:t>c</w:t>
            </w:r>
            <w:r w:rsidRPr="00497874">
              <w:rPr>
                <w:rFonts w:ascii="Calibri" w:eastAsia="Calibri" w:hAnsi="Calibri" w:cs="Calibri"/>
                <w:szCs w:val="22"/>
                <w:lang w:val="fr-FR"/>
              </w:rPr>
              <w:t>ei</w:t>
            </w:r>
            <w:r w:rsidRPr="00497874">
              <w:rPr>
                <w:rFonts w:ascii="Calibri" w:eastAsia="Calibri" w:hAnsi="Calibri" w:cs="Calibri"/>
                <w:spacing w:val="-3"/>
                <w:szCs w:val="22"/>
                <w:lang w:val="fr-FR"/>
              </w:rPr>
              <w:t>n</w:t>
            </w:r>
            <w:r w:rsidRPr="00497874">
              <w:rPr>
                <w:rFonts w:ascii="Calibri" w:eastAsia="Calibri" w:hAnsi="Calibri" w:cs="Calibri"/>
                <w:szCs w:val="22"/>
                <w:lang w:val="fr-FR"/>
              </w:rPr>
              <w:t>t</w:t>
            </w:r>
            <w:r w:rsidRPr="00497874">
              <w:rPr>
                <w:rFonts w:ascii="Calibri" w:eastAsia="Calibri" w:hAnsi="Calibri" w:cs="Calibri"/>
                <w:spacing w:val="1"/>
                <w:szCs w:val="22"/>
                <w:lang w:val="fr-FR"/>
              </w:rPr>
              <w:t>e</w:t>
            </w:r>
            <w:r w:rsidRPr="00497874">
              <w:rPr>
                <w:rFonts w:ascii="Calibri" w:eastAsia="Calibri" w:hAnsi="Calibri" w:cs="Calibri"/>
                <w:szCs w:val="22"/>
                <w:lang w:val="fr-FR"/>
              </w:rPr>
              <w:t>s q</w:t>
            </w:r>
            <w:r w:rsidRPr="00497874">
              <w:rPr>
                <w:rFonts w:ascii="Calibri" w:eastAsia="Calibri" w:hAnsi="Calibri" w:cs="Calibri"/>
                <w:spacing w:val="-1"/>
                <w:szCs w:val="22"/>
                <w:lang w:val="fr-FR"/>
              </w:rPr>
              <w:t>u</w:t>
            </w:r>
            <w:r w:rsidRPr="00497874">
              <w:rPr>
                <w:rFonts w:ascii="Calibri" w:eastAsia="Calibri" w:hAnsi="Calibri" w:cs="Calibri"/>
                <w:szCs w:val="22"/>
                <w:lang w:val="fr-FR"/>
              </w:rPr>
              <w:t>i</w:t>
            </w:r>
            <w:r w:rsidRPr="00497874">
              <w:rPr>
                <w:rFonts w:ascii="Calibri" w:eastAsia="Calibri" w:hAnsi="Calibri" w:cs="Calibri"/>
                <w:spacing w:val="1"/>
                <w:szCs w:val="22"/>
                <w:lang w:val="fr-FR"/>
              </w:rPr>
              <w:t>o</w:t>
            </w:r>
            <w:r w:rsidRPr="00497874">
              <w:rPr>
                <w:rFonts w:ascii="Calibri" w:eastAsia="Calibri" w:hAnsi="Calibri" w:cs="Calibri"/>
                <w:spacing w:val="-1"/>
                <w:szCs w:val="22"/>
                <w:lang w:val="fr-FR"/>
              </w:rPr>
              <w:t>n</w:t>
            </w:r>
            <w:r w:rsidRPr="00497874">
              <w:rPr>
                <w:rFonts w:ascii="Calibri" w:eastAsia="Calibri" w:hAnsi="Calibri" w:cs="Calibri"/>
                <w:szCs w:val="22"/>
                <w:lang w:val="fr-FR"/>
              </w:rPr>
              <w:t>t</w:t>
            </w:r>
            <w:r w:rsidRPr="00497874">
              <w:rPr>
                <w:rFonts w:ascii="Calibri" w:eastAsia="Calibri" w:hAnsi="Calibri" w:cs="Calibri"/>
                <w:spacing w:val="-1"/>
                <w:szCs w:val="22"/>
                <w:lang w:val="fr-FR"/>
              </w:rPr>
              <w:t>b</w:t>
            </w:r>
            <w:r w:rsidRPr="00497874">
              <w:rPr>
                <w:rFonts w:ascii="Calibri" w:eastAsia="Calibri" w:hAnsi="Calibri" w:cs="Calibri"/>
                <w:szCs w:val="22"/>
                <w:lang w:val="fr-FR"/>
              </w:rPr>
              <w:t>é</w:t>
            </w:r>
            <w:r w:rsidRPr="00497874">
              <w:rPr>
                <w:rFonts w:ascii="Calibri" w:eastAsia="Calibri" w:hAnsi="Calibri" w:cs="Calibri"/>
                <w:spacing w:val="-3"/>
                <w:szCs w:val="22"/>
                <w:lang w:val="fr-FR"/>
              </w:rPr>
              <w:t>n</w:t>
            </w:r>
            <w:r w:rsidRPr="00497874">
              <w:rPr>
                <w:rFonts w:ascii="Calibri" w:eastAsia="Calibri" w:hAnsi="Calibri" w:cs="Calibri"/>
                <w:szCs w:val="22"/>
                <w:lang w:val="fr-FR"/>
              </w:rPr>
              <w:t>éficié</w:t>
            </w:r>
            <w:r w:rsidRPr="00497874">
              <w:rPr>
                <w:rFonts w:ascii="Calibri" w:eastAsia="Calibri" w:hAnsi="Calibri" w:cs="Calibri"/>
                <w:spacing w:val="-1"/>
                <w:szCs w:val="22"/>
                <w:lang w:val="fr-FR"/>
              </w:rPr>
              <w:t>d</w:t>
            </w:r>
            <w:r w:rsidRPr="00497874">
              <w:rPr>
                <w:rFonts w:ascii="Calibri" w:eastAsia="Calibri" w:hAnsi="Calibri" w:cs="Calibri"/>
                <w:szCs w:val="22"/>
                <w:lang w:val="fr-FR"/>
              </w:rPr>
              <w:t>’</w:t>
            </w:r>
            <w:r w:rsidRPr="00497874">
              <w:rPr>
                <w:rFonts w:ascii="Calibri" w:eastAsia="Calibri" w:hAnsi="Calibri" w:cs="Calibri"/>
                <w:spacing w:val="-1"/>
                <w:szCs w:val="22"/>
                <w:lang w:val="fr-FR"/>
              </w:rPr>
              <w:t>u</w:t>
            </w:r>
            <w:r w:rsidRPr="00497874">
              <w:rPr>
                <w:rFonts w:ascii="Calibri" w:eastAsia="Calibri" w:hAnsi="Calibri" w:cs="Calibri"/>
                <w:szCs w:val="22"/>
                <w:lang w:val="fr-FR"/>
              </w:rPr>
              <w:t>n</w:t>
            </w:r>
            <w:r w:rsidRPr="00497874">
              <w:rPr>
                <w:rFonts w:ascii="Calibri" w:eastAsia="Calibri" w:hAnsi="Calibri" w:cs="Calibri"/>
                <w:spacing w:val="-2"/>
                <w:szCs w:val="22"/>
                <w:lang w:val="fr-FR"/>
              </w:rPr>
              <w:t xml:space="preserve"> t</w:t>
            </w:r>
            <w:r w:rsidRPr="00497874">
              <w:rPr>
                <w:rFonts w:ascii="Calibri" w:eastAsia="Calibri" w:hAnsi="Calibri" w:cs="Calibri"/>
                <w:szCs w:val="22"/>
                <w:lang w:val="fr-FR"/>
              </w:rPr>
              <w:t>estdedép</w:t>
            </w:r>
            <w:r w:rsidRPr="00497874">
              <w:rPr>
                <w:rFonts w:ascii="Calibri" w:eastAsia="Calibri" w:hAnsi="Calibri" w:cs="Calibri"/>
                <w:spacing w:val="-1"/>
                <w:szCs w:val="22"/>
                <w:lang w:val="fr-FR"/>
              </w:rPr>
              <w:t>i</w:t>
            </w:r>
            <w:r w:rsidRPr="00497874">
              <w:rPr>
                <w:rFonts w:ascii="Calibri" w:eastAsia="Calibri" w:hAnsi="Calibri" w:cs="Calibri"/>
                <w:szCs w:val="22"/>
                <w:lang w:val="fr-FR"/>
              </w:rPr>
              <w:t>stageduVIHetq</w:t>
            </w:r>
            <w:r w:rsidRPr="00497874">
              <w:rPr>
                <w:rFonts w:ascii="Calibri" w:eastAsia="Calibri" w:hAnsi="Calibri" w:cs="Calibri"/>
                <w:spacing w:val="-1"/>
                <w:szCs w:val="22"/>
                <w:lang w:val="fr-FR"/>
              </w:rPr>
              <w:t>u</w:t>
            </w:r>
            <w:r w:rsidRPr="00497874">
              <w:rPr>
                <w:rFonts w:ascii="Calibri" w:eastAsia="Calibri" w:hAnsi="Calibri" w:cs="Calibri"/>
                <w:szCs w:val="22"/>
                <w:lang w:val="fr-FR"/>
              </w:rPr>
              <w:t>i</w:t>
            </w:r>
            <w:r w:rsidRPr="00497874">
              <w:rPr>
                <w:rFonts w:ascii="Calibri" w:eastAsia="Calibri" w:hAnsi="Calibri" w:cs="Calibri"/>
                <w:spacing w:val="1"/>
                <w:szCs w:val="22"/>
                <w:lang w:val="fr-FR"/>
              </w:rPr>
              <w:t>o</w:t>
            </w:r>
            <w:r w:rsidRPr="00497874">
              <w:rPr>
                <w:rFonts w:ascii="Calibri" w:eastAsia="Calibri" w:hAnsi="Calibri" w:cs="Calibri"/>
                <w:spacing w:val="-1"/>
                <w:szCs w:val="22"/>
                <w:lang w:val="fr-FR"/>
              </w:rPr>
              <w:t>n</w:t>
            </w:r>
            <w:r w:rsidRPr="00497874">
              <w:rPr>
                <w:rFonts w:ascii="Calibri" w:eastAsia="Calibri" w:hAnsi="Calibri" w:cs="Calibri"/>
                <w:szCs w:val="22"/>
                <w:lang w:val="fr-FR"/>
              </w:rPr>
              <w:t>tr</w:t>
            </w:r>
            <w:r w:rsidRPr="00497874">
              <w:rPr>
                <w:rFonts w:ascii="Calibri" w:eastAsia="Calibri" w:hAnsi="Calibri" w:cs="Calibri"/>
                <w:spacing w:val="-2"/>
                <w:szCs w:val="22"/>
                <w:lang w:val="fr-FR"/>
              </w:rPr>
              <w:t>e</w:t>
            </w:r>
            <w:r w:rsidRPr="00497874">
              <w:rPr>
                <w:rFonts w:ascii="Calibri" w:eastAsia="Calibri" w:hAnsi="Calibri" w:cs="Calibri"/>
                <w:szCs w:val="22"/>
                <w:lang w:val="fr-FR"/>
              </w:rPr>
              <w:t>tiré</w:t>
            </w:r>
            <w:r w:rsidRPr="00497874">
              <w:rPr>
                <w:rFonts w:ascii="Calibri" w:eastAsia="Calibri" w:hAnsi="Calibri" w:cs="Calibri"/>
                <w:spacing w:val="-3"/>
                <w:szCs w:val="22"/>
                <w:lang w:val="fr-FR"/>
              </w:rPr>
              <w:t>l</w:t>
            </w:r>
            <w:r w:rsidRPr="00497874">
              <w:rPr>
                <w:rFonts w:ascii="Calibri" w:eastAsia="Calibri" w:hAnsi="Calibri" w:cs="Calibri"/>
                <w:szCs w:val="22"/>
                <w:lang w:val="fr-FR"/>
              </w:rPr>
              <w:t>eur résu</w:t>
            </w:r>
            <w:r w:rsidRPr="00497874">
              <w:rPr>
                <w:rFonts w:ascii="Calibri" w:eastAsia="Calibri" w:hAnsi="Calibri" w:cs="Calibri"/>
                <w:spacing w:val="-1"/>
                <w:szCs w:val="22"/>
                <w:lang w:val="fr-FR"/>
              </w:rPr>
              <w:t>l</w:t>
            </w:r>
            <w:r w:rsidRPr="00497874">
              <w:rPr>
                <w:rFonts w:ascii="Calibri" w:eastAsia="Calibri" w:hAnsi="Calibri" w:cs="Calibri"/>
                <w:spacing w:val="-2"/>
                <w:szCs w:val="22"/>
                <w:lang w:val="fr-FR"/>
              </w:rPr>
              <w:t>t</w:t>
            </w:r>
            <w:r w:rsidRPr="00497874">
              <w:rPr>
                <w:rFonts w:ascii="Calibri" w:eastAsia="Calibri" w:hAnsi="Calibri" w:cs="Calibri"/>
                <w:szCs w:val="22"/>
                <w:lang w:val="fr-FR"/>
              </w:rPr>
              <w:t>at</w:t>
            </w:r>
          </w:p>
        </w:tc>
        <w:tc>
          <w:tcPr>
            <w:tcW w:w="1452"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rsidRPr="00345CCB">
              <w:t>129 054</w:t>
            </w:r>
          </w:p>
        </w:tc>
        <w:tc>
          <w:tcPr>
            <w:tcW w:w="1698" w:type="dxa"/>
            <w:tcBorders>
              <w:top w:val="single" w:sz="5" w:space="0" w:color="000000"/>
              <w:left w:val="single" w:sz="5" w:space="0" w:color="000000"/>
              <w:bottom w:val="single" w:sz="5" w:space="0" w:color="000000"/>
              <w:right w:val="single" w:sz="5" w:space="0" w:color="000000"/>
            </w:tcBorders>
            <w:vAlign w:val="center"/>
          </w:tcPr>
          <w:p w:rsidR="00DC5ACA" w:rsidRPr="008F2386" w:rsidRDefault="00DC5ACA" w:rsidP="00ED18BA">
            <w:pPr>
              <w:tabs>
                <w:tab w:val="left" w:pos="5580"/>
                <w:tab w:val="left" w:pos="6840"/>
              </w:tabs>
              <w:jc w:val="center"/>
              <w:rPr>
                <w:sz w:val="18"/>
                <w:szCs w:val="18"/>
              </w:rPr>
            </w:pPr>
          </w:p>
          <w:p w:rsidR="00DC5ACA" w:rsidRPr="008F2386" w:rsidRDefault="00DC5ACA" w:rsidP="00ED18BA">
            <w:pPr>
              <w:tabs>
                <w:tab w:val="left" w:pos="5580"/>
                <w:tab w:val="left" w:pos="6840"/>
              </w:tabs>
              <w:jc w:val="center"/>
              <w:rPr>
                <w:sz w:val="18"/>
                <w:szCs w:val="18"/>
              </w:rPr>
            </w:pPr>
            <w:r w:rsidRPr="008F2386">
              <w:rPr>
                <w:sz w:val="18"/>
                <w:szCs w:val="18"/>
              </w:rPr>
              <w:t>ND</w:t>
            </w:r>
          </w:p>
          <w:p w:rsidR="00DC5ACA" w:rsidRPr="008F2386" w:rsidRDefault="00DC5ACA" w:rsidP="00ED18BA">
            <w:pPr>
              <w:tabs>
                <w:tab w:val="left" w:pos="5580"/>
                <w:tab w:val="left" w:pos="6840"/>
              </w:tabs>
              <w:jc w:val="center"/>
              <w:rPr>
                <w:sz w:val="18"/>
                <w:szCs w:val="18"/>
              </w:rPr>
            </w:pPr>
          </w:p>
          <w:p w:rsidR="00DC5ACA" w:rsidRPr="008F2386" w:rsidRDefault="00DC5ACA" w:rsidP="00ED18BA">
            <w:pPr>
              <w:tabs>
                <w:tab w:val="left" w:pos="5580"/>
                <w:tab w:val="left" w:pos="6840"/>
              </w:tabs>
              <w:jc w:val="center"/>
              <w:rPr>
                <w:sz w:val="18"/>
                <w:szCs w:val="18"/>
              </w:rPr>
            </w:pPr>
          </w:p>
          <w:p w:rsidR="00DC5ACA" w:rsidRPr="008F2386" w:rsidRDefault="00DC5ACA" w:rsidP="00ED18BA">
            <w:pPr>
              <w:tabs>
                <w:tab w:val="left" w:pos="5580"/>
                <w:tab w:val="left" w:pos="6840"/>
              </w:tabs>
              <w:jc w:val="center"/>
              <w:rPr>
                <w:sz w:val="18"/>
                <w:szCs w:val="18"/>
              </w:rPr>
            </w:pPr>
          </w:p>
        </w:tc>
      </w:tr>
      <w:tr w:rsidR="00DC5ACA" w:rsidTr="00ED18BA">
        <w:trPr>
          <w:trHeight w:hRule="exact" w:val="286"/>
        </w:trPr>
        <w:tc>
          <w:tcPr>
            <w:tcW w:w="5310" w:type="dxa"/>
            <w:tcBorders>
              <w:top w:val="single" w:sz="5" w:space="0" w:color="000000"/>
              <w:left w:val="single" w:sz="5" w:space="0" w:color="000000"/>
              <w:bottom w:val="single" w:sz="5" w:space="0" w:color="000000"/>
              <w:right w:val="single" w:sz="5" w:space="0" w:color="000000"/>
            </w:tcBorders>
            <w:vAlign w:val="center"/>
          </w:tcPr>
          <w:p w:rsidR="00DC5ACA" w:rsidRDefault="00DC5ACA" w:rsidP="00ED18BA">
            <w:pPr>
              <w:ind w:left="64"/>
              <w:rPr>
                <w:rFonts w:ascii="Calibri" w:eastAsia="Calibri" w:hAnsi="Calibri" w:cs="Calibri"/>
              </w:rPr>
            </w:pPr>
            <w:r>
              <w:rPr>
                <w:rFonts w:ascii="Calibri" w:eastAsia="Calibri" w:hAnsi="Calibri" w:cs="Calibri"/>
                <w:szCs w:val="22"/>
              </w:rPr>
              <w:t>Fe</w:t>
            </w:r>
            <w:r>
              <w:rPr>
                <w:rFonts w:ascii="Calibri" w:eastAsia="Calibri" w:hAnsi="Calibri" w:cs="Calibri"/>
                <w:spacing w:val="-1"/>
                <w:szCs w:val="22"/>
              </w:rPr>
              <w:t>m</w:t>
            </w:r>
            <w:r>
              <w:rPr>
                <w:rFonts w:ascii="Calibri" w:eastAsia="Calibri" w:hAnsi="Calibri" w:cs="Calibri"/>
                <w:spacing w:val="1"/>
                <w:szCs w:val="22"/>
              </w:rPr>
              <w:t>m</w:t>
            </w:r>
            <w:r>
              <w:rPr>
                <w:rFonts w:ascii="Calibri" w:eastAsia="Calibri" w:hAnsi="Calibri" w:cs="Calibri"/>
                <w:szCs w:val="22"/>
              </w:rPr>
              <w:t>es</w:t>
            </w:r>
            <w:r>
              <w:rPr>
                <w:rFonts w:ascii="Calibri" w:eastAsia="Calibri" w:hAnsi="Calibri" w:cs="Calibri"/>
                <w:spacing w:val="1"/>
                <w:szCs w:val="22"/>
              </w:rPr>
              <w:t>e</w:t>
            </w:r>
            <w:r>
              <w:rPr>
                <w:rFonts w:ascii="Calibri" w:eastAsia="Calibri" w:hAnsi="Calibri" w:cs="Calibri"/>
                <w:spacing w:val="-1"/>
                <w:szCs w:val="22"/>
              </w:rPr>
              <w:t>n</w:t>
            </w:r>
            <w:r>
              <w:rPr>
                <w:rFonts w:ascii="Calibri" w:eastAsia="Calibri" w:hAnsi="Calibri" w:cs="Calibri"/>
                <w:szCs w:val="22"/>
              </w:rPr>
              <w:t>cei</w:t>
            </w:r>
            <w:r>
              <w:rPr>
                <w:rFonts w:ascii="Calibri" w:eastAsia="Calibri" w:hAnsi="Calibri" w:cs="Calibri"/>
                <w:spacing w:val="-3"/>
                <w:szCs w:val="22"/>
              </w:rPr>
              <w:t>n</w:t>
            </w:r>
            <w:r>
              <w:rPr>
                <w:rFonts w:ascii="Calibri" w:eastAsia="Calibri" w:hAnsi="Calibri" w:cs="Calibri"/>
                <w:szCs w:val="22"/>
              </w:rPr>
              <w:t>t</w:t>
            </w:r>
            <w:r>
              <w:rPr>
                <w:rFonts w:ascii="Calibri" w:eastAsia="Calibri" w:hAnsi="Calibri" w:cs="Calibri"/>
                <w:spacing w:val="1"/>
                <w:szCs w:val="22"/>
              </w:rPr>
              <w:t>e</w:t>
            </w:r>
            <w:r>
              <w:rPr>
                <w:rFonts w:ascii="Calibri" w:eastAsia="Calibri" w:hAnsi="Calibri" w:cs="Calibri"/>
                <w:szCs w:val="22"/>
              </w:rPr>
              <w:t xml:space="preserve">s </w:t>
            </w:r>
            <w:r>
              <w:rPr>
                <w:rFonts w:ascii="Calibri" w:eastAsia="Calibri" w:hAnsi="Calibri" w:cs="Calibri"/>
                <w:spacing w:val="-2"/>
                <w:szCs w:val="22"/>
              </w:rPr>
              <w:t>s</w:t>
            </w:r>
            <w:r>
              <w:rPr>
                <w:rFonts w:ascii="Calibri" w:eastAsia="Calibri" w:hAnsi="Calibri" w:cs="Calibri"/>
                <w:szCs w:val="22"/>
              </w:rPr>
              <w:t>é</w:t>
            </w:r>
            <w:r>
              <w:rPr>
                <w:rFonts w:ascii="Calibri" w:eastAsia="Calibri" w:hAnsi="Calibri" w:cs="Calibri"/>
                <w:spacing w:val="-2"/>
                <w:szCs w:val="22"/>
              </w:rPr>
              <w:t>r</w:t>
            </w:r>
            <w:r>
              <w:rPr>
                <w:rFonts w:ascii="Calibri" w:eastAsia="Calibri" w:hAnsi="Calibri" w:cs="Calibri"/>
                <w:spacing w:val="1"/>
                <w:szCs w:val="22"/>
              </w:rPr>
              <w:t>o</w:t>
            </w:r>
            <w:r>
              <w:rPr>
                <w:rFonts w:ascii="Calibri" w:eastAsia="Calibri" w:hAnsi="Calibri" w:cs="Calibri"/>
                <w:spacing w:val="-1"/>
                <w:szCs w:val="22"/>
              </w:rPr>
              <w:t>p</w:t>
            </w:r>
            <w:r>
              <w:rPr>
                <w:rFonts w:ascii="Calibri" w:eastAsia="Calibri" w:hAnsi="Calibri" w:cs="Calibri"/>
                <w:spacing w:val="1"/>
                <w:szCs w:val="22"/>
              </w:rPr>
              <w:t>o</w:t>
            </w:r>
            <w:r>
              <w:rPr>
                <w:rFonts w:ascii="Calibri" w:eastAsia="Calibri" w:hAnsi="Calibri" w:cs="Calibri"/>
                <w:spacing w:val="-2"/>
                <w:szCs w:val="22"/>
              </w:rPr>
              <w:t>s</w:t>
            </w:r>
            <w:r>
              <w:rPr>
                <w:rFonts w:ascii="Calibri" w:eastAsia="Calibri" w:hAnsi="Calibri" w:cs="Calibri"/>
                <w:szCs w:val="22"/>
              </w:rPr>
              <w:t>iti</w:t>
            </w:r>
            <w:r>
              <w:rPr>
                <w:rFonts w:ascii="Calibri" w:eastAsia="Calibri" w:hAnsi="Calibri" w:cs="Calibri"/>
                <w:spacing w:val="1"/>
                <w:szCs w:val="22"/>
              </w:rPr>
              <w:t>v</w:t>
            </w:r>
            <w:r>
              <w:rPr>
                <w:rFonts w:ascii="Calibri" w:eastAsia="Calibri" w:hAnsi="Calibri" w:cs="Calibri"/>
                <w:szCs w:val="22"/>
              </w:rPr>
              <w:t>es</w:t>
            </w:r>
          </w:p>
        </w:tc>
        <w:tc>
          <w:tcPr>
            <w:tcW w:w="1452"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t>2</w:t>
            </w:r>
            <w:r w:rsidRPr="00345CCB">
              <w:t>013</w:t>
            </w:r>
          </w:p>
        </w:tc>
        <w:tc>
          <w:tcPr>
            <w:tcW w:w="1698"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t>2905</w:t>
            </w:r>
          </w:p>
        </w:tc>
      </w:tr>
      <w:tr w:rsidR="00DC5ACA" w:rsidTr="00ED18BA">
        <w:trPr>
          <w:trHeight w:hRule="exact" w:val="1056"/>
        </w:trPr>
        <w:tc>
          <w:tcPr>
            <w:tcW w:w="5310" w:type="dxa"/>
            <w:tcBorders>
              <w:top w:val="single" w:sz="5" w:space="0" w:color="000000"/>
              <w:left w:val="single" w:sz="5" w:space="0" w:color="000000"/>
              <w:bottom w:val="single" w:sz="5" w:space="0" w:color="000000"/>
              <w:right w:val="single" w:sz="5" w:space="0" w:color="000000"/>
            </w:tcBorders>
            <w:vAlign w:val="center"/>
          </w:tcPr>
          <w:p w:rsidR="00DC5ACA" w:rsidRPr="00497874" w:rsidRDefault="00DC5ACA" w:rsidP="00ED18BA">
            <w:pPr>
              <w:spacing w:before="82"/>
              <w:ind w:left="64" w:right="431"/>
              <w:rPr>
                <w:rFonts w:ascii="Calibri" w:eastAsia="Calibri" w:hAnsi="Calibri" w:cs="Calibri"/>
                <w:lang w:val="fr-FR"/>
              </w:rPr>
            </w:pPr>
            <w:r w:rsidRPr="00497874">
              <w:rPr>
                <w:rFonts w:ascii="Calibri" w:eastAsia="Calibri" w:hAnsi="Calibri" w:cs="Calibri"/>
                <w:spacing w:val="1"/>
                <w:szCs w:val="22"/>
                <w:lang w:val="fr-FR"/>
              </w:rPr>
              <w:t>Po</w:t>
            </w:r>
            <w:r w:rsidRPr="00497874">
              <w:rPr>
                <w:rFonts w:ascii="Calibri" w:eastAsia="Calibri" w:hAnsi="Calibri" w:cs="Calibri"/>
                <w:spacing w:val="-1"/>
                <w:szCs w:val="22"/>
                <w:lang w:val="fr-FR"/>
              </w:rPr>
              <w:t>u</w:t>
            </w:r>
            <w:r w:rsidRPr="00497874">
              <w:rPr>
                <w:rFonts w:ascii="Calibri" w:eastAsia="Calibri" w:hAnsi="Calibri" w:cs="Calibri"/>
                <w:szCs w:val="22"/>
                <w:lang w:val="fr-FR"/>
              </w:rPr>
              <w:t>r</w:t>
            </w:r>
            <w:r w:rsidRPr="00497874">
              <w:rPr>
                <w:rFonts w:ascii="Calibri" w:eastAsia="Calibri" w:hAnsi="Calibri" w:cs="Calibri"/>
                <w:spacing w:val="-2"/>
                <w:szCs w:val="22"/>
                <w:lang w:val="fr-FR"/>
              </w:rPr>
              <w:t>c</w:t>
            </w:r>
            <w:r w:rsidRPr="00497874">
              <w:rPr>
                <w:rFonts w:ascii="Calibri" w:eastAsia="Calibri" w:hAnsi="Calibri" w:cs="Calibri"/>
                <w:szCs w:val="22"/>
                <w:lang w:val="fr-FR"/>
              </w:rPr>
              <w:t>enta</w:t>
            </w:r>
            <w:r w:rsidRPr="00497874">
              <w:rPr>
                <w:rFonts w:ascii="Calibri" w:eastAsia="Calibri" w:hAnsi="Calibri" w:cs="Calibri"/>
                <w:spacing w:val="-1"/>
                <w:szCs w:val="22"/>
                <w:lang w:val="fr-FR"/>
              </w:rPr>
              <w:t>g</w:t>
            </w:r>
            <w:r w:rsidRPr="00497874">
              <w:rPr>
                <w:rFonts w:ascii="Calibri" w:eastAsia="Calibri" w:hAnsi="Calibri" w:cs="Calibri"/>
                <w:szCs w:val="22"/>
                <w:lang w:val="fr-FR"/>
              </w:rPr>
              <w:t>edef</w:t>
            </w:r>
            <w:r w:rsidRPr="00497874">
              <w:rPr>
                <w:rFonts w:ascii="Calibri" w:eastAsia="Calibri" w:hAnsi="Calibri" w:cs="Calibri"/>
                <w:spacing w:val="-2"/>
                <w:szCs w:val="22"/>
                <w:lang w:val="fr-FR"/>
              </w:rPr>
              <w:t>e</w:t>
            </w:r>
            <w:r w:rsidRPr="00497874">
              <w:rPr>
                <w:rFonts w:ascii="Calibri" w:eastAsia="Calibri" w:hAnsi="Calibri" w:cs="Calibri"/>
                <w:spacing w:val="-1"/>
                <w:szCs w:val="22"/>
                <w:lang w:val="fr-FR"/>
              </w:rPr>
              <w:t>m</w:t>
            </w:r>
            <w:r w:rsidRPr="00497874">
              <w:rPr>
                <w:rFonts w:ascii="Calibri" w:eastAsia="Calibri" w:hAnsi="Calibri" w:cs="Calibri"/>
                <w:spacing w:val="1"/>
                <w:szCs w:val="22"/>
                <w:lang w:val="fr-FR"/>
              </w:rPr>
              <w:t>m</w:t>
            </w:r>
            <w:r w:rsidRPr="00497874">
              <w:rPr>
                <w:rFonts w:ascii="Calibri" w:eastAsia="Calibri" w:hAnsi="Calibri" w:cs="Calibri"/>
                <w:szCs w:val="22"/>
                <w:lang w:val="fr-FR"/>
              </w:rPr>
              <w:t>es</w:t>
            </w:r>
            <w:r w:rsidRPr="00497874">
              <w:rPr>
                <w:rFonts w:ascii="Calibri" w:eastAsia="Calibri" w:hAnsi="Calibri" w:cs="Calibri"/>
                <w:spacing w:val="1"/>
                <w:szCs w:val="22"/>
                <w:lang w:val="fr-FR"/>
              </w:rPr>
              <w:t>e</w:t>
            </w:r>
            <w:r w:rsidRPr="00497874">
              <w:rPr>
                <w:rFonts w:ascii="Calibri" w:eastAsia="Calibri" w:hAnsi="Calibri" w:cs="Calibri"/>
                <w:spacing w:val="-3"/>
                <w:szCs w:val="22"/>
                <w:lang w:val="fr-FR"/>
              </w:rPr>
              <w:t>n</w:t>
            </w:r>
            <w:r w:rsidRPr="00497874">
              <w:rPr>
                <w:rFonts w:ascii="Calibri" w:eastAsia="Calibri" w:hAnsi="Calibri" w:cs="Calibri"/>
                <w:szCs w:val="22"/>
                <w:lang w:val="fr-FR"/>
              </w:rPr>
              <w:t>c</w:t>
            </w:r>
            <w:r w:rsidRPr="00497874">
              <w:rPr>
                <w:rFonts w:ascii="Calibri" w:eastAsia="Calibri" w:hAnsi="Calibri" w:cs="Calibri"/>
                <w:spacing w:val="3"/>
                <w:szCs w:val="22"/>
                <w:lang w:val="fr-FR"/>
              </w:rPr>
              <w:t>e</w:t>
            </w:r>
            <w:r w:rsidRPr="00497874">
              <w:rPr>
                <w:rFonts w:ascii="Calibri" w:eastAsia="Calibri" w:hAnsi="Calibri" w:cs="Calibri"/>
                <w:szCs w:val="22"/>
                <w:lang w:val="fr-FR"/>
              </w:rPr>
              <w:t>i</w:t>
            </w:r>
            <w:r w:rsidRPr="00497874">
              <w:rPr>
                <w:rFonts w:ascii="Calibri" w:eastAsia="Calibri" w:hAnsi="Calibri" w:cs="Calibri"/>
                <w:spacing w:val="-1"/>
                <w:szCs w:val="22"/>
                <w:lang w:val="fr-FR"/>
              </w:rPr>
              <w:t>n</w:t>
            </w:r>
            <w:r w:rsidRPr="00497874">
              <w:rPr>
                <w:rFonts w:ascii="Calibri" w:eastAsia="Calibri" w:hAnsi="Calibri" w:cs="Calibri"/>
                <w:szCs w:val="22"/>
                <w:lang w:val="fr-FR"/>
              </w:rPr>
              <w:t>t</w:t>
            </w:r>
            <w:r w:rsidRPr="00497874">
              <w:rPr>
                <w:rFonts w:ascii="Calibri" w:eastAsia="Calibri" w:hAnsi="Calibri" w:cs="Calibri"/>
                <w:spacing w:val="1"/>
                <w:szCs w:val="22"/>
                <w:lang w:val="fr-FR"/>
              </w:rPr>
              <w:t>e</w:t>
            </w:r>
            <w:r w:rsidRPr="00497874">
              <w:rPr>
                <w:rFonts w:ascii="Calibri" w:eastAsia="Calibri" w:hAnsi="Calibri" w:cs="Calibri"/>
                <w:szCs w:val="22"/>
                <w:lang w:val="fr-FR"/>
              </w:rPr>
              <w:t>ss</w:t>
            </w:r>
            <w:r w:rsidRPr="00497874">
              <w:rPr>
                <w:rFonts w:ascii="Calibri" w:eastAsia="Calibri" w:hAnsi="Calibri" w:cs="Calibri"/>
                <w:spacing w:val="1"/>
                <w:szCs w:val="22"/>
                <w:lang w:val="fr-FR"/>
              </w:rPr>
              <w:t>é</w:t>
            </w:r>
            <w:r w:rsidRPr="00497874">
              <w:rPr>
                <w:rFonts w:ascii="Calibri" w:eastAsia="Calibri" w:hAnsi="Calibri" w:cs="Calibri"/>
                <w:spacing w:val="-3"/>
                <w:szCs w:val="22"/>
                <w:lang w:val="fr-FR"/>
              </w:rPr>
              <w:t>r</w:t>
            </w:r>
            <w:r w:rsidRPr="00497874">
              <w:rPr>
                <w:rFonts w:ascii="Calibri" w:eastAsia="Calibri" w:hAnsi="Calibri" w:cs="Calibri"/>
                <w:spacing w:val="1"/>
                <w:szCs w:val="22"/>
                <w:lang w:val="fr-FR"/>
              </w:rPr>
              <w:t>o</w:t>
            </w:r>
            <w:r w:rsidRPr="00497874">
              <w:rPr>
                <w:rFonts w:ascii="Calibri" w:eastAsia="Calibri" w:hAnsi="Calibri" w:cs="Calibri"/>
                <w:spacing w:val="-1"/>
                <w:szCs w:val="22"/>
                <w:lang w:val="fr-FR"/>
              </w:rPr>
              <w:t>p</w:t>
            </w:r>
            <w:r w:rsidRPr="00497874">
              <w:rPr>
                <w:rFonts w:ascii="Calibri" w:eastAsia="Calibri" w:hAnsi="Calibri" w:cs="Calibri"/>
                <w:spacing w:val="1"/>
                <w:szCs w:val="22"/>
                <w:lang w:val="fr-FR"/>
              </w:rPr>
              <w:t>o</w:t>
            </w:r>
            <w:r w:rsidRPr="00497874">
              <w:rPr>
                <w:rFonts w:ascii="Calibri" w:eastAsia="Calibri" w:hAnsi="Calibri" w:cs="Calibri"/>
                <w:szCs w:val="22"/>
                <w:lang w:val="fr-FR"/>
              </w:rPr>
              <w:t>s</w:t>
            </w:r>
            <w:r w:rsidRPr="00497874">
              <w:rPr>
                <w:rFonts w:ascii="Calibri" w:eastAsia="Calibri" w:hAnsi="Calibri" w:cs="Calibri"/>
                <w:spacing w:val="-3"/>
                <w:szCs w:val="22"/>
                <w:lang w:val="fr-FR"/>
              </w:rPr>
              <w:t>i</w:t>
            </w:r>
            <w:r w:rsidRPr="00497874">
              <w:rPr>
                <w:rFonts w:ascii="Calibri" w:eastAsia="Calibri" w:hAnsi="Calibri" w:cs="Calibri"/>
                <w:szCs w:val="22"/>
                <w:lang w:val="fr-FR"/>
              </w:rPr>
              <w:t>ti</w:t>
            </w:r>
            <w:r w:rsidRPr="00497874">
              <w:rPr>
                <w:rFonts w:ascii="Calibri" w:eastAsia="Calibri" w:hAnsi="Calibri" w:cs="Calibri"/>
                <w:spacing w:val="-1"/>
                <w:szCs w:val="22"/>
                <w:lang w:val="fr-FR"/>
              </w:rPr>
              <w:t>v</w:t>
            </w:r>
            <w:r w:rsidRPr="00497874">
              <w:rPr>
                <w:rFonts w:ascii="Calibri" w:eastAsia="Calibri" w:hAnsi="Calibri" w:cs="Calibri"/>
                <w:szCs w:val="22"/>
                <w:lang w:val="fr-FR"/>
              </w:rPr>
              <w:t>esauV</w:t>
            </w:r>
            <w:r w:rsidRPr="00497874">
              <w:rPr>
                <w:rFonts w:ascii="Calibri" w:eastAsia="Calibri" w:hAnsi="Calibri" w:cs="Calibri"/>
                <w:spacing w:val="-3"/>
                <w:szCs w:val="22"/>
                <w:lang w:val="fr-FR"/>
              </w:rPr>
              <w:t>I</w:t>
            </w:r>
            <w:r w:rsidRPr="00497874">
              <w:rPr>
                <w:rFonts w:ascii="Calibri" w:eastAsia="Calibri" w:hAnsi="Calibri" w:cs="Calibri"/>
                <w:szCs w:val="22"/>
                <w:lang w:val="fr-FR"/>
              </w:rPr>
              <w:t>H q</w:t>
            </w:r>
            <w:r w:rsidRPr="00497874">
              <w:rPr>
                <w:rFonts w:ascii="Calibri" w:eastAsia="Calibri" w:hAnsi="Calibri" w:cs="Calibri"/>
                <w:spacing w:val="-1"/>
                <w:szCs w:val="22"/>
                <w:lang w:val="fr-FR"/>
              </w:rPr>
              <w:t>u</w:t>
            </w:r>
            <w:r w:rsidRPr="00497874">
              <w:rPr>
                <w:rFonts w:ascii="Calibri" w:eastAsia="Calibri" w:hAnsi="Calibri" w:cs="Calibri"/>
                <w:szCs w:val="22"/>
                <w:lang w:val="fr-FR"/>
              </w:rPr>
              <w:t>i reç</w:t>
            </w:r>
            <w:r w:rsidRPr="00497874">
              <w:rPr>
                <w:rFonts w:ascii="Calibri" w:eastAsia="Calibri" w:hAnsi="Calibri" w:cs="Calibri"/>
                <w:spacing w:val="2"/>
                <w:szCs w:val="22"/>
                <w:lang w:val="fr-FR"/>
              </w:rPr>
              <w:t>o</w:t>
            </w:r>
            <w:r w:rsidRPr="00497874">
              <w:rPr>
                <w:rFonts w:ascii="Calibri" w:eastAsia="Calibri" w:hAnsi="Calibri" w:cs="Calibri"/>
                <w:spacing w:val="-3"/>
                <w:szCs w:val="22"/>
                <w:lang w:val="fr-FR"/>
              </w:rPr>
              <w:t>i</w:t>
            </w:r>
            <w:r w:rsidRPr="00497874">
              <w:rPr>
                <w:rFonts w:ascii="Calibri" w:eastAsia="Calibri" w:hAnsi="Calibri" w:cs="Calibri"/>
                <w:spacing w:val="1"/>
                <w:szCs w:val="22"/>
                <w:lang w:val="fr-FR"/>
              </w:rPr>
              <w:t>v</w:t>
            </w:r>
            <w:r w:rsidRPr="00497874">
              <w:rPr>
                <w:rFonts w:ascii="Calibri" w:eastAsia="Calibri" w:hAnsi="Calibri" w:cs="Calibri"/>
                <w:szCs w:val="22"/>
                <w:lang w:val="fr-FR"/>
              </w:rPr>
              <w:t>entdes a</w:t>
            </w:r>
            <w:r w:rsidRPr="00497874">
              <w:rPr>
                <w:rFonts w:ascii="Calibri" w:eastAsia="Calibri" w:hAnsi="Calibri" w:cs="Calibri"/>
                <w:spacing w:val="-1"/>
                <w:szCs w:val="22"/>
                <w:lang w:val="fr-FR"/>
              </w:rPr>
              <w:t>n</w:t>
            </w:r>
            <w:r w:rsidRPr="00497874">
              <w:rPr>
                <w:rFonts w:ascii="Calibri" w:eastAsia="Calibri" w:hAnsi="Calibri" w:cs="Calibri"/>
                <w:szCs w:val="22"/>
                <w:lang w:val="fr-FR"/>
              </w:rPr>
              <w:t>tirét</w:t>
            </w:r>
            <w:r w:rsidRPr="00497874">
              <w:rPr>
                <w:rFonts w:ascii="Calibri" w:eastAsia="Calibri" w:hAnsi="Calibri" w:cs="Calibri"/>
                <w:spacing w:val="-2"/>
                <w:szCs w:val="22"/>
                <w:lang w:val="fr-FR"/>
              </w:rPr>
              <w:t>r</w:t>
            </w:r>
            <w:r w:rsidRPr="00497874">
              <w:rPr>
                <w:rFonts w:ascii="Calibri" w:eastAsia="Calibri" w:hAnsi="Calibri" w:cs="Calibri"/>
                <w:spacing w:val="1"/>
                <w:szCs w:val="22"/>
                <w:lang w:val="fr-FR"/>
              </w:rPr>
              <w:t>ov</w:t>
            </w:r>
            <w:r w:rsidRPr="00497874">
              <w:rPr>
                <w:rFonts w:ascii="Calibri" w:eastAsia="Calibri" w:hAnsi="Calibri" w:cs="Calibri"/>
                <w:szCs w:val="22"/>
                <w:lang w:val="fr-FR"/>
              </w:rPr>
              <w:t>ir</w:t>
            </w:r>
            <w:r w:rsidRPr="00497874">
              <w:rPr>
                <w:rFonts w:ascii="Calibri" w:eastAsia="Calibri" w:hAnsi="Calibri" w:cs="Calibri"/>
                <w:spacing w:val="-1"/>
                <w:szCs w:val="22"/>
                <w:lang w:val="fr-FR"/>
              </w:rPr>
              <w:t>au</w:t>
            </w:r>
            <w:r w:rsidRPr="00497874">
              <w:rPr>
                <w:rFonts w:ascii="Calibri" w:eastAsia="Calibri" w:hAnsi="Calibri" w:cs="Calibri"/>
                <w:szCs w:val="22"/>
                <w:lang w:val="fr-FR"/>
              </w:rPr>
              <w:t>xp</w:t>
            </w:r>
            <w:r w:rsidRPr="00497874">
              <w:rPr>
                <w:rFonts w:ascii="Calibri" w:eastAsia="Calibri" w:hAnsi="Calibri" w:cs="Calibri"/>
                <w:spacing w:val="1"/>
                <w:szCs w:val="22"/>
                <w:lang w:val="fr-FR"/>
              </w:rPr>
              <w:t>o</w:t>
            </w:r>
            <w:r w:rsidRPr="00497874">
              <w:rPr>
                <w:rFonts w:ascii="Calibri" w:eastAsia="Calibri" w:hAnsi="Calibri" w:cs="Calibri"/>
                <w:spacing w:val="-1"/>
                <w:szCs w:val="22"/>
                <w:lang w:val="fr-FR"/>
              </w:rPr>
              <w:t>u</w:t>
            </w:r>
            <w:r w:rsidRPr="00497874">
              <w:rPr>
                <w:rFonts w:ascii="Calibri" w:eastAsia="Calibri" w:hAnsi="Calibri" w:cs="Calibri"/>
                <w:szCs w:val="22"/>
                <w:lang w:val="fr-FR"/>
              </w:rPr>
              <w:t xml:space="preserve">r </w:t>
            </w:r>
            <w:r w:rsidRPr="00497874">
              <w:rPr>
                <w:rFonts w:ascii="Calibri" w:eastAsia="Calibri" w:hAnsi="Calibri" w:cs="Calibri"/>
                <w:spacing w:val="-2"/>
                <w:szCs w:val="22"/>
                <w:lang w:val="fr-FR"/>
              </w:rPr>
              <w:t>r</w:t>
            </w:r>
            <w:r w:rsidRPr="00497874">
              <w:rPr>
                <w:rFonts w:ascii="Calibri" w:eastAsia="Calibri" w:hAnsi="Calibri" w:cs="Calibri"/>
                <w:szCs w:val="22"/>
                <w:lang w:val="fr-FR"/>
              </w:rPr>
              <w:t>éd</w:t>
            </w:r>
            <w:r w:rsidRPr="00497874">
              <w:rPr>
                <w:rFonts w:ascii="Calibri" w:eastAsia="Calibri" w:hAnsi="Calibri" w:cs="Calibri"/>
                <w:spacing w:val="-1"/>
                <w:szCs w:val="22"/>
                <w:lang w:val="fr-FR"/>
              </w:rPr>
              <w:t>u</w:t>
            </w:r>
            <w:r w:rsidRPr="00497874">
              <w:rPr>
                <w:rFonts w:ascii="Calibri" w:eastAsia="Calibri" w:hAnsi="Calibri" w:cs="Calibri"/>
                <w:szCs w:val="22"/>
                <w:lang w:val="fr-FR"/>
              </w:rPr>
              <w:t>ire leris</w:t>
            </w:r>
            <w:r w:rsidRPr="00497874">
              <w:rPr>
                <w:rFonts w:ascii="Calibri" w:eastAsia="Calibri" w:hAnsi="Calibri" w:cs="Calibri"/>
                <w:spacing w:val="-1"/>
                <w:szCs w:val="22"/>
                <w:lang w:val="fr-FR"/>
              </w:rPr>
              <w:t>qu</w:t>
            </w:r>
            <w:r w:rsidRPr="00497874">
              <w:rPr>
                <w:rFonts w:ascii="Calibri" w:eastAsia="Calibri" w:hAnsi="Calibri" w:cs="Calibri"/>
                <w:szCs w:val="22"/>
                <w:lang w:val="fr-FR"/>
              </w:rPr>
              <w:t>edetra</w:t>
            </w:r>
            <w:r w:rsidRPr="00497874">
              <w:rPr>
                <w:rFonts w:ascii="Calibri" w:eastAsia="Calibri" w:hAnsi="Calibri" w:cs="Calibri"/>
                <w:spacing w:val="-1"/>
                <w:szCs w:val="22"/>
                <w:lang w:val="fr-FR"/>
              </w:rPr>
              <w:t>n</w:t>
            </w:r>
            <w:r w:rsidRPr="00497874">
              <w:rPr>
                <w:rFonts w:ascii="Calibri" w:eastAsia="Calibri" w:hAnsi="Calibri" w:cs="Calibri"/>
                <w:szCs w:val="22"/>
                <w:lang w:val="fr-FR"/>
              </w:rPr>
              <w:t>s</w:t>
            </w:r>
            <w:r w:rsidRPr="00497874">
              <w:rPr>
                <w:rFonts w:ascii="Calibri" w:eastAsia="Calibri" w:hAnsi="Calibri" w:cs="Calibri"/>
                <w:spacing w:val="1"/>
                <w:szCs w:val="22"/>
                <w:lang w:val="fr-FR"/>
              </w:rPr>
              <w:t>m</w:t>
            </w:r>
            <w:r w:rsidRPr="00497874">
              <w:rPr>
                <w:rFonts w:ascii="Calibri" w:eastAsia="Calibri" w:hAnsi="Calibri" w:cs="Calibri"/>
                <w:spacing w:val="-3"/>
                <w:szCs w:val="22"/>
                <w:lang w:val="fr-FR"/>
              </w:rPr>
              <w:t>i</w:t>
            </w:r>
            <w:r w:rsidRPr="00497874">
              <w:rPr>
                <w:rFonts w:ascii="Calibri" w:eastAsia="Calibri" w:hAnsi="Calibri" w:cs="Calibri"/>
                <w:szCs w:val="22"/>
                <w:lang w:val="fr-FR"/>
              </w:rPr>
              <w:t>ssi</w:t>
            </w:r>
            <w:r w:rsidRPr="00497874">
              <w:rPr>
                <w:rFonts w:ascii="Calibri" w:eastAsia="Calibri" w:hAnsi="Calibri" w:cs="Calibri"/>
                <w:spacing w:val="1"/>
                <w:szCs w:val="22"/>
                <w:lang w:val="fr-FR"/>
              </w:rPr>
              <w:t>o</w:t>
            </w:r>
            <w:r w:rsidRPr="00497874">
              <w:rPr>
                <w:rFonts w:ascii="Calibri" w:eastAsia="Calibri" w:hAnsi="Calibri" w:cs="Calibri"/>
                <w:szCs w:val="22"/>
                <w:lang w:val="fr-FR"/>
              </w:rPr>
              <w:t>nà leur enf</w:t>
            </w:r>
            <w:r w:rsidRPr="00497874">
              <w:rPr>
                <w:rFonts w:ascii="Calibri" w:eastAsia="Calibri" w:hAnsi="Calibri" w:cs="Calibri"/>
                <w:spacing w:val="-1"/>
                <w:szCs w:val="22"/>
                <w:lang w:val="fr-FR"/>
              </w:rPr>
              <w:t>an</w:t>
            </w:r>
            <w:r w:rsidRPr="00497874">
              <w:rPr>
                <w:rFonts w:ascii="Calibri" w:eastAsia="Calibri" w:hAnsi="Calibri" w:cs="Calibri"/>
                <w:szCs w:val="22"/>
                <w:lang w:val="fr-FR"/>
              </w:rPr>
              <w:t>t</w:t>
            </w:r>
          </w:p>
        </w:tc>
        <w:tc>
          <w:tcPr>
            <w:tcW w:w="1452" w:type="dxa"/>
            <w:tcBorders>
              <w:top w:val="single" w:sz="5" w:space="0" w:color="000000"/>
              <w:left w:val="single" w:sz="5" w:space="0" w:color="000000"/>
              <w:bottom w:val="single" w:sz="5" w:space="0" w:color="000000"/>
              <w:right w:val="single" w:sz="5" w:space="0" w:color="000000"/>
            </w:tcBorders>
            <w:vAlign w:val="center"/>
          </w:tcPr>
          <w:p w:rsidR="00DC5ACA" w:rsidRPr="008F2386" w:rsidRDefault="00DC5ACA" w:rsidP="00ED18BA">
            <w:pPr>
              <w:tabs>
                <w:tab w:val="left" w:pos="5580"/>
                <w:tab w:val="left" w:pos="6840"/>
              </w:tabs>
              <w:jc w:val="center"/>
              <w:rPr>
                <w:lang w:val="fr-FR"/>
              </w:rPr>
            </w:pPr>
          </w:p>
          <w:p w:rsidR="00DC5ACA" w:rsidRDefault="00DC5ACA" w:rsidP="00ED18BA">
            <w:pPr>
              <w:tabs>
                <w:tab w:val="left" w:pos="5580"/>
                <w:tab w:val="left" w:pos="6840"/>
              </w:tabs>
              <w:jc w:val="center"/>
            </w:pPr>
            <w:r>
              <w:t>1769</w:t>
            </w:r>
          </w:p>
          <w:p w:rsidR="00DC5ACA" w:rsidRPr="00345CCB" w:rsidRDefault="00DC5ACA" w:rsidP="00ED18BA">
            <w:pPr>
              <w:tabs>
                <w:tab w:val="left" w:pos="5580"/>
                <w:tab w:val="left" w:pos="6840"/>
              </w:tabs>
              <w:jc w:val="center"/>
            </w:pPr>
            <w:r w:rsidRPr="00345CCB">
              <w:t>88%</w:t>
            </w:r>
          </w:p>
          <w:p w:rsidR="00DC5ACA" w:rsidRPr="00345CCB" w:rsidRDefault="00DC5ACA" w:rsidP="00ED18BA">
            <w:pPr>
              <w:tabs>
                <w:tab w:val="left" w:pos="5580"/>
                <w:tab w:val="left" w:pos="6840"/>
              </w:tabs>
              <w:jc w:val="center"/>
            </w:pPr>
          </w:p>
        </w:tc>
        <w:tc>
          <w:tcPr>
            <w:tcW w:w="1698" w:type="dxa"/>
            <w:tcBorders>
              <w:top w:val="single" w:sz="5" w:space="0" w:color="000000"/>
              <w:left w:val="single" w:sz="5" w:space="0" w:color="000000"/>
              <w:bottom w:val="single" w:sz="5" w:space="0" w:color="000000"/>
              <w:right w:val="single" w:sz="5" w:space="0" w:color="000000"/>
            </w:tcBorders>
            <w:vAlign w:val="center"/>
          </w:tcPr>
          <w:p w:rsidR="00DC5ACA" w:rsidRDefault="00DC5ACA" w:rsidP="00ED18BA">
            <w:pPr>
              <w:tabs>
                <w:tab w:val="left" w:pos="5580"/>
                <w:tab w:val="left" w:pos="6840"/>
              </w:tabs>
              <w:jc w:val="center"/>
            </w:pPr>
          </w:p>
          <w:p w:rsidR="00DC5ACA" w:rsidRDefault="00DC5ACA" w:rsidP="00ED18BA">
            <w:pPr>
              <w:tabs>
                <w:tab w:val="left" w:pos="5580"/>
                <w:tab w:val="left" w:pos="6840"/>
              </w:tabs>
              <w:jc w:val="center"/>
            </w:pPr>
            <w:r>
              <w:t>2679</w:t>
            </w:r>
          </w:p>
          <w:p w:rsidR="00DC5ACA" w:rsidRDefault="00DC5ACA" w:rsidP="00ED18BA">
            <w:pPr>
              <w:tabs>
                <w:tab w:val="left" w:pos="5580"/>
                <w:tab w:val="left" w:pos="6840"/>
              </w:tabs>
              <w:jc w:val="center"/>
            </w:pPr>
            <w:r>
              <w:t>92%</w:t>
            </w:r>
          </w:p>
          <w:p w:rsidR="00DC5ACA" w:rsidRPr="00345CCB" w:rsidRDefault="00DC5ACA" w:rsidP="00ED18BA">
            <w:pPr>
              <w:tabs>
                <w:tab w:val="left" w:pos="5580"/>
                <w:tab w:val="left" w:pos="6840"/>
              </w:tabs>
              <w:jc w:val="center"/>
            </w:pPr>
          </w:p>
        </w:tc>
      </w:tr>
      <w:tr w:rsidR="00DC5ACA" w:rsidTr="00ED18BA">
        <w:trPr>
          <w:trHeight w:hRule="exact" w:val="525"/>
        </w:trPr>
        <w:tc>
          <w:tcPr>
            <w:tcW w:w="5310" w:type="dxa"/>
            <w:tcBorders>
              <w:top w:val="single" w:sz="5" w:space="0" w:color="000000"/>
              <w:left w:val="single" w:sz="5" w:space="0" w:color="000000"/>
              <w:bottom w:val="single" w:sz="5" w:space="0" w:color="000000"/>
              <w:right w:val="single" w:sz="5" w:space="0" w:color="000000"/>
            </w:tcBorders>
            <w:vAlign w:val="center"/>
          </w:tcPr>
          <w:p w:rsidR="00DC5ACA" w:rsidRPr="00497874" w:rsidRDefault="00DC5ACA" w:rsidP="00ED18BA">
            <w:pPr>
              <w:spacing w:line="260" w:lineRule="exact"/>
              <w:ind w:left="64"/>
              <w:rPr>
                <w:rFonts w:ascii="Calibri" w:eastAsia="Calibri" w:hAnsi="Calibri" w:cs="Calibri"/>
                <w:lang w:val="fr-FR"/>
              </w:rPr>
            </w:pPr>
            <w:r w:rsidRPr="00497874">
              <w:rPr>
                <w:rFonts w:ascii="Calibri" w:eastAsia="Calibri" w:hAnsi="Calibri" w:cs="Calibri"/>
                <w:spacing w:val="-1"/>
                <w:position w:val="1"/>
                <w:szCs w:val="22"/>
                <w:lang w:val="fr-FR"/>
              </w:rPr>
              <w:t>N</w:t>
            </w:r>
            <w:r w:rsidRPr="00497874">
              <w:rPr>
                <w:rFonts w:ascii="Calibri" w:eastAsia="Calibri" w:hAnsi="Calibri" w:cs="Calibri"/>
                <w:spacing w:val="1"/>
                <w:position w:val="1"/>
                <w:szCs w:val="22"/>
                <w:lang w:val="fr-FR"/>
              </w:rPr>
              <w:t>om</w:t>
            </w:r>
            <w:r w:rsidRPr="00497874">
              <w:rPr>
                <w:rFonts w:ascii="Calibri" w:eastAsia="Calibri" w:hAnsi="Calibri" w:cs="Calibri"/>
                <w:spacing w:val="-1"/>
                <w:position w:val="1"/>
                <w:szCs w:val="22"/>
                <w:lang w:val="fr-FR"/>
              </w:rPr>
              <w:t>b</w:t>
            </w:r>
            <w:r w:rsidRPr="00497874">
              <w:rPr>
                <w:rFonts w:ascii="Calibri" w:eastAsia="Calibri" w:hAnsi="Calibri" w:cs="Calibri"/>
                <w:spacing w:val="-3"/>
                <w:position w:val="1"/>
                <w:szCs w:val="22"/>
                <w:lang w:val="fr-FR"/>
              </w:rPr>
              <w:t>r</w:t>
            </w:r>
            <w:r w:rsidRPr="00497874">
              <w:rPr>
                <w:rFonts w:ascii="Calibri" w:eastAsia="Calibri" w:hAnsi="Calibri" w:cs="Calibri"/>
                <w:position w:val="1"/>
                <w:szCs w:val="22"/>
                <w:lang w:val="fr-FR"/>
              </w:rPr>
              <w:t>e</w:t>
            </w:r>
            <w:r w:rsidRPr="00497874">
              <w:rPr>
                <w:rFonts w:ascii="Calibri" w:eastAsia="Calibri" w:hAnsi="Calibri" w:cs="Calibri"/>
                <w:spacing w:val="-1"/>
                <w:position w:val="1"/>
                <w:szCs w:val="22"/>
                <w:lang w:val="fr-FR"/>
              </w:rPr>
              <w:t>d</w:t>
            </w:r>
            <w:r w:rsidRPr="00497874">
              <w:rPr>
                <w:rFonts w:ascii="Calibri" w:eastAsia="Calibri" w:hAnsi="Calibri" w:cs="Calibri"/>
                <w:position w:val="1"/>
                <w:szCs w:val="22"/>
                <w:lang w:val="fr-FR"/>
              </w:rPr>
              <w:t>’enfa</w:t>
            </w:r>
            <w:r w:rsidRPr="00497874">
              <w:rPr>
                <w:rFonts w:ascii="Calibri" w:eastAsia="Calibri" w:hAnsi="Calibri" w:cs="Calibri"/>
                <w:spacing w:val="-1"/>
                <w:position w:val="1"/>
                <w:szCs w:val="22"/>
                <w:lang w:val="fr-FR"/>
              </w:rPr>
              <w:t>n</w:t>
            </w:r>
            <w:r w:rsidRPr="00497874">
              <w:rPr>
                <w:rFonts w:ascii="Calibri" w:eastAsia="Calibri" w:hAnsi="Calibri" w:cs="Calibri"/>
                <w:position w:val="1"/>
                <w:szCs w:val="22"/>
                <w:lang w:val="fr-FR"/>
              </w:rPr>
              <w:t>ts</w:t>
            </w:r>
            <w:r w:rsidRPr="00497874">
              <w:rPr>
                <w:rFonts w:ascii="Calibri" w:eastAsia="Calibri" w:hAnsi="Calibri" w:cs="Calibri"/>
                <w:spacing w:val="1"/>
                <w:position w:val="1"/>
                <w:szCs w:val="22"/>
                <w:lang w:val="fr-FR"/>
              </w:rPr>
              <w:t>e</w:t>
            </w:r>
            <w:r w:rsidRPr="00497874">
              <w:rPr>
                <w:rFonts w:ascii="Calibri" w:eastAsia="Calibri" w:hAnsi="Calibri" w:cs="Calibri"/>
                <w:position w:val="1"/>
                <w:szCs w:val="22"/>
                <w:lang w:val="fr-FR"/>
              </w:rPr>
              <w:t>x</w:t>
            </w:r>
            <w:r w:rsidRPr="00497874">
              <w:rPr>
                <w:rFonts w:ascii="Calibri" w:eastAsia="Calibri" w:hAnsi="Calibri" w:cs="Calibri"/>
                <w:spacing w:val="-3"/>
                <w:position w:val="1"/>
                <w:szCs w:val="22"/>
                <w:lang w:val="fr-FR"/>
              </w:rPr>
              <w:t>p</w:t>
            </w:r>
            <w:r w:rsidRPr="00497874">
              <w:rPr>
                <w:rFonts w:ascii="Calibri" w:eastAsia="Calibri" w:hAnsi="Calibri" w:cs="Calibri"/>
                <w:spacing w:val="1"/>
                <w:position w:val="1"/>
                <w:szCs w:val="22"/>
                <w:lang w:val="fr-FR"/>
              </w:rPr>
              <w:t>o</w:t>
            </w:r>
            <w:r w:rsidRPr="00497874">
              <w:rPr>
                <w:rFonts w:ascii="Calibri" w:eastAsia="Calibri" w:hAnsi="Calibri" w:cs="Calibri"/>
                <w:position w:val="1"/>
                <w:szCs w:val="22"/>
                <w:lang w:val="fr-FR"/>
              </w:rPr>
              <w:t>sésauVIHs</w:t>
            </w:r>
            <w:r w:rsidRPr="00497874">
              <w:rPr>
                <w:rFonts w:ascii="Calibri" w:eastAsia="Calibri" w:hAnsi="Calibri" w:cs="Calibri"/>
                <w:spacing w:val="2"/>
                <w:position w:val="1"/>
                <w:szCs w:val="22"/>
                <w:lang w:val="fr-FR"/>
              </w:rPr>
              <w:t>o</w:t>
            </w:r>
            <w:r w:rsidRPr="00497874">
              <w:rPr>
                <w:rFonts w:ascii="Calibri" w:eastAsia="Calibri" w:hAnsi="Calibri" w:cs="Calibri"/>
                <w:spacing w:val="-1"/>
                <w:position w:val="1"/>
                <w:szCs w:val="22"/>
                <w:lang w:val="fr-FR"/>
              </w:rPr>
              <w:t>u</w:t>
            </w:r>
            <w:r w:rsidRPr="00497874">
              <w:rPr>
                <w:rFonts w:ascii="Calibri" w:eastAsia="Calibri" w:hAnsi="Calibri" w:cs="Calibri"/>
                <w:position w:val="1"/>
                <w:szCs w:val="22"/>
                <w:lang w:val="fr-FR"/>
              </w:rPr>
              <w:t>s</w:t>
            </w:r>
            <w:r w:rsidRPr="00497874">
              <w:rPr>
                <w:rFonts w:ascii="Calibri" w:eastAsia="Calibri" w:hAnsi="Calibri" w:cs="Calibri"/>
                <w:spacing w:val="1"/>
                <w:position w:val="1"/>
                <w:szCs w:val="22"/>
                <w:lang w:val="fr-FR"/>
              </w:rPr>
              <w:t>P</w:t>
            </w:r>
            <w:r w:rsidRPr="00497874">
              <w:rPr>
                <w:rFonts w:ascii="Calibri" w:eastAsia="Calibri" w:hAnsi="Calibri" w:cs="Calibri"/>
                <w:spacing w:val="-3"/>
                <w:position w:val="1"/>
                <w:szCs w:val="22"/>
                <w:lang w:val="fr-FR"/>
              </w:rPr>
              <w:t>r</w:t>
            </w:r>
            <w:r w:rsidRPr="00497874">
              <w:rPr>
                <w:rFonts w:ascii="Calibri" w:eastAsia="Calibri" w:hAnsi="Calibri" w:cs="Calibri"/>
                <w:spacing w:val="1"/>
                <w:position w:val="1"/>
                <w:szCs w:val="22"/>
                <w:lang w:val="fr-FR"/>
              </w:rPr>
              <w:t>o</w:t>
            </w:r>
            <w:r w:rsidRPr="00497874">
              <w:rPr>
                <w:rFonts w:ascii="Calibri" w:eastAsia="Calibri" w:hAnsi="Calibri" w:cs="Calibri"/>
                <w:spacing w:val="-1"/>
                <w:position w:val="1"/>
                <w:szCs w:val="22"/>
                <w:lang w:val="fr-FR"/>
              </w:rPr>
              <w:t>ph</w:t>
            </w:r>
            <w:r w:rsidRPr="00497874">
              <w:rPr>
                <w:rFonts w:ascii="Calibri" w:eastAsia="Calibri" w:hAnsi="Calibri" w:cs="Calibri"/>
                <w:spacing w:val="1"/>
                <w:position w:val="1"/>
                <w:szCs w:val="22"/>
                <w:lang w:val="fr-FR"/>
              </w:rPr>
              <w:t>y</w:t>
            </w:r>
            <w:r w:rsidRPr="00497874">
              <w:rPr>
                <w:rFonts w:ascii="Calibri" w:eastAsia="Calibri" w:hAnsi="Calibri" w:cs="Calibri"/>
                <w:position w:val="1"/>
                <w:szCs w:val="22"/>
                <w:lang w:val="fr-FR"/>
              </w:rPr>
              <w:t>lax</w:t>
            </w:r>
            <w:r w:rsidRPr="00497874">
              <w:rPr>
                <w:rFonts w:ascii="Calibri" w:eastAsia="Calibri" w:hAnsi="Calibri" w:cs="Calibri"/>
                <w:spacing w:val="-3"/>
                <w:position w:val="1"/>
                <w:szCs w:val="22"/>
                <w:lang w:val="fr-FR"/>
              </w:rPr>
              <w:t>i</w:t>
            </w:r>
            <w:r w:rsidRPr="00497874">
              <w:rPr>
                <w:rFonts w:ascii="Calibri" w:eastAsia="Calibri" w:hAnsi="Calibri" w:cs="Calibri"/>
                <w:position w:val="1"/>
                <w:szCs w:val="22"/>
                <w:lang w:val="fr-FR"/>
              </w:rPr>
              <w:t>eA</w:t>
            </w:r>
            <w:r w:rsidRPr="00497874">
              <w:rPr>
                <w:rFonts w:ascii="Calibri" w:eastAsia="Calibri" w:hAnsi="Calibri" w:cs="Calibri"/>
                <w:spacing w:val="-3"/>
                <w:position w:val="1"/>
                <w:szCs w:val="22"/>
                <w:lang w:val="fr-FR"/>
              </w:rPr>
              <w:t>R</w:t>
            </w:r>
            <w:r w:rsidRPr="00497874">
              <w:rPr>
                <w:rFonts w:ascii="Calibri" w:eastAsia="Calibri" w:hAnsi="Calibri" w:cs="Calibri"/>
                <w:position w:val="1"/>
                <w:szCs w:val="22"/>
                <w:lang w:val="fr-FR"/>
              </w:rPr>
              <w:t>V</w:t>
            </w:r>
          </w:p>
        </w:tc>
        <w:tc>
          <w:tcPr>
            <w:tcW w:w="1452"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rsidRPr="00345CCB">
              <w:t>2 214</w:t>
            </w:r>
          </w:p>
        </w:tc>
        <w:tc>
          <w:tcPr>
            <w:tcW w:w="1698"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t>ND</w:t>
            </w:r>
          </w:p>
        </w:tc>
      </w:tr>
      <w:tr w:rsidR="00DC5ACA" w:rsidTr="00ED18BA">
        <w:trPr>
          <w:trHeight w:hRule="exact" w:val="597"/>
        </w:trPr>
        <w:tc>
          <w:tcPr>
            <w:tcW w:w="5310" w:type="dxa"/>
            <w:tcBorders>
              <w:top w:val="single" w:sz="5" w:space="0" w:color="000000"/>
              <w:left w:val="single" w:sz="5" w:space="0" w:color="000000"/>
              <w:bottom w:val="single" w:sz="5" w:space="0" w:color="000000"/>
              <w:right w:val="single" w:sz="5" w:space="0" w:color="000000"/>
            </w:tcBorders>
            <w:vAlign w:val="center"/>
          </w:tcPr>
          <w:p w:rsidR="00DC5ACA" w:rsidRPr="00497874" w:rsidRDefault="00DC5ACA" w:rsidP="00ED18BA">
            <w:pPr>
              <w:spacing w:line="260" w:lineRule="exact"/>
              <w:ind w:left="64"/>
              <w:rPr>
                <w:rFonts w:ascii="Calibri" w:eastAsia="Calibri" w:hAnsi="Calibri" w:cs="Calibri"/>
                <w:lang w:val="fr-FR"/>
              </w:rPr>
            </w:pPr>
            <w:r w:rsidRPr="00497874">
              <w:rPr>
                <w:rFonts w:ascii="Calibri" w:eastAsia="Calibri" w:hAnsi="Calibri" w:cs="Calibri"/>
                <w:spacing w:val="-1"/>
                <w:position w:val="1"/>
                <w:szCs w:val="22"/>
                <w:lang w:val="fr-FR"/>
              </w:rPr>
              <w:t>N</w:t>
            </w:r>
            <w:r w:rsidRPr="00497874">
              <w:rPr>
                <w:rFonts w:ascii="Calibri" w:eastAsia="Calibri" w:hAnsi="Calibri" w:cs="Calibri"/>
                <w:spacing w:val="1"/>
                <w:position w:val="1"/>
                <w:szCs w:val="22"/>
                <w:lang w:val="fr-FR"/>
              </w:rPr>
              <w:t>om</w:t>
            </w:r>
            <w:r w:rsidRPr="00497874">
              <w:rPr>
                <w:rFonts w:ascii="Calibri" w:eastAsia="Calibri" w:hAnsi="Calibri" w:cs="Calibri"/>
                <w:spacing w:val="-1"/>
                <w:position w:val="1"/>
                <w:szCs w:val="22"/>
                <w:lang w:val="fr-FR"/>
              </w:rPr>
              <w:t>b</w:t>
            </w:r>
            <w:r w:rsidRPr="00497874">
              <w:rPr>
                <w:rFonts w:ascii="Calibri" w:eastAsia="Calibri" w:hAnsi="Calibri" w:cs="Calibri"/>
                <w:spacing w:val="-3"/>
                <w:position w:val="1"/>
                <w:szCs w:val="22"/>
                <w:lang w:val="fr-FR"/>
              </w:rPr>
              <w:t>r</w:t>
            </w:r>
            <w:r w:rsidRPr="00497874">
              <w:rPr>
                <w:rFonts w:ascii="Calibri" w:eastAsia="Calibri" w:hAnsi="Calibri" w:cs="Calibri"/>
                <w:position w:val="1"/>
                <w:szCs w:val="22"/>
                <w:lang w:val="fr-FR"/>
              </w:rPr>
              <w:t>e</w:t>
            </w:r>
            <w:r w:rsidRPr="00497874">
              <w:rPr>
                <w:rFonts w:ascii="Calibri" w:eastAsia="Calibri" w:hAnsi="Calibri" w:cs="Calibri"/>
                <w:spacing w:val="-1"/>
                <w:position w:val="1"/>
                <w:szCs w:val="22"/>
                <w:lang w:val="fr-FR"/>
              </w:rPr>
              <w:t>d</w:t>
            </w:r>
            <w:r w:rsidRPr="00497874">
              <w:rPr>
                <w:rFonts w:ascii="Calibri" w:eastAsia="Calibri" w:hAnsi="Calibri" w:cs="Calibri"/>
                <w:position w:val="1"/>
                <w:szCs w:val="22"/>
                <w:lang w:val="fr-FR"/>
              </w:rPr>
              <w:t>’enfa</w:t>
            </w:r>
            <w:r w:rsidRPr="00497874">
              <w:rPr>
                <w:rFonts w:ascii="Calibri" w:eastAsia="Calibri" w:hAnsi="Calibri" w:cs="Calibri"/>
                <w:spacing w:val="-1"/>
                <w:position w:val="1"/>
                <w:szCs w:val="22"/>
                <w:lang w:val="fr-FR"/>
              </w:rPr>
              <w:t>n</w:t>
            </w:r>
            <w:r w:rsidRPr="00497874">
              <w:rPr>
                <w:rFonts w:ascii="Calibri" w:eastAsia="Calibri" w:hAnsi="Calibri" w:cs="Calibri"/>
                <w:position w:val="1"/>
                <w:szCs w:val="22"/>
                <w:lang w:val="fr-FR"/>
              </w:rPr>
              <w:t>ts</w:t>
            </w:r>
            <w:r w:rsidRPr="00497874">
              <w:rPr>
                <w:rFonts w:ascii="Calibri" w:eastAsia="Calibri" w:hAnsi="Calibri" w:cs="Calibri"/>
                <w:spacing w:val="1"/>
                <w:position w:val="1"/>
                <w:szCs w:val="22"/>
                <w:lang w:val="fr-FR"/>
              </w:rPr>
              <w:t>e</w:t>
            </w:r>
            <w:r w:rsidRPr="00497874">
              <w:rPr>
                <w:rFonts w:ascii="Calibri" w:eastAsia="Calibri" w:hAnsi="Calibri" w:cs="Calibri"/>
                <w:position w:val="1"/>
                <w:szCs w:val="22"/>
                <w:lang w:val="fr-FR"/>
              </w:rPr>
              <w:t>x</w:t>
            </w:r>
            <w:r w:rsidRPr="00497874">
              <w:rPr>
                <w:rFonts w:ascii="Calibri" w:eastAsia="Calibri" w:hAnsi="Calibri" w:cs="Calibri"/>
                <w:spacing w:val="-3"/>
                <w:position w:val="1"/>
                <w:szCs w:val="22"/>
                <w:lang w:val="fr-FR"/>
              </w:rPr>
              <w:t>p</w:t>
            </w:r>
            <w:r w:rsidRPr="00497874">
              <w:rPr>
                <w:rFonts w:ascii="Calibri" w:eastAsia="Calibri" w:hAnsi="Calibri" w:cs="Calibri"/>
                <w:spacing w:val="1"/>
                <w:position w:val="1"/>
                <w:szCs w:val="22"/>
                <w:lang w:val="fr-FR"/>
              </w:rPr>
              <w:t>o</w:t>
            </w:r>
            <w:r w:rsidRPr="00497874">
              <w:rPr>
                <w:rFonts w:ascii="Calibri" w:eastAsia="Calibri" w:hAnsi="Calibri" w:cs="Calibri"/>
                <w:position w:val="1"/>
                <w:szCs w:val="22"/>
                <w:lang w:val="fr-FR"/>
              </w:rPr>
              <w:t>sés</w:t>
            </w:r>
            <w:r w:rsidRPr="00497874">
              <w:rPr>
                <w:rFonts w:ascii="Calibri" w:eastAsia="Calibri" w:hAnsi="Calibri" w:cs="Calibri"/>
                <w:spacing w:val="-1"/>
                <w:position w:val="1"/>
                <w:szCs w:val="22"/>
                <w:lang w:val="fr-FR"/>
              </w:rPr>
              <w:t>d</w:t>
            </w:r>
            <w:r w:rsidRPr="00497874">
              <w:rPr>
                <w:rFonts w:ascii="Calibri" w:eastAsia="Calibri" w:hAnsi="Calibri" w:cs="Calibri"/>
                <w:position w:val="1"/>
                <w:szCs w:val="22"/>
                <w:lang w:val="fr-FR"/>
              </w:rPr>
              <w:t>ép</w:t>
            </w:r>
            <w:r w:rsidRPr="00497874">
              <w:rPr>
                <w:rFonts w:ascii="Calibri" w:eastAsia="Calibri" w:hAnsi="Calibri" w:cs="Calibri"/>
                <w:spacing w:val="-1"/>
                <w:position w:val="1"/>
                <w:szCs w:val="22"/>
                <w:lang w:val="fr-FR"/>
              </w:rPr>
              <w:t>i</w:t>
            </w:r>
            <w:r w:rsidRPr="00497874">
              <w:rPr>
                <w:rFonts w:ascii="Calibri" w:eastAsia="Calibri" w:hAnsi="Calibri" w:cs="Calibri"/>
                <w:position w:val="1"/>
                <w:szCs w:val="22"/>
                <w:lang w:val="fr-FR"/>
              </w:rPr>
              <w:t>st</w:t>
            </w:r>
            <w:r w:rsidRPr="00497874">
              <w:rPr>
                <w:rFonts w:ascii="Calibri" w:eastAsia="Calibri" w:hAnsi="Calibri" w:cs="Calibri"/>
                <w:spacing w:val="1"/>
                <w:position w:val="1"/>
                <w:szCs w:val="22"/>
                <w:lang w:val="fr-FR"/>
              </w:rPr>
              <w:t>é</w:t>
            </w:r>
            <w:r w:rsidRPr="00497874">
              <w:rPr>
                <w:rFonts w:ascii="Calibri" w:eastAsia="Calibri" w:hAnsi="Calibri" w:cs="Calibri"/>
                <w:position w:val="1"/>
                <w:szCs w:val="22"/>
                <w:lang w:val="fr-FR"/>
              </w:rPr>
              <w:t>s par</w:t>
            </w:r>
            <w:r w:rsidRPr="00497874">
              <w:rPr>
                <w:rFonts w:ascii="Calibri" w:eastAsia="Calibri" w:hAnsi="Calibri" w:cs="Calibri"/>
                <w:spacing w:val="1"/>
                <w:position w:val="1"/>
                <w:szCs w:val="22"/>
                <w:lang w:val="fr-FR"/>
              </w:rPr>
              <w:t>P</w:t>
            </w:r>
            <w:r w:rsidRPr="00497874">
              <w:rPr>
                <w:rFonts w:ascii="Calibri" w:eastAsia="Calibri" w:hAnsi="Calibri" w:cs="Calibri"/>
                <w:position w:val="1"/>
                <w:szCs w:val="22"/>
                <w:lang w:val="fr-FR"/>
              </w:rPr>
              <w:t>CR</w:t>
            </w:r>
            <w:r w:rsidRPr="00497874">
              <w:rPr>
                <w:rFonts w:ascii="Calibri" w:eastAsia="Calibri" w:hAnsi="Calibri" w:cs="Calibri"/>
                <w:spacing w:val="1"/>
                <w:position w:val="1"/>
                <w:szCs w:val="22"/>
                <w:lang w:val="fr-FR"/>
              </w:rPr>
              <w:t>(</w:t>
            </w:r>
            <w:r w:rsidRPr="00497874">
              <w:rPr>
                <w:rFonts w:ascii="Calibri" w:eastAsia="Calibri" w:hAnsi="Calibri" w:cs="Calibri"/>
                <w:spacing w:val="-1"/>
                <w:position w:val="1"/>
                <w:szCs w:val="22"/>
                <w:lang w:val="fr-FR"/>
              </w:rPr>
              <w:t>d</w:t>
            </w:r>
            <w:r w:rsidRPr="00497874">
              <w:rPr>
                <w:rFonts w:ascii="Calibri" w:eastAsia="Calibri" w:hAnsi="Calibri" w:cs="Calibri"/>
                <w:position w:val="1"/>
                <w:szCs w:val="22"/>
                <w:lang w:val="fr-FR"/>
              </w:rPr>
              <w:t xml:space="preserve">èsla </w:t>
            </w:r>
            <w:r w:rsidRPr="00497874">
              <w:rPr>
                <w:rFonts w:ascii="Calibri" w:eastAsia="Calibri" w:hAnsi="Calibri" w:cs="Calibri"/>
                <w:spacing w:val="4"/>
                <w:position w:val="1"/>
                <w:szCs w:val="22"/>
                <w:lang w:val="fr-FR"/>
              </w:rPr>
              <w:t>6</w:t>
            </w:r>
            <w:r>
              <w:rPr>
                <w:rFonts w:ascii="Calibri" w:eastAsia="Calibri" w:hAnsi="Calibri" w:cs="Calibri"/>
                <w:spacing w:val="-2"/>
                <w:position w:val="11"/>
                <w:sz w:val="14"/>
                <w:szCs w:val="14"/>
                <w:lang w:val="fr-FR"/>
              </w:rPr>
              <w:t>e</w:t>
            </w:r>
            <w:r w:rsidRPr="00497874">
              <w:rPr>
                <w:rFonts w:ascii="Calibri" w:eastAsia="Calibri" w:hAnsi="Calibri" w:cs="Calibri"/>
                <w:position w:val="1"/>
                <w:szCs w:val="22"/>
                <w:lang w:val="fr-FR"/>
              </w:rPr>
              <w:t>se</w:t>
            </w:r>
            <w:r w:rsidRPr="00497874">
              <w:rPr>
                <w:rFonts w:ascii="Calibri" w:eastAsia="Calibri" w:hAnsi="Calibri" w:cs="Calibri"/>
                <w:spacing w:val="2"/>
                <w:position w:val="1"/>
                <w:szCs w:val="22"/>
                <w:lang w:val="fr-FR"/>
              </w:rPr>
              <w:t>m</w:t>
            </w:r>
            <w:r w:rsidRPr="00497874">
              <w:rPr>
                <w:rFonts w:ascii="Calibri" w:eastAsia="Calibri" w:hAnsi="Calibri" w:cs="Calibri"/>
                <w:position w:val="1"/>
                <w:szCs w:val="22"/>
                <w:lang w:val="fr-FR"/>
              </w:rPr>
              <w:t>ai</w:t>
            </w:r>
            <w:r w:rsidRPr="00497874">
              <w:rPr>
                <w:rFonts w:ascii="Calibri" w:eastAsia="Calibri" w:hAnsi="Calibri" w:cs="Calibri"/>
                <w:spacing w:val="-1"/>
                <w:position w:val="1"/>
                <w:szCs w:val="22"/>
                <w:lang w:val="fr-FR"/>
              </w:rPr>
              <w:t>n</w:t>
            </w:r>
            <w:r w:rsidRPr="00497874">
              <w:rPr>
                <w:rFonts w:ascii="Calibri" w:eastAsia="Calibri" w:hAnsi="Calibri" w:cs="Calibri"/>
                <w:spacing w:val="1"/>
                <w:position w:val="1"/>
                <w:szCs w:val="22"/>
                <w:lang w:val="fr-FR"/>
              </w:rPr>
              <w:t>e</w:t>
            </w:r>
            <w:r w:rsidRPr="00497874">
              <w:rPr>
                <w:rFonts w:ascii="Calibri" w:eastAsia="Calibri" w:hAnsi="Calibri" w:cs="Calibri"/>
                <w:position w:val="1"/>
                <w:szCs w:val="22"/>
                <w:lang w:val="fr-FR"/>
              </w:rPr>
              <w:t>)</w:t>
            </w:r>
          </w:p>
        </w:tc>
        <w:tc>
          <w:tcPr>
            <w:tcW w:w="1452"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rsidRPr="00345CCB">
              <w:t>246</w:t>
            </w:r>
          </w:p>
        </w:tc>
        <w:tc>
          <w:tcPr>
            <w:tcW w:w="1698"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t>364 sur 1866 DBS collectées</w:t>
            </w:r>
          </w:p>
        </w:tc>
      </w:tr>
      <w:tr w:rsidR="00DC5ACA" w:rsidTr="00ED18BA">
        <w:trPr>
          <w:trHeight w:hRule="exact" w:val="570"/>
        </w:trPr>
        <w:tc>
          <w:tcPr>
            <w:tcW w:w="5310" w:type="dxa"/>
            <w:tcBorders>
              <w:top w:val="single" w:sz="5" w:space="0" w:color="000000"/>
              <w:left w:val="single" w:sz="5" w:space="0" w:color="000000"/>
              <w:bottom w:val="single" w:sz="5" w:space="0" w:color="000000"/>
              <w:right w:val="single" w:sz="5" w:space="0" w:color="000000"/>
            </w:tcBorders>
            <w:vAlign w:val="center"/>
          </w:tcPr>
          <w:p w:rsidR="00DC5ACA" w:rsidRPr="00497874" w:rsidRDefault="00DC5ACA" w:rsidP="00ED18BA">
            <w:pPr>
              <w:ind w:left="64"/>
              <w:rPr>
                <w:rFonts w:ascii="Calibri" w:eastAsia="Calibri" w:hAnsi="Calibri" w:cs="Calibri"/>
                <w:lang w:val="fr-FR"/>
              </w:rPr>
            </w:pPr>
            <w:r w:rsidRPr="00497874">
              <w:rPr>
                <w:rFonts w:ascii="Calibri" w:eastAsia="Calibri" w:hAnsi="Calibri" w:cs="Calibri"/>
                <w:spacing w:val="-1"/>
                <w:szCs w:val="22"/>
                <w:lang w:val="fr-FR"/>
              </w:rPr>
              <w:t>N</w:t>
            </w:r>
            <w:r w:rsidRPr="00497874">
              <w:rPr>
                <w:rFonts w:ascii="Calibri" w:eastAsia="Calibri" w:hAnsi="Calibri" w:cs="Calibri"/>
                <w:spacing w:val="1"/>
                <w:szCs w:val="22"/>
                <w:lang w:val="fr-FR"/>
              </w:rPr>
              <w:t>om</w:t>
            </w:r>
            <w:r w:rsidRPr="00497874">
              <w:rPr>
                <w:rFonts w:ascii="Calibri" w:eastAsia="Calibri" w:hAnsi="Calibri" w:cs="Calibri"/>
                <w:spacing w:val="-1"/>
                <w:szCs w:val="22"/>
                <w:lang w:val="fr-FR"/>
              </w:rPr>
              <w:t>b</w:t>
            </w:r>
            <w:r w:rsidRPr="00497874">
              <w:rPr>
                <w:rFonts w:ascii="Calibri" w:eastAsia="Calibri" w:hAnsi="Calibri" w:cs="Calibri"/>
                <w:spacing w:val="-3"/>
                <w:szCs w:val="22"/>
                <w:lang w:val="fr-FR"/>
              </w:rPr>
              <w:t>r</w:t>
            </w:r>
            <w:r w:rsidRPr="00497874">
              <w:rPr>
                <w:rFonts w:ascii="Calibri" w:eastAsia="Calibri" w:hAnsi="Calibri" w:cs="Calibri"/>
                <w:szCs w:val="22"/>
                <w:lang w:val="fr-FR"/>
              </w:rPr>
              <w:t>e</w:t>
            </w:r>
            <w:r w:rsidRPr="00497874">
              <w:rPr>
                <w:rFonts w:ascii="Calibri" w:eastAsia="Calibri" w:hAnsi="Calibri" w:cs="Calibri"/>
                <w:spacing w:val="-1"/>
                <w:szCs w:val="22"/>
                <w:lang w:val="fr-FR"/>
              </w:rPr>
              <w:t>d</w:t>
            </w:r>
            <w:r w:rsidRPr="00497874">
              <w:rPr>
                <w:rFonts w:ascii="Calibri" w:eastAsia="Calibri" w:hAnsi="Calibri" w:cs="Calibri"/>
                <w:szCs w:val="22"/>
                <w:lang w:val="fr-FR"/>
              </w:rPr>
              <w:t>’enfa</w:t>
            </w:r>
            <w:r w:rsidRPr="00497874">
              <w:rPr>
                <w:rFonts w:ascii="Calibri" w:eastAsia="Calibri" w:hAnsi="Calibri" w:cs="Calibri"/>
                <w:spacing w:val="-1"/>
                <w:szCs w:val="22"/>
                <w:lang w:val="fr-FR"/>
              </w:rPr>
              <w:t>n</w:t>
            </w:r>
            <w:r w:rsidRPr="00497874">
              <w:rPr>
                <w:rFonts w:ascii="Calibri" w:eastAsia="Calibri" w:hAnsi="Calibri" w:cs="Calibri"/>
                <w:szCs w:val="22"/>
                <w:lang w:val="fr-FR"/>
              </w:rPr>
              <w:t>ts</w:t>
            </w:r>
            <w:r w:rsidRPr="00497874">
              <w:rPr>
                <w:rFonts w:ascii="Calibri" w:eastAsia="Calibri" w:hAnsi="Calibri" w:cs="Calibri"/>
                <w:spacing w:val="1"/>
                <w:szCs w:val="22"/>
                <w:lang w:val="fr-FR"/>
              </w:rPr>
              <w:t>e</w:t>
            </w:r>
            <w:r w:rsidRPr="00497874">
              <w:rPr>
                <w:rFonts w:ascii="Calibri" w:eastAsia="Calibri" w:hAnsi="Calibri" w:cs="Calibri"/>
                <w:szCs w:val="22"/>
                <w:lang w:val="fr-FR"/>
              </w:rPr>
              <w:t>x</w:t>
            </w:r>
            <w:r w:rsidRPr="00497874">
              <w:rPr>
                <w:rFonts w:ascii="Calibri" w:eastAsia="Calibri" w:hAnsi="Calibri" w:cs="Calibri"/>
                <w:spacing w:val="-3"/>
                <w:szCs w:val="22"/>
                <w:lang w:val="fr-FR"/>
              </w:rPr>
              <w:t>p</w:t>
            </w:r>
            <w:r w:rsidRPr="00497874">
              <w:rPr>
                <w:rFonts w:ascii="Calibri" w:eastAsia="Calibri" w:hAnsi="Calibri" w:cs="Calibri"/>
                <w:spacing w:val="1"/>
                <w:szCs w:val="22"/>
                <w:lang w:val="fr-FR"/>
              </w:rPr>
              <w:t>o</w:t>
            </w:r>
            <w:r w:rsidRPr="00497874">
              <w:rPr>
                <w:rFonts w:ascii="Calibri" w:eastAsia="Calibri" w:hAnsi="Calibri" w:cs="Calibri"/>
                <w:szCs w:val="22"/>
                <w:lang w:val="fr-FR"/>
              </w:rPr>
              <w:t>sés</w:t>
            </w:r>
            <w:r w:rsidRPr="00497874">
              <w:rPr>
                <w:rFonts w:ascii="Calibri" w:eastAsia="Calibri" w:hAnsi="Calibri" w:cs="Calibri"/>
                <w:spacing w:val="-1"/>
                <w:szCs w:val="22"/>
                <w:lang w:val="fr-FR"/>
              </w:rPr>
              <w:t>d</w:t>
            </w:r>
            <w:r w:rsidRPr="00497874">
              <w:rPr>
                <w:rFonts w:ascii="Calibri" w:eastAsia="Calibri" w:hAnsi="Calibri" w:cs="Calibri"/>
                <w:szCs w:val="22"/>
                <w:lang w:val="fr-FR"/>
              </w:rPr>
              <w:t>ép</w:t>
            </w:r>
            <w:r w:rsidRPr="00497874">
              <w:rPr>
                <w:rFonts w:ascii="Calibri" w:eastAsia="Calibri" w:hAnsi="Calibri" w:cs="Calibri"/>
                <w:spacing w:val="-1"/>
                <w:szCs w:val="22"/>
                <w:lang w:val="fr-FR"/>
              </w:rPr>
              <w:t>i</w:t>
            </w:r>
            <w:r w:rsidRPr="00497874">
              <w:rPr>
                <w:rFonts w:ascii="Calibri" w:eastAsia="Calibri" w:hAnsi="Calibri" w:cs="Calibri"/>
                <w:szCs w:val="22"/>
                <w:lang w:val="fr-FR"/>
              </w:rPr>
              <w:t>st</w:t>
            </w:r>
            <w:r w:rsidRPr="00497874">
              <w:rPr>
                <w:rFonts w:ascii="Calibri" w:eastAsia="Calibri" w:hAnsi="Calibri" w:cs="Calibri"/>
                <w:spacing w:val="1"/>
                <w:szCs w:val="22"/>
                <w:lang w:val="fr-FR"/>
              </w:rPr>
              <w:t>é</w:t>
            </w:r>
            <w:r w:rsidRPr="00497874">
              <w:rPr>
                <w:rFonts w:ascii="Calibri" w:eastAsia="Calibri" w:hAnsi="Calibri" w:cs="Calibri"/>
                <w:szCs w:val="22"/>
                <w:lang w:val="fr-FR"/>
              </w:rPr>
              <w:t>s VIH</w:t>
            </w:r>
            <w:r w:rsidRPr="00497874">
              <w:rPr>
                <w:rFonts w:ascii="Calibri" w:eastAsia="Calibri" w:hAnsi="Calibri" w:cs="Calibri"/>
                <w:spacing w:val="-3"/>
                <w:szCs w:val="22"/>
                <w:lang w:val="fr-FR"/>
              </w:rPr>
              <w:t>p</w:t>
            </w:r>
            <w:r w:rsidRPr="00497874">
              <w:rPr>
                <w:rFonts w:ascii="Calibri" w:eastAsia="Calibri" w:hAnsi="Calibri" w:cs="Calibri"/>
                <w:spacing w:val="1"/>
                <w:szCs w:val="22"/>
                <w:lang w:val="fr-FR"/>
              </w:rPr>
              <w:t>o</w:t>
            </w:r>
            <w:r w:rsidRPr="00497874">
              <w:rPr>
                <w:rFonts w:ascii="Calibri" w:eastAsia="Calibri" w:hAnsi="Calibri" w:cs="Calibri"/>
                <w:szCs w:val="22"/>
                <w:lang w:val="fr-FR"/>
              </w:rPr>
              <w:t xml:space="preserve">sitifspar </w:t>
            </w:r>
            <w:r w:rsidRPr="00497874">
              <w:rPr>
                <w:rFonts w:ascii="Calibri" w:eastAsia="Calibri" w:hAnsi="Calibri" w:cs="Calibri"/>
                <w:spacing w:val="-2"/>
                <w:szCs w:val="22"/>
                <w:lang w:val="fr-FR"/>
              </w:rPr>
              <w:t>PC</w:t>
            </w:r>
            <w:r w:rsidRPr="00497874">
              <w:rPr>
                <w:rFonts w:ascii="Calibri" w:eastAsia="Calibri" w:hAnsi="Calibri" w:cs="Calibri"/>
                <w:szCs w:val="22"/>
                <w:lang w:val="fr-FR"/>
              </w:rPr>
              <w:t>R</w:t>
            </w:r>
          </w:p>
        </w:tc>
        <w:tc>
          <w:tcPr>
            <w:tcW w:w="1452"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rsidRPr="00345CCB">
              <w:t>43</w:t>
            </w:r>
          </w:p>
        </w:tc>
        <w:tc>
          <w:tcPr>
            <w:tcW w:w="1698"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t>7</w:t>
            </w:r>
          </w:p>
        </w:tc>
      </w:tr>
      <w:tr w:rsidR="00DC5ACA" w:rsidTr="00ED18BA">
        <w:trPr>
          <w:trHeight w:hRule="exact" w:val="507"/>
        </w:trPr>
        <w:tc>
          <w:tcPr>
            <w:tcW w:w="5310" w:type="dxa"/>
            <w:tcBorders>
              <w:top w:val="single" w:sz="5" w:space="0" w:color="000000"/>
              <w:left w:val="single" w:sz="5" w:space="0" w:color="000000"/>
              <w:bottom w:val="single" w:sz="5" w:space="0" w:color="000000"/>
              <w:right w:val="single" w:sz="5" w:space="0" w:color="000000"/>
            </w:tcBorders>
            <w:vAlign w:val="center"/>
          </w:tcPr>
          <w:p w:rsidR="00DC5ACA" w:rsidRPr="00497874" w:rsidRDefault="00DC5ACA" w:rsidP="00ED18BA">
            <w:pPr>
              <w:spacing w:line="260" w:lineRule="exact"/>
              <w:ind w:left="64"/>
              <w:rPr>
                <w:rFonts w:ascii="Calibri" w:eastAsia="Calibri" w:hAnsi="Calibri" w:cs="Calibri"/>
                <w:lang w:val="fr-FR"/>
              </w:rPr>
            </w:pPr>
            <w:r w:rsidRPr="00497874">
              <w:rPr>
                <w:rFonts w:ascii="Calibri" w:eastAsia="Calibri" w:hAnsi="Calibri" w:cs="Calibri"/>
                <w:spacing w:val="-1"/>
                <w:position w:val="1"/>
                <w:szCs w:val="22"/>
                <w:lang w:val="fr-FR"/>
              </w:rPr>
              <w:t>N</w:t>
            </w:r>
            <w:r w:rsidRPr="00497874">
              <w:rPr>
                <w:rFonts w:ascii="Calibri" w:eastAsia="Calibri" w:hAnsi="Calibri" w:cs="Calibri"/>
                <w:spacing w:val="1"/>
                <w:position w:val="1"/>
                <w:szCs w:val="22"/>
                <w:lang w:val="fr-FR"/>
              </w:rPr>
              <w:t>om</w:t>
            </w:r>
            <w:r w:rsidRPr="00497874">
              <w:rPr>
                <w:rFonts w:ascii="Calibri" w:eastAsia="Calibri" w:hAnsi="Calibri" w:cs="Calibri"/>
                <w:spacing w:val="-1"/>
                <w:position w:val="1"/>
                <w:szCs w:val="22"/>
                <w:lang w:val="fr-FR"/>
              </w:rPr>
              <w:t>b</w:t>
            </w:r>
            <w:r w:rsidRPr="00497874">
              <w:rPr>
                <w:rFonts w:ascii="Calibri" w:eastAsia="Calibri" w:hAnsi="Calibri" w:cs="Calibri"/>
                <w:spacing w:val="-3"/>
                <w:position w:val="1"/>
                <w:szCs w:val="22"/>
                <w:lang w:val="fr-FR"/>
              </w:rPr>
              <w:t>r</w:t>
            </w:r>
            <w:r w:rsidRPr="00497874">
              <w:rPr>
                <w:rFonts w:ascii="Calibri" w:eastAsia="Calibri" w:hAnsi="Calibri" w:cs="Calibri"/>
                <w:position w:val="1"/>
                <w:szCs w:val="22"/>
                <w:lang w:val="fr-FR"/>
              </w:rPr>
              <w:t>e</w:t>
            </w:r>
            <w:r w:rsidRPr="00497874">
              <w:rPr>
                <w:rFonts w:ascii="Calibri" w:eastAsia="Calibri" w:hAnsi="Calibri" w:cs="Calibri"/>
                <w:spacing w:val="-1"/>
                <w:position w:val="1"/>
                <w:szCs w:val="22"/>
                <w:lang w:val="fr-FR"/>
              </w:rPr>
              <w:t>d</w:t>
            </w:r>
            <w:r w:rsidRPr="00497874">
              <w:rPr>
                <w:rFonts w:ascii="Calibri" w:eastAsia="Calibri" w:hAnsi="Calibri" w:cs="Calibri"/>
                <w:position w:val="1"/>
                <w:szCs w:val="22"/>
                <w:lang w:val="fr-FR"/>
              </w:rPr>
              <w:t>’enfa</w:t>
            </w:r>
            <w:r w:rsidRPr="00497874">
              <w:rPr>
                <w:rFonts w:ascii="Calibri" w:eastAsia="Calibri" w:hAnsi="Calibri" w:cs="Calibri"/>
                <w:spacing w:val="-1"/>
                <w:position w:val="1"/>
                <w:szCs w:val="22"/>
                <w:lang w:val="fr-FR"/>
              </w:rPr>
              <w:t>n</w:t>
            </w:r>
            <w:r w:rsidRPr="00497874">
              <w:rPr>
                <w:rFonts w:ascii="Calibri" w:eastAsia="Calibri" w:hAnsi="Calibri" w:cs="Calibri"/>
                <w:position w:val="1"/>
                <w:szCs w:val="22"/>
                <w:lang w:val="fr-FR"/>
              </w:rPr>
              <w:t>ts</w:t>
            </w:r>
            <w:r w:rsidRPr="00497874">
              <w:rPr>
                <w:rFonts w:ascii="Calibri" w:eastAsia="Calibri" w:hAnsi="Calibri" w:cs="Calibri"/>
                <w:spacing w:val="1"/>
                <w:position w:val="1"/>
                <w:szCs w:val="22"/>
                <w:lang w:val="fr-FR"/>
              </w:rPr>
              <w:t>e</w:t>
            </w:r>
            <w:r w:rsidRPr="00497874">
              <w:rPr>
                <w:rFonts w:ascii="Calibri" w:eastAsia="Calibri" w:hAnsi="Calibri" w:cs="Calibri"/>
                <w:position w:val="1"/>
                <w:szCs w:val="22"/>
                <w:lang w:val="fr-FR"/>
              </w:rPr>
              <w:t>x</w:t>
            </w:r>
            <w:r w:rsidRPr="00497874">
              <w:rPr>
                <w:rFonts w:ascii="Calibri" w:eastAsia="Calibri" w:hAnsi="Calibri" w:cs="Calibri"/>
                <w:spacing w:val="-3"/>
                <w:position w:val="1"/>
                <w:szCs w:val="22"/>
                <w:lang w:val="fr-FR"/>
              </w:rPr>
              <w:t>p</w:t>
            </w:r>
            <w:r w:rsidRPr="00497874">
              <w:rPr>
                <w:rFonts w:ascii="Calibri" w:eastAsia="Calibri" w:hAnsi="Calibri" w:cs="Calibri"/>
                <w:spacing w:val="1"/>
                <w:position w:val="1"/>
                <w:szCs w:val="22"/>
                <w:lang w:val="fr-FR"/>
              </w:rPr>
              <w:t>o</w:t>
            </w:r>
            <w:r w:rsidRPr="00497874">
              <w:rPr>
                <w:rFonts w:ascii="Calibri" w:eastAsia="Calibri" w:hAnsi="Calibri" w:cs="Calibri"/>
                <w:position w:val="1"/>
                <w:szCs w:val="22"/>
                <w:lang w:val="fr-FR"/>
              </w:rPr>
              <w:t>sésayant</w:t>
            </w:r>
            <w:r w:rsidRPr="00497874">
              <w:rPr>
                <w:rFonts w:ascii="Calibri" w:eastAsia="Calibri" w:hAnsi="Calibri" w:cs="Calibri"/>
                <w:spacing w:val="-1"/>
                <w:position w:val="1"/>
                <w:szCs w:val="22"/>
                <w:lang w:val="fr-FR"/>
              </w:rPr>
              <w:t>b</w:t>
            </w:r>
            <w:r w:rsidRPr="00497874">
              <w:rPr>
                <w:rFonts w:ascii="Calibri" w:eastAsia="Calibri" w:hAnsi="Calibri" w:cs="Calibri"/>
                <w:position w:val="1"/>
                <w:szCs w:val="22"/>
                <w:lang w:val="fr-FR"/>
              </w:rPr>
              <w:t>é</w:t>
            </w:r>
            <w:r w:rsidRPr="00497874">
              <w:rPr>
                <w:rFonts w:ascii="Calibri" w:eastAsia="Calibri" w:hAnsi="Calibri" w:cs="Calibri"/>
                <w:spacing w:val="-3"/>
                <w:position w:val="1"/>
                <w:szCs w:val="22"/>
                <w:lang w:val="fr-FR"/>
              </w:rPr>
              <w:t>n</w:t>
            </w:r>
            <w:r w:rsidRPr="00497874">
              <w:rPr>
                <w:rFonts w:ascii="Calibri" w:eastAsia="Calibri" w:hAnsi="Calibri" w:cs="Calibri"/>
                <w:position w:val="1"/>
                <w:szCs w:val="22"/>
                <w:lang w:val="fr-FR"/>
              </w:rPr>
              <w:t>éfic</w:t>
            </w:r>
            <w:r w:rsidRPr="00497874">
              <w:rPr>
                <w:rFonts w:ascii="Calibri" w:eastAsia="Calibri" w:hAnsi="Calibri" w:cs="Calibri"/>
                <w:spacing w:val="2"/>
                <w:position w:val="1"/>
                <w:szCs w:val="22"/>
                <w:lang w:val="fr-FR"/>
              </w:rPr>
              <w:t>i</w:t>
            </w:r>
            <w:r w:rsidRPr="00497874">
              <w:rPr>
                <w:rFonts w:ascii="Calibri" w:eastAsia="Calibri" w:hAnsi="Calibri" w:cs="Calibri"/>
                <w:position w:val="1"/>
                <w:szCs w:val="22"/>
                <w:lang w:val="fr-FR"/>
              </w:rPr>
              <w:t>é</w:t>
            </w:r>
            <w:r w:rsidRPr="00497874">
              <w:rPr>
                <w:rFonts w:ascii="Calibri" w:eastAsia="Calibri" w:hAnsi="Calibri" w:cs="Calibri"/>
                <w:spacing w:val="-1"/>
                <w:position w:val="1"/>
                <w:szCs w:val="22"/>
                <w:lang w:val="fr-FR"/>
              </w:rPr>
              <w:t>d</w:t>
            </w:r>
            <w:r w:rsidRPr="00497874">
              <w:rPr>
                <w:rFonts w:ascii="Calibri" w:eastAsia="Calibri" w:hAnsi="Calibri" w:cs="Calibri"/>
                <w:position w:val="1"/>
                <w:szCs w:val="22"/>
                <w:lang w:val="fr-FR"/>
              </w:rPr>
              <w:t>’</w:t>
            </w:r>
            <w:r w:rsidRPr="00497874">
              <w:rPr>
                <w:rFonts w:ascii="Calibri" w:eastAsia="Calibri" w:hAnsi="Calibri" w:cs="Calibri"/>
                <w:spacing w:val="-1"/>
                <w:position w:val="1"/>
                <w:szCs w:val="22"/>
                <w:lang w:val="fr-FR"/>
              </w:rPr>
              <w:t>u</w:t>
            </w:r>
            <w:r w:rsidRPr="00497874">
              <w:rPr>
                <w:rFonts w:ascii="Calibri" w:eastAsia="Calibri" w:hAnsi="Calibri" w:cs="Calibri"/>
                <w:position w:val="1"/>
                <w:szCs w:val="22"/>
                <w:lang w:val="fr-FR"/>
              </w:rPr>
              <w:t xml:space="preserve">n </w:t>
            </w:r>
            <w:r w:rsidRPr="00497874">
              <w:rPr>
                <w:rFonts w:ascii="Calibri" w:eastAsia="Calibri" w:hAnsi="Calibri" w:cs="Calibri"/>
                <w:spacing w:val="-3"/>
                <w:position w:val="1"/>
                <w:szCs w:val="22"/>
                <w:lang w:val="fr-FR"/>
              </w:rPr>
              <w:t>d</w:t>
            </w:r>
            <w:r w:rsidRPr="00497874">
              <w:rPr>
                <w:rFonts w:ascii="Calibri" w:eastAsia="Calibri" w:hAnsi="Calibri" w:cs="Calibri"/>
                <w:position w:val="1"/>
                <w:szCs w:val="22"/>
                <w:lang w:val="fr-FR"/>
              </w:rPr>
              <w:t>ép</w:t>
            </w:r>
            <w:r w:rsidRPr="00497874">
              <w:rPr>
                <w:rFonts w:ascii="Calibri" w:eastAsia="Calibri" w:hAnsi="Calibri" w:cs="Calibri"/>
                <w:spacing w:val="-1"/>
                <w:position w:val="1"/>
                <w:szCs w:val="22"/>
                <w:lang w:val="fr-FR"/>
              </w:rPr>
              <w:t>i</w:t>
            </w:r>
            <w:r w:rsidRPr="00497874">
              <w:rPr>
                <w:rFonts w:ascii="Calibri" w:eastAsia="Calibri" w:hAnsi="Calibri" w:cs="Calibri"/>
                <w:position w:val="1"/>
                <w:szCs w:val="22"/>
                <w:lang w:val="fr-FR"/>
              </w:rPr>
              <w:t>s</w:t>
            </w:r>
            <w:r w:rsidRPr="00497874">
              <w:rPr>
                <w:rFonts w:ascii="Calibri" w:eastAsia="Calibri" w:hAnsi="Calibri" w:cs="Calibri"/>
                <w:spacing w:val="-2"/>
                <w:position w:val="1"/>
                <w:szCs w:val="22"/>
                <w:lang w:val="fr-FR"/>
              </w:rPr>
              <w:t>t</w:t>
            </w:r>
            <w:r w:rsidRPr="00497874">
              <w:rPr>
                <w:rFonts w:ascii="Calibri" w:eastAsia="Calibri" w:hAnsi="Calibri" w:cs="Calibri"/>
                <w:position w:val="1"/>
                <w:szCs w:val="22"/>
                <w:lang w:val="fr-FR"/>
              </w:rPr>
              <w:t>a</w:t>
            </w:r>
            <w:r w:rsidRPr="00497874">
              <w:rPr>
                <w:rFonts w:ascii="Calibri" w:eastAsia="Calibri" w:hAnsi="Calibri" w:cs="Calibri"/>
                <w:spacing w:val="-1"/>
                <w:position w:val="1"/>
                <w:szCs w:val="22"/>
                <w:lang w:val="fr-FR"/>
              </w:rPr>
              <w:t>g</w:t>
            </w:r>
            <w:r w:rsidRPr="00497874">
              <w:rPr>
                <w:rFonts w:ascii="Calibri" w:eastAsia="Calibri" w:hAnsi="Calibri" w:cs="Calibri"/>
                <w:position w:val="1"/>
                <w:szCs w:val="22"/>
                <w:lang w:val="fr-FR"/>
              </w:rPr>
              <w:t>esé</w:t>
            </w:r>
            <w:r w:rsidRPr="00497874">
              <w:rPr>
                <w:rFonts w:ascii="Calibri" w:eastAsia="Calibri" w:hAnsi="Calibri" w:cs="Calibri"/>
                <w:spacing w:val="-2"/>
                <w:position w:val="1"/>
                <w:szCs w:val="22"/>
                <w:lang w:val="fr-FR"/>
              </w:rPr>
              <w:t>r</w:t>
            </w:r>
            <w:r w:rsidRPr="00497874">
              <w:rPr>
                <w:rFonts w:ascii="Calibri" w:eastAsia="Calibri" w:hAnsi="Calibri" w:cs="Calibri"/>
                <w:spacing w:val="1"/>
                <w:position w:val="1"/>
                <w:szCs w:val="22"/>
                <w:lang w:val="fr-FR"/>
              </w:rPr>
              <w:t>o</w:t>
            </w:r>
            <w:r w:rsidRPr="00497874">
              <w:rPr>
                <w:rFonts w:ascii="Calibri" w:eastAsia="Calibri" w:hAnsi="Calibri" w:cs="Calibri"/>
                <w:position w:val="1"/>
                <w:szCs w:val="22"/>
                <w:lang w:val="fr-FR"/>
              </w:rPr>
              <w:t>l</w:t>
            </w:r>
            <w:r w:rsidRPr="00497874">
              <w:rPr>
                <w:rFonts w:ascii="Calibri" w:eastAsia="Calibri" w:hAnsi="Calibri" w:cs="Calibri"/>
                <w:spacing w:val="1"/>
                <w:position w:val="1"/>
                <w:szCs w:val="22"/>
                <w:lang w:val="fr-FR"/>
              </w:rPr>
              <w:t>o</w:t>
            </w:r>
            <w:r w:rsidRPr="00497874">
              <w:rPr>
                <w:rFonts w:ascii="Calibri" w:eastAsia="Calibri" w:hAnsi="Calibri" w:cs="Calibri"/>
                <w:spacing w:val="-1"/>
                <w:position w:val="1"/>
                <w:szCs w:val="22"/>
                <w:lang w:val="fr-FR"/>
              </w:rPr>
              <w:t>g</w:t>
            </w:r>
            <w:r w:rsidRPr="00497874">
              <w:rPr>
                <w:rFonts w:ascii="Calibri" w:eastAsia="Calibri" w:hAnsi="Calibri" w:cs="Calibri"/>
                <w:position w:val="1"/>
                <w:szCs w:val="22"/>
                <w:lang w:val="fr-FR"/>
              </w:rPr>
              <w:t>i</w:t>
            </w:r>
            <w:r w:rsidRPr="00497874">
              <w:rPr>
                <w:rFonts w:ascii="Calibri" w:eastAsia="Calibri" w:hAnsi="Calibri" w:cs="Calibri"/>
                <w:spacing w:val="-1"/>
                <w:position w:val="1"/>
                <w:szCs w:val="22"/>
                <w:lang w:val="fr-FR"/>
              </w:rPr>
              <w:t>qu</w:t>
            </w:r>
            <w:r w:rsidRPr="00497874">
              <w:rPr>
                <w:rFonts w:ascii="Calibri" w:eastAsia="Calibri" w:hAnsi="Calibri" w:cs="Calibri"/>
                <w:position w:val="1"/>
                <w:szCs w:val="22"/>
                <w:lang w:val="fr-FR"/>
              </w:rPr>
              <w:t>e</w:t>
            </w:r>
            <w:r w:rsidRPr="00497874">
              <w:rPr>
                <w:rFonts w:ascii="Calibri" w:eastAsia="Calibri" w:hAnsi="Calibri" w:cs="Calibri"/>
                <w:spacing w:val="1"/>
                <w:position w:val="1"/>
                <w:szCs w:val="22"/>
                <w:lang w:val="fr-FR"/>
              </w:rPr>
              <w:t>(</w:t>
            </w:r>
            <w:r w:rsidRPr="00497874">
              <w:rPr>
                <w:rFonts w:ascii="Calibri" w:eastAsia="Calibri" w:hAnsi="Calibri" w:cs="Calibri"/>
                <w:spacing w:val="-2"/>
                <w:position w:val="1"/>
                <w:szCs w:val="22"/>
                <w:lang w:val="fr-FR"/>
              </w:rPr>
              <w:t>1</w:t>
            </w:r>
            <w:r w:rsidRPr="00497874">
              <w:rPr>
                <w:rFonts w:ascii="Calibri" w:eastAsia="Calibri" w:hAnsi="Calibri" w:cs="Calibri"/>
                <w:position w:val="1"/>
                <w:szCs w:val="22"/>
                <w:lang w:val="fr-FR"/>
              </w:rPr>
              <w:t>8</w:t>
            </w:r>
            <w:r>
              <w:rPr>
                <w:rFonts w:ascii="Calibri" w:eastAsia="Calibri" w:hAnsi="Calibri" w:cs="Calibri"/>
                <w:spacing w:val="-1"/>
                <w:position w:val="1"/>
                <w:szCs w:val="22"/>
                <w:lang w:val="fr-FR"/>
              </w:rPr>
              <w:t>mois</w:t>
            </w:r>
            <w:r w:rsidRPr="00497874">
              <w:rPr>
                <w:rFonts w:ascii="Calibri" w:eastAsia="Calibri" w:hAnsi="Calibri" w:cs="Calibri"/>
                <w:position w:val="1"/>
                <w:szCs w:val="22"/>
                <w:lang w:val="fr-FR"/>
              </w:rPr>
              <w:t>)</w:t>
            </w:r>
          </w:p>
        </w:tc>
        <w:tc>
          <w:tcPr>
            <w:tcW w:w="1452"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rsidRPr="00345CCB">
              <w:t>274</w:t>
            </w:r>
          </w:p>
        </w:tc>
        <w:tc>
          <w:tcPr>
            <w:tcW w:w="1698"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t>525</w:t>
            </w:r>
          </w:p>
        </w:tc>
      </w:tr>
      <w:tr w:rsidR="00DC5ACA" w:rsidTr="00ED18BA">
        <w:trPr>
          <w:trHeight w:hRule="exact" w:val="552"/>
        </w:trPr>
        <w:tc>
          <w:tcPr>
            <w:tcW w:w="5310" w:type="dxa"/>
            <w:tcBorders>
              <w:top w:val="single" w:sz="5" w:space="0" w:color="000000"/>
              <w:left w:val="single" w:sz="5" w:space="0" w:color="000000"/>
              <w:bottom w:val="single" w:sz="5" w:space="0" w:color="000000"/>
              <w:right w:val="single" w:sz="5" w:space="0" w:color="000000"/>
            </w:tcBorders>
            <w:vAlign w:val="center"/>
          </w:tcPr>
          <w:p w:rsidR="00DC5ACA" w:rsidRPr="00497874" w:rsidRDefault="00DC5ACA" w:rsidP="00ED18BA">
            <w:pPr>
              <w:spacing w:line="260" w:lineRule="exact"/>
              <w:ind w:left="64"/>
              <w:rPr>
                <w:rFonts w:ascii="Calibri" w:eastAsia="Calibri" w:hAnsi="Calibri" w:cs="Calibri"/>
                <w:lang w:val="fr-FR"/>
              </w:rPr>
            </w:pPr>
            <w:r w:rsidRPr="00497874">
              <w:rPr>
                <w:rFonts w:ascii="Calibri" w:eastAsia="Calibri" w:hAnsi="Calibri" w:cs="Calibri"/>
                <w:spacing w:val="-1"/>
                <w:position w:val="1"/>
                <w:szCs w:val="22"/>
                <w:lang w:val="fr-FR"/>
              </w:rPr>
              <w:t>N</w:t>
            </w:r>
            <w:r w:rsidRPr="00497874">
              <w:rPr>
                <w:rFonts w:ascii="Calibri" w:eastAsia="Calibri" w:hAnsi="Calibri" w:cs="Calibri"/>
                <w:spacing w:val="1"/>
                <w:position w:val="1"/>
                <w:szCs w:val="22"/>
                <w:lang w:val="fr-FR"/>
              </w:rPr>
              <w:t>om</w:t>
            </w:r>
            <w:r w:rsidRPr="00497874">
              <w:rPr>
                <w:rFonts w:ascii="Calibri" w:eastAsia="Calibri" w:hAnsi="Calibri" w:cs="Calibri"/>
                <w:spacing w:val="-1"/>
                <w:position w:val="1"/>
                <w:szCs w:val="22"/>
                <w:lang w:val="fr-FR"/>
              </w:rPr>
              <w:t>b</w:t>
            </w:r>
            <w:r w:rsidRPr="00497874">
              <w:rPr>
                <w:rFonts w:ascii="Calibri" w:eastAsia="Calibri" w:hAnsi="Calibri" w:cs="Calibri"/>
                <w:spacing w:val="-3"/>
                <w:position w:val="1"/>
                <w:szCs w:val="22"/>
                <w:lang w:val="fr-FR"/>
              </w:rPr>
              <w:t>r</w:t>
            </w:r>
            <w:r w:rsidRPr="00497874">
              <w:rPr>
                <w:rFonts w:ascii="Calibri" w:eastAsia="Calibri" w:hAnsi="Calibri" w:cs="Calibri"/>
                <w:position w:val="1"/>
                <w:szCs w:val="22"/>
                <w:lang w:val="fr-FR"/>
              </w:rPr>
              <w:t>e</w:t>
            </w:r>
            <w:r w:rsidRPr="00497874">
              <w:rPr>
                <w:rFonts w:ascii="Calibri" w:eastAsia="Calibri" w:hAnsi="Calibri" w:cs="Calibri"/>
                <w:spacing w:val="-1"/>
                <w:position w:val="1"/>
                <w:szCs w:val="22"/>
                <w:lang w:val="fr-FR"/>
              </w:rPr>
              <w:t>d</w:t>
            </w:r>
            <w:r w:rsidRPr="00497874">
              <w:rPr>
                <w:rFonts w:ascii="Calibri" w:eastAsia="Calibri" w:hAnsi="Calibri" w:cs="Calibri"/>
                <w:position w:val="1"/>
                <w:szCs w:val="22"/>
                <w:lang w:val="fr-FR"/>
              </w:rPr>
              <w:t>’enfa</w:t>
            </w:r>
            <w:r w:rsidRPr="00497874">
              <w:rPr>
                <w:rFonts w:ascii="Calibri" w:eastAsia="Calibri" w:hAnsi="Calibri" w:cs="Calibri"/>
                <w:spacing w:val="-1"/>
                <w:position w:val="1"/>
                <w:szCs w:val="22"/>
                <w:lang w:val="fr-FR"/>
              </w:rPr>
              <w:t>n</w:t>
            </w:r>
            <w:r w:rsidRPr="00497874">
              <w:rPr>
                <w:rFonts w:ascii="Calibri" w:eastAsia="Calibri" w:hAnsi="Calibri" w:cs="Calibri"/>
                <w:position w:val="1"/>
                <w:szCs w:val="22"/>
                <w:lang w:val="fr-FR"/>
              </w:rPr>
              <w:t>ts</w:t>
            </w:r>
            <w:r w:rsidRPr="00497874">
              <w:rPr>
                <w:rFonts w:ascii="Calibri" w:eastAsia="Calibri" w:hAnsi="Calibri" w:cs="Calibri"/>
                <w:spacing w:val="1"/>
                <w:position w:val="1"/>
                <w:szCs w:val="22"/>
                <w:lang w:val="fr-FR"/>
              </w:rPr>
              <w:t>e</w:t>
            </w:r>
            <w:r w:rsidRPr="00497874">
              <w:rPr>
                <w:rFonts w:ascii="Calibri" w:eastAsia="Calibri" w:hAnsi="Calibri" w:cs="Calibri"/>
                <w:position w:val="1"/>
                <w:szCs w:val="22"/>
                <w:lang w:val="fr-FR"/>
              </w:rPr>
              <w:t>x</w:t>
            </w:r>
            <w:r w:rsidRPr="00497874">
              <w:rPr>
                <w:rFonts w:ascii="Calibri" w:eastAsia="Calibri" w:hAnsi="Calibri" w:cs="Calibri"/>
                <w:spacing w:val="-3"/>
                <w:position w:val="1"/>
                <w:szCs w:val="22"/>
                <w:lang w:val="fr-FR"/>
              </w:rPr>
              <w:t>p</w:t>
            </w:r>
            <w:r w:rsidRPr="00497874">
              <w:rPr>
                <w:rFonts w:ascii="Calibri" w:eastAsia="Calibri" w:hAnsi="Calibri" w:cs="Calibri"/>
                <w:spacing w:val="1"/>
                <w:position w:val="1"/>
                <w:szCs w:val="22"/>
                <w:lang w:val="fr-FR"/>
              </w:rPr>
              <w:t>o</w:t>
            </w:r>
            <w:r w:rsidRPr="00497874">
              <w:rPr>
                <w:rFonts w:ascii="Calibri" w:eastAsia="Calibri" w:hAnsi="Calibri" w:cs="Calibri"/>
                <w:position w:val="1"/>
                <w:szCs w:val="22"/>
                <w:lang w:val="fr-FR"/>
              </w:rPr>
              <w:t>sésauVIHc</w:t>
            </w:r>
            <w:r w:rsidRPr="00497874">
              <w:rPr>
                <w:rFonts w:ascii="Calibri" w:eastAsia="Calibri" w:hAnsi="Calibri" w:cs="Calibri"/>
                <w:spacing w:val="1"/>
                <w:position w:val="1"/>
                <w:szCs w:val="22"/>
                <w:lang w:val="fr-FR"/>
              </w:rPr>
              <w:t>o</w:t>
            </w:r>
            <w:r w:rsidRPr="00497874">
              <w:rPr>
                <w:rFonts w:ascii="Calibri" w:eastAsia="Calibri" w:hAnsi="Calibri" w:cs="Calibri"/>
                <w:spacing w:val="-1"/>
                <w:position w:val="1"/>
                <w:szCs w:val="22"/>
                <w:lang w:val="fr-FR"/>
              </w:rPr>
              <w:t>n</w:t>
            </w:r>
            <w:r w:rsidRPr="00497874">
              <w:rPr>
                <w:rFonts w:ascii="Calibri" w:eastAsia="Calibri" w:hAnsi="Calibri" w:cs="Calibri"/>
                <w:position w:val="1"/>
                <w:szCs w:val="22"/>
                <w:lang w:val="fr-FR"/>
              </w:rPr>
              <w:t>fi</w:t>
            </w:r>
            <w:r w:rsidRPr="00497874">
              <w:rPr>
                <w:rFonts w:ascii="Calibri" w:eastAsia="Calibri" w:hAnsi="Calibri" w:cs="Calibri"/>
                <w:spacing w:val="-3"/>
                <w:position w:val="1"/>
                <w:szCs w:val="22"/>
                <w:lang w:val="fr-FR"/>
              </w:rPr>
              <w:t>r</w:t>
            </w:r>
            <w:r w:rsidRPr="00497874">
              <w:rPr>
                <w:rFonts w:ascii="Calibri" w:eastAsia="Calibri" w:hAnsi="Calibri" w:cs="Calibri"/>
                <w:spacing w:val="1"/>
                <w:position w:val="1"/>
                <w:szCs w:val="22"/>
                <w:lang w:val="fr-FR"/>
              </w:rPr>
              <w:t>m</w:t>
            </w:r>
            <w:r w:rsidRPr="00497874">
              <w:rPr>
                <w:rFonts w:ascii="Calibri" w:eastAsia="Calibri" w:hAnsi="Calibri" w:cs="Calibri"/>
                <w:position w:val="1"/>
                <w:szCs w:val="22"/>
                <w:lang w:val="fr-FR"/>
              </w:rPr>
              <w:t>ésVIHp</w:t>
            </w:r>
            <w:r w:rsidRPr="00497874">
              <w:rPr>
                <w:rFonts w:ascii="Calibri" w:eastAsia="Calibri" w:hAnsi="Calibri" w:cs="Calibri"/>
                <w:spacing w:val="1"/>
                <w:position w:val="1"/>
                <w:szCs w:val="22"/>
                <w:lang w:val="fr-FR"/>
              </w:rPr>
              <w:t>o</w:t>
            </w:r>
            <w:r w:rsidRPr="00497874">
              <w:rPr>
                <w:rFonts w:ascii="Calibri" w:eastAsia="Calibri" w:hAnsi="Calibri" w:cs="Calibri"/>
                <w:position w:val="1"/>
                <w:szCs w:val="22"/>
                <w:lang w:val="fr-FR"/>
              </w:rPr>
              <w:t>s</w:t>
            </w:r>
            <w:r w:rsidRPr="00497874">
              <w:rPr>
                <w:rFonts w:ascii="Calibri" w:eastAsia="Calibri" w:hAnsi="Calibri" w:cs="Calibri"/>
                <w:spacing w:val="-3"/>
                <w:position w:val="1"/>
                <w:szCs w:val="22"/>
                <w:lang w:val="fr-FR"/>
              </w:rPr>
              <w:t>i</w:t>
            </w:r>
            <w:r w:rsidRPr="00497874">
              <w:rPr>
                <w:rFonts w:ascii="Calibri" w:eastAsia="Calibri" w:hAnsi="Calibri" w:cs="Calibri"/>
                <w:position w:val="1"/>
                <w:szCs w:val="22"/>
                <w:lang w:val="fr-FR"/>
              </w:rPr>
              <w:t>tifs ap</w:t>
            </w:r>
            <w:r w:rsidRPr="00497874">
              <w:rPr>
                <w:rFonts w:ascii="Calibri" w:eastAsia="Calibri" w:hAnsi="Calibri" w:cs="Calibri"/>
                <w:spacing w:val="-1"/>
                <w:position w:val="1"/>
                <w:szCs w:val="22"/>
                <w:lang w:val="fr-FR"/>
              </w:rPr>
              <w:t>r</w:t>
            </w:r>
            <w:r w:rsidRPr="00497874">
              <w:rPr>
                <w:rFonts w:ascii="Calibri" w:eastAsia="Calibri" w:hAnsi="Calibri" w:cs="Calibri"/>
                <w:position w:val="1"/>
                <w:szCs w:val="22"/>
                <w:lang w:val="fr-FR"/>
              </w:rPr>
              <w:t>ès</w:t>
            </w:r>
            <w:r w:rsidRPr="00497874">
              <w:rPr>
                <w:rFonts w:ascii="Calibri" w:eastAsia="Calibri" w:hAnsi="Calibri" w:cs="Calibri"/>
                <w:spacing w:val="1"/>
                <w:position w:val="1"/>
                <w:szCs w:val="22"/>
                <w:lang w:val="fr-FR"/>
              </w:rPr>
              <w:t>1</w:t>
            </w:r>
            <w:r w:rsidRPr="00497874">
              <w:rPr>
                <w:rFonts w:ascii="Calibri" w:eastAsia="Calibri" w:hAnsi="Calibri" w:cs="Calibri"/>
                <w:position w:val="1"/>
                <w:szCs w:val="22"/>
                <w:lang w:val="fr-FR"/>
              </w:rPr>
              <w:t>8</w:t>
            </w:r>
            <w:r w:rsidRPr="00497874">
              <w:rPr>
                <w:rFonts w:ascii="Calibri" w:eastAsia="Calibri" w:hAnsi="Calibri" w:cs="Calibri"/>
                <w:spacing w:val="-1"/>
                <w:position w:val="1"/>
                <w:szCs w:val="22"/>
                <w:lang w:val="fr-FR"/>
              </w:rPr>
              <w:t xml:space="preserve"> m</w:t>
            </w:r>
            <w:r w:rsidRPr="00497874">
              <w:rPr>
                <w:rFonts w:ascii="Calibri" w:eastAsia="Calibri" w:hAnsi="Calibri" w:cs="Calibri"/>
                <w:spacing w:val="1"/>
                <w:position w:val="1"/>
                <w:szCs w:val="22"/>
                <w:lang w:val="fr-FR"/>
              </w:rPr>
              <w:t>o</w:t>
            </w:r>
            <w:r w:rsidRPr="00497874">
              <w:rPr>
                <w:rFonts w:ascii="Calibri" w:eastAsia="Calibri" w:hAnsi="Calibri" w:cs="Calibri"/>
                <w:position w:val="1"/>
                <w:szCs w:val="22"/>
                <w:lang w:val="fr-FR"/>
              </w:rPr>
              <w:t>is</w:t>
            </w:r>
          </w:p>
        </w:tc>
        <w:tc>
          <w:tcPr>
            <w:tcW w:w="1452"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rsidRPr="00345CCB">
              <w:t>13</w:t>
            </w:r>
          </w:p>
        </w:tc>
        <w:tc>
          <w:tcPr>
            <w:tcW w:w="1698" w:type="dxa"/>
            <w:tcBorders>
              <w:top w:val="single" w:sz="5" w:space="0" w:color="000000"/>
              <w:left w:val="single" w:sz="5" w:space="0" w:color="000000"/>
              <w:bottom w:val="single" w:sz="5" w:space="0" w:color="000000"/>
              <w:right w:val="single" w:sz="5" w:space="0" w:color="000000"/>
            </w:tcBorders>
            <w:vAlign w:val="center"/>
          </w:tcPr>
          <w:p w:rsidR="00DC5ACA" w:rsidRPr="00345CCB" w:rsidRDefault="00DC5ACA" w:rsidP="00ED18BA">
            <w:pPr>
              <w:tabs>
                <w:tab w:val="left" w:pos="5580"/>
                <w:tab w:val="left" w:pos="6840"/>
              </w:tabs>
              <w:jc w:val="center"/>
            </w:pPr>
            <w:r>
              <w:t>43</w:t>
            </w:r>
          </w:p>
        </w:tc>
      </w:tr>
    </w:tbl>
    <w:p w:rsidR="00C50CEC" w:rsidRDefault="00C50CEC" w:rsidP="00E67A6B">
      <w:pPr>
        <w:jc w:val="center"/>
        <w:rPr>
          <w:sz w:val="24"/>
          <w:lang w:val="fr-FR"/>
        </w:rPr>
      </w:pPr>
      <w:r w:rsidRPr="00E67A6B">
        <w:rPr>
          <w:sz w:val="24"/>
          <w:lang w:val="fr-FR"/>
        </w:rPr>
        <w:t>Source : Rapports</w:t>
      </w:r>
      <w:r w:rsidR="00313059" w:rsidRPr="00E67A6B">
        <w:rPr>
          <w:sz w:val="24"/>
          <w:lang w:val="fr-FR"/>
        </w:rPr>
        <w:t xml:space="preserve"> annuels PNPCSP et SE- CNLS 2014-2015</w:t>
      </w:r>
    </w:p>
    <w:p w:rsidR="00E67A6B" w:rsidRPr="00E67A6B" w:rsidRDefault="00E67A6B" w:rsidP="00E67A6B">
      <w:pPr>
        <w:jc w:val="center"/>
        <w:rPr>
          <w:sz w:val="24"/>
          <w:lang w:val="fr-FR"/>
        </w:rPr>
      </w:pPr>
    </w:p>
    <w:p w:rsidR="00C50CEC" w:rsidRPr="00E67A6B" w:rsidRDefault="00C50CEC" w:rsidP="00E67A6B">
      <w:pPr>
        <w:pStyle w:val="Titre3"/>
        <w:numPr>
          <w:ilvl w:val="2"/>
          <w:numId w:val="19"/>
        </w:numPr>
        <w:spacing w:before="0"/>
        <w:rPr>
          <w:color w:val="auto"/>
          <w:sz w:val="24"/>
          <w:lang w:val="fr-FR"/>
        </w:rPr>
      </w:pPr>
      <w:bookmarkStart w:id="44" w:name="_Toc480382929"/>
      <w:r w:rsidRPr="00E67A6B">
        <w:rPr>
          <w:color w:val="auto"/>
          <w:sz w:val="24"/>
          <w:lang w:val="fr-FR"/>
        </w:rPr>
        <w:t xml:space="preserve">Dépistage </w:t>
      </w:r>
      <w:r w:rsidR="00DC5ACA">
        <w:rPr>
          <w:color w:val="auto"/>
          <w:sz w:val="24"/>
          <w:lang w:val="fr-FR"/>
        </w:rPr>
        <w:t xml:space="preserve">et conseil du </w:t>
      </w:r>
      <w:r w:rsidRPr="00E67A6B">
        <w:rPr>
          <w:color w:val="auto"/>
          <w:sz w:val="24"/>
          <w:lang w:val="fr-FR"/>
        </w:rPr>
        <w:t>VIH</w:t>
      </w:r>
      <w:bookmarkEnd w:id="44"/>
    </w:p>
    <w:p w:rsidR="00C50CEC" w:rsidRPr="00E67A6B" w:rsidRDefault="00C50CEC" w:rsidP="00E67A6B">
      <w:pPr>
        <w:rPr>
          <w:rFonts w:ascii="Arial Narrow" w:hAnsi="Arial Narrow"/>
          <w:sz w:val="24"/>
          <w:lang w:val="fr-ML"/>
        </w:rPr>
      </w:pPr>
    </w:p>
    <w:p w:rsidR="00DC5ACA" w:rsidRPr="00DC5ACA" w:rsidRDefault="00DC5ACA" w:rsidP="00DC5ACA">
      <w:pPr>
        <w:pStyle w:val="PECP"/>
        <w:rPr>
          <w:rFonts w:asciiTheme="minorHAnsi" w:hAnsiTheme="minorHAnsi"/>
          <w:szCs w:val="24"/>
        </w:rPr>
      </w:pPr>
      <w:r w:rsidRPr="00DC5ACA">
        <w:rPr>
          <w:rFonts w:asciiTheme="minorHAnsi" w:hAnsiTheme="minorHAnsi"/>
          <w:szCs w:val="24"/>
          <w:lang w:val="fr-ML"/>
        </w:rPr>
        <w:t xml:space="preserve">En 2016, 3818 enfants ont fait le dépistage conseil du VIH et 587 enfants étaient séropositifs. Par ailleurs, </w:t>
      </w:r>
      <w:r w:rsidRPr="00DC5ACA">
        <w:rPr>
          <w:rFonts w:asciiTheme="minorHAnsi" w:hAnsiTheme="minorHAnsi"/>
          <w:szCs w:val="24"/>
        </w:rPr>
        <w:t xml:space="preserve">364 dépistages par la PCR ont été réalisés chez les enfants exposés et 7 enfants étaient VIH+. De plus, 525 enfants ont fait la sérologie à 18 mois et 43 enfants étaient VIH+. En outre, 2905 femmes enceintes séropositives  ont été dépistées VIH+ dont 2679 (92%) femmes ont été mises sous TARV. en 2016, il y a 128 sites de Conseil Dépistage Volontaire du VIH. </w:t>
      </w:r>
      <w:r w:rsidRPr="00DC5ACA">
        <w:rPr>
          <w:rFonts w:asciiTheme="minorHAnsi" w:hAnsiTheme="minorHAnsi"/>
          <w:b/>
          <w:szCs w:val="24"/>
        </w:rPr>
        <w:t>L’appareil de réalisation des PCR à partir des DBS au niveau national est en panne</w:t>
      </w:r>
      <w:r w:rsidRPr="00DC5ACA">
        <w:rPr>
          <w:rFonts w:asciiTheme="minorHAnsi" w:hAnsiTheme="minorHAnsi"/>
          <w:szCs w:val="24"/>
        </w:rPr>
        <w:t>.</w:t>
      </w:r>
    </w:p>
    <w:p w:rsidR="00DC5ACA" w:rsidRDefault="00DC5ACA" w:rsidP="00E67A6B">
      <w:pPr>
        <w:rPr>
          <w:sz w:val="24"/>
          <w:lang w:val="fr-ML"/>
        </w:rPr>
      </w:pPr>
    </w:p>
    <w:p w:rsidR="00C50CEC" w:rsidRDefault="00C50CEC" w:rsidP="00E67A6B">
      <w:pPr>
        <w:rPr>
          <w:sz w:val="24"/>
          <w:lang w:val="fr-FR"/>
        </w:rPr>
      </w:pPr>
      <w:r w:rsidRPr="00E67A6B">
        <w:rPr>
          <w:sz w:val="24"/>
          <w:lang w:val="fr-FR"/>
        </w:rPr>
        <w:t>Les facteurs ci-dessous expliquent le faible taux de dépistage :</w:t>
      </w:r>
    </w:p>
    <w:p w:rsidR="00E67A6B" w:rsidRPr="00E67A6B" w:rsidRDefault="00E67A6B" w:rsidP="00E67A6B">
      <w:pPr>
        <w:rPr>
          <w:sz w:val="24"/>
          <w:lang w:val="fr-FR"/>
        </w:rPr>
      </w:pPr>
    </w:p>
    <w:p w:rsidR="00C50CEC" w:rsidRPr="00E67A6B" w:rsidRDefault="00C50CEC" w:rsidP="00E67A6B">
      <w:pPr>
        <w:pStyle w:val="Paragraphedeliste"/>
        <w:numPr>
          <w:ilvl w:val="0"/>
          <w:numId w:val="2"/>
        </w:numPr>
        <w:rPr>
          <w:sz w:val="24"/>
          <w:lang w:val="fr-FR"/>
        </w:rPr>
      </w:pPr>
      <w:r w:rsidRPr="00E67A6B">
        <w:rPr>
          <w:sz w:val="24"/>
          <w:lang w:val="fr-FR"/>
        </w:rPr>
        <w:t>Les  prestataires des sites SMNI/PTME sont insuffisamment formés</w:t>
      </w:r>
    </w:p>
    <w:p w:rsidR="00C50CEC" w:rsidRPr="00E67A6B" w:rsidRDefault="00C50CEC" w:rsidP="00E67A6B">
      <w:pPr>
        <w:pStyle w:val="Paragraphedeliste"/>
        <w:numPr>
          <w:ilvl w:val="0"/>
          <w:numId w:val="2"/>
        </w:numPr>
        <w:rPr>
          <w:sz w:val="24"/>
          <w:lang w:val="fr-FR"/>
        </w:rPr>
      </w:pPr>
      <w:r w:rsidRPr="00E67A6B">
        <w:rPr>
          <w:sz w:val="24"/>
          <w:lang w:val="fr-FR"/>
        </w:rPr>
        <w:t>Certains sites SMNI/PTME ne sont pas dotés en kits de prélèvement DBS ou papier buvard</w:t>
      </w:r>
    </w:p>
    <w:p w:rsidR="00C50CEC" w:rsidRPr="00E67A6B" w:rsidRDefault="00C50CEC" w:rsidP="00E67A6B">
      <w:pPr>
        <w:numPr>
          <w:ilvl w:val="0"/>
          <w:numId w:val="4"/>
        </w:numPr>
        <w:rPr>
          <w:sz w:val="24"/>
          <w:lang w:val="fr-FR"/>
        </w:rPr>
      </w:pPr>
      <w:r w:rsidRPr="00E67A6B">
        <w:rPr>
          <w:sz w:val="24"/>
          <w:lang w:val="fr-FR"/>
        </w:rPr>
        <w:t xml:space="preserve">Les laboratoires de PCR ne sont pas encore opérationnels sur l’ensemble du pays </w:t>
      </w:r>
    </w:p>
    <w:p w:rsidR="00C50CEC" w:rsidRPr="00E67A6B" w:rsidRDefault="00C50CEC" w:rsidP="00E67A6B">
      <w:pPr>
        <w:numPr>
          <w:ilvl w:val="0"/>
          <w:numId w:val="4"/>
        </w:numPr>
        <w:rPr>
          <w:b/>
          <w:sz w:val="24"/>
          <w:lang w:val="fr-FR"/>
        </w:rPr>
      </w:pPr>
      <w:r w:rsidRPr="00E67A6B">
        <w:rPr>
          <w:sz w:val="24"/>
          <w:lang w:val="fr-FR"/>
        </w:rPr>
        <w:t>La f</w:t>
      </w:r>
      <w:r w:rsidRPr="00E67A6B">
        <w:rPr>
          <w:sz w:val="24"/>
          <w:lang w:val="fr-ML"/>
        </w:rPr>
        <w:t xml:space="preserve">aible décentralisation des </w:t>
      </w:r>
      <w:r w:rsidRPr="00E67A6B">
        <w:rPr>
          <w:sz w:val="24"/>
          <w:lang w:val="fr-FR"/>
        </w:rPr>
        <w:t>équipements de PCR pour le diagnostic précoce du VIH pédiatrique dans au moins un laboratoire d’hôpital de région</w:t>
      </w:r>
    </w:p>
    <w:p w:rsidR="00C50CEC" w:rsidRPr="00E67A6B" w:rsidRDefault="00C50CEC" w:rsidP="00E67A6B">
      <w:pPr>
        <w:numPr>
          <w:ilvl w:val="0"/>
          <w:numId w:val="4"/>
        </w:numPr>
        <w:rPr>
          <w:b/>
          <w:sz w:val="24"/>
          <w:lang w:val="fr-FR"/>
        </w:rPr>
      </w:pPr>
      <w:r w:rsidRPr="00E67A6B">
        <w:rPr>
          <w:sz w:val="24"/>
          <w:lang w:val="fr-FR"/>
        </w:rPr>
        <w:t>La faible promotion de la consultation de suivi postnatal auprès des mères ayant fait la PTME : en effet les mères reviennent dans les F</w:t>
      </w:r>
      <w:r w:rsidR="00513694" w:rsidRPr="00E67A6B">
        <w:rPr>
          <w:sz w:val="24"/>
          <w:lang w:val="fr-FR"/>
        </w:rPr>
        <w:t xml:space="preserve">ormations </w:t>
      </w:r>
      <w:r w:rsidRPr="00E67A6B">
        <w:rPr>
          <w:sz w:val="24"/>
          <w:lang w:val="fr-FR"/>
        </w:rPr>
        <w:t>S</w:t>
      </w:r>
      <w:r w:rsidR="00FC0FAA" w:rsidRPr="00E67A6B">
        <w:rPr>
          <w:sz w:val="24"/>
          <w:lang w:val="fr-FR"/>
        </w:rPr>
        <w:t>anitaires</w:t>
      </w:r>
      <w:r w:rsidRPr="00E67A6B">
        <w:rPr>
          <w:sz w:val="24"/>
          <w:lang w:val="fr-FR"/>
        </w:rPr>
        <w:t xml:space="preserve"> avec leurs enfants prioritairement pour la vaccination</w:t>
      </w:r>
    </w:p>
    <w:p w:rsidR="00C50CEC" w:rsidRPr="00E67A6B" w:rsidRDefault="00C50CEC" w:rsidP="00E67A6B">
      <w:pPr>
        <w:numPr>
          <w:ilvl w:val="0"/>
          <w:numId w:val="4"/>
        </w:numPr>
        <w:rPr>
          <w:b/>
          <w:sz w:val="24"/>
          <w:lang w:val="fr-FR"/>
        </w:rPr>
      </w:pPr>
      <w:r w:rsidRPr="00E67A6B">
        <w:rPr>
          <w:sz w:val="24"/>
          <w:lang w:val="fr-ML"/>
        </w:rPr>
        <w:t>La faible intégration des activités de PTME et VIH dans les unités de consultations</w:t>
      </w:r>
      <w:r w:rsidR="00513694" w:rsidRPr="00E67A6B">
        <w:rPr>
          <w:sz w:val="24"/>
          <w:lang w:val="fr-ML"/>
        </w:rPr>
        <w:t>, et de</w:t>
      </w:r>
      <w:r w:rsidRPr="00E67A6B">
        <w:rPr>
          <w:sz w:val="24"/>
          <w:lang w:val="fr-ML"/>
        </w:rPr>
        <w:t xml:space="preserve"> PF et celles prenant en charge les enfants : vaccination, hospitalisations pédiatriques, Centre de récupération</w:t>
      </w:r>
      <w:r w:rsidR="00FC0FAA" w:rsidRPr="00E67A6B">
        <w:rPr>
          <w:sz w:val="24"/>
          <w:lang w:val="fr-ML"/>
        </w:rPr>
        <w:t xml:space="preserve"> et d’éducation nutritionnelle</w:t>
      </w:r>
      <w:r w:rsidRPr="00E67A6B">
        <w:rPr>
          <w:sz w:val="24"/>
          <w:lang w:val="fr-ML"/>
        </w:rPr>
        <w:t>, consultation curative enfant, surveillance de la croissance staturo-pondérale</w:t>
      </w:r>
    </w:p>
    <w:p w:rsidR="00C50CEC" w:rsidRPr="00E67A6B" w:rsidRDefault="00C50CEC" w:rsidP="00E67A6B">
      <w:pPr>
        <w:numPr>
          <w:ilvl w:val="0"/>
          <w:numId w:val="4"/>
        </w:numPr>
        <w:rPr>
          <w:b/>
          <w:sz w:val="24"/>
          <w:lang w:val="fr-FR"/>
        </w:rPr>
      </w:pPr>
      <w:r w:rsidRPr="00E67A6B">
        <w:rPr>
          <w:sz w:val="24"/>
          <w:lang w:val="fr-FR"/>
        </w:rPr>
        <w:t xml:space="preserve">La </w:t>
      </w:r>
      <w:r w:rsidRPr="00E67A6B">
        <w:rPr>
          <w:sz w:val="24"/>
          <w:lang w:val="fr-ML"/>
        </w:rPr>
        <w:t xml:space="preserve">méconnaissance des parents sur l’existence et les avantages du  diagnostic précoce du VIH </w:t>
      </w:r>
    </w:p>
    <w:p w:rsidR="00C50CEC" w:rsidRPr="00E67A6B" w:rsidRDefault="00C50CEC" w:rsidP="00E67A6B">
      <w:pPr>
        <w:numPr>
          <w:ilvl w:val="0"/>
          <w:numId w:val="4"/>
        </w:numPr>
        <w:rPr>
          <w:sz w:val="24"/>
          <w:lang w:val="fr-ML"/>
        </w:rPr>
      </w:pPr>
      <w:r w:rsidRPr="00E67A6B">
        <w:rPr>
          <w:sz w:val="24"/>
          <w:lang w:val="fr-ML"/>
        </w:rPr>
        <w:t>La faible promotion du diagnostic précoce auprès du personnel soignant des formations sanitaires.</w:t>
      </w:r>
    </w:p>
    <w:p w:rsidR="00E67A6B" w:rsidRDefault="00E67A6B" w:rsidP="00E67A6B">
      <w:pPr>
        <w:pStyle w:val="PECP"/>
        <w:spacing w:before="0" w:after="0"/>
        <w:rPr>
          <w:rFonts w:asciiTheme="minorHAnsi" w:hAnsiTheme="minorHAnsi"/>
          <w:szCs w:val="24"/>
        </w:rPr>
      </w:pPr>
    </w:p>
    <w:p w:rsidR="00C50CEC" w:rsidRPr="00E67A6B" w:rsidRDefault="00C50CEC" w:rsidP="00E67A6B">
      <w:pPr>
        <w:rPr>
          <w:sz w:val="24"/>
          <w:lang w:val="fr-FR"/>
        </w:rPr>
      </w:pPr>
    </w:p>
    <w:p w:rsidR="00C50CEC" w:rsidRPr="00E67A6B" w:rsidRDefault="00C50CEC" w:rsidP="00E67A6B">
      <w:pPr>
        <w:pStyle w:val="Titre3"/>
        <w:numPr>
          <w:ilvl w:val="2"/>
          <w:numId w:val="19"/>
        </w:numPr>
        <w:spacing w:before="0"/>
        <w:rPr>
          <w:color w:val="auto"/>
          <w:sz w:val="24"/>
          <w:lang w:val="fr-FR"/>
        </w:rPr>
      </w:pPr>
      <w:bookmarkStart w:id="45" w:name="_Toc480382930"/>
      <w:r w:rsidRPr="00E67A6B">
        <w:rPr>
          <w:color w:val="auto"/>
          <w:sz w:val="24"/>
          <w:lang w:val="fr-FR"/>
        </w:rPr>
        <w:t>Initiation de la trithérapie antirétrovirale</w:t>
      </w:r>
      <w:bookmarkEnd w:id="45"/>
    </w:p>
    <w:p w:rsidR="00C50CEC" w:rsidRPr="00E67A6B" w:rsidRDefault="00C50CEC" w:rsidP="00E67A6B">
      <w:pPr>
        <w:rPr>
          <w:rFonts w:ascii="Arial" w:hAnsi="Arial" w:cs="Arial"/>
          <w:sz w:val="24"/>
          <w:lang w:val="fr-FR"/>
        </w:rPr>
      </w:pPr>
    </w:p>
    <w:p w:rsidR="00C50CEC" w:rsidRPr="00E67A6B" w:rsidRDefault="00C50CEC" w:rsidP="00E67A6B">
      <w:pPr>
        <w:autoSpaceDE w:val="0"/>
        <w:autoSpaceDN w:val="0"/>
        <w:adjustRightInd w:val="0"/>
        <w:ind w:left="12"/>
        <w:rPr>
          <w:rFonts w:cs="Arial"/>
          <w:sz w:val="24"/>
          <w:lang w:val="fr-FR"/>
        </w:rPr>
      </w:pPr>
      <w:r w:rsidRPr="00E67A6B">
        <w:rPr>
          <w:rFonts w:cs="Arial"/>
          <w:sz w:val="24"/>
          <w:lang w:val="fr-FR"/>
        </w:rPr>
        <w:t xml:space="preserve">On note une augmentation progressive du nombre d’enfants mis sous  TARV au cours des dernières années. Ce nombre est passé de 697 enfants en 2010 à  </w:t>
      </w:r>
      <w:bookmarkStart w:id="46" w:name="_GoBack"/>
      <w:r w:rsidRPr="00E67A6B">
        <w:rPr>
          <w:rFonts w:cs="Arial"/>
          <w:sz w:val="24"/>
          <w:lang w:val="fr-FR"/>
        </w:rPr>
        <w:t xml:space="preserve">2374 enfants sur 13842 </w:t>
      </w:r>
      <w:bookmarkEnd w:id="46"/>
      <w:r w:rsidRPr="00E67A6B">
        <w:rPr>
          <w:rFonts w:cs="Arial"/>
          <w:sz w:val="24"/>
          <w:lang w:val="fr-FR"/>
        </w:rPr>
        <w:t>enfants VIH+ attendus en 2016</w:t>
      </w:r>
      <w:r w:rsidR="00267439" w:rsidRPr="00E67A6B">
        <w:rPr>
          <w:rFonts w:cs="Arial"/>
          <w:sz w:val="24"/>
          <w:lang w:val="fr-FR"/>
        </w:rPr>
        <w:t xml:space="preserve"> (Figure 4)</w:t>
      </w:r>
      <w:r w:rsidRPr="00E67A6B">
        <w:rPr>
          <w:rFonts w:cs="Arial"/>
          <w:sz w:val="24"/>
          <w:lang w:val="fr-FR"/>
        </w:rPr>
        <w:t>. Toutefois, la couverture des besoins des enfants infectés en TARV reste faible et n’était que de 17% en 2016.</w:t>
      </w:r>
    </w:p>
    <w:p w:rsidR="00E67A6B" w:rsidRDefault="00E67A6B" w:rsidP="00E67A6B">
      <w:pPr>
        <w:autoSpaceDE w:val="0"/>
        <w:autoSpaceDN w:val="0"/>
        <w:adjustRightInd w:val="0"/>
        <w:ind w:left="12"/>
        <w:rPr>
          <w:rFonts w:cs="Arial"/>
          <w:sz w:val="24"/>
          <w:lang w:val="fr-FR"/>
        </w:rPr>
      </w:pPr>
    </w:p>
    <w:p w:rsidR="00C50CEC" w:rsidRPr="00E67A6B" w:rsidRDefault="00C50CEC" w:rsidP="00E67A6B">
      <w:pPr>
        <w:autoSpaceDE w:val="0"/>
        <w:autoSpaceDN w:val="0"/>
        <w:adjustRightInd w:val="0"/>
        <w:ind w:left="12"/>
        <w:rPr>
          <w:rFonts w:cs="Arial"/>
          <w:sz w:val="24"/>
          <w:lang w:val="fr-FR"/>
        </w:rPr>
      </w:pPr>
      <w:r w:rsidRPr="00E67A6B">
        <w:rPr>
          <w:rFonts w:cs="Arial"/>
          <w:sz w:val="24"/>
          <w:lang w:val="fr-FR"/>
        </w:rPr>
        <w:t>Par ailleurs, en 201</w:t>
      </w:r>
      <w:r w:rsidR="00DC5ACA">
        <w:rPr>
          <w:rFonts w:cs="Arial"/>
          <w:sz w:val="24"/>
          <w:lang w:val="fr-FR"/>
        </w:rPr>
        <w:t>6</w:t>
      </w:r>
      <w:r w:rsidRPr="00E67A6B">
        <w:rPr>
          <w:rFonts w:cs="Arial"/>
          <w:sz w:val="24"/>
          <w:lang w:val="fr-FR"/>
        </w:rPr>
        <w:t xml:space="preserve">, </w:t>
      </w:r>
      <w:r w:rsidR="00DC5ACA">
        <w:rPr>
          <w:rFonts w:cs="Arial"/>
          <w:sz w:val="24"/>
          <w:lang w:val="fr-FR"/>
        </w:rPr>
        <w:t>41299</w:t>
      </w:r>
      <w:r w:rsidRPr="00E67A6B">
        <w:rPr>
          <w:rFonts w:cs="Arial"/>
          <w:sz w:val="24"/>
          <w:lang w:val="fr-FR"/>
        </w:rPr>
        <w:t xml:space="preserve">adultes de 15 ans et + étaient mis sous TARV sur une cible de </w:t>
      </w:r>
      <w:r w:rsidR="00DC5ACA">
        <w:rPr>
          <w:rFonts w:cs="Arial"/>
          <w:sz w:val="24"/>
          <w:lang w:val="fr-FR"/>
        </w:rPr>
        <w:t>118795</w:t>
      </w:r>
      <w:r w:rsidRPr="00E67A6B">
        <w:rPr>
          <w:rFonts w:cs="Arial"/>
          <w:sz w:val="24"/>
          <w:lang w:val="fr-FR"/>
        </w:rPr>
        <w:t>personnes soit une couverture de 3</w:t>
      </w:r>
      <w:r w:rsidR="00DC5ACA">
        <w:rPr>
          <w:rFonts w:cs="Arial"/>
          <w:sz w:val="24"/>
          <w:lang w:val="fr-FR"/>
        </w:rPr>
        <w:t>5</w:t>
      </w:r>
      <w:r w:rsidRPr="00E67A6B">
        <w:rPr>
          <w:rFonts w:cs="Arial"/>
          <w:sz w:val="24"/>
          <w:lang w:val="fr-FR"/>
        </w:rPr>
        <w:t>%</w:t>
      </w:r>
      <w:r w:rsidR="00267439" w:rsidRPr="00E67A6B">
        <w:rPr>
          <w:rFonts w:cs="Arial"/>
          <w:sz w:val="24"/>
          <w:lang w:val="fr-FR"/>
        </w:rPr>
        <w:t xml:space="preserve"> (Figure 5)</w:t>
      </w:r>
      <w:r w:rsidRPr="00E67A6B">
        <w:rPr>
          <w:rFonts w:cs="Arial"/>
          <w:sz w:val="24"/>
          <w:lang w:val="fr-FR"/>
        </w:rPr>
        <w:t>. Depuis</w:t>
      </w:r>
      <w:r w:rsidR="00513694" w:rsidRPr="00E67A6B">
        <w:rPr>
          <w:rFonts w:cs="Arial"/>
          <w:sz w:val="24"/>
          <w:lang w:val="fr-FR"/>
        </w:rPr>
        <w:t xml:space="preserve"> 2016</w:t>
      </w:r>
      <w:r w:rsidRPr="00E67A6B">
        <w:rPr>
          <w:rFonts w:cs="Arial"/>
          <w:sz w:val="24"/>
          <w:lang w:val="fr-FR"/>
        </w:rPr>
        <w:t xml:space="preserve">, toutes les personnes séropositives dépistées doivent être mis sous TARV. </w:t>
      </w:r>
    </w:p>
    <w:p w:rsidR="00267439" w:rsidRDefault="00267439" w:rsidP="00267439">
      <w:pPr>
        <w:rPr>
          <w:lang w:val="fr-FR"/>
        </w:rPr>
      </w:pPr>
    </w:p>
    <w:p w:rsidR="00DC5ACA" w:rsidRDefault="00DC5ACA" w:rsidP="00025519">
      <w:pPr>
        <w:spacing w:after="120"/>
        <w:rPr>
          <w:lang w:val="fr-FR"/>
        </w:rPr>
      </w:pPr>
      <w:r w:rsidRPr="00DC5ACA">
        <w:rPr>
          <w:noProof/>
          <w:lang w:val="fr-FR" w:eastAsia="fr-FR"/>
        </w:rPr>
        <w:drawing>
          <wp:inline distT="0" distB="0" distL="0" distR="0">
            <wp:extent cx="5943600" cy="3826719"/>
            <wp:effectExtent l="19050" t="0" r="19050" b="2331"/>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67439" w:rsidRDefault="00267439" w:rsidP="00025519">
      <w:pPr>
        <w:spacing w:after="120"/>
        <w:jc w:val="center"/>
        <w:rPr>
          <w:lang w:val="fr-FR"/>
        </w:rPr>
      </w:pPr>
    </w:p>
    <w:p w:rsidR="00267439" w:rsidRPr="00267439" w:rsidRDefault="00267439" w:rsidP="00025519">
      <w:pPr>
        <w:spacing w:after="120"/>
        <w:rPr>
          <w:lang w:val="fr-FR"/>
        </w:rPr>
      </w:pPr>
    </w:p>
    <w:p w:rsidR="00C50CEC" w:rsidRPr="00E67A6B" w:rsidRDefault="00C50CEC" w:rsidP="00025519">
      <w:pPr>
        <w:pStyle w:val="Lgende"/>
        <w:tabs>
          <w:tab w:val="left" w:pos="1187"/>
        </w:tabs>
        <w:spacing w:after="120"/>
        <w:jc w:val="center"/>
        <w:rPr>
          <w:color w:val="auto"/>
          <w:lang w:val="fr-FR"/>
        </w:rPr>
      </w:pPr>
      <w:bookmarkStart w:id="47" w:name="_Toc480382969"/>
      <w:r w:rsidRPr="00E67A6B">
        <w:rPr>
          <w:color w:val="auto"/>
          <w:lang w:val="fr-FR"/>
        </w:rPr>
        <w:t xml:space="preserve">Figure </w:t>
      </w:r>
      <w:r w:rsidR="00C25D03" w:rsidRPr="00E67A6B">
        <w:rPr>
          <w:color w:val="auto"/>
        </w:rPr>
        <w:fldChar w:fldCharType="begin"/>
      </w:r>
      <w:r w:rsidRPr="00E67A6B">
        <w:rPr>
          <w:color w:val="auto"/>
          <w:lang w:val="fr-FR"/>
        </w:rPr>
        <w:instrText xml:space="preserve"> SEQ Figure \* ARABIC </w:instrText>
      </w:r>
      <w:r w:rsidR="00C25D03" w:rsidRPr="00E67A6B">
        <w:rPr>
          <w:color w:val="auto"/>
        </w:rPr>
        <w:fldChar w:fldCharType="separate"/>
      </w:r>
      <w:r w:rsidR="00DC5ACA">
        <w:rPr>
          <w:noProof/>
          <w:color w:val="auto"/>
          <w:lang w:val="fr-FR"/>
        </w:rPr>
        <w:t>4</w:t>
      </w:r>
      <w:r w:rsidR="00C25D03" w:rsidRPr="00E67A6B">
        <w:rPr>
          <w:color w:val="auto"/>
        </w:rPr>
        <w:fldChar w:fldCharType="end"/>
      </w:r>
      <w:r w:rsidRPr="00E67A6B">
        <w:rPr>
          <w:color w:val="auto"/>
          <w:lang w:val="fr-FR"/>
        </w:rPr>
        <w:t>: Evolutio</w:t>
      </w:r>
      <w:r w:rsidR="00AF643D" w:rsidRPr="00E67A6B">
        <w:rPr>
          <w:color w:val="auto"/>
          <w:lang w:val="fr-FR"/>
        </w:rPr>
        <w:t>n du nombre d’enfants</w:t>
      </w:r>
      <w:r w:rsidRPr="00E67A6B">
        <w:rPr>
          <w:color w:val="auto"/>
          <w:lang w:val="fr-FR"/>
        </w:rPr>
        <w:t xml:space="preserve"> et d’adultes (15 ans et +) mis sous ARV de 2008 à 2016</w:t>
      </w:r>
      <w:bookmarkEnd w:id="47"/>
    </w:p>
    <w:p w:rsidR="00EC682A" w:rsidRDefault="00EC682A" w:rsidP="00025519">
      <w:pPr>
        <w:spacing w:after="120"/>
        <w:rPr>
          <w:lang w:val="fr-FR"/>
        </w:rPr>
      </w:pPr>
    </w:p>
    <w:p w:rsidR="00834853" w:rsidRDefault="00834853" w:rsidP="00EC682A">
      <w:pPr>
        <w:rPr>
          <w:lang w:val="fr-FR"/>
        </w:rPr>
      </w:pPr>
    </w:p>
    <w:p w:rsidR="00834853" w:rsidRDefault="00834853" w:rsidP="00834853">
      <w:pPr>
        <w:pStyle w:val="Lgende"/>
        <w:tabs>
          <w:tab w:val="left" w:pos="1187"/>
        </w:tabs>
        <w:spacing w:after="120"/>
        <w:jc w:val="center"/>
        <w:rPr>
          <w:color w:val="auto"/>
          <w:lang w:val="fr-FR"/>
        </w:rPr>
      </w:pPr>
    </w:p>
    <w:p w:rsidR="00834853" w:rsidRDefault="00834853" w:rsidP="00834853">
      <w:pPr>
        <w:rPr>
          <w:lang w:val="fr-FR"/>
        </w:rPr>
      </w:pPr>
    </w:p>
    <w:p w:rsidR="00834853" w:rsidRPr="00EC682A" w:rsidRDefault="00834853" w:rsidP="00834853">
      <w:pPr>
        <w:rPr>
          <w:lang w:val="fr-FR"/>
        </w:rPr>
      </w:pPr>
    </w:p>
    <w:p w:rsidR="00834853" w:rsidRDefault="00C25D03" w:rsidP="00834853">
      <w:pPr>
        <w:pStyle w:val="PECP"/>
        <w:jc w:val="center"/>
        <w:rPr>
          <w:rFonts w:ascii="Arial" w:hAnsi="Arial" w:cs="Arial"/>
        </w:rPr>
      </w:pPr>
      <w:r>
        <w:rPr>
          <w:rFonts w:ascii="Arial" w:hAnsi="Arial" w:cs="Arial"/>
          <w:noProof/>
          <w:lang w:eastAsia="fr-FR"/>
        </w:rPr>
        <w:pict>
          <v:shapetype id="_x0000_t202" coordsize="21600,21600" o:spt="202" path="m,l,21600r21600,l21600,xe">
            <v:stroke joinstyle="miter"/>
            <v:path gradientshapeok="t" o:connecttype="rect"/>
          </v:shapetype>
          <v:shape id="Text Box 49" o:spid="_x0000_s1026" type="#_x0000_t202" style="position:absolute;left:0;text-align:left;margin-left:53.15pt;margin-top:216.75pt;width:88.7pt;height:19.3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sIgwIAABM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" stroked="f">
            <v:textbox>
              <w:txbxContent>
                <w:p w:rsidR="00C57943" w:rsidRPr="00150851" w:rsidRDefault="00C57943" w:rsidP="00C50CEC">
                  <w:pPr>
                    <w:rPr>
                      <w:sz w:val="16"/>
                      <w:lang w:val="fr-FR"/>
                    </w:rPr>
                  </w:pPr>
                  <w:r>
                    <w:rPr>
                      <w:sz w:val="16"/>
                      <w:lang w:val="fr-FR"/>
                    </w:rPr>
                    <w:t>*</w:t>
                  </w:r>
                  <w:r w:rsidRPr="00150851">
                    <w:rPr>
                      <w:sz w:val="16"/>
                      <w:lang w:val="fr-FR"/>
                    </w:rPr>
                    <w:t>ND : Non Disponible</w:t>
                  </w:r>
                </w:p>
              </w:txbxContent>
            </v:textbox>
          </v:shape>
        </w:pict>
      </w:r>
      <w:r>
        <w:rPr>
          <w:rFonts w:ascii="Arial" w:hAnsi="Arial" w:cs="Arial"/>
          <w:noProof/>
          <w:lang w:eastAsia="fr-FR"/>
        </w:rPr>
        <w:pict>
          <v:shape id="Text Box 95" o:spid="_x0000_s1027" type="#_x0000_t202" style="position:absolute;left:0;text-align:left;margin-left:341.2pt;margin-top:48.6pt;width:107.1pt;height:20.25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">
            <v:textbox>
              <w:txbxContent>
                <w:p w:rsidR="00C57943" w:rsidRPr="001C2FE0" w:rsidRDefault="00C57943" w:rsidP="00834853">
                  <w:pPr>
                    <w:rPr>
                      <w:sz w:val="20"/>
                    </w:rPr>
                  </w:pPr>
                  <w:r w:rsidRPr="001C2FE0">
                    <w:rPr>
                      <w:sz w:val="20"/>
                    </w:rPr>
                    <w:t>Traiter tout le monde</w:t>
                  </w:r>
                </w:p>
              </w:txbxContent>
            </v:textbox>
          </v:shape>
        </w:pict>
      </w:r>
      <w:r>
        <w:rPr>
          <w:rFonts w:ascii="Arial" w:hAnsi="Arial" w:cs="Arial"/>
          <w:noProof/>
          <w:lang w:eastAsia="fr-FR"/>
        </w:rPr>
        <w:pict>
          <v:shape id="Text Box 96" o:spid="_x0000_s1028" type="#_x0000_t202" style="position:absolute;left:0;text-align:left;margin-left:273.9pt;margin-top:23.8pt;width:93pt;height:21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NJLAIAAFk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">
            <v:textbox>
              <w:txbxContent>
                <w:p w:rsidR="00C57943" w:rsidRPr="001C2FE0" w:rsidRDefault="00C57943" w:rsidP="00834853">
                  <w:pPr>
                    <w:rPr>
                      <w:sz w:val="20"/>
                    </w:rPr>
                  </w:pPr>
                  <w:r w:rsidRPr="001C2FE0">
                    <w:rPr>
                      <w:sz w:val="20"/>
                    </w:rPr>
                    <w:t xml:space="preserve">Traiter </w:t>
                  </w:r>
                  <w:r>
                    <w:rPr>
                      <w:sz w:val="20"/>
                    </w:rPr>
                    <w:t>si CD4&lt;500</w:t>
                  </w:r>
                </w:p>
              </w:txbxContent>
            </v:textbox>
          </v:shape>
        </w:pict>
      </w:r>
      <w:r w:rsidRPr="00C25D03">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4" o:spid="_x0000_s1115" type="#_x0000_t67" style="position:absolute;left:0;text-align:left;margin-left:279.85pt;margin-top:44.8pt;width:9.4pt;height:38.2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">
            <v:textbox style="layout-flow:vertical-ideographic"/>
          </v:shape>
        </w:pict>
      </w:r>
      <w:r w:rsidRPr="00C25D03">
        <w:rPr>
          <w:noProof/>
          <w:lang w:eastAsia="fr-FR"/>
        </w:rPr>
        <w:pict>
          <v:shape id="AutoShape 93" o:spid="_x0000_s1114" type="#_x0000_t67" style="position:absolute;left:0;text-align:left;margin-left:341.2pt;margin-top:65.45pt;width:9.4pt;height:38.2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">
            <v:textbox style="layout-flow:vertical-ideographic"/>
          </v:shape>
        </w:pict>
      </w:r>
      <w:r>
        <w:rPr>
          <w:rFonts w:ascii="Arial" w:hAnsi="Arial" w:cs="Arial"/>
          <w:noProof/>
          <w:lang w:eastAsia="fr-FR"/>
        </w:rPr>
        <w:pict>
          <v:shape id="Text Box 92" o:spid="_x0000_s1029" type="#_x0000_t202" style="position:absolute;left:0;text-align:left;margin-left:56.5pt;margin-top:192.2pt;width:88.7pt;height:19.3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" stroked="f">
            <v:textbox>
              <w:txbxContent>
                <w:p w:rsidR="00C57943" w:rsidRPr="00150851" w:rsidRDefault="00C57943" w:rsidP="00834853">
                  <w:pPr>
                    <w:rPr>
                      <w:sz w:val="16"/>
                      <w:lang w:val="fr-FR"/>
                    </w:rPr>
                  </w:pPr>
                  <w:r>
                    <w:rPr>
                      <w:sz w:val="16"/>
                      <w:lang w:val="fr-FR"/>
                    </w:rPr>
                    <w:t>*</w:t>
                  </w:r>
                  <w:r w:rsidRPr="00150851">
                    <w:rPr>
                      <w:sz w:val="16"/>
                      <w:lang w:val="fr-FR"/>
                    </w:rPr>
                    <w:t>ND : Non Disponible</w:t>
                  </w:r>
                </w:p>
              </w:txbxContent>
            </v:textbox>
          </v:shape>
        </w:pict>
      </w:r>
      <w:r w:rsidR="00834853" w:rsidRPr="001768BF">
        <w:rPr>
          <w:rFonts w:ascii="Arial" w:hAnsi="Arial" w:cs="Arial"/>
          <w:noProof/>
          <w:lang w:eastAsia="fr-FR"/>
        </w:rPr>
        <w:drawing>
          <wp:inline distT="0" distB="0" distL="0" distR="0">
            <wp:extent cx="4572000" cy="2740660"/>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7A6B" w:rsidRDefault="00E67A6B" w:rsidP="00025519">
      <w:pPr>
        <w:pStyle w:val="PECP"/>
      </w:pPr>
    </w:p>
    <w:p w:rsidR="00C50CEC" w:rsidRDefault="00C50CEC" w:rsidP="00E67A6B">
      <w:pPr>
        <w:pStyle w:val="Lgende"/>
        <w:spacing w:after="0"/>
        <w:jc w:val="center"/>
        <w:rPr>
          <w:color w:val="auto"/>
          <w:sz w:val="24"/>
          <w:szCs w:val="24"/>
          <w:lang w:val="fr-FR"/>
        </w:rPr>
      </w:pPr>
      <w:bookmarkStart w:id="48" w:name="_Toc480382970"/>
      <w:r w:rsidRPr="00E67A6B">
        <w:rPr>
          <w:color w:val="auto"/>
          <w:sz w:val="24"/>
          <w:szCs w:val="24"/>
          <w:lang w:val="fr-FR"/>
        </w:rPr>
        <w:t xml:space="preserve">Figure </w:t>
      </w:r>
      <w:r w:rsidR="00C25D03" w:rsidRPr="00E67A6B">
        <w:rPr>
          <w:color w:val="auto"/>
          <w:sz w:val="24"/>
          <w:szCs w:val="24"/>
        </w:rPr>
        <w:fldChar w:fldCharType="begin"/>
      </w:r>
      <w:r w:rsidRPr="00E67A6B">
        <w:rPr>
          <w:color w:val="auto"/>
          <w:sz w:val="24"/>
          <w:szCs w:val="24"/>
          <w:lang w:val="fr-FR"/>
        </w:rPr>
        <w:instrText xml:space="preserve"> SEQ Figure \* ARABIC </w:instrText>
      </w:r>
      <w:r w:rsidR="00C25D03" w:rsidRPr="00E67A6B">
        <w:rPr>
          <w:color w:val="auto"/>
          <w:sz w:val="24"/>
          <w:szCs w:val="24"/>
        </w:rPr>
        <w:fldChar w:fldCharType="separate"/>
      </w:r>
      <w:r w:rsidR="00774C46" w:rsidRPr="00E67A6B">
        <w:rPr>
          <w:noProof/>
          <w:color w:val="auto"/>
          <w:sz w:val="24"/>
          <w:szCs w:val="24"/>
          <w:lang w:val="fr-FR"/>
        </w:rPr>
        <w:t>5</w:t>
      </w:r>
      <w:r w:rsidR="00C25D03" w:rsidRPr="00E67A6B">
        <w:rPr>
          <w:color w:val="auto"/>
          <w:sz w:val="24"/>
          <w:szCs w:val="24"/>
        </w:rPr>
        <w:fldChar w:fldCharType="end"/>
      </w:r>
      <w:r w:rsidRPr="00E67A6B">
        <w:rPr>
          <w:color w:val="auto"/>
          <w:sz w:val="24"/>
          <w:szCs w:val="24"/>
          <w:lang w:val="fr-FR"/>
        </w:rPr>
        <w:t>: Evolution de la couverture antirétrovi</w:t>
      </w:r>
      <w:r w:rsidR="00AA115B" w:rsidRPr="00E67A6B">
        <w:rPr>
          <w:color w:val="auto"/>
          <w:sz w:val="24"/>
          <w:szCs w:val="24"/>
          <w:lang w:val="fr-FR"/>
        </w:rPr>
        <w:t xml:space="preserve">rale chez les enfants </w:t>
      </w:r>
      <w:r w:rsidRPr="00E67A6B">
        <w:rPr>
          <w:color w:val="auto"/>
          <w:sz w:val="24"/>
          <w:szCs w:val="24"/>
          <w:lang w:val="fr-FR"/>
        </w:rPr>
        <w:t xml:space="preserve"> et les adultes (15 ans et +) entre 2006 et 2016</w:t>
      </w:r>
      <w:bookmarkEnd w:id="48"/>
    </w:p>
    <w:p w:rsidR="00E67A6B" w:rsidRPr="00E67A6B" w:rsidRDefault="00E67A6B" w:rsidP="00E67A6B">
      <w:pPr>
        <w:rPr>
          <w:lang w:val="fr-FR"/>
        </w:rPr>
      </w:pPr>
    </w:p>
    <w:p w:rsidR="00C50CEC" w:rsidRPr="00E67A6B" w:rsidRDefault="00C50CEC" w:rsidP="00E67A6B">
      <w:pPr>
        <w:pStyle w:val="Titre3"/>
        <w:numPr>
          <w:ilvl w:val="2"/>
          <w:numId w:val="19"/>
        </w:numPr>
        <w:spacing w:before="0"/>
        <w:rPr>
          <w:color w:val="auto"/>
          <w:sz w:val="24"/>
          <w:lang w:val="fr-FR"/>
        </w:rPr>
      </w:pPr>
      <w:bookmarkStart w:id="49" w:name="_Toc480382931"/>
      <w:r w:rsidRPr="00E67A6B">
        <w:rPr>
          <w:color w:val="auto"/>
          <w:sz w:val="24"/>
          <w:lang w:val="fr-FR"/>
        </w:rPr>
        <w:t>Rétention aux soins</w:t>
      </w:r>
      <w:bookmarkEnd w:id="49"/>
    </w:p>
    <w:p w:rsidR="00D06153" w:rsidRPr="00E67A6B" w:rsidRDefault="00D06153" w:rsidP="00C50CEC">
      <w:pPr>
        <w:rPr>
          <w:sz w:val="24"/>
          <w:lang w:val="fr-ML"/>
        </w:rPr>
      </w:pPr>
    </w:p>
    <w:p w:rsidR="00C172FB" w:rsidRDefault="00C172FB" w:rsidP="00C172FB">
      <w:pPr>
        <w:rPr>
          <w:lang w:val="fr-ML"/>
        </w:rPr>
      </w:pPr>
      <w:r>
        <w:rPr>
          <w:lang w:val="fr-ML"/>
        </w:rPr>
        <w:t xml:space="preserve">En fin 2016, </w:t>
      </w:r>
      <w:r>
        <w:rPr>
          <w:lang w:val="fr-FR"/>
        </w:rPr>
        <w:t>43673</w:t>
      </w:r>
      <w:r>
        <w:rPr>
          <w:lang w:val="fr-ML"/>
        </w:rPr>
        <w:t xml:space="preserve"> PVVIH étaient sous traitement  et en fin d’année, 3670 PVVIH étaient déclarés perdus de vue. Le nombre élevé de perdus de vue est dû aux facteurs ci-dessous :</w:t>
      </w:r>
    </w:p>
    <w:p w:rsidR="00C172FB" w:rsidRDefault="00C172FB" w:rsidP="00C172FB">
      <w:pPr>
        <w:pStyle w:val="Paragraphedeliste"/>
        <w:numPr>
          <w:ilvl w:val="0"/>
          <w:numId w:val="4"/>
        </w:numPr>
        <w:rPr>
          <w:lang w:val="fr-ML"/>
        </w:rPr>
      </w:pPr>
      <w:r>
        <w:rPr>
          <w:lang w:val="fr-ML"/>
        </w:rPr>
        <w:t>la forte centralisation de l’initiation et du suivi du patient sous TARV</w:t>
      </w:r>
    </w:p>
    <w:p w:rsidR="00C172FB" w:rsidRDefault="00C172FB" w:rsidP="00C172FB">
      <w:pPr>
        <w:pStyle w:val="Paragraphedeliste"/>
        <w:numPr>
          <w:ilvl w:val="0"/>
          <w:numId w:val="4"/>
        </w:numPr>
        <w:rPr>
          <w:lang w:val="fr-ML"/>
        </w:rPr>
      </w:pPr>
      <w:r>
        <w:rPr>
          <w:lang w:val="fr-ML"/>
        </w:rPr>
        <w:t>le faible nombre de sites de prise en charge (70 sites en 2016)</w:t>
      </w:r>
    </w:p>
    <w:p w:rsidR="00C172FB" w:rsidRDefault="00C172FB" w:rsidP="00C172FB">
      <w:pPr>
        <w:pStyle w:val="Paragraphedeliste"/>
        <w:numPr>
          <w:ilvl w:val="0"/>
          <w:numId w:val="4"/>
        </w:numPr>
        <w:rPr>
          <w:lang w:val="fr-ML"/>
        </w:rPr>
      </w:pPr>
      <w:r>
        <w:rPr>
          <w:lang w:val="fr-ML"/>
        </w:rPr>
        <w:t>La faible mise en œuvre des communautés communautaires de soutien aux PVVIH</w:t>
      </w:r>
    </w:p>
    <w:p w:rsidR="00C172FB" w:rsidRDefault="00C172FB" w:rsidP="00C172FB">
      <w:pPr>
        <w:rPr>
          <w:sz w:val="24"/>
          <w:lang w:val="fr-ML"/>
        </w:rPr>
      </w:pPr>
      <w:r>
        <w:rPr>
          <w:lang w:val="fr-ML"/>
        </w:rPr>
        <w:t>L’insuffisance des activités de recherche active des patients perdus de vue</w:t>
      </w:r>
      <w:r>
        <w:rPr>
          <w:sz w:val="24"/>
          <w:lang w:val="fr-ML"/>
        </w:rPr>
        <w:t>.</w:t>
      </w:r>
    </w:p>
    <w:p w:rsidR="00D06153" w:rsidRPr="00E67A6B" w:rsidRDefault="00D06153" w:rsidP="00C50CEC">
      <w:pPr>
        <w:rPr>
          <w:sz w:val="24"/>
          <w:lang w:val="fr-ML"/>
        </w:rPr>
      </w:pPr>
    </w:p>
    <w:p w:rsidR="00C50CEC" w:rsidRPr="00E67A6B" w:rsidRDefault="00C50CEC" w:rsidP="00E67A6B">
      <w:pPr>
        <w:pStyle w:val="Titre2"/>
        <w:numPr>
          <w:ilvl w:val="1"/>
          <w:numId w:val="19"/>
        </w:numPr>
        <w:spacing w:before="0"/>
        <w:rPr>
          <w:color w:val="auto"/>
          <w:sz w:val="28"/>
          <w:szCs w:val="28"/>
          <w:lang w:val="fr-FR"/>
        </w:rPr>
      </w:pPr>
      <w:bookmarkStart w:id="50" w:name="_Toc480382932"/>
      <w:r w:rsidRPr="00E67A6B">
        <w:rPr>
          <w:color w:val="auto"/>
          <w:sz w:val="28"/>
          <w:szCs w:val="28"/>
          <w:lang w:val="fr-FR"/>
        </w:rPr>
        <w:t>Analyse des goulots d’étranglement de la prise en charge pédiatrique du VIH</w:t>
      </w:r>
      <w:bookmarkEnd w:id="50"/>
    </w:p>
    <w:p w:rsidR="00372B0C" w:rsidRPr="00E67A6B" w:rsidRDefault="00372B0C" w:rsidP="00C50CEC">
      <w:pPr>
        <w:rPr>
          <w:sz w:val="24"/>
          <w:lang w:val="fr-FR"/>
        </w:rPr>
      </w:pPr>
    </w:p>
    <w:p w:rsidR="00372B0C" w:rsidRPr="00E67A6B" w:rsidRDefault="0038417C" w:rsidP="00372B0C">
      <w:pPr>
        <w:rPr>
          <w:sz w:val="24"/>
          <w:lang w:val="fr-FR"/>
        </w:rPr>
      </w:pPr>
      <w:r w:rsidRPr="00E67A6B">
        <w:rPr>
          <w:sz w:val="24"/>
          <w:lang w:val="fr-FR"/>
        </w:rPr>
        <w:t xml:space="preserve">Les goulots d’étranglements ont été identifiés à travers une </w:t>
      </w:r>
      <w:r w:rsidR="00372B0C" w:rsidRPr="00E67A6B">
        <w:rPr>
          <w:sz w:val="24"/>
          <w:lang w:val="fr-FR"/>
        </w:rPr>
        <w:t>analyse situationnelle de la prise en charge du VIH</w:t>
      </w:r>
      <w:r w:rsidRPr="00E67A6B">
        <w:rPr>
          <w:sz w:val="24"/>
          <w:lang w:val="fr-FR"/>
        </w:rPr>
        <w:t xml:space="preserve"> des enfants et des adolescents. Cette analyse s’est basée sur la revue documentaire et l’expérience des acteurs clés impliqués dans la PECP</w:t>
      </w:r>
      <w:r w:rsidR="000472FC" w:rsidRPr="00E67A6B">
        <w:rPr>
          <w:sz w:val="24"/>
          <w:lang w:val="fr-FR"/>
        </w:rPr>
        <w:t xml:space="preserve"> (Tableau 3)</w:t>
      </w:r>
      <w:r w:rsidR="00372B0C" w:rsidRPr="00E67A6B">
        <w:rPr>
          <w:sz w:val="24"/>
          <w:lang w:val="fr-FR"/>
        </w:rPr>
        <w:t xml:space="preserve">.  </w:t>
      </w:r>
    </w:p>
    <w:p w:rsidR="00372B0C" w:rsidRDefault="00372B0C" w:rsidP="00C50CEC">
      <w:pPr>
        <w:rPr>
          <w:lang w:val="fr-FR"/>
        </w:rPr>
        <w:sectPr w:rsidR="00372B0C" w:rsidSect="007533D5">
          <w:pgSz w:w="12240" w:h="15840"/>
          <w:pgMar w:top="1440" w:right="1440" w:bottom="1440" w:left="1440" w:header="720" w:footer="720" w:gutter="0"/>
          <w:pgNumType w:start="9"/>
          <w:cols w:space="720"/>
          <w:docGrid w:linePitch="360"/>
        </w:sectPr>
      </w:pPr>
    </w:p>
    <w:p w:rsidR="00372B0C" w:rsidRDefault="00372B0C" w:rsidP="006B51F5">
      <w:pPr>
        <w:pStyle w:val="Lgende"/>
        <w:spacing w:after="0"/>
        <w:jc w:val="center"/>
        <w:rPr>
          <w:color w:val="auto"/>
          <w:sz w:val="24"/>
          <w:szCs w:val="24"/>
          <w:lang w:val="fr-FR"/>
        </w:rPr>
      </w:pPr>
      <w:bookmarkStart w:id="51" w:name="_Toc324066878"/>
      <w:bookmarkStart w:id="52" w:name="_Toc324067351"/>
      <w:bookmarkStart w:id="53" w:name="_Toc324231255"/>
      <w:bookmarkStart w:id="54" w:name="_Toc480382961"/>
      <w:r w:rsidRPr="006B51F5">
        <w:rPr>
          <w:color w:val="auto"/>
          <w:sz w:val="24"/>
          <w:szCs w:val="24"/>
          <w:lang w:val="fr-FR"/>
        </w:rPr>
        <w:t xml:space="preserve">Tableau </w:t>
      </w:r>
      <w:r w:rsidR="00C25D03" w:rsidRPr="006B51F5">
        <w:rPr>
          <w:color w:val="auto"/>
          <w:sz w:val="24"/>
          <w:szCs w:val="24"/>
        </w:rPr>
        <w:fldChar w:fldCharType="begin"/>
      </w:r>
      <w:r w:rsidRPr="006B51F5">
        <w:rPr>
          <w:color w:val="auto"/>
          <w:sz w:val="24"/>
          <w:szCs w:val="24"/>
          <w:lang w:val="fr-FR"/>
        </w:rPr>
        <w:instrText xml:space="preserve"> SEQ Tableau \* ARABIC </w:instrText>
      </w:r>
      <w:r w:rsidR="00C25D03" w:rsidRPr="006B51F5">
        <w:rPr>
          <w:color w:val="auto"/>
          <w:sz w:val="24"/>
          <w:szCs w:val="24"/>
        </w:rPr>
        <w:fldChar w:fldCharType="separate"/>
      </w:r>
      <w:r w:rsidR="00CD1586">
        <w:rPr>
          <w:noProof/>
          <w:color w:val="auto"/>
          <w:sz w:val="24"/>
          <w:szCs w:val="24"/>
          <w:lang w:val="fr-FR"/>
        </w:rPr>
        <w:t>4</w:t>
      </w:r>
      <w:r w:rsidR="00C25D03" w:rsidRPr="006B51F5">
        <w:rPr>
          <w:color w:val="auto"/>
          <w:sz w:val="24"/>
          <w:szCs w:val="24"/>
        </w:rPr>
        <w:fldChar w:fldCharType="end"/>
      </w:r>
      <w:r w:rsidRPr="006B51F5">
        <w:rPr>
          <w:color w:val="auto"/>
          <w:sz w:val="24"/>
          <w:szCs w:val="24"/>
          <w:lang w:val="fr-FR"/>
        </w:rPr>
        <w:t>: Analyse des goulots d'étranglements de la prise en charge du VIH chez l'enfant</w:t>
      </w:r>
      <w:bookmarkEnd w:id="51"/>
      <w:bookmarkEnd w:id="52"/>
      <w:bookmarkEnd w:id="53"/>
      <w:bookmarkEnd w:id="54"/>
    </w:p>
    <w:p w:rsidR="006B51F5" w:rsidRPr="006B51F5" w:rsidRDefault="006B51F5" w:rsidP="006B51F5">
      <w:pPr>
        <w:rPr>
          <w:lang w:val="fr-FR"/>
        </w:rPr>
      </w:pPr>
    </w:p>
    <w:tbl>
      <w:tblPr>
        <w:tblpPr w:leftFromText="141" w:rightFromText="141" w:vertAnchor="text" w:tblpX="-617" w:tblpY="1"/>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4"/>
        <w:gridCol w:w="263"/>
        <w:gridCol w:w="7612"/>
      </w:tblGrid>
      <w:tr w:rsidR="00372B0C" w:rsidRPr="00C9170C" w:rsidTr="00952B7C">
        <w:trPr>
          <w:tblHeader/>
        </w:trPr>
        <w:tc>
          <w:tcPr>
            <w:tcW w:w="6847" w:type="dxa"/>
            <w:gridSpan w:val="2"/>
            <w:shd w:val="clear" w:color="auto" w:fill="auto"/>
          </w:tcPr>
          <w:p w:rsidR="00372B0C" w:rsidRPr="00C9170C" w:rsidRDefault="00C9170C" w:rsidP="00952B7C">
            <w:pPr>
              <w:jc w:val="center"/>
              <w:rPr>
                <w:rFonts w:cs="Arial"/>
                <w:b/>
                <w:szCs w:val="20"/>
              </w:rPr>
            </w:pPr>
            <w:r w:rsidRPr="00C9170C">
              <w:rPr>
                <w:rFonts w:cs="Arial"/>
                <w:b/>
                <w:szCs w:val="20"/>
              </w:rPr>
              <w:t>Etat des lieux</w:t>
            </w:r>
          </w:p>
        </w:tc>
        <w:tc>
          <w:tcPr>
            <w:tcW w:w="7612" w:type="dxa"/>
            <w:shd w:val="clear" w:color="auto" w:fill="auto"/>
          </w:tcPr>
          <w:p w:rsidR="00372B0C" w:rsidRPr="00C9170C" w:rsidRDefault="00372B0C" w:rsidP="00952B7C">
            <w:pPr>
              <w:jc w:val="center"/>
              <w:rPr>
                <w:rFonts w:cs="Arial"/>
                <w:b/>
                <w:szCs w:val="20"/>
              </w:rPr>
            </w:pPr>
            <w:r w:rsidRPr="00C9170C">
              <w:rPr>
                <w:rFonts w:cs="Arial"/>
                <w:b/>
                <w:szCs w:val="20"/>
              </w:rPr>
              <w:t>Goulots d’étranglement</w:t>
            </w:r>
          </w:p>
        </w:tc>
      </w:tr>
      <w:tr w:rsidR="002900EE" w:rsidRPr="00ED18BA" w:rsidTr="00952B7C">
        <w:trPr>
          <w:trHeight w:val="173"/>
          <w:tblHeader/>
        </w:trPr>
        <w:tc>
          <w:tcPr>
            <w:tcW w:w="14459" w:type="dxa"/>
            <w:gridSpan w:val="3"/>
            <w:shd w:val="clear" w:color="auto" w:fill="00FF80"/>
          </w:tcPr>
          <w:p w:rsidR="002900EE" w:rsidRPr="002900EE" w:rsidRDefault="002900EE" w:rsidP="00952B7C">
            <w:pPr>
              <w:rPr>
                <w:rFonts w:cs="Arial"/>
                <w:b/>
                <w:szCs w:val="20"/>
                <w:lang w:val="fr-FR"/>
              </w:rPr>
            </w:pPr>
            <w:r w:rsidRPr="00C9170C">
              <w:rPr>
                <w:rFonts w:cs="Arial"/>
                <w:b/>
                <w:lang w:val="fr-FR"/>
              </w:rPr>
              <w:t>Environnement de la PECP (documents normatifs, gestion et coordination budget)</w:t>
            </w:r>
            <w:r w:rsidRPr="00C9170C">
              <w:rPr>
                <w:rFonts w:cs="Arial"/>
                <w:lang w:val="fr-FR"/>
              </w:rPr>
              <w:t> </w:t>
            </w:r>
          </w:p>
        </w:tc>
      </w:tr>
      <w:tr w:rsidR="002900EE" w:rsidRPr="00ED18BA" w:rsidTr="00952B7C">
        <w:trPr>
          <w:trHeight w:val="699"/>
        </w:trPr>
        <w:tc>
          <w:tcPr>
            <w:tcW w:w="6584" w:type="dxa"/>
            <w:shd w:val="clear" w:color="auto" w:fill="auto"/>
          </w:tcPr>
          <w:p w:rsidR="002900EE" w:rsidRPr="007A2722" w:rsidRDefault="002900EE" w:rsidP="00952B7C">
            <w:pPr>
              <w:ind w:left="720"/>
              <w:rPr>
                <w:rFonts w:cs="Arial"/>
                <w:b/>
                <w:lang w:val="fr-FR"/>
              </w:rPr>
            </w:pPr>
            <w:r w:rsidRPr="007A2722">
              <w:rPr>
                <w:rFonts w:cs="Arial"/>
                <w:b/>
                <w:lang w:val="fr-FR"/>
              </w:rPr>
              <w:t>Législation/Politique</w:t>
            </w:r>
          </w:p>
          <w:p w:rsidR="002900EE" w:rsidRPr="007A2722" w:rsidRDefault="002900EE" w:rsidP="00952B7C">
            <w:pPr>
              <w:numPr>
                <w:ilvl w:val="0"/>
                <w:numId w:val="14"/>
              </w:numPr>
              <w:tabs>
                <w:tab w:val="num" w:pos="720"/>
              </w:tabs>
              <w:rPr>
                <w:rFonts w:cs="Arial"/>
                <w:lang w:val="fr-FR"/>
              </w:rPr>
            </w:pPr>
            <w:r w:rsidRPr="007A2722">
              <w:rPr>
                <w:rFonts w:cs="Arial"/>
                <w:lang w:val="fr-FR"/>
              </w:rPr>
              <w:t xml:space="preserve">Existence d’une volonté politique au plus haut niveau </w:t>
            </w:r>
          </w:p>
          <w:p w:rsidR="002900EE" w:rsidRPr="007A2722" w:rsidRDefault="002900EE" w:rsidP="00952B7C">
            <w:pPr>
              <w:numPr>
                <w:ilvl w:val="0"/>
                <w:numId w:val="14"/>
              </w:numPr>
              <w:tabs>
                <w:tab w:val="num" w:pos="720"/>
              </w:tabs>
              <w:rPr>
                <w:rFonts w:cs="Arial"/>
                <w:lang w:val="fr-FR"/>
              </w:rPr>
            </w:pPr>
            <w:r w:rsidRPr="007A2722">
              <w:rPr>
                <w:rFonts w:cs="Arial"/>
                <w:lang w:val="fr-FR"/>
              </w:rPr>
              <w:t>Conventions des droits de l’enfant ratifiées par la Guinée (Célébration du mois de l’enfant en Guinée)</w:t>
            </w:r>
          </w:p>
          <w:p w:rsidR="002900EE" w:rsidRPr="007A2722" w:rsidRDefault="002900EE" w:rsidP="00952B7C">
            <w:pPr>
              <w:numPr>
                <w:ilvl w:val="0"/>
                <w:numId w:val="14"/>
              </w:numPr>
              <w:tabs>
                <w:tab w:val="num" w:pos="720"/>
              </w:tabs>
              <w:rPr>
                <w:rFonts w:cs="Arial"/>
                <w:lang w:val="fr-FR"/>
              </w:rPr>
            </w:pPr>
            <w:r w:rsidRPr="007A2722">
              <w:rPr>
                <w:rFonts w:cs="Arial"/>
                <w:lang w:val="fr-FR"/>
              </w:rPr>
              <w:t xml:space="preserve">Textes juridiques/réglementaires créant les structures/entités SMNI/PTME/ PECP et leur fonctionnement </w:t>
            </w:r>
          </w:p>
          <w:p w:rsidR="002900EE" w:rsidRPr="007A2722" w:rsidRDefault="002900EE" w:rsidP="00952B7C">
            <w:pPr>
              <w:ind w:left="720"/>
              <w:rPr>
                <w:rFonts w:cs="Arial"/>
                <w:lang w:val="fr-FR"/>
              </w:rPr>
            </w:pPr>
          </w:p>
          <w:p w:rsidR="002900EE" w:rsidRPr="007A2722" w:rsidRDefault="002900EE" w:rsidP="00952B7C">
            <w:pPr>
              <w:ind w:left="720"/>
              <w:rPr>
                <w:rFonts w:cs="Arial"/>
                <w:b/>
                <w:lang w:val="fr-FR"/>
              </w:rPr>
            </w:pPr>
            <w:r w:rsidRPr="007A2722">
              <w:rPr>
                <w:rFonts w:cs="Arial"/>
                <w:b/>
                <w:lang w:val="fr-FR"/>
              </w:rPr>
              <w:t>Normes et Procédures</w:t>
            </w:r>
          </w:p>
          <w:p w:rsidR="002900EE" w:rsidRPr="007A2722" w:rsidRDefault="002900EE" w:rsidP="00952B7C">
            <w:pPr>
              <w:numPr>
                <w:ilvl w:val="0"/>
                <w:numId w:val="14"/>
              </w:numPr>
              <w:tabs>
                <w:tab w:val="num" w:pos="720"/>
              </w:tabs>
              <w:rPr>
                <w:rFonts w:cs="Arial"/>
                <w:lang w:val="fr-FR"/>
              </w:rPr>
            </w:pPr>
            <w:r w:rsidRPr="007A2722">
              <w:rPr>
                <w:rFonts w:cs="Arial"/>
                <w:lang w:val="fr-FR"/>
              </w:rPr>
              <w:t xml:space="preserve">Existence de documents des normes et procédures (Edition 2015) </w:t>
            </w:r>
          </w:p>
          <w:p w:rsidR="002900EE" w:rsidRPr="007A2722" w:rsidRDefault="002900EE" w:rsidP="00952B7C">
            <w:pPr>
              <w:numPr>
                <w:ilvl w:val="0"/>
                <w:numId w:val="14"/>
              </w:numPr>
              <w:tabs>
                <w:tab w:val="num" w:pos="720"/>
              </w:tabs>
              <w:rPr>
                <w:rFonts w:cs="Arial"/>
                <w:lang w:val="fr-FR"/>
              </w:rPr>
            </w:pPr>
            <w:r w:rsidRPr="007A2722">
              <w:rPr>
                <w:rFonts w:cs="Arial"/>
                <w:lang w:val="fr-FR"/>
              </w:rPr>
              <w:t>Existence Normes et procédures de la PECG (édition 2016) existe</w:t>
            </w:r>
          </w:p>
          <w:p w:rsidR="002900EE" w:rsidRPr="007A2722" w:rsidRDefault="002900EE" w:rsidP="00952B7C">
            <w:pPr>
              <w:ind w:left="720"/>
              <w:rPr>
                <w:rFonts w:cs="Arial"/>
                <w:b/>
                <w:lang w:val="fr-FR"/>
              </w:rPr>
            </w:pPr>
          </w:p>
          <w:p w:rsidR="002900EE" w:rsidRPr="007A2722" w:rsidRDefault="002900EE" w:rsidP="00952B7C">
            <w:pPr>
              <w:ind w:left="720"/>
              <w:rPr>
                <w:rFonts w:cs="Arial"/>
                <w:b/>
                <w:lang w:val="fr-FR"/>
              </w:rPr>
            </w:pPr>
            <w:r w:rsidRPr="007A2722">
              <w:rPr>
                <w:rFonts w:cs="Arial"/>
                <w:b/>
                <w:lang w:val="fr-FR"/>
              </w:rPr>
              <w:t>Gestion/Coordination, Suivi évaluation</w:t>
            </w:r>
          </w:p>
          <w:p w:rsidR="002900EE" w:rsidRPr="007A2722" w:rsidRDefault="002900EE" w:rsidP="00952B7C">
            <w:pPr>
              <w:numPr>
                <w:ilvl w:val="0"/>
                <w:numId w:val="14"/>
              </w:numPr>
              <w:rPr>
                <w:rFonts w:cs="Arial"/>
                <w:lang w:val="fr-FR"/>
              </w:rPr>
            </w:pPr>
            <w:r w:rsidRPr="007A2722">
              <w:rPr>
                <w:rFonts w:cs="Arial"/>
                <w:lang w:val="fr-FR"/>
              </w:rPr>
              <w:t>Augmentation du nombre de sites de dépistage et de prise en charge  des PVVIH</w:t>
            </w:r>
          </w:p>
          <w:p w:rsidR="002900EE" w:rsidRPr="007A2722" w:rsidRDefault="002900EE" w:rsidP="00952B7C">
            <w:pPr>
              <w:numPr>
                <w:ilvl w:val="0"/>
                <w:numId w:val="14"/>
              </w:numPr>
              <w:rPr>
                <w:rFonts w:cs="Arial"/>
                <w:lang w:val="fr-FR"/>
              </w:rPr>
            </w:pPr>
            <w:r w:rsidRPr="007A2722">
              <w:rPr>
                <w:rFonts w:cs="Arial"/>
                <w:lang w:val="fr-FR"/>
              </w:rPr>
              <w:t>Organisation des rencontres mensuelles/trimestrielles en SMNI/PTME/PECP</w:t>
            </w:r>
          </w:p>
          <w:p w:rsidR="002900EE" w:rsidRPr="007A2722" w:rsidRDefault="002900EE" w:rsidP="00952B7C">
            <w:pPr>
              <w:ind w:left="720"/>
              <w:rPr>
                <w:rFonts w:cs="Arial"/>
                <w:b/>
                <w:lang w:val="fr-FR"/>
              </w:rPr>
            </w:pPr>
          </w:p>
          <w:p w:rsidR="002900EE" w:rsidRPr="007A2722" w:rsidRDefault="002900EE" w:rsidP="00952B7C">
            <w:pPr>
              <w:ind w:left="720"/>
              <w:rPr>
                <w:rFonts w:cs="Arial"/>
                <w:b/>
                <w:lang w:val="fr-FR"/>
              </w:rPr>
            </w:pPr>
            <w:r w:rsidRPr="007A2722">
              <w:rPr>
                <w:rFonts w:cs="Arial"/>
                <w:b/>
                <w:lang w:val="fr-FR"/>
              </w:rPr>
              <w:t>Budget/Financement/Dépenses</w:t>
            </w:r>
          </w:p>
          <w:p w:rsidR="002900EE" w:rsidRPr="007A2722" w:rsidRDefault="00527735" w:rsidP="00952B7C">
            <w:pPr>
              <w:numPr>
                <w:ilvl w:val="0"/>
                <w:numId w:val="14"/>
              </w:numPr>
              <w:rPr>
                <w:rFonts w:cs="Arial"/>
                <w:lang w:val="fr-FR"/>
              </w:rPr>
            </w:pPr>
            <w:r>
              <w:rPr>
                <w:rFonts w:cs="Arial"/>
                <w:lang w:val="fr-FR"/>
              </w:rPr>
              <w:t>Faibleconnaissance de la contribution réelle des partenaires</w:t>
            </w:r>
          </w:p>
          <w:p w:rsidR="00DF0B74" w:rsidRPr="007A2722" w:rsidRDefault="00DF0B74" w:rsidP="00952B7C">
            <w:pPr>
              <w:numPr>
                <w:ilvl w:val="0"/>
                <w:numId w:val="14"/>
              </w:numPr>
              <w:rPr>
                <w:rFonts w:cs="Arial"/>
                <w:lang w:val="fr-FR"/>
              </w:rPr>
            </w:pPr>
            <w:r w:rsidRPr="007A2722">
              <w:rPr>
                <w:rFonts w:cs="Arial"/>
                <w:lang w:val="fr-FR"/>
              </w:rPr>
              <w:t>Identification des besoins réels à tous les niveaux  et mobilisation des ressources pour la mise à échelle (voir Plan de passage à l’échelle de la PECG, PEC Co-infection TB/VIH et e-TME)</w:t>
            </w:r>
          </w:p>
          <w:p w:rsidR="002900EE" w:rsidRPr="007A2722" w:rsidRDefault="002900EE" w:rsidP="00952B7C">
            <w:pPr>
              <w:rPr>
                <w:rFonts w:cs="Arial"/>
                <w:lang w:val="fr-FR"/>
              </w:rPr>
            </w:pPr>
          </w:p>
        </w:tc>
        <w:tc>
          <w:tcPr>
            <w:tcW w:w="7875" w:type="dxa"/>
            <w:gridSpan w:val="2"/>
            <w:shd w:val="clear" w:color="auto" w:fill="auto"/>
          </w:tcPr>
          <w:p w:rsidR="002900EE" w:rsidRPr="007A2722" w:rsidRDefault="002900EE" w:rsidP="00952B7C">
            <w:pPr>
              <w:ind w:left="720"/>
              <w:rPr>
                <w:rFonts w:cs="Arial"/>
                <w:b/>
                <w:lang w:val="fr-FR"/>
              </w:rPr>
            </w:pPr>
            <w:r w:rsidRPr="007A2722">
              <w:rPr>
                <w:rFonts w:cs="Arial"/>
                <w:b/>
                <w:lang w:val="fr-FR"/>
              </w:rPr>
              <w:t>Législation/Politique</w:t>
            </w:r>
          </w:p>
          <w:p w:rsidR="002900EE" w:rsidRPr="007A2722" w:rsidRDefault="002900EE" w:rsidP="00952B7C">
            <w:pPr>
              <w:numPr>
                <w:ilvl w:val="0"/>
                <w:numId w:val="18"/>
              </w:numPr>
              <w:contextualSpacing/>
              <w:rPr>
                <w:rFonts w:cs="Arial"/>
                <w:lang w:val="fr-FR"/>
              </w:rPr>
            </w:pPr>
            <w:r w:rsidRPr="007A2722">
              <w:rPr>
                <w:rFonts w:cs="Arial"/>
                <w:lang w:val="fr-FR"/>
              </w:rPr>
              <w:t>Mais non encore signés par les autorités compétentes</w:t>
            </w:r>
          </w:p>
          <w:p w:rsidR="002900EE" w:rsidRPr="007A2722" w:rsidRDefault="002900EE" w:rsidP="00952B7C">
            <w:pPr>
              <w:numPr>
                <w:ilvl w:val="0"/>
                <w:numId w:val="18"/>
              </w:numPr>
              <w:contextualSpacing/>
              <w:rPr>
                <w:rFonts w:cs="Arial"/>
                <w:lang w:val="fr-FR"/>
              </w:rPr>
            </w:pPr>
            <w:r w:rsidRPr="007A2722">
              <w:rPr>
                <w:rFonts w:cs="Arial"/>
                <w:lang w:val="fr-FR"/>
              </w:rPr>
              <w:t>Insuffisance d’actes administratifs (circulaires, décisions,…) de diffusion décentralisée des normes et procédures du MS instituant le dépistage systématique (DCIS)</w:t>
            </w:r>
          </w:p>
          <w:p w:rsidR="002900EE" w:rsidRPr="007A2722" w:rsidRDefault="002900EE" w:rsidP="00952B7C">
            <w:pPr>
              <w:numPr>
                <w:ilvl w:val="0"/>
                <w:numId w:val="18"/>
              </w:numPr>
              <w:contextualSpacing/>
              <w:rPr>
                <w:rFonts w:cs="Arial"/>
                <w:lang w:val="fr-FR"/>
              </w:rPr>
            </w:pPr>
            <w:r w:rsidRPr="007A2722">
              <w:rPr>
                <w:rFonts w:cs="Arial"/>
                <w:lang w:val="fr-FR"/>
              </w:rPr>
              <w:t xml:space="preserve">Insuffisance de diffusion des normes et standards de PEC pour permettre à tous le personnel soignant d’assurer cette PECP </w:t>
            </w:r>
          </w:p>
          <w:p w:rsidR="002900EE" w:rsidRPr="007A2722" w:rsidRDefault="002900EE" w:rsidP="00952B7C">
            <w:pPr>
              <w:numPr>
                <w:ilvl w:val="0"/>
                <w:numId w:val="18"/>
              </w:numPr>
              <w:contextualSpacing/>
              <w:rPr>
                <w:rFonts w:cs="Arial"/>
                <w:lang w:val="fr-FR"/>
              </w:rPr>
            </w:pPr>
            <w:r w:rsidRPr="007A2722">
              <w:rPr>
                <w:rFonts w:cs="Arial"/>
                <w:lang w:val="fr-FR"/>
              </w:rPr>
              <w:t>Insuffisance de traduction des normes en directives opérationnelles</w:t>
            </w:r>
          </w:p>
          <w:p w:rsidR="002900EE" w:rsidRPr="007A2722" w:rsidRDefault="002900EE" w:rsidP="00952B7C">
            <w:pPr>
              <w:contextualSpacing/>
              <w:rPr>
                <w:rFonts w:cs="Arial"/>
                <w:lang w:val="fr-FR"/>
              </w:rPr>
            </w:pPr>
          </w:p>
          <w:p w:rsidR="002900EE" w:rsidRPr="007A2722" w:rsidRDefault="002900EE" w:rsidP="00952B7C">
            <w:pPr>
              <w:ind w:left="720"/>
              <w:rPr>
                <w:rFonts w:cs="Arial"/>
                <w:b/>
                <w:lang w:val="fr-FR"/>
              </w:rPr>
            </w:pPr>
            <w:r w:rsidRPr="007A2722">
              <w:rPr>
                <w:rFonts w:cs="Arial"/>
                <w:b/>
                <w:lang w:val="fr-FR"/>
              </w:rPr>
              <w:t>Gestion/Coordination, Suivi évaluation</w:t>
            </w:r>
          </w:p>
          <w:p w:rsidR="002900EE" w:rsidRPr="007A2722" w:rsidRDefault="002900EE" w:rsidP="00952B7C">
            <w:pPr>
              <w:numPr>
                <w:ilvl w:val="0"/>
                <w:numId w:val="18"/>
              </w:numPr>
              <w:contextualSpacing/>
              <w:rPr>
                <w:rFonts w:cs="Arial"/>
                <w:lang w:val="fr-FR"/>
              </w:rPr>
            </w:pPr>
            <w:r w:rsidRPr="007A2722">
              <w:rPr>
                <w:rFonts w:cs="Arial"/>
                <w:lang w:val="fr-FR"/>
              </w:rPr>
              <w:t>Irrégularité et disparités des réunions de coordination aux différents niveaux de pyramide sanitaire</w:t>
            </w:r>
          </w:p>
          <w:p w:rsidR="002900EE" w:rsidRPr="007A2722" w:rsidRDefault="002900EE" w:rsidP="00952B7C">
            <w:pPr>
              <w:numPr>
                <w:ilvl w:val="0"/>
                <w:numId w:val="18"/>
              </w:numPr>
              <w:contextualSpacing/>
              <w:rPr>
                <w:rFonts w:cs="Arial"/>
                <w:lang w:val="fr-FR"/>
              </w:rPr>
            </w:pPr>
            <w:r w:rsidRPr="007A2722">
              <w:rPr>
                <w:rFonts w:cs="Arial"/>
                <w:lang w:val="fr-FR"/>
              </w:rPr>
              <w:t>Faible  promptitude et complétude des rapports</w:t>
            </w:r>
          </w:p>
          <w:p w:rsidR="002900EE" w:rsidRPr="007A2722" w:rsidRDefault="002900EE" w:rsidP="00952B7C">
            <w:pPr>
              <w:numPr>
                <w:ilvl w:val="0"/>
                <w:numId w:val="18"/>
              </w:numPr>
              <w:contextualSpacing/>
              <w:rPr>
                <w:rFonts w:cs="Arial"/>
                <w:lang w:val="fr-FR"/>
              </w:rPr>
            </w:pPr>
            <w:r w:rsidRPr="007A2722">
              <w:rPr>
                <w:rFonts w:cs="Arial"/>
                <w:lang w:val="fr-FR"/>
              </w:rPr>
              <w:t xml:space="preserve">Insuffisance de prise de décision basée sur les données et informations issues des rencontres </w:t>
            </w:r>
          </w:p>
          <w:p w:rsidR="002900EE" w:rsidRPr="007A2722" w:rsidRDefault="002900EE" w:rsidP="00952B7C">
            <w:pPr>
              <w:numPr>
                <w:ilvl w:val="0"/>
                <w:numId w:val="18"/>
              </w:numPr>
              <w:contextualSpacing/>
              <w:rPr>
                <w:rFonts w:cs="Arial"/>
                <w:lang w:val="fr-FR"/>
              </w:rPr>
            </w:pPr>
            <w:r w:rsidRPr="007A2722">
              <w:rPr>
                <w:rFonts w:cs="Arial"/>
                <w:lang w:val="fr-FR"/>
              </w:rPr>
              <w:t>Insuffisance de retro-information à tous les niveaux</w:t>
            </w:r>
          </w:p>
          <w:p w:rsidR="002900EE" w:rsidRPr="007A2722" w:rsidRDefault="002900EE" w:rsidP="00952B7C">
            <w:pPr>
              <w:numPr>
                <w:ilvl w:val="0"/>
                <w:numId w:val="18"/>
              </w:numPr>
              <w:contextualSpacing/>
              <w:rPr>
                <w:rFonts w:cs="Arial"/>
                <w:lang w:val="fr-FR"/>
              </w:rPr>
            </w:pPr>
            <w:r w:rsidRPr="007A2722">
              <w:rPr>
                <w:rFonts w:cs="Arial"/>
                <w:lang w:val="fr-FR"/>
              </w:rPr>
              <w:t>Faible qualité des données</w:t>
            </w:r>
          </w:p>
          <w:p w:rsidR="002900EE" w:rsidRPr="007A2722" w:rsidRDefault="002900EE" w:rsidP="00952B7C">
            <w:pPr>
              <w:numPr>
                <w:ilvl w:val="0"/>
                <w:numId w:val="18"/>
              </w:numPr>
              <w:contextualSpacing/>
              <w:rPr>
                <w:rFonts w:cs="Arial"/>
                <w:lang w:val="fr-FR"/>
              </w:rPr>
            </w:pPr>
            <w:r w:rsidRPr="007A2722">
              <w:rPr>
                <w:rFonts w:cs="Arial"/>
                <w:lang w:val="fr-FR"/>
              </w:rPr>
              <w:t>Données non désagrégées par cible et par région/ district dans le rapport annuel</w:t>
            </w:r>
          </w:p>
          <w:p w:rsidR="002900EE" w:rsidRPr="007A2722" w:rsidRDefault="002900EE" w:rsidP="00952B7C">
            <w:pPr>
              <w:ind w:left="720"/>
              <w:contextualSpacing/>
              <w:rPr>
                <w:rFonts w:cs="Arial"/>
                <w:lang w:val="fr-FR"/>
              </w:rPr>
            </w:pPr>
          </w:p>
          <w:p w:rsidR="002900EE" w:rsidRPr="007A2722" w:rsidRDefault="002900EE" w:rsidP="00952B7C">
            <w:pPr>
              <w:ind w:left="720"/>
              <w:rPr>
                <w:rFonts w:cs="Arial"/>
                <w:b/>
                <w:lang w:val="fr-FR"/>
              </w:rPr>
            </w:pPr>
            <w:r w:rsidRPr="007A2722">
              <w:rPr>
                <w:rFonts w:cs="Arial"/>
                <w:b/>
                <w:lang w:val="fr-FR"/>
              </w:rPr>
              <w:t>Budget/Financement/Dépenses</w:t>
            </w:r>
          </w:p>
          <w:p w:rsidR="002900EE" w:rsidRPr="007A2722" w:rsidRDefault="002900EE" w:rsidP="00952B7C">
            <w:pPr>
              <w:numPr>
                <w:ilvl w:val="0"/>
                <w:numId w:val="18"/>
              </w:numPr>
              <w:contextualSpacing/>
              <w:rPr>
                <w:rFonts w:cs="Arial"/>
                <w:lang w:val="fr-FR"/>
              </w:rPr>
            </w:pPr>
            <w:r w:rsidRPr="007A2722">
              <w:rPr>
                <w:rFonts w:cs="Arial"/>
                <w:lang w:val="fr-FR"/>
              </w:rPr>
              <w:t xml:space="preserve">Répartition des interventions prioritaires de l’Etat entre les différents partenaires </w:t>
            </w:r>
          </w:p>
          <w:p w:rsidR="002900EE" w:rsidRPr="007A2722" w:rsidRDefault="002900EE" w:rsidP="00952B7C">
            <w:pPr>
              <w:numPr>
                <w:ilvl w:val="0"/>
                <w:numId w:val="18"/>
              </w:numPr>
              <w:contextualSpacing/>
              <w:rPr>
                <w:rFonts w:cs="Arial"/>
                <w:lang w:val="fr-FR"/>
              </w:rPr>
            </w:pPr>
            <w:r w:rsidRPr="007A2722">
              <w:rPr>
                <w:rFonts w:cs="Arial"/>
                <w:lang w:val="fr-FR"/>
              </w:rPr>
              <w:t>Identification des besoins réels à tous les niveaux  et mobilisation des ressources pour la mise à échelle (voir Plan de passage à l’échelle de la PECG, PEC Co-infection TB/VIH et e-TME)</w:t>
            </w:r>
          </w:p>
          <w:p w:rsidR="002900EE" w:rsidRPr="007A2722" w:rsidRDefault="002900EE" w:rsidP="00952B7C">
            <w:pPr>
              <w:numPr>
                <w:ilvl w:val="0"/>
                <w:numId w:val="18"/>
              </w:numPr>
              <w:contextualSpacing/>
              <w:rPr>
                <w:rFonts w:cs="Arial"/>
                <w:lang w:val="fr-FR"/>
              </w:rPr>
            </w:pPr>
            <w:r w:rsidRPr="007A2722">
              <w:rPr>
                <w:rFonts w:cs="Arial"/>
                <w:lang w:val="fr-FR"/>
              </w:rPr>
              <w:t>Augmenter le budget et définir la part allouée au VIH et en particulier à la PECP</w:t>
            </w:r>
          </w:p>
          <w:p w:rsidR="002900EE" w:rsidRPr="007A2722" w:rsidRDefault="002900EE" w:rsidP="00952B7C">
            <w:pPr>
              <w:numPr>
                <w:ilvl w:val="0"/>
                <w:numId w:val="18"/>
              </w:numPr>
              <w:contextualSpacing/>
              <w:rPr>
                <w:rFonts w:cs="Arial"/>
                <w:lang w:val="fr-FR"/>
              </w:rPr>
            </w:pPr>
            <w:r w:rsidRPr="007A2722">
              <w:rPr>
                <w:rFonts w:cs="Arial"/>
                <w:lang w:val="fr-FR"/>
              </w:rPr>
              <w:t>Réaliser fréquemment le REDES* et désagréger les données</w:t>
            </w:r>
            <w:r w:rsidR="004B5205">
              <w:rPr>
                <w:rFonts w:cs="Arial"/>
                <w:lang w:val="fr-FR"/>
              </w:rPr>
              <w:t xml:space="preserve"> pour avoir les dépenses en PEC</w:t>
            </w:r>
            <w:r w:rsidRPr="007A2722">
              <w:rPr>
                <w:rFonts w:cs="Arial"/>
                <w:lang w:val="fr-FR"/>
              </w:rPr>
              <w:t>P</w:t>
            </w:r>
          </w:p>
          <w:p w:rsidR="00DF0B74" w:rsidRDefault="002900EE" w:rsidP="00952B7C">
            <w:pPr>
              <w:numPr>
                <w:ilvl w:val="0"/>
                <w:numId w:val="18"/>
              </w:numPr>
              <w:contextualSpacing/>
              <w:rPr>
                <w:rFonts w:cs="Arial"/>
                <w:lang w:val="fr-FR"/>
              </w:rPr>
            </w:pPr>
            <w:r w:rsidRPr="007A2722">
              <w:rPr>
                <w:rFonts w:cs="Arial"/>
                <w:lang w:val="fr-FR"/>
              </w:rPr>
              <w:t>Faible mobilisation des ressources locales</w:t>
            </w:r>
          </w:p>
          <w:p w:rsidR="00DF0B74" w:rsidRPr="007A2722" w:rsidRDefault="00DF0B74" w:rsidP="00952B7C">
            <w:pPr>
              <w:numPr>
                <w:ilvl w:val="0"/>
                <w:numId w:val="18"/>
              </w:numPr>
              <w:contextualSpacing/>
              <w:rPr>
                <w:rFonts w:cs="Arial"/>
                <w:lang w:val="fr-FR"/>
              </w:rPr>
            </w:pPr>
            <w:r w:rsidRPr="007A2722">
              <w:rPr>
                <w:rFonts w:cs="Arial"/>
                <w:lang w:val="fr-FR"/>
              </w:rPr>
              <w:t xml:space="preserve">Ressources actuelles limitées face aux besoins de passage à </w:t>
            </w:r>
            <w:r>
              <w:rPr>
                <w:rFonts w:cs="Arial"/>
                <w:lang w:val="fr-FR"/>
              </w:rPr>
              <w:t>l’échelle</w:t>
            </w:r>
          </w:p>
          <w:p w:rsidR="002900EE" w:rsidRPr="007A2722" w:rsidRDefault="002900EE" w:rsidP="00952B7C">
            <w:pPr>
              <w:ind w:left="720"/>
              <w:contextualSpacing/>
              <w:rPr>
                <w:rFonts w:cs="Arial"/>
                <w:lang w:val="fr-FR"/>
              </w:rPr>
            </w:pPr>
          </w:p>
        </w:tc>
      </w:tr>
      <w:tr w:rsidR="002900EE" w:rsidRPr="00ED18BA" w:rsidTr="00952B7C">
        <w:trPr>
          <w:trHeight w:val="392"/>
        </w:trPr>
        <w:tc>
          <w:tcPr>
            <w:tcW w:w="14459" w:type="dxa"/>
            <w:gridSpan w:val="3"/>
            <w:shd w:val="clear" w:color="auto" w:fill="00FF80"/>
          </w:tcPr>
          <w:p w:rsidR="002900EE" w:rsidRPr="00C9170C" w:rsidRDefault="002900EE" w:rsidP="00952B7C">
            <w:pPr>
              <w:jc w:val="center"/>
              <w:rPr>
                <w:rFonts w:cs="Arial"/>
                <w:b/>
                <w:lang w:val="fr-FR"/>
              </w:rPr>
            </w:pPr>
            <w:r w:rsidRPr="00C9170C">
              <w:rPr>
                <w:rFonts w:cs="Arial"/>
                <w:b/>
                <w:lang w:val="fr-FR"/>
              </w:rPr>
              <w:t xml:space="preserve">Identification des enfants et adolescents de 0-19 ans VIH+: </w:t>
            </w:r>
            <w:r w:rsidRPr="00C9170C">
              <w:rPr>
                <w:b/>
                <w:lang w:val="fr-FR"/>
              </w:rPr>
              <w:t>Accès aux soins, soutien et traitement Pédiatrique</w:t>
            </w:r>
          </w:p>
        </w:tc>
      </w:tr>
      <w:tr w:rsidR="002900EE" w:rsidRPr="00C9170C" w:rsidTr="00952B7C">
        <w:trPr>
          <w:trHeight w:val="320"/>
        </w:trPr>
        <w:tc>
          <w:tcPr>
            <w:tcW w:w="6584" w:type="dxa"/>
            <w:shd w:val="clear" w:color="auto" w:fill="auto"/>
          </w:tcPr>
          <w:p w:rsidR="002900EE" w:rsidRPr="005A0C43" w:rsidRDefault="002900EE" w:rsidP="00952B7C">
            <w:pPr>
              <w:jc w:val="center"/>
              <w:rPr>
                <w:rFonts w:cs="Arial"/>
                <w:b/>
                <w:szCs w:val="20"/>
              </w:rPr>
            </w:pPr>
            <w:r w:rsidRPr="005A0C43">
              <w:rPr>
                <w:rFonts w:cs="Arial"/>
                <w:b/>
                <w:szCs w:val="20"/>
              </w:rPr>
              <w:t xml:space="preserve">Résultats </w:t>
            </w:r>
          </w:p>
        </w:tc>
        <w:tc>
          <w:tcPr>
            <w:tcW w:w="7875" w:type="dxa"/>
            <w:gridSpan w:val="2"/>
            <w:shd w:val="clear" w:color="auto" w:fill="auto"/>
          </w:tcPr>
          <w:p w:rsidR="002900EE" w:rsidRPr="005A0C43" w:rsidRDefault="002900EE" w:rsidP="00952B7C">
            <w:pPr>
              <w:jc w:val="center"/>
              <w:rPr>
                <w:rFonts w:cs="Arial"/>
                <w:b/>
                <w:szCs w:val="20"/>
              </w:rPr>
            </w:pPr>
            <w:r>
              <w:rPr>
                <w:rFonts w:cs="Arial"/>
                <w:b/>
                <w:szCs w:val="20"/>
              </w:rPr>
              <w:t>Goulots d’étranglement</w:t>
            </w:r>
          </w:p>
        </w:tc>
      </w:tr>
      <w:tr w:rsidR="002900EE" w:rsidRPr="00ED18BA" w:rsidTr="00952B7C">
        <w:trPr>
          <w:trHeight w:val="2757"/>
        </w:trPr>
        <w:tc>
          <w:tcPr>
            <w:tcW w:w="6584" w:type="dxa"/>
            <w:shd w:val="clear" w:color="auto" w:fill="auto"/>
          </w:tcPr>
          <w:p w:rsidR="002900EE" w:rsidRPr="006648D4" w:rsidRDefault="002900EE" w:rsidP="00952B7C">
            <w:pPr>
              <w:rPr>
                <w:rFonts w:cs="Arial"/>
                <w:b/>
                <w:szCs w:val="20"/>
              </w:rPr>
            </w:pPr>
            <w:r w:rsidRPr="006648D4">
              <w:rPr>
                <w:rFonts w:cs="Arial"/>
                <w:b/>
                <w:szCs w:val="20"/>
              </w:rPr>
              <w:t>Accessibilité aux soins</w:t>
            </w:r>
          </w:p>
          <w:p w:rsidR="002900EE" w:rsidRDefault="002900EE" w:rsidP="00952B7C">
            <w:pPr>
              <w:pStyle w:val="Paragraphedeliste"/>
              <w:numPr>
                <w:ilvl w:val="0"/>
                <w:numId w:val="14"/>
              </w:numPr>
              <w:rPr>
                <w:rFonts w:eastAsia="Times New Roman" w:cs="Arial"/>
                <w:lang w:val="fr-FR"/>
              </w:rPr>
            </w:pPr>
            <w:r w:rsidRPr="006648D4">
              <w:rPr>
                <w:rFonts w:eastAsia="Times New Roman" w:cs="Arial"/>
                <w:lang w:val="fr-FR"/>
              </w:rPr>
              <w:t>Faible utilisation des services de santé</w:t>
            </w:r>
            <w:r w:rsidR="004B5205">
              <w:rPr>
                <w:rFonts w:eastAsia="Times New Roman" w:cs="Arial"/>
                <w:lang w:val="fr-FR"/>
              </w:rPr>
              <w:t xml:space="preserve"> par les populations</w:t>
            </w:r>
          </w:p>
          <w:p w:rsidR="004B5205" w:rsidRDefault="004B5205" w:rsidP="00952B7C">
            <w:pPr>
              <w:pStyle w:val="Paragraphedeliste"/>
              <w:numPr>
                <w:ilvl w:val="0"/>
                <w:numId w:val="14"/>
              </w:numPr>
              <w:rPr>
                <w:rFonts w:eastAsia="Times New Roman" w:cs="Arial"/>
                <w:lang w:val="fr-FR"/>
              </w:rPr>
            </w:pPr>
            <w:r>
              <w:rPr>
                <w:rFonts w:eastAsia="Times New Roman" w:cs="Arial"/>
                <w:lang w:val="fr-FR"/>
              </w:rPr>
              <w:t>Gratuité des tests de dépistage, des CD4 et charge virale</w:t>
            </w:r>
          </w:p>
          <w:p w:rsidR="004B5205" w:rsidRDefault="004B5205" w:rsidP="00952B7C">
            <w:pPr>
              <w:pStyle w:val="Paragraphedeliste"/>
              <w:numPr>
                <w:ilvl w:val="0"/>
                <w:numId w:val="14"/>
              </w:numPr>
              <w:rPr>
                <w:rFonts w:eastAsia="Times New Roman" w:cs="Arial"/>
                <w:lang w:val="fr-FR"/>
              </w:rPr>
            </w:pPr>
            <w:r>
              <w:rPr>
                <w:rFonts w:eastAsia="Times New Roman" w:cs="Arial"/>
                <w:lang w:val="fr-FR"/>
              </w:rPr>
              <w:t>Gratuité des ARV et certains médicaments contre les infections opportunistes</w:t>
            </w:r>
          </w:p>
          <w:p w:rsidR="002900EE" w:rsidRPr="004B5205" w:rsidRDefault="002900EE" w:rsidP="00952B7C">
            <w:pPr>
              <w:rPr>
                <w:rFonts w:eastAsia="Times New Roman" w:cs="Arial"/>
                <w:lang w:val="fr-FR"/>
              </w:rPr>
            </w:pPr>
          </w:p>
          <w:p w:rsidR="002900EE" w:rsidRPr="006648D4" w:rsidRDefault="002900EE" w:rsidP="00952B7C">
            <w:pPr>
              <w:rPr>
                <w:rFonts w:cs="Arial"/>
                <w:szCs w:val="20"/>
              </w:rPr>
            </w:pPr>
            <w:r w:rsidRPr="006648D4">
              <w:rPr>
                <w:rFonts w:cs="Arial"/>
                <w:b/>
                <w:szCs w:val="20"/>
              </w:rPr>
              <w:t xml:space="preserve">Dépistage </w:t>
            </w:r>
          </w:p>
          <w:p w:rsidR="004B5205" w:rsidRDefault="004B5205" w:rsidP="00952B7C">
            <w:pPr>
              <w:numPr>
                <w:ilvl w:val="0"/>
                <w:numId w:val="15"/>
              </w:numPr>
              <w:jc w:val="left"/>
              <w:rPr>
                <w:rFonts w:eastAsia="Times New Roman" w:cs="Arial"/>
                <w:szCs w:val="20"/>
                <w:lang w:val="fr-FR"/>
              </w:rPr>
            </w:pPr>
            <w:r>
              <w:rPr>
                <w:rFonts w:eastAsia="Times New Roman" w:cs="Arial"/>
                <w:szCs w:val="20"/>
                <w:lang w:val="fr-FR"/>
              </w:rPr>
              <w:t>297 sites de prise PTME en 2015</w:t>
            </w:r>
          </w:p>
          <w:p w:rsidR="002900EE" w:rsidRDefault="004B5205" w:rsidP="00952B7C">
            <w:pPr>
              <w:numPr>
                <w:ilvl w:val="0"/>
                <w:numId w:val="15"/>
              </w:numPr>
              <w:jc w:val="left"/>
              <w:rPr>
                <w:rFonts w:eastAsia="Times New Roman" w:cs="Arial"/>
                <w:szCs w:val="20"/>
                <w:lang w:val="fr-FR"/>
              </w:rPr>
            </w:pPr>
            <w:r>
              <w:rPr>
                <w:rFonts w:eastAsia="Times New Roman" w:cs="Arial"/>
                <w:szCs w:val="20"/>
                <w:lang w:val="fr-FR"/>
              </w:rPr>
              <w:t>57 sites de TARV en 2014</w:t>
            </w:r>
          </w:p>
          <w:p w:rsidR="00AE0780" w:rsidRDefault="00AE0780" w:rsidP="00952B7C">
            <w:pPr>
              <w:numPr>
                <w:ilvl w:val="0"/>
                <w:numId w:val="15"/>
              </w:numPr>
              <w:jc w:val="left"/>
              <w:rPr>
                <w:rFonts w:eastAsia="Times New Roman" w:cs="Arial"/>
                <w:szCs w:val="20"/>
                <w:lang w:val="fr-FR"/>
              </w:rPr>
            </w:pPr>
            <w:r>
              <w:rPr>
                <w:rFonts w:eastAsia="Times New Roman" w:cs="Arial"/>
                <w:szCs w:val="20"/>
                <w:lang w:val="fr-FR"/>
              </w:rPr>
              <w:t>Implication de la Poste dans le transport des DBS et l’acheminement des résultats</w:t>
            </w:r>
          </w:p>
          <w:p w:rsidR="004B5205" w:rsidRPr="006648D4" w:rsidRDefault="004B5205" w:rsidP="00952B7C">
            <w:pPr>
              <w:ind w:left="720"/>
              <w:jc w:val="left"/>
              <w:rPr>
                <w:rFonts w:eastAsia="Times New Roman" w:cs="Arial"/>
                <w:szCs w:val="20"/>
                <w:lang w:val="fr-FR"/>
              </w:rPr>
            </w:pPr>
          </w:p>
          <w:p w:rsidR="002900EE" w:rsidRPr="00C9170C" w:rsidRDefault="002900EE" w:rsidP="00952B7C">
            <w:pPr>
              <w:ind w:left="720"/>
              <w:jc w:val="left"/>
              <w:rPr>
                <w:rFonts w:eastAsia="Times New Roman" w:cs="Arial"/>
                <w:sz w:val="20"/>
                <w:szCs w:val="20"/>
                <w:lang w:val="fr-FR"/>
              </w:rPr>
            </w:pPr>
          </w:p>
        </w:tc>
        <w:tc>
          <w:tcPr>
            <w:tcW w:w="7875" w:type="dxa"/>
            <w:gridSpan w:val="2"/>
            <w:shd w:val="clear" w:color="auto" w:fill="auto"/>
          </w:tcPr>
          <w:p w:rsidR="002900EE" w:rsidRPr="006648D4" w:rsidRDefault="002900EE" w:rsidP="00952B7C">
            <w:pPr>
              <w:rPr>
                <w:rFonts w:cs="Arial"/>
                <w:b/>
                <w:szCs w:val="20"/>
              </w:rPr>
            </w:pPr>
            <w:r w:rsidRPr="006648D4">
              <w:rPr>
                <w:rFonts w:cs="Arial"/>
                <w:b/>
                <w:szCs w:val="20"/>
              </w:rPr>
              <w:t>Accessibilité aux soins</w:t>
            </w:r>
          </w:p>
          <w:p w:rsidR="002900EE" w:rsidRPr="00C16C54" w:rsidRDefault="002900EE" w:rsidP="00952B7C">
            <w:pPr>
              <w:numPr>
                <w:ilvl w:val="0"/>
                <w:numId w:val="18"/>
              </w:numPr>
              <w:contextualSpacing/>
              <w:rPr>
                <w:rFonts w:cs="Arial"/>
                <w:lang w:val="fr-FR"/>
              </w:rPr>
            </w:pPr>
            <w:r w:rsidRPr="00C16C54">
              <w:rPr>
                <w:rFonts w:cs="Arial"/>
                <w:lang w:val="fr-FR"/>
              </w:rPr>
              <w:t>Faible revenu des ménages (52% de la population vit en dessous du seuil de pauvreté)</w:t>
            </w:r>
          </w:p>
          <w:p w:rsidR="002900EE" w:rsidRPr="00C16C54" w:rsidRDefault="002900EE" w:rsidP="00952B7C">
            <w:pPr>
              <w:numPr>
                <w:ilvl w:val="0"/>
                <w:numId w:val="18"/>
              </w:numPr>
              <w:contextualSpacing/>
              <w:rPr>
                <w:rFonts w:cs="Arial"/>
                <w:lang w:val="fr-FR"/>
              </w:rPr>
            </w:pPr>
            <w:r w:rsidRPr="00C16C54">
              <w:rPr>
                <w:rFonts w:cs="Arial"/>
                <w:lang w:val="fr-FR"/>
              </w:rPr>
              <w:t>Paiements directs dans les formations pour l’accès aux soins curatifs</w:t>
            </w:r>
          </w:p>
          <w:p w:rsidR="002900EE" w:rsidRPr="00940181" w:rsidRDefault="002900EE" w:rsidP="00952B7C">
            <w:pPr>
              <w:rPr>
                <w:rFonts w:cs="Arial"/>
                <w:b/>
                <w:szCs w:val="20"/>
                <w:lang w:val="fr-FR"/>
              </w:rPr>
            </w:pPr>
          </w:p>
          <w:p w:rsidR="002900EE" w:rsidRPr="006648D4" w:rsidRDefault="002900EE" w:rsidP="00952B7C">
            <w:pPr>
              <w:rPr>
                <w:rFonts w:cs="Arial"/>
                <w:szCs w:val="20"/>
              </w:rPr>
            </w:pPr>
            <w:r w:rsidRPr="006648D4">
              <w:rPr>
                <w:rFonts w:cs="Arial"/>
                <w:b/>
                <w:szCs w:val="20"/>
              </w:rPr>
              <w:t xml:space="preserve">Dépistage </w:t>
            </w:r>
          </w:p>
          <w:p w:rsidR="002900EE" w:rsidRPr="00C16C54" w:rsidRDefault="002900EE" w:rsidP="00952B7C">
            <w:pPr>
              <w:numPr>
                <w:ilvl w:val="0"/>
                <w:numId w:val="18"/>
              </w:numPr>
              <w:contextualSpacing/>
              <w:rPr>
                <w:rFonts w:cs="Arial"/>
                <w:lang w:val="fr-FR"/>
              </w:rPr>
            </w:pPr>
            <w:r w:rsidRPr="00C16C54">
              <w:rPr>
                <w:rFonts w:cs="Arial"/>
                <w:lang w:val="fr-FR"/>
              </w:rPr>
              <w:t xml:space="preserve">Insuffisance  de décentralisation de la PECP dans les centres et postes de santé publics et privés </w:t>
            </w:r>
          </w:p>
          <w:p w:rsidR="002900EE" w:rsidRPr="00C16C54" w:rsidRDefault="002900EE" w:rsidP="00952B7C">
            <w:pPr>
              <w:numPr>
                <w:ilvl w:val="0"/>
                <w:numId w:val="18"/>
              </w:numPr>
              <w:contextualSpacing/>
              <w:rPr>
                <w:rFonts w:cs="Arial"/>
                <w:lang w:val="fr-FR"/>
              </w:rPr>
            </w:pPr>
            <w:r w:rsidRPr="00C16C54">
              <w:rPr>
                <w:rFonts w:cs="Arial"/>
                <w:lang w:val="fr-FR"/>
              </w:rPr>
              <w:t xml:space="preserve">Faible couverture géographique des services intégrés SMNIA/PTME/PECP </w:t>
            </w:r>
          </w:p>
          <w:p w:rsidR="002900EE" w:rsidRPr="00C16C54" w:rsidRDefault="002900EE" w:rsidP="00952B7C">
            <w:pPr>
              <w:numPr>
                <w:ilvl w:val="0"/>
                <w:numId w:val="18"/>
              </w:numPr>
              <w:contextualSpacing/>
              <w:rPr>
                <w:rFonts w:cs="Arial"/>
                <w:lang w:val="fr-FR"/>
              </w:rPr>
            </w:pPr>
            <w:r w:rsidRPr="00C16C54">
              <w:rPr>
                <w:rFonts w:cs="Arial"/>
                <w:lang w:val="fr-FR"/>
              </w:rPr>
              <w:t xml:space="preserve">Faible disponibilité des ressources humaines en qualité et en quantité à tous les niveaux    </w:t>
            </w:r>
          </w:p>
          <w:p w:rsidR="002900EE" w:rsidRPr="00C16C54" w:rsidRDefault="002900EE" w:rsidP="00952B7C">
            <w:pPr>
              <w:numPr>
                <w:ilvl w:val="0"/>
                <w:numId w:val="18"/>
              </w:numPr>
              <w:contextualSpacing/>
              <w:rPr>
                <w:rFonts w:cs="Arial"/>
                <w:lang w:val="fr-FR"/>
              </w:rPr>
            </w:pPr>
            <w:r w:rsidRPr="00C16C54">
              <w:rPr>
                <w:rFonts w:cs="Arial"/>
                <w:lang w:val="fr-FR"/>
              </w:rPr>
              <w:t>Ruptures fréquentes en intrants de dépistage</w:t>
            </w:r>
          </w:p>
          <w:p w:rsidR="002900EE" w:rsidRPr="00C16C54" w:rsidRDefault="002900EE" w:rsidP="00952B7C">
            <w:pPr>
              <w:numPr>
                <w:ilvl w:val="0"/>
                <w:numId w:val="18"/>
              </w:numPr>
              <w:contextualSpacing/>
              <w:rPr>
                <w:rFonts w:cs="Arial"/>
                <w:lang w:val="fr-FR"/>
              </w:rPr>
            </w:pPr>
            <w:r w:rsidRPr="00C16C54">
              <w:rPr>
                <w:rFonts w:cs="Arial"/>
                <w:lang w:val="fr-FR"/>
              </w:rPr>
              <w:t xml:space="preserve">Retard de transmission des prélèvements  DBS au laboratoire ainsi que des résultats </w:t>
            </w:r>
          </w:p>
          <w:p w:rsidR="002900EE" w:rsidRPr="00C16C54" w:rsidRDefault="002900EE" w:rsidP="00952B7C">
            <w:pPr>
              <w:numPr>
                <w:ilvl w:val="0"/>
                <w:numId w:val="18"/>
              </w:numPr>
              <w:contextualSpacing/>
              <w:rPr>
                <w:rFonts w:cs="Arial"/>
                <w:lang w:val="fr-FR"/>
              </w:rPr>
            </w:pPr>
            <w:r w:rsidRPr="00C16C54">
              <w:rPr>
                <w:rFonts w:cs="Arial"/>
                <w:lang w:val="fr-FR"/>
              </w:rPr>
              <w:t>Insuffisance d’organisation et de moyens logistiques alloués au transport des échantillons et aux moyens logistiques du rendu des résultats aux sites et aux mères</w:t>
            </w:r>
          </w:p>
          <w:p w:rsidR="002900EE" w:rsidRPr="00C16C54" w:rsidRDefault="002900EE" w:rsidP="00952B7C">
            <w:pPr>
              <w:numPr>
                <w:ilvl w:val="0"/>
                <w:numId w:val="18"/>
              </w:numPr>
              <w:contextualSpacing/>
              <w:rPr>
                <w:rFonts w:cs="Arial"/>
                <w:lang w:val="fr-FR"/>
              </w:rPr>
            </w:pPr>
            <w:r w:rsidRPr="00C16C54">
              <w:rPr>
                <w:rFonts w:cs="Arial"/>
                <w:lang w:val="fr-FR"/>
              </w:rPr>
              <w:t>Absence d’équipement pour le diagnostic précoce aux niveaux régional et district</w:t>
            </w:r>
          </w:p>
          <w:p w:rsidR="002900EE" w:rsidRPr="00C16C54" w:rsidRDefault="002900EE" w:rsidP="00952B7C">
            <w:pPr>
              <w:numPr>
                <w:ilvl w:val="0"/>
                <w:numId w:val="18"/>
              </w:numPr>
              <w:contextualSpacing/>
              <w:rPr>
                <w:rFonts w:cs="Arial"/>
                <w:lang w:val="fr-FR"/>
              </w:rPr>
            </w:pPr>
            <w:r w:rsidRPr="00C16C54">
              <w:rPr>
                <w:rFonts w:cs="Arial"/>
                <w:lang w:val="fr-FR"/>
              </w:rPr>
              <w:t>Gestion inefficace des intrants pour le dépistage</w:t>
            </w:r>
          </w:p>
          <w:p w:rsidR="002900EE" w:rsidRPr="00C16C54" w:rsidRDefault="002900EE" w:rsidP="00952B7C">
            <w:pPr>
              <w:numPr>
                <w:ilvl w:val="0"/>
                <w:numId w:val="18"/>
              </w:numPr>
              <w:contextualSpacing/>
              <w:rPr>
                <w:rFonts w:cs="Arial"/>
                <w:lang w:val="fr-FR"/>
              </w:rPr>
            </w:pPr>
            <w:r w:rsidRPr="00C16C54">
              <w:rPr>
                <w:rFonts w:cs="Arial"/>
                <w:lang w:val="fr-FR"/>
              </w:rPr>
              <w:t>Insuffisance de maintenance des équipements (certains équipements en panne)</w:t>
            </w:r>
          </w:p>
          <w:p w:rsidR="002900EE" w:rsidRPr="00BE1F6F" w:rsidRDefault="002900EE" w:rsidP="00952B7C">
            <w:pPr>
              <w:contextualSpacing/>
              <w:rPr>
                <w:rFonts w:cs="Arial"/>
                <w:sz w:val="20"/>
                <w:szCs w:val="20"/>
                <w:lang w:val="fr-FR"/>
              </w:rPr>
            </w:pPr>
          </w:p>
        </w:tc>
      </w:tr>
      <w:tr w:rsidR="002900EE" w:rsidRPr="00ED18BA" w:rsidTr="00952B7C">
        <w:trPr>
          <w:trHeight w:val="275"/>
        </w:trPr>
        <w:tc>
          <w:tcPr>
            <w:tcW w:w="14459" w:type="dxa"/>
            <w:gridSpan w:val="3"/>
            <w:shd w:val="clear" w:color="auto" w:fill="00FF80"/>
          </w:tcPr>
          <w:p w:rsidR="002900EE" w:rsidRPr="00C9170C" w:rsidRDefault="002900EE" w:rsidP="00952B7C">
            <w:pPr>
              <w:jc w:val="center"/>
              <w:rPr>
                <w:rFonts w:cs="Arial"/>
                <w:b/>
                <w:lang w:val="fr-FR"/>
              </w:rPr>
            </w:pPr>
            <w:r w:rsidRPr="00C9170C">
              <w:rPr>
                <w:rFonts w:cs="Arial"/>
                <w:b/>
                <w:lang w:val="fr-FR"/>
              </w:rPr>
              <w:t>Accès au TARV des enfants et adolescents</w:t>
            </w:r>
          </w:p>
        </w:tc>
      </w:tr>
      <w:tr w:rsidR="002900EE" w:rsidRPr="00ED18BA" w:rsidTr="00952B7C">
        <w:trPr>
          <w:trHeight w:val="1581"/>
        </w:trPr>
        <w:tc>
          <w:tcPr>
            <w:tcW w:w="6584" w:type="dxa"/>
            <w:shd w:val="clear" w:color="auto" w:fill="auto"/>
          </w:tcPr>
          <w:p w:rsidR="002900EE" w:rsidRPr="007A2722" w:rsidRDefault="002900EE" w:rsidP="00952B7C">
            <w:pPr>
              <w:numPr>
                <w:ilvl w:val="0"/>
                <w:numId w:val="12"/>
              </w:numPr>
              <w:jc w:val="left"/>
              <w:rPr>
                <w:rFonts w:cs="Arial"/>
                <w:szCs w:val="20"/>
                <w:lang w:val="fr-FR"/>
              </w:rPr>
            </w:pPr>
            <w:r w:rsidRPr="007A2722">
              <w:rPr>
                <w:rFonts w:cs="Arial"/>
                <w:szCs w:val="20"/>
                <w:lang w:val="fr-FR"/>
              </w:rPr>
              <w:t>13 sites intégrés sur 107 prévus pour la période 2015-2017</w:t>
            </w:r>
          </w:p>
          <w:p w:rsidR="002900EE" w:rsidRPr="007A2722" w:rsidRDefault="002900EE" w:rsidP="00952B7C">
            <w:pPr>
              <w:ind w:left="720"/>
              <w:jc w:val="left"/>
              <w:rPr>
                <w:rFonts w:cs="Arial"/>
                <w:szCs w:val="20"/>
                <w:lang w:val="fr-FR"/>
              </w:rPr>
            </w:pPr>
          </w:p>
          <w:p w:rsidR="002900EE" w:rsidRPr="007A2722" w:rsidRDefault="002900EE" w:rsidP="00952B7C">
            <w:pPr>
              <w:numPr>
                <w:ilvl w:val="0"/>
                <w:numId w:val="16"/>
              </w:numPr>
              <w:jc w:val="left"/>
              <w:rPr>
                <w:rFonts w:cs="Arial"/>
                <w:szCs w:val="20"/>
                <w:lang w:val="fr-FR"/>
              </w:rPr>
            </w:pPr>
            <w:r w:rsidRPr="007A2722">
              <w:rPr>
                <w:rFonts w:cs="Arial"/>
                <w:szCs w:val="20"/>
                <w:lang w:val="fr-FR"/>
              </w:rPr>
              <w:t xml:space="preserve">Couverture TARV chez les enfants de 0-15 ans en 2016 : 17% soit 2374 enfants sur  13842 enfants attendus </w:t>
            </w:r>
          </w:p>
          <w:p w:rsidR="002900EE" w:rsidRPr="00C9170C" w:rsidRDefault="002900EE" w:rsidP="00952B7C">
            <w:pPr>
              <w:ind w:left="720"/>
              <w:rPr>
                <w:rFonts w:cs="Arial"/>
                <w:sz w:val="20"/>
                <w:szCs w:val="20"/>
                <w:lang w:val="fr-FR"/>
              </w:rPr>
            </w:pPr>
          </w:p>
          <w:p w:rsidR="002900EE" w:rsidRPr="00C9170C" w:rsidRDefault="002900EE" w:rsidP="00952B7C">
            <w:pPr>
              <w:rPr>
                <w:rFonts w:cs="Arial"/>
                <w:sz w:val="20"/>
                <w:szCs w:val="20"/>
                <w:lang w:val="fr-FR"/>
              </w:rPr>
            </w:pPr>
          </w:p>
          <w:p w:rsidR="002900EE" w:rsidRPr="00C9170C" w:rsidRDefault="002900EE" w:rsidP="00952B7C">
            <w:pPr>
              <w:ind w:left="720"/>
              <w:jc w:val="left"/>
              <w:rPr>
                <w:rFonts w:cs="Arial"/>
                <w:sz w:val="20"/>
                <w:szCs w:val="20"/>
                <w:lang w:val="fr-FR"/>
              </w:rPr>
            </w:pPr>
          </w:p>
        </w:tc>
        <w:tc>
          <w:tcPr>
            <w:tcW w:w="7875" w:type="dxa"/>
            <w:gridSpan w:val="2"/>
            <w:shd w:val="clear" w:color="auto" w:fill="auto"/>
          </w:tcPr>
          <w:p w:rsidR="002900EE" w:rsidRPr="006648D4" w:rsidRDefault="002900EE" w:rsidP="00952B7C">
            <w:pPr>
              <w:rPr>
                <w:rFonts w:cs="Arial"/>
                <w:szCs w:val="20"/>
                <w:lang w:val="fr-FR"/>
              </w:rPr>
            </w:pPr>
          </w:p>
          <w:p w:rsidR="002900EE" w:rsidRPr="00C16C54" w:rsidRDefault="002900EE" w:rsidP="00952B7C">
            <w:pPr>
              <w:numPr>
                <w:ilvl w:val="0"/>
                <w:numId w:val="18"/>
              </w:numPr>
              <w:contextualSpacing/>
              <w:rPr>
                <w:rFonts w:cs="Arial"/>
                <w:lang w:val="fr-FR"/>
              </w:rPr>
            </w:pPr>
            <w:r w:rsidRPr="00C16C54">
              <w:rPr>
                <w:rFonts w:cs="Arial"/>
                <w:lang w:val="fr-FR"/>
              </w:rPr>
              <w:t>Faible connaissance de protocoles du TARVP et des conditions de mise sous TARV actualisé y compris en cas de co-infection (malnutrition ou TB)</w:t>
            </w:r>
          </w:p>
          <w:p w:rsidR="002900EE" w:rsidRPr="00C16C54" w:rsidRDefault="002900EE" w:rsidP="00952B7C">
            <w:pPr>
              <w:numPr>
                <w:ilvl w:val="0"/>
                <w:numId w:val="18"/>
              </w:numPr>
              <w:contextualSpacing/>
              <w:rPr>
                <w:rFonts w:cs="Arial"/>
                <w:lang w:val="fr-FR"/>
              </w:rPr>
            </w:pPr>
            <w:r w:rsidRPr="00C16C54">
              <w:rPr>
                <w:rFonts w:cs="Arial"/>
                <w:lang w:val="fr-FR"/>
              </w:rPr>
              <w:t>Couverture nationale de sites de prise en charge pédiatrique  insuffisante</w:t>
            </w:r>
          </w:p>
          <w:p w:rsidR="002900EE" w:rsidRPr="00C16C54" w:rsidRDefault="002900EE" w:rsidP="00952B7C">
            <w:pPr>
              <w:numPr>
                <w:ilvl w:val="0"/>
                <w:numId w:val="18"/>
              </w:numPr>
              <w:contextualSpacing/>
              <w:rPr>
                <w:rFonts w:cs="Arial"/>
                <w:lang w:val="fr-FR"/>
              </w:rPr>
            </w:pPr>
            <w:r w:rsidRPr="00C16C54">
              <w:rPr>
                <w:rFonts w:cs="Arial"/>
                <w:lang w:val="fr-FR"/>
              </w:rPr>
              <w:t>Faible disponibilité des ARV adaptés pour la prise en charge du VIH pédiatrique</w:t>
            </w:r>
          </w:p>
          <w:p w:rsidR="002900EE" w:rsidRPr="006B51F5" w:rsidRDefault="002900EE" w:rsidP="00952B7C">
            <w:pPr>
              <w:numPr>
                <w:ilvl w:val="0"/>
                <w:numId w:val="18"/>
              </w:numPr>
              <w:contextualSpacing/>
              <w:rPr>
                <w:rFonts w:cs="Arial"/>
                <w:lang w:val="fr-FR"/>
              </w:rPr>
            </w:pPr>
            <w:r w:rsidRPr="00C16C54">
              <w:rPr>
                <w:rFonts w:cs="Arial"/>
                <w:lang w:val="fr-FR"/>
              </w:rPr>
              <w:t>Ruptures fréquentes en ARV et médicaments contre les infections opportunistes</w:t>
            </w:r>
          </w:p>
        </w:tc>
      </w:tr>
    </w:tbl>
    <w:p w:rsidR="006B51F5" w:rsidRPr="00952B7C" w:rsidRDefault="006B51F5">
      <w:pPr>
        <w:rPr>
          <w:sz w:val="2"/>
          <w:lang w:val="fr-FR"/>
        </w:rPr>
      </w:pPr>
    </w:p>
    <w:tbl>
      <w:tblPr>
        <w:tblpPr w:leftFromText="141" w:rightFromText="141" w:vertAnchor="text" w:tblpX="-583" w:tblpY="1"/>
        <w:tblOverlap w:val="never"/>
        <w:tblW w:w="13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49"/>
        <w:gridCol w:w="6455"/>
      </w:tblGrid>
      <w:tr w:rsidR="002900EE" w:rsidRPr="00C9170C" w:rsidTr="00752FE7">
        <w:trPr>
          <w:trHeight w:val="302"/>
        </w:trPr>
        <w:tc>
          <w:tcPr>
            <w:tcW w:w="13133" w:type="dxa"/>
            <w:gridSpan w:val="3"/>
            <w:shd w:val="clear" w:color="auto" w:fill="00FF80"/>
          </w:tcPr>
          <w:p w:rsidR="002900EE" w:rsidRPr="00C9170C" w:rsidRDefault="002900EE" w:rsidP="007533D5">
            <w:pPr>
              <w:jc w:val="center"/>
              <w:rPr>
                <w:rFonts w:eastAsia="Times New Roman" w:cs="Arial"/>
              </w:rPr>
            </w:pPr>
            <w:r w:rsidRPr="00C9170C">
              <w:rPr>
                <w:rFonts w:cs="Arial"/>
                <w:b/>
              </w:rPr>
              <w:t>Rétention  et transition</w:t>
            </w:r>
          </w:p>
        </w:tc>
      </w:tr>
      <w:tr w:rsidR="002900EE" w:rsidRPr="00ED18BA" w:rsidTr="00752FE7">
        <w:trPr>
          <w:trHeight w:val="3047"/>
        </w:trPr>
        <w:tc>
          <w:tcPr>
            <w:tcW w:w="6629" w:type="dxa"/>
            <w:shd w:val="clear" w:color="auto" w:fill="auto"/>
          </w:tcPr>
          <w:p w:rsidR="002900EE" w:rsidRPr="007A2722" w:rsidRDefault="002900EE" w:rsidP="007533D5">
            <w:pPr>
              <w:rPr>
                <w:rFonts w:cs="Arial"/>
                <w:szCs w:val="20"/>
              </w:rPr>
            </w:pPr>
          </w:p>
          <w:p w:rsidR="002900EE" w:rsidRPr="007A2722" w:rsidRDefault="002900EE" w:rsidP="007533D5">
            <w:pPr>
              <w:numPr>
                <w:ilvl w:val="0"/>
                <w:numId w:val="13"/>
              </w:numPr>
              <w:jc w:val="left"/>
              <w:rPr>
                <w:rFonts w:cs="Arial"/>
                <w:szCs w:val="20"/>
                <w:lang w:val="fr-FR"/>
              </w:rPr>
            </w:pPr>
            <w:r w:rsidRPr="007A2722">
              <w:rPr>
                <w:rFonts w:cs="Arial"/>
                <w:szCs w:val="20"/>
                <w:lang w:val="fr-FR"/>
              </w:rPr>
              <w:t>Taux élevé de perdus de vue</w:t>
            </w:r>
            <w:r w:rsidR="004B5205">
              <w:rPr>
                <w:rFonts w:cs="Arial"/>
                <w:szCs w:val="20"/>
                <w:lang w:val="fr-FR"/>
              </w:rPr>
              <w:t xml:space="preserve"> (9%)</w:t>
            </w:r>
          </w:p>
          <w:p w:rsidR="002900EE" w:rsidRPr="007A2722" w:rsidRDefault="002900EE" w:rsidP="007533D5">
            <w:pPr>
              <w:ind w:left="720"/>
              <w:jc w:val="left"/>
              <w:rPr>
                <w:rFonts w:cs="Arial"/>
                <w:szCs w:val="20"/>
                <w:lang w:val="fr-FR"/>
              </w:rPr>
            </w:pPr>
          </w:p>
        </w:tc>
        <w:tc>
          <w:tcPr>
            <w:tcW w:w="6504" w:type="dxa"/>
            <w:gridSpan w:val="2"/>
            <w:shd w:val="clear" w:color="auto" w:fill="auto"/>
          </w:tcPr>
          <w:p w:rsidR="002900EE" w:rsidRPr="007A2722" w:rsidRDefault="002900EE" w:rsidP="007533D5">
            <w:pPr>
              <w:ind w:left="720"/>
              <w:contextualSpacing/>
              <w:rPr>
                <w:rFonts w:cs="Arial"/>
                <w:szCs w:val="20"/>
                <w:lang w:val="fr-FR"/>
              </w:rPr>
            </w:pPr>
          </w:p>
          <w:p w:rsidR="002900EE" w:rsidRPr="00C16C54" w:rsidRDefault="002900EE" w:rsidP="007533D5">
            <w:pPr>
              <w:numPr>
                <w:ilvl w:val="0"/>
                <w:numId w:val="18"/>
              </w:numPr>
              <w:contextualSpacing/>
              <w:rPr>
                <w:rFonts w:cs="Arial"/>
                <w:lang w:val="fr-FR"/>
              </w:rPr>
            </w:pPr>
            <w:r w:rsidRPr="00C16C54">
              <w:rPr>
                <w:rFonts w:cs="Arial"/>
                <w:lang w:val="fr-FR"/>
              </w:rPr>
              <w:t>Faible implication des agents de santé communautaires et des associations des PVVIH dans l’accompagnement à tous les niveaux</w:t>
            </w:r>
          </w:p>
          <w:p w:rsidR="002900EE" w:rsidRPr="00C16C54" w:rsidRDefault="002900EE" w:rsidP="007533D5">
            <w:pPr>
              <w:numPr>
                <w:ilvl w:val="0"/>
                <w:numId w:val="18"/>
              </w:numPr>
              <w:contextualSpacing/>
              <w:rPr>
                <w:rFonts w:cs="Arial"/>
                <w:lang w:val="fr-FR"/>
              </w:rPr>
            </w:pPr>
            <w:r w:rsidRPr="00C16C54">
              <w:rPr>
                <w:rFonts w:cs="Arial"/>
                <w:lang w:val="fr-FR"/>
              </w:rPr>
              <w:t>Stigmatisation et discrimination des PVVIH</w:t>
            </w:r>
          </w:p>
          <w:p w:rsidR="002900EE" w:rsidRPr="007A2722" w:rsidRDefault="002900EE" w:rsidP="007533D5">
            <w:pPr>
              <w:numPr>
                <w:ilvl w:val="0"/>
                <w:numId w:val="18"/>
              </w:numPr>
              <w:contextualSpacing/>
              <w:rPr>
                <w:rFonts w:cs="Arial"/>
                <w:lang w:val="fr-FR"/>
              </w:rPr>
            </w:pPr>
            <w:r w:rsidRPr="007A2722">
              <w:rPr>
                <w:rFonts w:cs="Arial"/>
                <w:lang w:val="fr-FR"/>
              </w:rPr>
              <w:t>Insuffisance des structures sanitaires offrant l’éducation thérapeutique, la prise en charge psychosociale et services de transition auprès des adolescents</w:t>
            </w:r>
          </w:p>
          <w:p w:rsidR="002900EE" w:rsidRPr="007A2722" w:rsidRDefault="002900EE" w:rsidP="007533D5">
            <w:pPr>
              <w:numPr>
                <w:ilvl w:val="0"/>
                <w:numId w:val="18"/>
              </w:numPr>
              <w:contextualSpacing/>
              <w:rPr>
                <w:rFonts w:cs="Arial"/>
                <w:lang w:val="fr-FR"/>
              </w:rPr>
            </w:pPr>
            <w:r w:rsidRPr="00C16C54">
              <w:rPr>
                <w:rFonts w:cs="Arial"/>
                <w:lang w:val="fr-FR"/>
              </w:rPr>
              <w:t>Insuffisance de moyens logistiques dédiés à la recherche active des enfants exposés au VIH ou perdus de vues</w:t>
            </w:r>
          </w:p>
          <w:p w:rsidR="002900EE" w:rsidRPr="007A2722" w:rsidRDefault="002900EE" w:rsidP="007533D5">
            <w:pPr>
              <w:numPr>
                <w:ilvl w:val="0"/>
                <w:numId w:val="18"/>
              </w:numPr>
              <w:contextualSpacing/>
              <w:rPr>
                <w:rFonts w:cs="Arial"/>
                <w:lang w:val="fr-FR"/>
              </w:rPr>
            </w:pPr>
            <w:r w:rsidRPr="00C16C54">
              <w:rPr>
                <w:rFonts w:cs="Arial"/>
                <w:lang w:val="fr-FR"/>
              </w:rPr>
              <w:t>Faible soutien psychosocial</w:t>
            </w:r>
          </w:p>
          <w:p w:rsidR="002900EE" w:rsidRPr="00C16C54" w:rsidRDefault="002900EE" w:rsidP="007533D5">
            <w:pPr>
              <w:numPr>
                <w:ilvl w:val="0"/>
                <w:numId w:val="18"/>
              </w:numPr>
              <w:contextualSpacing/>
              <w:rPr>
                <w:rFonts w:cs="Arial"/>
                <w:lang w:val="fr-FR"/>
              </w:rPr>
            </w:pPr>
            <w:r w:rsidRPr="00C16C54">
              <w:rPr>
                <w:rFonts w:cs="Arial"/>
                <w:lang w:val="fr-FR"/>
              </w:rPr>
              <w:t>Faible mise en œuvre des activités de rétention (ETP, Prise en charge psychosociale, recherche de PDV et VAD)</w:t>
            </w:r>
          </w:p>
          <w:p w:rsidR="002900EE" w:rsidRPr="00C16C54" w:rsidRDefault="002900EE" w:rsidP="007533D5">
            <w:pPr>
              <w:numPr>
                <w:ilvl w:val="0"/>
                <w:numId w:val="18"/>
              </w:numPr>
              <w:contextualSpacing/>
              <w:rPr>
                <w:rFonts w:cs="Arial"/>
                <w:lang w:val="fr-FR"/>
              </w:rPr>
            </w:pPr>
            <w:r w:rsidRPr="00C16C54">
              <w:rPr>
                <w:rFonts w:cs="Arial"/>
                <w:lang w:val="fr-FR"/>
              </w:rPr>
              <w:t>Difficulté de référence et de contre référence</w:t>
            </w:r>
          </w:p>
        </w:tc>
      </w:tr>
      <w:tr w:rsidR="002900EE" w:rsidRPr="00ED18BA" w:rsidTr="00752FE7">
        <w:trPr>
          <w:trHeight w:val="284"/>
        </w:trPr>
        <w:tc>
          <w:tcPr>
            <w:tcW w:w="13133" w:type="dxa"/>
            <w:gridSpan w:val="3"/>
            <w:shd w:val="clear" w:color="auto" w:fill="00B050"/>
          </w:tcPr>
          <w:p w:rsidR="002900EE" w:rsidRPr="00C9170C" w:rsidRDefault="002900EE" w:rsidP="007533D5">
            <w:pPr>
              <w:rPr>
                <w:rFonts w:cs="Arial"/>
                <w:b/>
                <w:lang w:val="fr-FR"/>
              </w:rPr>
            </w:pPr>
            <w:r w:rsidRPr="00C9170C">
              <w:rPr>
                <w:rFonts w:cs="Arial"/>
                <w:b/>
                <w:lang w:val="fr-FR"/>
              </w:rPr>
              <w:t xml:space="preserve">Analyse des différents domaines transversaux </w:t>
            </w:r>
          </w:p>
        </w:tc>
      </w:tr>
      <w:tr w:rsidR="002900EE" w:rsidRPr="00C9170C" w:rsidTr="00752FE7">
        <w:trPr>
          <w:trHeight w:val="276"/>
        </w:trPr>
        <w:tc>
          <w:tcPr>
            <w:tcW w:w="13133" w:type="dxa"/>
            <w:gridSpan w:val="3"/>
            <w:shd w:val="clear" w:color="auto" w:fill="00FF80"/>
          </w:tcPr>
          <w:p w:rsidR="002900EE" w:rsidRPr="00C9170C" w:rsidRDefault="002900EE" w:rsidP="007533D5">
            <w:pPr>
              <w:jc w:val="center"/>
              <w:rPr>
                <w:rFonts w:cs="Arial"/>
                <w:b/>
              </w:rPr>
            </w:pPr>
            <w:r w:rsidRPr="00C9170C">
              <w:rPr>
                <w:rFonts w:cs="Arial"/>
                <w:b/>
                <w:szCs w:val="20"/>
              </w:rPr>
              <w:t>Disponibilité des intrants</w:t>
            </w:r>
          </w:p>
        </w:tc>
      </w:tr>
      <w:tr w:rsidR="002900EE" w:rsidRPr="00ED18BA" w:rsidTr="00752FE7">
        <w:trPr>
          <w:trHeight w:val="1112"/>
        </w:trPr>
        <w:tc>
          <w:tcPr>
            <w:tcW w:w="6629" w:type="dxa"/>
            <w:shd w:val="clear" w:color="auto" w:fill="auto"/>
          </w:tcPr>
          <w:p w:rsidR="002900EE" w:rsidRPr="007A2722" w:rsidRDefault="002900EE" w:rsidP="007533D5">
            <w:pPr>
              <w:rPr>
                <w:rFonts w:eastAsia="Times New Roman" w:cs="Arial"/>
                <w:szCs w:val="20"/>
              </w:rPr>
            </w:pPr>
          </w:p>
          <w:p w:rsidR="002900EE" w:rsidRDefault="00DB33A6" w:rsidP="007533D5">
            <w:pPr>
              <w:pStyle w:val="Paragraphedeliste"/>
              <w:numPr>
                <w:ilvl w:val="0"/>
                <w:numId w:val="12"/>
              </w:numPr>
              <w:rPr>
                <w:rFonts w:cs="Arial"/>
                <w:szCs w:val="20"/>
                <w:lang w:val="fr-FR"/>
              </w:rPr>
            </w:pPr>
            <w:r>
              <w:rPr>
                <w:rFonts w:cs="Arial"/>
                <w:szCs w:val="20"/>
                <w:lang w:val="fr-FR"/>
              </w:rPr>
              <w:t>Mise en place du plan de gestion et d’approvisionnement des intrants de prise en charge du VIH</w:t>
            </w:r>
          </w:p>
          <w:p w:rsidR="00DB33A6" w:rsidRPr="00DB33A6" w:rsidRDefault="00DB33A6" w:rsidP="007533D5">
            <w:pPr>
              <w:pStyle w:val="Paragraphedeliste"/>
              <w:numPr>
                <w:ilvl w:val="0"/>
                <w:numId w:val="12"/>
              </w:numPr>
              <w:rPr>
                <w:rFonts w:cs="Arial"/>
                <w:szCs w:val="20"/>
                <w:lang w:val="fr-FR"/>
              </w:rPr>
            </w:pPr>
            <w:r>
              <w:rPr>
                <w:rFonts w:cs="Arial"/>
                <w:szCs w:val="20"/>
                <w:lang w:val="fr-FR"/>
              </w:rPr>
              <w:t>Financement de la logistique de transport des intrants par le Fonds Mondial</w:t>
            </w:r>
          </w:p>
        </w:tc>
        <w:tc>
          <w:tcPr>
            <w:tcW w:w="6504" w:type="dxa"/>
            <w:gridSpan w:val="2"/>
            <w:shd w:val="clear" w:color="auto" w:fill="auto"/>
          </w:tcPr>
          <w:p w:rsidR="002900EE" w:rsidRPr="00C16C54" w:rsidRDefault="002900EE" w:rsidP="007533D5">
            <w:pPr>
              <w:numPr>
                <w:ilvl w:val="0"/>
                <w:numId w:val="18"/>
              </w:numPr>
              <w:contextualSpacing/>
              <w:rPr>
                <w:rFonts w:cs="Arial"/>
                <w:lang w:val="fr-FR"/>
              </w:rPr>
            </w:pPr>
            <w:r w:rsidRPr="00C16C54">
              <w:rPr>
                <w:rFonts w:cs="Arial"/>
                <w:lang w:val="fr-FR"/>
              </w:rPr>
              <w:t xml:space="preserve">Insuffisance des moyens de transport des intrants de la PCG vers les structures </w:t>
            </w:r>
          </w:p>
          <w:p w:rsidR="002900EE" w:rsidRPr="00C16C54" w:rsidRDefault="002900EE" w:rsidP="007533D5">
            <w:pPr>
              <w:numPr>
                <w:ilvl w:val="0"/>
                <w:numId w:val="18"/>
              </w:numPr>
              <w:contextualSpacing/>
              <w:rPr>
                <w:rFonts w:cs="Arial"/>
                <w:lang w:val="fr-FR"/>
              </w:rPr>
            </w:pPr>
            <w:r w:rsidRPr="00C16C54">
              <w:rPr>
                <w:rFonts w:cs="Arial"/>
                <w:lang w:val="fr-FR"/>
              </w:rPr>
              <w:t xml:space="preserve">Insuffisance de remontée des données de consommation des intrants </w:t>
            </w:r>
          </w:p>
          <w:p w:rsidR="002900EE" w:rsidRPr="00C16C54" w:rsidRDefault="002900EE" w:rsidP="007533D5">
            <w:pPr>
              <w:numPr>
                <w:ilvl w:val="0"/>
                <w:numId w:val="18"/>
              </w:numPr>
              <w:contextualSpacing/>
              <w:rPr>
                <w:rFonts w:cs="Arial"/>
                <w:lang w:val="fr-FR"/>
              </w:rPr>
            </w:pPr>
            <w:r w:rsidRPr="00C16C54">
              <w:rPr>
                <w:rFonts w:cs="Arial"/>
                <w:lang w:val="fr-FR"/>
              </w:rPr>
              <w:t xml:space="preserve">Sur-stockage des intrants dans certaines structures de santé </w:t>
            </w:r>
          </w:p>
          <w:p w:rsidR="002900EE" w:rsidRPr="00C16C54" w:rsidRDefault="002900EE" w:rsidP="007533D5">
            <w:pPr>
              <w:numPr>
                <w:ilvl w:val="0"/>
                <w:numId w:val="18"/>
              </w:numPr>
              <w:contextualSpacing/>
              <w:rPr>
                <w:rFonts w:cs="Arial"/>
                <w:lang w:val="fr-FR"/>
              </w:rPr>
            </w:pPr>
            <w:r w:rsidRPr="00C16C54">
              <w:rPr>
                <w:rFonts w:cs="Arial"/>
                <w:lang w:val="fr-FR"/>
              </w:rPr>
              <w:t>Sous-estimation des besoins par les prestataires</w:t>
            </w:r>
          </w:p>
          <w:p w:rsidR="002900EE" w:rsidRPr="00C16C54" w:rsidRDefault="00DB33A6" w:rsidP="007533D5">
            <w:pPr>
              <w:numPr>
                <w:ilvl w:val="0"/>
                <w:numId w:val="18"/>
              </w:numPr>
              <w:contextualSpacing/>
              <w:rPr>
                <w:rFonts w:cs="Arial"/>
                <w:lang w:val="fr-FR"/>
              </w:rPr>
            </w:pPr>
            <w:r w:rsidRPr="00C16C54">
              <w:rPr>
                <w:rFonts w:cs="Arial"/>
                <w:lang w:val="fr-FR"/>
              </w:rPr>
              <w:t>Ruptures fréquentes de stock  des protocoles ARV et cotrimoxazole pédiatrique aux niveaux central, régional et opérationnel</w:t>
            </w:r>
          </w:p>
        </w:tc>
      </w:tr>
      <w:tr w:rsidR="002900EE" w:rsidRPr="00ED18BA" w:rsidTr="00752FE7">
        <w:trPr>
          <w:trHeight w:val="204"/>
        </w:trPr>
        <w:tc>
          <w:tcPr>
            <w:tcW w:w="13133" w:type="dxa"/>
            <w:gridSpan w:val="3"/>
            <w:shd w:val="clear" w:color="auto" w:fill="00FF80"/>
          </w:tcPr>
          <w:p w:rsidR="002900EE" w:rsidRPr="007A2722" w:rsidRDefault="002900EE" w:rsidP="007533D5">
            <w:pPr>
              <w:jc w:val="center"/>
              <w:rPr>
                <w:rFonts w:cs="Arial"/>
                <w:szCs w:val="20"/>
                <w:lang w:val="fr-FR"/>
              </w:rPr>
            </w:pPr>
            <w:r w:rsidRPr="007A2722">
              <w:rPr>
                <w:rFonts w:cs="Arial"/>
                <w:b/>
                <w:szCs w:val="20"/>
                <w:lang w:val="fr-FR"/>
              </w:rPr>
              <w:t>Ressources humaines qualité et quantité</w:t>
            </w:r>
          </w:p>
        </w:tc>
      </w:tr>
      <w:tr w:rsidR="002900EE" w:rsidRPr="00ED18BA" w:rsidTr="00752FE7">
        <w:trPr>
          <w:trHeight w:val="277"/>
        </w:trPr>
        <w:tc>
          <w:tcPr>
            <w:tcW w:w="6629" w:type="dxa"/>
            <w:shd w:val="clear" w:color="auto" w:fill="auto"/>
          </w:tcPr>
          <w:p w:rsidR="002900EE" w:rsidRDefault="006E632A" w:rsidP="007533D5">
            <w:pPr>
              <w:numPr>
                <w:ilvl w:val="0"/>
                <w:numId w:val="17"/>
              </w:numPr>
              <w:rPr>
                <w:rFonts w:cs="Arial"/>
                <w:szCs w:val="20"/>
                <w:lang w:val="fr-FR"/>
              </w:rPr>
            </w:pPr>
            <w:r>
              <w:rPr>
                <w:rFonts w:cs="Arial"/>
                <w:szCs w:val="20"/>
                <w:lang w:val="fr-FR"/>
              </w:rPr>
              <w:t>Recrutement récent du personnel de santé pour les zones rurales</w:t>
            </w:r>
          </w:p>
          <w:p w:rsidR="006E632A" w:rsidRDefault="006E632A" w:rsidP="007533D5">
            <w:pPr>
              <w:numPr>
                <w:ilvl w:val="0"/>
                <w:numId w:val="17"/>
              </w:numPr>
              <w:rPr>
                <w:rFonts w:cs="Arial"/>
                <w:szCs w:val="20"/>
                <w:lang w:val="fr-FR"/>
              </w:rPr>
            </w:pPr>
            <w:r>
              <w:rPr>
                <w:rFonts w:cs="Arial"/>
                <w:szCs w:val="20"/>
                <w:lang w:val="fr-FR"/>
              </w:rPr>
              <w:t>Organisation de la formation des formateurs régionaux</w:t>
            </w:r>
          </w:p>
          <w:p w:rsidR="006E632A" w:rsidRPr="007A2722" w:rsidRDefault="006E632A" w:rsidP="007533D5">
            <w:pPr>
              <w:numPr>
                <w:ilvl w:val="0"/>
                <w:numId w:val="17"/>
              </w:numPr>
              <w:rPr>
                <w:rFonts w:cs="Arial"/>
                <w:szCs w:val="20"/>
                <w:lang w:val="fr-FR"/>
              </w:rPr>
            </w:pPr>
            <w:r>
              <w:rPr>
                <w:rFonts w:cs="Arial"/>
                <w:szCs w:val="20"/>
                <w:lang w:val="fr-FR"/>
              </w:rPr>
              <w:t>Mise en œuvre de la supervision par le niveau central et les partenaires</w:t>
            </w:r>
          </w:p>
        </w:tc>
        <w:tc>
          <w:tcPr>
            <w:tcW w:w="6504" w:type="dxa"/>
            <w:gridSpan w:val="2"/>
            <w:shd w:val="clear" w:color="auto" w:fill="auto"/>
          </w:tcPr>
          <w:p w:rsidR="002900EE" w:rsidRPr="00C16C54" w:rsidRDefault="002900EE" w:rsidP="007533D5">
            <w:pPr>
              <w:numPr>
                <w:ilvl w:val="0"/>
                <w:numId w:val="18"/>
              </w:numPr>
              <w:contextualSpacing/>
              <w:rPr>
                <w:rFonts w:cs="Arial"/>
                <w:lang w:val="fr-FR"/>
              </w:rPr>
            </w:pPr>
            <w:r w:rsidRPr="00C16C54">
              <w:rPr>
                <w:rFonts w:cs="Arial"/>
                <w:lang w:val="fr-FR"/>
              </w:rPr>
              <w:t>Faible mise en œuvre des activités de supervision, de coaching et de mentoring</w:t>
            </w:r>
          </w:p>
          <w:p w:rsidR="002900EE" w:rsidRPr="00C16C54" w:rsidRDefault="002900EE" w:rsidP="007533D5">
            <w:pPr>
              <w:numPr>
                <w:ilvl w:val="0"/>
                <w:numId w:val="18"/>
              </w:numPr>
              <w:contextualSpacing/>
              <w:rPr>
                <w:rFonts w:cs="Arial"/>
                <w:lang w:val="fr-FR"/>
              </w:rPr>
            </w:pPr>
            <w:r w:rsidRPr="00C16C54">
              <w:rPr>
                <w:rFonts w:cs="Arial"/>
                <w:lang w:val="fr-FR"/>
              </w:rPr>
              <w:t>Réticences dans la délégation des tâches</w:t>
            </w:r>
          </w:p>
          <w:p w:rsidR="002900EE" w:rsidRPr="00C16C54" w:rsidRDefault="002900EE" w:rsidP="007533D5">
            <w:pPr>
              <w:numPr>
                <w:ilvl w:val="0"/>
                <w:numId w:val="18"/>
              </w:numPr>
              <w:contextualSpacing/>
              <w:rPr>
                <w:rFonts w:cs="Arial"/>
                <w:lang w:val="fr-FR"/>
              </w:rPr>
            </w:pPr>
            <w:r w:rsidRPr="00C16C54">
              <w:rPr>
                <w:rFonts w:cs="Arial"/>
                <w:lang w:val="fr-FR"/>
              </w:rPr>
              <w:t xml:space="preserve">Absence  de mécanismes de  fidélisation des agents de santé au poste dans les zones éloignées </w:t>
            </w:r>
          </w:p>
          <w:p w:rsidR="002900EE" w:rsidRPr="00C16C54" w:rsidRDefault="002900EE" w:rsidP="007533D5">
            <w:pPr>
              <w:numPr>
                <w:ilvl w:val="0"/>
                <w:numId w:val="18"/>
              </w:numPr>
              <w:contextualSpacing/>
              <w:rPr>
                <w:rFonts w:cs="Arial"/>
                <w:lang w:val="fr-FR"/>
              </w:rPr>
            </w:pPr>
            <w:r w:rsidRPr="00C16C54">
              <w:rPr>
                <w:rFonts w:cs="Arial"/>
                <w:lang w:val="fr-FR"/>
              </w:rPr>
              <w:t xml:space="preserve">Insuffisance de formation continue du personnel </w:t>
            </w:r>
          </w:p>
          <w:p w:rsidR="002900EE" w:rsidRPr="00C16C54" w:rsidRDefault="002900EE" w:rsidP="007533D5">
            <w:pPr>
              <w:numPr>
                <w:ilvl w:val="0"/>
                <w:numId w:val="18"/>
              </w:numPr>
              <w:contextualSpacing/>
              <w:rPr>
                <w:rFonts w:cs="Arial"/>
                <w:lang w:val="fr-FR"/>
              </w:rPr>
            </w:pPr>
            <w:r w:rsidRPr="00C16C54">
              <w:rPr>
                <w:rFonts w:cs="Arial"/>
                <w:lang w:val="fr-FR"/>
              </w:rPr>
              <w:t>Grande disparité du personnel soignant dans les zones rurales et urbaines</w:t>
            </w:r>
          </w:p>
          <w:p w:rsidR="00C16C54" w:rsidRPr="00C16C54" w:rsidRDefault="006E632A" w:rsidP="007533D5">
            <w:pPr>
              <w:numPr>
                <w:ilvl w:val="0"/>
                <w:numId w:val="18"/>
              </w:numPr>
              <w:contextualSpacing/>
              <w:rPr>
                <w:rFonts w:cs="Arial"/>
                <w:lang w:val="fr-FR"/>
              </w:rPr>
            </w:pPr>
            <w:r w:rsidRPr="00C16C54">
              <w:rPr>
                <w:rFonts w:cs="Arial"/>
                <w:lang w:val="fr-FR"/>
              </w:rPr>
              <w:t>Insuffisance du personnel et des agents de santé communautaire compétents en quantité et en qualité dédiés à la prise en charge du VIH des enfants et des adolescents</w:t>
            </w:r>
          </w:p>
          <w:p w:rsidR="002900EE" w:rsidRPr="00C16C54" w:rsidRDefault="006E632A" w:rsidP="007533D5">
            <w:pPr>
              <w:numPr>
                <w:ilvl w:val="0"/>
                <w:numId w:val="18"/>
              </w:numPr>
              <w:contextualSpacing/>
              <w:rPr>
                <w:rFonts w:cs="Arial"/>
                <w:lang w:val="fr-FR"/>
              </w:rPr>
            </w:pPr>
            <w:r w:rsidRPr="00C16C54">
              <w:rPr>
                <w:rFonts w:cs="Arial"/>
                <w:lang w:val="fr-FR"/>
              </w:rPr>
              <w:t>Insuffisance de personnel formé en ETP et  pour la dispensation des ARV</w:t>
            </w:r>
          </w:p>
          <w:p w:rsidR="002900EE" w:rsidRPr="007A2722" w:rsidRDefault="002900EE" w:rsidP="007533D5">
            <w:pPr>
              <w:contextualSpacing/>
              <w:rPr>
                <w:rFonts w:cs="Arial"/>
                <w:szCs w:val="20"/>
                <w:lang w:val="fr-FR"/>
              </w:rPr>
            </w:pPr>
          </w:p>
        </w:tc>
      </w:tr>
      <w:tr w:rsidR="002900EE" w:rsidRPr="00ED18BA" w:rsidTr="00752FE7">
        <w:trPr>
          <w:trHeight w:val="293"/>
        </w:trPr>
        <w:tc>
          <w:tcPr>
            <w:tcW w:w="13133" w:type="dxa"/>
            <w:gridSpan w:val="3"/>
            <w:shd w:val="clear" w:color="auto" w:fill="00FF80"/>
          </w:tcPr>
          <w:p w:rsidR="002900EE" w:rsidRPr="007A2722" w:rsidRDefault="002900EE" w:rsidP="007533D5">
            <w:pPr>
              <w:jc w:val="center"/>
              <w:rPr>
                <w:rFonts w:cs="Arial"/>
                <w:b/>
                <w:szCs w:val="20"/>
                <w:lang w:val="fr-FR"/>
              </w:rPr>
            </w:pPr>
            <w:r w:rsidRPr="007A2722">
              <w:rPr>
                <w:b/>
                <w:lang w:val="fr-FR"/>
              </w:rPr>
              <w:t>Qualité des services en charge du VIH pédiatrique</w:t>
            </w:r>
          </w:p>
        </w:tc>
      </w:tr>
      <w:tr w:rsidR="002900EE" w:rsidRPr="00ED18BA" w:rsidTr="00752FE7">
        <w:trPr>
          <w:trHeight w:val="1708"/>
        </w:trPr>
        <w:tc>
          <w:tcPr>
            <w:tcW w:w="6678" w:type="dxa"/>
            <w:gridSpan w:val="2"/>
            <w:shd w:val="clear" w:color="auto" w:fill="auto"/>
          </w:tcPr>
          <w:p w:rsidR="002900EE" w:rsidRPr="00A80971" w:rsidRDefault="00A80971" w:rsidP="007533D5">
            <w:pPr>
              <w:pStyle w:val="Paragraphedeliste"/>
              <w:numPr>
                <w:ilvl w:val="0"/>
                <w:numId w:val="23"/>
              </w:numPr>
              <w:rPr>
                <w:rFonts w:cs="Arial"/>
                <w:szCs w:val="20"/>
                <w:lang w:val="fr-FR"/>
              </w:rPr>
            </w:pPr>
            <w:r>
              <w:rPr>
                <w:rFonts w:cs="Arial"/>
                <w:bCs/>
                <w:szCs w:val="20"/>
                <w:lang w:val="fr-FR"/>
              </w:rPr>
              <w:t xml:space="preserve">93 </w:t>
            </w:r>
            <w:r w:rsidR="00C16C54" w:rsidRPr="00A80971">
              <w:rPr>
                <w:rFonts w:cs="Arial"/>
                <w:bCs/>
                <w:szCs w:val="20"/>
                <w:lang w:val="fr-FR"/>
              </w:rPr>
              <w:t>POC de comptage CD4 dans tous les Hôpitaux régionaux et certains Hôpitaux de district</w:t>
            </w:r>
          </w:p>
          <w:p w:rsidR="00A80971" w:rsidRPr="00A80971" w:rsidRDefault="00A80971" w:rsidP="007533D5">
            <w:pPr>
              <w:pStyle w:val="Paragraphedeliste"/>
              <w:numPr>
                <w:ilvl w:val="0"/>
                <w:numId w:val="23"/>
              </w:numPr>
              <w:rPr>
                <w:rFonts w:cs="Arial"/>
                <w:szCs w:val="20"/>
                <w:lang w:val="fr-FR"/>
              </w:rPr>
            </w:pPr>
            <w:r>
              <w:rPr>
                <w:rFonts w:cs="Arial"/>
                <w:bCs/>
                <w:szCs w:val="20"/>
                <w:lang w:val="fr-FR"/>
              </w:rPr>
              <w:t>6 appareils pour la charge virale installés dans les Hôpitaux dont 1 à Kankan et 5 à Conakry</w:t>
            </w:r>
          </w:p>
          <w:p w:rsidR="00A80971" w:rsidRPr="00A80971" w:rsidRDefault="00A80971" w:rsidP="007533D5">
            <w:pPr>
              <w:pStyle w:val="Paragraphedeliste"/>
              <w:numPr>
                <w:ilvl w:val="0"/>
                <w:numId w:val="23"/>
              </w:numPr>
              <w:rPr>
                <w:rFonts w:cs="Arial"/>
                <w:szCs w:val="20"/>
                <w:lang w:val="fr-FR"/>
              </w:rPr>
            </w:pPr>
            <w:r>
              <w:rPr>
                <w:rFonts w:cs="Arial"/>
                <w:bCs/>
                <w:szCs w:val="20"/>
                <w:lang w:val="fr-FR"/>
              </w:rPr>
              <w:t xml:space="preserve">Gene Expert installés dans les Hôpitaux régionaux mais non fonctionnels (pas de réactifs) </w:t>
            </w:r>
          </w:p>
        </w:tc>
        <w:tc>
          <w:tcPr>
            <w:tcW w:w="6455" w:type="dxa"/>
            <w:shd w:val="clear" w:color="auto" w:fill="auto"/>
          </w:tcPr>
          <w:p w:rsidR="002900EE" w:rsidRPr="00C16C54" w:rsidRDefault="002900EE" w:rsidP="007533D5">
            <w:pPr>
              <w:numPr>
                <w:ilvl w:val="0"/>
                <w:numId w:val="18"/>
              </w:numPr>
              <w:contextualSpacing/>
              <w:rPr>
                <w:rFonts w:cs="Arial"/>
                <w:lang w:val="fr-FR"/>
              </w:rPr>
            </w:pPr>
            <w:r w:rsidRPr="00C16C54">
              <w:rPr>
                <w:rFonts w:cs="Arial"/>
                <w:lang w:val="fr-FR"/>
              </w:rPr>
              <w:t>Insuffisance de moyens pour effectuer le suivi immunologique (CD4) et virologique (PCR)</w:t>
            </w:r>
          </w:p>
          <w:p w:rsidR="002900EE" w:rsidRPr="00C16C54" w:rsidRDefault="002900EE" w:rsidP="007533D5">
            <w:pPr>
              <w:numPr>
                <w:ilvl w:val="0"/>
                <w:numId w:val="18"/>
              </w:numPr>
              <w:contextualSpacing/>
              <w:rPr>
                <w:rFonts w:cs="Arial"/>
                <w:lang w:val="fr-FR"/>
              </w:rPr>
            </w:pPr>
            <w:r w:rsidRPr="00C16C54">
              <w:rPr>
                <w:rFonts w:cs="Arial"/>
                <w:lang w:val="fr-FR"/>
              </w:rPr>
              <w:t xml:space="preserve">Insuffisance de formation et d’information des prestataires au rattrapage des enfants exposés  (PEV, Nutrition, CPC, Hospitalisation, consultation) </w:t>
            </w:r>
          </w:p>
          <w:p w:rsidR="002900EE" w:rsidRPr="00C16C54" w:rsidRDefault="002900EE" w:rsidP="007533D5">
            <w:pPr>
              <w:numPr>
                <w:ilvl w:val="0"/>
                <w:numId w:val="18"/>
              </w:numPr>
              <w:contextualSpacing/>
              <w:rPr>
                <w:rFonts w:cs="Arial"/>
                <w:lang w:val="fr-FR"/>
              </w:rPr>
            </w:pPr>
            <w:r w:rsidRPr="00C16C54">
              <w:rPr>
                <w:rFonts w:cs="Arial"/>
                <w:lang w:val="fr-FR"/>
              </w:rPr>
              <w:t>Appareil de réalisation des PCR en panne technique (depuis l’installation : octobre 2016)</w:t>
            </w:r>
          </w:p>
          <w:p w:rsidR="002900EE" w:rsidRPr="007A2722" w:rsidRDefault="002900EE" w:rsidP="007533D5">
            <w:pPr>
              <w:ind w:left="720"/>
              <w:contextualSpacing/>
              <w:rPr>
                <w:rFonts w:cs="Arial"/>
                <w:szCs w:val="20"/>
                <w:highlight w:val="yellow"/>
                <w:lang w:val="fr-FR"/>
              </w:rPr>
            </w:pPr>
          </w:p>
        </w:tc>
      </w:tr>
    </w:tbl>
    <w:p w:rsidR="007D438A" w:rsidRDefault="007D438A" w:rsidP="00372B0C">
      <w:pPr>
        <w:rPr>
          <w:lang w:val="fr-FR"/>
        </w:rPr>
      </w:pPr>
    </w:p>
    <w:p w:rsidR="007D438A" w:rsidRDefault="007D438A">
      <w:pPr>
        <w:jc w:val="left"/>
        <w:rPr>
          <w:lang w:val="fr-FR"/>
        </w:rPr>
      </w:pPr>
    </w:p>
    <w:p w:rsidR="00955AB4" w:rsidRDefault="00955AB4">
      <w:pPr>
        <w:jc w:val="left"/>
        <w:rPr>
          <w:lang w:val="fr-FR"/>
        </w:rPr>
      </w:pPr>
      <w:r>
        <w:rPr>
          <w:lang w:val="fr-FR"/>
        </w:rPr>
        <w:br w:type="page"/>
      </w:r>
    </w:p>
    <w:p w:rsidR="00B93DDB" w:rsidRDefault="00B93DDB" w:rsidP="007533D5">
      <w:pPr>
        <w:framePr w:w="13569" w:wrap="auto" w:hAnchor="text"/>
        <w:rPr>
          <w:lang w:val="fr-FR"/>
        </w:rPr>
        <w:sectPr w:rsidR="00B93DDB" w:rsidSect="00861997">
          <w:footerReference w:type="default" r:id="rId22"/>
          <w:pgSz w:w="15840" w:h="12240" w:orient="landscape"/>
          <w:pgMar w:top="1440" w:right="1440" w:bottom="1440" w:left="1440" w:header="709" w:footer="709" w:gutter="0"/>
          <w:cols w:space="708"/>
          <w:docGrid w:linePitch="360"/>
        </w:sectPr>
      </w:pPr>
    </w:p>
    <w:p w:rsidR="00C50CEC" w:rsidRDefault="00C50CEC" w:rsidP="006946A3">
      <w:pPr>
        <w:rPr>
          <w:noProof/>
          <w:lang w:val="fr-FR"/>
        </w:rPr>
      </w:pPr>
    </w:p>
    <w:p w:rsidR="006946A3" w:rsidRDefault="006946A3" w:rsidP="006946A3">
      <w:pPr>
        <w:rPr>
          <w:noProof/>
          <w:sz w:val="40"/>
          <w:szCs w:val="40"/>
          <w:lang w:val="fr-FR"/>
        </w:rPr>
      </w:pPr>
    </w:p>
    <w:p w:rsidR="006B51F5" w:rsidRDefault="006B51F5" w:rsidP="006946A3">
      <w:pPr>
        <w:rPr>
          <w:noProof/>
          <w:sz w:val="40"/>
          <w:szCs w:val="40"/>
          <w:lang w:val="fr-FR"/>
        </w:rPr>
      </w:pPr>
    </w:p>
    <w:p w:rsidR="006B51F5" w:rsidRDefault="006B51F5" w:rsidP="006946A3">
      <w:pPr>
        <w:rPr>
          <w:noProof/>
          <w:sz w:val="40"/>
          <w:szCs w:val="40"/>
          <w:lang w:val="fr-FR"/>
        </w:rPr>
      </w:pPr>
    </w:p>
    <w:p w:rsidR="006B51F5" w:rsidRDefault="006B51F5" w:rsidP="006946A3">
      <w:pPr>
        <w:rPr>
          <w:noProof/>
          <w:sz w:val="40"/>
          <w:szCs w:val="40"/>
          <w:lang w:val="fr-FR"/>
        </w:rPr>
      </w:pPr>
    </w:p>
    <w:p w:rsidR="006B51F5" w:rsidRDefault="006B51F5" w:rsidP="006946A3">
      <w:pPr>
        <w:rPr>
          <w:noProof/>
          <w:sz w:val="40"/>
          <w:szCs w:val="40"/>
          <w:lang w:val="fr-FR"/>
        </w:rPr>
      </w:pPr>
    </w:p>
    <w:p w:rsidR="006B51F5" w:rsidRDefault="006B51F5" w:rsidP="006946A3">
      <w:pPr>
        <w:rPr>
          <w:noProof/>
          <w:sz w:val="40"/>
          <w:szCs w:val="40"/>
          <w:lang w:val="fr-FR"/>
        </w:rPr>
      </w:pPr>
    </w:p>
    <w:p w:rsidR="006B51F5" w:rsidRDefault="006B51F5" w:rsidP="006946A3">
      <w:pPr>
        <w:rPr>
          <w:noProof/>
          <w:sz w:val="40"/>
          <w:szCs w:val="40"/>
          <w:lang w:val="fr-FR"/>
        </w:rPr>
      </w:pPr>
    </w:p>
    <w:p w:rsidR="006B51F5" w:rsidRDefault="006B51F5" w:rsidP="006946A3">
      <w:pPr>
        <w:rPr>
          <w:noProof/>
          <w:sz w:val="40"/>
          <w:szCs w:val="40"/>
          <w:lang w:val="fr-FR"/>
        </w:rPr>
      </w:pPr>
    </w:p>
    <w:p w:rsidR="006946A3" w:rsidRDefault="006946A3" w:rsidP="006946A3">
      <w:pPr>
        <w:rPr>
          <w:noProof/>
          <w:lang w:val="fr-FR"/>
        </w:rPr>
      </w:pPr>
    </w:p>
    <w:p w:rsidR="006946A3" w:rsidRDefault="006946A3" w:rsidP="006946A3">
      <w:pPr>
        <w:rPr>
          <w:noProof/>
          <w:lang w:val="fr-FR"/>
        </w:rPr>
      </w:pPr>
    </w:p>
    <w:p w:rsidR="006946A3" w:rsidRDefault="006946A3" w:rsidP="006946A3">
      <w:pPr>
        <w:rPr>
          <w:noProof/>
          <w:lang w:val="fr-FR"/>
        </w:rPr>
      </w:pPr>
    </w:p>
    <w:p w:rsidR="000123EE" w:rsidRDefault="004D7FA0" w:rsidP="00952B7C">
      <w:pPr>
        <w:pStyle w:val="Titre1"/>
        <w:spacing w:before="0"/>
        <w:jc w:val="center"/>
        <w:rPr>
          <w:noProof/>
          <w:sz w:val="40"/>
          <w:szCs w:val="40"/>
          <w:lang w:val="fr-FR"/>
        </w:rPr>
      </w:pPr>
      <w:bookmarkStart w:id="55" w:name="_Toc480382933"/>
      <w:r w:rsidRPr="006946A3">
        <w:rPr>
          <w:noProof/>
          <w:sz w:val="40"/>
          <w:szCs w:val="40"/>
          <w:lang w:val="fr-FR"/>
        </w:rPr>
        <w:t>CHAPITRE 4</w:t>
      </w:r>
      <w:r w:rsidR="00BE07AB">
        <w:rPr>
          <w:noProof/>
          <w:sz w:val="40"/>
          <w:szCs w:val="40"/>
          <w:lang w:val="fr-FR"/>
        </w:rPr>
        <w:t> :</w:t>
      </w:r>
      <w:r w:rsidR="006946A3">
        <w:rPr>
          <w:noProof/>
          <w:sz w:val="40"/>
          <w:szCs w:val="40"/>
          <w:lang w:val="fr-FR"/>
        </w:rPr>
        <w:t> </w:t>
      </w:r>
      <w:r w:rsidR="000123EE" w:rsidRPr="006946A3">
        <w:rPr>
          <w:noProof/>
          <w:sz w:val="40"/>
          <w:szCs w:val="40"/>
          <w:lang w:val="fr-FR"/>
        </w:rPr>
        <w:t>INTERVENTIONS STRATEGIQUES POUR L’ACCELERATION DE LA PRISE EN CHARGE PEDIATRIQUE DU VIH</w:t>
      </w:r>
      <w:bookmarkEnd w:id="55"/>
    </w:p>
    <w:p w:rsidR="006946A3" w:rsidRDefault="006946A3" w:rsidP="00952B7C">
      <w:pPr>
        <w:rPr>
          <w:lang w:val="fr-FR"/>
        </w:rPr>
        <w:sectPr w:rsidR="006946A3" w:rsidSect="00952B7C">
          <w:footerReference w:type="default" r:id="rId23"/>
          <w:pgSz w:w="12240" w:h="15840"/>
          <w:pgMar w:top="1440" w:right="1440" w:bottom="1440" w:left="1440" w:header="720" w:footer="720" w:gutter="0"/>
          <w:cols w:space="720"/>
          <w:docGrid w:linePitch="360"/>
        </w:sectPr>
      </w:pPr>
    </w:p>
    <w:p w:rsidR="000123EE" w:rsidRPr="006B51F5" w:rsidRDefault="000123EE" w:rsidP="006B51F5">
      <w:pPr>
        <w:pStyle w:val="Titre2"/>
        <w:numPr>
          <w:ilvl w:val="1"/>
          <w:numId w:val="20"/>
        </w:numPr>
        <w:spacing w:before="0"/>
        <w:ind w:left="567" w:hanging="567"/>
        <w:rPr>
          <w:color w:val="auto"/>
          <w:sz w:val="28"/>
          <w:szCs w:val="24"/>
          <w:lang w:val="fr-FR"/>
        </w:rPr>
      </w:pPr>
      <w:bookmarkStart w:id="56" w:name="_Toc480382934"/>
      <w:r w:rsidRPr="006B51F5">
        <w:rPr>
          <w:color w:val="auto"/>
          <w:sz w:val="28"/>
          <w:szCs w:val="24"/>
          <w:lang w:val="fr-FR"/>
        </w:rPr>
        <w:t>Scénarii d’accélération (</w:t>
      </w:r>
      <w:r w:rsidR="0006236F" w:rsidRPr="006B51F5">
        <w:rPr>
          <w:color w:val="auto"/>
          <w:sz w:val="28"/>
          <w:szCs w:val="24"/>
          <w:lang w:val="fr-FR"/>
        </w:rPr>
        <w:t>lente</w:t>
      </w:r>
      <w:r w:rsidRPr="006B51F5">
        <w:rPr>
          <w:color w:val="auto"/>
          <w:sz w:val="28"/>
          <w:szCs w:val="24"/>
          <w:lang w:val="fr-FR"/>
        </w:rPr>
        <w:t>, modérée</w:t>
      </w:r>
      <w:r w:rsidR="0006236F" w:rsidRPr="006B51F5">
        <w:rPr>
          <w:color w:val="auto"/>
          <w:sz w:val="28"/>
          <w:szCs w:val="24"/>
          <w:lang w:val="fr-FR"/>
        </w:rPr>
        <w:t>, rapide</w:t>
      </w:r>
      <w:r w:rsidRPr="006B51F5">
        <w:rPr>
          <w:color w:val="auto"/>
          <w:sz w:val="28"/>
          <w:szCs w:val="24"/>
          <w:lang w:val="fr-FR"/>
        </w:rPr>
        <w:t>)</w:t>
      </w:r>
      <w:bookmarkEnd w:id="56"/>
    </w:p>
    <w:p w:rsidR="00DF2DF6" w:rsidRPr="006B51F5" w:rsidRDefault="00DF2DF6" w:rsidP="00DF2DF6">
      <w:pPr>
        <w:rPr>
          <w:sz w:val="24"/>
          <w:lang w:val="fr-FR"/>
        </w:rPr>
      </w:pPr>
    </w:p>
    <w:p w:rsidR="00DF2DF6" w:rsidRDefault="001763D6" w:rsidP="006B51F5">
      <w:pPr>
        <w:rPr>
          <w:sz w:val="24"/>
          <w:lang w:val="fr-FR"/>
        </w:rPr>
      </w:pPr>
      <w:r w:rsidRPr="006B51F5">
        <w:rPr>
          <w:sz w:val="24"/>
          <w:lang w:val="fr-FR"/>
        </w:rPr>
        <w:t>Trois scénarii ont été proposés </w:t>
      </w:r>
      <w:r w:rsidR="00D62EC1" w:rsidRPr="006B51F5">
        <w:rPr>
          <w:sz w:val="24"/>
          <w:lang w:val="fr-FR"/>
        </w:rPr>
        <w:t xml:space="preserve">sur la base des couvertures antérieures en TARV (Rapports annuels PNPCSP de 2008 à 2016), de l’estimation de nouvelles infections et du nombre d’enfants de </w:t>
      </w:r>
      <w:r w:rsidR="00733C4F" w:rsidRPr="006B51F5">
        <w:rPr>
          <w:sz w:val="24"/>
          <w:lang w:val="fr-FR"/>
        </w:rPr>
        <w:t>0-15 ans VIH+ entre 2017 et 2020</w:t>
      </w:r>
      <w:r w:rsidR="00D62EC1" w:rsidRPr="006B51F5">
        <w:rPr>
          <w:sz w:val="24"/>
          <w:lang w:val="fr-FR"/>
        </w:rPr>
        <w:t xml:space="preserve">, des recommandations OMS de dépistage et de traitement </w:t>
      </w:r>
      <w:r w:rsidR="00D00348" w:rsidRPr="006B51F5">
        <w:rPr>
          <w:sz w:val="24"/>
          <w:lang w:val="fr-FR"/>
        </w:rPr>
        <w:t>« Traiter toutes les personnes vivant avec le VIH » (OMS, 2015), et enfin des politiques adoptées par la Guinée en matière de lutte contre le VIH/sida</w:t>
      </w:r>
      <w:r w:rsidR="00733C4F" w:rsidRPr="006B51F5">
        <w:rPr>
          <w:sz w:val="24"/>
          <w:lang w:val="fr-FR"/>
        </w:rPr>
        <w:t xml:space="preserve"> (Figure 6)</w:t>
      </w:r>
      <w:r w:rsidR="00D00348" w:rsidRPr="006B51F5">
        <w:rPr>
          <w:sz w:val="24"/>
          <w:lang w:val="fr-FR"/>
        </w:rPr>
        <w:t xml:space="preserve">. </w:t>
      </w:r>
      <w:r w:rsidR="00733C4F" w:rsidRPr="006B51F5">
        <w:rPr>
          <w:sz w:val="24"/>
          <w:lang w:val="fr-FR"/>
        </w:rPr>
        <w:t>Les trois scénarii sont :</w:t>
      </w:r>
    </w:p>
    <w:p w:rsidR="006B51F5" w:rsidRPr="006B51F5" w:rsidRDefault="006B51F5" w:rsidP="006B51F5">
      <w:pPr>
        <w:rPr>
          <w:sz w:val="24"/>
          <w:lang w:val="fr-FR"/>
        </w:rPr>
      </w:pPr>
    </w:p>
    <w:p w:rsidR="001763D6" w:rsidRPr="006B51F5" w:rsidRDefault="001763D6" w:rsidP="006B51F5">
      <w:pPr>
        <w:pStyle w:val="Paragraphedeliste"/>
        <w:numPr>
          <w:ilvl w:val="0"/>
          <w:numId w:val="2"/>
        </w:numPr>
        <w:rPr>
          <w:sz w:val="24"/>
          <w:lang w:val="fr-FR"/>
        </w:rPr>
      </w:pPr>
      <w:r w:rsidRPr="006B51F5">
        <w:rPr>
          <w:sz w:val="24"/>
          <w:lang w:val="fr-FR"/>
        </w:rPr>
        <w:t>Le statut quo</w:t>
      </w:r>
    </w:p>
    <w:p w:rsidR="001763D6" w:rsidRPr="006B51F5" w:rsidRDefault="001763D6" w:rsidP="006B51F5">
      <w:pPr>
        <w:pStyle w:val="Paragraphedeliste"/>
        <w:numPr>
          <w:ilvl w:val="0"/>
          <w:numId w:val="2"/>
        </w:numPr>
        <w:rPr>
          <w:sz w:val="24"/>
          <w:lang w:val="fr-FR"/>
        </w:rPr>
      </w:pPr>
      <w:r w:rsidRPr="006B51F5">
        <w:rPr>
          <w:sz w:val="24"/>
          <w:lang w:val="fr-FR"/>
        </w:rPr>
        <w:t>L’accélération modérée</w:t>
      </w:r>
    </w:p>
    <w:p w:rsidR="001763D6" w:rsidRPr="006B51F5" w:rsidRDefault="001763D6" w:rsidP="006B51F5">
      <w:pPr>
        <w:pStyle w:val="Paragraphedeliste"/>
        <w:numPr>
          <w:ilvl w:val="0"/>
          <w:numId w:val="2"/>
        </w:numPr>
        <w:rPr>
          <w:sz w:val="24"/>
          <w:lang w:val="fr-FR"/>
        </w:rPr>
      </w:pPr>
      <w:r w:rsidRPr="006B51F5">
        <w:rPr>
          <w:sz w:val="24"/>
          <w:lang w:val="fr-FR"/>
        </w:rPr>
        <w:t>L’accélération rapide</w:t>
      </w:r>
    </w:p>
    <w:p w:rsidR="007118AB" w:rsidRPr="006B51F5" w:rsidRDefault="007118AB" w:rsidP="006B51F5">
      <w:pPr>
        <w:pStyle w:val="Paragraphedeliste"/>
        <w:rPr>
          <w:sz w:val="24"/>
          <w:lang w:val="fr-FR"/>
        </w:rPr>
      </w:pPr>
    </w:p>
    <w:p w:rsidR="001763D6" w:rsidRPr="006B51F5" w:rsidRDefault="00D62EC1" w:rsidP="006B51F5">
      <w:pPr>
        <w:pStyle w:val="Paragraphedeliste"/>
        <w:numPr>
          <w:ilvl w:val="0"/>
          <w:numId w:val="5"/>
        </w:numPr>
        <w:rPr>
          <w:sz w:val="24"/>
          <w:lang w:val="fr-FR"/>
        </w:rPr>
      </w:pPr>
      <w:r w:rsidRPr="006B51F5">
        <w:rPr>
          <w:sz w:val="24"/>
          <w:lang w:val="fr-FR"/>
        </w:rPr>
        <w:t xml:space="preserve">Le </w:t>
      </w:r>
      <w:r w:rsidR="0077457D" w:rsidRPr="006B51F5">
        <w:rPr>
          <w:sz w:val="24"/>
          <w:lang w:val="fr-FR"/>
        </w:rPr>
        <w:t xml:space="preserve">modèle de </w:t>
      </w:r>
      <w:r w:rsidRPr="006B51F5">
        <w:rPr>
          <w:sz w:val="24"/>
          <w:lang w:val="fr-FR"/>
        </w:rPr>
        <w:t>statut quo</w:t>
      </w:r>
    </w:p>
    <w:p w:rsidR="006B51F5" w:rsidRDefault="006B51F5" w:rsidP="006B51F5">
      <w:pPr>
        <w:rPr>
          <w:sz w:val="24"/>
          <w:lang w:val="fr-FR"/>
        </w:rPr>
      </w:pPr>
    </w:p>
    <w:p w:rsidR="00D62EC1" w:rsidRDefault="00D62EC1" w:rsidP="006B51F5">
      <w:pPr>
        <w:rPr>
          <w:sz w:val="24"/>
          <w:lang w:val="fr-FR"/>
        </w:rPr>
      </w:pPr>
      <w:r w:rsidRPr="006B51F5">
        <w:rPr>
          <w:sz w:val="24"/>
          <w:lang w:val="fr-FR"/>
        </w:rPr>
        <w:t xml:space="preserve">Il correspond à la tendance actuelle sans changement </w:t>
      </w:r>
      <w:r w:rsidR="00D00348" w:rsidRPr="006B51F5">
        <w:rPr>
          <w:sz w:val="24"/>
          <w:lang w:val="fr-FR"/>
        </w:rPr>
        <w:t xml:space="preserve">du taux </w:t>
      </w:r>
      <w:r w:rsidRPr="006B51F5">
        <w:rPr>
          <w:sz w:val="24"/>
          <w:lang w:val="fr-FR"/>
        </w:rPr>
        <w:t xml:space="preserve">d’accroissement de la couverture en TARV. </w:t>
      </w:r>
      <w:r w:rsidR="00723A7A" w:rsidRPr="006B51F5">
        <w:rPr>
          <w:sz w:val="24"/>
          <w:lang w:val="fr-FR"/>
        </w:rPr>
        <w:t xml:space="preserve">Ainsi, de 17% de couverture en 2016, les couvertures de 20%, 24%, 28% et 32% seront atteintes en 2017, 2018, 2019 et 2020 respectivement. </w:t>
      </w:r>
      <w:r w:rsidR="00A248E9" w:rsidRPr="006B51F5">
        <w:rPr>
          <w:sz w:val="24"/>
          <w:lang w:val="fr-FR"/>
        </w:rPr>
        <w:t xml:space="preserve">Le gap pour atteindre 90% restera donc très élevé et correspond à 8857 enfants de 0-15 ans </w:t>
      </w:r>
      <w:r w:rsidR="00756523" w:rsidRPr="006B51F5">
        <w:rPr>
          <w:sz w:val="24"/>
          <w:lang w:val="fr-FR"/>
        </w:rPr>
        <w:t xml:space="preserve">infectés par le VIH </w:t>
      </w:r>
      <w:r w:rsidR="00A248E9" w:rsidRPr="006B51F5">
        <w:rPr>
          <w:sz w:val="24"/>
          <w:lang w:val="fr-FR"/>
        </w:rPr>
        <w:t xml:space="preserve">qui ne seront pas mis sous TARV en 2020. </w:t>
      </w:r>
    </w:p>
    <w:p w:rsidR="006B51F5" w:rsidRPr="006B51F5" w:rsidRDefault="006B51F5" w:rsidP="006B51F5">
      <w:pPr>
        <w:rPr>
          <w:sz w:val="24"/>
          <w:lang w:val="fr-FR"/>
        </w:rPr>
      </w:pPr>
    </w:p>
    <w:p w:rsidR="0077457D" w:rsidRPr="006B51F5" w:rsidRDefault="0077457D" w:rsidP="006B51F5">
      <w:pPr>
        <w:pStyle w:val="Paragraphedeliste"/>
        <w:numPr>
          <w:ilvl w:val="0"/>
          <w:numId w:val="5"/>
        </w:numPr>
        <w:rPr>
          <w:sz w:val="24"/>
          <w:lang w:val="fr-FR"/>
        </w:rPr>
      </w:pPr>
      <w:r w:rsidRPr="006B51F5">
        <w:rPr>
          <w:sz w:val="24"/>
          <w:lang w:val="fr-FR"/>
        </w:rPr>
        <w:t>Le modèle d’accélération modérée</w:t>
      </w:r>
    </w:p>
    <w:p w:rsidR="006B51F5" w:rsidRDefault="006B51F5" w:rsidP="006B51F5">
      <w:pPr>
        <w:rPr>
          <w:sz w:val="24"/>
          <w:lang w:val="fr-FR"/>
        </w:rPr>
      </w:pPr>
    </w:p>
    <w:p w:rsidR="0077457D" w:rsidRPr="006B51F5" w:rsidRDefault="0077457D" w:rsidP="006B51F5">
      <w:pPr>
        <w:rPr>
          <w:sz w:val="24"/>
          <w:lang w:val="fr-FR"/>
        </w:rPr>
      </w:pPr>
      <w:r w:rsidRPr="006B51F5">
        <w:rPr>
          <w:sz w:val="24"/>
          <w:lang w:val="fr-FR"/>
        </w:rPr>
        <w:t xml:space="preserve">Dans le modèle d’accélération modérée, la couverture en TARV </w:t>
      </w:r>
      <w:r w:rsidR="00733C4F" w:rsidRPr="006B51F5">
        <w:rPr>
          <w:sz w:val="24"/>
          <w:lang w:val="fr-FR"/>
        </w:rPr>
        <w:t xml:space="preserve">de 90% </w:t>
      </w:r>
      <w:r w:rsidRPr="006B51F5">
        <w:rPr>
          <w:sz w:val="24"/>
          <w:lang w:val="fr-FR"/>
        </w:rPr>
        <w:t xml:space="preserve">sera atteinte en 2020 mais à un rythme modérée les premières années. Ainsi, les couvertures en TARV de 25%, 30%, 40% seront atteintes en 2017, 2018 et 2019 et enfin 90% en 2020. Dans ce modèle, les goulots d’étranglement ne sont pas rapidement levés et les interventions ne sont pas mises en œuvre de façon optimale pour impulser des changements majeurs de dépistage et de mise sous traitement des enfants de 0-15 ans infectés par le VIH. </w:t>
      </w:r>
    </w:p>
    <w:p w:rsidR="00733C4F" w:rsidRPr="006B51F5" w:rsidRDefault="00733C4F" w:rsidP="006B51F5">
      <w:pPr>
        <w:rPr>
          <w:sz w:val="24"/>
          <w:lang w:val="fr-FR"/>
        </w:rPr>
      </w:pPr>
    </w:p>
    <w:p w:rsidR="0077457D" w:rsidRPr="006B51F5" w:rsidRDefault="00752FE7" w:rsidP="006B51F5">
      <w:pPr>
        <w:pStyle w:val="Paragraphedeliste"/>
        <w:numPr>
          <w:ilvl w:val="0"/>
          <w:numId w:val="5"/>
        </w:numPr>
        <w:rPr>
          <w:sz w:val="24"/>
          <w:lang w:val="fr-FR"/>
        </w:rPr>
      </w:pPr>
      <w:r>
        <w:rPr>
          <w:sz w:val="24"/>
          <w:lang w:val="fr-FR"/>
        </w:rPr>
        <w:t>Le m</w:t>
      </w:r>
      <w:r w:rsidR="0077457D" w:rsidRPr="006B51F5">
        <w:rPr>
          <w:sz w:val="24"/>
          <w:lang w:val="fr-FR"/>
        </w:rPr>
        <w:t>odèle d’accélération rapide</w:t>
      </w:r>
    </w:p>
    <w:p w:rsidR="006B51F5" w:rsidRDefault="006B51F5" w:rsidP="006B51F5">
      <w:pPr>
        <w:rPr>
          <w:sz w:val="24"/>
          <w:lang w:val="fr-FR"/>
        </w:rPr>
      </w:pPr>
    </w:p>
    <w:p w:rsidR="0077457D" w:rsidRPr="006B51F5" w:rsidRDefault="0077457D" w:rsidP="006B51F5">
      <w:pPr>
        <w:rPr>
          <w:sz w:val="24"/>
          <w:lang w:val="fr-FR"/>
        </w:rPr>
      </w:pPr>
      <w:r w:rsidRPr="006B51F5">
        <w:rPr>
          <w:sz w:val="24"/>
          <w:lang w:val="fr-FR"/>
        </w:rPr>
        <w:t xml:space="preserve">Les goulots d’étranglement de la PECP du VIH sont rapidement levés à tous les niveaux du système. Il y a un engagement politique, des gestionnaires du programme et de tous les acteurs (patients, prestataires, société civile, gestionnaires des services de santé, </w:t>
      </w:r>
      <w:r w:rsidR="0006236F" w:rsidRPr="006B51F5">
        <w:rPr>
          <w:sz w:val="24"/>
          <w:lang w:val="fr-FR"/>
        </w:rPr>
        <w:t>partenaires techniques et financiers) pour délivrer des interventions à haut impact de lutte contre le VIH chez les enfants de 0-15 ans. Ceci permet de couvrir rapidement les besoins des enfants. Toutefois, l’accroissement sera modéré en 2017 compte tenu du retard pris dans l’élaboration et la validation du plan de PECP du VIH (Mars-Avril 2017).</w:t>
      </w:r>
    </w:p>
    <w:p w:rsidR="006B51F5" w:rsidRDefault="006B51F5" w:rsidP="006B51F5">
      <w:pPr>
        <w:rPr>
          <w:sz w:val="24"/>
          <w:lang w:val="fr-FR"/>
        </w:rPr>
      </w:pPr>
    </w:p>
    <w:p w:rsidR="0006236F" w:rsidRPr="006B51F5" w:rsidRDefault="0006236F" w:rsidP="006B51F5">
      <w:pPr>
        <w:rPr>
          <w:sz w:val="24"/>
          <w:lang w:val="fr-FR"/>
        </w:rPr>
      </w:pPr>
      <w:r w:rsidRPr="006B51F5">
        <w:rPr>
          <w:sz w:val="24"/>
          <w:lang w:val="fr-FR"/>
        </w:rPr>
        <w:t>Ainsi, les couvertures de 36%, 72%, 82% et 90% seront atteintes en 2017, 2018, 2019 et 2020. Ceci correspond à 4927, 9714, 10881 et 11</w:t>
      </w:r>
      <w:r w:rsidR="00733C4F" w:rsidRPr="006B51F5">
        <w:rPr>
          <w:sz w:val="24"/>
          <w:lang w:val="fr-FR"/>
        </w:rPr>
        <w:t>723 enfants de 0-15 ans infecté</w:t>
      </w:r>
      <w:r w:rsidRPr="006B51F5">
        <w:rPr>
          <w:sz w:val="24"/>
          <w:lang w:val="fr-FR"/>
        </w:rPr>
        <w:t>s par le VIH sous TARV en 2017, 2018, 2019 et 2020.</w:t>
      </w:r>
    </w:p>
    <w:p w:rsidR="00733C4F" w:rsidRDefault="00733C4F" w:rsidP="006B51F5">
      <w:pPr>
        <w:rPr>
          <w:b/>
          <w:sz w:val="24"/>
          <w:lang w:val="fr-FR"/>
        </w:rPr>
      </w:pPr>
      <w:r w:rsidRPr="006B51F5">
        <w:rPr>
          <w:b/>
          <w:sz w:val="24"/>
          <w:lang w:val="fr-FR"/>
        </w:rPr>
        <w:t xml:space="preserve">Le PNPCSP a choisi ce modèle d’accélération rapide. </w:t>
      </w:r>
    </w:p>
    <w:p w:rsidR="006B51F5" w:rsidRPr="006B51F5" w:rsidRDefault="006B51F5" w:rsidP="006B51F5">
      <w:pPr>
        <w:rPr>
          <w:b/>
          <w:sz w:val="24"/>
          <w:lang w:val="fr-FR"/>
        </w:rPr>
      </w:pPr>
    </w:p>
    <w:p w:rsidR="00DF2DF6" w:rsidRPr="006B51F5" w:rsidRDefault="00680570" w:rsidP="006B51F5">
      <w:pPr>
        <w:rPr>
          <w:sz w:val="24"/>
          <w:lang w:val="fr-FR"/>
        </w:rPr>
      </w:pPr>
      <w:r w:rsidRPr="006B51F5">
        <w:rPr>
          <w:noProof/>
          <w:sz w:val="24"/>
          <w:lang w:val="fr-FR" w:eastAsia="fr-FR"/>
        </w:rPr>
        <w:drawing>
          <wp:inline distT="0" distB="0" distL="0" distR="0">
            <wp:extent cx="6113721" cy="3689497"/>
            <wp:effectExtent l="0" t="0" r="20955" b="25400"/>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51F5" w:rsidRDefault="006B51F5" w:rsidP="006B51F5">
      <w:pPr>
        <w:pStyle w:val="Lgende"/>
        <w:spacing w:after="0"/>
        <w:jc w:val="center"/>
        <w:rPr>
          <w:color w:val="auto"/>
          <w:sz w:val="24"/>
          <w:szCs w:val="24"/>
          <w:lang w:val="fr-FR"/>
        </w:rPr>
      </w:pPr>
    </w:p>
    <w:p w:rsidR="00DF2DF6" w:rsidRDefault="002637A2" w:rsidP="006B51F5">
      <w:pPr>
        <w:pStyle w:val="Lgende"/>
        <w:spacing w:after="0"/>
        <w:jc w:val="center"/>
        <w:rPr>
          <w:color w:val="auto"/>
          <w:sz w:val="24"/>
          <w:szCs w:val="24"/>
          <w:lang w:val="fr-FR"/>
        </w:rPr>
      </w:pPr>
      <w:bookmarkStart w:id="57" w:name="_Toc480382971"/>
      <w:r w:rsidRPr="006B51F5">
        <w:rPr>
          <w:color w:val="auto"/>
          <w:sz w:val="24"/>
          <w:szCs w:val="24"/>
          <w:lang w:val="fr-FR"/>
        </w:rPr>
        <w:t xml:space="preserve">Figure </w:t>
      </w:r>
      <w:r w:rsidR="00C25D03" w:rsidRPr="006B51F5">
        <w:rPr>
          <w:color w:val="auto"/>
          <w:sz w:val="24"/>
          <w:szCs w:val="24"/>
        </w:rPr>
        <w:fldChar w:fldCharType="begin"/>
      </w:r>
      <w:r w:rsidRPr="006B51F5">
        <w:rPr>
          <w:color w:val="auto"/>
          <w:sz w:val="24"/>
          <w:szCs w:val="24"/>
          <w:lang w:val="fr-FR"/>
        </w:rPr>
        <w:instrText xml:space="preserve"> SEQ Figure \* ARABIC </w:instrText>
      </w:r>
      <w:r w:rsidR="00C25D03" w:rsidRPr="006B51F5">
        <w:rPr>
          <w:color w:val="auto"/>
          <w:sz w:val="24"/>
          <w:szCs w:val="24"/>
        </w:rPr>
        <w:fldChar w:fldCharType="separate"/>
      </w:r>
      <w:r w:rsidR="00774C46" w:rsidRPr="006B51F5">
        <w:rPr>
          <w:noProof/>
          <w:color w:val="auto"/>
          <w:sz w:val="24"/>
          <w:szCs w:val="24"/>
          <w:lang w:val="fr-FR"/>
        </w:rPr>
        <w:t>6</w:t>
      </w:r>
      <w:r w:rsidR="00C25D03" w:rsidRPr="006B51F5">
        <w:rPr>
          <w:color w:val="auto"/>
          <w:sz w:val="24"/>
          <w:szCs w:val="24"/>
        </w:rPr>
        <w:fldChar w:fldCharType="end"/>
      </w:r>
      <w:r w:rsidRPr="006B51F5">
        <w:rPr>
          <w:color w:val="auto"/>
          <w:sz w:val="24"/>
          <w:szCs w:val="24"/>
          <w:lang w:val="fr-FR"/>
        </w:rPr>
        <w:t>: Scénarii d’accélération de la couverture antirétrovirale chez les enfants de 0-15 ans</w:t>
      </w:r>
      <w:bookmarkEnd w:id="57"/>
    </w:p>
    <w:p w:rsidR="007533D5" w:rsidRDefault="007533D5" w:rsidP="006B51F5">
      <w:pPr>
        <w:rPr>
          <w:lang w:val="fr-FR"/>
        </w:rPr>
        <w:sectPr w:rsidR="007533D5" w:rsidSect="007533D5">
          <w:footerReference w:type="default" r:id="rId25"/>
          <w:pgSz w:w="12240" w:h="15840"/>
          <w:pgMar w:top="1440" w:right="1440" w:bottom="1440" w:left="1440" w:header="720" w:footer="720" w:gutter="0"/>
          <w:pgNumType w:start="21"/>
          <w:cols w:space="720"/>
          <w:docGrid w:linePitch="360"/>
        </w:sectPr>
      </w:pPr>
    </w:p>
    <w:p w:rsidR="0012594A" w:rsidRPr="006B51F5" w:rsidRDefault="000123EE" w:rsidP="006B51F5">
      <w:pPr>
        <w:pStyle w:val="Titre2"/>
        <w:numPr>
          <w:ilvl w:val="1"/>
          <w:numId w:val="20"/>
        </w:numPr>
        <w:spacing w:before="0"/>
        <w:ind w:left="567" w:hanging="567"/>
        <w:rPr>
          <w:color w:val="auto"/>
          <w:sz w:val="28"/>
          <w:szCs w:val="24"/>
          <w:lang w:val="fr-FR"/>
        </w:rPr>
      </w:pPr>
      <w:bookmarkStart w:id="58" w:name="_Toc480382935"/>
      <w:r w:rsidRPr="006B51F5">
        <w:rPr>
          <w:color w:val="auto"/>
          <w:sz w:val="28"/>
          <w:szCs w:val="24"/>
          <w:lang w:val="fr-FR"/>
        </w:rPr>
        <w:t>Théorie de changement</w:t>
      </w:r>
      <w:bookmarkEnd w:id="58"/>
    </w:p>
    <w:p w:rsidR="006B51F5" w:rsidRDefault="006B51F5" w:rsidP="006B51F5">
      <w:pPr>
        <w:rPr>
          <w:sz w:val="24"/>
          <w:lang w:val="fr-FR"/>
        </w:rPr>
      </w:pPr>
    </w:p>
    <w:p w:rsidR="000B6A54" w:rsidRDefault="0012594A" w:rsidP="006B51F5">
      <w:pPr>
        <w:rPr>
          <w:sz w:val="24"/>
          <w:lang w:val="fr-FR"/>
        </w:rPr>
      </w:pPr>
      <w:r w:rsidRPr="006B51F5">
        <w:rPr>
          <w:sz w:val="24"/>
          <w:lang w:val="fr-FR"/>
        </w:rPr>
        <w:t>L</w:t>
      </w:r>
      <w:r w:rsidR="000B6A54" w:rsidRPr="006B51F5">
        <w:rPr>
          <w:sz w:val="24"/>
          <w:lang w:val="fr-FR"/>
        </w:rPr>
        <w:t>a Figure 7 résume les mécanismes qui permettront d’atteindre les objectifs fixés selon le modèle d’accélération rapide. Trois piliers stratégiques ont été identifiés :</w:t>
      </w:r>
    </w:p>
    <w:p w:rsidR="006B51F5" w:rsidRPr="006B51F5" w:rsidRDefault="006B51F5" w:rsidP="006B51F5">
      <w:pPr>
        <w:rPr>
          <w:sz w:val="24"/>
          <w:lang w:val="fr-FR"/>
        </w:rPr>
      </w:pPr>
    </w:p>
    <w:p w:rsidR="000B6A54" w:rsidRPr="006B51F5" w:rsidRDefault="000B6A54" w:rsidP="006B51F5">
      <w:pPr>
        <w:pStyle w:val="Paragraphedeliste"/>
        <w:numPr>
          <w:ilvl w:val="0"/>
          <w:numId w:val="2"/>
        </w:numPr>
        <w:rPr>
          <w:sz w:val="24"/>
          <w:lang w:val="fr-FR"/>
        </w:rPr>
      </w:pPr>
      <w:r w:rsidRPr="006B51F5">
        <w:rPr>
          <w:sz w:val="24"/>
          <w:lang w:val="fr-FR"/>
        </w:rPr>
        <w:t xml:space="preserve">Le renforcement du pilotage stratégique </w:t>
      </w:r>
      <w:r w:rsidR="00B544E6" w:rsidRPr="006B51F5">
        <w:rPr>
          <w:sz w:val="24"/>
          <w:lang w:val="fr-FR"/>
        </w:rPr>
        <w:t>(</w:t>
      </w:r>
      <w:r w:rsidR="00B544E6" w:rsidRPr="006B51F5">
        <w:rPr>
          <w:i/>
          <w:sz w:val="24"/>
          <w:lang w:val="fr-FR"/>
        </w:rPr>
        <w:t>stewardship</w:t>
      </w:r>
      <w:r w:rsidR="00B544E6" w:rsidRPr="006B51F5">
        <w:rPr>
          <w:sz w:val="24"/>
          <w:lang w:val="fr-FR"/>
        </w:rPr>
        <w:t xml:space="preserve">) </w:t>
      </w:r>
      <w:r w:rsidRPr="006B51F5">
        <w:rPr>
          <w:sz w:val="24"/>
          <w:lang w:val="fr-FR"/>
        </w:rPr>
        <w:t>pour l’accélération rapide de la PECP du VIH à tous les niveaux</w:t>
      </w:r>
    </w:p>
    <w:p w:rsidR="000B6A54" w:rsidRPr="006B51F5" w:rsidRDefault="000B6A54" w:rsidP="006B51F5">
      <w:pPr>
        <w:pStyle w:val="Paragraphedeliste"/>
        <w:numPr>
          <w:ilvl w:val="0"/>
          <w:numId w:val="2"/>
        </w:numPr>
        <w:rPr>
          <w:sz w:val="24"/>
          <w:lang w:val="fr-FR"/>
        </w:rPr>
      </w:pPr>
      <w:r w:rsidRPr="006B51F5">
        <w:rPr>
          <w:sz w:val="24"/>
          <w:lang w:val="fr-FR"/>
        </w:rPr>
        <w:t>Le renforcement des capacités des formations sanitaires pour le dépistage, le traitement ARV, les soins et le suivi des enfants VIH+</w:t>
      </w:r>
    </w:p>
    <w:p w:rsidR="000B6A54" w:rsidRPr="006B51F5" w:rsidRDefault="000B6A54" w:rsidP="006B51F5">
      <w:pPr>
        <w:pStyle w:val="Paragraphedeliste"/>
        <w:numPr>
          <w:ilvl w:val="0"/>
          <w:numId w:val="2"/>
        </w:numPr>
        <w:rPr>
          <w:sz w:val="24"/>
          <w:lang w:val="fr-FR"/>
        </w:rPr>
      </w:pPr>
      <w:r w:rsidRPr="006B51F5">
        <w:rPr>
          <w:sz w:val="24"/>
          <w:lang w:val="fr-FR"/>
        </w:rPr>
        <w:t>Le  renforcement des capacités  des communautés, familles et patients pour améliorer et soutenir la demande et l’utilisation des soins et services de santé par les enfants infectés par le VIH</w:t>
      </w:r>
      <w:r w:rsidR="00B544E6" w:rsidRPr="006B51F5">
        <w:rPr>
          <w:sz w:val="24"/>
          <w:lang w:val="fr-FR"/>
        </w:rPr>
        <w:t>.</w:t>
      </w:r>
    </w:p>
    <w:p w:rsidR="006B51F5" w:rsidRDefault="006B51F5" w:rsidP="006B51F5">
      <w:pPr>
        <w:rPr>
          <w:sz w:val="24"/>
          <w:lang w:val="fr-FR"/>
        </w:rPr>
      </w:pPr>
    </w:p>
    <w:p w:rsidR="000B6A54" w:rsidRPr="006B51F5" w:rsidRDefault="00887D27" w:rsidP="006B51F5">
      <w:pPr>
        <w:rPr>
          <w:sz w:val="24"/>
          <w:lang w:val="fr-FR"/>
        </w:rPr>
      </w:pPr>
      <w:r w:rsidRPr="006B51F5">
        <w:rPr>
          <w:sz w:val="24"/>
          <w:lang w:val="fr-FR"/>
        </w:rPr>
        <w:t xml:space="preserve">Des interventions clés ont été identifiées pour chaque pilier et visent à lever les goulots d’étranglement majeurs qui limitent le pilotage stratégique, l’offre des soins et services de qualité ainsi que la demande et l’utilisation effective des services par les enfants infectés par le VIH. </w:t>
      </w:r>
    </w:p>
    <w:p w:rsidR="006B51F5" w:rsidRDefault="006B51F5" w:rsidP="006B51F5">
      <w:pPr>
        <w:rPr>
          <w:sz w:val="24"/>
          <w:lang w:val="fr-FR"/>
        </w:rPr>
      </w:pPr>
    </w:p>
    <w:p w:rsidR="00725C4D" w:rsidRPr="006B51F5" w:rsidRDefault="00887D27" w:rsidP="006B51F5">
      <w:pPr>
        <w:rPr>
          <w:sz w:val="24"/>
          <w:lang w:val="fr-FR"/>
        </w:rPr>
      </w:pPr>
      <w:r w:rsidRPr="006B51F5">
        <w:rPr>
          <w:sz w:val="24"/>
          <w:lang w:val="fr-FR"/>
        </w:rPr>
        <w:t>Ainsi, l</w:t>
      </w:r>
      <w:r w:rsidR="00B2320E" w:rsidRPr="006B51F5">
        <w:rPr>
          <w:sz w:val="24"/>
          <w:lang w:val="fr-FR"/>
        </w:rPr>
        <w:t xml:space="preserve">e renforcement du pilotage stratégique vise à améliorer l’environnement programmatique à tous les niveaux du système. Chaque détenteur d’enjeux doit devenir un </w:t>
      </w:r>
      <w:r w:rsidR="00B2320E" w:rsidRPr="00A8008D">
        <w:rPr>
          <w:b/>
          <w:sz w:val="24"/>
          <w:lang w:val="fr-FR"/>
        </w:rPr>
        <w:t>pilote stratégique</w:t>
      </w:r>
      <w:r w:rsidR="00B2320E" w:rsidRPr="006B51F5">
        <w:rPr>
          <w:sz w:val="24"/>
          <w:lang w:val="fr-FR"/>
        </w:rPr>
        <w:t xml:space="preserve"> (</w:t>
      </w:r>
      <w:r w:rsidR="00B2320E" w:rsidRPr="006B51F5">
        <w:rPr>
          <w:i/>
          <w:sz w:val="24"/>
          <w:lang w:val="fr-FR"/>
        </w:rPr>
        <w:t>steward</w:t>
      </w:r>
      <w:r w:rsidR="00B2320E" w:rsidRPr="006B51F5">
        <w:rPr>
          <w:sz w:val="24"/>
          <w:lang w:val="fr-FR"/>
        </w:rPr>
        <w:t xml:space="preserve">) pour atteindre les cibles et les objectifs fixés à son niveau (national, régional, district, formation sanitaire). </w:t>
      </w:r>
      <w:r w:rsidRPr="006B51F5">
        <w:rPr>
          <w:sz w:val="24"/>
          <w:lang w:val="fr-FR"/>
        </w:rPr>
        <w:t>I</w:t>
      </w:r>
      <w:r w:rsidR="00B2320E" w:rsidRPr="006B51F5">
        <w:rPr>
          <w:sz w:val="24"/>
          <w:lang w:val="fr-FR"/>
        </w:rPr>
        <w:t>l s’agit d’actualiser les politiques et les traduire en Directives opérationnelles pour faciliter leur application. Les politiques  doivent prendre en compte le dépistage systématique du VIH à toutes les portes d’entrée des formations sanitaires, la mise sous traitement de tous les enfants VIH+</w:t>
      </w:r>
      <w:r w:rsidRPr="006B51F5">
        <w:rPr>
          <w:sz w:val="24"/>
          <w:lang w:val="fr-FR"/>
        </w:rPr>
        <w:t xml:space="preserve"> selon la recommandation</w:t>
      </w:r>
      <w:r w:rsidR="00B2320E" w:rsidRPr="006B51F5">
        <w:rPr>
          <w:sz w:val="24"/>
          <w:lang w:val="fr-FR"/>
        </w:rPr>
        <w:t xml:space="preserve"> « Traiter tout le monde</w:t>
      </w:r>
      <w:r w:rsidRPr="006B51F5">
        <w:rPr>
          <w:sz w:val="24"/>
          <w:lang w:val="fr-FR"/>
        </w:rPr>
        <w:t xml:space="preserve"> », la décentralisation de la prise en charge, et l’intégration de la PECP du VIH dans les services de SRMNIA-PTME. </w:t>
      </w:r>
    </w:p>
    <w:p w:rsidR="006B51F5" w:rsidRDefault="006B51F5" w:rsidP="006B51F5">
      <w:pPr>
        <w:rPr>
          <w:sz w:val="24"/>
          <w:lang w:val="fr-FR"/>
        </w:rPr>
      </w:pPr>
    </w:p>
    <w:p w:rsidR="00887D27" w:rsidRPr="006B51F5" w:rsidRDefault="00887D27" w:rsidP="006B51F5">
      <w:pPr>
        <w:rPr>
          <w:sz w:val="24"/>
          <w:lang w:val="fr-FR"/>
        </w:rPr>
      </w:pPr>
      <w:r w:rsidRPr="006B51F5">
        <w:rPr>
          <w:sz w:val="24"/>
          <w:lang w:val="fr-FR"/>
        </w:rPr>
        <w:t xml:space="preserve">Les services de santé renforcés seront aptes à dépister, initier le TARV, prendre en charge les infectionsopportunistes et autres co-morbidités et assurer la rétention aux soins des enfants </w:t>
      </w:r>
      <w:r w:rsidR="00CF6FAF" w:rsidRPr="006B51F5">
        <w:rPr>
          <w:sz w:val="24"/>
          <w:lang w:val="fr-FR"/>
        </w:rPr>
        <w:t>infectés par le VIH.</w:t>
      </w:r>
    </w:p>
    <w:p w:rsidR="006B51F5" w:rsidRDefault="006B51F5" w:rsidP="006B51F5">
      <w:pPr>
        <w:rPr>
          <w:sz w:val="24"/>
          <w:lang w:val="fr-FR"/>
        </w:rPr>
      </w:pPr>
    </w:p>
    <w:p w:rsidR="00CF6FAF" w:rsidRPr="006B51F5" w:rsidRDefault="00CF6FAF" w:rsidP="006B51F5">
      <w:pPr>
        <w:rPr>
          <w:sz w:val="24"/>
          <w:lang w:val="fr-FR"/>
        </w:rPr>
      </w:pPr>
      <w:r w:rsidRPr="006B51F5">
        <w:rPr>
          <w:sz w:val="24"/>
          <w:lang w:val="fr-FR"/>
        </w:rPr>
        <w:t>Enfin, le renforcement des capacités des communautés (Associations y compris de PVVIH, familles, et patients) permet aux bénéficiaires d’identifier leurs besoins non couverts, d’identifier les services et soins disponibles et ainsi susciter la demande et l’utilisation des soins et services de santé. Les populations pourront alors faire le plaidoyer pour une amélioration de l’offre de soins en faveur de la prise en charge des enfants infectés par le VIH.</w:t>
      </w:r>
    </w:p>
    <w:p w:rsidR="006B51F5" w:rsidRDefault="006B51F5" w:rsidP="006B51F5">
      <w:pPr>
        <w:rPr>
          <w:b/>
          <w:sz w:val="24"/>
          <w:lang w:val="fr-FR"/>
        </w:rPr>
      </w:pPr>
    </w:p>
    <w:p w:rsidR="00CF6FAF" w:rsidRPr="006B51F5" w:rsidRDefault="00CF6FAF" w:rsidP="006B51F5">
      <w:pPr>
        <w:rPr>
          <w:b/>
          <w:sz w:val="24"/>
          <w:lang w:val="fr-FR"/>
        </w:rPr>
      </w:pPr>
      <w:r w:rsidRPr="006B51F5">
        <w:rPr>
          <w:b/>
          <w:sz w:val="24"/>
          <w:lang w:val="fr-FR"/>
        </w:rPr>
        <w:t>Hypothèses </w:t>
      </w:r>
      <w:r w:rsidR="004A4C23" w:rsidRPr="006B51F5">
        <w:rPr>
          <w:b/>
          <w:sz w:val="24"/>
          <w:lang w:val="fr-FR"/>
        </w:rPr>
        <w:t xml:space="preserve"> et risques</w:t>
      </w:r>
    </w:p>
    <w:p w:rsidR="006B51F5" w:rsidRDefault="006B51F5" w:rsidP="006B51F5">
      <w:pPr>
        <w:rPr>
          <w:sz w:val="24"/>
          <w:lang w:val="fr-FR"/>
        </w:rPr>
      </w:pPr>
    </w:p>
    <w:p w:rsidR="00CF6FAF" w:rsidRPr="006B51F5" w:rsidRDefault="00CF6FAF" w:rsidP="006B51F5">
      <w:pPr>
        <w:rPr>
          <w:sz w:val="24"/>
          <w:lang w:val="fr-FR"/>
        </w:rPr>
      </w:pPr>
      <w:r w:rsidRPr="006B51F5">
        <w:rPr>
          <w:sz w:val="24"/>
          <w:lang w:val="fr-FR"/>
        </w:rPr>
        <w:t>L’atteinte des objectifs suppose l’alignement de tous les acteurs aux stratégies de ce plan, l’actualisation et la mise en œuvr</w:t>
      </w:r>
      <w:r w:rsidR="003F3A7A" w:rsidRPr="006B51F5">
        <w:rPr>
          <w:sz w:val="24"/>
          <w:lang w:val="fr-FR"/>
        </w:rPr>
        <w:t>e optimale</w:t>
      </w:r>
      <w:r w:rsidRPr="006B51F5">
        <w:rPr>
          <w:sz w:val="24"/>
          <w:lang w:val="fr-FR"/>
        </w:rPr>
        <w:t xml:space="preserve"> des politiques conformément aux nouvelles Directives de l’OMS  en matière de dépistage </w:t>
      </w:r>
      <w:r w:rsidR="00822E5B" w:rsidRPr="006B51F5">
        <w:rPr>
          <w:sz w:val="24"/>
          <w:lang w:val="fr-FR"/>
        </w:rPr>
        <w:t xml:space="preserve">VIH </w:t>
      </w:r>
      <w:r w:rsidRPr="006B51F5">
        <w:rPr>
          <w:sz w:val="24"/>
          <w:lang w:val="fr-FR"/>
        </w:rPr>
        <w:t>et de mise sous TARV</w:t>
      </w:r>
      <w:r w:rsidR="00822E5B" w:rsidRPr="006B51F5">
        <w:rPr>
          <w:sz w:val="24"/>
          <w:lang w:val="fr-FR"/>
        </w:rPr>
        <w:t xml:space="preserve">. En effet, il pourrait avoir des réticences à la décentralisation des activités jusqu’au niveau des Centres de santé voire des Postes de santé et à la délégation des tâches au personnel polyvalent non spécialisé dans la prise en charge du VIH. </w:t>
      </w:r>
    </w:p>
    <w:p w:rsidR="006B51F5" w:rsidRDefault="006B51F5" w:rsidP="006B51F5">
      <w:pPr>
        <w:rPr>
          <w:sz w:val="24"/>
          <w:lang w:val="fr-FR"/>
        </w:rPr>
      </w:pPr>
    </w:p>
    <w:p w:rsidR="007C2A88" w:rsidRPr="006B51F5" w:rsidRDefault="00822E5B" w:rsidP="006B51F5">
      <w:pPr>
        <w:rPr>
          <w:sz w:val="24"/>
          <w:lang w:val="fr-FR"/>
        </w:rPr>
      </w:pPr>
      <w:r w:rsidRPr="006B51F5">
        <w:rPr>
          <w:sz w:val="24"/>
          <w:lang w:val="fr-FR"/>
        </w:rPr>
        <w:t>De même, la mise en œuvre des trois piliers stratégiques suppose une planification intégrée à tous les niveaux pour la maitrise des cibles à atteindre, la mobilisation adéquate des ressources</w:t>
      </w:r>
      <w:r w:rsidR="00973FBA" w:rsidRPr="006B51F5">
        <w:rPr>
          <w:sz w:val="24"/>
          <w:lang w:val="fr-FR"/>
        </w:rPr>
        <w:t xml:space="preserve"> (humaines, matérielles, financières)</w:t>
      </w:r>
      <w:r w:rsidRPr="006B51F5">
        <w:rPr>
          <w:sz w:val="24"/>
          <w:lang w:val="fr-FR"/>
        </w:rPr>
        <w:t xml:space="preserve">, la délégation des tâches et l’implication des communautés dans l’offre de soins de PECP. </w:t>
      </w:r>
    </w:p>
    <w:p w:rsidR="006B51F5" w:rsidRDefault="006B51F5" w:rsidP="006B51F5">
      <w:pPr>
        <w:rPr>
          <w:sz w:val="24"/>
          <w:lang w:val="fr-FR"/>
        </w:rPr>
      </w:pPr>
    </w:p>
    <w:p w:rsidR="00CF6FAF" w:rsidRPr="006B51F5" w:rsidRDefault="00822E5B" w:rsidP="006B51F5">
      <w:pPr>
        <w:rPr>
          <w:sz w:val="24"/>
          <w:lang w:val="fr-FR"/>
        </w:rPr>
      </w:pPr>
      <w:r w:rsidRPr="006B51F5">
        <w:rPr>
          <w:sz w:val="24"/>
          <w:lang w:val="fr-FR"/>
        </w:rPr>
        <w:t>Le</w:t>
      </w:r>
      <w:r w:rsidR="007C2A88" w:rsidRPr="006B51F5">
        <w:rPr>
          <w:sz w:val="24"/>
          <w:lang w:val="fr-FR"/>
        </w:rPr>
        <w:t>s</w:t>
      </w:r>
      <w:r w:rsidRPr="006B51F5">
        <w:rPr>
          <w:sz w:val="24"/>
          <w:lang w:val="fr-FR"/>
        </w:rPr>
        <w:t xml:space="preserve"> risque</w:t>
      </w:r>
      <w:r w:rsidR="007C2A88" w:rsidRPr="006B51F5">
        <w:rPr>
          <w:sz w:val="24"/>
          <w:lang w:val="fr-FR"/>
        </w:rPr>
        <w:t>ssont</w:t>
      </w:r>
      <w:r w:rsidRPr="006B51F5">
        <w:rPr>
          <w:sz w:val="24"/>
          <w:lang w:val="fr-FR"/>
        </w:rPr>
        <w:t xml:space="preserve"> l’insuffisance et/ou la rupture de stock de médicaments et réactifs qui vont limiter la continuité des soins</w:t>
      </w:r>
      <w:r w:rsidR="007C2A88" w:rsidRPr="006B51F5">
        <w:rPr>
          <w:sz w:val="24"/>
          <w:lang w:val="fr-FR"/>
        </w:rPr>
        <w:t xml:space="preserve"> et les réticences à la décentralisation </w:t>
      </w:r>
      <w:r w:rsidR="00973FBA" w:rsidRPr="006B51F5">
        <w:rPr>
          <w:sz w:val="24"/>
          <w:lang w:val="fr-FR"/>
        </w:rPr>
        <w:t>des activités</w:t>
      </w:r>
      <w:r w:rsidR="007C2A88" w:rsidRPr="006B51F5">
        <w:rPr>
          <w:sz w:val="24"/>
          <w:lang w:val="fr-FR"/>
        </w:rPr>
        <w:t xml:space="preserve"> vers les structures de santé périphériques</w:t>
      </w:r>
      <w:r w:rsidRPr="006B51F5">
        <w:rPr>
          <w:sz w:val="24"/>
          <w:lang w:val="fr-FR"/>
        </w:rPr>
        <w:t>.</w:t>
      </w:r>
      <w:r w:rsidR="00B91D51" w:rsidRPr="006B51F5">
        <w:rPr>
          <w:sz w:val="24"/>
          <w:lang w:val="fr-FR"/>
        </w:rPr>
        <w:t xml:space="preserve"> Il faudrait une décentralisation de la prise de décision basée sur l’analyse des données, </w:t>
      </w:r>
      <w:r w:rsidR="003F3A7A" w:rsidRPr="006B51F5">
        <w:rPr>
          <w:sz w:val="24"/>
          <w:lang w:val="fr-FR"/>
        </w:rPr>
        <w:t xml:space="preserve">et </w:t>
      </w:r>
      <w:r w:rsidR="00B91D51" w:rsidRPr="006B51F5">
        <w:rPr>
          <w:sz w:val="24"/>
          <w:lang w:val="fr-FR"/>
        </w:rPr>
        <w:t xml:space="preserve">le développement des bonnes pratiques pour améliorer les performances des services.  </w:t>
      </w:r>
    </w:p>
    <w:p w:rsidR="00822E5B" w:rsidRPr="006B51F5" w:rsidRDefault="00822E5B" w:rsidP="006B51F5">
      <w:pPr>
        <w:rPr>
          <w:sz w:val="24"/>
          <w:lang w:val="fr-FR"/>
        </w:rPr>
        <w:sectPr w:rsidR="00822E5B" w:rsidRPr="006B51F5" w:rsidSect="007533D5">
          <w:pgSz w:w="12240" w:h="15840"/>
          <w:pgMar w:top="1440" w:right="1440" w:bottom="1440" w:left="1440" w:header="720" w:footer="720" w:gutter="0"/>
          <w:pgNumType w:start="21"/>
          <w:cols w:space="720"/>
          <w:docGrid w:linePitch="360"/>
        </w:sectPr>
      </w:pPr>
    </w:p>
    <w:p w:rsidR="00725C4D" w:rsidRDefault="00C25D03" w:rsidP="000123EE">
      <w:pPr>
        <w:ind w:firstLine="720"/>
        <w:rPr>
          <w:rFonts w:ascii="Arial" w:hAnsi="Arial" w:cs="Arial"/>
          <w:lang w:val="fr-FR"/>
        </w:rPr>
      </w:pPr>
      <w:r w:rsidRPr="00C25D03">
        <w:rPr>
          <w:noProof/>
          <w:lang w:val="fr-FR" w:eastAsia="fr-FR"/>
        </w:rPr>
        <w:pict>
          <v:group id="Group 5" o:spid="_x0000_s1030" style="position:absolute;left:0;text-align:left;margin-left:-8.2pt;margin-top:-30.5pt;width:687.05pt;height:473.1pt;z-index:251664384" coordorigin="1169,1838" coordsize="13741,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">
            <v:group id="Group 6" o:spid="_x0000_s1031" style="position:absolute;left:1169;top:1838;width:13741;height:9248" coordorigin="1169,1838" coordsize="13741,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7" o:spid="_x0000_s1032" style="position:absolute;left:1169;top:1838;width:13741;height:9248" coordorigin="1169,1838" coordsize="13741,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8" o:spid="_x0000_s1033" style="position:absolute;left:10995;top:2648;width:3915;height:8438" coordorigin="10995,3127" coordsize="3915,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Text Box 9" o:spid="_x0000_s1034" type="#_x0000_t202" style="position:absolute;left:12113;top:3127;width:2797;height:29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" fillcolor="#ff6">
                    <v:textbox>
                      <w:txbxContent>
                        <w:p w:rsidR="00C57943" w:rsidRDefault="00C57943" w:rsidP="00725C4D">
                          <w:pPr>
                            <w:rPr>
                              <w:sz w:val="20"/>
                              <w:szCs w:val="20"/>
                              <w:lang w:val="fr-FR"/>
                            </w:rPr>
                          </w:pPr>
                          <w:r>
                            <w:rPr>
                              <w:b/>
                              <w:sz w:val="20"/>
                              <w:szCs w:val="20"/>
                              <w:lang w:val="fr-FR"/>
                            </w:rPr>
                            <w:t xml:space="preserve">Hypothèses </w:t>
                          </w:r>
                          <w:r w:rsidRPr="00280BA2">
                            <w:rPr>
                              <w:b/>
                              <w:sz w:val="20"/>
                              <w:szCs w:val="20"/>
                              <w:lang w:val="fr-FR"/>
                            </w:rPr>
                            <w:t xml:space="preserve">: </w:t>
                          </w:r>
                          <w:r>
                            <w:rPr>
                              <w:sz w:val="20"/>
                              <w:szCs w:val="20"/>
                              <w:lang w:val="fr-FR"/>
                            </w:rPr>
                            <w:t>Alignement de tous les acteurs au Plan</w:t>
                          </w:r>
                        </w:p>
                        <w:p w:rsidR="00C57943" w:rsidRDefault="00C57943" w:rsidP="00725C4D">
                          <w:pPr>
                            <w:rPr>
                              <w:sz w:val="20"/>
                              <w:szCs w:val="20"/>
                              <w:lang w:val="fr-FR"/>
                            </w:rPr>
                          </w:pPr>
                          <w:r>
                            <w:rPr>
                              <w:sz w:val="20"/>
                              <w:szCs w:val="20"/>
                              <w:lang w:val="fr-FR"/>
                            </w:rPr>
                            <w:t xml:space="preserve">Actualisation, diffusion et application des directives </w:t>
                          </w:r>
                        </w:p>
                        <w:p w:rsidR="00C57943" w:rsidRDefault="00C57943" w:rsidP="00725C4D">
                          <w:pPr>
                            <w:rPr>
                              <w:sz w:val="20"/>
                              <w:szCs w:val="20"/>
                              <w:lang w:val="fr-FR"/>
                            </w:rPr>
                          </w:pPr>
                          <w:r>
                            <w:rPr>
                              <w:sz w:val="20"/>
                              <w:szCs w:val="20"/>
                              <w:lang w:val="fr-FR"/>
                            </w:rPr>
                            <w:t>Mobilisation des ressources additionnelles</w:t>
                          </w:r>
                        </w:p>
                        <w:p w:rsidR="00C57943" w:rsidRDefault="00C57943" w:rsidP="00725C4D">
                          <w:pPr>
                            <w:rPr>
                              <w:sz w:val="20"/>
                              <w:szCs w:val="20"/>
                              <w:lang w:val="fr-FR"/>
                            </w:rPr>
                          </w:pPr>
                          <w:r w:rsidRPr="00280BA2">
                            <w:rPr>
                              <w:b/>
                              <w:sz w:val="20"/>
                              <w:szCs w:val="20"/>
                              <w:lang w:val="fr-FR"/>
                            </w:rPr>
                            <w:t>Risques</w:t>
                          </w:r>
                          <w:r>
                            <w:rPr>
                              <w:sz w:val="20"/>
                              <w:szCs w:val="20"/>
                              <w:lang w:val="fr-FR"/>
                            </w:rPr>
                            <w:t>: Réticence à la délégation des tâches ; faible mobilisation des ressources</w:t>
                          </w:r>
                        </w:p>
                        <w:p w:rsidR="00C57943" w:rsidRPr="00280BA2" w:rsidRDefault="00C57943" w:rsidP="00725C4D">
                          <w:pPr>
                            <w:rPr>
                              <w:sz w:val="20"/>
                              <w:szCs w:val="20"/>
                              <w:lang w:val="fr-FR"/>
                            </w:rPr>
                          </w:pPr>
                          <w:r>
                            <w:rPr>
                              <w:b/>
                              <w:sz w:val="20"/>
                              <w:szCs w:val="20"/>
                              <w:lang w:val="fr-FR"/>
                            </w:rPr>
                            <w:t>Action </w:t>
                          </w:r>
                          <w:r>
                            <w:rPr>
                              <w:sz w:val="20"/>
                              <w:szCs w:val="20"/>
                              <w:lang w:val="fr-FR"/>
                            </w:rPr>
                            <w:t xml:space="preserve">: Plaidoyer auprès de tous les acteurs </w:t>
                          </w:r>
                        </w:p>
                      </w:txbxContent>
                    </v:textbox>
                  </v:shape>
                  <v:shape id="Text Box 10" o:spid="_x0000_s1035" type="#_x0000_t202" style="position:absolute;left:12113;top:6270;width:2797;height:5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" fillcolor="#ff6">
                    <v:textbox>
                      <w:txbxContent>
                        <w:p w:rsidR="00C57943" w:rsidRDefault="00C57943" w:rsidP="00725C4D">
                          <w:pPr>
                            <w:rPr>
                              <w:b/>
                              <w:sz w:val="20"/>
                              <w:szCs w:val="20"/>
                              <w:lang w:val="fr-FR"/>
                            </w:rPr>
                          </w:pPr>
                          <w:r>
                            <w:rPr>
                              <w:b/>
                              <w:sz w:val="20"/>
                              <w:szCs w:val="20"/>
                              <w:lang w:val="fr-FR"/>
                            </w:rPr>
                            <w:t xml:space="preserve">Hypothèses </w:t>
                          </w:r>
                          <w:r w:rsidRPr="00280BA2">
                            <w:rPr>
                              <w:b/>
                              <w:sz w:val="20"/>
                              <w:szCs w:val="20"/>
                              <w:lang w:val="fr-FR"/>
                            </w:rPr>
                            <w:t xml:space="preserve">: </w:t>
                          </w:r>
                        </w:p>
                        <w:p w:rsidR="00C57943" w:rsidRDefault="00C57943" w:rsidP="00725C4D">
                          <w:pPr>
                            <w:rPr>
                              <w:sz w:val="20"/>
                              <w:szCs w:val="20"/>
                              <w:lang w:val="fr-FR"/>
                            </w:rPr>
                          </w:pPr>
                          <w:r w:rsidRPr="00170FD1">
                            <w:rPr>
                              <w:sz w:val="20"/>
                              <w:szCs w:val="20"/>
                              <w:lang w:val="fr-FR"/>
                            </w:rPr>
                            <w:t>Planification intégré</w:t>
                          </w:r>
                          <w:r>
                            <w:rPr>
                              <w:sz w:val="20"/>
                              <w:szCs w:val="20"/>
                              <w:lang w:val="fr-FR"/>
                            </w:rPr>
                            <w:t>e</w:t>
                          </w:r>
                          <w:r w:rsidRPr="00170FD1">
                            <w:rPr>
                              <w:sz w:val="20"/>
                              <w:szCs w:val="20"/>
                              <w:lang w:val="fr-FR"/>
                            </w:rPr>
                            <w:t xml:space="preserve"> à tous les niveaux</w:t>
                          </w:r>
                        </w:p>
                        <w:p w:rsidR="00C57943" w:rsidRDefault="00C57943" w:rsidP="00725C4D">
                          <w:pPr>
                            <w:rPr>
                              <w:sz w:val="20"/>
                              <w:szCs w:val="20"/>
                              <w:lang w:val="fr-FR"/>
                            </w:rPr>
                          </w:pPr>
                          <w:r>
                            <w:rPr>
                              <w:b/>
                              <w:sz w:val="20"/>
                              <w:szCs w:val="20"/>
                              <w:lang w:val="fr-FR"/>
                            </w:rPr>
                            <w:t xml:space="preserve">Délégation de tâches  </w:t>
                          </w:r>
                          <w:r>
                            <w:rPr>
                              <w:sz w:val="20"/>
                              <w:szCs w:val="20"/>
                              <w:lang w:val="fr-FR"/>
                            </w:rPr>
                            <w:t>Intégration de la PECP dans toutes les formations sanitaires et connaissance des cibles</w:t>
                          </w:r>
                        </w:p>
                        <w:p w:rsidR="00C57943" w:rsidRDefault="00C57943" w:rsidP="00725C4D">
                          <w:pPr>
                            <w:rPr>
                              <w:sz w:val="20"/>
                              <w:szCs w:val="20"/>
                              <w:lang w:val="fr-FR"/>
                            </w:rPr>
                          </w:pPr>
                          <w:r>
                            <w:rPr>
                              <w:sz w:val="20"/>
                              <w:szCs w:val="20"/>
                              <w:lang w:val="fr-FR"/>
                            </w:rPr>
                            <w:t>Recherche et mise en œuvre des bonnes pratiques</w:t>
                          </w:r>
                        </w:p>
                        <w:p w:rsidR="00C57943" w:rsidRDefault="00C57943" w:rsidP="00725C4D">
                          <w:pPr>
                            <w:rPr>
                              <w:sz w:val="20"/>
                              <w:szCs w:val="20"/>
                              <w:lang w:val="fr-FR"/>
                            </w:rPr>
                          </w:pPr>
                          <w:r>
                            <w:rPr>
                              <w:sz w:val="20"/>
                              <w:szCs w:val="20"/>
                              <w:lang w:val="fr-FR"/>
                            </w:rPr>
                            <w:t>Implication des communautés</w:t>
                          </w:r>
                        </w:p>
                        <w:p w:rsidR="00C57943" w:rsidRDefault="00C57943" w:rsidP="00725C4D">
                          <w:pPr>
                            <w:rPr>
                              <w:sz w:val="20"/>
                              <w:szCs w:val="20"/>
                              <w:lang w:val="fr-FR"/>
                            </w:rPr>
                          </w:pPr>
                          <w:r w:rsidRPr="00280BA2">
                            <w:rPr>
                              <w:b/>
                              <w:sz w:val="20"/>
                              <w:szCs w:val="20"/>
                              <w:lang w:val="fr-FR"/>
                            </w:rPr>
                            <w:t>Risques</w:t>
                          </w:r>
                          <w:r>
                            <w:rPr>
                              <w:sz w:val="20"/>
                              <w:szCs w:val="20"/>
                              <w:lang w:val="fr-FR"/>
                            </w:rPr>
                            <w:t> : rupture de stock de médicaments et réactifs, réticence à la délégation des tâches</w:t>
                          </w:r>
                        </w:p>
                        <w:p w:rsidR="00C57943" w:rsidRPr="00280BA2" w:rsidRDefault="00C57943" w:rsidP="00725C4D">
                          <w:pPr>
                            <w:rPr>
                              <w:sz w:val="20"/>
                              <w:szCs w:val="20"/>
                              <w:lang w:val="fr-FR"/>
                            </w:rPr>
                          </w:pPr>
                          <w:r>
                            <w:rPr>
                              <w:b/>
                              <w:sz w:val="20"/>
                              <w:szCs w:val="20"/>
                              <w:lang w:val="fr-FR"/>
                            </w:rPr>
                            <w:t>Actions </w:t>
                          </w:r>
                          <w:r>
                            <w:rPr>
                              <w:sz w:val="20"/>
                              <w:szCs w:val="20"/>
                              <w:lang w:val="fr-FR"/>
                            </w:rPr>
                            <w:t>: Décentralisation de la prise de décision basée sur les données ; supervision et coaching de tous les acteurs pour la mise en œuvre des directives</w:t>
                          </w:r>
                        </w:p>
                      </w:txbxContent>
                    </v:textbox>
                  </v:shape>
                  <v:group id="Group 11" o:spid="_x0000_s1036" style="position:absolute;left:10995;top:4260;width:1013;height:654" coordorigin="10995,4260" coordsize="1013,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37" type="#_x0000_t13" style="position:absolute;left:11160;top:4442;width:848;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38" type="#_x0000_t88" style="position:absolute;left:10995;top:4260;width:165;height:6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"/>
                  </v:group>
                </v:group>
                <v:group id="Group 14" o:spid="_x0000_s1039" style="position:absolute;left:1169;top:1838;width:10839;height:9248" coordorigin="1169,1838" coordsize="10839,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15" o:spid="_x0000_s1040" style="position:absolute;left:1169;top:4433;width:10839;height:1928" coordorigin="1169,4912" coordsize="10839,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Text Box 16" o:spid="_x0000_s1041" type="#_x0000_t202" style="position:absolute;left:1956;top:4912;width:2612;height:19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" fillcolor="#9cc2e5 [1940]" strokecolor="#9cc2e5 [1940]" strokeweight="1pt">
                      <v:fill color2="#deeaf6 [660]" angle="135" focus="50%" type="gradient"/>
                      <v:shadow on="t" color="#1f4d78 [1604]" opacity=".5" offset="1pt"/>
                      <v:textbox>
                        <w:txbxContent>
                          <w:p w:rsidR="00C57943" w:rsidRPr="00280BA2" w:rsidRDefault="00C57943" w:rsidP="00725C4D">
                            <w:pPr>
                              <w:rPr>
                                <w:sz w:val="20"/>
                                <w:szCs w:val="20"/>
                                <w:lang w:val="fr-FR"/>
                              </w:rPr>
                            </w:pPr>
                            <w:r w:rsidRPr="00280BA2">
                              <w:rPr>
                                <w:b/>
                                <w:sz w:val="20"/>
                                <w:szCs w:val="20"/>
                                <w:lang w:val="fr-FR"/>
                              </w:rPr>
                              <w:t xml:space="preserve">Produit 1 : </w:t>
                            </w:r>
                            <w:r w:rsidRPr="00280BA2">
                              <w:rPr>
                                <w:sz w:val="20"/>
                                <w:szCs w:val="20"/>
                                <w:lang w:val="fr-FR"/>
                              </w:rPr>
                              <w:t>Les capacités des gestionnaires sont renforcées pour assurer le pilotage stratégique de l’accélération de la PECP du VIH</w:t>
                            </w:r>
                          </w:p>
                        </w:txbxContent>
                      </v:textbox>
                    </v:shape>
                    <v:shape id="Text Box 17" o:spid="_x0000_s1042" type="#_x0000_t202" style="position:absolute;left:4778;top:4912;width:3540;height:19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" fillcolor="#a8d08d [1945]" strokecolor="#a8d08d [1945]" strokeweight="1pt">
                      <v:fill color2="#e2efd9 [665]" angle="135" focus="50%" type="gradient"/>
                      <v:shadow on="t" color="#375623 [1609]" opacity=".5" offset="1pt"/>
                      <v:textbox>
                        <w:txbxContent>
                          <w:p w:rsidR="00C57943" w:rsidRPr="00280BA2" w:rsidRDefault="00C57943" w:rsidP="00725C4D">
                            <w:pPr>
                              <w:rPr>
                                <w:sz w:val="20"/>
                                <w:szCs w:val="20"/>
                                <w:lang w:val="fr-FR"/>
                              </w:rPr>
                            </w:pPr>
                            <w:r w:rsidRPr="00280BA2">
                              <w:rPr>
                                <w:b/>
                                <w:sz w:val="20"/>
                                <w:szCs w:val="20"/>
                                <w:lang w:val="fr-FR"/>
                              </w:rPr>
                              <w:t xml:space="preserve">Produit 2 : </w:t>
                            </w:r>
                            <w:r w:rsidRPr="00280BA2">
                              <w:rPr>
                                <w:sz w:val="20"/>
                                <w:szCs w:val="20"/>
                                <w:lang w:val="fr-FR"/>
                              </w:rPr>
                              <w:t>Les capacités des formations sanitaires sont renforcées pour assurer une prise en charge pédiatrique de qualité  du VIH chez les enfants –dépistage, traitement ARV, soins et suivi</w:t>
                            </w:r>
                          </w:p>
                        </w:txbxContent>
                      </v:textbox>
                    </v:shape>
                    <v:shape id="Text Box 18" o:spid="_x0000_s1043" type="#_x0000_t202" style="position:absolute;left:8513;top:4912;width:3495;height:19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" fillcolor="#c9c9c9 [1942]">
                      <v:textbox>
                        <w:txbxContent>
                          <w:p w:rsidR="00C57943" w:rsidRPr="00280BA2" w:rsidRDefault="00C57943" w:rsidP="00725C4D">
                            <w:pPr>
                              <w:rPr>
                                <w:sz w:val="20"/>
                                <w:szCs w:val="20"/>
                                <w:lang w:val="fr-FR"/>
                              </w:rPr>
                            </w:pPr>
                            <w:r w:rsidRPr="00280BA2">
                              <w:rPr>
                                <w:b/>
                                <w:sz w:val="20"/>
                                <w:szCs w:val="20"/>
                                <w:lang w:val="fr-FR"/>
                              </w:rPr>
                              <w:t xml:space="preserve">Produit 3 : </w:t>
                            </w:r>
                            <w:r w:rsidRPr="00280BA2">
                              <w:rPr>
                                <w:sz w:val="20"/>
                                <w:szCs w:val="20"/>
                                <w:lang w:val="fr-FR"/>
                              </w:rPr>
                              <w:t>Les communautés (parents, familles, associations) sont capacitées pour renforcer la demande de soins, l’utilisation des services et l’appui à l’offre de soins de qualité pour les enfants infectés par le VIH</w:t>
                            </w:r>
                          </w:p>
                        </w:txbxContent>
                      </v:textbox>
                    </v:shape>
                    <v:shape id="Text Box 19" o:spid="_x0000_s1044" type="#_x0000_t202" style="position:absolute;left:1169;top:4912;width:632;height:19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">
                      <v:textbox style="layout-flow:vertical;mso-layout-flow-alt:bottom-to-top">
                        <w:txbxContent>
                          <w:p w:rsidR="00C57943" w:rsidRPr="00073C67" w:rsidRDefault="00C57943" w:rsidP="00725C4D">
                            <w:pPr>
                              <w:jc w:val="center"/>
                              <w:rPr>
                                <w:lang w:val="fr-FR"/>
                              </w:rPr>
                            </w:pPr>
                            <w:r>
                              <w:rPr>
                                <w:b/>
                                <w:lang w:val="fr-FR"/>
                              </w:rPr>
                              <w:t>Produits</w:t>
                            </w:r>
                          </w:p>
                        </w:txbxContent>
                      </v:textbox>
                    </v:shape>
                  </v:group>
                  <v:group id="Group 20" o:spid="_x0000_s1045" style="position:absolute;left:1169;top:1838;width:10769;height:1943" coordorigin="1169,1838" coordsize="10769,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group id="Group 21" o:spid="_x0000_s1046" style="position:absolute;left:1169;top:1838;width:10769;height:810" coordorigin="1169,2017" coordsize="1076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">
                      <v:shape id="Text Box 22" o:spid="_x0000_s1047" type="#_x0000_t202" style="position:absolute;left:1986;top:2017;width:9952;height: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" fillcolor="white [3201]" strokecolor="#a8d08d [1945]" strokeweight="1pt">
                        <v:fill color2="#c5e0b3 [1305]" focus="100%" type="gradient"/>
                        <v:shadow on="t" color="#375623 [1609]" opacity=".5" offset="1pt"/>
                        <v:textbox>
                          <w:txbxContent>
                            <w:p w:rsidR="00C57943" w:rsidRPr="00073C67" w:rsidRDefault="00C57943" w:rsidP="00725C4D">
                              <w:pPr>
                                <w:rPr>
                                  <w:lang w:val="fr-FR"/>
                                </w:rPr>
                              </w:pPr>
                              <w:r>
                                <w:rPr>
                                  <w:b/>
                                  <w:lang w:val="fr-FR"/>
                                </w:rPr>
                                <w:t xml:space="preserve">But : </w:t>
                              </w:r>
                              <w:r w:rsidRPr="00073C67">
                                <w:rPr>
                                  <w:lang w:val="fr-FR"/>
                                </w:rPr>
                                <w:t xml:space="preserve">Contribuer à l’amélioration de la santé et de la survie </w:t>
                              </w:r>
                              <w:r>
                                <w:rPr>
                                  <w:lang w:val="fr-FR"/>
                                </w:rPr>
                                <w:t>des enfants vivant avec le VIH par l’accélération du dépistage, de la mise sous traitement ARV et de la rétention aux soins</w:t>
                              </w:r>
                            </w:p>
                          </w:txbxContent>
                        </v:textbox>
                      </v:shape>
                      <v:shape id="Text Box 23" o:spid="_x0000_s1048" type="#_x0000_t202" style="position:absolute;left:1169;top:2017;width:632;height:7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">
                        <v:textbox style="layout-flow:vertical;mso-layout-flow-alt:bottom-to-top">
                          <w:txbxContent>
                            <w:p w:rsidR="00C57943" w:rsidRPr="00073C67" w:rsidRDefault="00C57943" w:rsidP="00725C4D">
                              <w:pPr>
                                <w:jc w:val="center"/>
                                <w:rPr>
                                  <w:lang w:val="fr-FR"/>
                                </w:rPr>
                              </w:pPr>
                              <w:r>
                                <w:rPr>
                                  <w:b/>
                                  <w:lang w:val="fr-FR"/>
                                </w:rPr>
                                <w:t>But</w:t>
                              </w:r>
                            </w:p>
                          </w:txbxContent>
                        </v:textbox>
                      </v:shape>
                    </v:group>
                    <v:group id="Group 24" o:spid="_x0000_s1049" style="position:absolute;left:1169;top:3023;width:10764;height:758" coordorigin="1169,3502" coordsize="1076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">
                      <v:shape id="Text Box 25" o:spid="_x0000_s1050" type="#_x0000_t202" style="position:absolute;left:1986;top:3502;width:9947;height:7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" fillcolor="#e2f37b" strokecolor="#8eaadb [1944]" strokeweight="1pt">
                        <v:shadow on="t" color="#1f3763 [1608]" opacity=".5" offset="1pt"/>
                        <v:textbox>
                          <w:txbxContent>
                            <w:p w:rsidR="00C57943" w:rsidRPr="00073C67" w:rsidRDefault="00C57943" w:rsidP="00725C4D">
                              <w:pPr>
                                <w:rPr>
                                  <w:lang w:val="fr-FR"/>
                                </w:rPr>
                              </w:pPr>
                              <w:r>
                                <w:rPr>
                                  <w:b/>
                                  <w:lang w:val="fr-FR"/>
                                </w:rPr>
                                <w:t xml:space="preserve">Effet : </w:t>
                              </w:r>
                              <w:r>
                                <w:rPr>
                                  <w:lang w:val="fr-FR"/>
                                </w:rPr>
                                <w:t>En 2020, 81% des enfants de 0-15 ans infectés par le VIH sont mis sous traitement antirétroviral</w:t>
                              </w:r>
                            </w:p>
                          </w:txbxContent>
                        </v:textbox>
                      </v:shape>
                      <v:shape id="Text Box 26" o:spid="_x0000_s1051" type="#_x0000_t202" style="position:absolute;left:1169;top:3502;width:632;height:7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">
                        <v:textbox style="layout-flow:vertical;mso-layout-flow-alt:bottom-to-top">
                          <w:txbxContent>
                            <w:p w:rsidR="00C57943" w:rsidRPr="00073C67" w:rsidRDefault="00C57943" w:rsidP="00725C4D">
                              <w:pPr>
                                <w:rPr>
                                  <w:lang w:val="fr-FR"/>
                                </w:rPr>
                              </w:pPr>
                              <w:r>
                                <w:rPr>
                                  <w:b/>
                                  <w:lang w:val="fr-FR"/>
                                </w:rPr>
                                <w:t>Effet </w:t>
                              </w:r>
                            </w:p>
                          </w:txbxContent>
                        </v:textbox>
                      </v:shape>
                    </v:group>
                    <v:shapetype id="_x0000_t32" coordsize="21600,21600" o:spt="32" o:oned="t" path="m,l21600,21600e" filled="f">
                      <v:path arrowok="t" fillok="f" o:connecttype="none"/>
                      <o:lock v:ext="edit" shapetype="t"/>
                    </v:shapetype>
                    <v:shape id="AutoShape 27" o:spid="_x0000_s1052" type="#_x0000_t32" style="position:absolute;left:6751;top:2648;width:0;height:37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" strokeweight="1.5pt">
                      <v:stroke startarrow="diamond" endarrow="block"/>
                    </v:shape>
                  </v:group>
                  <v:group id="Group 28" o:spid="_x0000_s1053" style="position:absolute;left:1169;top:6361;width:10839;height:4725" coordorigin="1169,6840" coordsize="10839,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">
                    <v:group id="Group 29" o:spid="_x0000_s1054" style="position:absolute;left:1169;top:7395;width:10839;height:4170" coordorigin="1169,7395" coordsize="10839,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">
                      <v:shape id="Text Box 30" o:spid="_x0000_s1055" type="#_x0000_t202" style="position:absolute;left:1956;top:7395;width:2612;height:4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" fillcolor="#9cc2e5 [1940]" strokecolor="#9cc2e5 [1940]" strokeweight="1pt">
                        <v:fill color2="#deeaf6 [660]" angle="135" focus="50%" type="gradient"/>
                        <v:shadow on="t" color="#1f4d78 [1604]" opacity=".5" offset="1pt"/>
                        <v:textbox>
                          <w:txbxContent>
                            <w:p w:rsidR="00C57943" w:rsidRDefault="00C57943" w:rsidP="00725C4D">
                              <w:pPr>
                                <w:rPr>
                                  <w:sz w:val="20"/>
                                  <w:szCs w:val="20"/>
                                  <w:lang w:val="fr-FR"/>
                                </w:rPr>
                              </w:pPr>
                              <w:r>
                                <w:rPr>
                                  <w:b/>
                                  <w:sz w:val="20"/>
                                  <w:szCs w:val="20"/>
                                  <w:lang w:val="fr-FR"/>
                                </w:rPr>
                                <w:t>Axe</w:t>
                              </w:r>
                              <w:r w:rsidRPr="00280BA2">
                                <w:rPr>
                                  <w:b/>
                                  <w:sz w:val="20"/>
                                  <w:szCs w:val="20"/>
                                  <w:lang w:val="fr-FR"/>
                                </w:rPr>
                                <w:t xml:space="preserve"> 1 : </w:t>
                              </w:r>
                              <w:r>
                                <w:rPr>
                                  <w:b/>
                                  <w:sz w:val="20"/>
                                  <w:szCs w:val="20"/>
                                  <w:lang w:val="fr-FR"/>
                                </w:rPr>
                                <w:t xml:space="preserve">Renforcement du </w:t>
                              </w:r>
                              <w:r w:rsidRPr="00036114">
                                <w:rPr>
                                  <w:b/>
                                  <w:sz w:val="20"/>
                                  <w:szCs w:val="20"/>
                                  <w:lang w:val="fr-FR"/>
                                </w:rPr>
                                <w:t>Pilotage stratégique</w:t>
                              </w:r>
                              <w:r>
                                <w:rPr>
                                  <w:b/>
                                  <w:sz w:val="20"/>
                                  <w:szCs w:val="20"/>
                                  <w:lang w:val="fr-FR"/>
                                </w:rPr>
                                <w:t xml:space="preserve"> (stewardship) à tous les niveaux</w:t>
                              </w:r>
                            </w:p>
                            <w:p w:rsidR="00C57943" w:rsidRPr="003F3A7A" w:rsidRDefault="00C57943" w:rsidP="009B2B2E">
                              <w:pPr>
                                <w:pStyle w:val="Paragraphedeliste"/>
                                <w:numPr>
                                  <w:ilvl w:val="0"/>
                                  <w:numId w:val="8"/>
                                </w:numPr>
                                <w:ind w:left="270" w:hanging="270"/>
                                <w:rPr>
                                  <w:sz w:val="20"/>
                                  <w:szCs w:val="20"/>
                                  <w:lang w:val="fr-FR"/>
                                </w:rPr>
                              </w:pPr>
                              <w:r w:rsidRPr="003F3A7A">
                                <w:rPr>
                                  <w:sz w:val="20"/>
                                  <w:szCs w:val="20"/>
                                  <w:lang w:val="fr-FR"/>
                                </w:rPr>
                                <w:t>Actualisation et diffusion des politiques, directives et normes de PECP</w:t>
                              </w:r>
                            </w:p>
                            <w:p w:rsidR="00C57943" w:rsidRPr="003F3A7A" w:rsidRDefault="00C57943" w:rsidP="009B2B2E">
                              <w:pPr>
                                <w:pStyle w:val="Paragraphedeliste"/>
                                <w:numPr>
                                  <w:ilvl w:val="0"/>
                                  <w:numId w:val="8"/>
                                </w:numPr>
                                <w:ind w:left="270" w:hanging="270"/>
                                <w:rPr>
                                  <w:sz w:val="20"/>
                                  <w:szCs w:val="20"/>
                                  <w:lang w:val="fr-FR"/>
                                </w:rPr>
                              </w:pPr>
                              <w:r w:rsidRPr="003F3A7A">
                                <w:rPr>
                                  <w:sz w:val="20"/>
                                  <w:szCs w:val="20"/>
                                  <w:lang w:val="fr-FR"/>
                                </w:rPr>
                                <w:t>Coordination à tous les niveaux de la réponse</w:t>
                              </w:r>
                            </w:p>
                            <w:p w:rsidR="00C57943" w:rsidRPr="003F3A7A" w:rsidRDefault="00C57943" w:rsidP="009B2B2E">
                              <w:pPr>
                                <w:pStyle w:val="Paragraphedeliste"/>
                                <w:numPr>
                                  <w:ilvl w:val="0"/>
                                  <w:numId w:val="8"/>
                                </w:numPr>
                                <w:ind w:left="270" w:hanging="270"/>
                                <w:rPr>
                                  <w:sz w:val="20"/>
                                  <w:szCs w:val="20"/>
                                  <w:lang w:val="fr-FR"/>
                                </w:rPr>
                              </w:pPr>
                              <w:r w:rsidRPr="003F3A7A">
                                <w:rPr>
                                  <w:sz w:val="20"/>
                                  <w:szCs w:val="20"/>
                                  <w:lang w:val="fr-FR"/>
                                </w:rPr>
                                <w:t>Mise en place de mécanismes de suivi-évaluation performants</w:t>
                              </w:r>
                            </w:p>
                            <w:p w:rsidR="00C57943" w:rsidRPr="003F3A7A" w:rsidRDefault="00C57943" w:rsidP="009B2B2E">
                              <w:pPr>
                                <w:pStyle w:val="Paragraphedeliste"/>
                                <w:numPr>
                                  <w:ilvl w:val="0"/>
                                  <w:numId w:val="8"/>
                                </w:numPr>
                                <w:ind w:left="270" w:hanging="270"/>
                                <w:rPr>
                                  <w:sz w:val="20"/>
                                  <w:szCs w:val="20"/>
                                  <w:lang w:val="fr-FR"/>
                                </w:rPr>
                              </w:pPr>
                              <w:r w:rsidRPr="003F3A7A">
                                <w:rPr>
                                  <w:sz w:val="20"/>
                                  <w:szCs w:val="20"/>
                                  <w:lang w:val="fr-FR"/>
                                </w:rPr>
                                <w:t>Mobilisation adéquate des ressources financières</w:t>
                              </w:r>
                            </w:p>
                            <w:p w:rsidR="00C57943" w:rsidRPr="003F3A7A" w:rsidRDefault="00C57943" w:rsidP="009B2B2E">
                              <w:pPr>
                                <w:pStyle w:val="Paragraphedeliste"/>
                                <w:numPr>
                                  <w:ilvl w:val="0"/>
                                  <w:numId w:val="8"/>
                                </w:numPr>
                                <w:ind w:left="270" w:hanging="270"/>
                                <w:rPr>
                                  <w:sz w:val="20"/>
                                  <w:szCs w:val="20"/>
                                  <w:lang w:val="fr-FR"/>
                                </w:rPr>
                              </w:pPr>
                              <w:r w:rsidRPr="003F3A7A">
                                <w:rPr>
                                  <w:sz w:val="20"/>
                                  <w:szCs w:val="20"/>
                                  <w:lang w:val="fr-FR"/>
                                </w:rPr>
                                <w:t>Recherche-action</w:t>
                              </w:r>
                            </w:p>
                            <w:p w:rsidR="00C57943" w:rsidRPr="00280BA2" w:rsidRDefault="00C57943" w:rsidP="00725C4D">
                              <w:pPr>
                                <w:rPr>
                                  <w:sz w:val="20"/>
                                  <w:szCs w:val="20"/>
                                  <w:lang w:val="fr-FR"/>
                                </w:rPr>
                              </w:pPr>
                            </w:p>
                          </w:txbxContent>
                        </v:textbox>
                      </v:shape>
                      <v:shape id="Text Box 31" o:spid="_x0000_s1056" type="#_x0000_t202" style="position:absolute;left:4778;top:7395;width:3622;height:4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" fillcolor="#a8d08d [1945]" strokecolor="#a8d08d [1945]" strokeweight="1pt">
                        <v:fill color2="#e2efd9 [665]" angle="135" focus="50%" type="gradient"/>
                        <v:shadow on="t" color="#375623 [1609]" opacity=".5" offset="1pt"/>
                        <v:textbox>
                          <w:txbxContent>
                            <w:p w:rsidR="00C57943" w:rsidRDefault="00C57943" w:rsidP="00725C4D">
                              <w:pPr>
                                <w:rPr>
                                  <w:sz w:val="20"/>
                                  <w:szCs w:val="20"/>
                                  <w:lang w:val="fr-FR"/>
                                </w:rPr>
                              </w:pPr>
                              <w:r>
                                <w:rPr>
                                  <w:b/>
                                  <w:sz w:val="20"/>
                                  <w:szCs w:val="20"/>
                                  <w:lang w:val="fr-FR"/>
                                </w:rPr>
                                <w:t xml:space="preserve">Axe </w:t>
                              </w:r>
                              <w:r w:rsidRPr="00280BA2">
                                <w:rPr>
                                  <w:b/>
                                  <w:sz w:val="20"/>
                                  <w:szCs w:val="20"/>
                                  <w:lang w:val="fr-FR"/>
                                </w:rPr>
                                <w:t xml:space="preserve"> 2 : </w:t>
                              </w:r>
                              <w:r w:rsidRPr="00036114">
                                <w:rPr>
                                  <w:b/>
                                  <w:sz w:val="20"/>
                                  <w:szCs w:val="20"/>
                                  <w:lang w:val="fr-FR"/>
                                </w:rPr>
                                <w:t xml:space="preserve">Renforcement des capacités des formations sanitaires pour le dépistage, le traitement ARV, les soins et le suivi des enfants </w:t>
                              </w:r>
                              <w:r>
                                <w:rPr>
                                  <w:b/>
                                  <w:sz w:val="20"/>
                                  <w:szCs w:val="20"/>
                                  <w:lang w:val="fr-FR"/>
                                </w:rPr>
                                <w:t>VIH+</w:t>
                              </w:r>
                            </w:p>
                            <w:p w:rsidR="00C57943" w:rsidRPr="003F3A7A" w:rsidRDefault="00C57943" w:rsidP="009B2B2E">
                              <w:pPr>
                                <w:pStyle w:val="Paragraphedeliste"/>
                                <w:numPr>
                                  <w:ilvl w:val="0"/>
                                  <w:numId w:val="7"/>
                                </w:numPr>
                                <w:ind w:left="270" w:hanging="270"/>
                                <w:rPr>
                                  <w:sz w:val="20"/>
                                  <w:szCs w:val="20"/>
                                  <w:lang w:val="fr-FR"/>
                                </w:rPr>
                              </w:pPr>
                              <w:r w:rsidRPr="003F3A7A">
                                <w:rPr>
                                  <w:sz w:val="20"/>
                                  <w:szCs w:val="20"/>
                                  <w:lang w:val="fr-FR"/>
                                </w:rPr>
                                <w:t>Renforcement des capacités et mise en réseau des laboratoires</w:t>
                              </w:r>
                            </w:p>
                            <w:p w:rsidR="00C57943" w:rsidRPr="003F3A7A" w:rsidRDefault="00C57943" w:rsidP="009B2B2E">
                              <w:pPr>
                                <w:pStyle w:val="Paragraphedeliste"/>
                                <w:numPr>
                                  <w:ilvl w:val="0"/>
                                  <w:numId w:val="7"/>
                                </w:numPr>
                                <w:ind w:left="270" w:hanging="270"/>
                                <w:rPr>
                                  <w:sz w:val="20"/>
                                  <w:szCs w:val="20"/>
                                  <w:lang w:val="fr-FR"/>
                                </w:rPr>
                              </w:pPr>
                              <w:r w:rsidRPr="003F3A7A">
                                <w:rPr>
                                  <w:sz w:val="20"/>
                                  <w:szCs w:val="20"/>
                                  <w:lang w:val="fr-FR"/>
                                </w:rPr>
                                <w:t>Renforcement du dépistage actif des enfants infectés (EID, cas index, dépistage systématique aux portes d’entrée)</w:t>
                              </w:r>
                            </w:p>
                            <w:p w:rsidR="00C57943" w:rsidRPr="003F3A7A" w:rsidRDefault="00C57943" w:rsidP="009B2B2E">
                              <w:pPr>
                                <w:pStyle w:val="Paragraphedeliste"/>
                                <w:numPr>
                                  <w:ilvl w:val="0"/>
                                  <w:numId w:val="7"/>
                                </w:numPr>
                                <w:ind w:left="270" w:hanging="270"/>
                                <w:rPr>
                                  <w:sz w:val="20"/>
                                  <w:szCs w:val="20"/>
                                  <w:lang w:val="fr-FR"/>
                                </w:rPr>
                              </w:pPr>
                              <w:r w:rsidRPr="003F3A7A">
                                <w:rPr>
                                  <w:sz w:val="20"/>
                                  <w:szCs w:val="20"/>
                                  <w:lang w:val="fr-FR"/>
                                </w:rPr>
                                <w:t>Amélioration du plateau technique des formations sanitaires pour l’initiation du traitement ARV, le suivi et la rétention des enfants VIH+</w:t>
                              </w:r>
                            </w:p>
                            <w:p w:rsidR="00C57943" w:rsidRPr="00B91D51" w:rsidRDefault="00C57943" w:rsidP="009B2B2E">
                              <w:pPr>
                                <w:pStyle w:val="Paragraphedeliste"/>
                                <w:numPr>
                                  <w:ilvl w:val="0"/>
                                  <w:numId w:val="7"/>
                                </w:numPr>
                                <w:ind w:left="270" w:hanging="270"/>
                                <w:rPr>
                                  <w:b/>
                                  <w:sz w:val="20"/>
                                  <w:szCs w:val="20"/>
                                  <w:lang w:val="fr-FR"/>
                                </w:rPr>
                              </w:pPr>
                              <w:r w:rsidRPr="003F3A7A">
                                <w:rPr>
                                  <w:sz w:val="20"/>
                                  <w:szCs w:val="20"/>
                                  <w:lang w:val="fr-FR"/>
                                </w:rPr>
                                <w:t>Mise en place de mécanismes de recherche  active des perdus de vue</w:t>
                              </w:r>
                            </w:p>
                          </w:txbxContent>
                        </v:textbox>
                      </v:shape>
                      <v:shape id="Text Box 32" o:spid="_x0000_s1057" type="#_x0000_t202" style="position:absolute;left:8513;top:7395;width:3495;height:4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" fillcolor="#c9c9c9 [1942]">
                        <v:textbox>
                          <w:txbxContent>
                            <w:p w:rsidR="00C57943" w:rsidRDefault="00C57943" w:rsidP="00725C4D">
                              <w:pPr>
                                <w:rPr>
                                  <w:sz w:val="20"/>
                                  <w:szCs w:val="20"/>
                                  <w:lang w:val="fr-FR"/>
                                </w:rPr>
                              </w:pPr>
                              <w:r>
                                <w:rPr>
                                  <w:b/>
                                  <w:sz w:val="20"/>
                                  <w:szCs w:val="20"/>
                                  <w:lang w:val="fr-FR"/>
                                </w:rPr>
                                <w:t>Axe</w:t>
                              </w:r>
                              <w:r w:rsidRPr="00280BA2">
                                <w:rPr>
                                  <w:b/>
                                  <w:sz w:val="20"/>
                                  <w:szCs w:val="20"/>
                                  <w:lang w:val="fr-FR"/>
                                </w:rPr>
                                <w:t xml:space="preserve"> 3 :</w:t>
                              </w:r>
                              <w:r>
                                <w:rPr>
                                  <w:b/>
                                  <w:sz w:val="20"/>
                                  <w:szCs w:val="20"/>
                                  <w:lang w:val="fr-FR"/>
                                </w:rPr>
                                <w:t>Renforcement d</w:t>
                              </w:r>
                              <w:r w:rsidRPr="00036114">
                                <w:rPr>
                                  <w:b/>
                                  <w:sz w:val="20"/>
                                  <w:szCs w:val="20"/>
                                  <w:lang w:val="fr-FR"/>
                                </w:rPr>
                                <w:t xml:space="preserve">es capacités  des communautés pour améliorer et soutenir la demande etl’utilisation des services </w:t>
                              </w:r>
                              <w:r>
                                <w:rPr>
                                  <w:b/>
                                  <w:sz w:val="20"/>
                                  <w:szCs w:val="20"/>
                                  <w:lang w:val="fr-FR"/>
                                </w:rPr>
                                <w:t>par les enfants infectés par le VIH</w:t>
                              </w:r>
                            </w:p>
                            <w:p w:rsidR="00C57943" w:rsidRPr="003F3A7A" w:rsidRDefault="00C57943" w:rsidP="009B2B2E">
                              <w:pPr>
                                <w:pStyle w:val="Paragraphedeliste"/>
                                <w:numPr>
                                  <w:ilvl w:val="0"/>
                                  <w:numId w:val="6"/>
                                </w:numPr>
                                <w:ind w:left="270" w:hanging="270"/>
                                <w:rPr>
                                  <w:sz w:val="20"/>
                                  <w:szCs w:val="20"/>
                                  <w:lang w:val="fr-FR"/>
                                </w:rPr>
                              </w:pPr>
                              <w:r w:rsidRPr="003F3A7A">
                                <w:rPr>
                                  <w:sz w:val="20"/>
                                  <w:szCs w:val="20"/>
                                  <w:lang w:val="fr-FR"/>
                                </w:rPr>
                                <w:t>Amélioration des connaissances des populations pour l’utilisation des services pour la PECP du VIH</w:t>
                              </w:r>
                            </w:p>
                            <w:p w:rsidR="00C57943" w:rsidRPr="003F3A7A" w:rsidRDefault="00C57943" w:rsidP="009B2B2E">
                              <w:pPr>
                                <w:pStyle w:val="Paragraphedeliste"/>
                                <w:numPr>
                                  <w:ilvl w:val="0"/>
                                  <w:numId w:val="6"/>
                                </w:numPr>
                                <w:ind w:left="270" w:hanging="270"/>
                                <w:rPr>
                                  <w:sz w:val="20"/>
                                  <w:szCs w:val="20"/>
                                  <w:lang w:val="fr-FR"/>
                                </w:rPr>
                              </w:pPr>
                              <w:r w:rsidRPr="003F3A7A">
                                <w:rPr>
                                  <w:sz w:val="20"/>
                                  <w:szCs w:val="20"/>
                                  <w:lang w:val="fr-FR"/>
                                </w:rPr>
                                <w:t>Plaidoyer et mobilisation sociale en faveur de l’accès des enfants aux ARV</w:t>
                              </w:r>
                            </w:p>
                            <w:p w:rsidR="00C57943" w:rsidRPr="003F3A7A" w:rsidRDefault="00C57943" w:rsidP="009B2B2E">
                              <w:pPr>
                                <w:pStyle w:val="Paragraphedeliste"/>
                                <w:numPr>
                                  <w:ilvl w:val="0"/>
                                  <w:numId w:val="6"/>
                                </w:numPr>
                                <w:ind w:left="270" w:hanging="270"/>
                                <w:rPr>
                                  <w:sz w:val="20"/>
                                  <w:szCs w:val="20"/>
                                  <w:lang w:val="fr-FR"/>
                                </w:rPr>
                              </w:pPr>
                              <w:r w:rsidRPr="003F3A7A">
                                <w:rPr>
                                  <w:sz w:val="20"/>
                                  <w:szCs w:val="20"/>
                                  <w:lang w:val="fr-FR"/>
                                </w:rPr>
                                <w:t xml:space="preserve">Soutien pour l’adhérence aux soins et la recherche des perdus de vue </w:t>
                              </w:r>
                            </w:p>
                          </w:txbxContent>
                        </v:textbox>
                      </v:shape>
                      <v:shape id="Text Box 33" o:spid="_x0000_s1058" type="#_x0000_t202" style="position:absolute;left:1169;top:7395;width:632;height:4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">
                        <v:textbox style="layout-flow:vertical;mso-layout-flow-alt:bottom-to-top">
                          <w:txbxContent>
                            <w:p w:rsidR="00C57943" w:rsidRPr="00073C67" w:rsidRDefault="00C57943" w:rsidP="00725C4D">
                              <w:pPr>
                                <w:jc w:val="center"/>
                                <w:rPr>
                                  <w:lang w:val="fr-FR"/>
                                </w:rPr>
                              </w:pPr>
                              <w:r>
                                <w:rPr>
                                  <w:b/>
                                  <w:lang w:val="fr-FR"/>
                                </w:rPr>
                                <w:t>Axes stratégiques</w:t>
                              </w:r>
                            </w:p>
                          </w:txbxContent>
                        </v:textbox>
                      </v:shape>
                    </v:group>
                    <v:shape id="AutoShape 34" o:spid="_x0000_s1059" type="#_x0000_t13" style="position:absolute;left:11160;top:6975;width:848;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"/>
                    <v:shape id="AutoShape 35" o:spid="_x0000_s1060" type="#_x0000_t88" style="position:absolute;left:10995;top:6840;width:165;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"/>
                  </v:group>
                </v:group>
              </v:group>
              <v:group id="Group 36" o:spid="_x0000_s1061" style="position:absolute;left:3134;top:6406;width:7036;height:504" coordorigin="3134,6885" coordsize="703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">
                <v:shape id="AutoShape 37" o:spid="_x0000_s1062" type="#_x0000_t32" style="position:absolute;left:3134;top:7142;width:703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" strokeweight="1.5pt"/>
                <v:shape id="AutoShape 38" o:spid="_x0000_s1063" type="#_x0000_t32" style="position:absolute;left:6718;top:6885;width:1;height:22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" strokeweight="1.5pt">
                  <v:stroke startarrow="diamond" endarrow="block"/>
                </v:shape>
                <v:shape id="AutoShape 39" o:spid="_x0000_s1064" type="#_x0000_t32" style="position:absolute;left:3134;top:7140;width:1;height:24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" strokeweight="1.5pt">
                  <v:stroke startarrow="oval" endarrow="oval"/>
                </v:shape>
                <v:shape id="AutoShape 40" o:spid="_x0000_s1065" type="#_x0000_t32" style="position:absolute;left:10169;top:7140;width:1;height:24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" strokeweight="1.5pt">
                  <v:stroke startarrow="oval" endarrow="oval"/>
                </v:shape>
                <v:shape id="AutoShape 41" o:spid="_x0000_s1066" type="#_x0000_t32" style="position:absolute;left:6719;top:7142;width:1;height:24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" strokeweight="1.5pt">
                  <v:stroke startarrow="oval" endarrow="oval"/>
                </v:shape>
              </v:group>
            </v:group>
            <v:group id="Group 42" o:spid="_x0000_s1067" style="position:absolute;left:3284;top:3781;width:7036;height:654" coordorigin="3284,4260" coordsize="703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">
              <v:shape id="AutoShape 43" o:spid="_x0000_s1068" type="#_x0000_t32" style="position:absolute;left:3284;top:4667;width:703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" strokeweight="1.5pt"/>
              <v:shape id="AutoShape 44" o:spid="_x0000_s1069" type="#_x0000_t32" style="position:absolute;left:6733;top:4260;width:1;height:37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" strokeweight="1.5pt">
                <v:stroke startarrow="diamond" endarrow="block"/>
              </v:shape>
              <v:shape id="AutoShape 45" o:spid="_x0000_s1070" type="#_x0000_t32" style="position:absolute;left:3284;top:4665;width:1;height:24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" strokeweight="1.5pt">
                <v:stroke startarrow="oval" endarrow="oval"/>
              </v:shape>
              <v:shape id="AutoShape 46" o:spid="_x0000_s1071" type="#_x0000_t32" style="position:absolute;left:10319;top:4665;width:1;height:24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" strokeweight="1.5pt">
                <v:stroke startarrow="oval" endarrow="oval"/>
              </v:shape>
              <v:shape id="AutoShape 47" o:spid="_x0000_s1072" type="#_x0000_t32" style="position:absolute;left:6734;top:4667;width:1;height:24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" strokeweight="1.5pt">
                <v:stroke startarrow="oval" endarrow="oval"/>
              </v:shape>
            </v:group>
          </v:group>
        </w:pict>
      </w:r>
    </w:p>
    <w:p w:rsidR="00725C4D" w:rsidRDefault="00725C4D">
      <w:pPr>
        <w:rPr>
          <w:rFonts w:ascii="Arial" w:hAnsi="Arial" w:cs="Arial"/>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725C4D" w:rsidRDefault="00725C4D" w:rsidP="00725C4D">
      <w:pPr>
        <w:rPr>
          <w:lang w:val="fr-FR"/>
        </w:rPr>
      </w:pPr>
    </w:p>
    <w:p w:rsidR="00C322EA" w:rsidRDefault="00C322EA" w:rsidP="000421D3">
      <w:pPr>
        <w:rPr>
          <w:lang w:val="fr-FR"/>
        </w:rPr>
      </w:pPr>
    </w:p>
    <w:p w:rsidR="00725C4D" w:rsidRPr="007533D5" w:rsidRDefault="0012594A" w:rsidP="007533D5">
      <w:pPr>
        <w:pStyle w:val="Lgende"/>
        <w:spacing w:after="0"/>
        <w:jc w:val="center"/>
        <w:rPr>
          <w:color w:val="auto"/>
          <w:lang w:val="fr-FR"/>
        </w:rPr>
        <w:sectPr w:rsidR="00725C4D" w:rsidRPr="007533D5" w:rsidSect="00861997">
          <w:footerReference w:type="default" r:id="rId26"/>
          <w:pgSz w:w="15840" w:h="12240" w:orient="landscape"/>
          <w:pgMar w:top="1440" w:right="1440" w:bottom="1440" w:left="1440" w:header="720" w:footer="576" w:gutter="0"/>
          <w:cols w:space="720"/>
          <w:docGrid w:linePitch="360"/>
        </w:sectPr>
      </w:pPr>
      <w:bookmarkStart w:id="59" w:name="_Toc480382972"/>
      <w:r w:rsidRPr="007533D5">
        <w:rPr>
          <w:color w:val="auto"/>
          <w:lang w:val="fr-FR"/>
        </w:rPr>
        <w:t xml:space="preserve">Figure </w:t>
      </w:r>
      <w:r w:rsidR="00C25D03" w:rsidRPr="007533D5">
        <w:rPr>
          <w:color w:val="auto"/>
        </w:rPr>
        <w:fldChar w:fldCharType="begin"/>
      </w:r>
      <w:r w:rsidRPr="007533D5">
        <w:rPr>
          <w:color w:val="auto"/>
          <w:lang w:val="fr-FR"/>
        </w:rPr>
        <w:instrText xml:space="preserve"> SEQ Figure \* ARABIC </w:instrText>
      </w:r>
      <w:r w:rsidR="00C25D03" w:rsidRPr="007533D5">
        <w:rPr>
          <w:color w:val="auto"/>
        </w:rPr>
        <w:fldChar w:fldCharType="separate"/>
      </w:r>
      <w:r w:rsidR="00774C46" w:rsidRPr="007533D5">
        <w:rPr>
          <w:noProof/>
          <w:color w:val="auto"/>
          <w:lang w:val="fr-FR"/>
        </w:rPr>
        <w:t>7</w:t>
      </w:r>
      <w:r w:rsidR="00C25D03" w:rsidRPr="007533D5">
        <w:rPr>
          <w:color w:val="auto"/>
        </w:rPr>
        <w:fldChar w:fldCharType="end"/>
      </w:r>
      <w:r w:rsidR="00725C4D" w:rsidRPr="007533D5">
        <w:rPr>
          <w:color w:val="auto"/>
          <w:lang w:val="fr-FR"/>
        </w:rPr>
        <w:t>: Théorie de changement de l’accélération de la prise en charge pédiatrique du VIH en Guinée</w:t>
      </w:r>
      <w:bookmarkEnd w:id="59"/>
    </w:p>
    <w:p w:rsidR="000123EE" w:rsidRDefault="000123EE" w:rsidP="006B51F5">
      <w:pPr>
        <w:pStyle w:val="Titre2"/>
        <w:numPr>
          <w:ilvl w:val="1"/>
          <w:numId w:val="20"/>
        </w:numPr>
        <w:spacing w:before="0"/>
        <w:ind w:left="567" w:hanging="567"/>
        <w:rPr>
          <w:color w:val="auto"/>
          <w:sz w:val="28"/>
          <w:szCs w:val="24"/>
          <w:lang w:val="fr-FR"/>
        </w:rPr>
      </w:pPr>
      <w:bookmarkStart w:id="60" w:name="_Toc480382936"/>
      <w:r w:rsidRPr="006B51F5">
        <w:rPr>
          <w:color w:val="auto"/>
          <w:sz w:val="28"/>
          <w:szCs w:val="24"/>
          <w:lang w:val="fr-FR"/>
        </w:rPr>
        <w:t>Interventions stratégiques</w:t>
      </w:r>
      <w:bookmarkEnd w:id="60"/>
    </w:p>
    <w:p w:rsidR="006B51F5" w:rsidRPr="006B51F5" w:rsidRDefault="006B51F5" w:rsidP="006B51F5">
      <w:pPr>
        <w:rPr>
          <w:lang w:val="fr-FR"/>
        </w:rPr>
      </w:pPr>
    </w:p>
    <w:p w:rsidR="00B97B22" w:rsidRPr="005B4218" w:rsidRDefault="000706D1" w:rsidP="005B4218">
      <w:pPr>
        <w:pStyle w:val="Titre3"/>
        <w:numPr>
          <w:ilvl w:val="2"/>
          <w:numId w:val="20"/>
        </w:numPr>
        <w:spacing w:before="0"/>
        <w:ind w:left="567" w:hanging="567"/>
        <w:rPr>
          <w:color w:val="auto"/>
          <w:sz w:val="24"/>
          <w:lang w:val="fr-FR"/>
        </w:rPr>
      </w:pPr>
      <w:bookmarkStart w:id="61" w:name="_Toc480382937"/>
      <w:r w:rsidRPr="005B4218">
        <w:rPr>
          <w:color w:val="auto"/>
          <w:sz w:val="24"/>
          <w:lang w:val="fr-FR"/>
        </w:rPr>
        <w:t>Renforcement du p</w:t>
      </w:r>
      <w:r w:rsidR="00551E78" w:rsidRPr="005B4218">
        <w:rPr>
          <w:color w:val="auto"/>
          <w:sz w:val="24"/>
          <w:lang w:val="fr-FR"/>
        </w:rPr>
        <w:t>ilotage stratégique</w:t>
      </w:r>
      <w:r w:rsidR="008075F9" w:rsidRPr="005B4218">
        <w:rPr>
          <w:color w:val="auto"/>
          <w:sz w:val="24"/>
          <w:lang w:val="fr-FR"/>
        </w:rPr>
        <w:t xml:space="preserve"> pour la PECP</w:t>
      </w:r>
      <w:bookmarkEnd w:id="61"/>
    </w:p>
    <w:p w:rsidR="006B51F5" w:rsidRDefault="006B51F5" w:rsidP="006B51F5">
      <w:pPr>
        <w:rPr>
          <w:sz w:val="24"/>
          <w:lang w:val="fr-FR"/>
        </w:rPr>
      </w:pPr>
    </w:p>
    <w:p w:rsidR="00B97B22" w:rsidRDefault="00C50CEC" w:rsidP="006B51F5">
      <w:pPr>
        <w:rPr>
          <w:sz w:val="24"/>
          <w:lang w:val="fr-FR"/>
        </w:rPr>
      </w:pPr>
      <w:r w:rsidRPr="006B51F5">
        <w:rPr>
          <w:sz w:val="24"/>
          <w:lang w:val="fr-FR"/>
        </w:rPr>
        <w:t>La planification, la définition des politiques adaptées, la mobilis</w:t>
      </w:r>
      <w:r w:rsidR="00B97B22" w:rsidRPr="006B51F5">
        <w:rPr>
          <w:sz w:val="24"/>
          <w:lang w:val="fr-FR"/>
        </w:rPr>
        <w:t>ation des ressources</w:t>
      </w:r>
      <w:r w:rsidRPr="006B51F5">
        <w:rPr>
          <w:sz w:val="24"/>
          <w:lang w:val="fr-FR"/>
        </w:rPr>
        <w:t>, la coordination des interventions sont essentielles pour l’atteinte des objectifs fixés</w:t>
      </w:r>
      <w:r w:rsidR="006E15EB" w:rsidRPr="006B51F5">
        <w:rPr>
          <w:sz w:val="24"/>
          <w:lang w:val="fr-FR"/>
        </w:rPr>
        <w:t xml:space="preserve"> (Encadré 1)</w:t>
      </w:r>
      <w:r w:rsidRPr="006B51F5">
        <w:rPr>
          <w:sz w:val="24"/>
          <w:lang w:val="fr-FR"/>
        </w:rPr>
        <w:t xml:space="preserve">. Il s’agit donc de renforcer le pilotage stratégique à tous les niveaux pour que chaque acteur devienne un </w:t>
      </w:r>
      <w:r w:rsidRPr="006B51F5">
        <w:rPr>
          <w:i/>
          <w:sz w:val="24"/>
          <w:lang w:val="fr-FR"/>
        </w:rPr>
        <w:t>pilote stratégique</w:t>
      </w:r>
      <w:r w:rsidRPr="006B51F5">
        <w:rPr>
          <w:sz w:val="24"/>
          <w:lang w:val="fr-FR"/>
        </w:rPr>
        <w:t xml:space="preserve"> (</w:t>
      </w:r>
      <w:r w:rsidRPr="006B51F5">
        <w:rPr>
          <w:i/>
          <w:sz w:val="24"/>
          <w:lang w:val="fr-FR"/>
        </w:rPr>
        <w:t>steward</w:t>
      </w:r>
      <w:r w:rsidRPr="006B51F5">
        <w:rPr>
          <w:sz w:val="24"/>
          <w:lang w:val="fr-FR"/>
        </w:rPr>
        <w:t>)</w:t>
      </w:r>
      <w:r w:rsidR="006E15EB" w:rsidRPr="006B51F5">
        <w:rPr>
          <w:sz w:val="24"/>
          <w:lang w:val="fr-FR"/>
        </w:rPr>
        <w:t xml:space="preserve"> pour aligner tous les détenteurs d’enjeux de son niveau d’action à concourir à la mise en œuvre optimale des interventions pour assurer la performance du programme en matière de prise en charge pédiatrique du VIH. </w:t>
      </w:r>
    </w:p>
    <w:p w:rsidR="005B4218" w:rsidRPr="006B51F5" w:rsidRDefault="005B4218" w:rsidP="006B51F5">
      <w:pPr>
        <w:rPr>
          <w:sz w:val="24"/>
          <w:lang w:val="fr-FR"/>
        </w:rPr>
      </w:pPr>
    </w:p>
    <w:p w:rsidR="00C50CEC" w:rsidRDefault="00C50CEC" w:rsidP="005B4218">
      <w:pPr>
        <w:pStyle w:val="Lgende"/>
        <w:spacing w:after="0"/>
        <w:jc w:val="center"/>
        <w:rPr>
          <w:rFonts w:cs="Arial"/>
          <w:color w:val="auto"/>
          <w:sz w:val="24"/>
          <w:szCs w:val="24"/>
          <w:lang w:val="fr-FR"/>
        </w:rPr>
      </w:pPr>
      <w:bookmarkStart w:id="62" w:name="_Toc480382976"/>
      <w:r w:rsidRPr="005B4218">
        <w:rPr>
          <w:color w:val="auto"/>
          <w:sz w:val="24"/>
          <w:szCs w:val="24"/>
          <w:lang w:val="fr-FR"/>
        </w:rPr>
        <w:t xml:space="preserve">Encadré </w:t>
      </w:r>
      <w:r w:rsidR="00C25D03" w:rsidRPr="005B4218">
        <w:rPr>
          <w:color w:val="auto"/>
          <w:sz w:val="24"/>
          <w:szCs w:val="24"/>
        </w:rPr>
        <w:fldChar w:fldCharType="begin"/>
      </w:r>
      <w:r w:rsidRPr="005B4218">
        <w:rPr>
          <w:color w:val="auto"/>
          <w:sz w:val="24"/>
          <w:szCs w:val="24"/>
          <w:lang w:val="fr-FR"/>
        </w:rPr>
        <w:instrText xml:space="preserve"> SEQ Encadré \* ARABIC </w:instrText>
      </w:r>
      <w:r w:rsidR="00C25D03" w:rsidRPr="005B4218">
        <w:rPr>
          <w:color w:val="auto"/>
          <w:sz w:val="24"/>
          <w:szCs w:val="24"/>
        </w:rPr>
        <w:fldChar w:fldCharType="separate"/>
      </w:r>
      <w:r w:rsidR="00350645" w:rsidRPr="005B4218">
        <w:rPr>
          <w:noProof/>
          <w:color w:val="auto"/>
          <w:sz w:val="24"/>
          <w:szCs w:val="24"/>
          <w:lang w:val="fr-FR"/>
        </w:rPr>
        <w:t>1</w:t>
      </w:r>
      <w:r w:rsidR="00C25D03" w:rsidRPr="005B4218">
        <w:rPr>
          <w:color w:val="auto"/>
          <w:sz w:val="24"/>
          <w:szCs w:val="24"/>
        </w:rPr>
        <w:fldChar w:fldCharType="end"/>
      </w:r>
      <w:r w:rsidRPr="005B4218">
        <w:rPr>
          <w:color w:val="auto"/>
          <w:sz w:val="24"/>
          <w:szCs w:val="24"/>
          <w:lang w:val="fr-FR"/>
        </w:rPr>
        <w:t xml:space="preserve">: </w:t>
      </w:r>
      <w:r w:rsidRPr="005B4218">
        <w:rPr>
          <w:rFonts w:cs="Arial"/>
          <w:color w:val="auto"/>
          <w:sz w:val="24"/>
          <w:szCs w:val="24"/>
          <w:lang w:val="fr-FR"/>
        </w:rPr>
        <w:t xml:space="preserve">Concept de </w:t>
      </w:r>
      <w:r w:rsidR="008C2486" w:rsidRPr="005B4218">
        <w:rPr>
          <w:rFonts w:cs="Arial"/>
          <w:color w:val="auto"/>
          <w:sz w:val="24"/>
          <w:szCs w:val="24"/>
          <w:lang w:val="fr-FR"/>
        </w:rPr>
        <w:t>pilotage stratégique (</w:t>
      </w:r>
      <w:r w:rsidRPr="005B4218">
        <w:rPr>
          <w:rFonts w:cs="Arial"/>
          <w:color w:val="auto"/>
          <w:sz w:val="24"/>
          <w:szCs w:val="24"/>
          <w:lang w:val="fr-FR"/>
        </w:rPr>
        <w:t>stewardship</w:t>
      </w:r>
      <w:r w:rsidR="008C2486" w:rsidRPr="005B4218">
        <w:rPr>
          <w:rFonts w:cs="Arial"/>
          <w:color w:val="auto"/>
          <w:sz w:val="24"/>
          <w:szCs w:val="24"/>
          <w:lang w:val="fr-FR"/>
        </w:rPr>
        <w:t>)</w:t>
      </w:r>
      <w:bookmarkEnd w:id="62"/>
    </w:p>
    <w:p w:rsidR="005B4218" w:rsidRPr="005B4218" w:rsidRDefault="005B4218" w:rsidP="005B4218">
      <w:pPr>
        <w:rPr>
          <w:lang w:val="fr-FR"/>
        </w:rPr>
      </w:pPr>
    </w:p>
    <w:p w:rsidR="00C50CEC" w:rsidRPr="006B51F5" w:rsidRDefault="00CA22DC" w:rsidP="006B51F5">
      <w:pPr>
        <w:jc w:val="center"/>
        <w:rPr>
          <w:rFonts w:cs="Arial"/>
          <w:sz w:val="24"/>
          <w:lang w:val="fr-FR"/>
        </w:rPr>
      </w:pPr>
      <w:r w:rsidRPr="006B51F5">
        <w:rPr>
          <w:noProof/>
          <w:sz w:val="24"/>
          <w:lang w:val="fr-FR" w:eastAsia="fr-FR"/>
        </w:rPr>
        <w:drawing>
          <wp:inline distT="0" distB="0" distL="0" distR="0">
            <wp:extent cx="5752214" cy="5421860"/>
            <wp:effectExtent l="0" t="0" r="1270" b="762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7"/>
                    <a:srcRect/>
                    <a:stretch>
                      <a:fillRect/>
                    </a:stretch>
                  </pic:blipFill>
                  <pic:spPr bwMode="auto">
                    <a:xfrm>
                      <a:off x="0" y="0"/>
                      <a:ext cx="5749949" cy="5419725"/>
                    </a:xfrm>
                    <a:prstGeom prst="rect">
                      <a:avLst/>
                    </a:prstGeom>
                    <a:noFill/>
                  </pic:spPr>
                </pic:pic>
              </a:graphicData>
            </a:graphic>
          </wp:inline>
        </w:drawing>
      </w:r>
    </w:p>
    <w:p w:rsidR="00C50CEC" w:rsidRPr="006B51F5" w:rsidRDefault="00C50CEC" w:rsidP="005B4218">
      <w:pPr>
        <w:jc w:val="center"/>
        <w:rPr>
          <w:rFonts w:cs="Arial"/>
          <w:sz w:val="24"/>
          <w:lang w:val="fr-FR"/>
        </w:rPr>
      </w:pPr>
      <w:r w:rsidRPr="006B51F5">
        <w:rPr>
          <w:rFonts w:cs="Arial"/>
          <w:sz w:val="24"/>
          <w:lang w:val="fr-FR"/>
        </w:rPr>
        <w:t>Source : (OMS, 2000 ; Keugoung, 2014)</w:t>
      </w:r>
    </w:p>
    <w:p w:rsidR="00CA22DC" w:rsidRPr="006B51F5" w:rsidRDefault="00CA22DC" w:rsidP="006B51F5">
      <w:pPr>
        <w:rPr>
          <w:b/>
          <w:sz w:val="24"/>
          <w:lang w:val="fr-FR"/>
        </w:rPr>
      </w:pPr>
    </w:p>
    <w:p w:rsidR="00C50CEC" w:rsidRPr="006B51F5" w:rsidRDefault="006E15EB" w:rsidP="006B51F5">
      <w:pPr>
        <w:rPr>
          <w:sz w:val="24"/>
          <w:lang w:val="fr-FR"/>
        </w:rPr>
      </w:pPr>
      <w:r w:rsidRPr="006B51F5">
        <w:rPr>
          <w:b/>
          <w:sz w:val="24"/>
          <w:lang w:val="fr-FR"/>
        </w:rPr>
        <w:t>Intervention 1</w:t>
      </w:r>
      <w:r w:rsidRPr="006B51F5">
        <w:rPr>
          <w:sz w:val="24"/>
          <w:lang w:val="fr-FR"/>
        </w:rPr>
        <w:t xml:space="preserve"> : </w:t>
      </w:r>
      <w:r w:rsidRPr="006B51F5">
        <w:rPr>
          <w:b/>
          <w:sz w:val="24"/>
          <w:lang w:val="fr-FR"/>
        </w:rPr>
        <w:t>Actualisation, diffusion et application d</w:t>
      </w:r>
      <w:r w:rsidR="00956109" w:rsidRPr="006B51F5">
        <w:rPr>
          <w:b/>
          <w:sz w:val="24"/>
          <w:lang w:val="fr-FR"/>
        </w:rPr>
        <w:t xml:space="preserve">es directives pour le dépistage VIH, </w:t>
      </w:r>
      <w:r w:rsidRPr="006B51F5">
        <w:rPr>
          <w:b/>
          <w:sz w:val="24"/>
          <w:lang w:val="fr-FR"/>
        </w:rPr>
        <w:t xml:space="preserve">l’initiation du TARV </w:t>
      </w:r>
      <w:r w:rsidR="00956109" w:rsidRPr="006B51F5">
        <w:rPr>
          <w:b/>
          <w:sz w:val="24"/>
          <w:lang w:val="fr-FR"/>
        </w:rPr>
        <w:t xml:space="preserve">et le suivi </w:t>
      </w:r>
      <w:r w:rsidRPr="006B51F5">
        <w:rPr>
          <w:b/>
          <w:sz w:val="24"/>
          <w:lang w:val="fr-FR"/>
        </w:rPr>
        <w:t>les enfants de 0-15 ans</w:t>
      </w:r>
      <w:r w:rsidR="00956109" w:rsidRPr="006B51F5">
        <w:rPr>
          <w:b/>
          <w:sz w:val="24"/>
          <w:lang w:val="fr-FR"/>
        </w:rPr>
        <w:t xml:space="preserve"> infectés par le VIH</w:t>
      </w:r>
    </w:p>
    <w:p w:rsidR="005B4218" w:rsidRDefault="005B4218" w:rsidP="006B51F5">
      <w:pPr>
        <w:rPr>
          <w:sz w:val="24"/>
          <w:lang w:val="fr-FR"/>
        </w:rPr>
      </w:pPr>
    </w:p>
    <w:p w:rsidR="006A5C92" w:rsidRDefault="000F38E4" w:rsidP="006B51F5">
      <w:pPr>
        <w:rPr>
          <w:sz w:val="24"/>
          <w:lang w:val="fr-FR"/>
        </w:rPr>
      </w:pPr>
      <w:r w:rsidRPr="006B51F5">
        <w:rPr>
          <w:sz w:val="24"/>
          <w:lang w:val="fr-FR"/>
        </w:rPr>
        <w:t>I</w:t>
      </w:r>
      <w:r w:rsidR="006E15EB" w:rsidRPr="006B51F5">
        <w:rPr>
          <w:sz w:val="24"/>
          <w:lang w:val="fr-FR"/>
        </w:rPr>
        <w:t xml:space="preserve">l s’agit d’aligner les </w:t>
      </w:r>
      <w:r w:rsidR="006A5C92" w:rsidRPr="006B51F5">
        <w:rPr>
          <w:sz w:val="24"/>
          <w:lang w:val="fr-FR"/>
        </w:rPr>
        <w:t>politiques</w:t>
      </w:r>
      <w:r w:rsidR="006E15EB" w:rsidRPr="006B51F5">
        <w:rPr>
          <w:sz w:val="24"/>
          <w:lang w:val="fr-FR"/>
        </w:rPr>
        <w:t xml:space="preserve"> nationales aux nouvelles directives OMS sur la prise en</w:t>
      </w:r>
      <w:r w:rsidR="006A5C92" w:rsidRPr="006B51F5">
        <w:rPr>
          <w:sz w:val="24"/>
          <w:lang w:val="fr-FR"/>
        </w:rPr>
        <w:t xml:space="preserve"> charge du VIH chez l’enfant</w:t>
      </w:r>
      <w:r w:rsidRPr="006B51F5">
        <w:rPr>
          <w:sz w:val="24"/>
          <w:lang w:val="fr-FR"/>
        </w:rPr>
        <w:t xml:space="preserve"> et aux bonnes pratiques documentées</w:t>
      </w:r>
      <w:r w:rsidR="006A5C92" w:rsidRPr="006B51F5">
        <w:rPr>
          <w:sz w:val="24"/>
          <w:lang w:val="fr-FR"/>
        </w:rPr>
        <w:t>. Ensuite, il faudrait traduire ces politiques en Directives opérationnelles et les diffuser jusqu’au niveau des sites (formations sanitaires). Ces directives concerne</w:t>
      </w:r>
      <w:r w:rsidR="00B8772B" w:rsidRPr="006B51F5">
        <w:rPr>
          <w:sz w:val="24"/>
          <w:lang w:val="fr-FR"/>
        </w:rPr>
        <w:t>nt</w:t>
      </w:r>
      <w:r w:rsidR="006A5C92" w:rsidRPr="006B51F5">
        <w:rPr>
          <w:sz w:val="24"/>
          <w:lang w:val="fr-FR"/>
        </w:rPr>
        <w:t> </w:t>
      </w:r>
      <w:r w:rsidRPr="006B51F5">
        <w:rPr>
          <w:sz w:val="24"/>
          <w:lang w:val="fr-FR"/>
        </w:rPr>
        <w:t>les domaines ci-dessous</w:t>
      </w:r>
      <w:r w:rsidR="006A5C92" w:rsidRPr="006B51F5">
        <w:rPr>
          <w:sz w:val="24"/>
          <w:lang w:val="fr-FR"/>
        </w:rPr>
        <w:t>:</w:t>
      </w:r>
    </w:p>
    <w:p w:rsidR="005B4218" w:rsidRPr="006B51F5" w:rsidRDefault="005B4218" w:rsidP="006B51F5">
      <w:pPr>
        <w:rPr>
          <w:sz w:val="24"/>
          <w:lang w:val="fr-FR"/>
        </w:rPr>
      </w:pPr>
    </w:p>
    <w:p w:rsidR="006A5C92" w:rsidRPr="006B51F5" w:rsidRDefault="006A5C92" w:rsidP="006B51F5">
      <w:pPr>
        <w:pStyle w:val="Paragraphedeliste"/>
        <w:numPr>
          <w:ilvl w:val="0"/>
          <w:numId w:val="2"/>
        </w:numPr>
        <w:rPr>
          <w:sz w:val="24"/>
          <w:lang w:val="fr-FR"/>
        </w:rPr>
      </w:pPr>
      <w:r w:rsidRPr="006B51F5">
        <w:rPr>
          <w:sz w:val="24"/>
          <w:lang w:val="fr-FR"/>
        </w:rPr>
        <w:t xml:space="preserve">Le dépistage </w:t>
      </w:r>
      <w:r w:rsidR="007F180C">
        <w:rPr>
          <w:sz w:val="24"/>
          <w:lang w:val="fr-FR"/>
        </w:rPr>
        <w:t xml:space="preserve">conseil </w:t>
      </w:r>
      <w:r w:rsidRPr="006B51F5">
        <w:rPr>
          <w:sz w:val="24"/>
          <w:lang w:val="fr-FR"/>
        </w:rPr>
        <w:t>systématique</w:t>
      </w:r>
      <w:r w:rsidR="007F180C">
        <w:rPr>
          <w:sz w:val="24"/>
          <w:lang w:val="fr-FR"/>
        </w:rPr>
        <w:t xml:space="preserve"> du VIH</w:t>
      </w:r>
      <w:r w:rsidRPr="006B51F5">
        <w:rPr>
          <w:sz w:val="24"/>
          <w:lang w:val="fr-FR"/>
        </w:rPr>
        <w:t xml:space="preserve"> à toutes les portes d’entrées des formations sanitaires</w:t>
      </w:r>
    </w:p>
    <w:p w:rsidR="006A5C92" w:rsidRPr="006B51F5" w:rsidRDefault="006A5C92" w:rsidP="006B51F5">
      <w:pPr>
        <w:pStyle w:val="Paragraphedeliste"/>
        <w:numPr>
          <w:ilvl w:val="0"/>
          <w:numId w:val="2"/>
        </w:numPr>
        <w:rPr>
          <w:sz w:val="24"/>
          <w:lang w:val="fr-FR"/>
        </w:rPr>
      </w:pPr>
      <w:r w:rsidRPr="006B51F5">
        <w:rPr>
          <w:sz w:val="24"/>
          <w:lang w:val="fr-FR"/>
        </w:rPr>
        <w:t xml:space="preserve">L’initiation du TARV chez les enfants VIH+ </w:t>
      </w:r>
      <w:r w:rsidR="005B4218" w:rsidRPr="006B51F5">
        <w:rPr>
          <w:sz w:val="24"/>
          <w:lang w:val="fr-FR"/>
        </w:rPr>
        <w:t>quel que</w:t>
      </w:r>
      <w:r w:rsidRPr="006B51F5">
        <w:rPr>
          <w:sz w:val="24"/>
          <w:lang w:val="fr-FR"/>
        </w:rPr>
        <w:t xml:space="preserve"> soit le taux de CD4</w:t>
      </w:r>
    </w:p>
    <w:p w:rsidR="006A5C92" w:rsidRPr="006B51F5" w:rsidRDefault="006A5C92" w:rsidP="006B51F5">
      <w:pPr>
        <w:pStyle w:val="Paragraphedeliste"/>
        <w:numPr>
          <w:ilvl w:val="0"/>
          <w:numId w:val="2"/>
        </w:numPr>
        <w:rPr>
          <w:sz w:val="24"/>
          <w:lang w:val="fr-FR"/>
        </w:rPr>
      </w:pPr>
      <w:r w:rsidRPr="006B51F5">
        <w:rPr>
          <w:sz w:val="24"/>
          <w:lang w:val="fr-FR"/>
        </w:rPr>
        <w:t>L’intégration de la PECP dans les services de SRMNIA-PTME</w:t>
      </w:r>
    </w:p>
    <w:p w:rsidR="006A5C92" w:rsidRPr="006B51F5" w:rsidRDefault="006A5C92" w:rsidP="006B51F5">
      <w:pPr>
        <w:pStyle w:val="Paragraphedeliste"/>
        <w:numPr>
          <w:ilvl w:val="0"/>
          <w:numId w:val="2"/>
        </w:numPr>
        <w:rPr>
          <w:sz w:val="24"/>
          <w:lang w:val="fr-FR"/>
        </w:rPr>
      </w:pPr>
      <w:r w:rsidRPr="006B51F5">
        <w:rPr>
          <w:sz w:val="24"/>
          <w:lang w:val="fr-FR"/>
        </w:rPr>
        <w:t xml:space="preserve">La décentralisation de la PECP au niveau des centres de santé voire des postes de santé </w:t>
      </w:r>
    </w:p>
    <w:p w:rsidR="00D131B9" w:rsidRPr="006B51F5" w:rsidRDefault="006A5C92" w:rsidP="006B51F5">
      <w:pPr>
        <w:pStyle w:val="Paragraphedeliste"/>
        <w:numPr>
          <w:ilvl w:val="0"/>
          <w:numId w:val="2"/>
        </w:numPr>
        <w:rPr>
          <w:sz w:val="24"/>
          <w:lang w:val="fr-FR"/>
        </w:rPr>
      </w:pPr>
      <w:r w:rsidRPr="006B51F5">
        <w:rPr>
          <w:sz w:val="24"/>
          <w:lang w:val="fr-FR"/>
        </w:rPr>
        <w:t>La définition du rôle de la communauté dans la PECP</w:t>
      </w:r>
    </w:p>
    <w:p w:rsidR="006E15EB" w:rsidRPr="006B51F5" w:rsidRDefault="00D131B9" w:rsidP="006B51F5">
      <w:pPr>
        <w:pStyle w:val="Paragraphedeliste"/>
        <w:numPr>
          <w:ilvl w:val="0"/>
          <w:numId w:val="2"/>
        </w:numPr>
        <w:rPr>
          <w:sz w:val="24"/>
          <w:lang w:val="fr-FR"/>
        </w:rPr>
      </w:pPr>
      <w:r w:rsidRPr="006B51F5">
        <w:rPr>
          <w:sz w:val="24"/>
          <w:lang w:val="fr-FR"/>
        </w:rPr>
        <w:t xml:space="preserve">La description des activités gestionnaires de renforcement des compétences applicables à tous les niveaux : </w:t>
      </w:r>
      <w:r w:rsidR="007F180C">
        <w:rPr>
          <w:sz w:val="24"/>
          <w:lang w:val="fr-FR"/>
        </w:rPr>
        <w:t xml:space="preserve">planification, coordination, </w:t>
      </w:r>
      <w:r w:rsidRPr="006B51F5">
        <w:rPr>
          <w:sz w:val="24"/>
          <w:lang w:val="fr-FR"/>
        </w:rPr>
        <w:t xml:space="preserve">supervision, </w:t>
      </w:r>
      <w:r w:rsidR="003168F7" w:rsidRPr="006B51F5">
        <w:rPr>
          <w:sz w:val="24"/>
          <w:lang w:val="fr-FR"/>
        </w:rPr>
        <w:t>coaching  et mentoring</w:t>
      </w:r>
    </w:p>
    <w:p w:rsidR="00CA22DC" w:rsidRPr="006B51F5" w:rsidRDefault="00CA22DC" w:rsidP="006B51F5">
      <w:pPr>
        <w:pStyle w:val="Paragraphedeliste"/>
        <w:rPr>
          <w:sz w:val="24"/>
          <w:lang w:val="fr-FR"/>
        </w:rPr>
      </w:pPr>
    </w:p>
    <w:p w:rsidR="006E15EB" w:rsidRPr="006B51F5" w:rsidRDefault="002006D3" w:rsidP="006B51F5">
      <w:pPr>
        <w:rPr>
          <w:b/>
          <w:sz w:val="24"/>
          <w:lang w:val="fr-FR"/>
        </w:rPr>
      </w:pPr>
      <w:r w:rsidRPr="006B51F5">
        <w:rPr>
          <w:b/>
          <w:sz w:val="24"/>
          <w:lang w:val="fr-FR"/>
        </w:rPr>
        <w:t>Intervention 2 : Amélioration de la g</w:t>
      </w:r>
      <w:r w:rsidR="00D131B9" w:rsidRPr="006B51F5">
        <w:rPr>
          <w:b/>
          <w:sz w:val="24"/>
          <w:lang w:val="fr-FR"/>
        </w:rPr>
        <w:t xml:space="preserve">estion et </w:t>
      </w:r>
      <w:r w:rsidRPr="006B51F5">
        <w:rPr>
          <w:b/>
          <w:sz w:val="24"/>
          <w:lang w:val="fr-FR"/>
        </w:rPr>
        <w:t xml:space="preserve">de la </w:t>
      </w:r>
      <w:r w:rsidR="00D131B9" w:rsidRPr="006B51F5">
        <w:rPr>
          <w:b/>
          <w:sz w:val="24"/>
          <w:lang w:val="fr-FR"/>
        </w:rPr>
        <w:t>coordination des activités du programme</w:t>
      </w:r>
    </w:p>
    <w:p w:rsidR="005B4218" w:rsidRDefault="005B4218" w:rsidP="006B51F5">
      <w:pPr>
        <w:rPr>
          <w:sz w:val="24"/>
          <w:lang w:val="fr-FR"/>
        </w:rPr>
      </w:pPr>
    </w:p>
    <w:p w:rsidR="00D131B9" w:rsidRDefault="00D131B9" w:rsidP="006B51F5">
      <w:pPr>
        <w:rPr>
          <w:sz w:val="24"/>
          <w:lang w:val="fr-FR"/>
        </w:rPr>
      </w:pPr>
      <w:r w:rsidRPr="006B51F5">
        <w:rPr>
          <w:sz w:val="24"/>
          <w:lang w:val="fr-FR"/>
        </w:rPr>
        <w:t>La gestion de la PECP doit être axée sur les résultats. Les activités sont :</w:t>
      </w:r>
    </w:p>
    <w:p w:rsidR="005B4218" w:rsidRPr="006B51F5" w:rsidRDefault="005B4218" w:rsidP="006B51F5">
      <w:pPr>
        <w:rPr>
          <w:sz w:val="24"/>
          <w:lang w:val="fr-FR"/>
        </w:rPr>
      </w:pPr>
    </w:p>
    <w:p w:rsidR="00D131B9" w:rsidRPr="006B51F5" w:rsidRDefault="00D131B9" w:rsidP="006B51F5">
      <w:pPr>
        <w:pStyle w:val="Paragraphedeliste"/>
        <w:numPr>
          <w:ilvl w:val="0"/>
          <w:numId w:val="2"/>
        </w:numPr>
        <w:rPr>
          <w:sz w:val="24"/>
          <w:lang w:val="fr-FR"/>
        </w:rPr>
      </w:pPr>
      <w:r w:rsidRPr="006B51F5">
        <w:rPr>
          <w:sz w:val="24"/>
          <w:lang w:val="fr-FR"/>
        </w:rPr>
        <w:t>La désagrégation des objectifs et des cibles à atteindre par Régions, District</w:t>
      </w:r>
      <w:r w:rsidR="007F180C">
        <w:rPr>
          <w:sz w:val="24"/>
          <w:lang w:val="fr-FR"/>
        </w:rPr>
        <w:t>s</w:t>
      </w:r>
      <w:r w:rsidRPr="006B51F5">
        <w:rPr>
          <w:sz w:val="24"/>
          <w:lang w:val="fr-FR"/>
        </w:rPr>
        <w:t xml:space="preserve"> et Formations sanitaires</w:t>
      </w:r>
      <w:r w:rsidR="005B4218">
        <w:rPr>
          <w:sz w:val="24"/>
          <w:lang w:val="fr-FR"/>
        </w:rPr>
        <w:t> </w:t>
      </w:r>
    </w:p>
    <w:p w:rsidR="005B4218" w:rsidRDefault="005B4218" w:rsidP="006B51F5">
      <w:pPr>
        <w:rPr>
          <w:sz w:val="24"/>
          <w:lang w:val="fr-FR"/>
        </w:rPr>
      </w:pPr>
    </w:p>
    <w:p w:rsidR="00D131B9" w:rsidRDefault="00D131B9" w:rsidP="005B4218">
      <w:pPr>
        <w:ind w:left="708"/>
        <w:rPr>
          <w:sz w:val="24"/>
          <w:lang w:val="fr-FR"/>
        </w:rPr>
      </w:pPr>
      <w:r w:rsidRPr="006B51F5">
        <w:rPr>
          <w:sz w:val="24"/>
          <w:lang w:val="fr-FR"/>
        </w:rPr>
        <w:t>Ceci permettra à chaque niveau de s’</w:t>
      </w:r>
      <w:r w:rsidR="005B4218" w:rsidRPr="006B51F5">
        <w:rPr>
          <w:sz w:val="24"/>
          <w:lang w:val="fr-FR"/>
        </w:rPr>
        <w:t>autoévaluer</w:t>
      </w:r>
      <w:r w:rsidRPr="006B51F5">
        <w:rPr>
          <w:sz w:val="24"/>
          <w:lang w:val="fr-FR"/>
        </w:rPr>
        <w:t xml:space="preserve"> da</w:t>
      </w:r>
      <w:r w:rsidR="00930612" w:rsidRPr="006B51F5">
        <w:rPr>
          <w:sz w:val="24"/>
          <w:lang w:val="fr-FR"/>
        </w:rPr>
        <w:t xml:space="preserve">ns une perspective d’utilisation des données pour la prise des initiatives, </w:t>
      </w:r>
      <w:r w:rsidR="00956109" w:rsidRPr="006B51F5">
        <w:rPr>
          <w:sz w:val="24"/>
          <w:lang w:val="fr-FR"/>
        </w:rPr>
        <w:t xml:space="preserve">et </w:t>
      </w:r>
      <w:r w:rsidR="00930612" w:rsidRPr="006B51F5">
        <w:rPr>
          <w:sz w:val="24"/>
          <w:lang w:val="fr-FR"/>
        </w:rPr>
        <w:t xml:space="preserve">de développement </w:t>
      </w:r>
      <w:r w:rsidR="00956109" w:rsidRPr="006B51F5">
        <w:rPr>
          <w:sz w:val="24"/>
          <w:lang w:val="fr-FR"/>
        </w:rPr>
        <w:t>de bonnes pratiques en vue d’</w:t>
      </w:r>
      <w:r w:rsidR="00930612" w:rsidRPr="006B51F5">
        <w:rPr>
          <w:sz w:val="24"/>
          <w:lang w:val="fr-FR"/>
        </w:rPr>
        <w:t>amélior</w:t>
      </w:r>
      <w:r w:rsidR="00956109" w:rsidRPr="006B51F5">
        <w:rPr>
          <w:sz w:val="24"/>
          <w:lang w:val="fr-FR"/>
        </w:rPr>
        <w:t>er l</w:t>
      </w:r>
      <w:r w:rsidR="00930612" w:rsidRPr="006B51F5">
        <w:rPr>
          <w:sz w:val="24"/>
          <w:lang w:val="fr-FR"/>
        </w:rPr>
        <w:t>es performances.</w:t>
      </w:r>
    </w:p>
    <w:p w:rsidR="005B4218" w:rsidRPr="006B51F5" w:rsidRDefault="005B4218" w:rsidP="006B51F5">
      <w:pPr>
        <w:rPr>
          <w:sz w:val="24"/>
          <w:lang w:val="fr-FR"/>
        </w:rPr>
      </w:pPr>
    </w:p>
    <w:p w:rsidR="00930612" w:rsidRPr="006B51F5" w:rsidRDefault="00930612" w:rsidP="006B51F5">
      <w:pPr>
        <w:pStyle w:val="Paragraphedeliste"/>
        <w:numPr>
          <w:ilvl w:val="0"/>
          <w:numId w:val="2"/>
        </w:numPr>
        <w:rPr>
          <w:sz w:val="24"/>
          <w:lang w:val="fr-FR"/>
        </w:rPr>
      </w:pPr>
      <w:r w:rsidRPr="006B51F5">
        <w:rPr>
          <w:sz w:val="24"/>
          <w:lang w:val="fr-FR"/>
        </w:rPr>
        <w:t>L’organisation régulière des réunions de coordination intégrée par niveau</w:t>
      </w:r>
      <w:r w:rsidR="005B4218">
        <w:rPr>
          <w:sz w:val="24"/>
          <w:lang w:val="fr-FR"/>
        </w:rPr>
        <w:t> </w:t>
      </w:r>
    </w:p>
    <w:p w:rsidR="005B4218" w:rsidRDefault="005B4218" w:rsidP="006B51F5">
      <w:pPr>
        <w:rPr>
          <w:sz w:val="24"/>
          <w:lang w:val="fr-FR"/>
        </w:rPr>
      </w:pPr>
    </w:p>
    <w:p w:rsidR="00930612" w:rsidRPr="006B51F5" w:rsidRDefault="00930612" w:rsidP="005B4218">
      <w:pPr>
        <w:ind w:left="708"/>
        <w:rPr>
          <w:sz w:val="24"/>
          <w:lang w:val="fr-FR"/>
        </w:rPr>
      </w:pPr>
      <w:r w:rsidRPr="006B51F5">
        <w:rPr>
          <w:sz w:val="24"/>
          <w:lang w:val="fr-FR"/>
        </w:rPr>
        <w:t>Les termes de références de ces réunions doivent être clairement définis en partenariat avec d’autres programmes pour facili</w:t>
      </w:r>
      <w:r w:rsidR="00CA22DC" w:rsidRPr="006B51F5">
        <w:rPr>
          <w:sz w:val="24"/>
          <w:lang w:val="fr-FR"/>
        </w:rPr>
        <w:t>ter leur tenue et leur utilité.</w:t>
      </w:r>
    </w:p>
    <w:p w:rsidR="00CA22DC" w:rsidRPr="006B51F5" w:rsidRDefault="00CA22DC" w:rsidP="006B51F5">
      <w:pPr>
        <w:rPr>
          <w:sz w:val="24"/>
          <w:lang w:val="fr-FR"/>
        </w:rPr>
      </w:pPr>
    </w:p>
    <w:p w:rsidR="00291DBA" w:rsidRPr="006B51F5" w:rsidRDefault="00930612" w:rsidP="006B51F5">
      <w:pPr>
        <w:rPr>
          <w:b/>
          <w:sz w:val="24"/>
          <w:lang w:val="fr-FR"/>
        </w:rPr>
      </w:pPr>
      <w:r w:rsidRPr="006B51F5">
        <w:rPr>
          <w:b/>
          <w:sz w:val="24"/>
          <w:lang w:val="fr-FR"/>
        </w:rPr>
        <w:t xml:space="preserve">Intervention 3 : </w:t>
      </w:r>
      <w:r w:rsidR="0098627C" w:rsidRPr="006B51F5">
        <w:rPr>
          <w:b/>
          <w:sz w:val="24"/>
          <w:lang w:val="fr-FR"/>
        </w:rPr>
        <w:t>R</w:t>
      </w:r>
      <w:r w:rsidR="002006D3" w:rsidRPr="006B51F5">
        <w:rPr>
          <w:b/>
          <w:sz w:val="24"/>
          <w:lang w:val="fr-FR"/>
        </w:rPr>
        <w:t>enforcement de la m</w:t>
      </w:r>
      <w:r w:rsidR="00291DBA" w:rsidRPr="006B51F5">
        <w:rPr>
          <w:b/>
          <w:sz w:val="24"/>
          <w:lang w:val="fr-FR"/>
        </w:rPr>
        <w:t xml:space="preserve">obilisation </w:t>
      </w:r>
      <w:r w:rsidR="002006D3" w:rsidRPr="006B51F5">
        <w:rPr>
          <w:b/>
          <w:sz w:val="24"/>
          <w:lang w:val="fr-FR"/>
        </w:rPr>
        <w:t xml:space="preserve">adéquate </w:t>
      </w:r>
      <w:r w:rsidR="00291DBA" w:rsidRPr="006B51F5">
        <w:rPr>
          <w:b/>
          <w:sz w:val="24"/>
          <w:lang w:val="fr-FR"/>
        </w:rPr>
        <w:t>des ressources</w:t>
      </w:r>
      <w:r w:rsidR="00CA22DC" w:rsidRPr="006B51F5">
        <w:rPr>
          <w:b/>
          <w:sz w:val="24"/>
          <w:lang w:val="fr-FR"/>
        </w:rPr>
        <w:t xml:space="preserve"> (financement)</w:t>
      </w:r>
    </w:p>
    <w:p w:rsidR="005B4218" w:rsidRDefault="005B4218" w:rsidP="006B51F5">
      <w:pPr>
        <w:rPr>
          <w:sz w:val="24"/>
          <w:lang w:val="fr-FR"/>
        </w:rPr>
      </w:pPr>
    </w:p>
    <w:p w:rsidR="00291DBA" w:rsidRDefault="00291DBA" w:rsidP="006B51F5">
      <w:pPr>
        <w:rPr>
          <w:sz w:val="24"/>
          <w:lang w:val="fr-FR"/>
        </w:rPr>
      </w:pPr>
      <w:r w:rsidRPr="006B51F5">
        <w:rPr>
          <w:sz w:val="24"/>
          <w:lang w:val="fr-FR"/>
        </w:rPr>
        <w:t>Les activités clés sont :</w:t>
      </w:r>
    </w:p>
    <w:p w:rsidR="005B4218" w:rsidRPr="006B51F5" w:rsidRDefault="005B4218" w:rsidP="006B51F5">
      <w:pPr>
        <w:rPr>
          <w:sz w:val="24"/>
          <w:lang w:val="fr-FR"/>
        </w:rPr>
      </w:pPr>
    </w:p>
    <w:p w:rsidR="00291DBA" w:rsidRPr="006B51F5" w:rsidRDefault="00291DBA" w:rsidP="006B51F5">
      <w:pPr>
        <w:pStyle w:val="Paragraphedeliste"/>
        <w:numPr>
          <w:ilvl w:val="0"/>
          <w:numId w:val="2"/>
        </w:numPr>
        <w:rPr>
          <w:sz w:val="24"/>
          <w:lang w:val="fr-FR"/>
        </w:rPr>
      </w:pPr>
      <w:r w:rsidRPr="006B51F5">
        <w:rPr>
          <w:sz w:val="24"/>
          <w:lang w:val="fr-FR"/>
        </w:rPr>
        <w:t>L’identification des sources de financement</w:t>
      </w:r>
    </w:p>
    <w:p w:rsidR="00291DBA" w:rsidRPr="006B51F5" w:rsidRDefault="00291DBA" w:rsidP="006B51F5">
      <w:pPr>
        <w:pStyle w:val="Paragraphedeliste"/>
        <w:numPr>
          <w:ilvl w:val="0"/>
          <w:numId w:val="2"/>
        </w:numPr>
        <w:rPr>
          <w:sz w:val="24"/>
          <w:lang w:val="fr-FR"/>
        </w:rPr>
      </w:pPr>
      <w:r w:rsidRPr="006B51F5">
        <w:rPr>
          <w:sz w:val="24"/>
          <w:lang w:val="fr-FR"/>
        </w:rPr>
        <w:t>Le plaidoyer au</w:t>
      </w:r>
      <w:r w:rsidR="00E82681" w:rsidRPr="006B51F5">
        <w:rPr>
          <w:sz w:val="24"/>
          <w:lang w:val="fr-FR"/>
        </w:rPr>
        <w:t>près des partenaires clés pour la mobilisation accrue des sources pour couvrir toutes les activités du PECP</w:t>
      </w:r>
    </w:p>
    <w:p w:rsidR="00E82681" w:rsidRPr="006B51F5" w:rsidRDefault="00E82681" w:rsidP="006B51F5">
      <w:pPr>
        <w:pStyle w:val="Paragraphedeliste"/>
        <w:numPr>
          <w:ilvl w:val="0"/>
          <w:numId w:val="2"/>
        </w:numPr>
        <w:rPr>
          <w:sz w:val="24"/>
          <w:lang w:val="fr-FR"/>
        </w:rPr>
      </w:pPr>
      <w:r w:rsidRPr="006B51F5">
        <w:rPr>
          <w:sz w:val="24"/>
          <w:lang w:val="fr-FR"/>
        </w:rPr>
        <w:t>La gestion transparente des ressources</w:t>
      </w:r>
    </w:p>
    <w:p w:rsidR="00CA22DC" w:rsidRDefault="00CA22DC" w:rsidP="006B51F5">
      <w:pPr>
        <w:pStyle w:val="Paragraphedeliste"/>
        <w:rPr>
          <w:sz w:val="24"/>
          <w:lang w:val="fr-FR"/>
        </w:rPr>
      </w:pPr>
    </w:p>
    <w:p w:rsidR="005B4218" w:rsidRDefault="005B4218" w:rsidP="006B51F5">
      <w:pPr>
        <w:pStyle w:val="Paragraphedeliste"/>
        <w:rPr>
          <w:sz w:val="24"/>
          <w:lang w:val="fr-FR"/>
        </w:rPr>
      </w:pPr>
    </w:p>
    <w:p w:rsidR="005B4218" w:rsidRPr="006B51F5" w:rsidRDefault="005B4218" w:rsidP="006B51F5">
      <w:pPr>
        <w:pStyle w:val="Paragraphedeliste"/>
        <w:rPr>
          <w:sz w:val="24"/>
          <w:lang w:val="fr-FR"/>
        </w:rPr>
      </w:pPr>
    </w:p>
    <w:p w:rsidR="00930612" w:rsidRPr="006B51F5" w:rsidRDefault="00291DBA" w:rsidP="006B51F5">
      <w:pPr>
        <w:rPr>
          <w:b/>
          <w:sz w:val="24"/>
          <w:lang w:val="fr-FR"/>
        </w:rPr>
      </w:pPr>
      <w:r w:rsidRPr="006B51F5">
        <w:rPr>
          <w:b/>
          <w:sz w:val="24"/>
          <w:lang w:val="fr-FR"/>
        </w:rPr>
        <w:t>Intervention 4</w:t>
      </w:r>
      <w:r w:rsidR="0098627C" w:rsidRPr="006B51F5">
        <w:rPr>
          <w:b/>
          <w:sz w:val="24"/>
          <w:lang w:val="fr-FR"/>
        </w:rPr>
        <w:t xml:space="preserve"> : Amélioration du </w:t>
      </w:r>
      <w:r w:rsidR="00930612" w:rsidRPr="006B51F5">
        <w:rPr>
          <w:b/>
          <w:sz w:val="24"/>
          <w:lang w:val="fr-FR"/>
        </w:rPr>
        <w:t>Suivi et évaluation des activités de PECP</w:t>
      </w:r>
    </w:p>
    <w:p w:rsidR="005B4218" w:rsidRDefault="005B4218" w:rsidP="006B51F5">
      <w:pPr>
        <w:rPr>
          <w:sz w:val="24"/>
          <w:lang w:val="fr-FR"/>
        </w:rPr>
      </w:pPr>
    </w:p>
    <w:p w:rsidR="00930612" w:rsidRDefault="00930612" w:rsidP="006B51F5">
      <w:pPr>
        <w:rPr>
          <w:sz w:val="24"/>
          <w:lang w:val="fr-FR"/>
        </w:rPr>
      </w:pPr>
      <w:r w:rsidRPr="006B51F5">
        <w:rPr>
          <w:sz w:val="24"/>
          <w:lang w:val="fr-FR"/>
        </w:rPr>
        <w:t>Le suivi et l’évaluation des activités de PECP doivent être intégrés au niveau opérationnel. Il s’agit de :</w:t>
      </w:r>
    </w:p>
    <w:p w:rsidR="005B4218" w:rsidRPr="006B51F5" w:rsidRDefault="005B4218" w:rsidP="006B51F5">
      <w:pPr>
        <w:rPr>
          <w:sz w:val="24"/>
          <w:lang w:val="fr-FR"/>
        </w:rPr>
      </w:pPr>
    </w:p>
    <w:p w:rsidR="00930612" w:rsidRPr="006B51F5" w:rsidRDefault="00930612" w:rsidP="006B51F5">
      <w:pPr>
        <w:pStyle w:val="Paragraphedeliste"/>
        <w:numPr>
          <w:ilvl w:val="0"/>
          <w:numId w:val="2"/>
        </w:numPr>
        <w:rPr>
          <w:sz w:val="24"/>
          <w:lang w:val="fr-FR"/>
        </w:rPr>
      </w:pPr>
      <w:r w:rsidRPr="006B51F5">
        <w:rPr>
          <w:sz w:val="24"/>
          <w:lang w:val="fr-FR"/>
        </w:rPr>
        <w:t>L’introduction des indicateurs de PECP dans les outils de rapportage des formations sanitaires et dans le DHIS2</w:t>
      </w:r>
    </w:p>
    <w:p w:rsidR="000C7C75" w:rsidRPr="006B51F5" w:rsidRDefault="000C7C75" w:rsidP="006B51F5">
      <w:pPr>
        <w:pStyle w:val="Paragraphedeliste"/>
        <w:numPr>
          <w:ilvl w:val="0"/>
          <w:numId w:val="2"/>
        </w:numPr>
        <w:rPr>
          <w:sz w:val="24"/>
          <w:lang w:val="fr-FR"/>
        </w:rPr>
      </w:pPr>
      <w:r w:rsidRPr="006B51F5">
        <w:rPr>
          <w:sz w:val="24"/>
          <w:lang w:val="fr-FR"/>
        </w:rPr>
        <w:t>L’identification des indicateurs clés de suivi-évaluation</w:t>
      </w:r>
    </w:p>
    <w:p w:rsidR="000C7C75" w:rsidRPr="006B51F5" w:rsidRDefault="000C7C75" w:rsidP="006B51F5">
      <w:pPr>
        <w:pStyle w:val="Paragraphedeliste"/>
        <w:numPr>
          <w:ilvl w:val="0"/>
          <w:numId w:val="2"/>
        </w:numPr>
        <w:rPr>
          <w:sz w:val="24"/>
          <w:lang w:val="fr-FR"/>
        </w:rPr>
      </w:pPr>
      <w:r w:rsidRPr="006B51F5">
        <w:rPr>
          <w:sz w:val="24"/>
          <w:lang w:val="fr-FR"/>
        </w:rPr>
        <w:t>La systématisation de la retro-information (feedback) pour guider les acteurs décentralisés à améliorer leurs performances</w:t>
      </w:r>
      <w:r w:rsidR="00CA22DC" w:rsidRPr="006B51F5">
        <w:rPr>
          <w:sz w:val="24"/>
          <w:lang w:val="fr-FR"/>
        </w:rPr>
        <w:t>.</w:t>
      </w:r>
    </w:p>
    <w:p w:rsidR="00CA22DC" w:rsidRPr="006B51F5" w:rsidRDefault="00CA22DC" w:rsidP="006B51F5">
      <w:pPr>
        <w:pStyle w:val="Paragraphedeliste"/>
        <w:rPr>
          <w:sz w:val="24"/>
          <w:lang w:val="fr-FR"/>
        </w:rPr>
      </w:pPr>
    </w:p>
    <w:p w:rsidR="000C7C75" w:rsidRPr="006B51F5" w:rsidRDefault="00291DBA" w:rsidP="006B51F5">
      <w:pPr>
        <w:rPr>
          <w:b/>
          <w:sz w:val="24"/>
          <w:lang w:val="fr-FR"/>
        </w:rPr>
      </w:pPr>
      <w:r w:rsidRPr="006B51F5">
        <w:rPr>
          <w:b/>
          <w:sz w:val="24"/>
          <w:lang w:val="fr-FR"/>
        </w:rPr>
        <w:t>Intervention 5</w:t>
      </w:r>
      <w:r w:rsidR="000C7C75" w:rsidRPr="006B51F5">
        <w:rPr>
          <w:b/>
          <w:sz w:val="24"/>
          <w:lang w:val="fr-FR"/>
        </w:rPr>
        <w:t xml:space="preserve"> : </w:t>
      </w:r>
      <w:r w:rsidR="0098627C" w:rsidRPr="006B51F5">
        <w:rPr>
          <w:b/>
          <w:sz w:val="24"/>
          <w:lang w:val="fr-FR"/>
        </w:rPr>
        <w:t xml:space="preserve">Mise en œuvre de la </w:t>
      </w:r>
      <w:r w:rsidR="000C7C75" w:rsidRPr="006B51F5">
        <w:rPr>
          <w:b/>
          <w:sz w:val="24"/>
          <w:lang w:val="fr-FR"/>
        </w:rPr>
        <w:t>Recherche action</w:t>
      </w:r>
    </w:p>
    <w:p w:rsidR="005B4218" w:rsidRDefault="005B4218" w:rsidP="006B51F5">
      <w:pPr>
        <w:rPr>
          <w:sz w:val="24"/>
          <w:lang w:val="fr-FR"/>
        </w:rPr>
      </w:pPr>
    </w:p>
    <w:p w:rsidR="00C54E8C" w:rsidRPr="006B51F5" w:rsidRDefault="000C7C75" w:rsidP="006B51F5">
      <w:pPr>
        <w:rPr>
          <w:sz w:val="24"/>
          <w:lang w:val="fr-FR"/>
        </w:rPr>
      </w:pPr>
      <w:r w:rsidRPr="006B51F5">
        <w:rPr>
          <w:sz w:val="24"/>
          <w:lang w:val="fr-FR"/>
        </w:rPr>
        <w:t>Elle permettrait à tous les acteurs de s’inscrire dans la logique d’apprentissage et d’organisation apprenante</w:t>
      </w:r>
      <w:r w:rsidR="00CA22DC" w:rsidRPr="006B51F5">
        <w:rPr>
          <w:sz w:val="24"/>
          <w:lang w:val="fr-FR"/>
        </w:rPr>
        <w:t xml:space="preserve"> (Encadré 2)</w:t>
      </w:r>
      <w:r w:rsidRPr="006B51F5">
        <w:rPr>
          <w:sz w:val="24"/>
          <w:lang w:val="fr-FR"/>
        </w:rPr>
        <w:t>. En effet, même si les interventions contribueront à lever les goulots majeurs, d’autres défis parfois liés au contexte n’ont pas été identifiés. Ces défis, même minimes peuvent représenter des barrières à l’accélération de la PECP. La recherc</w:t>
      </w:r>
      <w:r w:rsidR="00C54E8C" w:rsidRPr="006B51F5">
        <w:rPr>
          <w:sz w:val="24"/>
          <w:lang w:val="fr-FR"/>
        </w:rPr>
        <w:t xml:space="preserve">he action permet aux acteurs d’analyser leurs résultats, </w:t>
      </w:r>
      <w:r w:rsidR="008B727D" w:rsidRPr="006B51F5">
        <w:rPr>
          <w:sz w:val="24"/>
          <w:lang w:val="fr-FR"/>
        </w:rPr>
        <w:t>d’</w:t>
      </w:r>
      <w:r w:rsidR="00C54E8C" w:rsidRPr="006B51F5">
        <w:rPr>
          <w:sz w:val="24"/>
          <w:lang w:val="fr-FR"/>
        </w:rPr>
        <w:t xml:space="preserve">identifier les éventuels problèmes et leurs causes, </w:t>
      </w:r>
      <w:r w:rsidR="008B727D" w:rsidRPr="006B51F5">
        <w:rPr>
          <w:sz w:val="24"/>
          <w:lang w:val="fr-FR"/>
        </w:rPr>
        <w:t xml:space="preserve">de </w:t>
      </w:r>
      <w:r w:rsidR="00C54E8C" w:rsidRPr="006B51F5">
        <w:rPr>
          <w:sz w:val="24"/>
          <w:lang w:val="fr-FR"/>
        </w:rPr>
        <w:t xml:space="preserve">rechercher </w:t>
      </w:r>
      <w:r w:rsidR="008B727D" w:rsidRPr="006B51F5">
        <w:rPr>
          <w:sz w:val="24"/>
          <w:lang w:val="fr-FR"/>
        </w:rPr>
        <w:t xml:space="preserve"> et de mettre en œuvre </w:t>
      </w:r>
      <w:r w:rsidR="00C54E8C" w:rsidRPr="006B51F5">
        <w:rPr>
          <w:sz w:val="24"/>
          <w:lang w:val="fr-FR"/>
        </w:rPr>
        <w:t>les solutions potentielles dans une approche cyclique d’amélioration continue des performances.</w:t>
      </w:r>
    </w:p>
    <w:p w:rsidR="005B4218" w:rsidRDefault="005B4218" w:rsidP="006B51F5">
      <w:pPr>
        <w:rPr>
          <w:sz w:val="24"/>
          <w:lang w:val="fr-FR"/>
        </w:rPr>
      </w:pPr>
    </w:p>
    <w:p w:rsidR="00C54E8C" w:rsidRDefault="00C54E8C" w:rsidP="006B51F5">
      <w:pPr>
        <w:rPr>
          <w:sz w:val="24"/>
          <w:lang w:val="fr-FR"/>
        </w:rPr>
      </w:pPr>
      <w:r w:rsidRPr="006B51F5">
        <w:rPr>
          <w:sz w:val="24"/>
          <w:lang w:val="fr-FR"/>
        </w:rPr>
        <w:t>Les activités à mener sont :</w:t>
      </w:r>
    </w:p>
    <w:p w:rsidR="005B4218" w:rsidRPr="006B51F5" w:rsidRDefault="005B4218" w:rsidP="006B51F5">
      <w:pPr>
        <w:rPr>
          <w:sz w:val="24"/>
          <w:lang w:val="fr-FR"/>
        </w:rPr>
      </w:pPr>
    </w:p>
    <w:p w:rsidR="00C54E8C" w:rsidRPr="006B51F5" w:rsidRDefault="00C54E8C" w:rsidP="006B51F5">
      <w:pPr>
        <w:pStyle w:val="Paragraphedeliste"/>
        <w:numPr>
          <w:ilvl w:val="0"/>
          <w:numId w:val="2"/>
        </w:numPr>
        <w:rPr>
          <w:sz w:val="24"/>
          <w:lang w:val="fr-FR"/>
        </w:rPr>
      </w:pPr>
      <w:r w:rsidRPr="006B51F5">
        <w:rPr>
          <w:sz w:val="24"/>
          <w:lang w:val="fr-FR"/>
        </w:rPr>
        <w:t>L’élaboration et la diffusion du protocole de recherche action</w:t>
      </w:r>
    </w:p>
    <w:p w:rsidR="00C54E8C" w:rsidRPr="006B51F5" w:rsidRDefault="00C54E8C" w:rsidP="006B51F5">
      <w:pPr>
        <w:pStyle w:val="Paragraphedeliste"/>
        <w:numPr>
          <w:ilvl w:val="0"/>
          <w:numId w:val="2"/>
        </w:numPr>
        <w:rPr>
          <w:sz w:val="24"/>
          <w:lang w:val="fr-FR"/>
        </w:rPr>
      </w:pPr>
      <w:r w:rsidRPr="006B51F5">
        <w:rPr>
          <w:sz w:val="24"/>
          <w:lang w:val="fr-FR"/>
        </w:rPr>
        <w:t>Le développement et la documentation des bonnes pratiques</w:t>
      </w:r>
    </w:p>
    <w:p w:rsidR="0010360E" w:rsidRPr="006B51F5" w:rsidRDefault="00C54E8C" w:rsidP="006B51F5">
      <w:pPr>
        <w:pStyle w:val="Paragraphedeliste"/>
        <w:numPr>
          <w:ilvl w:val="0"/>
          <w:numId w:val="2"/>
        </w:numPr>
        <w:rPr>
          <w:sz w:val="24"/>
          <w:lang w:val="fr-FR"/>
        </w:rPr>
      </w:pPr>
      <w:r w:rsidRPr="006B51F5">
        <w:rPr>
          <w:sz w:val="24"/>
          <w:lang w:val="fr-FR"/>
        </w:rPr>
        <w:t>La mise à échelle de bonnes pratique</w:t>
      </w:r>
      <w:r w:rsidR="0010360E" w:rsidRPr="006B51F5">
        <w:rPr>
          <w:sz w:val="24"/>
          <w:lang w:val="fr-FR"/>
        </w:rPr>
        <w:t>s</w:t>
      </w:r>
    </w:p>
    <w:p w:rsidR="00CA22DC" w:rsidRPr="006B51F5" w:rsidRDefault="00CA22DC" w:rsidP="006B51F5">
      <w:pPr>
        <w:pStyle w:val="Paragraphedeliste"/>
        <w:rPr>
          <w:sz w:val="24"/>
          <w:lang w:val="fr-FR"/>
        </w:rPr>
      </w:pPr>
    </w:p>
    <w:p w:rsidR="00350645" w:rsidRPr="005B4218" w:rsidRDefault="00350645" w:rsidP="005B4218">
      <w:pPr>
        <w:pStyle w:val="Lgende"/>
        <w:spacing w:after="0"/>
        <w:jc w:val="center"/>
        <w:rPr>
          <w:color w:val="auto"/>
          <w:sz w:val="24"/>
          <w:szCs w:val="24"/>
          <w:lang w:val="fr-FR"/>
        </w:rPr>
      </w:pPr>
      <w:bookmarkStart w:id="63" w:name="_Toc480382977"/>
      <w:r w:rsidRPr="005B4218">
        <w:rPr>
          <w:color w:val="auto"/>
          <w:sz w:val="24"/>
          <w:szCs w:val="24"/>
          <w:lang w:val="fr-FR"/>
        </w:rPr>
        <w:t xml:space="preserve">Encadré </w:t>
      </w:r>
      <w:r w:rsidR="00C25D03" w:rsidRPr="005B4218">
        <w:rPr>
          <w:color w:val="auto"/>
          <w:sz w:val="24"/>
          <w:szCs w:val="24"/>
        </w:rPr>
        <w:fldChar w:fldCharType="begin"/>
      </w:r>
      <w:r w:rsidRPr="005B4218">
        <w:rPr>
          <w:color w:val="auto"/>
          <w:sz w:val="24"/>
          <w:szCs w:val="24"/>
          <w:lang w:val="fr-FR"/>
        </w:rPr>
        <w:instrText xml:space="preserve"> SEQ Encadré \* ARABIC </w:instrText>
      </w:r>
      <w:r w:rsidR="00C25D03" w:rsidRPr="005B4218">
        <w:rPr>
          <w:color w:val="auto"/>
          <w:sz w:val="24"/>
          <w:szCs w:val="24"/>
        </w:rPr>
        <w:fldChar w:fldCharType="separate"/>
      </w:r>
      <w:r w:rsidRPr="005B4218">
        <w:rPr>
          <w:noProof/>
          <w:color w:val="auto"/>
          <w:sz w:val="24"/>
          <w:szCs w:val="24"/>
          <w:lang w:val="fr-FR"/>
        </w:rPr>
        <w:t>2</w:t>
      </w:r>
      <w:r w:rsidR="00C25D03" w:rsidRPr="005B4218">
        <w:rPr>
          <w:color w:val="auto"/>
          <w:sz w:val="24"/>
          <w:szCs w:val="24"/>
        </w:rPr>
        <w:fldChar w:fldCharType="end"/>
      </w:r>
      <w:r w:rsidRPr="005B4218">
        <w:rPr>
          <w:color w:val="auto"/>
          <w:sz w:val="24"/>
          <w:szCs w:val="24"/>
          <w:lang w:val="fr-FR"/>
        </w:rPr>
        <w:t>: Etapes de la recherche action</w:t>
      </w:r>
      <w:bookmarkEnd w:id="63"/>
    </w:p>
    <w:p w:rsidR="007118AB" w:rsidRPr="006B51F5" w:rsidRDefault="00C25D03" w:rsidP="006B51F5">
      <w:pPr>
        <w:rPr>
          <w:sz w:val="24"/>
          <w:lang w:val="fr-FR"/>
        </w:rPr>
      </w:pPr>
      <w:r>
        <w:rPr>
          <w:noProof/>
          <w:sz w:val="24"/>
          <w:lang w:val="fr-FR" w:eastAsia="fr-FR"/>
        </w:rPr>
        <w:pict>
          <v:shape id="Text Box 55" o:spid="_x0000_s1073" type="#_x0000_t202" style="position:absolute;left:0;text-align:left;margin-left:87.9pt;margin-top:7.6pt;width:362.8pt;height:222.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">
            <v:textbox>
              <w:txbxContent>
                <w:p w:rsidR="00C57943" w:rsidRDefault="00C57943" w:rsidP="005B4218">
                  <w:pPr>
                    <w:jc w:val="center"/>
                  </w:pPr>
                  <w:r w:rsidRPr="00025519">
                    <w:rPr>
                      <w:noProof/>
                      <w:lang w:val="fr-FR" w:eastAsia="fr-FR"/>
                    </w:rPr>
                    <w:drawing>
                      <wp:inline distT="0" distB="0" distL="0" distR="0">
                        <wp:extent cx="4053741" cy="2695699"/>
                        <wp:effectExtent l="19050" t="0" r="3909" b="0"/>
                        <wp:docPr id="10"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88176" cy="4287857"/>
                                  <a:chOff x="1295400" y="1219200"/>
                                  <a:chExt cx="5888176" cy="4287857"/>
                                </a:xfrm>
                              </a:grpSpPr>
                              <a:grpSp>
                                <a:nvGrpSpPr>
                                  <a:cNvPr id="21" name="Group 20"/>
                                  <a:cNvGrpSpPr/>
                                </a:nvGrpSpPr>
                                <a:grpSpPr>
                                  <a:xfrm>
                                    <a:off x="1295400" y="1219200"/>
                                    <a:ext cx="5888176" cy="4287857"/>
                                    <a:chOff x="1295400" y="1219200"/>
                                    <a:chExt cx="5888176" cy="4287857"/>
                                  </a:xfrm>
                                </a:grpSpPr>
                                <a:sp>
                                  <a:nvSpPr>
                                    <a:cNvPr id="4" name="TextBox 3"/>
                                    <a:cNvSpPr txBox="1"/>
                                  </a:nvSpPr>
                                  <a:spPr>
                                    <a:xfrm>
                                      <a:off x="1487839" y="1219200"/>
                                      <a:ext cx="2169761" cy="369332"/>
                                    </a:xfrm>
                                    <a:prstGeom prst="rect">
                                      <a:avLst/>
                                    </a:prstGeom>
                                    <a:no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Analyse du problème</a:t>
                                        </a:r>
                                        <a:endParaRPr lang="en-US" dirty="0"/>
                                      </a:p>
                                    </a:txBody>
                                    <a:useSpRect/>
                                  </a:txSp>
                                </a:sp>
                                <a:cxnSp>
                                  <a:nvCxnSpPr>
                                    <a:cNvPr id="12" name="Straight Arrow Connector 11"/>
                                    <a:cNvCxnSpPr>
                                      <a:stCxn id="4" idx="3"/>
                                      <a:endCxn id="78" idx="1"/>
                                    </a:cNvCxnSpPr>
                                  </a:nvCxnSpPr>
                                  <a:spPr>
                                    <a:xfrm>
                                      <a:off x="3657600" y="1403866"/>
                                      <a:ext cx="685800"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3" name="TextBox 12"/>
                                    <a:cNvSpPr txBox="1"/>
                                  </a:nvSpPr>
                                  <a:spPr>
                                    <a:xfrm>
                                      <a:off x="4347505" y="2133600"/>
                                      <a:ext cx="2739095" cy="408623"/>
                                    </a:xfrm>
                                    <a:prstGeom prst="flowChartAlternateProcess">
                                      <a:avLst/>
                                    </a:prstGeom>
                                    <a:no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Identification des solutions</a:t>
                                        </a:r>
                                        <a:endParaRPr lang="en-US" dirty="0"/>
                                      </a:p>
                                    </a:txBody>
                                    <a:useSpRect/>
                                  </a:txSp>
                                </a:sp>
                                <a:sp>
                                  <a:nvSpPr>
                                    <a:cNvPr id="14" name="TextBox 13"/>
                                    <a:cNvSpPr txBox="1"/>
                                  </a:nvSpPr>
                                  <a:spPr>
                                    <a:xfrm>
                                      <a:off x="4267200" y="3962400"/>
                                      <a:ext cx="2916376" cy="369332"/>
                                    </a:xfrm>
                                    <a:prstGeom prst="rect">
                                      <a:avLst/>
                                    </a:prstGeom>
                                    <a:no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Mise en œuvre de la solution</a:t>
                                        </a:r>
                                        <a:endParaRPr lang="en-US" dirty="0"/>
                                      </a:p>
                                    </a:txBody>
                                    <a:useSpRect/>
                                  </a:txSp>
                                </a:sp>
                                <a:cxnSp>
                                  <a:nvCxnSpPr>
                                    <a:cNvPr id="15" name="Straight Arrow Connector 14"/>
                                    <a:cNvCxnSpPr/>
                                  </a:nvCxnSpPr>
                                  <a:spPr>
                                    <a:xfrm>
                                      <a:off x="5715000" y="3417332"/>
                                      <a:ext cx="0" cy="54506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6" name="TextBox 15"/>
                                    <a:cNvSpPr txBox="1"/>
                                  </a:nvSpPr>
                                  <a:spPr>
                                    <a:xfrm>
                                      <a:off x="1295400" y="3962400"/>
                                      <a:ext cx="2514600" cy="369332"/>
                                    </a:xfrm>
                                    <a:prstGeom prst="rect">
                                      <a:avLst/>
                                    </a:prstGeom>
                                    <a:solidFill>
                                      <a:srgbClr val="99FF66"/>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Evaluation des résultats</a:t>
                                        </a:r>
                                        <a:endParaRPr lang="en-US" dirty="0"/>
                                      </a:p>
                                    </a:txBody>
                                    <a:useSpRect/>
                                  </a:txSp>
                                </a:sp>
                                <a:cxnSp>
                                  <a:nvCxnSpPr>
                                    <a:cNvPr id="17" name="Straight Arrow Connector 16"/>
                                    <a:cNvCxnSpPr>
                                      <a:stCxn id="14" idx="1"/>
                                      <a:endCxn id="16" idx="3"/>
                                    </a:cNvCxnSpPr>
                                  </a:nvCxnSpPr>
                                  <a:spPr>
                                    <a:xfrm flipH="1">
                                      <a:off x="3810000" y="4147066"/>
                                      <a:ext cx="457200"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3" name="Straight Arrow Connector 52"/>
                                    <a:cNvCxnSpPr>
                                      <a:stCxn id="16" idx="0"/>
                                      <a:endCxn id="30" idx="2"/>
                                    </a:cNvCxnSpPr>
                                  </a:nvCxnSpPr>
                                  <a:spPr>
                                    <a:xfrm flipV="1">
                                      <a:off x="2552700" y="3143608"/>
                                      <a:ext cx="1790700" cy="81879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8" name="TextBox 77"/>
                                    <a:cNvSpPr txBox="1"/>
                                  </a:nvSpPr>
                                  <a:spPr>
                                    <a:xfrm>
                                      <a:off x="4343400" y="1219200"/>
                                      <a:ext cx="2712859" cy="369332"/>
                                    </a:xfrm>
                                    <a:prstGeom prst="rect">
                                      <a:avLst/>
                                    </a:prstGeom>
                                    <a:solidFill>
                                      <a:schemeClr val="accent6">
                                        <a:lumMod val="20000"/>
                                        <a:lumOff val="80000"/>
                                      </a:schemeClr>
                                    </a:solid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Identification des causes</a:t>
                                        </a:r>
                                        <a:endParaRPr lang="en-US" dirty="0"/>
                                      </a:p>
                                    </a:txBody>
                                    <a:useSpRect/>
                                  </a:txSp>
                                </a:sp>
                                <a:sp>
                                  <a:nvSpPr>
                                    <a:cNvPr id="30" name="TextBox 29"/>
                                    <a:cNvSpPr txBox="1"/>
                                  </a:nvSpPr>
                                  <a:spPr>
                                    <a:xfrm>
                                      <a:off x="4343400" y="2883932"/>
                                      <a:ext cx="2793313" cy="519351"/>
                                    </a:xfrm>
                                    <a:prstGeom prst="ellipse">
                                      <a:avLst/>
                                    </a:prstGeom>
                                    <a:solidFill>
                                      <a:schemeClr val="tx2">
                                        <a:lumMod val="20000"/>
                                        <a:lumOff val="80000"/>
                                      </a:schemeClr>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Choix des </a:t>
                                        </a:r>
                                        <a:r>
                                          <a:rPr lang="fr-FR" dirty="0" smtClean="0"/>
                                          <a:t>solutions</a:t>
                                        </a:r>
                                        <a:endParaRPr lang="en-US" dirty="0"/>
                                      </a:p>
                                    </a:txBody>
                                    <a:useSpRect/>
                                  </a:txSp>
                                </a:sp>
                                <a:cxnSp>
                                  <a:nvCxnSpPr>
                                    <a:cNvPr id="31" name="Straight Arrow Connector 30"/>
                                    <a:cNvCxnSpPr>
                                      <a:stCxn id="13" idx="2"/>
                                    </a:cNvCxnSpPr>
                                  </a:nvCxnSpPr>
                                  <a:spPr>
                                    <a:xfrm>
                                      <a:off x="5717053" y="2542223"/>
                                      <a:ext cx="2052" cy="34170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nvCxnSpPr>
                                  <a:spPr>
                                    <a:xfrm>
                                      <a:off x="5715000" y="1600200"/>
                                      <a:ext cx="2052" cy="57030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nvCxnSpPr>
                                  <a:spPr>
                                    <a:xfrm flipV="1">
                                      <a:off x="2514600" y="1600200"/>
                                      <a:ext cx="0" cy="236220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nvCxnSpPr>
                                  <a:spPr>
                                    <a:xfrm>
                                      <a:off x="2514600" y="4343400"/>
                                      <a:ext cx="0" cy="3810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0" name="TextBox 19"/>
                                    <a:cNvSpPr txBox="1"/>
                                  </a:nvSpPr>
                                  <a:spPr>
                                    <a:xfrm>
                                      <a:off x="1497225" y="4648200"/>
                                      <a:ext cx="2084175" cy="858857"/>
                                    </a:xfrm>
                                    <a:prstGeom prst="horizontalScroll">
                                      <a:avLst/>
                                    </a:prstGeom>
                                    <a:solidFill>
                                      <a:srgbClr val="FFFF00"/>
                                    </a:solid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Documentation de</a:t>
                                        </a:r>
                                      </a:p>
                                      <a:p>
                                        <a:r>
                                          <a:rPr lang="fr-FR" dirty="0" smtClean="0"/>
                                          <a:t>la bonne pratique</a:t>
                                        </a:r>
                                        <a:endParaRPr lang="en-US" dirty="0"/>
                                      </a:p>
                                    </a:txBody>
                                    <a:useSpRect/>
                                  </a:txSp>
                                </a:sp>
                              </a:grpSp>
                            </lc:lockedCanvas>
                          </a:graphicData>
                        </a:graphic>
                      </wp:inline>
                    </w:drawing>
                  </w:r>
                </w:p>
              </w:txbxContent>
            </v:textbox>
          </v:shape>
        </w:pict>
      </w:r>
    </w:p>
    <w:p w:rsidR="007118AB" w:rsidRPr="006B51F5" w:rsidRDefault="007118AB" w:rsidP="006B51F5">
      <w:pPr>
        <w:rPr>
          <w:sz w:val="24"/>
          <w:lang w:val="fr-FR"/>
        </w:rPr>
      </w:pPr>
    </w:p>
    <w:p w:rsidR="00350645" w:rsidRPr="006B51F5" w:rsidRDefault="00350645" w:rsidP="006B51F5">
      <w:pPr>
        <w:jc w:val="center"/>
        <w:rPr>
          <w:sz w:val="24"/>
          <w:lang w:val="fr-FR"/>
        </w:rPr>
      </w:pPr>
    </w:p>
    <w:p w:rsidR="002C75B9" w:rsidRPr="006B51F5" w:rsidRDefault="002C75B9" w:rsidP="006B51F5">
      <w:pPr>
        <w:rPr>
          <w:sz w:val="24"/>
          <w:lang w:val="fr-FR"/>
        </w:rPr>
      </w:pPr>
    </w:p>
    <w:p w:rsidR="007118AB" w:rsidRPr="006B51F5" w:rsidRDefault="007118AB" w:rsidP="006B51F5">
      <w:pPr>
        <w:rPr>
          <w:sz w:val="24"/>
          <w:lang w:val="fr-FR"/>
        </w:rPr>
      </w:pPr>
    </w:p>
    <w:p w:rsidR="007118AB" w:rsidRPr="006B51F5" w:rsidRDefault="007118AB" w:rsidP="006B51F5">
      <w:pPr>
        <w:rPr>
          <w:sz w:val="24"/>
          <w:lang w:val="fr-FR"/>
        </w:rPr>
      </w:pPr>
    </w:p>
    <w:p w:rsidR="007118AB" w:rsidRPr="006B51F5" w:rsidRDefault="007118AB" w:rsidP="006B51F5">
      <w:pPr>
        <w:rPr>
          <w:sz w:val="24"/>
          <w:lang w:val="fr-FR"/>
        </w:rPr>
      </w:pPr>
    </w:p>
    <w:p w:rsidR="007118AB" w:rsidRPr="006B51F5" w:rsidRDefault="007118AB" w:rsidP="006B51F5">
      <w:pPr>
        <w:rPr>
          <w:sz w:val="24"/>
          <w:lang w:val="fr-FR"/>
        </w:rPr>
      </w:pPr>
    </w:p>
    <w:p w:rsidR="00CA22DC" w:rsidRPr="006B51F5" w:rsidRDefault="00CA22DC" w:rsidP="006B51F5">
      <w:pPr>
        <w:rPr>
          <w:sz w:val="24"/>
          <w:lang w:val="fr-FR"/>
        </w:rPr>
      </w:pPr>
    </w:p>
    <w:p w:rsidR="00CA22DC" w:rsidRPr="006B51F5" w:rsidRDefault="00CA22DC" w:rsidP="006B51F5">
      <w:pPr>
        <w:rPr>
          <w:sz w:val="24"/>
          <w:lang w:val="fr-FR"/>
        </w:rPr>
      </w:pPr>
    </w:p>
    <w:p w:rsidR="00CA22DC" w:rsidRPr="006B51F5" w:rsidRDefault="00CA22DC" w:rsidP="006B51F5">
      <w:pPr>
        <w:rPr>
          <w:sz w:val="24"/>
          <w:lang w:val="fr-FR"/>
        </w:rPr>
      </w:pPr>
    </w:p>
    <w:p w:rsidR="00CA22DC" w:rsidRPr="006B51F5" w:rsidRDefault="00CA22DC" w:rsidP="006B51F5">
      <w:pPr>
        <w:rPr>
          <w:sz w:val="24"/>
          <w:lang w:val="fr-FR"/>
        </w:rPr>
      </w:pPr>
    </w:p>
    <w:p w:rsidR="0010360E" w:rsidRPr="006B51F5" w:rsidRDefault="0010360E" w:rsidP="006B51F5">
      <w:pPr>
        <w:rPr>
          <w:sz w:val="24"/>
          <w:lang w:val="fr-FR"/>
        </w:rPr>
      </w:pPr>
    </w:p>
    <w:p w:rsidR="00CA22DC" w:rsidRPr="006B51F5" w:rsidRDefault="00CA22DC" w:rsidP="006B51F5">
      <w:pPr>
        <w:rPr>
          <w:sz w:val="24"/>
          <w:lang w:val="fr-FR"/>
        </w:rPr>
      </w:pPr>
    </w:p>
    <w:p w:rsidR="000169FE" w:rsidRPr="005B4218" w:rsidRDefault="000169FE" w:rsidP="005B4218">
      <w:pPr>
        <w:pStyle w:val="Titre3"/>
        <w:numPr>
          <w:ilvl w:val="2"/>
          <w:numId w:val="20"/>
        </w:numPr>
        <w:spacing w:before="0"/>
        <w:ind w:left="567" w:hanging="567"/>
        <w:rPr>
          <w:color w:val="auto"/>
          <w:sz w:val="24"/>
          <w:lang w:val="fr-FR"/>
        </w:rPr>
      </w:pPr>
      <w:bookmarkStart w:id="64" w:name="_Toc480382938"/>
      <w:r w:rsidRPr="005B4218">
        <w:rPr>
          <w:color w:val="auto"/>
          <w:sz w:val="24"/>
          <w:lang w:val="fr-FR"/>
        </w:rPr>
        <w:t xml:space="preserve">Renforcement des capacités des services pour offrir des soins et services de prise en charge pédiatrique du VIH de </w:t>
      </w:r>
      <w:r w:rsidR="00C54E8C" w:rsidRPr="005B4218">
        <w:rPr>
          <w:color w:val="auto"/>
          <w:sz w:val="24"/>
          <w:lang w:val="fr-FR"/>
        </w:rPr>
        <w:t>qualité</w:t>
      </w:r>
      <w:bookmarkEnd w:id="64"/>
    </w:p>
    <w:p w:rsidR="004D7EB2" w:rsidRPr="006B51F5" w:rsidRDefault="004D7EB2" w:rsidP="006B51F5">
      <w:pPr>
        <w:rPr>
          <w:sz w:val="24"/>
          <w:lang w:val="fr-FR"/>
        </w:rPr>
      </w:pPr>
    </w:p>
    <w:p w:rsidR="00787712" w:rsidRDefault="001058A6" w:rsidP="006B51F5">
      <w:pPr>
        <w:rPr>
          <w:b/>
          <w:sz w:val="24"/>
          <w:lang w:val="fr-FR"/>
        </w:rPr>
      </w:pPr>
      <w:r w:rsidRPr="006B51F5">
        <w:rPr>
          <w:b/>
          <w:sz w:val="24"/>
          <w:lang w:val="fr-FR"/>
        </w:rPr>
        <w:t xml:space="preserve">Intervention 1 : </w:t>
      </w:r>
      <w:r w:rsidR="009D339C" w:rsidRPr="006B51F5">
        <w:rPr>
          <w:b/>
          <w:sz w:val="24"/>
          <w:lang w:val="fr-FR"/>
        </w:rPr>
        <w:t>Accélération de l’i</w:t>
      </w:r>
      <w:r w:rsidRPr="006B51F5">
        <w:rPr>
          <w:b/>
          <w:sz w:val="24"/>
          <w:lang w:val="fr-FR"/>
        </w:rPr>
        <w:t>ntégr</w:t>
      </w:r>
      <w:r w:rsidR="003914FB" w:rsidRPr="006B51F5">
        <w:rPr>
          <w:b/>
          <w:sz w:val="24"/>
          <w:lang w:val="fr-FR"/>
        </w:rPr>
        <w:t>ation d</w:t>
      </w:r>
      <w:r w:rsidRPr="006B51F5">
        <w:rPr>
          <w:b/>
          <w:sz w:val="24"/>
          <w:lang w:val="fr-FR"/>
        </w:rPr>
        <w:t>es activités de PECP dans les services de SRMNIA</w:t>
      </w:r>
      <w:r w:rsidR="00AD6AFA" w:rsidRPr="006B51F5">
        <w:rPr>
          <w:b/>
          <w:sz w:val="24"/>
          <w:lang w:val="fr-FR"/>
        </w:rPr>
        <w:t>/PTME</w:t>
      </w:r>
    </w:p>
    <w:p w:rsidR="005B4218" w:rsidRPr="006B51F5" w:rsidRDefault="005B4218" w:rsidP="006B51F5">
      <w:pPr>
        <w:rPr>
          <w:b/>
          <w:sz w:val="24"/>
          <w:lang w:val="fr-FR"/>
        </w:rPr>
      </w:pPr>
    </w:p>
    <w:p w:rsidR="00787712" w:rsidRDefault="00787712" w:rsidP="006B51F5">
      <w:pPr>
        <w:rPr>
          <w:sz w:val="24"/>
          <w:lang w:val="fr-FR"/>
        </w:rPr>
      </w:pPr>
      <w:r w:rsidRPr="006B51F5">
        <w:rPr>
          <w:sz w:val="24"/>
          <w:lang w:val="fr-FR"/>
        </w:rPr>
        <w:t>Les activités incluent :</w:t>
      </w:r>
    </w:p>
    <w:p w:rsidR="005B4218" w:rsidRPr="006B51F5" w:rsidRDefault="005B4218" w:rsidP="006B51F5">
      <w:pPr>
        <w:rPr>
          <w:sz w:val="24"/>
          <w:lang w:val="fr-FR"/>
        </w:rPr>
      </w:pPr>
    </w:p>
    <w:p w:rsidR="00787712" w:rsidRPr="006B51F5" w:rsidRDefault="00787712" w:rsidP="006B51F5">
      <w:pPr>
        <w:pStyle w:val="Paragraphedeliste"/>
        <w:numPr>
          <w:ilvl w:val="0"/>
          <w:numId w:val="2"/>
        </w:numPr>
        <w:rPr>
          <w:sz w:val="24"/>
          <w:lang w:val="fr-FR"/>
        </w:rPr>
      </w:pPr>
      <w:r w:rsidRPr="006B51F5">
        <w:rPr>
          <w:sz w:val="24"/>
          <w:lang w:val="fr-FR"/>
        </w:rPr>
        <w:t>L</w:t>
      </w:r>
      <w:r w:rsidR="009D339C" w:rsidRPr="006B51F5">
        <w:rPr>
          <w:sz w:val="24"/>
          <w:lang w:val="fr-FR"/>
        </w:rPr>
        <w:t>a définition et/ou l</w:t>
      </w:r>
      <w:r w:rsidRPr="006B51F5">
        <w:rPr>
          <w:sz w:val="24"/>
          <w:lang w:val="fr-FR"/>
        </w:rPr>
        <w:t>’actualisation des activités de PECP à inclure dans l</w:t>
      </w:r>
      <w:r w:rsidR="00D0444C" w:rsidRPr="006B51F5">
        <w:rPr>
          <w:sz w:val="24"/>
          <w:lang w:val="fr-FR"/>
        </w:rPr>
        <w:t>e</w:t>
      </w:r>
      <w:r w:rsidRPr="006B51F5">
        <w:rPr>
          <w:sz w:val="24"/>
          <w:lang w:val="fr-FR"/>
        </w:rPr>
        <w:t xml:space="preserve"> PMA des Centres de santé et des Postes de santé </w:t>
      </w:r>
    </w:p>
    <w:p w:rsidR="00787712" w:rsidRPr="006B51F5" w:rsidRDefault="00787712" w:rsidP="006B51F5">
      <w:pPr>
        <w:pStyle w:val="Paragraphedeliste"/>
        <w:numPr>
          <w:ilvl w:val="0"/>
          <w:numId w:val="2"/>
        </w:numPr>
        <w:rPr>
          <w:sz w:val="24"/>
          <w:lang w:val="fr-FR"/>
        </w:rPr>
      </w:pPr>
      <w:r w:rsidRPr="006B51F5">
        <w:rPr>
          <w:sz w:val="24"/>
          <w:lang w:val="fr-FR"/>
        </w:rPr>
        <w:t>L’élaboration et la diffusion des Directives opérationnelles</w:t>
      </w:r>
    </w:p>
    <w:p w:rsidR="00787712" w:rsidRPr="006B51F5" w:rsidRDefault="00787712" w:rsidP="006B51F5">
      <w:pPr>
        <w:pStyle w:val="Paragraphedeliste"/>
        <w:numPr>
          <w:ilvl w:val="0"/>
          <w:numId w:val="2"/>
        </w:numPr>
        <w:rPr>
          <w:sz w:val="24"/>
          <w:lang w:val="fr-FR"/>
        </w:rPr>
      </w:pPr>
      <w:r w:rsidRPr="006B51F5">
        <w:rPr>
          <w:sz w:val="24"/>
          <w:lang w:val="fr-FR"/>
        </w:rPr>
        <w:t>L’adaptation des outils de collecte et de rapportage des données par niveau de soins</w:t>
      </w:r>
    </w:p>
    <w:p w:rsidR="005B4218" w:rsidRDefault="005B4218" w:rsidP="006B51F5">
      <w:pPr>
        <w:rPr>
          <w:sz w:val="24"/>
          <w:lang w:val="fr-FR"/>
        </w:rPr>
      </w:pPr>
    </w:p>
    <w:p w:rsidR="00787712" w:rsidRPr="006B51F5" w:rsidRDefault="00787712" w:rsidP="006B51F5">
      <w:pPr>
        <w:rPr>
          <w:sz w:val="24"/>
          <w:lang w:val="fr-FR"/>
        </w:rPr>
      </w:pPr>
      <w:r w:rsidRPr="006B51F5">
        <w:rPr>
          <w:sz w:val="24"/>
          <w:lang w:val="fr-FR"/>
        </w:rPr>
        <w:t>L’intégration effective requiert en plus des Directives opérationnelles, le renforcement des compétences du personnel et l’allocation des équipements, des réactifs de laboratoire et des consommables ainsi que des médicaments ARV et de traitement des infections opportunistes.</w:t>
      </w:r>
    </w:p>
    <w:p w:rsidR="00CA22DC" w:rsidRPr="006B51F5" w:rsidRDefault="00CA22DC" w:rsidP="006B51F5">
      <w:pPr>
        <w:rPr>
          <w:sz w:val="24"/>
          <w:lang w:val="fr-FR"/>
        </w:rPr>
      </w:pPr>
    </w:p>
    <w:p w:rsidR="001058A6" w:rsidRDefault="001058A6" w:rsidP="006B51F5">
      <w:pPr>
        <w:rPr>
          <w:b/>
          <w:sz w:val="24"/>
          <w:lang w:val="fr-FR"/>
        </w:rPr>
      </w:pPr>
      <w:r w:rsidRPr="006B51F5">
        <w:rPr>
          <w:b/>
          <w:sz w:val="24"/>
          <w:lang w:val="fr-FR"/>
        </w:rPr>
        <w:t>Intervention 2 :</w:t>
      </w:r>
      <w:r w:rsidR="003914FB" w:rsidRPr="006B51F5">
        <w:rPr>
          <w:b/>
          <w:sz w:val="24"/>
          <w:lang w:val="fr-FR"/>
        </w:rPr>
        <w:t xml:space="preserve"> Renforcement du plateau technique des formations sanitaires (équipements ; ARV, réactifs de laboratoire et consommables ; ressources humaines)</w:t>
      </w:r>
    </w:p>
    <w:p w:rsidR="005B4218" w:rsidRPr="006B51F5" w:rsidRDefault="005B4218" w:rsidP="006B51F5">
      <w:pPr>
        <w:rPr>
          <w:b/>
          <w:sz w:val="24"/>
          <w:lang w:val="fr-FR"/>
        </w:rPr>
      </w:pPr>
    </w:p>
    <w:p w:rsidR="00787712" w:rsidRPr="006B51F5" w:rsidRDefault="00787712" w:rsidP="006B51F5">
      <w:pPr>
        <w:pStyle w:val="Paragraphedeliste"/>
        <w:numPr>
          <w:ilvl w:val="0"/>
          <w:numId w:val="2"/>
        </w:numPr>
        <w:rPr>
          <w:sz w:val="24"/>
          <w:lang w:val="fr-FR"/>
        </w:rPr>
      </w:pPr>
      <w:r w:rsidRPr="006B51F5">
        <w:rPr>
          <w:sz w:val="24"/>
          <w:lang w:val="fr-FR"/>
        </w:rPr>
        <w:t>Renforcement des ressources humaines (en quantité et en qualité)</w:t>
      </w:r>
      <w:r w:rsidR="005B4218">
        <w:rPr>
          <w:sz w:val="24"/>
          <w:lang w:val="fr-FR"/>
        </w:rPr>
        <w:t> :</w:t>
      </w:r>
    </w:p>
    <w:p w:rsidR="005B4218" w:rsidRDefault="005B4218" w:rsidP="006B51F5">
      <w:pPr>
        <w:rPr>
          <w:sz w:val="24"/>
          <w:lang w:val="fr-FR"/>
        </w:rPr>
      </w:pPr>
    </w:p>
    <w:p w:rsidR="00787712" w:rsidRPr="006B51F5" w:rsidRDefault="00787712" w:rsidP="00AD41A5">
      <w:pPr>
        <w:rPr>
          <w:sz w:val="24"/>
          <w:lang w:val="fr-FR"/>
        </w:rPr>
      </w:pPr>
      <w:r w:rsidRPr="006B51F5">
        <w:rPr>
          <w:sz w:val="24"/>
          <w:lang w:val="fr-FR"/>
        </w:rPr>
        <w:t>Il faudrait définir les normes en personnel (</w:t>
      </w:r>
      <w:r w:rsidR="00735BB1" w:rsidRPr="006B51F5">
        <w:rPr>
          <w:sz w:val="24"/>
          <w:lang w:val="fr-FR"/>
        </w:rPr>
        <w:t xml:space="preserve">type, </w:t>
      </w:r>
      <w:r w:rsidRPr="006B51F5">
        <w:rPr>
          <w:sz w:val="24"/>
          <w:lang w:val="fr-FR"/>
        </w:rPr>
        <w:t>compétences et quanti</w:t>
      </w:r>
      <w:r w:rsidR="00735BB1" w:rsidRPr="006B51F5">
        <w:rPr>
          <w:sz w:val="24"/>
          <w:lang w:val="fr-FR"/>
        </w:rPr>
        <w:t xml:space="preserve">té) </w:t>
      </w:r>
      <w:r w:rsidRPr="006B51F5">
        <w:rPr>
          <w:sz w:val="24"/>
          <w:lang w:val="fr-FR"/>
        </w:rPr>
        <w:t>requis pour la PECP par niveau</w:t>
      </w:r>
      <w:r w:rsidR="00735BB1" w:rsidRPr="006B51F5">
        <w:rPr>
          <w:sz w:val="24"/>
          <w:lang w:val="fr-FR"/>
        </w:rPr>
        <w:t xml:space="preserve"> notamment en conseillers, laborantins, infirmiers et médecins. La polyvalence des prestataires doit être privilégiée au regard du déficit actuel en personnel et l’accent doit être mis dans le renforcement des compétences.</w:t>
      </w:r>
    </w:p>
    <w:p w:rsidR="00CA22DC" w:rsidRPr="006B51F5" w:rsidRDefault="00CA22DC" w:rsidP="006B51F5">
      <w:pPr>
        <w:rPr>
          <w:sz w:val="24"/>
          <w:lang w:val="fr-FR"/>
        </w:rPr>
      </w:pPr>
    </w:p>
    <w:p w:rsidR="00735BB1" w:rsidRDefault="00735BB1" w:rsidP="005B4218">
      <w:pPr>
        <w:ind w:firstLine="708"/>
        <w:rPr>
          <w:sz w:val="24"/>
          <w:lang w:val="fr-FR"/>
        </w:rPr>
      </w:pPr>
      <w:r w:rsidRPr="006B51F5">
        <w:rPr>
          <w:sz w:val="24"/>
          <w:lang w:val="fr-FR"/>
        </w:rPr>
        <w:t>Les stratégies de renforcement des compétences sont :</w:t>
      </w:r>
    </w:p>
    <w:p w:rsidR="005B4218" w:rsidRPr="006B51F5" w:rsidRDefault="005B4218" w:rsidP="005B4218">
      <w:pPr>
        <w:ind w:firstLine="708"/>
        <w:rPr>
          <w:sz w:val="24"/>
          <w:lang w:val="fr-FR"/>
        </w:rPr>
      </w:pPr>
    </w:p>
    <w:p w:rsidR="00735BB1" w:rsidRPr="005B4218" w:rsidRDefault="00735BB1" w:rsidP="005B4218">
      <w:pPr>
        <w:pStyle w:val="Paragraphedeliste"/>
        <w:numPr>
          <w:ilvl w:val="1"/>
          <w:numId w:val="2"/>
        </w:numPr>
        <w:rPr>
          <w:sz w:val="24"/>
          <w:lang w:val="fr-FR"/>
        </w:rPr>
      </w:pPr>
      <w:r w:rsidRPr="005B4218">
        <w:rPr>
          <w:sz w:val="24"/>
          <w:lang w:val="fr-FR"/>
        </w:rPr>
        <w:t>La formation des formateurs</w:t>
      </w:r>
      <w:r w:rsidR="005B4218" w:rsidRPr="005B4218">
        <w:rPr>
          <w:sz w:val="24"/>
          <w:lang w:val="fr-FR"/>
        </w:rPr>
        <w:t xml:space="preserve"> : </w:t>
      </w:r>
      <w:r w:rsidR="005B4218">
        <w:rPr>
          <w:sz w:val="24"/>
          <w:lang w:val="fr-FR"/>
        </w:rPr>
        <w:t>l</w:t>
      </w:r>
      <w:r w:rsidRPr="005B4218">
        <w:rPr>
          <w:sz w:val="24"/>
          <w:lang w:val="fr-FR"/>
        </w:rPr>
        <w:t xml:space="preserve">a formation sur site doit être privilégiée pour permettre aux apprenants d’acquérir des aptitudes et pour </w:t>
      </w:r>
      <w:r w:rsidR="00400696" w:rsidRPr="005B4218">
        <w:rPr>
          <w:sz w:val="24"/>
          <w:lang w:val="fr-FR"/>
        </w:rPr>
        <w:t xml:space="preserve">identifier et lever les défis opérationnels de mise en œuvre. </w:t>
      </w:r>
    </w:p>
    <w:p w:rsidR="00735BB1" w:rsidRPr="005B4218" w:rsidRDefault="00735BB1" w:rsidP="006B51F5">
      <w:pPr>
        <w:pStyle w:val="Paragraphedeliste"/>
        <w:numPr>
          <w:ilvl w:val="1"/>
          <w:numId w:val="2"/>
        </w:numPr>
        <w:rPr>
          <w:sz w:val="24"/>
          <w:lang w:val="fr-FR"/>
        </w:rPr>
      </w:pPr>
      <w:r w:rsidRPr="005B4218">
        <w:rPr>
          <w:sz w:val="24"/>
          <w:lang w:val="fr-FR"/>
        </w:rPr>
        <w:t>La supervision formative</w:t>
      </w:r>
      <w:r w:rsidR="005B4218" w:rsidRPr="005B4218">
        <w:rPr>
          <w:sz w:val="24"/>
          <w:lang w:val="fr-FR"/>
        </w:rPr>
        <w:t xml:space="preserve"> : </w:t>
      </w:r>
      <w:r w:rsidR="005B4218">
        <w:rPr>
          <w:sz w:val="24"/>
          <w:lang w:val="fr-FR"/>
        </w:rPr>
        <w:t>l</w:t>
      </w:r>
      <w:r w:rsidRPr="005B4218">
        <w:rPr>
          <w:sz w:val="24"/>
          <w:lang w:val="fr-FR"/>
        </w:rPr>
        <w:t xml:space="preserve">e niveau central devra superviser les Régions. Celles-ci supervisent à leur tour les districts qui supervisent les formations sanitaires. </w:t>
      </w:r>
    </w:p>
    <w:p w:rsidR="00400696" w:rsidRPr="005B4218" w:rsidRDefault="005B4218" w:rsidP="006B51F5">
      <w:pPr>
        <w:pStyle w:val="Paragraphedeliste"/>
        <w:numPr>
          <w:ilvl w:val="1"/>
          <w:numId w:val="2"/>
        </w:numPr>
        <w:rPr>
          <w:sz w:val="24"/>
          <w:lang w:val="fr-FR"/>
        </w:rPr>
      </w:pPr>
      <w:r w:rsidRPr="005B4218">
        <w:rPr>
          <w:sz w:val="24"/>
          <w:lang w:val="fr-FR"/>
        </w:rPr>
        <w:t xml:space="preserve">Le coaching : </w:t>
      </w:r>
      <w:r>
        <w:rPr>
          <w:sz w:val="24"/>
          <w:lang w:val="fr-FR"/>
        </w:rPr>
        <w:t>i</w:t>
      </w:r>
      <w:r w:rsidR="00400696" w:rsidRPr="005B4218">
        <w:rPr>
          <w:sz w:val="24"/>
          <w:lang w:val="fr-FR"/>
        </w:rPr>
        <w:t>l contribue à créer un environnement de confiance pour le partage d’expériences et de connaissances</w:t>
      </w:r>
      <w:r w:rsidR="00CF367F" w:rsidRPr="005B4218">
        <w:rPr>
          <w:sz w:val="24"/>
          <w:lang w:val="fr-FR"/>
        </w:rPr>
        <w:t xml:space="preserve"> et l’amélioration des performances de PECP.</w:t>
      </w:r>
    </w:p>
    <w:p w:rsidR="00BD25F5" w:rsidRPr="005B4218" w:rsidRDefault="00735BB1" w:rsidP="006B51F5">
      <w:pPr>
        <w:pStyle w:val="Paragraphedeliste"/>
        <w:numPr>
          <w:ilvl w:val="1"/>
          <w:numId w:val="2"/>
        </w:numPr>
        <w:rPr>
          <w:sz w:val="24"/>
          <w:lang w:val="fr-FR"/>
        </w:rPr>
      </w:pPr>
      <w:r w:rsidRPr="005B4218">
        <w:rPr>
          <w:sz w:val="24"/>
          <w:lang w:val="fr-FR"/>
        </w:rPr>
        <w:t>Le mentoring</w:t>
      </w:r>
      <w:r w:rsidR="005B4218" w:rsidRPr="005B4218">
        <w:rPr>
          <w:sz w:val="24"/>
          <w:lang w:val="fr-FR"/>
        </w:rPr>
        <w:t> :</w:t>
      </w:r>
      <w:r w:rsidR="005B4218">
        <w:rPr>
          <w:sz w:val="24"/>
          <w:lang w:val="fr-FR"/>
        </w:rPr>
        <w:t xml:space="preserve"> i</w:t>
      </w:r>
      <w:r w:rsidR="00BD25F5" w:rsidRPr="005B4218">
        <w:rPr>
          <w:sz w:val="24"/>
          <w:lang w:val="fr-FR"/>
        </w:rPr>
        <w:t>l va concourir au développement professionnel des acteurs impliqués dans la PECP.</w:t>
      </w:r>
      <w:r w:rsidR="00CF367F" w:rsidRPr="005B4218">
        <w:rPr>
          <w:sz w:val="24"/>
          <w:lang w:val="fr-FR"/>
        </w:rPr>
        <w:t xml:space="preserve"> Il permet aussi de suivre le personnel et de l’impliquer dans la mise en œuvre des activités même en cas d’affect</w:t>
      </w:r>
      <w:r w:rsidR="00CA22DC" w:rsidRPr="005B4218">
        <w:rPr>
          <w:sz w:val="24"/>
          <w:lang w:val="fr-FR"/>
        </w:rPr>
        <w:t>at</w:t>
      </w:r>
      <w:r w:rsidR="00CF367F" w:rsidRPr="005B4218">
        <w:rPr>
          <w:sz w:val="24"/>
          <w:lang w:val="fr-FR"/>
        </w:rPr>
        <w:t xml:space="preserve">ion dans une autre structure (district ou région). </w:t>
      </w:r>
    </w:p>
    <w:p w:rsidR="00CA22DC" w:rsidRPr="006B51F5" w:rsidRDefault="00CA22DC" w:rsidP="006B51F5">
      <w:pPr>
        <w:rPr>
          <w:sz w:val="24"/>
          <w:lang w:val="fr-FR"/>
        </w:rPr>
      </w:pPr>
    </w:p>
    <w:p w:rsidR="009D339C" w:rsidRPr="006B51F5" w:rsidRDefault="009D339C" w:rsidP="006B51F5">
      <w:pPr>
        <w:pStyle w:val="Paragraphedeliste"/>
        <w:numPr>
          <w:ilvl w:val="0"/>
          <w:numId w:val="2"/>
        </w:numPr>
        <w:rPr>
          <w:sz w:val="24"/>
          <w:lang w:val="fr-FR"/>
        </w:rPr>
      </w:pPr>
      <w:r w:rsidRPr="006B51F5">
        <w:rPr>
          <w:sz w:val="24"/>
          <w:lang w:val="fr-FR"/>
        </w:rPr>
        <w:t>Approvisionnement régulier médicaments pédiatriques : ARV et médicaments contre les infections opportunistes</w:t>
      </w:r>
    </w:p>
    <w:p w:rsidR="00DE521D" w:rsidRPr="006B51F5" w:rsidRDefault="00DE521D" w:rsidP="006B51F5">
      <w:pPr>
        <w:rPr>
          <w:sz w:val="24"/>
          <w:lang w:val="fr-FR"/>
        </w:rPr>
      </w:pPr>
    </w:p>
    <w:p w:rsidR="009D339C" w:rsidRDefault="00CA22DC" w:rsidP="005B4218">
      <w:pPr>
        <w:ind w:firstLine="708"/>
        <w:rPr>
          <w:sz w:val="24"/>
          <w:lang w:val="fr-FR"/>
        </w:rPr>
      </w:pPr>
      <w:r w:rsidRPr="006B51F5">
        <w:rPr>
          <w:sz w:val="24"/>
          <w:lang w:val="fr-FR"/>
        </w:rPr>
        <w:t>Les activités incluent</w:t>
      </w:r>
      <w:r w:rsidR="00DE521D" w:rsidRPr="006B51F5">
        <w:rPr>
          <w:sz w:val="24"/>
          <w:lang w:val="fr-FR"/>
        </w:rPr>
        <w:t> :</w:t>
      </w:r>
    </w:p>
    <w:p w:rsidR="00E90C84" w:rsidRPr="006B51F5" w:rsidRDefault="00E90C84" w:rsidP="005B4218">
      <w:pPr>
        <w:ind w:firstLine="708"/>
        <w:rPr>
          <w:sz w:val="24"/>
          <w:lang w:val="fr-FR"/>
        </w:rPr>
      </w:pPr>
    </w:p>
    <w:p w:rsidR="00CA22DC" w:rsidRPr="006B51F5" w:rsidRDefault="00DE521D" w:rsidP="006B51F5">
      <w:pPr>
        <w:pStyle w:val="Paragraphedeliste"/>
        <w:numPr>
          <w:ilvl w:val="1"/>
          <w:numId w:val="2"/>
        </w:numPr>
        <w:rPr>
          <w:sz w:val="24"/>
          <w:lang w:val="fr-FR"/>
        </w:rPr>
      </w:pPr>
      <w:r w:rsidRPr="006B51F5">
        <w:rPr>
          <w:sz w:val="24"/>
          <w:lang w:val="fr-FR"/>
        </w:rPr>
        <w:t>La quantification des besoins nationaux et leur désagrégation par région et district</w:t>
      </w:r>
    </w:p>
    <w:p w:rsidR="00DE521D" w:rsidRPr="006B51F5" w:rsidRDefault="00DE521D" w:rsidP="006B51F5">
      <w:pPr>
        <w:pStyle w:val="Paragraphedeliste"/>
        <w:numPr>
          <w:ilvl w:val="1"/>
          <w:numId w:val="2"/>
        </w:numPr>
        <w:rPr>
          <w:sz w:val="24"/>
          <w:lang w:val="fr-FR"/>
        </w:rPr>
      </w:pPr>
      <w:r w:rsidRPr="006B51F5">
        <w:rPr>
          <w:sz w:val="24"/>
          <w:lang w:val="fr-FR"/>
        </w:rPr>
        <w:t>L’approvisionnement des structures selon le Plan de gestion et d’approvisionnement des intrants</w:t>
      </w:r>
    </w:p>
    <w:p w:rsidR="00DE521D" w:rsidRPr="006B51F5" w:rsidRDefault="00DE521D" w:rsidP="006B51F5">
      <w:pPr>
        <w:rPr>
          <w:sz w:val="24"/>
          <w:lang w:val="fr-FR"/>
        </w:rPr>
      </w:pPr>
    </w:p>
    <w:p w:rsidR="009D339C" w:rsidRDefault="009D339C" w:rsidP="006B51F5">
      <w:pPr>
        <w:pStyle w:val="Paragraphedeliste"/>
        <w:numPr>
          <w:ilvl w:val="0"/>
          <w:numId w:val="2"/>
        </w:numPr>
        <w:rPr>
          <w:sz w:val="24"/>
          <w:lang w:val="fr-FR"/>
        </w:rPr>
      </w:pPr>
      <w:r w:rsidRPr="006B51F5">
        <w:rPr>
          <w:sz w:val="24"/>
          <w:lang w:val="fr-FR"/>
        </w:rPr>
        <w:t>Renforcement des capacités des laboratoires : équipements, réactifs de laboratoire et consommables</w:t>
      </w:r>
      <w:r w:rsidR="00E90C84">
        <w:rPr>
          <w:sz w:val="24"/>
          <w:lang w:val="fr-FR"/>
        </w:rPr>
        <w:t> :</w:t>
      </w:r>
    </w:p>
    <w:p w:rsidR="00E90C84" w:rsidRPr="00AD41A5" w:rsidRDefault="00AD41A5" w:rsidP="00AD41A5">
      <w:pPr>
        <w:ind w:left="360"/>
        <w:rPr>
          <w:sz w:val="24"/>
          <w:lang w:val="fr-FR"/>
        </w:rPr>
      </w:pPr>
      <w:r>
        <w:rPr>
          <w:sz w:val="24"/>
          <w:lang w:val="fr-FR"/>
        </w:rPr>
        <w:t>Les activités principales sont :</w:t>
      </w:r>
    </w:p>
    <w:p w:rsidR="00963C89" w:rsidRPr="006B51F5" w:rsidRDefault="003168F7" w:rsidP="006B51F5">
      <w:pPr>
        <w:pStyle w:val="Paragraphedeliste"/>
        <w:numPr>
          <w:ilvl w:val="1"/>
          <w:numId w:val="2"/>
        </w:numPr>
        <w:jc w:val="left"/>
        <w:rPr>
          <w:sz w:val="24"/>
          <w:lang w:val="fr-FR"/>
        </w:rPr>
      </w:pPr>
      <w:r w:rsidRPr="006B51F5">
        <w:rPr>
          <w:sz w:val="24"/>
          <w:lang w:val="fr-FR"/>
        </w:rPr>
        <w:t xml:space="preserve">L’approvisionnement en réactifs et test de dépistage </w:t>
      </w:r>
    </w:p>
    <w:p w:rsidR="00963C89" w:rsidRPr="006B51F5" w:rsidRDefault="003168F7" w:rsidP="006B51F5">
      <w:pPr>
        <w:pStyle w:val="Paragraphedeliste"/>
        <w:numPr>
          <w:ilvl w:val="1"/>
          <w:numId w:val="2"/>
        </w:numPr>
        <w:jc w:val="left"/>
        <w:rPr>
          <w:sz w:val="24"/>
          <w:lang w:val="fr-FR"/>
        </w:rPr>
      </w:pPr>
      <w:r w:rsidRPr="006B51F5">
        <w:rPr>
          <w:sz w:val="24"/>
          <w:lang w:val="fr-FR"/>
        </w:rPr>
        <w:t>La mi</w:t>
      </w:r>
      <w:r w:rsidR="00963C89" w:rsidRPr="006B51F5">
        <w:rPr>
          <w:sz w:val="24"/>
          <w:lang w:val="fr-FR"/>
        </w:rPr>
        <w:t>se en réseau du système de diagnostic et de communication des résultats</w:t>
      </w:r>
    </w:p>
    <w:p w:rsidR="00963C89" w:rsidRPr="006B51F5" w:rsidRDefault="00963C89" w:rsidP="006B51F5">
      <w:pPr>
        <w:pStyle w:val="Paragraphedeliste"/>
        <w:numPr>
          <w:ilvl w:val="1"/>
          <w:numId w:val="2"/>
        </w:numPr>
        <w:jc w:val="left"/>
        <w:rPr>
          <w:sz w:val="24"/>
          <w:lang w:val="fr-FR"/>
        </w:rPr>
      </w:pPr>
      <w:r w:rsidRPr="006B51F5">
        <w:rPr>
          <w:sz w:val="24"/>
          <w:lang w:val="fr-FR"/>
        </w:rPr>
        <w:t>L’extension des ‘Points of Care’ pour le diagnostic précoce chez les enfants exposés</w:t>
      </w:r>
    </w:p>
    <w:p w:rsidR="003168F7" w:rsidRPr="006B51F5" w:rsidRDefault="003168F7" w:rsidP="006B51F5">
      <w:pPr>
        <w:pStyle w:val="Paragraphedeliste"/>
        <w:numPr>
          <w:ilvl w:val="1"/>
          <w:numId w:val="2"/>
        </w:numPr>
        <w:jc w:val="left"/>
        <w:rPr>
          <w:sz w:val="24"/>
          <w:lang w:val="fr-FR"/>
        </w:rPr>
      </w:pPr>
      <w:r w:rsidRPr="006B51F5">
        <w:rPr>
          <w:sz w:val="24"/>
          <w:lang w:val="fr-FR"/>
        </w:rPr>
        <w:t>La maintenance préventive et curative des équipements</w:t>
      </w:r>
    </w:p>
    <w:p w:rsidR="00963C89" w:rsidRPr="006B51F5" w:rsidRDefault="00963C89" w:rsidP="006B51F5">
      <w:pPr>
        <w:pStyle w:val="Paragraphedeliste"/>
        <w:rPr>
          <w:sz w:val="24"/>
          <w:lang w:val="fr-FR"/>
        </w:rPr>
      </w:pPr>
    </w:p>
    <w:p w:rsidR="003914FB" w:rsidRPr="006B51F5" w:rsidRDefault="009D339C" w:rsidP="006B51F5">
      <w:pPr>
        <w:rPr>
          <w:b/>
          <w:sz w:val="24"/>
          <w:lang w:val="fr-FR"/>
        </w:rPr>
      </w:pPr>
      <w:r w:rsidRPr="006B51F5">
        <w:rPr>
          <w:b/>
          <w:sz w:val="24"/>
          <w:lang w:val="fr-FR"/>
        </w:rPr>
        <w:t>Intervention 3</w:t>
      </w:r>
      <w:r w:rsidR="003914FB" w:rsidRPr="006B51F5">
        <w:rPr>
          <w:b/>
          <w:sz w:val="24"/>
          <w:lang w:val="fr-FR"/>
        </w:rPr>
        <w:t xml:space="preserve"> : </w:t>
      </w:r>
      <w:r w:rsidR="0098627C" w:rsidRPr="006B51F5">
        <w:rPr>
          <w:b/>
          <w:sz w:val="24"/>
          <w:lang w:val="fr-FR"/>
        </w:rPr>
        <w:t>Renforcement du d</w:t>
      </w:r>
      <w:r w:rsidR="003914FB" w:rsidRPr="006B51F5">
        <w:rPr>
          <w:b/>
          <w:sz w:val="24"/>
          <w:lang w:val="fr-FR"/>
        </w:rPr>
        <w:t>épistage des enfants infectés par le VIH</w:t>
      </w:r>
    </w:p>
    <w:p w:rsidR="005B4218" w:rsidRDefault="005B4218" w:rsidP="006B51F5">
      <w:pPr>
        <w:rPr>
          <w:sz w:val="24"/>
          <w:lang w:val="fr-FR"/>
        </w:rPr>
      </w:pPr>
    </w:p>
    <w:p w:rsidR="00A62883" w:rsidRDefault="003B6D9A" w:rsidP="006B51F5">
      <w:pPr>
        <w:rPr>
          <w:sz w:val="24"/>
          <w:lang w:val="fr-FR"/>
        </w:rPr>
      </w:pPr>
      <w:r w:rsidRPr="006B51F5">
        <w:rPr>
          <w:sz w:val="24"/>
          <w:lang w:val="fr-FR"/>
        </w:rPr>
        <w:t>Le dépistage des enfants infectés par le VIH comporte 3 stratégies :</w:t>
      </w:r>
    </w:p>
    <w:p w:rsidR="005B4218" w:rsidRPr="006B51F5" w:rsidRDefault="005B4218" w:rsidP="006B51F5">
      <w:pPr>
        <w:rPr>
          <w:sz w:val="24"/>
          <w:lang w:val="fr-FR"/>
        </w:rPr>
      </w:pPr>
    </w:p>
    <w:p w:rsidR="003B6D9A" w:rsidRPr="006B51F5" w:rsidRDefault="003B6D9A" w:rsidP="006B51F5">
      <w:pPr>
        <w:pStyle w:val="Paragraphedeliste"/>
        <w:numPr>
          <w:ilvl w:val="0"/>
          <w:numId w:val="2"/>
        </w:numPr>
        <w:rPr>
          <w:sz w:val="24"/>
          <w:lang w:val="fr-FR"/>
        </w:rPr>
      </w:pPr>
      <w:r w:rsidRPr="006B51F5">
        <w:rPr>
          <w:sz w:val="24"/>
          <w:lang w:val="fr-FR"/>
        </w:rPr>
        <w:t>Le dépistage systématique</w:t>
      </w:r>
      <w:r w:rsidR="00963C89" w:rsidRPr="006B51F5">
        <w:rPr>
          <w:sz w:val="24"/>
          <w:lang w:val="fr-FR"/>
        </w:rPr>
        <w:t xml:space="preserve"> (EID et test rapide)</w:t>
      </w:r>
      <w:r w:rsidRPr="006B51F5">
        <w:rPr>
          <w:sz w:val="24"/>
          <w:lang w:val="fr-FR"/>
        </w:rPr>
        <w:t xml:space="preserve"> à toutes les portes d’entrée des formations sanitaires (consultation externe, hospitalisation, vaccination, nutrition, PCIME, PTME, services Tuberculose, …)</w:t>
      </w:r>
    </w:p>
    <w:p w:rsidR="003B6D9A" w:rsidRPr="006B51F5" w:rsidRDefault="003B6D9A" w:rsidP="006B51F5">
      <w:pPr>
        <w:pStyle w:val="Paragraphedeliste"/>
        <w:numPr>
          <w:ilvl w:val="0"/>
          <w:numId w:val="2"/>
        </w:numPr>
        <w:rPr>
          <w:sz w:val="24"/>
          <w:lang w:val="fr-FR"/>
        </w:rPr>
      </w:pPr>
      <w:r w:rsidRPr="006B51F5">
        <w:rPr>
          <w:sz w:val="24"/>
          <w:lang w:val="fr-FR"/>
        </w:rPr>
        <w:t>Le conseil dépistage actif de la fratrie des cas index</w:t>
      </w:r>
    </w:p>
    <w:p w:rsidR="005B4218" w:rsidRDefault="005B4218" w:rsidP="006B51F5">
      <w:pPr>
        <w:jc w:val="left"/>
        <w:rPr>
          <w:sz w:val="24"/>
          <w:lang w:val="fr-FR"/>
        </w:rPr>
      </w:pPr>
    </w:p>
    <w:p w:rsidR="00E604C7" w:rsidRPr="006B51F5" w:rsidRDefault="00CD731C" w:rsidP="006B51F5">
      <w:pPr>
        <w:jc w:val="left"/>
        <w:rPr>
          <w:sz w:val="24"/>
          <w:lang w:val="fr-FR"/>
        </w:rPr>
      </w:pPr>
      <w:r w:rsidRPr="006B51F5">
        <w:rPr>
          <w:sz w:val="24"/>
          <w:lang w:val="fr-FR"/>
        </w:rPr>
        <w:t>La matrice ci-dessous servira d’outil de prise de décisions aux prestataires pour le dépistage de la fratrie</w:t>
      </w:r>
      <w:r w:rsidR="000472FC" w:rsidRPr="006B51F5">
        <w:rPr>
          <w:sz w:val="24"/>
          <w:lang w:val="fr-FR"/>
        </w:rPr>
        <w:t xml:space="preserve"> (Figure 8)</w:t>
      </w:r>
      <w:r w:rsidRPr="006B51F5">
        <w:rPr>
          <w:sz w:val="24"/>
          <w:lang w:val="fr-FR"/>
        </w:rPr>
        <w:t>.</w:t>
      </w:r>
    </w:p>
    <w:p w:rsidR="00D860AF" w:rsidRPr="00E90C84" w:rsidRDefault="00167A60" w:rsidP="00E90C84">
      <w:pPr>
        <w:pStyle w:val="Lgende"/>
        <w:spacing w:after="0"/>
        <w:jc w:val="center"/>
        <w:rPr>
          <w:b w:val="0"/>
          <w:color w:val="auto"/>
          <w:lang w:val="fr-FR"/>
        </w:rPr>
      </w:pPr>
      <w:r>
        <w:rPr>
          <w:noProof/>
          <w:lang w:val="fr-FR" w:eastAsia="fr-FR"/>
        </w:rPr>
        <w:drawing>
          <wp:inline distT="0" distB="0" distL="0" distR="0">
            <wp:extent cx="6038850" cy="7737568"/>
            <wp:effectExtent l="19050" t="0" r="0" b="0"/>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28"/>
                    <a:srcRect/>
                    <a:stretch>
                      <a:fillRect/>
                    </a:stretch>
                  </pic:blipFill>
                  <pic:spPr bwMode="auto">
                    <a:xfrm>
                      <a:off x="0" y="0"/>
                      <a:ext cx="6038850" cy="7737568"/>
                    </a:xfrm>
                    <a:prstGeom prst="rect">
                      <a:avLst/>
                    </a:prstGeom>
                    <a:noFill/>
                  </pic:spPr>
                </pic:pic>
              </a:graphicData>
            </a:graphic>
          </wp:inline>
        </w:drawing>
      </w:r>
      <w:bookmarkStart w:id="65" w:name="_Toc480382973"/>
      <w:r w:rsidRPr="00E90C84">
        <w:rPr>
          <w:color w:val="auto"/>
          <w:lang w:val="fr-FR"/>
        </w:rPr>
        <w:t xml:space="preserve">Figure </w:t>
      </w:r>
      <w:r w:rsidR="00C25D03" w:rsidRPr="00E90C84">
        <w:rPr>
          <w:color w:val="auto"/>
        </w:rPr>
        <w:fldChar w:fldCharType="begin"/>
      </w:r>
      <w:r w:rsidRPr="00E90C84">
        <w:rPr>
          <w:color w:val="auto"/>
          <w:lang w:val="fr-FR"/>
        </w:rPr>
        <w:instrText xml:space="preserve"> SEQ Figure \* ARABIC </w:instrText>
      </w:r>
      <w:r w:rsidR="00C25D03" w:rsidRPr="00E90C84">
        <w:rPr>
          <w:color w:val="auto"/>
        </w:rPr>
        <w:fldChar w:fldCharType="separate"/>
      </w:r>
      <w:r w:rsidR="00774C46" w:rsidRPr="00E90C84">
        <w:rPr>
          <w:noProof/>
          <w:color w:val="auto"/>
          <w:lang w:val="fr-FR"/>
        </w:rPr>
        <w:t>8</w:t>
      </w:r>
      <w:r w:rsidR="00C25D03" w:rsidRPr="00E90C84">
        <w:rPr>
          <w:color w:val="auto"/>
        </w:rPr>
        <w:fldChar w:fldCharType="end"/>
      </w:r>
      <w:r w:rsidR="00E604C7" w:rsidRPr="00E90C84">
        <w:rPr>
          <w:color w:val="auto"/>
          <w:lang w:val="fr-FR"/>
        </w:rPr>
        <w:t>: Matrice d’évaluation du statut sérologique de la fratrie du cas index adapté d’ICAP</w:t>
      </w:r>
      <w:bookmarkEnd w:id="65"/>
    </w:p>
    <w:p w:rsidR="00CD731C" w:rsidRPr="00E90C84" w:rsidRDefault="00CD731C" w:rsidP="009B2B2E">
      <w:pPr>
        <w:pStyle w:val="Paragraphedeliste"/>
        <w:numPr>
          <w:ilvl w:val="0"/>
          <w:numId w:val="2"/>
        </w:numPr>
        <w:rPr>
          <w:sz w:val="24"/>
          <w:lang w:val="fr-FR"/>
        </w:rPr>
      </w:pPr>
      <w:r w:rsidRPr="00E90C84">
        <w:rPr>
          <w:sz w:val="24"/>
          <w:lang w:val="fr-FR"/>
        </w:rPr>
        <w:t xml:space="preserve">L’organisation des campagnes de dépistage des enfants et des adolescents lors des Semaines et de Mois de la santé de la mère et de l’enfant. </w:t>
      </w:r>
    </w:p>
    <w:p w:rsidR="005B4218" w:rsidRPr="001F573D" w:rsidRDefault="005B4218" w:rsidP="00CD731C">
      <w:pPr>
        <w:rPr>
          <w:sz w:val="18"/>
          <w:lang w:val="fr-FR"/>
        </w:rPr>
      </w:pPr>
    </w:p>
    <w:p w:rsidR="00CD731C" w:rsidRPr="00E90C84" w:rsidRDefault="00CD731C" w:rsidP="00CD731C">
      <w:pPr>
        <w:rPr>
          <w:sz w:val="24"/>
          <w:lang w:val="fr-FR"/>
        </w:rPr>
      </w:pPr>
      <w:r w:rsidRPr="00E90C84">
        <w:rPr>
          <w:sz w:val="24"/>
          <w:lang w:val="fr-FR"/>
        </w:rPr>
        <w:t>Les opportunités des Semaines et de Mois de la santé de la mère et de l’enfant doivent être saisies pour intégrer le volet ‘Prise en charge du VIH chez l’enfant et l’adolescent’ dans les activités. En effet, ces activ</w:t>
      </w:r>
      <w:r w:rsidR="00AD41A5">
        <w:rPr>
          <w:sz w:val="24"/>
          <w:lang w:val="fr-FR"/>
        </w:rPr>
        <w:t>ités</w:t>
      </w:r>
      <w:r w:rsidRPr="00E90C84">
        <w:rPr>
          <w:sz w:val="24"/>
          <w:lang w:val="fr-FR"/>
        </w:rPr>
        <w:t xml:space="preserve"> mobilisent les détenteurs d’enjeux autour de la santé de la mère et de l’enfant et permettent de toucher une proportion importante d’enfants surtout de 0-5 ans. Des campagnes de dépistage peuvent donc être organisées lors de ces activités.</w:t>
      </w:r>
    </w:p>
    <w:p w:rsidR="00CD731C" w:rsidRPr="001F573D" w:rsidRDefault="00CD731C" w:rsidP="00CD731C">
      <w:pPr>
        <w:rPr>
          <w:sz w:val="20"/>
          <w:lang w:val="fr-FR"/>
        </w:rPr>
      </w:pPr>
    </w:p>
    <w:p w:rsidR="003914FB" w:rsidRPr="00E90C84" w:rsidRDefault="00562CAF" w:rsidP="00C54E8C">
      <w:pPr>
        <w:rPr>
          <w:b/>
          <w:sz w:val="24"/>
          <w:lang w:val="fr-FR"/>
        </w:rPr>
      </w:pPr>
      <w:r w:rsidRPr="00E90C84">
        <w:rPr>
          <w:b/>
          <w:sz w:val="24"/>
          <w:lang w:val="fr-FR"/>
        </w:rPr>
        <w:t>Intervention 4</w:t>
      </w:r>
      <w:r w:rsidR="003914FB" w:rsidRPr="00E90C84">
        <w:rPr>
          <w:b/>
          <w:sz w:val="24"/>
          <w:lang w:val="fr-FR"/>
        </w:rPr>
        <w:t xml:space="preserve"> : </w:t>
      </w:r>
      <w:r w:rsidR="0098627C" w:rsidRPr="00E90C84">
        <w:rPr>
          <w:b/>
          <w:sz w:val="24"/>
          <w:lang w:val="fr-FR"/>
        </w:rPr>
        <w:t>Décentralisation de l’i</w:t>
      </w:r>
      <w:r w:rsidR="003914FB" w:rsidRPr="00E90C84">
        <w:rPr>
          <w:b/>
          <w:sz w:val="24"/>
          <w:lang w:val="fr-FR"/>
        </w:rPr>
        <w:t xml:space="preserve">nitiation du TARV, </w:t>
      </w:r>
      <w:r w:rsidR="0098627C" w:rsidRPr="00E90C84">
        <w:rPr>
          <w:b/>
          <w:sz w:val="24"/>
          <w:lang w:val="fr-FR"/>
        </w:rPr>
        <w:t xml:space="preserve">du </w:t>
      </w:r>
      <w:r w:rsidR="003914FB" w:rsidRPr="00E90C84">
        <w:rPr>
          <w:b/>
          <w:sz w:val="24"/>
          <w:lang w:val="fr-FR"/>
        </w:rPr>
        <w:t xml:space="preserve">suivi et </w:t>
      </w:r>
      <w:r w:rsidR="0098627C" w:rsidRPr="00E90C84">
        <w:rPr>
          <w:b/>
          <w:sz w:val="24"/>
          <w:lang w:val="fr-FR"/>
        </w:rPr>
        <w:t xml:space="preserve">de la </w:t>
      </w:r>
      <w:r w:rsidR="003914FB" w:rsidRPr="00E90C84">
        <w:rPr>
          <w:b/>
          <w:sz w:val="24"/>
          <w:lang w:val="fr-FR"/>
        </w:rPr>
        <w:t>rétention des enfants infectés par le VIH</w:t>
      </w:r>
    </w:p>
    <w:p w:rsidR="005B4218" w:rsidRPr="001F573D" w:rsidRDefault="005B4218" w:rsidP="00C54E8C">
      <w:pPr>
        <w:rPr>
          <w:b/>
          <w:sz w:val="18"/>
          <w:lang w:val="fr-FR"/>
        </w:rPr>
      </w:pPr>
    </w:p>
    <w:p w:rsidR="002F203B" w:rsidRPr="00E90C84" w:rsidRDefault="002F203B" w:rsidP="00C54E8C">
      <w:pPr>
        <w:rPr>
          <w:sz w:val="24"/>
          <w:lang w:val="fr-FR"/>
        </w:rPr>
      </w:pPr>
      <w:r w:rsidRPr="00E90C84">
        <w:rPr>
          <w:sz w:val="24"/>
          <w:lang w:val="fr-FR"/>
        </w:rPr>
        <w:t>Les activités à mettre en œuvre sont :</w:t>
      </w:r>
    </w:p>
    <w:p w:rsidR="005B4218" w:rsidRPr="001F573D" w:rsidRDefault="005B4218" w:rsidP="00C54E8C">
      <w:pPr>
        <w:rPr>
          <w:sz w:val="18"/>
          <w:lang w:val="fr-FR"/>
        </w:rPr>
      </w:pPr>
    </w:p>
    <w:p w:rsidR="00E50A58" w:rsidRPr="00E90C84" w:rsidRDefault="002F203B" w:rsidP="009B2B2E">
      <w:pPr>
        <w:pStyle w:val="Paragraphedeliste"/>
        <w:numPr>
          <w:ilvl w:val="0"/>
          <w:numId w:val="2"/>
        </w:numPr>
        <w:rPr>
          <w:sz w:val="24"/>
          <w:lang w:val="fr-FR"/>
        </w:rPr>
      </w:pPr>
      <w:r w:rsidRPr="00E90C84">
        <w:rPr>
          <w:sz w:val="24"/>
          <w:lang w:val="fr-FR"/>
        </w:rPr>
        <w:t>L’élaboration et la diffusion d’algorithmes de traitement simplifiés et adaptés à chaque niveau de soins</w:t>
      </w:r>
    </w:p>
    <w:p w:rsidR="002F203B" w:rsidRPr="00E90C84" w:rsidRDefault="00E50A58" w:rsidP="00E90C84">
      <w:pPr>
        <w:ind w:left="708"/>
        <w:rPr>
          <w:sz w:val="24"/>
          <w:lang w:val="fr-FR"/>
        </w:rPr>
      </w:pPr>
      <w:r w:rsidRPr="00E90C84">
        <w:rPr>
          <w:sz w:val="24"/>
          <w:lang w:val="fr-FR"/>
        </w:rPr>
        <w:t>Ces normes doivent tenir compte de la délégation des tâches de PECP vers le personnel polyvalent et les communautés, de la décentralisation vers les structures périphériques (centres de santé) et de l’intégration dans les services de SRMNIA</w:t>
      </w:r>
      <w:r w:rsidR="00CC7298" w:rsidRPr="00E90C84">
        <w:rPr>
          <w:sz w:val="24"/>
          <w:lang w:val="fr-FR"/>
        </w:rPr>
        <w:t>.</w:t>
      </w:r>
    </w:p>
    <w:p w:rsidR="00E90C84" w:rsidRPr="001F573D" w:rsidRDefault="00E90C84" w:rsidP="00E90C84">
      <w:pPr>
        <w:ind w:left="708"/>
        <w:rPr>
          <w:sz w:val="18"/>
          <w:lang w:val="fr-FR"/>
        </w:rPr>
      </w:pPr>
    </w:p>
    <w:p w:rsidR="002F203B" w:rsidRPr="00E90C84" w:rsidRDefault="002F203B" w:rsidP="009B2B2E">
      <w:pPr>
        <w:pStyle w:val="Paragraphedeliste"/>
        <w:numPr>
          <w:ilvl w:val="0"/>
          <w:numId w:val="2"/>
        </w:numPr>
        <w:rPr>
          <w:sz w:val="24"/>
          <w:lang w:val="fr-FR"/>
        </w:rPr>
      </w:pPr>
      <w:r w:rsidRPr="00E90C84">
        <w:rPr>
          <w:sz w:val="24"/>
          <w:lang w:val="fr-FR"/>
        </w:rPr>
        <w:t>L’établissement du lien entre le suivi de l’enfant et celui du parent (mère, père)</w:t>
      </w:r>
    </w:p>
    <w:p w:rsidR="00E50A58" w:rsidRPr="00E90C84" w:rsidRDefault="00E50A58" w:rsidP="00E90C84">
      <w:pPr>
        <w:ind w:left="708"/>
        <w:rPr>
          <w:sz w:val="24"/>
          <w:lang w:val="fr-FR"/>
        </w:rPr>
      </w:pPr>
      <w:r w:rsidRPr="00E90C84">
        <w:rPr>
          <w:sz w:val="24"/>
          <w:lang w:val="fr-FR"/>
        </w:rPr>
        <w:t>Les parents ou tuteurs étant les garants de l’adhérence des enfants au TARV, il faudrait autant que possible coupler les rendez-vous de l’enfant à ce</w:t>
      </w:r>
      <w:r w:rsidR="00193438">
        <w:rPr>
          <w:sz w:val="24"/>
          <w:lang w:val="fr-FR"/>
        </w:rPr>
        <w:t>ux</w:t>
      </w:r>
      <w:r w:rsidRPr="00E90C84">
        <w:rPr>
          <w:sz w:val="24"/>
          <w:lang w:val="fr-FR"/>
        </w:rPr>
        <w:t xml:space="preserve"> du parent infecté pour réduire les coûts indirects pour les parents.</w:t>
      </w:r>
    </w:p>
    <w:p w:rsidR="00E90C84" w:rsidRPr="001F573D" w:rsidRDefault="00E90C84" w:rsidP="00E90C84">
      <w:pPr>
        <w:ind w:left="708"/>
        <w:rPr>
          <w:sz w:val="18"/>
          <w:lang w:val="fr-FR"/>
        </w:rPr>
      </w:pPr>
    </w:p>
    <w:p w:rsidR="00E50A58" w:rsidRPr="00E90C84" w:rsidRDefault="002F203B" w:rsidP="009B2B2E">
      <w:pPr>
        <w:pStyle w:val="Paragraphedeliste"/>
        <w:numPr>
          <w:ilvl w:val="0"/>
          <w:numId w:val="2"/>
        </w:numPr>
        <w:rPr>
          <w:sz w:val="24"/>
          <w:lang w:val="fr-FR"/>
        </w:rPr>
      </w:pPr>
      <w:r w:rsidRPr="00E90C84">
        <w:rPr>
          <w:sz w:val="24"/>
          <w:lang w:val="fr-FR"/>
        </w:rPr>
        <w:t>La contre référence des patients stabilisés à l’échelon inférieur pour le suivi</w:t>
      </w:r>
    </w:p>
    <w:p w:rsidR="002F203B" w:rsidRPr="00E90C84" w:rsidRDefault="00E50A58" w:rsidP="00E90C84">
      <w:pPr>
        <w:ind w:left="708"/>
        <w:rPr>
          <w:sz w:val="24"/>
          <w:lang w:val="fr-FR"/>
        </w:rPr>
      </w:pPr>
      <w:r w:rsidRPr="00E90C84">
        <w:rPr>
          <w:sz w:val="24"/>
          <w:lang w:val="fr-FR"/>
        </w:rPr>
        <w:t>Ceci permet de réduire la charge de travail et de concentrer les efforts sur la prise en charge des cas compliqués.</w:t>
      </w:r>
    </w:p>
    <w:p w:rsidR="00E90C84" w:rsidRPr="001F573D" w:rsidRDefault="00E90C84" w:rsidP="00E90C84">
      <w:pPr>
        <w:ind w:left="708"/>
        <w:rPr>
          <w:sz w:val="18"/>
          <w:lang w:val="fr-FR"/>
        </w:rPr>
      </w:pPr>
    </w:p>
    <w:p w:rsidR="00227A6B" w:rsidRPr="00E90C84" w:rsidRDefault="00227A6B" w:rsidP="009B2B2E">
      <w:pPr>
        <w:pStyle w:val="Paragraphedeliste"/>
        <w:numPr>
          <w:ilvl w:val="0"/>
          <w:numId w:val="2"/>
        </w:numPr>
        <w:jc w:val="left"/>
        <w:rPr>
          <w:sz w:val="24"/>
          <w:lang w:val="fr-FR"/>
        </w:rPr>
      </w:pPr>
      <w:r w:rsidRPr="00E90C84">
        <w:rPr>
          <w:sz w:val="24"/>
          <w:lang w:val="fr-FR"/>
        </w:rPr>
        <w:t>La recherche active des perdus de vue</w:t>
      </w:r>
    </w:p>
    <w:p w:rsidR="00562CAF" w:rsidRPr="00E90C84" w:rsidRDefault="00227A6B" w:rsidP="00E90C84">
      <w:pPr>
        <w:ind w:left="708"/>
        <w:rPr>
          <w:sz w:val="24"/>
          <w:lang w:val="fr-FR"/>
        </w:rPr>
      </w:pPr>
      <w:r w:rsidRPr="00E90C84">
        <w:rPr>
          <w:sz w:val="24"/>
          <w:lang w:val="fr-FR"/>
        </w:rPr>
        <w:t>Les acteurs communautaires doivent jouer un rôle clé dans le soutien psychosocial des PVVIH.</w:t>
      </w:r>
      <w:r w:rsidR="00562CAF" w:rsidRPr="00E90C84">
        <w:rPr>
          <w:sz w:val="24"/>
          <w:lang w:val="fr-FR"/>
        </w:rPr>
        <w:t xml:space="preserve"> Les activités </w:t>
      </w:r>
      <w:r w:rsidR="00193438">
        <w:rPr>
          <w:sz w:val="24"/>
          <w:lang w:val="fr-FR"/>
        </w:rPr>
        <w:t xml:space="preserve">spécifiques </w:t>
      </w:r>
      <w:r w:rsidR="00562CAF" w:rsidRPr="00E90C84">
        <w:rPr>
          <w:sz w:val="24"/>
          <w:lang w:val="fr-FR"/>
        </w:rPr>
        <w:t>à mener sont :</w:t>
      </w:r>
    </w:p>
    <w:p w:rsidR="00E90C84" w:rsidRPr="001F573D" w:rsidRDefault="00E90C84" w:rsidP="00E90C84">
      <w:pPr>
        <w:ind w:left="708"/>
        <w:rPr>
          <w:sz w:val="18"/>
          <w:lang w:val="fr-FR"/>
        </w:rPr>
      </w:pPr>
    </w:p>
    <w:p w:rsidR="00562CAF" w:rsidRPr="00E90C84" w:rsidRDefault="00562CAF" w:rsidP="009B2B2E">
      <w:pPr>
        <w:pStyle w:val="Paragraphedeliste"/>
        <w:numPr>
          <w:ilvl w:val="1"/>
          <w:numId w:val="5"/>
        </w:numPr>
        <w:rPr>
          <w:sz w:val="24"/>
          <w:lang w:val="fr-FR"/>
        </w:rPr>
      </w:pPr>
      <w:r w:rsidRPr="00E90C84">
        <w:rPr>
          <w:sz w:val="24"/>
          <w:lang w:val="fr-FR"/>
        </w:rPr>
        <w:t>Les visites à domicile pour mieux localiser les PVVIH</w:t>
      </w:r>
    </w:p>
    <w:p w:rsidR="00562CAF" w:rsidRPr="00E90C84" w:rsidRDefault="00562CAF" w:rsidP="009B2B2E">
      <w:pPr>
        <w:pStyle w:val="Paragraphedeliste"/>
        <w:numPr>
          <w:ilvl w:val="1"/>
          <w:numId w:val="5"/>
        </w:numPr>
        <w:rPr>
          <w:sz w:val="24"/>
          <w:lang w:val="fr-FR"/>
        </w:rPr>
      </w:pPr>
      <w:r w:rsidRPr="00E90C84">
        <w:rPr>
          <w:sz w:val="24"/>
          <w:lang w:val="fr-FR"/>
        </w:rPr>
        <w:t>Les appels téléphoniques pour rappeler les rendez-vous et l’observance du traitement</w:t>
      </w:r>
      <w:r w:rsidR="00CC7298" w:rsidRPr="00E90C84">
        <w:rPr>
          <w:sz w:val="24"/>
          <w:lang w:val="fr-FR"/>
        </w:rPr>
        <w:t>.</w:t>
      </w:r>
    </w:p>
    <w:p w:rsidR="00562CAF" w:rsidRPr="001F573D" w:rsidRDefault="00562CAF" w:rsidP="00227A6B">
      <w:pPr>
        <w:ind w:left="708" w:hanging="708"/>
        <w:jc w:val="left"/>
        <w:rPr>
          <w:sz w:val="18"/>
          <w:lang w:val="fr-FR"/>
        </w:rPr>
      </w:pPr>
    </w:p>
    <w:p w:rsidR="000123EE" w:rsidRPr="00E90C84" w:rsidRDefault="00DB2CD3" w:rsidP="00E90C84">
      <w:pPr>
        <w:pStyle w:val="Titre3"/>
        <w:numPr>
          <w:ilvl w:val="2"/>
          <w:numId w:val="20"/>
        </w:numPr>
        <w:spacing w:before="0"/>
        <w:ind w:left="567" w:hanging="567"/>
        <w:rPr>
          <w:color w:val="auto"/>
          <w:sz w:val="24"/>
          <w:lang w:val="fr-FR"/>
        </w:rPr>
      </w:pPr>
      <w:bookmarkStart w:id="66" w:name="_Toc480382939"/>
      <w:r w:rsidRPr="00E90C84">
        <w:rPr>
          <w:color w:val="auto"/>
          <w:sz w:val="24"/>
          <w:lang w:val="fr-FR"/>
        </w:rPr>
        <w:t>Renforcement de la m</w:t>
      </w:r>
      <w:r w:rsidR="000169FE" w:rsidRPr="00E90C84">
        <w:rPr>
          <w:color w:val="auto"/>
          <w:sz w:val="24"/>
          <w:lang w:val="fr-FR"/>
        </w:rPr>
        <w:t>obilisation communautaire</w:t>
      </w:r>
      <w:r w:rsidRPr="00E90C84">
        <w:rPr>
          <w:color w:val="auto"/>
          <w:sz w:val="24"/>
          <w:lang w:val="fr-FR"/>
        </w:rPr>
        <w:t xml:space="preserve"> pour la prise en charge pédiatrique de qualité</w:t>
      </w:r>
      <w:bookmarkEnd w:id="66"/>
    </w:p>
    <w:p w:rsidR="004D737E" w:rsidRPr="001F573D" w:rsidRDefault="004D737E" w:rsidP="000169FE">
      <w:pPr>
        <w:rPr>
          <w:sz w:val="16"/>
          <w:lang w:val="fr-FR"/>
        </w:rPr>
      </w:pPr>
    </w:p>
    <w:p w:rsidR="000169FE" w:rsidRPr="00E90C84" w:rsidRDefault="003914FB" w:rsidP="000169FE">
      <w:pPr>
        <w:rPr>
          <w:b/>
          <w:sz w:val="24"/>
          <w:lang w:val="fr-FR"/>
        </w:rPr>
      </w:pPr>
      <w:r w:rsidRPr="00E90C84">
        <w:rPr>
          <w:b/>
          <w:sz w:val="24"/>
          <w:lang w:val="fr-FR"/>
        </w:rPr>
        <w:t xml:space="preserve">Intervention 1 : </w:t>
      </w:r>
      <w:r w:rsidR="00AD6AFA" w:rsidRPr="00E90C84">
        <w:rPr>
          <w:b/>
          <w:sz w:val="24"/>
          <w:lang w:val="fr-FR"/>
        </w:rPr>
        <w:t>Renforcement de la communication et de la mobilisation sociale en faveur de la PECP</w:t>
      </w:r>
    </w:p>
    <w:p w:rsidR="00E90C84" w:rsidRPr="001F573D" w:rsidRDefault="00E90C84" w:rsidP="000169FE">
      <w:pPr>
        <w:rPr>
          <w:sz w:val="16"/>
          <w:lang w:val="fr-FR"/>
        </w:rPr>
      </w:pPr>
    </w:p>
    <w:p w:rsidR="00823F0D" w:rsidRPr="00E90C84" w:rsidRDefault="00823F0D" w:rsidP="000169FE">
      <w:pPr>
        <w:rPr>
          <w:sz w:val="24"/>
          <w:lang w:val="fr-FR"/>
        </w:rPr>
      </w:pPr>
      <w:r w:rsidRPr="00E90C84">
        <w:rPr>
          <w:sz w:val="24"/>
          <w:lang w:val="fr-FR"/>
        </w:rPr>
        <w:t>Les principales activités sont :</w:t>
      </w:r>
    </w:p>
    <w:p w:rsidR="00E90C84" w:rsidRPr="001F573D" w:rsidRDefault="00E90C84" w:rsidP="000169FE">
      <w:pPr>
        <w:rPr>
          <w:sz w:val="18"/>
          <w:lang w:val="fr-FR"/>
        </w:rPr>
      </w:pPr>
    </w:p>
    <w:p w:rsidR="00B37B5B" w:rsidRPr="00E90C84" w:rsidRDefault="00B37B5B" w:rsidP="009B2B2E">
      <w:pPr>
        <w:pStyle w:val="Paragraphedeliste"/>
        <w:numPr>
          <w:ilvl w:val="0"/>
          <w:numId w:val="2"/>
        </w:numPr>
        <w:rPr>
          <w:sz w:val="24"/>
          <w:lang w:val="fr-FR"/>
        </w:rPr>
      </w:pPr>
      <w:r w:rsidRPr="00E90C84">
        <w:rPr>
          <w:sz w:val="24"/>
          <w:lang w:val="fr-FR"/>
        </w:rPr>
        <w:t>L’élaboration du plan de communication sur la prise en charge du VIH en Guinée avec un accent sur la PECP</w:t>
      </w:r>
    </w:p>
    <w:p w:rsidR="00B37B5B" w:rsidRPr="00E90C84" w:rsidRDefault="00B37B5B" w:rsidP="009B2B2E">
      <w:pPr>
        <w:pStyle w:val="Paragraphedeliste"/>
        <w:numPr>
          <w:ilvl w:val="0"/>
          <w:numId w:val="2"/>
        </w:numPr>
        <w:rPr>
          <w:sz w:val="24"/>
          <w:lang w:val="fr-FR"/>
        </w:rPr>
      </w:pPr>
      <w:r w:rsidRPr="00E90C84">
        <w:rPr>
          <w:sz w:val="24"/>
          <w:lang w:val="fr-FR"/>
        </w:rPr>
        <w:t>Le renforcement des capacités des communicateurs en matière de PECP</w:t>
      </w:r>
    </w:p>
    <w:p w:rsidR="00823F0D" w:rsidRPr="00E90C84" w:rsidRDefault="00547C80" w:rsidP="009B2B2E">
      <w:pPr>
        <w:pStyle w:val="Paragraphedeliste"/>
        <w:numPr>
          <w:ilvl w:val="0"/>
          <w:numId w:val="2"/>
        </w:numPr>
        <w:rPr>
          <w:sz w:val="24"/>
          <w:lang w:val="fr-FR"/>
        </w:rPr>
      </w:pPr>
      <w:r w:rsidRPr="00E90C84">
        <w:rPr>
          <w:sz w:val="24"/>
          <w:lang w:val="fr-FR"/>
        </w:rPr>
        <w:t>La conception et la diffusion des messages en faveur de la PECP (télévision, radio, presse écrite, dépliants et affiches)</w:t>
      </w:r>
    </w:p>
    <w:p w:rsidR="00547C80" w:rsidRPr="00E90C84" w:rsidRDefault="00547C80" w:rsidP="009B2B2E">
      <w:pPr>
        <w:pStyle w:val="Paragraphedeliste"/>
        <w:numPr>
          <w:ilvl w:val="0"/>
          <w:numId w:val="2"/>
        </w:numPr>
        <w:rPr>
          <w:sz w:val="24"/>
          <w:lang w:val="fr-FR"/>
        </w:rPr>
      </w:pPr>
      <w:r w:rsidRPr="00E90C84">
        <w:rPr>
          <w:sz w:val="24"/>
          <w:lang w:val="fr-FR"/>
        </w:rPr>
        <w:t>L’inclusion de la PECP dans les opérations « Semaines et Mois de la mère et de l’enfant »</w:t>
      </w:r>
      <w:r w:rsidR="00CC7298" w:rsidRPr="00E90C84">
        <w:rPr>
          <w:sz w:val="24"/>
          <w:lang w:val="fr-FR"/>
        </w:rPr>
        <w:t>.</w:t>
      </w:r>
    </w:p>
    <w:p w:rsidR="00CC7298" w:rsidRPr="00E90C84" w:rsidRDefault="00CC7298" w:rsidP="00CC7298">
      <w:pPr>
        <w:pStyle w:val="Paragraphedeliste"/>
        <w:rPr>
          <w:sz w:val="24"/>
          <w:lang w:val="fr-FR"/>
        </w:rPr>
      </w:pPr>
    </w:p>
    <w:p w:rsidR="00AD6AFA" w:rsidRPr="00E90C84" w:rsidRDefault="00AD6AFA" w:rsidP="000169FE">
      <w:pPr>
        <w:rPr>
          <w:b/>
          <w:sz w:val="24"/>
          <w:lang w:val="fr-FR"/>
        </w:rPr>
      </w:pPr>
      <w:r w:rsidRPr="00E90C84">
        <w:rPr>
          <w:b/>
          <w:sz w:val="24"/>
          <w:lang w:val="fr-FR"/>
        </w:rPr>
        <w:t xml:space="preserve">Intervention 2 : Définition </w:t>
      </w:r>
      <w:r w:rsidR="004D737E" w:rsidRPr="00E90C84">
        <w:rPr>
          <w:b/>
          <w:sz w:val="24"/>
          <w:lang w:val="fr-FR"/>
        </w:rPr>
        <w:t xml:space="preserve">et mise en œuvre </w:t>
      </w:r>
      <w:r w:rsidRPr="00E90C84">
        <w:rPr>
          <w:b/>
          <w:sz w:val="24"/>
          <w:lang w:val="fr-FR"/>
        </w:rPr>
        <w:t>du paquet de soins communautaires de PECP</w:t>
      </w:r>
    </w:p>
    <w:p w:rsidR="00E90C84" w:rsidRDefault="00E90C84" w:rsidP="000169FE">
      <w:pPr>
        <w:rPr>
          <w:sz w:val="24"/>
          <w:lang w:val="fr-FR"/>
        </w:rPr>
      </w:pPr>
    </w:p>
    <w:p w:rsidR="00B37B5B" w:rsidRDefault="004C2F84" w:rsidP="000169FE">
      <w:pPr>
        <w:rPr>
          <w:sz w:val="24"/>
          <w:lang w:val="fr-FR"/>
        </w:rPr>
      </w:pPr>
      <w:r w:rsidRPr="00E90C84">
        <w:rPr>
          <w:sz w:val="24"/>
          <w:lang w:val="fr-FR"/>
        </w:rPr>
        <w:t>Il s’agit de :</w:t>
      </w:r>
    </w:p>
    <w:p w:rsidR="00E90C84" w:rsidRPr="00E90C84" w:rsidRDefault="00E90C84" w:rsidP="000169FE">
      <w:pPr>
        <w:rPr>
          <w:sz w:val="24"/>
          <w:lang w:val="fr-FR"/>
        </w:rPr>
      </w:pPr>
    </w:p>
    <w:p w:rsidR="004C2F84" w:rsidRPr="00E90C84" w:rsidRDefault="004C2F84" w:rsidP="009B2B2E">
      <w:pPr>
        <w:pStyle w:val="Paragraphedeliste"/>
        <w:numPr>
          <w:ilvl w:val="0"/>
          <w:numId w:val="2"/>
        </w:numPr>
        <w:rPr>
          <w:sz w:val="24"/>
          <w:lang w:val="fr-FR"/>
        </w:rPr>
      </w:pPr>
      <w:r w:rsidRPr="00E90C84">
        <w:rPr>
          <w:sz w:val="24"/>
          <w:lang w:val="fr-FR"/>
        </w:rPr>
        <w:t>L’identification des activités communautaires en matière de PECP (conseil dépistage, soutien psychosocial des PVVIH, recherche des perdus de vue, distribution des ARV aux patients stabilisés</w:t>
      </w:r>
      <w:r w:rsidR="00CC7298" w:rsidRPr="00E90C84">
        <w:rPr>
          <w:sz w:val="24"/>
          <w:lang w:val="fr-FR"/>
        </w:rPr>
        <w:t>)</w:t>
      </w:r>
    </w:p>
    <w:p w:rsidR="004C2F84" w:rsidRDefault="00757194" w:rsidP="009B2B2E">
      <w:pPr>
        <w:pStyle w:val="Paragraphedeliste"/>
        <w:numPr>
          <w:ilvl w:val="0"/>
          <w:numId w:val="2"/>
        </w:numPr>
        <w:rPr>
          <w:sz w:val="24"/>
          <w:lang w:val="fr-FR"/>
        </w:rPr>
      </w:pPr>
      <w:r w:rsidRPr="00E90C84">
        <w:rPr>
          <w:sz w:val="24"/>
          <w:lang w:val="fr-FR"/>
        </w:rPr>
        <w:t>L’é</w:t>
      </w:r>
      <w:r w:rsidR="004C2F84" w:rsidRPr="00E90C84">
        <w:rPr>
          <w:sz w:val="24"/>
          <w:lang w:val="fr-FR"/>
        </w:rPr>
        <w:t xml:space="preserve">laboration et </w:t>
      </w:r>
      <w:r w:rsidRPr="00E90C84">
        <w:rPr>
          <w:sz w:val="24"/>
          <w:lang w:val="fr-FR"/>
        </w:rPr>
        <w:t xml:space="preserve">la </w:t>
      </w:r>
      <w:r w:rsidR="004C2F84" w:rsidRPr="00E90C84">
        <w:rPr>
          <w:sz w:val="24"/>
          <w:lang w:val="fr-FR"/>
        </w:rPr>
        <w:t>diffusion des Directives de prise en charge communautaire du VIH chez l’enfant</w:t>
      </w:r>
    </w:p>
    <w:p w:rsidR="00E90C84" w:rsidRPr="00E90C84" w:rsidRDefault="00E90C84" w:rsidP="00E90C84">
      <w:pPr>
        <w:pStyle w:val="Paragraphedeliste"/>
        <w:rPr>
          <w:sz w:val="24"/>
          <w:lang w:val="fr-FR"/>
        </w:rPr>
      </w:pPr>
    </w:p>
    <w:p w:rsidR="00AD6AFA" w:rsidRPr="00E90C84" w:rsidRDefault="00AD6AFA" w:rsidP="000169FE">
      <w:pPr>
        <w:rPr>
          <w:b/>
          <w:sz w:val="24"/>
          <w:lang w:val="fr-FR"/>
        </w:rPr>
      </w:pPr>
      <w:r w:rsidRPr="00E90C84">
        <w:rPr>
          <w:b/>
          <w:sz w:val="24"/>
          <w:lang w:val="fr-FR"/>
        </w:rPr>
        <w:t xml:space="preserve">Intervention 3 : Renforcement des capacités des </w:t>
      </w:r>
      <w:r w:rsidR="004D737E" w:rsidRPr="00E90C84">
        <w:rPr>
          <w:b/>
          <w:sz w:val="24"/>
          <w:lang w:val="fr-FR"/>
        </w:rPr>
        <w:t>médiateurs communautaires et des associations impliquées dans la lutte contre le VIH</w:t>
      </w:r>
    </w:p>
    <w:p w:rsidR="00E90C84" w:rsidRPr="00C361CB" w:rsidRDefault="00E90C84" w:rsidP="000169FE">
      <w:pPr>
        <w:rPr>
          <w:b/>
          <w:lang w:val="fr-FR"/>
        </w:rPr>
      </w:pPr>
    </w:p>
    <w:p w:rsidR="00C361CB" w:rsidRPr="00E90C84" w:rsidRDefault="004C2F84" w:rsidP="009B2B2E">
      <w:pPr>
        <w:pStyle w:val="Paragraphedeliste"/>
        <w:numPr>
          <w:ilvl w:val="0"/>
          <w:numId w:val="2"/>
        </w:numPr>
        <w:rPr>
          <w:sz w:val="24"/>
          <w:lang w:val="fr-FR"/>
        </w:rPr>
      </w:pPr>
      <w:r w:rsidRPr="00E90C84">
        <w:rPr>
          <w:sz w:val="24"/>
          <w:lang w:val="fr-FR"/>
        </w:rPr>
        <w:t xml:space="preserve">Le renforcement des </w:t>
      </w:r>
      <w:r w:rsidR="00C361CB" w:rsidRPr="00E90C84">
        <w:rPr>
          <w:sz w:val="24"/>
          <w:lang w:val="fr-FR"/>
        </w:rPr>
        <w:t>compétences</w:t>
      </w:r>
      <w:r w:rsidRPr="00E90C84">
        <w:rPr>
          <w:sz w:val="24"/>
          <w:lang w:val="fr-FR"/>
        </w:rPr>
        <w:t xml:space="preserve"> des communautés </w:t>
      </w:r>
    </w:p>
    <w:p w:rsidR="00E90C84" w:rsidRDefault="00E90C84" w:rsidP="00C361CB">
      <w:pPr>
        <w:rPr>
          <w:sz w:val="24"/>
          <w:lang w:val="fr-FR"/>
        </w:rPr>
      </w:pPr>
    </w:p>
    <w:p w:rsidR="004C2F84" w:rsidRPr="00E90C84" w:rsidRDefault="00C361CB" w:rsidP="00E90C84">
      <w:pPr>
        <w:ind w:left="708"/>
        <w:rPr>
          <w:sz w:val="24"/>
          <w:lang w:val="fr-FR"/>
        </w:rPr>
      </w:pPr>
      <w:r w:rsidRPr="00E90C84">
        <w:rPr>
          <w:sz w:val="24"/>
          <w:lang w:val="fr-FR"/>
        </w:rPr>
        <w:t xml:space="preserve">L’amélioration des compétences des communautés </w:t>
      </w:r>
      <w:r w:rsidR="004C2F84" w:rsidRPr="00E90C84">
        <w:rPr>
          <w:sz w:val="24"/>
          <w:lang w:val="fr-FR"/>
        </w:rPr>
        <w:t>est crucial</w:t>
      </w:r>
      <w:r w:rsidRPr="00E90C84">
        <w:rPr>
          <w:sz w:val="24"/>
          <w:lang w:val="fr-FR"/>
        </w:rPr>
        <w:t>e</w:t>
      </w:r>
      <w:r w:rsidR="004C2F84" w:rsidRPr="00E90C84">
        <w:rPr>
          <w:sz w:val="24"/>
          <w:lang w:val="fr-FR"/>
        </w:rPr>
        <w:t xml:space="preserve"> pour accroitre la demande et l’utilisation des services ainsi que la rétention aux soins. En effet, la forte accélération de la PECP va entrainer une augmentation rapide de la charge de travail au niveau des formations sanitaires qui doivent répondre aux autres besoins des populations. Dans ce contexte, il faudrait décentraliser un certain paquet de soins au niveau communautaire non seulement pour rapprocher les soins des bénéficiaires mais aussi pour favoriser l’acceptabilité à travers </w:t>
      </w:r>
      <w:r w:rsidR="00AC3237">
        <w:rPr>
          <w:sz w:val="24"/>
          <w:lang w:val="fr-FR"/>
        </w:rPr>
        <w:t>d</w:t>
      </w:r>
      <w:r w:rsidR="004C2F84" w:rsidRPr="00E90C84">
        <w:rPr>
          <w:sz w:val="24"/>
          <w:lang w:val="fr-FR"/>
        </w:rPr>
        <w:t>es pairs éducat</w:t>
      </w:r>
      <w:r w:rsidR="00EE1EF2" w:rsidRPr="00E90C84">
        <w:rPr>
          <w:sz w:val="24"/>
          <w:lang w:val="fr-FR"/>
        </w:rPr>
        <w:t>eurs (surtout issus des PVVIH).</w:t>
      </w:r>
    </w:p>
    <w:p w:rsidR="00EE1EF2" w:rsidRPr="00E90C84" w:rsidRDefault="00EE1EF2" w:rsidP="00C361CB">
      <w:pPr>
        <w:rPr>
          <w:sz w:val="24"/>
          <w:lang w:val="fr-FR"/>
        </w:rPr>
      </w:pPr>
    </w:p>
    <w:p w:rsidR="00C361CB" w:rsidRDefault="00C361CB" w:rsidP="009B2B2E">
      <w:pPr>
        <w:pStyle w:val="Paragraphedeliste"/>
        <w:numPr>
          <w:ilvl w:val="0"/>
          <w:numId w:val="2"/>
        </w:numPr>
        <w:rPr>
          <w:sz w:val="24"/>
          <w:lang w:val="fr-FR"/>
        </w:rPr>
      </w:pPr>
      <w:r w:rsidRPr="00E90C84">
        <w:rPr>
          <w:sz w:val="24"/>
          <w:lang w:val="fr-FR"/>
        </w:rPr>
        <w:t>L’allocation des outils de travail aux communautés (matériel et équipements, test de dépistage, médicaments ARV)</w:t>
      </w:r>
    </w:p>
    <w:p w:rsidR="00E90C84" w:rsidRPr="00E90C84" w:rsidRDefault="00E90C84" w:rsidP="00E90C84">
      <w:pPr>
        <w:pStyle w:val="Paragraphedeliste"/>
        <w:rPr>
          <w:sz w:val="24"/>
          <w:lang w:val="fr-FR"/>
        </w:rPr>
      </w:pPr>
    </w:p>
    <w:p w:rsidR="007D438A" w:rsidRPr="00E90C84" w:rsidRDefault="00C361CB" w:rsidP="00E90C84">
      <w:pPr>
        <w:ind w:left="708"/>
        <w:rPr>
          <w:sz w:val="24"/>
          <w:lang w:val="fr-FR"/>
        </w:rPr>
      </w:pPr>
      <w:r w:rsidRPr="00E90C84">
        <w:rPr>
          <w:sz w:val="24"/>
          <w:lang w:val="fr-FR"/>
        </w:rPr>
        <w:t xml:space="preserve">Comme dans le cas de l’intégration, les outils de travail doivent être en adéquation avec le paquet de soins à offrir. Ces outils vont du matériel de sensibilisation (dépliants, affiches, Guide du médiateur communautaire) au test de dépistage rapide et aux médicaments ARV. L’allocation doit dépendre du niveau de capacité atteint par le médiateur ou l’association communautaire. Ici, le coaching du niveau communautaire </w:t>
      </w:r>
      <w:r w:rsidR="00217CDA" w:rsidRPr="00E90C84">
        <w:rPr>
          <w:sz w:val="24"/>
          <w:lang w:val="fr-FR"/>
        </w:rPr>
        <w:t>par la formation sanitaire est impératif pour s’assurer de la formation continue et du respect des directives.</w:t>
      </w:r>
    </w:p>
    <w:p w:rsidR="00862C34" w:rsidRDefault="00862C34" w:rsidP="003168F7">
      <w:pPr>
        <w:rPr>
          <w:lang w:val="fr-FR"/>
        </w:rPr>
        <w:sectPr w:rsidR="00862C34" w:rsidSect="00862C34">
          <w:pgSz w:w="12240" w:h="15840"/>
          <w:pgMar w:top="1440" w:right="1440" w:bottom="1440" w:left="1440" w:header="720" w:footer="720" w:gutter="0"/>
          <w:cols w:space="720"/>
          <w:docGrid w:linePitch="360"/>
        </w:sectPr>
      </w:pPr>
    </w:p>
    <w:p w:rsidR="000123EE" w:rsidRDefault="000123EE" w:rsidP="003168F7">
      <w:pPr>
        <w:rPr>
          <w:lang w:val="fr-FR"/>
        </w:rPr>
      </w:pPr>
    </w:p>
    <w:p w:rsidR="007D438A" w:rsidRDefault="007D438A" w:rsidP="003168F7">
      <w:pPr>
        <w:rPr>
          <w:lang w:val="fr-FR"/>
        </w:rPr>
      </w:pPr>
    </w:p>
    <w:p w:rsidR="007D438A" w:rsidRDefault="007D438A" w:rsidP="003168F7">
      <w:pPr>
        <w:rPr>
          <w:lang w:val="fr-FR"/>
        </w:rPr>
      </w:pPr>
    </w:p>
    <w:p w:rsidR="00E90C84" w:rsidRDefault="00E90C84" w:rsidP="003168F7">
      <w:pPr>
        <w:rPr>
          <w:lang w:val="fr-FR"/>
        </w:rPr>
      </w:pPr>
    </w:p>
    <w:p w:rsidR="00E90C84" w:rsidRDefault="00E90C84" w:rsidP="003168F7">
      <w:pPr>
        <w:rPr>
          <w:lang w:val="fr-FR"/>
        </w:rPr>
      </w:pPr>
    </w:p>
    <w:p w:rsidR="00E90C84" w:rsidRDefault="00E90C84" w:rsidP="003168F7">
      <w:pPr>
        <w:rPr>
          <w:lang w:val="fr-FR"/>
        </w:rPr>
      </w:pPr>
    </w:p>
    <w:p w:rsidR="00E90C84" w:rsidRPr="00E1561C" w:rsidRDefault="00E90C84" w:rsidP="003168F7">
      <w:pPr>
        <w:rPr>
          <w:lang w:val="fr-FR"/>
        </w:rPr>
      </w:pPr>
    </w:p>
    <w:p w:rsidR="000123EE" w:rsidRDefault="000123EE" w:rsidP="000123EE">
      <w:pPr>
        <w:ind w:left="720" w:firstLine="720"/>
        <w:rPr>
          <w:lang w:val="fr-FR"/>
        </w:rPr>
      </w:pPr>
    </w:p>
    <w:p w:rsidR="00955AB4" w:rsidRDefault="00955AB4" w:rsidP="000123EE">
      <w:pPr>
        <w:ind w:left="720" w:firstLine="720"/>
        <w:rPr>
          <w:lang w:val="fr-FR"/>
        </w:rPr>
      </w:pPr>
    </w:p>
    <w:p w:rsidR="00955AB4" w:rsidRDefault="00955AB4" w:rsidP="000123EE">
      <w:pPr>
        <w:ind w:left="720" w:firstLine="720"/>
        <w:rPr>
          <w:lang w:val="fr-FR"/>
        </w:rPr>
      </w:pPr>
    </w:p>
    <w:p w:rsidR="00955AB4" w:rsidRDefault="00955AB4" w:rsidP="000123EE">
      <w:pPr>
        <w:ind w:left="720" w:firstLine="720"/>
        <w:rPr>
          <w:lang w:val="fr-FR"/>
        </w:rPr>
      </w:pPr>
    </w:p>
    <w:p w:rsidR="00955AB4" w:rsidRDefault="00955AB4" w:rsidP="000123EE">
      <w:pPr>
        <w:ind w:left="720" w:firstLine="720"/>
        <w:rPr>
          <w:lang w:val="fr-FR"/>
        </w:rPr>
      </w:pPr>
    </w:p>
    <w:p w:rsidR="00955AB4" w:rsidRDefault="00955AB4" w:rsidP="000123EE">
      <w:pPr>
        <w:ind w:left="720" w:firstLine="720"/>
        <w:rPr>
          <w:lang w:val="fr-FR"/>
        </w:rPr>
      </w:pPr>
    </w:p>
    <w:p w:rsidR="00955AB4" w:rsidRDefault="00955AB4" w:rsidP="000123EE">
      <w:pPr>
        <w:ind w:left="720" w:firstLine="720"/>
        <w:rPr>
          <w:lang w:val="fr-FR"/>
        </w:rPr>
      </w:pPr>
    </w:p>
    <w:p w:rsidR="00955AB4" w:rsidRDefault="00955AB4" w:rsidP="000123EE">
      <w:pPr>
        <w:ind w:left="720" w:firstLine="720"/>
        <w:rPr>
          <w:lang w:val="fr-FR"/>
        </w:rPr>
      </w:pPr>
    </w:p>
    <w:p w:rsidR="00820245" w:rsidRDefault="00820245" w:rsidP="000123EE">
      <w:pPr>
        <w:ind w:left="720" w:firstLine="720"/>
        <w:rPr>
          <w:lang w:val="fr-FR"/>
        </w:rPr>
      </w:pPr>
    </w:p>
    <w:p w:rsidR="00955AB4" w:rsidRPr="00E1561C" w:rsidRDefault="00955AB4" w:rsidP="000123EE">
      <w:pPr>
        <w:ind w:left="720" w:firstLine="720"/>
        <w:rPr>
          <w:lang w:val="fr-FR"/>
        </w:rPr>
      </w:pPr>
    </w:p>
    <w:p w:rsidR="007D438A" w:rsidRDefault="004D7FA0" w:rsidP="00862C34">
      <w:pPr>
        <w:pStyle w:val="Titre1"/>
        <w:spacing w:before="0"/>
        <w:jc w:val="center"/>
        <w:rPr>
          <w:sz w:val="40"/>
          <w:szCs w:val="40"/>
          <w:lang w:val="fr-FR"/>
        </w:rPr>
        <w:sectPr w:rsidR="007D438A" w:rsidSect="007533D5">
          <w:footerReference w:type="default" r:id="rId29"/>
          <w:pgSz w:w="12240" w:h="15840"/>
          <w:pgMar w:top="1440" w:right="1440" w:bottom="1440" w:left="1440" w:header="720" w:footer="720" w:gutter="0"/>
          <w:cols w:space="720"/>
          <w:docGrid w:linePitch="360"/>
        </w:sectPr>
      </w:pPr>
      <w:bookmarkStart w:id="67" w:name="_Toc480382940"/>
      <w:r w:rsidRPr="007D438A">
        <w:rPr>
          <w:sz w:val="40"/>
          <w:szCs w:val="40"/>
          <w:lang w:val="fr-FR"/>
        </w:rPr>
        <w:t>CHAPITRE 5</w:t>
      </w:r>
      <w:r w:rsidR="001F573D">
        <w:rPr>
          <w:sz w:val="40"/>
          <w:szCs w:val="40"/>
          <w:lang w:val="fr-FR"/>
        </w:rPr>
        <w:t> :</w:t>
      </w:r>
      <w:r w:rsidR="000123EE" w:rsidRPr="007D438A">
        <w:rPr>
          <w:sz w:val="40"/>
          <w:szCs w:val="40"/>
          <w:lang w:val="fr-FR"/>
        </w:rPr>
        <w:t>ROLES ET RESPONSABILITES DE</w:t>
      </w:r>
      <w:r w:rsidR="003168F7" w:rsidRPr="007D438A">
        <w:rPr>
          <w:sz w:val="40"/>
          <w:szCs w:val="40"/>
          <w:lang w:val="fr-FR"/>
        </w:rPr>
        <w:t>S ACTEURS DANS LA MISE EN ŒUVRE</w:t>
      </w:r>
      <w:bookmarkEnd w:id="67"/>
    </w:p>
    <w:p w:rsidR="008E1638" w:rsidRPr="00E90C84" w:rsidRDefault="008E1638" w:rsidP="00E90C84">
      <w:pPr>
        <w:pStyle w:val="Titre2"/>
        <w:numPr>
          <w:ilvl w:val="1"/>
          <w:numId w:val="21"/>
        </w:numPr>
        <w:spacing w:before="0"/>
        <w:ind w:left="567" w:hanging="567"/>
        <w:rPr>
          <w:color w:val="auto"/>
          <w:sz w:val="28"/>
          <w:szCs w:val="24"/>
          <w:lang w:val="fr-FR"/>
        </w:rPr>
      </w:pPr>
      <w:bookmarkStart w:id="68" w:name="_Toc480382941"/>
      <w:r w:rsidRPr="00E90C84">
        <w:rPr>
          <w:color w:val="auto"/>
          <w:sz w:val="28"/>
          <w:szCs w:val="24"/>
          <w:lang w:val="fr-FR"/>
        </w:rPr>
        <w:t xml:space="preserve">Le </w:t>
      </w:r>
      <w:r w:rsidR="000123EE" w:rsidRPr="00E90C84">
        <w:rPr>
          <w:color w:val="auto"/>
          <w:sz w:val="28"/>
          <w:szCs w:val="24"/>
          <w:lang w:val="fr-FR"/>
        </w:rPr>
        <w:t>PNPCSP</w:t>
      </w:r>
      <w:r w:rsidRPr="00E90C84">
        <w:rPr>
          <w:color w:val="auto"/>
          <w:sz w:val="28"/>
          <w:szCs w:val="24"/>
          <w:lang w:val="fr-FR"/>
        </w:rPr>
        <w:t xml:space="preserve"> et les Directions techniques du Ministère de la santé</w:t>
      </w:r>
      <w:bookmarkEnd w:id="68"/>
    </w:p>
    <w:p w:rsidR="00E90C84" w:rsidRPr="003D787F" w:rsidRDefault="00E90C84" w:rsidP="00E90C84">
      <w:pPr>
        <w:rPr>
          <w:sz w:val="14"/>
          <w:lang w:val="fr-FR"/>
        </w:rPr>
      </w:pPr>
    </w:p>
    <w:p w:rsidR="000123EE" w:rsidRPr="00E90C84" w:rsidRDefault="008E1638" w:rsidP="00E90C84">
      <w:pPr>
        <w:rPr>
          <w:sz w:val="24"/>
          <w:lang w:val="fr-FR"/>
        </w:rPr>
      </w:pPr>
      <w:r w:rsidRPr="00E90C84">
        <w:rPr>
          <w:sz w:val="24"/>
          <w:lang w:val="fr-FR"/>
        </w:rPr>
        <w:t>Le PNPCSP et les Directions techniques du Ministère de la Santé jouent un rôle clé de leadership et de coordination centrale. Ces instances doivent travailler en synergie pour développer les processus d’intégration des activités de PECP dans les services de SRMNIA/PTME. Par ailleurs, des supervisions et des formations intégrées peuvent être organisées.</w:t>
      </w:r>
    </w:p>
    <w:p w:rsidR="00E90C84" w:rsidRPr="003D787F" w:rsidRDefault="00E90C84" w:rsidP="00E90C84">
      <w:pPr>
        <w:rPr>
          <w:sz w:val="18"/>
          <w:lang w:val="fr-FR"/>
        </w:rPr>
      </w:pPr>
    </w:p>
    <w:p w:rsidR="00B21EBB" w:rsidRPr="00E90C84" w:rsidRDefault="008E1638" w:rsidP="00E90C84">
      <w:pPr>
        <w:rPr>
          <w:sz w:val="24"/>
          <w:lang w:val="fr-FR"/>
        </w:rPr>
      </w:pPr>
      <w:r w:rsidRPr="00E90C84">
        <w:rPr>
          <w:sz w:val="24"/>
          <w:lang w:val="fr-FR"/>
        </w:rPr>
        <w:t>De façon spécifique, le PNPCSP doit faire le plaidoyer auprès du Ministère de la santé et des partenaires techniques et financiers bilatéraux et multilatéraux pour la mobilisation des ressources. Il doit en outre</w:t>
      </w:r>
      <w:r w:rsidR="00B21EBB" w:rsidRPr="00E90C84">
        <w:rPr>
          <w:sz w:val="24"/>
          <w:lang w:val="fr-FR"/>
        </w:rPr>
        <w:t> :</w:t>
      </w:r>
    </w:p>
    <w:p w:rsidR="00E90C84" w:rsidRPr="003D787F" w:rsidRDefault="00E90C84" w:rsidP="00E90C84">
      <w:pPr>
        <w:rPr>
          <w:sz w:val="16"/>
          <w:lang w:val="fr-FR"/>
        </w:rPr>
      </w:pPr>
    </w:p>
    <w:p w:rsidR="00B21EBB" w:rsidRPr="00E90C84" w:rsidRDefault="00B21EBB" w:rsidP="00E90C84">
      <w:pPr>
        <w:pStyle w:val="Paragraphedeliste"/>
        <w:numPr>
          <w:ilvl w:val="0"/>
          <w:numId w:val="2"/>
        </w:numPr>
        <w:rPr>
          <w:sz w:val="24"/>
          <w:lang w:val="fr-FR"/>
        </w:rPr>
      </w:pPr>
      <w:r w:rsidRPr="00E90C84">
        <w:rPr>
          <w:sz w:val="24"/>
          <w:lang w:val="fr-FR"/>
        </w:rPr>
        <w:t>A</w:t>
      </w:r>
      <w:r w:rsidR="008E1638" w:rsidRPr="00E90C84">
        <w:rPr>
          <w:sz w:val="24"/>
          <w:lang w:val="fr-FR"/>
        </w:rPr>
        <w:t>ctiver le fonctionnement des Comités thématiques pour l’élaboration des documents</w:t>
      </w:r>
      <w:r w:rsidRPr="00E90C84">
        <w:rPr>
          <w:sz w:val="24"/>
          <w:lang w:val="fr-FR"/>
        </w:rPr>
        <w:t xml:space="preserve"> de politiques, des directives opérationnelles et des algorithmes de PECP</w:t>
      </w:r>
    </w:p>
    <w:p w:rsidR="00B21EBB" w:rsidRPr="00E90C84" w:rsidRDefault="00B21EBB" w:rsidP="00E90C84">
      <w:pPr>
        <w:pStyle w:val="Paragraphedeliste"/>
        <w:numPr>
          <w:ilvl w:val="0"/>
          <w:numId w:val="2"/>
        </w:numPr>
        <w:rPr>
          <w:sz w:val="24"/>
          <w:lang w:val="fr-FR"/>
        </w:rPr>
      </w:pPr>
      <w:r w:rsidRPr="00E90C84">
        <w:rPr>
          <w:sz w:val="24"/>
          <w:lang w:val="fr-FR"/>
        </w:rPr>
        <w:t>Coordonner la rédaction du protocole de recherche action</w:t>
      </w:r>
    </w:p>
    <w:p w:rsidR="00B21EBB" w:rsidRPr="00E90C84" w:rsidRDefault="00B21EBB" w:rsidP="00E90C84">
      <w:pPr>
        <w:pStyle w:val="Paragraphedeliste"/>
        <w:numPr>
          <w:ilvl w:val="0"/>
          <w:numId w:val="2"/>
        </w:numPr>
        <w:rPr>
          <w:sz w:val="24"/>
          <w:lang w:val="fr-FR"/>
        </w:rPr>
      </w:pPr>
      <w:r w:rsidRPr="00E90C84">
        <w:rPr>
          <w:sz w:val="24"/>
          <w:lang w:val="fr-FR"/>
        </w:rPr>
        <w:t>Identifier des questions de recherche opérationnelle</w:t>
      </w:r>
    </w:p>
    <w:p w:rsidR="00B21EBB" w:rsidRPr="00E90C84" w:rsidRDefault="00B21EBB" w:rsidP="00E90C84">
      <w:pPr>
        <w:pStyle w:val="Paragraphedeliste"/>
        <w:numPr>
          <w:ilvl w:val="0"/>
          <w:numId w:val="2"/>
        </w:numPr>
        <w:rPr>
          <w:sz w:val="24"/>
          <w:lang w:val="fr-FR"/>
        </w:rPr>
      </w:pPr>
      <w:r w:rsidRPr="00E90C84">
        <w:rPr>
          <w:sz w:val="24"/>
          <w:lang w:val="fr-FR"/>
        </w:rPr>
        <w:t>Effectuer le suivi global et l’évaluation de la mise en œuvre des activités</w:t>
      </w:r>
    </w:p>
    <w:p w:rsidR="00B21EBB" w:rsidRPr="00E90C84" w:rsidRDefault="00B21EBB" w:rsidP="00E90C84">
      <w:pPr>
        <w:pStyle w:val="Paragraphedeliste"/>
        <w:numPr>
          <w:ilvl w:val="0"/>
          <w:numId w:val="2"/>
        </w:numPr>
        <w:rPr>
          <w:sz w:val="24"/>
          <w:lang w:val="fr-FR"/>
        </w:rPr>
      </w:pPr>
      <w:r w:rsidRPr="00E90C84">
        <w:rPr>
          <w:sz w:val="24"/>
          <w:lang w:val="fr-FR"/>
        </w:rPr>
        <w:t>Organiser la supervision et la formation des acteurs centraux et régionaux</w:t>
      </w:r>
    </w:p>
    <w:p w:rsidR="00B21EBB" w:rsidRPr="00E90C84" w:rsidRDefault="00B21EBB" w:rsidP="00E90C84">
      <w:pPr>
        <w:pStyle w:val="Paragraphedeliste"/>
        <w:numPr>
          <w:ilvl w:val="0"/>
          <w:numId w:val="2"/>
        </w:numPr>
        <w:rPr>
          <w:sz w:val="24"/>
          <w:lang w:val="fr-FR"/>
        </w:rPr>
      </w:pPr>
      <w:r w:rsidRPr="00E90C84">
        <w:rPr>
          <w:sz w:val="24"/>
          <w:lang w:val="fr-FR"/>
        </w:rPr>
        <w:t>Promouvoir la documentation, le partage et la mise à échelle des bonnes pratiques</w:t>
      </w:r>
    </w:p>
    <w:p w:rsidR="00B21EBB" w:rsidRPr="00E90C84" w:rsidRDefault="00B21EBB" w:rsidP="00E90C84">
      <w:pPr>
        <w:pStyle w:val="Paragraphedeliste"/>
        <w:numPr>
          <w:ilvl w:val="0"/>
          <w:numId w:val="2"/>
        </w:numPr>
        <w:rPr>
          <w:sz w:val="24"/>
          <w:lang w:val="fr-FR"/>
        </w:rPr>
      </w:pPr>
      <w:r w:rsidRPr="00E90C84">
        <w:rPr>
          <w:sz w:val="24"/>
          <w:lang w:val="fr-FR"/>
        </w:rPr>
        <w:t>Elaborer le plan de communication sociale sur la PECP</w:t>
      </w:r>
      <w:r w:rsidR="00766586" w:rsidRPr="00E90C84">
        <w:rPr>
          <w:sz w:val="24"/>
          <w:lang w:val="fr-FR"/>
        </w:rPr>
        <w:t xml:space="preserve"> et concevoir des messages adaptés de mobilisation sociale (radio, télé, journaux, dépliants et affiches)</w:t>
      </w:r>
    </w:p>
    <w:p w:rsidR="00B21EBB" w:rsidRPr="00E90C84" w:rsidRDefault="00B21EBB" w:rsidP="00E90C84">
      <w:pPr>
        <w:pStyle w:val="Paragraphedeliste"/>
        <w:numPr>
          <w:ilvl w:val="0"/>
          <w:numId w:val="2"/>
        </w:numPr>
        <w:rPr>
          <w:sz w:val="24"/>
          <w:lang w:val="fr-FR"/>
        </w:rPr>
      </w:pPr>
      <w:r w:rsidRPr="00E90C84">
        <w:rPr>
          <w:sz w:val="24"/>
          <w:lang w:val="fr-FR"/>
        </w:rPr>
        <w:t>Coordonner la gestion des approv</w:t>
      </w:r>
      <w:r w:rsidR="00766586" w:rsidRPr="00E90C84">
        <w:rPr>
          <w:sz w:val="24"/>
          <w:lang w:val="fr-FR"/>
        </w:rPr>
        <w:t>isionnements en équipements, ré</w:t>
      </w:r>
      <w:r w:rsidRPr="00E90C84">
        <w:rPr>
          <w:sz w:val="24"/>
          <w:lang w:val="fr-FR"/>
        </w:rPr>
        <w:t>actifs de laboratoire et consommables, médicaments pédiatriques ARV et de tra</w:t>
      </w:r>
      <w:r w:rsidR="00766586" w:rsidRPr="00E90C84">
        <w:rPr>
          <w:sz w:val="24"/>
          <w:lang w:val="fr-FR"/>
        </w:rPr>
        <w:t>i</w:t>
      </w:r>
      <w:r w:rsidRPr="00E90C84">
        <w:rPr>
          <w:sz w:val="24"/>
          <w:lang w:val="fr-FR"/>
        </w:rPr>
        <w:t xml:space="preserve">tement </w:t>
      </w:r>
      <w:r w:rsidR="00766586" w:rsidRPr="00E90C84">
        <w:rPr>
          <w:sz w:val="24"/>
          <w:lang w:val="fr-FR"/>
        </w:rPr>
        <w:t>contre les infections opportunistes</w:t>
      </w:r>
    </w:p>
    <w:p w:rsidR="00766586" w:rsidRPr="00E90C84" w:rsidRDefault="00766586" w:rsidP="00E90C84">
      <w:pPr>
        <w:pStyle w:val="Paragraphedeliste"/>
        <w:numPr>
          <w:ilvl w:val="0"/>
          <w:numId w:val="2"/>
        </w:numPr>
        <w:rPr>
          <w:sz w:val="24"/>
          <w:lang w:val="fr-FR"/>
        </w:rPr>
      </w:pPr>
      <w:r w:rsidRPr="00E90C84">
        <w:rPr>
          <w:sz w:val="24"/>
          <w:lang w:val="fr-FR"/>
        </w:rPr>
        <w:t>Elaborer la cartographie des partenaires et des domaines d’interventions et faire le plaidoyer pour la mobilisation soutenue et pérenne des ressources</w:t>
      </w:r>
    </w:p>
    <w:p w:rsidR="00766586" w:rsidRDefault="00766586" w:rsidP="00E90C84">
      <w:pPr>
        <w:pStyle w:val="Paragraphedeliste"/>
        <w:numPr>
          <w:ilvl w:val="0"/>
          <w:numId w:val="2"/>
        </w:numPr>
        <w:rPr>
          <w:sz w:val="24"/>
          <w:lang w:val="fr-FR"/>
        </w:rPr>
      </w:pPr>
      <w:r w:rsidRPr="00E90C84">
        <w:rPr>
          <w:sz w:val="24"/>
          <w:lang w:val="fr-FR"/>
        </w:rPr>
        <w:t>Organiser les réunions conjointes de suivi-évaluation de la mise en œuvre du Plan d’accélération.</w:t>
      </w:r>
    </w:p>
    <w:p w:rsidR="00E90C84" w:rsidRPr="003D787F" w:rsidRDefault="00E90C84" w:rsidP="00E90C84">
      <w:pPr>
        <w:pStyle w:val="Paragraphedeliste"/>
        <w:rPr>
          <w:sz w:val="14"/>
          <w:lang w:val="fr-FR"/>
        </w:rPr>
      </w:pPr>
    </w:p>
    <w:p w:rsidR="000123EE" w:rsidRPr="00E90C84" w:rsidRDefault="000123EE" w:rsidP="00E90C84">
      <w:pPr>
        <w:pStyle w:val="Titre2"/>
        <w:numPr>
          <w:ilvl w:val="1"/>
          <w:numId w:val="21"/>
        </w:numPr>
        <w:spacing w:before="0"/>
        <w:ind w:left="567" w:hanging="567"/>
        <w:rPr>
          <w:color w:val="auto"/>
          <w:sz w:val="28"/>
          <w:szCs w:val="24"/>
          <w:lang w:val="fr-FR"/>
        </w:rPr>
      </w:pPr>
      <w:bookmarkStart w:id="69" w:name="_Toc480382942"/>
      <w:r w:rsidRPr="00E90C84">
        <w:rPr>
          <w:color w:val="auto"/>
          <w:sz w:val="28"/>
          <w:szCs w:val="24"/>
          <w:lang w:val="fr-FR"/>
        </w:rPr>
        <w:t>Société civile</w:t>
      </w:r>
      <w:bookmarkEnd w:id="69"/>
    </w:p>
    <w:p w:rsidR="00E90C84" w:rsidRPr="003D787F" w:rsidRDefault="00E90C84" w:rsidP="00E90C84">
      <w:pPr>
        <w:rPr>
          <w:sz w:val="16"/>
          <w:lang w:val="fr-FR"/>
        </w:rPr>
      </w:pPr>
    </w:p>
    <w:p w:rsidR="002B53F4" w:rsidRPr="00E90C84" w:rsidRDefault="002B53F4" w:rsidP="00E90C84">
      <w:pPr>
        <w:rPr>
          <w:sz w:val="24"/>
          <w:lang w:val="fr-FR"/>
        </w:rPr>
      </w:pPr>
      <w:r w:rsidRPr="00E90C84">
        <w:rPr>
          <w:sz w:val="24"/>
          <w:lang w:val="fr-FR"/>
        </w:rPr>
        <w:t>La société civile à travers les associations communautaires et des PVVIH a pour responsabilité d’apporter le soutien psychosocial aux PVVIH et de renforcer les connaissances et l’acceptabilité des populations aux activités de PECP. Par ailleurs, ces associations seront chargées de :</w:t>
      </w:r>
    </w:p>
    <w:p w:rsidR="00E90C84" w:rsidRPr="003D787F" w:rsidRDefault="00E90C84" w:rsidP="00E90C84">
      <w:pPr>
        <w:rPr>
          <w:sz w:val="18"/>
          <w:lang w:val="fr-FR"/>
        </w:rPr>
      </w:pPr>
    </w:p>
    <w:p w:rsidR="002B53F4" w:rsidRPr="00E90C84" w:rsidRDefault="002B53F4" w:rsidP="00E90C84">
      <w:pPr>
        <w:pStyle w:val="Paragraphedeliste"/>
        <w:numPr>
          <w:ilvl w:val="0"/>
          <w:numId w:val="2"/>
        </w:numPr>
        <w:rPr>
          <w:sz w:val="24"/>
          <w:lang w:val="fr-FR"/>
        </w:rPr>
      </w:pPr>
      <w:r w:rsidRPr="00E90C84">
        <w:rPr>
          <w:sz w:val="24"/>
          <w:lang w:val="fr-FR"/>
        </w:rPr>
        <w:t>Accompagner les ménages dans le suivi et la mise en œuvre des activités génératrices de revenus</w:t>
      </w:r>
    </w:p>
    <w:p w:rsidR="002B53F4" w:rsidRPr="00E90C84" w:rsidRDefault="002B53F4" w:rsidP="00E90C84">
      <w:pPr>
        <w:pStyle w:val="Paragraphedeliste"/>
        <w:numPr>
          <w:ilvl w:val="0"/>
          <w:numId w:val="2"/>
        </w:numPr>
        <w:rPr>
          <w:sz w:val="24"/>
          <w:lang w:val="fr-FR"/>
        </w:rPr>
      </w:pPr>
      <w:r w:rsidRPr="00E90C84">
        <w:rPr>
          <w:sz w:val="24"/>
          <w:lang w:val="fr-FR"/>
        </w:rPr>
        <w:t>Sensibiliser les populations sur le dépistage et l’initiation de la TARV par les personnes dépistées positives afin d’améliorer l’utilisation des services et la rétention aux soins</w:t>
      </w:r>
    </w:p>
    <w:p w:rsidR="002B53F4" w:rsidRPr="00E90C84" w:rsidRDefault="002B53F4" w:rsidP="00E90C84">
      <w:pPr>
        <w:pStyle w:val="Paragraphedeliste"/>
        <w:numPr>
          <w:ilvl w:val="0"/>
          <w:numId w:val="2"/>
        </w:numPr>
        <w:rPr>
          <w:sz w:val="24"/>
          <w:lang w:val="fr-FR"/>
        </w:rPr>
      </w:pPr>
      <w:r w:rsidRPr="00E90C84">
        <w:rPr>
          <w:sz w:val="24"/>
          <w:lang w:val="fr-FR"/>
        </w:rPr>
        <w:t>Effectuer les visites à domicile et la recherche active des perdus de vue</w:t>
      </w:r>
    </w:p>
    <w:p w:rsidR="003107A2" w:rsidRPr="00E90C84" w:rsidRDefault="003107A2" w:rsidP="00E90C84">
      <w:pPr>
        <w:pStyle w:val="Paragraphedeliste"/>
        <w:numPr>
          <w:ilvl w:val="0"/>
          <w:numId w:val="2"/>
        </w:numPr>
        <w:rPr>
          <w:sz w:val="24"/>
          <w:lang w:val="fr-FR"/>
        </w:rPr>
      </w:pPr>
      <w:r w:rsidRPr="00E90C84">
        <w:rPr>
          <w:sz w:val="24"/>
          <w:lang w:val="fr-FR"/>
        </w:rPr>
        <w:t>Faire le plaidoyer pour une mobilisation effective des ressources pour l’accélération de la PECP</w:t>
      </w:r>
      <w:r w:rsidR="00EE1EF2" w:rsidRPr="00E90C84">
        <w:rPr>
          <w:sz w:val="24"/>
          <w:lang w:val="fr-FR"/>
        </w:rPr>
        <w:t>.</w:t>
      </w:r>
    </w:p>
    <w:p w:rsidR="003D787F" w:rsidRPr="003D787F" w:rsidRDefault="003D787F" w:rsidP="003D787F">
      <w:pPr>
        <w:pStyle w:val="Titre2"/>
        <w:numPr>
          <w:ilvl w:val="0"/>
          <w:numId w:val="0"/>
        </w:numPr>
        <w:spacing w:before="0"/>
        <w:ind w:left="567"/>
        <w:rPr>
          <w:color w:val="auto"/>
          <w:sz w:val="16"/>
          <w:szCs w:val="24"/>
          <w:lang w:val="fr-FR"/>
        </w:rPr>
      </w:pPr>
    </w:p>
    <w:p w:rsidR="003107A2" w:rsidRPr="00E90C84" w:rsidRDefault="003107A2" w:rsidP="00E90C84">
      <w:pPr>
        <w:pStyle w:val="Titre2"/>
        <w:numPr>
          <w:ilvl w:val="1"/>
          <w:numId w:val="21"/>
        </w:numPr>
        <w:spacing w:before="0"/>
        <w:ind w:left="567" w:hanging="567"/>
        <w:rPr>
          <w:color w:val="auto"/>
          <w:sz w:val="28"/>
          <w:szCs w:val="24"/>
          <w:lang w:val="fr-FR"/>
        </w:rPr>
      </w:pPr>
      <w:bookmarkStart w:id="70" w:name="_Toc480382943"/>
      <w:r w:rsidRPr="00E90C84">
        <w:rPr>
          <w:color w:val="auto"/>
          <w:sz w:val="28"/>
          <w:szCs w:val="24"/>
          <w:lang w:val="fr-FR"/>
        </w:rPr>
        <w:t>Formations sanitaires</w:t>
      </w:r>
      <w:r w:rsidR="00933C1C" w:rsidRPr="00E90C84">
        <w:rPr>
          <w:color w:val="auto"/>
          <w:sz w:val="28"/>
          <w:szCs w:val="24"/>
          <w:lang w:val="fr-FR"/>
        </w:rPr>
        <w:t xml:space="preserve"> publiques et privées</w:t>
      </w:r>
      <w:bookmarkEnd w:id="70"/>
    </w:p>
    <w:p w:rsidR="00E90C84" w:rsidRPr="003D787F" w:rsidRDefault="00E90C84" w:rsidP="00E90C84">
      <w:pPr>
        <w:rPr>
          <w:sz w:val="16"/>
          <w:lang w:val="fr-FR"/>
        </w:rPr>
      </w:pPr>
    </w:p>
    <w:p w:rsidR="003107A2" w:rsidRDefault="003107A2" w:rsidP="00E90C84">
      <w:pPr>
        <w:rPr>
          <w:sz w:val="24"/>
          <w:lang w:val="fr-FR"/>
        </w:rPr>
      </w:pPr>
      <w:r w:rsidRPr="00E90C84">
        <w:rPr>
          <w:sz w:val="24"/>
          <w:lang w:val="fr-FR"/>
        </w:rPr>
        <w:t>Les formations sanitaires occupent une place centrale. Elles sont chargées de :</w:t>
      </w:r>
    </w:p>
    <w:p w:rsidR="00E90C84" w:rsidRPr="003D787F" w:rsidRDefault="00E90C84" w:rsidP="00E90C84">
      <w:pPr>
        <w:rPr>
          <w:sz w:val="18"/>
          <w:lang w:val="fr-FR"/>
        </w:rPr>
      </w:pPr>
    </w:p>
    <w:p w:rsidR="003107A2" w:rsidRPr="00E90C84" w:rsidRDefault="003107A2" w:rsidP="00E90C84">
      <w:pPr>
        <w:pStyle w:val="Paragraphedeliste"/>
        <w:numPr>
          <w:ilvl w:val="0"/>
          <w:numId w:val="2"/>
        </w:numPr>
        <w:rPr>
          <w:sz w:val="24"/>
          <w:lang w:val="fr-FR"/>
        </w:rPr>
      </w:pPr>
      <w:r w:rsidRPr="00E90C84">
        <w:rPr>
          <w:sz w:val="24"/>
          <w:lang w:val="fr-FR"/>
        </w:rPr>
        <w:t>Organiser un meilleur accueil à travers une bonne hygiène et salubrité, un comportement éthique du personnel et une permanence des services</w:t>
      </w:r>
    </w:p>
    <w:p w:rsidR="003107A2" w:rsidRPr="00E90C84" w:rsidRDefault="003107A2" w:rsidP="00E90C84">
      <w:pPr>
        <w:pStyle w:val="Paragraphedeliste"/>
        <w:numPr>
          <w:ilvl w:val="0"/>
          <w:numId w:val="2"/>
        </w:numPr>
        <w:rPr>
          <w:sz w:val="24"/>
          <w:lang w:val="fr-FR"/>
        </w:rPr>
      </w:pPr>
      <w:r w:rsidRPr="00E90C84">
        <w:rPr>
          <w:sz w:val="24"/>
          <w:lang w:val="fr-FR"/>
        </w:rPr>
        <w:t>Assurer la formation continue du personnel polyvalent pour garantir  le dépistage et l’initiation du traitement à toutes les portes d’entrée</w:t>
      </w:r>
    </w:p>
    <w:p w:rsidR="003107A2" w:rsidRPr="00E90C84" w:rsidRDefault="003107A2" w:rsidP="00E90C84">
      <w:pPr>
        <w:pStyle w:val="Paragraphedeliste"/>
        <w:numPr>
          <w:ilvl w:val="0"/>
          <w:numId w:val="2"/>
        </w:numPr>
        <w:rPr>
          <w:sz w:val="24"/>
          <w:lang w:val="fr-FR"/>
        </w:rPr>
      </w:pPr>
      <w:r w:rsidRPr="00E90C84">
        <w:rPr>
          <w:sz w:val="24"/>
          <w:lang w:val="fr-FR"/>
        </w:rPr>
        <w:t>Organiser  des réunions d’évaluation des performances en matière de PECP</w:t>
      </w:r>
    </w:p>
    <w:p w:rsidR="003107A2" w:rsidRPr="00E90C84" w:rsidRDefault="003107A2" w:rsidP="00E90C84">
      <w:pPr>
        <w:pStyle w:val="Paragraphedeliste"/>
        <w:numPr>
          <w:ilvl w:val="0"/>
          <w:numId w:val="2"/>
        </w:numPr>
        <w:rPr>
          <w:sz w:val="24"/>
          <w:lang w:val="fr-FR"/>
        </w:rPr>
      </w:pPr>
      <w:r w:rsidRPr="00E90C84">
        <w:rPr>
          <w:sz w:val="24"/>
          <w:lang w:val="fr-FR"/>
        </w:rPr>
        <w:t>Développer des initiatives d’amélioration des performances et documenter les bonnes pratiques</w:t>
      </w:r>
    </w:p>
    <w:p w:rsidR="003107A2" w:rsidRPr="00E90C84" w:rsidRDefault="003107A2" w:rsidP="00E90C84">
      <w:pPr>
        <w:pStyle w:val="Paragraphedeliste"/>
        <w:numPr>
          <w:ilvl w:val="0"/>
          <w:numId w:val="2"/>
        </w:numPr>
        <w:rPr>
          <w:sz w:val="24"/>
          <w:lang w:val="fr-FR"/>
        </w:rPr>
      </w:pPr>
      <w:r w:rsidRPr="00E90C84">
        <w:rPr>
          <w:sz w:val="24"/>
          <w:lang w:val="fr-FR"/>
        </w:rPr>
        <w:t>Assurer une gestion optimale des intrants (médicaments, réactifs) pour éviter les ruptures de stock</w:t>
      </w:r>
    </w:p>
    <w:p w:rsidR="002B53F4" w:rsidRDefault="003107A2" w:rsidP="00E90C84">
      <w:pPr>
        <w:pStyle w:val="Paragraphedeliste"/>
        <w:numPr>
          <w:ilvl w:val="0"/>
          <w:numId w:val="2"/>
        </w:numPr>
        <w:rPr>
          <w:sz w:val="24"/>
          <w:lang w:val="fr-FR"/>
        </w:rPr>
      </w:pPr>
      <w:r w:rsidRPr="00E90C84">
        <w:rPr>
          <w:sz w:val="24"/>
          <w:lang w:val="fr-FR"/>
        </w:rPr>
        <w:t>Développer des mécanismes de fidélisation des patients et de recherche active des perdus de vue</w:t>
      </w:r>
      <w:r w:rsidR="00950653" w:rsidRPr="00E90C84">
        <w:rPr>
          <w:sz w:val="24"/>
          <w:lang w:val="fr-FR"/>
        </w:rPr>
        <w:t>.</w:t>
      </w:r>
    </w:p>
    <w:p w:rsidR="00E90C84" w:rsidRPr="003D787F" w:rsidRDefault="00E90C84" w:rsidP="00E90C84">
      <w:pPr>
        <w:pStyle w:val="Paragraphedeliste"/>
        <w:rPr>
          <w:sz w:val="18"/>
          <w:lang w:val="fr-FR"/>
        </w:rPr>
      </w:pPr>
    </w:p>
    <w:p w:rsidR="000123EE" w:rsidRPr="00E90C84" w:rsidRDefault="00933C1C" w:rsidP="00E90C84">
      <w:pPr>
        <w:pStyle w:val="Titre2"/>
        <w:numPr>
          <w:ilvl w:val="1"/>
          <w:numId w:val="21"/>
        </w:numPr>
        <w:spacing w:before="0"/>
        <w:ind w:left="567" w:hanging="567"/>
        <w:rPr>
          <w:color w:val="auto"/>
          <w:sz w:val="28"/>
          <w:szCs w:val="24"/>
          <w:lang w:val="fr-FR"/>
        </w:rPr>
      </w:pPr>
      <w:bookmarkStart w:id="71" w:name="_Toc480382944"/>
      <w:r w:rsidRPr="00E90C84">
        <w:rPr>
          <w:color w:val="auto"/>
          <w:sz w:val="28"/>
          <w:szCs w:val="24"/>
          <w:lang w:val="fr-FR"/>
        </w:rPr>
        <w:t>P</w:t>
      </w:r>
      <w:r w:rsidR="000123EE" w:rsidRPr="00E90C84">
        <w:rPr>
          <w:color w:val="auto"/>
          <w:sz w:val="28"/>
          <w:szCs w:val="24"/>
          <w:lang w:val="fr-FR"/>
        </w:rPr>
        <w:t>restataires de soins</w:t>
      </w:r>
      <w:bookmarkEnd w:id="71"/>
    </w:p>
    <w:p w:rsidR="00E90C84" w:rsidRPr="003D787F" w:rsidRDefault="00E90C84" w:rsidP="00E90C84">
      <w:pPr>
        <w:rPr>
          <w:sz w:val="18"/>
          <w:lang w:val="fr-FR"/>
        </w:rPr>
      </w:pPr>
    </w:p>
    <w:p w:rsidR="00933C1C" w:rsidRDefault="00933C1C" w:rsidP="00E90C84">
      <w:pPr>
        <w:rPr>
          <w:sz w:val="24"/>
          <w:lang w:val="fr-FR"/>
        </w:rPr>
      </w:pPr>
      <w:r w:rsidRPr="00E90C84">
        <w:rPr>
          <w:sz w:val="24"/>
          <w:lang w:val="fr-FR"/>
        </w:rPr>
        <w:t>Chaque prestataire individuel doit :</w:t>
      </w:r>
    </w:p>
    <w:p w:rsidR="00E90C84" w:rsidRPr="003D787F" w:rsidRDefault="00E90C84" w:rsidP="00E90C84">
      <w:pPr>
        <w:rPr>
          <w:sz w:val="18"/>
          <w:lang w:val="fr-FR"/>
        </w:rPr>
      </w:pPr>
    </w:p>
    <w:p w:rsidR="00933C1C" w:rsidRPr="00E90C84" w:rsidRDefault="00933C1C" w:rsidP="00E90C84">
      <w:pPr>
        <w:pStyle w:val="Paragraphedeliste"/>
        <w:numPr>
          <w:ilvl w:val="0"/>
          <w:numId w:val="2"/>
        </w:numPr>
        <w:rPr>
          <w:sz w:val="24"/>
          <w:lang w:val="fr-FR"/>
        </w:rPr>
      </w:pPr>
      <w:r w:rsidRPr="00E90C84">
        <w:rPr>
          <w:sz w:val="24"/>
          <w:lang w:val="fr-FR"/>
        </w:rPr>
        <w:t>S’inscrire dans une logique d’apprentissage pour maîtriser les directives opérationnelles et les algorithmes de PECP</w:t>
      </w:r>
    </w:p>
    <w:p w:rsidR="00933C1C" w:rsidRPr="00E90C84" w:rsidRDefault="00A25BA8" w:rsidP="00E90C84">
      <w:pPr>
        <w:pStyle w:val="Paragraphedeliste"/>
        <w:numPr>
          <w:ilvl w:val="0"/>
          <w:numId w:val="2"/>
        </w:numPr>
        <w:rPr>
          <w:sz w:val="24"/>
          <w:lang w:val="fr-FR"/>
        </w:rPr>
      </w:pPr>
      <w:r w:rsidRPr="00E90C84">
        <w:rPr>
          <w:sz w:val="24"/>
          <w:lang w:val="fr-FR"/>
        </w:rPr>
        <w:t>Participer aux séances de briefing organisées par les personnes formées</w:t>
      </w:r>
    </w:p>
    <w:p w:rsidR="00A25BA8" w:rsidRPr="00E90C84" w:rsidRDefault="00A25BA8" w:rsidP="00E90C84">
      <w:pPr>
        <w:pStyle w:val="Paragraphedeliste"/>
        <w:numPr>
          <w:ilvl w:val="0"/>
          <w:numId w:val="2"/>
        </w:numPr>
        <w:rPr>
          <w:sz w:val="24"/>
          <w:lang w:val="fr-FR"/>
        </w:rPr>
      </w:pPr>
      <w:r w:rsidRPr="00E90C84">
        <w:rPr>
          <w:sz w:val="24"/>
          <w:lang w:val="fr-FR"/>
        </w:rPr>
        <w:t>Superviser et coacher le personn</w:t>
      </w:r>
      <w:r w:rsidR="00EE1EF2" w:rsidRPr="00E90C84">
        <w:rPr>
          <w:sz w:val="24"/>
          <w:lang w:val="fr-FR"/>
        </w:rPr>
        <w:t>el moins formé</w:t>
      </w:r>
      <w:r w:rsidRPr="00E90C84">
        <w:rPr>
          <w:sz w:val="24"/>
          <w:lang w:val="fr-FR"/>
        </w:rPr>
        <w:t xml:space="preserve"> afin d’améliorer les aptitudes et les compétences des collègues pour répartir la charge de travail</w:t>
      </w:r>
    </w:p>
    <w:p w:rsidR="00A25BA8" w:rsidRDefault="00A25BA8" w:rsidP="00E90C84">
      <w:pPr>
        <w:pStyle w:val="Paragraphedeliste"/>
        <w:numPr>
          <w:ilvl w:val="0"/>
          <w:numId w:val="2"/>
        </w:numPr>
        <w:rPr>
          <w:sz w:val="24"/>
          <w:lang w:val="fr-FR"/>
        </w:rPr>
      </w:pPr>
      <w:r w:rsidRPr="00E90C84">
        <w:rPr>
          <w:sz w:val="24"/>
          <w:lang w:val="fr-FR"/>
        </w:rPr>
        <w:t>Collecter, traiter et analyser les données et prendre des décisions et des initiatives pour améliorer les performances</w:t>
      </w:r>
      <w:r w:rsidR="00A046CD">
        <w:rPr>
          <w:sz w:val="24"/>
          <w:lang w:val="fr-FR"/>
        </w:rPr>
        <w:t>.</w:t>
      </w:r>
    </w:p>
    <w:p w:rsidR="00E90C84" w:rsidRPr="003D787F" w:rsidRDefault="00E90C84" w:rsidP="00E90C84">
      <w:pPr>
        <w:pStyle w:val="Paragraphedeliste"/>
        <w:rPr>
          <w:sz w:val="16"/>
          <w:lang w:val="fr-FR"/>
        </w:rPr>
      </w:pPr>
    </w:p>
    <w:p w:rsidR="000123EE" w:rsidRPr="00E90C84" w:rsidRDefault="00A25BA8" w:rsidP="00E90C84">
      <w:pPr>
        <w:pStyle w:val="Titre2"/>
        <w:numPr>
          <w:ilvl w:val="1"/>
          <w:numId w:val="21"/>
        </w:numPr>
        <w:spacing w:before="0"/>
        <w:ind w:left="567" w:hanging="567"/>
        <w:rPr>
          <w:color w:val="auto"/>
          <w:sz w:val="28"/>
          <w:szCs w:val="24"/>
          <w:lang w:val="fr-FR"/>
        </w:rPr>
      </w:pPr>
      <w:bookmarkStart w:id="72" w:name="_Toc480382945"/>
      <w:r w:rsidRPr="00E90C84">
        <w:rPr>
          <w:color w:val="auto"/>
          <w:sz w:val="28"/>
          <w:szCs w:val="24"/>
          <w:lang w:val="fr-FR"/>
        </w:rPr>
        <w:t>F</w:t>
      </w:r>
      <w:r w:rsidR="000123EE" w:rsidRPr="00E90C84">
        <w:rPr>
          <w:color w:val="auto"/>
          <w:sz w:val="28"/>
          <w:szCs w:val="24"/>
          <w:lang w:val="fr-FR"/>
        </w:rPr>
        <w:t>amilles</w:t>
      </w:r>
      <w:bookmarkEnd w:id="72"/>
    </w:p>
    <w:p w:rsidR="00E90C84" w:rsidRPr="003D787F" w:rsidRDefault="00E90C84" w:rsidP="00E90C84">
      <w:pPr>
        <w:rPr>
          <w:sz w:val="16"/>
          <w:lang w:val="fr-FR"/>
        </w:rPr>
      </w:pPr>
    </w:p>
    <w:p w:rsidR="00A25BA8" w:rsidRDefault="00A25BA8" w:rsidP="00E90C84">
      <w:pPr>
        <w:rPr>
          <w:sz w:val="24"/>
          <w:lang w:val="fr-FR"/>
        </w:rPr>
      </w:pPr>
      <w:r w:rsidRPr="00E90C84">
        <w:rPr>
          <w:sz w:val="24"/>
          <w:lang w:val="fr-FR"/>
        </w:rPr>
        <w:t>Les familles doivent :</w:t>
      </w:r>
    </w:p>
    <w:p w:rsidR="00E90C84" w:rsidRPr="003D787F" w:rsidRDefault="00E90C84" w:rsidP="00E90C84">
      <w:pPr>
        <w:rPr>
          <w:sz w:val="18"/>
          <w:lang w:val="fr-FR"/>
        </w:rPr>
      </w:pPr>
    </w:p>
    <w:p w:rsidR="00A25BA8" w:rsidRPr="00E90C84" w:rsidRDefault="00A25BA8" w:rsidP="00E90C84">
      <w:pPr>
        <w:pStyle w:val="Paragraphedeliste"/>
        <w:numPr>
          <w:ilvl w:val="0"/>
          <w:numId w:val="2"/>
        </w:numPr>
        <w:rPr>
          <w:sz w:val="24"/>
          <w:lang w:val="fr-FR"/>
        </w:rPr>
      </w:pPr>
      <w:r w:rsidRPr="00E90C84">
        <w:rPr>
          <w:sz w:val="24"/>
          <w:lang w:val="fr-FR"/>
        </w:rPr>
        <w:t xml:space="preserve">Utiliser les services de santé et adhérer aux politiques sanitaires de dépistage et de prise en charge des </w:t>
      </w:r>
      <w:r w:rsidR="002E1D3D" w:rsidRPr="00E90C84">
        <w:rPr>
          <w:sz w:val="24"/>
          <w:lang w:val="fr-FR"/>
        </w:rPr>
        <w:t>infections opportunistes  et de TAR</w:t>
      </w:r>
    </w:p>
    <w:p w:rsidR="00A25BA8" w:rsidRPr="00E90C84" w:rsidRDefault="002E1D3D" w:rsidP="00E90C84">
      <w:pPr>
        <w:pStyle w:val="Paragraphedeliste"/>
        <w:numPr>
          <w:ilvl w:val="0"/>
          <w:numId w:val="2"/>
        </w:numPr>
        <w:rPr>
          <w:sz w:val="24"/>
          <w:lang w:val="fr-FR"/>
        </w:rPr>
      </w:pPr>
      <w:r w:rsidRPr="00E90C84">
        <w:rPr>
          <w:sz w:val="24"/>
          <w:lang w:val="fr-FR"/>
        </w:rPr>
        <w:t>Soutenir les enfants infectés et leur adhérence au TARV</w:t>
      </w:r>
      <w:r w:rsidR="00A046CD">
        <w:rPr>
          <w:sz w:val="24"/>
          <w:lang w:val="fr-FR"/>
        </w:rPr>
        <w:t>.</w:t>
      </w:r>
    </w:p>
    <w:p w:rsidR="002E1D3D" w:rsidRPr="003D787F" w:rsidRDefault="002E1D3D" w:rsidP="00E90C84">
      <w:pPr>
        <w:pStyle w:val="Paragraphedeliste"/>
        <w:rPr>
          <w:sz w:val="16"/>
          <w:lang w:val="fr-FR"/>
        </w:rPr>
      </w:pPr>
    </w:p>
    <w:p w:rsidR="000123EE" w:rsidRPr="00E90C84" w:rsidRDefault="002E1D3D" w:rsidP="00E90C84">
      <w:pPr>
        <w:pStyle w:val="Titre2"/>
        <w:numPr>
          <w:ilvl w:val="1"/>
          <w:numId w:val="21"/>
        </w:numPr>
        <w:spacing w:before="0"/>
        <w:ind w:left="567" w:hanging="567"/>
        <w:rPr>
          <w:color w:val="auto"/>
          <w:sz w:val="28"/>
          <w:szCs w:val="24"/>
          <w:lang w:val="fr-FR"/>
        </w:rPr>
      </w:pPr>
      <w:bookmarkStart w:id="73" w:name="_Toc480382946"/>
      <w:r w:rsidRPr="00E90C84">
        <w:rPr>
          <w:color w:val="auto"/>
          <w:sz w:val="28"/>
          <w:szCs w:val="24"/>
          <w:lang w:val="fr-FR"/>
        </w:rPr>
        <w:t>Partenaires techniques et financiers</w:t>
      </w:r>
      <w:r w:rsidR="000123EE" w:rsidRPr="00E90C84">
        <w:rPr>
          <w:color w:val="auto"/>
          <w:sz w:val="28"/>
          <w:szCs w:val="24"/>
          <w:lang w:val="fr-FR"/>
        </w:rPr>
        <w:t xml:space="preserve"> bilatéraux et multilatéraux</w:t>
      </w:r>
      <w:bookmarkEnd w:id="73"/>
    </w:p>
    <w:p w:rsidR="00E90C84" w:rsidRPr="003D787F" w:rsidRDefault="00E90C84" w:rsidP="00E90C84">
      <w:pPr>
        <w:rPr>
          <w:sz w:val="18"/>
          <w:lang w:val="fr-FR"/>
        </w:rPr>
      </w:pPr>
    </w:p>
    <w:p w:rsidR="000123EE" w:rsidRDefault="002E1D3D" w:rsidP="00E90C84">
      <w:pPr>
        <w:rPr>
          <w:sz w:val="24"/>
          <w:lang w:val="fr-FR"/>
        </w:rPr>
      </w:pPr>
      <w:r w:rsidRPr="00E90C84">
        <w:rPr>
          <w:sz w:val="24"/>
          <w:lang w:val="fr-FR"/>
        </w:rPr>
        <w:t>L’accélération de la PECP nécessite des ressources additionnelles importantes. Par ailleurs, une forte adhésion des populations et des acteurs de mise en œuvre permettrait d’aller au-delà des objectifs fixés avec une éventualité d’intervention d’urgence pour éviter les ruptures de stock. Les bailleurs devraient :</w:t>
      </w:r>
    </w:p>
    <w:p w:rsidR="003D787F" w:rsidRPr="003D787F" w:rsidRDefault="003D787F" w:rsidP="00E90C84">
      <w:pPr>
        <w:rPr>
          <w:sz w:val="16"/>
          <w:lang w:val="fr-FR"/>
        </w:rPr>
      </w:pPr>
    </w:p>
    <w:p w:rsidR="002E1D3D" w:rsidRPr="00E90C84" w:rsidRDefault="002E1D3D" w:rsidP="00E90C84">
      <w:pPr>
        <w:pStyle w:val="Paragraphedeliste"/>
        <w:numPr>
          <w:ilvl w:val="0"/>
          <w:numId w:val="2"/>
        </w:numPr>
        <w:rPr>
          <w:sz w:val="24"/>
          <w:lang w:val="fr-FR"/>
        </w:rPr>
      </w:pPr>
      <w:r w:rsidRPr="00E90C84">
        <w:rPr>
          <w:sz w:val="24"/>
          <w:lang w:val="fr-FR"/>
        </w:rPr>
        <w:t xml:space="preserve">Aligner leurs interventions à celles du </w:t>
      </w:r>
      <w:r w:rsidR="00EE1EF2" w:rsidRPr="00E90C84">
        <w:rPr>
          <w:sz w:val="24"/>
          <w:lang w:val="fr-FR"/>
        </w:rPr>
        <w:t>plan de PECP</w:t>
      </w:r>
    </w:p>
    <w:p w:rsidR="002E1D3D" w:rsidRPr="00E90C84" w:rsidRDefault="002E1D3D" w:rsidP="00E90C84">
      <w:pPr>
        <w:pStyle w:val="Paragraphedeliste"/>
        <w:numPr>
          <w:ilvl w:val="0"/>
          <w:numId w:val="2"/>
        </w:numPr>
        <w:rPr>
          <w:sz w:val="24"/>
          <w:lang w:val="fr-FR"/>
        </w:rPr>
      </w:pPr>
      <w:r w:rsidRPr="00E90C84">
        <w:rPr>
          <w:sz w:val="24"/>
          <w:lang w:val="fr-FR"/>
        </w:rPr>
        <w:t>Allouer de façon coordonnée les ressources pour éviter des gaps  et des chevauchements</w:t>
      </w:r>
    </w:p>
    <w:p w:rsidR="002E1D3D" w:rsidRPr="00E90C84" w:rsidRDefault="002E1D3D" w:rsidP="00E90C84">
      <w:pPr>
        <w:pStyle w:val="Paragraphedeliste"/>
        <w:numPr>
          <w:ilvl w:val="0"/>
          <w:numId w:val="2"/>
        </w:numPr>
        <w:rPr>
          <w:sz w:val="24"/>
          <w:lang w:val="fr-FR"/>
        </w:rPr>
      </w:pPr>
      <w:r w:rsidRPr="00E90C84">
        <w:rPr>
          <w:sz w:val="24"/>
          <w:lang w:val="fr-FR"/>
        </w:rPr>
        <w:t xml:space="preserve">Faciliter </w:t>
      </w:r>
      <w:r w:rsidR="00EE1EF2" w:rsidRPr="00E90C84">
        <w:rPr>
          <w:sz w:val="24"/>
          <w:lang w:val="fr-FR"/>
        </w:rPr>
        <w:t>leur</w:t>
      </w:r>
      <w:r w:rsidRPr="00E90C84">
        <w:rPr>
          <w:sz w:val="24"/>
          <w:lang w:val="fr-FR"/>
        </w:rPr>
        <w:t>s procédures pour réduire voire éviter les retards dans la mise en œuvre des activités.</w:t>
      </w:r>
    </w:p>
    <w:p w:rsidR="00862C34" w:rsidRDefault="00862C34" w:rsidP="00E90C84">
      <w:pPr>
        <w:pStyle w:val="Paragraphedeliste"/>
        <w:rPr>
          <w:sz w:val="24"/>
          <w:lang w:val="fr-FR"/>
        </w:rPr>
        <w:sectPr w:rsidR="00862C34" w:rsidSect="00862C34">
          <w:footerReference w:type="default" r:id="rId30"/>
          <w:pgSz w:w="12240" w:h="15840"/>
          <w:pgMar w:top="1440" w:right="1440" w:bottom="1440" w:left="1440" w:header="720" w:footer="720" w:gutter="0"/>
          <w:pgNumType w:start="35"/>
          <w:cols w:space="720"/>
          <w:docGrid w:linePitch="360"/>
        </w:sectPr>
      </w:pPr>
    </w:p>
    <w:p w:rsidR="00862C34" w:rsidRDefault="00862C34" w:rsidP="00862C34">
      <w:pPr>
        <w:pStyle w:val="Titre1"/>
        <w:spacing w:before="0"/>
        <w:jc w:val="center"/>
        <w:rPr>
          <w:sz w:val="40"/>
          <w:szCs w:val="40"/>
          <w:lang w:val="fr-FR"/>
        </w:rPr>
      </w:pPr>
    </w:p>
    <w:p w:rsidR="00862C34" w:rsidRDefault="00862C34" w:rsidP="00862C34">
      <w:pPr>
        <w:pStyle w:val="Titre1"/>
        <w:spacing w:before="0"/>
        <w:jc w:val="center"/>
        <w:rPr>
          <w:sz w:val="40"/>
          <w:szCs w:val="40"/>
          <w:lang w:val="fr-FR"/>
        </w:rPr>
      </w:pPr>
    </w:p>
    <w:p w:rsidR="00862C34" w:rsidRDefault="00862C34" w:rsidP="00862C34">
      <w:pPr>
        <w:pStyle w:val="Titre1"/>
        <w:spacing w:before="0"/>
        <w:jc w:val="center"/>
        <w:rPr>
          <w:sz w:val="40"/>
          <w:szCs w:val="40"/>
          <w:lang w:val="fr-FR"/>
        </w:rPr>
      </w:pPr>
    </w:p>
    <w:p w:rsidR="00862C34" w:rsidRDefault="00862C34" w:rsidP="00862C34">
      <w:pPr>
        <w:pStyle w:val="Titre1"/>
        <w:spacing w:before="0"/>
        <w:jc w:val="center"/>
        <w:rPr>
          <w:sz w:val="40"/>
          <w:szCs w:val="40"/>
          <w:lang w:val="fr-FR"/>
        </w:rPr>
      </w:pPr>
    </w:p>
    <w:p w:rsidR="00862C34" w:rsidRDefault="00862C34" w:rsidP="00862C34">
      <w:pPr>
        <w:pStyle w:val="Titre1"/>
        <w:spacing w:before="0"/>
        <w:jc w:val="center"/>
        <w:rPr>
          <w:sz w:val="40"/>
          <w:szCs w:val="40"/>
          <w:lang w:val="fr-FR"/>
        </w:rPr>
      </w:pPr>
    </w:p>
    <w:p w:rsidR="00862C34" w:rsidRDefault="00862C34" w:rsidP="00862C34">
      <w:pPr>
        <w:pStyle w:val="Titre1"/>
        <w:spacing w:before="0"/>
        <w:jc w:val="center"/>
        <w:rPr>
          <w:sz w:val="40"/>
          <w:szCs w:val="40"/>
          <w:lang w:val="fr-FR"/>
        </w:rPr>
      </w:pPr>
    </w:p>
    <w:p w:rsidR="00862C34" w:rsidRDefault="00862C34" w:rsidP="00862C34">
      <w:pPr>
        <w:pStyle w:val="Titre1"/>
        <w:spacing w:before="0"/>
        <w:jc w:val="center"/>
        <w:rPr>
          <w:sz w:val="40"/>
          <w:szCs w:val="40"/>
          <w:lang w:val="fr-FR"/>
        </w:rPr>
      </w:pPr>
    </w:p>
    <w:p w:rsidR="00862C34" w:rsidRDefault="00862C34" w:rsidP="00862C34">
      <w:pPr>
        <w:pStyle w:val="Titre1"/>
        <w:spacing w:before="0"/>
        <w:jc w:val="center"/>
        <w:rPr>
          <w:sz w:val="40"/>
          <w:szCs w:val="40"/>
          <w:lang w:val="fr-FR"/>
        </w:rPr>
      </w:pPr>
    </w:p>
    <w:p w:rsidR="00862C34" w:rsidRDefault="00862C34" w:rsidP="00862C34">
      <w:pPr>
        <w:pStyle w:val="Titre1"/>
        <w:spacing w:before="0"/>
        <w:jc w:val="center"/>
        <w:rPr>
          <w:sz w:val="40"/>
          <w:szCs w:val="40"/>
          <w:lang w:val="fr-FR"/>
        </w:rPr>
      </w:pPr>
    </w:p>
    <w:p w:rsidR="00862C34" w:rsidRDefault="00862C34" w:rsidP="00862C34">
      <w:pPr>
        <w:pStyle w:val="Titre1"/>
        <w:spacing w:before="0"/>
        <w:jc w:val="center"/>
        <w:rPr>
          <w:sz w:val="40"/>
          <w:szCs w:val="40"/>
          <w:lang w:val="fr-FR"/>
        </w:rPr>
      </w:pPr>
    </w:p>
    <w:p w:rsidR="00440C45" w:rsidRPr="00313047" w:rsidRDefault="004D7FA0" w:rsidP="00862C34">
      <w:pPr>
        <w:pStyle w:val="Titre1"/>
        <w:spacing w:before="0"/>
        <w:jc w:val="center"/>
        <w:rPr>
          <w:sz w:val="40"/>
          <w:szCs w:val="40"/>
          <w:lang w:val="fr-FR"/>
        </w:rPr>
      </w:pPr>
      <w:bookmarkStart w:id="74" w:name="_Toc480382947"/>
      <w:r w:rsidRPr="00313047">
        <w:rPr>
          <w:sz w:val="40"/>
          <w:szCs w:val="40"/>
          <w:lang w:val="fr-FR"/>
        </w:rPr>
        <w:t>CHAPITRE 6</w:t>
      </w:r>
      <w:r w:rsidR="003D787F">
        <w:rPr>
          <w:sz w:val="40"/>
          <w:szCs w:val="40"/>
          <w:lang w:val="fr-FR"/>
        </w:rPr>
        <w:t> :</w:t>
      </w:r>
      <w:r w:rsidR="000123EE" w:rsidRPr="00313047">
        <w:rPr>
          <w:sz w:val="40"/>
          <w:szCs w:val="40"/>
          <w:lang w:val="fr-FR"/>
        </w:rPr>
        <w:t>SUIVI EVALUATION</w:t>
      </w:r>
      <w:bookmarkEnd w:id="74"/>
    </w:p>
    <w:p w:rsidR="00862C34" w:rsidRDefault="00862C34">
      <w:pPr>
        <w:jc w:val="left"/>
        <w:rPr>
          <w:lang w:val="fr-FR"/>
        </w:rPr>
        <w:sectPr w:rsidR="00862C34" w:rsidSect="00862C34">
          <w:pgSz w:w="12240" w:h="15840"/>
          <w:pgMar w:top="1440" w:right="1440" w:bottom="1440" w:left="1440" w:header="720" w:footer="720" w:gutter="0"/>
          <w:pgNumType w:start="35"/>
          <w:cols w:space="720"/>
          <w:docGrid w:linePitch="360"/>
        </w:sectPr>
      </w:pPr>
    </w:p>
    <w:p w:rsidR="000123EE" w:rsidRDefault="000123EE" w:rsidP="0053630A">
      <w:pPr>
        <w:pStyle w:val="Titre2"/>
        <w:numPr>
          <w:ilvl w:val="1"/>
          <w:numId w:val="22"/>
        </w:numPr>
        <w:spacing w:before="0"/>
        <w:ind w:left="426" w:hanging="426"/>
        <w:rPr>
          <w:color w:val="auto"/>
          <w:lang w:val="fr-FR"/>
        </w:rPr>
      </w:pPr>
      <w:bookmarkStart w:id="75" w:name="_Toc480382948"/>
      <w:r w:rsidRPr="0053630A">
        <w:rPr>
          <w:color w:val="auto"/>
          <w:lang w:val="fr-FR"/>
        </w:rPr>
        <w:t xml:space="preserve">Collecte des données et </w:t>
      </w:r>
      <w:r w:rsidR="00B641D7" w:rsidRPr="0053630A">
        <w:rPr>
          <w:color w:val="auto"/>
          <w:lang w:val="fr-FR"/>
        </w:rPr>
        <w:t>c</w:t>
      </w:r>
      <w:r w:rsidRPr="0053630A">
        <w:rPr>
          <w:color w:val="auto"/>
          <w:lang w:val="fr-FR"/>
        </w:rPr>
        <w:t>ircuit d’information</w:t>
      </w:r>
      <w:bookmarkEnd w:id="75"/>
    </w:p>
    <w:p w:rsidR="0053630A" w:rsidRPr="0053630A" w:rsidRDefault="0053630A" w:rsidP="0053630A">
      <w:pPr>
        <w:rPr>
          <w:lang w:val="fr-FR"/>
        </w:rPr>
      </w:pPr>
    </w:p>
    <w:p w:rsidR="00440C45" w:rsidRPr="002C695E" w:rsidRDefault="002563D0" w:rsidP="0053630A">
      <w:pPr>
        <w:pStyle w:val="Titre3"/>
        <w:numPr>
          <w:ilvl w:val="2"/>
          <w:numId w:val="22"/>
        </w:numPr>
        <w:spacing w:before="0"/>
        <w:ind w:left="709"/>
        <w:rPr>
          <w:color w:val="auto"/>
          <w:sz w:val="24"/>
          <w:lang w:val="fr-FR"/>
        </w:rPr>
      </w:pPr>
      <w:bookmarkStart w:id="76" w:name="_Toc480382949"/>
      <w:r w:rsidRPr="002C695E">
        <w:rPr>
          <w:color w:val="auto"/>
          <w:sz w:val="24"/>
          <w:lang w:val="fr-FR"/>
        </w:rPr>
        <w:t>Données à collecter</w:t>
      </w:r>
      <w:bookmarkEnd w:id="76"/>
    </w:p>
    <w:p w:rsidR="0053630A" w:rsidRPr="0053630A" w:rsidRDefault="0053630A" w:rsidP="0053630A">
      <w:pPr>
        <w:rPr>
          <w:lang w:val="fr-FR"/>
        </w:rPr>
      </w:pPr>
    </w:p>
    <w:p w:rsidR="00440C45" w:rsidRPr="0053630A" w:rsidRDefault="000472FC" w:rsidP="0053630A">
      <w:pPr>
        <w:pStyle w:val="Lgende"/>
        <w:spacing w:after="0"/>
        <w:jc w:val="center"/>
        <w:rPr>
          <w:color w:val="auto"/>
          <w:lang w:val="fr-FR"/>
        </w:rPr>
      </w:pPr>
      <w:bookmarkStart w:id="77" w:name="_Toc480382962"/>
      <w:r w:rsidRPr="0053630A">
        <w:rPr>
          <w:color w:val="auto"/>
          <w:lang w:val="fr-FR"/>
        </w:rPr>
        <w:t xml:space="preserve">Tableau </w:t>
      </w:r>
      <w:r w:rsidR="00C25D03" w:rsidRPr="0053630A">
        <w:rPr>
          <w:color w:val="auto"/>
        </w:rPr>
        <w:fldChar w:fldCharType="begin"/>
      </w:r>
      <w:r w:rsidRPr="0053630A">
        <w:rPr>
          <w:color w:val="auto"/>
          <w:lang w:val="fr-FR"/>
        </w:rPr>
        <w:instrText xml:space="preserve"> SEQ Tableau \* ARABIC </w:instrText>
      </w:r>
      <w:r w:rsidR="00C25D03" w:rsidRPr="0053630A">
        <w:rPr>
          <w:color w:val="auto"/>
        </w:rPr>
        <w:fldChar w:fldCharType="separate"/>
      </w:r>
      <w:r w:rsidR="00CD1586">
        <w:rPr>
          <w:noProof/>
          <w:color w:val="auto"/>
          <w:lang w:val="fr-FR"/>
        </w:rPr>
        <w:t>5</w:t>
      </w:r>
      <w:r w:rsidR="00C25D03" w:rsidRPr="0053630A">
        <w:rPr>
          <w:color w:val="auto"/>
        </w:rPr>
        <w:fldChar w:fldCharType="end"/>
      </w:r>
      <w:r w:rsidRPr="0053630A">
        <w:rPr>
          <w:color w:val="auto"/>
          <w:lang w:val="fr-FR"/>
        </w:rPr>
        <w:t xml:space="preserve">: </w:t>
      </w:r>
      <w:r w:rsidR="00440C45" w:rsidRPr="0053630A">
        <w:rPr>
          <w:color w:val="auto"/>
          <w:lang w:val="fr-FR"/>
        </w:rPr>
        <w:t>D</w:t>
      </w:r>
      <w:r w:rsidRPr="0053630A">
        <w:rPr>
          <w:color w:val="auto"/>
          <w:lang w:val="fr-FR"/>
        </w:rPr>
        <w:t>onnées à collecter pour le d</w:t>
      </w:r>
      <w:r w:rsidR="00440C45" w:rsidRPr="0053630A">
        <w:rPr>
          <w:color w:val="auto"/>
          <w:lang w:val="fr-FR"/>
        </w:rPr>
        <w:t>épistage</w:t>
      </w:r>
      <w:bookmarkEnd w:id="77"/>
    </w:p>
    <w:p w:rsidR="0053630A" w:rsidRPr="0053630A" w:rsidRDefault="0053630A" w:rsidP="0053630A">
      <w:pPr>
        <w:rPr>
          <w:lang w:val="fr-FR"/>
        </w:rPr>
      </w:pPr>
    </w:p>
    <w:tbl>
      <w:tblPr>
        <w:tblW w:w="13073" w:type="dxa"/>
        <w:tblInd w:w="85" w:type="dxa"/>
        <w:tblLook w:val="04A0"/>
      </w:tblPr>
      <w:tblGrid>
        <w:gridCol w:w="3284"/>
        <w:gridCol w:w="992"/>
        <w:gridCol w:w="992"/>
        <w:gridCol w:w="992"/>
        <w:gridCol w:w="873"/>
        <w:gridCol w:w="1080"/>
        <w:gridCol w:w="1080"/>
        <w:gridCol w:w="990"/>
        <w:gridCol w:w="900"/>
        <w:gridCol w:w="990"/>
        <w:gridCol w:w="900"/>
      </w:tblGrid>
      <w:tr w:rsidR="00440C45" w:rsidRPr="00440C45" w:rsidTr="0053630A">
        <w:trPr>
          <w:trHeight w:val="323"/>
          <w:tblHeader/>
        </w:trPr>
        <w:tc>
          <w:tcPr>
            <w:tcW w:w="3284" w:type="dxa"/>
            <w:vMerge w:val="restart"/>
            <w:tcBorders>
              <w:top w:val="double" w:sz="6" w:space="0" w:color="auto"/>
              <w:left w:val="double" w:sz="6" w:space="0" w:color="auto"/>
              <w:bottom w:val="single" w:sz="8" w:space="0" w:color="000000"/>
              <w:right w:val="single" w:sz="8" w:space="0" w:color="000000"/>
            </w:tcBorders>
            <w:shd w:val="clear" w:color="000000" w:fill="D8D8D8"/>
            <w:vAlign w:val="center"/>
            <w:hideMark/>
          </w:tcPr>
          <w:p w:rsidR="00440C45" w:rsidRPr="00440C45" w:rsidRDefault="00440C45" w:rsidP="00440C45">
            <w:pPr>
              <w:jc w:val="left"/>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Indicateurs</w:t>
            </w:r>
          </w:p>
        </w:tc>
        <w:tc>
          <w:tcPr>
            <w:tcW w:w="1984" w:type="dxa"/>
            <w:gridSpan w:val="2"/>
            <w:vMerge w:val="restart"/>
            <w:tcBorders>
              <w:top w:val="double" w:sz="6" w:space="0" w:color="auto"/>
              <w:left w:val="single" w:sz="8" w:space="0" w:color="000000"/>
              <w:bottom w:val="single" w:sz="8" w:space="0" w:color="000000"/>
              <w:right w:val="single" w:sz="8" w:space="0" w:color="000000"/>
            </w:tcBorders>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&lt; 1 an</w:t>
            </w:r>
          </w:p>
        </w:tc>
        <w:tc>
          <w:tcPr>
            <w:tcW w:w="1865" w:type="dxa"/>
            <w:gridSpan w:val="2"/>
            <w:vMerge w:val="restart"/>
            <w:tcBorders>
              <w:top w:val="double" w:sz="6" w:space="0" w:color="auto"/>
              <w:left w:val="single" w:sz="8" w:space="0" w:color="000000"/>
              <w:bottom w:val="single" w:sz="8" w:space="0" w:color="000000"/>
              <w:right w:val="single" w:sz="8" w:space="0" w:color="000000"/>
            </w:tcBorders>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1 – 9 ans</w:t>
            </w:r>
          </w:p>
        </w:tc>
        <w:tc>
          <w:tcPr>
            <w:tcW w:w="2160" w:type="dxa"/>
            <w:gridSpan w:val="2"/>
            <w:vMerge w:val="restart"/>
            <w:tcBorders>
              <w:top w:val="double" w:sz="6" w:space="0" w:color="auto"/>
              <w:left w:val="single" w:sz="8" w:space="0" w:color="000000"/>
              <w:bottom w:val="single" w:sz="8" w:space="0" w:color="000000"/>
              <w:right w:val="single" w:sz="8" w:space="0" w:color="000000"/>
            </w:tcBorders>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10 – 14 ans</w:t>
            </w:r>
          </w:p>
        </w:tc>
        <w:tc>
          <w:tcPr>
            <w:tcW w:w="1890" w:type="dxa"/>
            <w:gridSpan w:val="2"/>
            <w:vMerge w:val="restart"/>
            <w:tcBorders>
              <w:top w:val="double" w:sz="6" w:space="0" w:color="auto"/>
              <w:left w:val="single" w:sz="8" w:space="0" w:color="000000"/>
              <w:bottom w:val="single" w:sz="8" w:space="0" w:color="000000"/>
              <w:right w:val="single" w:sz="8" w:space="0" w:color="000000"/>
            </w:tcBorders>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15 – 19 ans</w:t>
            </w:r>
          </w:p>
        </w:tc>
        <w:tc>
          <w:tcPr>
            <w:tcW w:w="1890" w:type="dxa"/>
            <w:gridSpan w:val="2"/>
            <w:vMerge w:val="restart"/>
            <w:tcBorders>
              <w:top w:val="double" w:sz="6" w:space="0" w:color="auto"/>
              <w:left w:val="single" w:sz="8" w:space="0" w:color="000000"/>
              <w:bottom w:val="single" w:sz="8" w:space="0" w:color="000000"/>
              <w:right w:val="double" w:sz="6" w:space="0" w:color="000000"/>
            </w:tcBorders>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Total</w:t>
            </w:r>
          </w:p>
        </w:tc>
      </w:tr>
      <w:tr w:rsidR="00440C45" w:rsidRPr="00440C45" w:rsidTr="0053630A">
        <w:trPr>
          <w:trHeight w:val="217"/>
          <w:tblHeader/>
        </w:trPr>
        <w:tc>
          <w:tcPr>
            <w:tcW w:w="3284" w:type="dxa"/>
            <w:vMerge/>
            <w:tcBorders>
              <w:top w:val="double" w:sz="6" w:space="0" w:color="auto"/>
              <w:left w:val="double" w:sz="6" w:space="0" w:color="auto"/>
              <w:bottom w:val="single" w:sz="8" w:space="0" w:color="000000"/>
              <w:right w:val="single" w:sz="8" w:space="0" w:color="000000"/>
            </w:tcBorders>
            <w:vAlign w:val="center"/>
            <w:hideMark/>
          </w:tcPr>
          <w:p w:rsidR="00440C45" w:rsidRPr="00440C45" w:rsidRDefault="00440C45" w:rsidP="00440C45">
            <w:pPr>
              <w:jc w:val="left"/>
              <w:rPr>
                <w:rFonts w:ascii="Tahoma" w:eastAsia="Times New Roman" w:hAnsi="Tahoma" w:cs="Tahoma"/>
                <w:b/>
                <w:bCs/>
                <w:color w:val="000000"/>
                <w:sz w:val="18"/>
                <w:szCs w:val="18"/>
              </w:rPr>
            </w:pPr>
          </w:p>
        </w:tc>
        <w:tc>
          <w:tcPr>
            <w:tcW w:w="1984" w:type="dxa"/>
            <w:gridSpan w:val="2"/>
            <w:vMerge/>
            <w:tcBorders>
              <w:top w:val="double" w:sz="6" w:space="0" w:color="auto"/>
              <w:left w:val="single" w:sz="8" w:space="0" w:color="000000"/>
              <w:bottom w:val="single" w:sz="8" w:space="0" w:color="000000"/>
              <w:right w:val="single" w:sz="8" w:space="0" w:color="000000"/>
            </w:tcBorders>
            <w:vAlign w:val="center"/>
            <w:hideMark/>
          </w:tcPr>
          <w:p w:rsidR="00440C45" w:rsidRPr="00440C45" w:rsidRDefault="00440C45" w:rsidP="00440C45">
            <w:pPr>
              <w:jc w:val="left"/>
              <w:rPr>
                <w:rFonts w:ascii="Tahoma" w:eastAsia="Times New Roman" w:hAnsi="Tahoma" w:cs="Tahoma"/>
                <w:b/>
                <w:bCs/>
                <w:color w:val="000000"/>
                <w:sz w:val="18"/>
                <w:szCs w:val="18"/>
              </w:rPr>
            </w:pPr>
          </w:p>
        </w:tc>
        <w:tc>
          <w:tcPr>
            <w:tcW w:w="1865" w:type="dxa"/>
            <w:gridSpan w:val="2"/>
            <w:vMerge/>
            <w:tcBorders>
              <w:top w:val="double" w:sz="6" w:space="0" w:color="auto"/>
              <w:left w:val="single" w:sz="8" w:space="0" w:color="000000"/>
              <w:bottom w:val="single" w:sz="8" w:space="0" w:color="000000"/>
              <w:right w:val="single" w:sz="8" w:space="0" w:color="000000"/>
            </w:tcBorders>
            <w:vAlign w:val="center"/>
            <w:hideMark/>
          </w:tcPr>
          <w:p w:rsidR="00440C45" w:rsidRPr="00440C45" w:rsidRDefault="00440C45" w:rsidP="00440C45">
            <w:pPr>
              <w:jc w:val="left"/>
              <w:rPr>
                <w:rFonts w:ascii="Tahoma" w:eastAsia="Times New Roman" w:hAnsi="Tahoma" w:cs="Tahoma"/>
                <w:b/>
                <w:bCs/>
                <w:color w:val="000000"/>
                <w:sz w:val="18"/>
                <w:szCs w:val="18"/>
              </w:rPr>
            </w:pPr>
          </w:p>
        </w:tc>
        <w:tc>
          <w:tcPr>
            <w:tcW w:w="2160" w:type="dxa"/>
            <w:gridSpan w:val="2"/>
            <w:vMerge/>
            <w:tcBorders>
              <w:top w:val="double" w:sz="6" w:space="0" w:color="auto"/>
              <w:left w:val="single" w:sz="8" w:space="0" w:color="000000"/>
              <w:bottom w:val="single" w:sz="8" w:space="0" w:color="000000"/>
              <w:right w:val="single" w:sz="8" w:space="0" w:color="000000"/>
            </w:tcBorders>
            <w:vAlign w:val="center"/>
            <w:hideMark/>
          </w:tcPr>
          <w:p w:rsidR="00440C45" w:rsidRPr="00440C45" w:rsidRDefault="00440C45" w:rsidP="00440C45">
            <w:pPr>
              <w:jc w:val="left"/>
              <w:rPr>
                <w:rFonts w:ascii="Tahoma" w:eastAsia="Times New Roman" w:hAnsi="Tahoma" w:cs="Tahoma"/>
                <w:b/>
                <w:bCs/>
                <w:color w:val="000000"/>
                <w:sz w:val="18"/>
                <w:szCs w:val="18"/>
              </w:rPr>
            </w:pPr>
          </w:p>
        </w:tc>
        <w:tc>
          <w:tcPr>
            <w:tcW w:w="1890" w:type="dxa"/>
            <w:gridSpan w:val="2"/>
            <w:vMerge/>
            <w:tcBorders>
              <w:top w:val="double" w:sz="6" w:space="0" w:color="auto"/>
              <w:left w:val="single" w:sz="8" w:space="0" w:color="000000"/>
              <w:bottom w:val="single" w:sz="8" w:space="0" w:color="000000"/>
              <w:right w:val="single" w:sz="8" w:space="0" w:color="000000"/>
            </w:tcBorders>
            <w:vAlign w:val="center"/>
            <w:hideMark/>
          </w:tcPr>
          <w:p w:rsidR="00440C45" w:rsidRPr="00440C45" w:rsidRDefault="00440C45" w:rsidP="00440C45">
            <w:pPr>
              <w:jc w:val="left"/>
              <w:rPr>
                <w:rFonts w:ascii="Tahoma" w:eastAsia="Times New Roman" w:hAnsi="Tahoma" w:cs="Tahoma"/>
                <w:b/>
                <w:bCs/>
                <w:color w:val="000000"/>
                <w:sz w:val="18"/>
                <w:szCs w:val="18"/>
              </w:rPr>
            </w:pPr>
          </w:p>
        </w:tc>
        <w:tc>
          <w:tcPr>
            <w:tcW w:w="1890" w:type="dxa"/>
            <w:gridSpan w:val="2"/>
            <w:vMerge/>
            <w:tcBorders>
              <w:top w:val="double" w:sz="6" w:space="0" w:color="auto"/>
              <w:left w:val="single" w:sz="8" w:space="0" w:color="000000"/>
              <w:bottom w:val="single" w:sz="8" w:space="0" w:color="000000"/>
              <w:right w:val="double" w:sz="6" w:space="0" w:color="000000"/>
            </w:tcBorders>
            <w:vAlign w:val="center"/>
            <w:hideMark/>
          </w:tcPr>
          <w:p w:rsidR="00440C45" w:rsidRPr="00440C45" w:rsidRDefault="00440C45" w:rsidP="00440C45">
            <w:pPr>
              <w:jc w:val="left"/>
              <w:rPr>
                <w:rFonts w:ascii="Tahoma" w:eastAsia="Times New Roman" w:hAnsi="Tahoma" w:cs="Tahoma"/>
                <w:b/>
                <w:bCs/>
                <w:color w:val="000000"/>
                <w:sz w:val="18"/>
                <w:szCs w:val="18"/>
              </w:rPr>
            </w:pPr>
          </w:p>
        </w:tc>
      </w:tr>
      <w:tr w:rsidR="00440C45" w:rsidRPr="00440C45" w:rsidTr="0053630A">
        <w:trPr>
          <w:trHeight w:val="330"/>
          <w:tblHeader/>
        </w:trPr>
        <w:tc>
          <w:tcPr>
            <w:tcW w:w="3284" w:type="dxa"/>
            <w:vMerge/>
            <w:tcBorders>
              <w:top w:val="double" w:sz="6" w:space="0" w:color="auto"/>
              <w:left w:val="double" w:sz="6" w:space="0" w:color="auto"/>
              <w:bottom w:val="single" w:sz="8" w:space="0" w:color="000000"/>
              <w:right w:val="single" w:sz="8" w:space="0" w:color="000000"/>
            </w:tcBorders>
            <w:vAlign w:val="center"/>
            <w:hideMark/>
          </w:tcPr>
          <w:p w:rsidR="00440C45" w:rsidRPr="00440C45" w:rsidRDefault="00440C45" w:rsidP="00440C45">
            <w:pPr>
              <w:jc w:val="left"/>
              <w:rPr>
                <w:rFonts w:ascii="Tahoma" w:eastAsia="Times New Roman" w:hAnsi="Tahoma" w:cs="Tahoma"/>
                <w:b/>
                <w:bCs/>
                <w:color w:val="000000"/>
                <w:sz w:val="18"/>
                <w:szCs w:val="18"/>
              </w:rPr>
            </w:pPr>
          </w:p>
        </w:tc>
        <w:tc>
          <w:tcPr>
            <w:tcW w:w="992" w:type="dxa"/>
            <w:tcBorders>
              <w:top w:val="nil"/>
              <w:left w:val="nil"/>
              <w:bottom w:val="single" w:sz="8" w:space="0" w:color="auto"/>
              <w:right w:val="single" w:sz="8" w:space="0" w:color="auto"/>
            </w:tcBorders>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M</w:t>
            </w:r>
          </w:p>
        </w:tc>
        <w:tc>
          <w:tcPr>
            <w:tcW w:w="992" w:type="dxa"/>
            <w:tcBorders>
              <w:top w:val="nil"/>
              <w:left w:val="nil"/>
              <w:bottom w:val="single" w:sz="8" w:space="0" w:color="auto"/>
              <w:right w:val="single" w:sz="8" w:space="0" w:color="auto"/>
            </w:tcBorders>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F</w:t>
            </w:r>
          </w:p>
        </w:tc>
        <w:tc>
          <w:tcPr>
            <w:tcW w:w="992" w:type="dxa"/>
            <w:tcBorders>
              <w:top w:val="nil"/>
              <w:left w:val="nil"/>
              <w:bottom w:val="single" w:sz="8" w:space="0" w:color="auto"/>
              <w:right w:val="single" w:sz="8" w:space="0" w:color="auto"/>
            </w:tcBorders>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M</w:t>
            </w:r>
          </w:p>
        </w:tc>
        <w:tc>
          <w:tcPr>
            <w:tcW w:w="873" w:type="dxa"/>
            <w:tcBorders>
              <w:top w:val="nil"/>
              <w:left w:val="nil"/>
              <w:bottom w:val="single" w:sz="8" w:space="0" w:color="auto"/>
              <w:right w:val="single" w:sz="8" w:space="0" w:color="auto"/>
            </w:tcBorders>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F</w:t>
            </w:r>
          </w:p>
        </w:tc>
        <w:tc>
          <w:tcPr>
            <w:tcW w:w="1080" w:type="dxa"/>
            <w:tcBorders>
              <w:top w:val="nil"/>
              <w:left w:val="nil"/>
              <w:bottom w:val="single" w:sz="8" w:space="0" w:color="auto"/>
              <w:right w:val="single" w:sz="8" w:space="0" w:color="auto"/>
            </w:tcBorders>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M</w:t>
            </w:r>
          </w:p>
        </w:tc>
        <w:tc>
          <w:tcPr>
            <w:tcW w:w="1080" w:type="dxa"/>
            <w:tcBorders>
              <w:top w:val="nil"/>
              <w:left w:val="nil"/>
              <w:bottom w:val="single" w:sz="8" w:space="0" w:color="auto"/>
              <w:right w:val="single" w:sz="8" w:space="0" w:color="auto"/>
            </w:tcBorders>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F</w:t>
            </w:r>
          </w:p>
        </w:tc>
        <w:tc>
          <w:tcPr>
            <w:tcW w:w="990" w:type="dxa"/>
            <w:tcBorders>
              <w:top w:val="nil"/>
              <w:left w:val="nil"/>
              <w:bottom w:val="single" w:sz="8" w:space="0" w:color="auto"/>
              <w:right w:val="single" w:sz="8" w:space="0" w:color="auto"/>
            </w:tcBorders>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M</w:t>
            </w:r>
          </w:p>
        </w:tc>
        <w:tc>
          <w:tcPr>
            <w:tcW w:w="900" w:type="dxa"/>
            <w:tcBorders>
              <w:top w:val="nil"/>
              <w:left w:val="nil"/>
              <w:bottom w:val="single" w:sz="8" w:space="0" w:color="auto"/>
              <w:right w:val="single" w:sz="8" w:space="0" w:color="auto"/>
            </w:tcBorders>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F</w:t>
            </w:r>
          </w:p>
        </w:tc>
        <w:tc>
          <w:tcPr>
            <w:tcW w:w="990" w:type="dxa"/>
            <w:tcBorders>
              <w:top w:val="nil"/>
              <w:left w:val="nil"/>
              <w:bottom w:val="single" w:sz="8" w:space="0" w:color="auto"/>
              <w:right w:val="single" w:sz="8" w:space="0" w:color="auto"/>
            </w:tcBorders>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M</w:t>
            </w:r>
          </w:p>
        </w:tc>
        <w:tc>
          <w:tcPr>
            <w:tcW w:w="900" w:type="dxa"/>
            <w:tcBorders>
              <w:top w:val="nil"/>
              <w:left w:val="nil"/>
              <w:bottom w:val="single" w:sz="8" w:space="0" w:color="auto"/>
              <w:right w:val="double" w:sz="6" w:space="0" w:color="auto"/>
            </w:tcBorders>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F</w:t>
            </w:r>
          </w:p>
        </w:tc>
      </w:tr>
      <w:tr w:rsidR="008B5FAA" w:rsidRPr="00ED18BA" w:rsidTr="002C695E">
        <w:trPr>
          <w:trHeight w:val="1294"/>
        </w:trPr>
        <w:tc>
          <w:tcPr>
            <w:tcW w:w="3284" w:type="dxa"/>
            <w:tcBorders>
              <w:top w:val="nil"/>
              <w:left w:val="single" w:sz="8" w:space="0" w:color="auto"/>
              <w:bottom w:val="single" w:sz="8" w:space="0" w:color="auto"/>
              <w:right w:val="single" w:sz="8" w:space="0" w:color="auto"/>
            </w:tcBorders>
            <w:shd w:val="clear" w:color="auto" w:fill="auto"/>
            <w:vAlign w:val="center"/>
            <w:hideMark/>
          </w:tcPr>
          <w:p w:rsidR="008B5FAA" w:rsidRPr="00440C45" w:rsidRDefault="008B5FAA" w:rsidP="00440C45">
            <w:pPr>
              <w:jc w:val="left"/>
              <w:rPr>
                <w:rFonts w:ascii="Calibri" w:eastAsia="Times New Roman" w:hAnsi="Calibri"/>
                <w:color w:val="000000"/>
                <w:lang w:val="fr-FR"/>
              </w:rPr>
            </w:pPr>
            <w:r w:rsidRPr="00440C45">
              <w:rPr>
                <w:rFonts w:ascii="Calibri" w:eastAsia="Times New Roman" w:hAnsi="Calibri"/>
                <w:color w:val="000000"/>
                <w:lang w:val="fr-FR"/>
              </w:rPr>
              <w:t xml:space="preserve">Nombre d'enfants de plus de 14 ans qui ont bénéficié d’un conseil et d’un </w:t>
            </w:r>
            <w:r w:rsidRPr="00440C45">
              <w:rPr>
                <w:rFonts w:ascii="Calibri" w:eastAsia="Times New Roman" w:hAnsi="Calibri"/>
                <w:b/>
                <w:bCs/>
                <w:color w:val="000000"/>
                <w:lang w:val="fr-FR"/>
              </w:rPr>
              <w:t>dépistagevolontaire</w:t>
            </w:r>
            <w:r w:rsidRPr="00440C45">
              <w:rPr>
                <w:rFonts w:ascii="Calibri" w:eastAsia="Times New Roman" w:hAnsi="Calibri"/>
                <w:color w:val="000000"/>
                <w:lang w:val="fr-FR"/>
              </w:rPr>
              <w:t xml:space="preserve"> du VIH</w:t>
            </w:r>
          </w:p>
        </w:tc>
        <w:tc>
          <w:tcPr>
            <w:tcW w:w="6009" w:type="dxa"/>
            <w:gridSpan w:val="6"/>
            <w:tcBorders>
              <w:top w:val="nil"/>
              <w:left w:val="nil"/>
              <w:bottom w:val="single" w:sz="8" w:space="0" w:color="auto"/>
              <w:right w:val="single" w:sz="8" w:space="0" w:color="auto"/>
            </w:tcBorders>
            <w:shd w:val="clear" w:color="auto" w:fill="AEAAAA" w:themeFill="background2" w:themeFillShade="BF"/>
            <w:vAlign w:val="center"/>
            <w:hideMark/>
          </w:tcPr>
          <w:p w:rsidR="008B5FAA" w:rsidRPr="00440C45" w:rsidRDefault="008B5FAA" w:rsidP="008B5FAA">
            <w:pPr>
              <w:shd w:val="clear" w:color="auto" w:fill="AEAAAA" w:themeFill="background2" w:themeFillShade="BF"/>
              <w:rPr>
                <w:rFonts w:ascii="Tahoma" w:eastAsia="Times New Roman" w:hAnsi="Tahoma" w:cs="Tahoma"/>
                <w:b/>
                <w:bCs/>
                <w:color w:val="000000"/>
                <w:lang w:val="fr-FR"/>
              </w:rPr>
            </w:pPr>
          </w:p>
        </w:tc>
        <w:tc>
          <w:tcPr>
            <w:tcW w:w="990" w:type="dxa"/>
            <w:tcBorders>
              <w:top w:val="nil"/>
              <w:left w:val="nil"/>
              <w:bottom w:val="single" w:sz="8" w:space="0" w:color="auto"/>
              <w:right w:val="single" w:sz="8" w:space="0" w:color="auto"/>
            </w:tcBorders>
            <w:shd w:val="clear" w:color="auto" w:fill="auto"/>
            <w:vAlign w:val="center"/>
            <w:hideMark/>
          </w:tcPr>
          <w:p w:rsidR="008B5FAA" w:rsidRPr="00440C45" w:rsidRDefault="008B5FAA"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8B5FAA" w:rsidRPr="00440C45" w:rsidRDefault="008B5FAA"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8B5FAA" w:rsidRPr="00440C45" w:rsidRDefault="008B5FAA"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8B5FAA" w:rsidRPr="00440C45" w:rsidRDefault="008B5FAA"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2C695E">
        <w:trPr>
          <w:trHeight w:val="1523"/>
        </w:trPr>
        <w:tc>
          <w:tcPr>
            <w:tcW w:w="3284" w:type="dxa"/>
            <w:tcBorders>
              <w:top w:val="nil"/>
              <w:left w:val="single" w:sz="8" w:space="0" w:color="auto"/>
              <w:bottom w:val="single" w:sz="8" w:space="0" w:color="auto"/>
              <w:right w:val="single" w:sz="8" w:space="0" w:color="auto"/>
            </w:tcBorders>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 xml:space="preserve">Nombre d'enfants de 0 à 19 ans dont les parents ont bénéficié d’un conseil et d’un </w:t>
            </w:r>
            <w:r w:rsidRPr="00440C45">
              <w:rPr>
                <w:rFonts w:ascii="Calibri" w:eastAsia="Times New Roman" w:hAnsi="Calibri"/>
                <w:b/>
                <w:bCs/>
                <w:color w:val="000000"/>
                <w:lang w:val="fr-FR"/>
              </w:rPr>
              <w:t>dépistage</w:t>
            </w:r>
            <w:r w:rsidRPr="00440C45">
              <w:rPr>
                <w:rFonts w:ascii="Calibri" w:eastAsia="Times New Roman" w:hAnsi="Calibri"/>
                <w:color w:val="000000"/>
                <w:lang w:val="fr-FR"/>
              </w:rPr>
              <w:t xml:space="preserve"> du VIH à </w:t>
            </w:r>
            <w:r w:rsidRPr="00440C45">
              <w:rPr>
                <w:rFonts w:ascii="Calibri" w:eastAsia="Times New Roman" w:hAnsi="Calibri"/>
                <w:b/>
                <w:bCs/>
                <w:color w:val="000000"/>
                <w:lang w:val="fr-FR"/>
              </w:rPr>
              <w:t>l’initiative du soignant (CDIS)</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left"/>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73"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2C695E">
        <w:trPr>
          <w:trHeight w:val="1598"/>
        </w:trPr>
        <w:tc>
          <w:tcPr>
            <w:tcW w:w="3284" w:type="dxa"/>
            <w:tcBorders>
              <w:top w:val="nil"/>
              <w:left w:val="single" w:sz="8" w:space="0" w:color="auto"/>
              <w:bottom w:val="single" w:sz="8" w:space="0" w:color="auto"/>
              <w:right w:val="single" w:sz="8" w:space="0" w:color="auto"/>
            </w:tcBorders>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 xml:space="preserve">Nombre parents d'enfants de 0 à 19 ans ayant bénéficié d’un conseil et d’un dépistage </w:t>
            </w:r>
            <w:r w:rsidRPr="00440C45">
              <w:rPr>
                <w:rFonts w:ascii="Calibri" w:eastAsia="Times New Roman" w:hAnsi="Calibri"/>
                <w:b/>
                <w:bCs/>
                <w:color w:val="000000"/>
                <w:lang w:val="fr-FR"/>
              </w:rPr>
              <w:t xml:space="preserve">volontaire </w:t>
            </w:r>
            <w:r w:rsidRPr="00440C45">
              <w:rPr>
                <w:rFonts w:ascii="Calibri" w:eastAsia="Times New Roman" w:hAnsi="Calibri"/>
                <w:color w:val="000000"/>
                <w:lang w:val="fr-FR"/>
              </w:rPr>
              <w:t>du VIH et qui ont reçu/</w:t>
            </w:r>
            <w:r w:rsidRPr="00440C45">
              <w:rPr>
                <w:rFonts w:ascii="Calibri" w:eastAsia="Times New Roman" w:hAnsi="Calibri"/>
                <w:b/>
                <w:bCs/>
                <w:color w:val="000000"/>
                <w:lang w:val="fr-FR"/>
              </w:rPr>
              <w:t>connaissent leur résultat</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left"/>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73"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2C695E">
        <w:trPr>
          <w:trHeight w:val="1783"/>
        </w:trPr>
        <w:tc>
          <w:tcPr>
            <w:tcW w:w="3284" w:type="dxa"/>
            <w:tcBorders>
              <w:top w:val="nil"/>
              <w:left w:val="single" w:sz="8" w:space="0" w:color="auto"/>
              <w:bottom w:val="single" w:sz="8" w:space="0" w:color="auto"/>
              <w:right w:val="single" w:sz="8" w:space="0" w:color="auto"/>
            </w:tcBorders>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 xml:space="preserve">Nombre d'enfants de 0 à 19 ans dont les parents ont bénéficié d'un conseil et d’un dépistage du VIH à </w:t>
            </w:r>
            <w:r w:rsidRPr="00440C45">
              <w:rPr>
                <w:rFonts w:ascii="Calibri" w:eastAsia="Times New Roman" w:hAnsi="Calibri"/>
                <w:b/>
                <w:bCs/>
                <w:color w:val="000000"/>
                <w:lang w:val="fr-FR"/>
              </w:rPr>
              <w:t xml:space="preserve">l’initiative du soignant (CDIS) </w:t>
            </w:r>
            <w:r w:rsidRPr="00440C45">
              <w:rPr>
                <w:rFonts w:ascii="Calibri" w:eastAsia="Times New Roman" w:hAnsi="Calibri"/>
                <w:color w:val="000000"/>
                <w:lang w:val="fr-FR"/>
              </w:rPr>
              <w:t>et quiont reçu/</w:t>
            </w:r>
            <w:r w:rsidRPr="00440C45">
              <w:rPr>
                <w:rFonts w:ascii="Calibri" w:eastAsia="Times New Roman" w:hAnsi="Calibri"/>
                <w:b/>
                <w:bCs/>
                <w:color w:val="000000"/>
                <w:lang w:val="fr-FR"/>
              </w:rPr>
              <w:t>connaissent leur résultat</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left"/>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73"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2C695E">
        <w:trPr>
          <w:trHeight w:val="1582"/>
        </w:trPr>
        <w:tc>
          <w:tcPr>
            <w:tcW w:w="3284" w:type="dxa"/>
            <w:tcBorders>
              <w:top w:val="nil"/>
              <w:left w:val="single" w:sz="8" w:space="0" w:color="auto"/>
              <w:bottom w:val="single" w:sz="8" w:space="0" w:color="auto"/>
              <w:right w:val="single" w:sz="8" w:space="0" w:color="auto"/>
            </w:tcBorders>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 couple mère-enfants (0 à 18 mois) ayant benéficié d'un conseils dépistage à l'initiative du soignant</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73"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2C695E">
        <w:trPr>
          <w:trHeight w:val="1690"/>
        </w:trPr>
        <w:tc>
          <w:tcPr>
            <w:tcW w:w="3284" w:type="dxa"/>
            <w:tcBorders>
              <w:top w:val="nil"/>
              <w:left w:val="single" w:sz="8" w:space="0" w:color="auto"/>
              <w:bottom w:val="single" w:sz="8" w:space="0" w:color="auto"/>
              <w:right w:val="single" w:sz="8" w:space="0" w:color="auto"/>
            </w:tcBorders>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 couple mère-enfants (0 à 18 mois) ayant benéficié d'un conseils dépistage à l'initiative du soignant qui ont connaissent leur résultat</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73"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2C695E">
        <w:trPr>
          <w:trHeight w:val="1215"/>
        </w:trPr>
        <w:tc>
          <w:tcPr>
            <w:tcW w:w="3284" w:type="dxa"/>
            <w:tcBorders>
              <w:top w:val="nil"/>
              <w:left w:val="single" w:sz="8" w:space="0" w:color="auto"/>
              <w:bottom w:val="single" w:sz="8" w:space="0" w:color="auto"/>
              <w:right w:val="single" w:sz="8" w:space="0" w:color="auto"/>
            </w:tcBorders>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d'enfants de 0 à 19 ans séropositifs sur l'ensemble des enfants testés (cas positifs)</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73"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2C695E">
        <w:trPr>
          <w:trHeight w:val="330"/>
        </w:trPr>
        <w:tc>
          <w:tcPr>
            <w:tcW w:w="3284" w:type="dxa"/>
            <w:tcBorders>
              <w:top w:val="nil"/>
              <w:left w:val="single" w:sz="8" w:space="0" w:color="auto"/>
              <w:bottom w:val="single" w:sz="8" w:space="0" w:color="auto"/>
              <w:right w:val="single" w:sz="8" w:space="0" w:color="auto"/>
            </w:tcBorders>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 cas de VIH1</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73"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2C695E">
        <w:trPr>
          <w:trHeight w:val="330"/>
        </w:trPr>
        <w:tc>
          <w:tcPr>
            <w:tcW w:w="3284" w:type="dxa"/>
            <w:tcBorders>
              <w:top w:val="nil"/>
              <w:left w:val="single" w:sz="8" w:space="0" w:color="auto"/>
              <w:bottom w:val="single" w:sz="8" w:space="0" w:color="auto"/>
              <w:right w:val="single" w:sz="8" w:space="0" w:color="auto"/>
            </w:tcBorders>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 cas de VIH2</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73"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2C695E">
        <w:trPr>
          <w:trHeight w:val="330"/>
        </w:trPr>
        <w:tc>
          <w:tcPr>
            <w:tcW w:w="3284" w:type="dxa"/>
            <w:tcBorders>
              <w:top w:val="nil"/>
              <w:left w:val="single" w:sz="8" w:space="0" w:color="auto"/>
              <w:bottom w:val="single" w:sz="8" w:space="0" w:color="auto"/>
              <w:right w:val="single" w:sz="8" w:space="0" w:color="auto"/>
            </w:tcBorders>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 cas de VIH1+VIH2</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2"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73"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108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tcBorders>
              <w:top w:val="nil"/>
              <w:left w:val="nil"/>
              <w:bottom w:val="single" w:sz="8" w:space="0" w:color="auto"/>
              <w:right w:val="single" w:sz="8" w:space="0" w:color="auto"/>
            </w:tcBorders>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8B5FAA" w:rsidRPr="00440C45" w:rsidTr="0053630A">
        <w:trPr>
          <w:trHeight w:val="853"/>
        </w:trPr>
        <w:tc>
          <w:tcPr>
            <w:tcW w:w="3284" w:type="dxa"/>
            <w:tcBorders>
              <w:top w:val="nil"/>
              <w:left w:val="single" w:sz="8" w:space="0" w:color="auto"/>
              <w:bottom w:val="single" w:sz="8" w:space="0" w:color="auto"/>
              <w:right w:val="single" w:sz="8" w:space="0" w:color="auto"/>
            </w:tcBorders>
            <w:shd w:val="clear" w:color="auto" w:fill="auto"/>
            <w:vAlign w:val="center"/>
            <w:hideMark/>
          </w:tcPr>
          <w:p w:rsidR="008B5FAA" w:rsidRPr="00440C45" w:rsidRDefault="008B5FAA" w:rsidP="00440C45">
            <w:pPr>
              <w:jc w:val="left"/>
              <w:rPr>
                <w:rFonts w:ascii="Calibri" w:eastAsia="Times New Roman" w:hAnsi="Calibri"/>
                <w:color w:val="000000"/>
              </w:rPr>
            </w:pPr>
            <w:r w:rsidRPr="00440C45">
              <w:rPr>
                <w:rFonts w:ascii="Calibri" w:eastAsia="Times New Roman" w:hAnsi="Calibri"/>
                <w:color w:val="000000"/>
              </w:rPr>
              <w:t xml:space="preserve">Nombre de préservatifs </w:t>
            </w:r>
            <w:r>
              <w:rPr>
                <w:rFonts w:ascii="Calibri" w:eastAsia="Times New Roman" w:hAnsi="Calibri"/>
                <w:color w:val="000000"/>
              </w:rPr>
              <w:t>distributes</w:t>
            </w:r>
          </w:p>
        </w:tc>
        <w:tc>
          <w:tcPr>
            <w:tcW w:w="6009" w:type="dxa"/>
            <w:gridSpan w:val="6"/>
            <w:tcBorders>
              <w:top w:val="nil"/>
              <w:left w:val="nil"/>
              <w:bottom w:val="single" w:sz="8" w:space="0" w:color="auto"/>
              <w:right w:val="single" w:sz="8" w:space="0" w:color="auto"/>
            </w:tcBorders>
            <w:shd w:val="clear" w:color="auto" w:fill="AEAAAA" w:themeFill="background2" w:themeFillShade="BF"/>
            <w:vAlign w:val="center"/>
            <w:hideMark/>
          </w:tcPr>
          <w:p w:rsidR="008B5FAA" w:rsidRPr="00440C45" w:rsidRDefault="008B5FAA" w:rsidP="008B5FAA">
            <w:pPr>
              <w:rPr>
                <w:rFonts w:ascii="Tahoma" w:eastAsia="Times New Roman" w:hAnsi="Tahoma" w:cs="Tahoma"/>
                <w:b/>
                <w:bCs/>
                <w:color w:val="000000"/>
              </w:rPr>
            </w:pPr>
          </w:p>
          <w:p w:rsidR="008B5FAA" w:rsidRPr="00440C45" w:rsidRDefault="008B5FAA"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90" w:type="dxa"/>
            <w:tcBorders>
              <w:top w:val="nil"/>
              <w:left w:val="nil"/>
              <w:bottom w:val="single" w:sz="8" w:space="0" w:color="auto"/>
              <w:right w:val="single" w:sz="8" w:space="0" w:color="auto"/>
            </w:tcBorders>
            <w:shd w:val="clear" w:color="auto" w:fill="auto"/>
            <w:vAlign w:val="center"/>
            <w:hideMark/>
          </w:tcPr>
          <w:p w:rsidR="008B5FAA" w:rsidRPr="00440C45" w:rsidRDefault="008B5FAA"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00" w:type="dxa"/>
            <w:tcBorders>
              <w:top w:val="nil"/>
              <w:left w:val="nil"/>
              <w:bottom w:val="single" w:sz="8" w:space="0" w:color="auto"/>
              <w:right w:val="single" w:sz="8" w:space="0" w:color="auto"/>
            </w:tcBorders>
            <w:shd w:val="clear" w:color="auto" w:fill="auto"/>
            <w:vAlign w:val="center"/>
            <w:hideMark/>
          </w:tcPr>
          <w:p w:rsidR="008B5FAA" w:rsidRPr="00440C45" w:rsidRDefault="008B5FAA"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90" w:type="dxa"/>
            <w:tcBorders>
              <w:top w:val="nil"/>
              <w:left w:val="nil"/>
              <w:bottom w:val="single" w:sz="8" w:space="0" w:color="auto"/>
              <w:right w:val="single" w:sz="8" w:space="0" w:color="auto"/>
            </w:tcBorders>
            <w:shd w:val="clear" w:color="auto" w:fill="auto"/>
            <w:vAlign w:val="center"/>
            <w:hideMark/>
          </w:tcPr>
          <w:p w:rsidR="008B5FAA" w:rsidRPr="00440C45" w:rsidRDefault="008B5FAA"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00" w:type="dxa"/>
            <w:tcBorders>
              <w:top w:val="nil"/>
              <w:left w:val="nil"/>
              <w:bottom w:val="single" w:sz="8" w:space="0" w:color="auto"/>
              <w:right w:val="single" w:sz="8" w:space="0" w:color="auto"/>
            </w:tcBorders>
            <w:shd w:val="clear" w:color="auto" w:fill="auto"/>
            <w:vAlign w:val="center"/>
            <w:hideMark/>
          </w:tcPr>
          <w:p w:rsidR="008B5FAA" w:rsidRPr="00440C45" w:rsidRDefault="008B5FAA"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r>
    </w:tbl>
    <w:p w:rsidR="00440C45" w:rsidRDefault="00440C45" w:rsidP="00440C45">
      <w:pPr>
        <w:rPr>
          <w:lang w:val="fr-FR"/>
        </w:rPr>
      </w:pPr>
    </w:p>
    <w:p w:rsidR="00440C45" w:rsidRDefault="00440C45">
      <w:pPr>
        <w:jc w:val="left"/>
        <w:rPr>
          <w:lang w:val="fr-FR"/>
        </w:rPr>
      </w:pPr>
      <w:r>
        <w:rPr>
          <w:lang w:val="fr-FR"/>
        </w:rPr>
        <w:br w:type="page"/>
      </w:r>
    </w:p>
    <w:p w:rsidR="00440C45" w:rsidRPr="0053630A" w:rsidRDefault="000472FC" w:rsidP="0053630A">
      <w:pPr>
        <w:pStyle w:val="Lgende"/>
        <w:spacing w:after="0"/>
        <w:jc w:val="center"/>
        <w:rPr>
          <w:color w:val="auto"/>
          <w:lang w:val="fr-FR"/>
        </w:rPr>
      </w:pPr>
      <w:bookmarkStart w:id="78" w:name="_Toc480382963"/>
      <w:r w:rsidRPr="0053630A">
        <w:rPr>
          <w:color w:val="auto"/>
          <w:lang w:val="fr-FR"/>
        </w:rPr>
        <w:t xml:space="preserve">Tableau </w:t>
      </w:r>
      <w:r w:rsidR="00C25D03" w:rsidRPr="0053630A">
        <w:rPr>
          <w:color w:val="auto"/>
        </w:rPr>
        <w:fldChar w:fldCharType="begin"/>
      </w:r>
      <w:r w:rsidRPr="0053630A">
        <w:rPr>
          <w:color w:val="auto"/>
          <w:lang w:val="fr-FR"/>
        </w:rPr>
        <w:instrText xml:space="preserve"> SEQ Tableau \* ARABIC </w:instrText>
      </w:r>
      <w:r w:rsidR="00C25D03" w:rsidRPr="0053630A">
        <w:rPr>
          <w:color w:val="auto"/>
        </w:rPr>
        <w:fldChar w:fldCharType="separate"/>
      </w:r>
      <w:r w:rsidR="00CD1586">
        <w:rPr>
          <w:noProof/>
          <w:color w:val="auto"/>
          <w:lang w:val="fr-FR"/>
        </w:rPr>
        <w:t>6</w:t>
      </w:r>
      <w:r w:rsidR="00C25D03" w:rsidRPr="0053630A">
        <w:rPr>
          <w:color w:val="auto"/>
        </w:rPr>
        <w:fldChar w:fldCharType="end"/>
      </w:r>
      <w:r w:rsidRPr="0053630A">
        <w:rPr>
          <w:color w:val="auto"/>
          <w:lang w:val="fr-FR"/>
        </w:rPr>
        <w:t>: Données à collecter pour la TARV</w:t>
      </w:r>
      <w:bookmarkEnd w:id="78"/>
    </w:p>
    <w:p w:rsidR="006713FD" w:rsidRDefault="006713FD" w:rsidP="006713FD">
      <w:pPr>
        <w:pStyle w:val="Paragraphedeliste"/>
        <w:rPr>
          <w:lang w:val="fr-FR"/>
        </w:rPr>
      </w:pPr>
    </w:p>
    <w:tbl>
      <w:tblPr>
        <w:tblW w:w="143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975"/>
        <w:gridCol w:w="810"/>
        <w:gridCol w:w="915"/>
        <w:gridCol w:w="810"/>
        <w:gridCol w:w="810"/>
        <w:gridCol w:w="720"/>
        <w:gridCol w:w="990"/>
        <w:gridCol w:w="900"/>
        <w:gridCol w:w="990"/>
        <w:gridCol w:w="810"/>
        <w:gridCol w:w="900"/>
        <w:gridCol w:w="900"/>
      </w:tblGrid>
      <w:tr w:rsidR="00440C45" w:rsidRPr="00440C45" w:rsidTr="001C6F13">
        <w:trPr>
          <w:trHeight w:val="338"/>
        </w:trPr>
        <w:tc>
          <w:tcPr>
            <w:tcW w:w="3780" w:type="dxa"/>
            <w:vMerge w:val="restart"/>
            <w:shd w:val="clear" w:color="000000" w:fill="D8D8D8"/>
            <w:vAlign w:val="center"/>
            <w:hideMark/>
          </w:tcPr>
          <w:p w:rsidR="00440C45" w:rsidRPr="00440C45" w:rsidRDefault="00440C45" w:rsidP="00440C45">
            <w:pPr>
              <w:jc w:val="left"/>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Indicateurs</w:t>
            </w:r>
          </w:p>
        </w:tc>
        <w:tc>
          <w:tcPr>
            <w:tcW w:w="1785" w:type="dxa"/>
            <w:gridSpan w:val="2"/>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&lt; 1 an</w:t>
            </w:r>
          </w:p>
        </w:tc>
        <w:tc>
          <w:tcPr>
            <w:tcW w:w="1725" w:type="dxa"/>
            <w:gridSpan w:val="2"/>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1 – 4 ans</w:t>
            </w:r>
          </w:p>
        </w:tc>
        <w:tc>
          <w:tcPr>
            <w:tcW w:w="1530" w:type="dxa"/>
            <w:gridSpan w:val="2"/>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5 – 9 ans</w:t>
            </w:r>
          </w:p>
        </w:tc>
        <w:tc>
          <w:tcPr>
            <w:tcW w:w="1890" w:type="dxa"/>
            <w:gridSpan w:val="2"/>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10 – 14 ans</w:t>
            </w:r>
          </w:p>
        </w:tc>
        <w:tc>
          <w:tcPr>
            <w:tcW w:w="1800" w:type="dxa"/>
            <w:gridSpan w:val="2"/>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15 – 19 ans</w:t>
            </w:r>
          </w:p>
        </w:tc>
        <w:tc>
          <w:tcPr>
            <w:tcW w:w="1800" w:type="dxa"/>
            <w:gridSpan w:val="2"/>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Total</w:t>
            </w:r>
          </w:p>
        </w:tc>
      </w:tr>
      <w:tr w:rsidR="00440C45" w:rsidRPr="00440C45" w:rsidTr="001C6F13">
        <w:trPr>
          <w:trHeight w:val="330"/>
        </w:trPr>
        <w:tc>
          <w:tcPr>
            <w:tcW w:w="3780" w:type="dxa"/>
            <w:vMerge/>
            <w:vAlign w:val="center"/>
            <w:hideMark/>
          </w:tcPr>
          <w:p w:rsidR="00440C45" w:rsidRPr="00440C45" w:rsidRDefault="00440C45" w:rsidP="00440C45">
            <w:pPr>
              <w:jc w:val="left"/>
              <w:rPr>
                <w:rFonts w:ascii="Tahoma" w:eastAsia="Times New Roman" w:hAnsi="Tahoma" w:cs="Tahoma"/>
                <w:b/>
                <w:bCs/>
                <w:color w:val="000000"/>
                <w:sz w:val="18"/>
                <w:szCs w:val="18"/>
              </w:rPr>
            </w:pPr>
          </w:p>
        </w:tc>
        <w:tc>
          <w:tcPr>
            <w:tcW w:w="975" w:type="dxa"/>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M</w:t>
            </w:r>
          </w:p>
        </w:tc>
        <w:tc>
          <w:tcPr>
            <w:tcW w:w="810" w:type="dxa"/>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F</w:t>
            </w:r>
          </w:p>
        </w:tc>
        <w:tc>
          <w:tcPr>
            <w:tcW w:w="915" w:type="dxa"/>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M</w:t>
            </w:r>
          </w:p>
        </w:tc>
        <w:tc>
          <w:tcPr>
            <w:tcW w:w="810" w:type="dxa"/>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F</w:t>
            </w:r>
          </w:p>
        </w:tc>
        <w:tc>
          <w:tcPr>
            <w:tcW w:w="810" w:type="dxa"/>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M</w:t>
            </w:r>
          </w:p>
        </w:tc>
        <w:tc>
          <w:tcPr>
            <w:tcW w:w="720" w:type="dxa"/>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F</w:t>
            </w:r>
          </w:p>
        </w:tc>
        <w:tc>
          <w:tcPr>
            <w:tcW w:w="990" w:type="dxa"/>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M</w:t>
            </w:r>
          </w:p>
        </w:tc>
        <w:tc>
          <w:tcPr>
            <w:tcW w:w="900" w:type="dxa"/>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F</w:t>
            </w:r>
          </w:p>
        </w:tc>
        <w:tc>
          <w:tcPr>
            <w:tcW w:w="990" w:type="dxa"/>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M</w:t>
            </w:r>
          </w:p>
        </w:tc>
        <w:tc>
          <w:tcPr>
            <w:tcW w:w="810" w:type="dxa"/>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F</w:t>
            </w:r>
          </w:p>
        </w:tc>
        <w:tc>
          <w:tcPr>
            <w:tcW w:w="900" w:type="dxa"/>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M</w:t>
            </w:r>
          </w:p>
        </w:tc>
        <w:tc>
          <w:tcPr>
            <w:tcW w:w="900" w:type="dxa"/>
            <w:shd w:val="clear" w:color="000000" w:fill="D8D8D8"/>
            <w:vAlign w:val="center"/>
            <w:hideMark/>
          </w:tcPr>
          <w:p w:rsidR="00440C45" w:rsidRPr="00440C45" w:rsidRDefault="00440C45" w:rsidP="00440C45">
            <w:pPr>
              <w:jc w:val="center"/>
              <w:rPr>
                <w:rFonts w:ascii="Tahoma" w:eastAsia="Times New Roman" w:hAnsi="Tahoma" w:cs="Tahoma"/>
                <w:b/>
                <w:bCs/>
                <w:color w:val="000000"/>
                <w:sz w:val="18"/>
                <w:szCs w:val="18"/>
              </w:rPr>
            </w:pPr>
            <w:r w:rsidRPr="00440C45">
              <w:rPr>
                <w:rFonts w:ascii="Tahoma" w:eastAsia="Times New Roman" w:hAnsi="Tahoma" w:cs="Tahoma"/>
                <w:b/>
                <w:bCs/>
                <w:color w:val="000000"/>
                <w:sz w:val="18"/>
                <w:szCs w:val="18"/>
              </w:rPr>
              <w:t>F</w:t>
            </w:r>
          </w:p>
        </w:tc>
      </w:tr>
      <w:tr w:rsidR="00440C45" w:rsidRPr="00ED18BA" w:rsidTr="001C6F13">
        <w:trPr>
          <w:trHeight w:val="330"/>
        </w:trPr>
        <w:tc>
          <w:tcPr>
            <w:tcW w:w="3780" w:type="dxa"/>
            <w:shd w:val="clear" w:color="auto" w:fill="auto"/>
            <w:vAlign w:val="center"/>
            <w:hideMark/>
          </w:tcPr>
          <w:p w:rsidR="00440C45" w:rsidRPr="00440C45" w:rsidRDefault="00440C45" w:rsidP="00440C45">
            <w:pPr>
              <w:jc w:val="left"/>
              <w:rPr>
                <w:rFonts w:ascii="Calibri" w:eastAsia="Times New Roman" w:hAnsi="Calibri"/>
                <w:b/>
                <w:bCs/>
                <w:color w:val="000000"/>
                <w:sz w:val="24"/>
                <w:lang w:val="fr-FR"/>
              </w:rPr>
            </w:pPr>
            <w:r w:rsidRPr="00440C45">
              <w:rPr>
                <w:rFonts w:ascii="Calibri" w:eastAsia="Times New Roman" w:hAnsi="Calibri"/>
                <w:b/>
                <w:bCs/>
                <w:color w:val="000000"/>
                <w:sz w:val="24"/>
                <w:lang w:val="fr-FR"/>
              </w:rPr>
              <w:t>Évolution de la file active</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737"/>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 xml:space="preserve">Nombre de nouveaux enfants de 0 à 19 ans mis  sous ARV </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710"/>
        </w:trPr>
        <w:tc>
          <w:tcPr>
            <w:tcW w:w="3780" w:type="dxa"/>
            <w:shd w:val="clear" w:color="auto" w:fill="auto"/>
            <w:vAlign w:val="center"/>
            <w:hideMark/>
          </w:tcPr>
          <w:p w:rsidR="00440C45" w:rsidRPr="00440C45" w:rsidRDefault="00E00480" w:rsidP="00440C45">
            <w:pPr>
              <w:jc w:val="left"/>
              <w:rPr>
                <w:rFonts w:ascii="Calibri" w:eastAsia="Times New Roman" w:hAnsi="Calibri"/>
                <w:color w:val="000000"/>
                <w:lang w:val="fr-FR"/>
              </w:rPr>
            </w:pPr>
            <w:r>
              <w:rPr>
                <w:rFonts w:ascii="Calibri" w:eastAsia="Times New Roman" w:hAnsi="Calibri"/>
                <w:color w:val="000000"/>
                <w:lang w:val="fr-FR"/>
              </w:rPr>
              <w:t>Nombre d’</w:t>
            </w:r>
            <w:r w:rsidR="00440C45" w:rsidRPr="00440C45">
              <w:rPr>
                <w:rFonts w:ascii="Calibri" w:eastAsia="Times New Roman" w:hAnsi="Calibri"/>
                <w:color w:val="000000"/>
                <w:lang w:val="fr-FR"/>
              </w:rPr>
              <w:t>enfants de retour dans le traitement</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710"/>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d'enfants sous ARV transférés Entrants</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440"/>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d'enfants sous ARV décédés</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638"/>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 xml:space="preserve">Nombre d'enfants sous ARV transférés Sortants </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692"/>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d'enfants sous ARV perdus de vue</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638"/>
        </w:trPr>
        <w:tc>
          <w:tcPr>
            <w:tcW w:w="3780" w:type="dxa"/>
            <w:shd w:val="clear" w:color="auto" w:fill="auto"/>
            <w:vAlign w:val="center"/>
            <w:hideMark/>
          </w:tcPr>
          <w:p w:rsidR="006713FD"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d'enfants VIH+ tuberculeux mis sous ARV</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440C45" w:rsidTr="001C6F13">
        <w:trPr>
          <w:trHeight w:val="330"/>
        </w:trPr>
        <w:tc>
          <w:tcPr>
            <w:tcW w:w="3780" w:type="dxa"/>
            <w:shd w:val="clear" w:color="auto" w:fill="auto"/>
            <w:vAlign w:val="center"/>
            <w:hideMark/>
          </w:tcPr>
          <w:p w:rsidR="00440C45" w:rsidRPr="00440C45" w:rsidRDefault="00440C45" w:rsidP="00440C45">
            <w:pPr>
              <w:jc w:val="left"/>
              <w:rPr>
                <w:rFonts w:ascii="Calibri" w:eastAsia="Times New Roman" w:hAnsi="Calibri"/>
                <w:b/>
                <w:bCs/>
                <w:color w:val="000000"/>
                <w:sz w:val="24"/>
              </w:rPr>
            </w:pPr>
            <w:r w:rsidRPr="00440C45">
              <w:rPr>
                <w:rFonts w:ascii="Calibri" w:eastAsia="Times New Roman" w:hAnsi="Calibri"/>
                <w:b/>
                <w:bCs/>
                <w:color w:val="000000"/>
                <w:sz w:val="24"/>
              </w:rPr>
              <w:t>Suivi des patients</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r>
      <w:tr w:rsidR="00440C45" w:rsidRPr="00ED18BA" w:rsidTr="001C6F13">
        <w:trPr>
          <w:trHeight w:val="998"/>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d'enfants sous traitement ARV chez qui une recherche active de tuberculose a été réalisée à la dernière visite</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890"/>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 patients séropositifs chez qui la tuberculose a été diagnostiquée (cas positif)</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620"/>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d'enfants VIH+ chez lesquels l’antigène Ag HBs+ (cas positif)</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620"/>
        </w:trPr>
        <w:tc>
          <w:tcPr>
            <w:tcW w:w="3780" w:type="dxa"/>
            <w:shd w:val="clear" w:color="auto" w:fill="auto"/>
            <w:vAlign w:val="center"/>
            <w:hideMark/>
          </w:tcPr>
          <w:p w:rsidR="00440C45" w:rsidRPr="00440C45" w:rsidRDefault="00440C45" w:rsidP="001C6F13">
            <w:pPr>
              <w:jc w:val="left"/>
              <w:rPr>
                <w:rFonts w:ascii="Calibri" w:eastAsia="Times New Roman" w:hAnsi="Calibri"/>
                <w:color w:val="000000"/>
                <w:lang w:val="fr-FR"/>
              </w:rPr>
            </w:pPr>
            <w:r w:rsidRPr="00440C45">
              <w:rPr>
                <w:rFonts w:ascii="Calibri" w:eastAsia="Times New Roman" w:hAnsi="Calibri"/>
                <w:color w:val="000000"/>
                <w:lang w:val="fr-FR"/>
              </w:rPr>
              <w:t>Nombre d'enfants VIH+ ch</w:t>
            </w:r>
            <w:r w:rsidR="001C6F13">
              <w:rPr>
                <w:rFonts w:ascii="Calibri" w:eastAsia="Times New Roman" w:hAnsi="Calibri"/>
                <w:color w:val="000000"/>
                <w:lang w:val="fr-FR"/>
              </w:rPr>
              <w:t xml:space="preserve">ez lesquels l’antigène Ag HBs+ </w:t>
            </w:r>
            <w:r w:rsidRPr="00440C45">
              <w:rPr>
                <w:rFonts w:ascii="Calibri" w:eastAsia="Times New Roman" w:hAnsi="Calibri"/>
                <w:color w:val="000000"/>
                <w:lang w:val="fr-FR"/>
              </w:rPr>
              <w:t>et mis sous ARV</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620"/>
        </w:trPr>
        <w:tc>
          <w:tcPr>
            <w:tcW w:w="3780" w:type="dxa"/>
            <w:shd w:val="clear" w:color="auto" w:fill="auto"/>
            <w:vAlign w:val="center"/>
            <w:hideMark/>
          </w:tcPr>
          <w:p w:rsidR="00440C45" w:rsidRPr="00440C45" w:rsidRDefault="001C6F13" w:rsidP="001C6F13">
            <w:pPr>
              <w:jc w:val="left"/>
              <w:rPr>
                <w:rFonts w:ascii="Calibri" w:eastAsia="Times New Roman" w:hAnsi="Calibri"/>
                <w:color w:val="000000"/>
                <w:lang w:val="fr-FR"/>
              </w:rPr>
            </w:pPr>
            <w:r>
              <w:rPr>
                <w:rFonts w:ascii="Calibri" w:eastAsia="Times New Roman" w:hAnsi="Calibri"/>
                <w:color w:val="000000"/>
                <w:lang w:val="fr-FR"/>
              </w:rPr>
              <w:t xml:space="preserve">Nombre d'enfant ayant </w:t>
            </w:r>
            <w:r w:rsidR="00440C45" w:rsidRPr="00440C45">
              <w:rPr>
                <w:rFonts w:ascii="Calibri" w:eastAsia="Times New Roman" w:hAnsi="Calibri"/>
                <w:color w:val="000000"/>
                <w:lang w:val="fr-FR"/>
              </w:rPr>
              <w:t>un comptage de CD4</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800"/>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d'enfants sous TARV ayant effectué une quantification de la Charge virale (CV)</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800"/>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d'enfants  sous TARV ayant effectué une quantification de la CV et pour lesquels la CV≤ 1000 copies/ml</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530"/>
        </w:trPr>
        <w:tc>
          <w:tcPr>
            <w:tcW w:w="3780" w:type="dxa"/>
            <w:shd w:val="clear" w:color="000000" w:fill="FFF3CB"/>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d'enfants recevant du Cotrimoxazole</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692"/>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total d'enfants VIH+ recevant la prophylaxie à l’Isoniazide</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440C45" w:rsidTr="001C6F13">
        <w:trPr>
          <w:trHeight w:val="377"/>
        </w:trPr>
        <w:tc>
          <w:tcPr>
            <w:tcW w:w="3780" w:type="dxa"/>
            <w:shd w:val="clear" w:color="auto" w:fill="auto"/>
            <w:vAlign w:val="center"/>
            <w:hideMark/>
          </w:tcPr>
          <w:p w:rsidR="00440C45" w:rsidRPr="00440C45" w:rsidRDefault="00440C45" w:rsidP="00440C45">
            <w:pPr>
              <w:jc w:val="left"/>
              <w:rPr>
                <w:rFonts w:ascii="Calibri" w:eastAsia="Times New Roman" w:hAnsi="Calibri"/>
                <w:b/>
                <w:bCs/>
                <w:color w:val="000000"/>
                <w:sz w:val="24"/>
              </w:rPr>
            </w:pPr>
            <w:r w:rsidRPr="00440C45">
              <w:rPr>
                <w:rFonts w:ascii="Calibri" w:eastAsia="Times New Roman" w:hAnsi="Calibri"/>
                <w:b/>
                <w:bCs/>
                <w:color w:val="000000"/>
                <w:sz w:val="24"/>
              </w:rPr>
              <w:t xml:space="preserve">Rétention sous traitement </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r>
      <w:tr w:rsidR="00440C45" w:rsidRPr="00ED18BA" w:rsidTr="001C6F13">
        <w:trPr>
          <w:trHeight w:val="602"/>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d'enfants sous ARV depuis 12 mois</w:t>
            </w:r>
          </w:p>
        </w:tc>
        <w:tc>
          <w:tcPr>
            <w:tcW w:w="975"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422"/>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 xml:space="preserve">Nombre d'enfants sous ARV depuis 24 mois </w:t>
            </w:r>
          </w:p>
        </w:tc>
        <w:tc>
          <w:tcPr>
            <w:tcW w:w="975"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512"/>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 xml:space="preserve">Nombre d'enfants sous ARV depuis 60 mois </w:t>
            </w:r>
          </w:p>
        </w:tc>
        <w:tc>
          <w:tcPr>
            <w:tcW w:w="975"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000000" w:fill="808080"/>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330"/>
        </w:trPr>
        <w:tc>
          <w:tcPr>
            <w:tcW w:w="3780" w:type="dxa"/>
            <w:shd w:val="clear" w:color="auto" w:fill="auto"/>
            <w:vAlign w:val="center"/>
            <w:hideMark/>
          </w:tcPr>
          <w:p w:rsidR="00440C45" w:rsidRPr="00440C45" w:rsidRDefault="00440C45" w:rsidP="00440C45">
            <w:pPr>
              <w:jc w:val="left"/>
              <w:rPr>
                <w:rFonts w:ascii="Calibri" w:eastAsia="Times New Roman" w:hAnsi="Calibri"/>
                <w:b/>
                <w:bCs/>
                <w:color w:val="000000"/>
                <w:sz w:val="20"/>
                <w:szCs w:val="20"/>
                <w:lang w:val="fr-FR"/>
              </w:rPr>
            </w:pPr>
            <w:r w:rsidRPr="00440C45">
              <w:rPr>
                <w:rFonts w:ascii="Calibri" w:eastAsia="Times New Roman" w:hAnsi="Calibri"/>
                <w:b/>
                <w:bCs/>
                <w:color w:val="000000"/>
                <w:sz w:val="20"/>
                <w:szCs w:val="20"/>
                <w:lang w:val="fr-FR"/>
              </w:rPr>
              <w:t>Situation à la fin du mois</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710"/>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d'enfants suivis sous ARV à la fin du mois en cours (</w:t>
            </w:r>
            <w:r w:rsidRPr="00440C45">
              <w:rPr>
                <w:rFonts w:ascii="Calibri" w:eastAsia="Times New Roman" w:hAnsi="Calibri"/>
                <w:color w:val="000000"/>
                <w:sz w:val="20"/>
                <w:szCs w:val="20"/>
                <w:lang w:val="fr-FR"/>
              </w:rPr>
              <w:t>file active sous ARV)</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ED18BA" w:rsidTr="001C6F13">
        <w:trPr>
          <w:trHeight w:val="620"/>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lang w:val="fr-FR"/>
              </w:rPr>
            </w:pPr>
            <w:r w:rsidRPr="00440C45">
              <w:rPr>
                <w:rFonts w:ascii="Calibri" w:eastAsia="Times New Roman" w:hAnsi="Calibri"/>
                <w:color w:val="000000"/>
                <w:lang w:val="fr-FR"/>
              </w:rPr>
              <w:t>Nombre d'enfants suivis sans ARV à la fin du mois</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lang w:val="fr-FR"/>
              </w:rPr>
            </w:pPr>
            <w:r w:rsidRPr="00440C45">
              <w:rPr>
                <w:rFonts w:ascii="Tahoma" w:eastAsia="Times New Roman" w:hAnsi="Tahoma" w:cs="Tahoma"/>
                <w:b/>
                <w:bCs/>
                <w:color w:val="000000"/>
                <w:lang w:val="fr-FR"/>
              </w:rPr>
              <w:t> </w:t>
            </w:r>
          </w:p>
        </w:tc>
      </w:tr>
      <w:tr w:rsidR="00440C45" w:rsidRPr="00440C45" w:rsidTr="001C6F13">
        <w:trPr>
          <w:trHeight w:val="422"/>
        </w:trPr>
        <w:tc>
          <w:tcPr>
            <w:tcW w:w="3780" w:type="dxa"/>
            <w:shd w:val="clear" w:color="auto" w:fill="auto"/>
            <w:vAlign w:val="center"/>
            <w:hideMark/>
          </w:tcPr>
          <w:p w:rsidR="00440C45" w:rsidRPr="00440C45" w:rsidRDefault="00440C45" w:rsidP="00440C45">
            <w:pPr>
              <w:jc w:val="left"/>
              <w:rPr>
                <w:rFonts w:ascii="Calibri" w:eastAsia="Times New Roman" w:hAnsi="Calibri"/>
                <w:color w:val="000000"/>
              </w:rPr>
            </w:pPr>
            <w:r w:rsidRPr="00440C45">
              <w:rPr>
                <w:rFonts w:ascii="Calibri" w:eastAsia="Times New Roman" w:hAnsi="Calibri"/>
                <w:color w:val="000000"/>
              </w:rPr>
              <w:t>Nombre total d'enfants suivis</w:t>
            </w:r>
          </w:p>
        </w:tc>
        <w:tc>
          <w:tcPr>
            <w:tcW w:w="975"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15"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72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9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81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c>
          <w:tcPr>
            <w:tcW w:w="900" w:type="dxa"/>
            <w:shd w:val="clear" w:color="auto" w:fill="auto"/>
            <w:vAlign w:val="center"/>
            <w:hideMark/>
          </w:tcPr>
          <w:p w:rsidR="00440C45" w:rsidRPr="00440C45" w:rsidRDefault="00440C45" w:rsidP="00440C45">
            <w:pPr>
              <w:jc w:val="center"/>
              <w:rPr>
                <w:rFonts w:ascii="Tahoma" w:eastAsia="Times New Roman" w:hAnsi="Tahoma" w:cs="Tahoma"/>
                <w:b/>
                <w:bCs/>
                <w:color w:val="000000"/>
              </w:rPr>
            </w:pPr>
            <w:r w:rsidRPr="00440C45">
              <w:rPr>
                <w:rFonts w:ascii="Tahoma" w:eastAsia="Times New Roman" w:hAnsi="Tahoma" w:cs="Tahoma"/>
                <w:b/>
                <w:bCs/>
                <w:color w:val="000000"/>
              </w:rPr>
              <w:t> </w:t>
            </w:r>
          </w:p>
        </w:tc>
      </w:tr>
    </w:tbl>
    <w:p w:rsidR="001C6F13" w:rsidRDefault="001C6F13" w:rsidP="00440C45">
      <w:pPr>
        <w:rPr>
          <w:lang w:val="fr-FR"/>
        </w:rPr>
        <w:sectPr w:rsidR="001C6F13" w:rsidSect="00861997">
          <w:footerReference w:type="default" r:id="rId31"/>
          <w:pgSz w:w="15840" w:h="12240" w:orient="landscape"/>
          <w:pgMar w:top="1440" w:right="1440" w:bottom="1440" w:left="1440" w:header="720" w:footer="720" w:gutter="0"/>
          <w:pgNumType w:start="39"/>
          <w:cols w:space="720"/>
          <w:docGrid w:linePitch="360"/>
        </w:sectPr>
      </w:pPr>
    </w:p>
    <w:p w:rsidR="002563D0" w:rsidRPr="002C695E" w:rsidRDefault="002563D0" w:rsidP="0053630A">
      <w:pPr>
        <w:pStyle w:val="Titre3"/>
        <w:numPr>
          <w:ilvl w:val="2"/>
          <w:numId w:val="22"/>
        </w:numPr>
        <w:spacing w:before="0"/>
        <w:ind w:left="709"/>
        <w:rPr>
          <w:color w:val="auto"/>
          <w:sz w:val="24"/>
          <w:lang w:val="fr-FR"/>
        </w:rPr>
      </w:pPr>
      <w:r w:rsidRPr="002C695E">
        <w:rPr>
          <w:color w:val="auto"/>
          <w:sz w:val="24"/>
          <w:lang w:val="fr-FR"/>
        </w:rPr>
        <w:t> </w:t>
      </w:r>
      <w:bookmarkStart w:id="79" w:name="_Toc480382950"/>
      <w:r w:rsidRPr="002C695E">
        <w:rPr>
          <w:color w:val="auto"/>
          <w:sz w:val="24"/>
          <w:lang w:val="fr-FR"/>
        </w:rPr>
        <w:t>Responsabilités, types de rapports et délais par niveau du SNIS</w:t>
      </w:r>
      <w:bookmarkEnd w:id="79"/>
    </w:p>
    <w:p w:rsidR="0053630A" w:rsidRPr="0053630A" w:rsidRDefault="0053630A" w:rsidP="0053630A">
      <w:pPr>
        <w:rPr>
          <w:lang w:val="fr-FR"/>
        </w:rPr>
      </w:pPr>
    </w:p>
    <w:p w:rsidR="002563D0" w:rsidRDefault="00570427" w:rsidP="0053630A">
      <w:pPr>
        <w:pStyle w:val="Lgende"/>
        <w:spacing w:after="0"/>
        <w:jc w:val="center"/>
        <w:rPr>
          <w:color w:val="auto"/>
          <w:lang w:val="fr-FR"/>
        </w:rPr>
      </w:pPr>
      <w:bookmarkStart w:id="80" w:name="_Toc480382964"/>
      <w:r w:rsidRPr="0053630A">
        <w:rPr>
          <w:color w:val="auto"/>
          <w:lang w:val="fr-FR"/>
        </w:rPr>
        <w:t xml:space="preserve">Tableau </w:t>
      </w:r>
      <w:r w:rsidR="00C25D03" w:rsidRPr="0053630A">
        <w:rPr>
          <w:color w:val="auto"/>
        </w:rPr>
        <w:fldChar w:fldCharType="begin"/>
      </w:r>
      <w:r w:rsidRPr="0053630A">
        <w:rPr>
          <w:color w:val="auto"/>
          <w:lang w:val="fr-FR"/>
        </w:rPr>
        <w:instrText xml:space="preserve"> SEQ Tableau \* ARABIC </w:instrText>
      </w:r>
      <w:r w:rsidR="00C25D03" w:rsidRPr="0053630A">
        <w:rPr>
          <w:color w:val="auto"/>
        </w:rPr>
        <w:fldChar w:fldCharType="separate"/>
      </w:r>
      <w:r w:rsidR="00CD1586">
        <w:rPr>
          <w:noProof/>
          <w:color w:val="auto"/>
          <w:lang w:val="fr-FR"/>
        </w:rPr>
        <w:t>7</w:t>
      </w:r>
      <w:r w:rsidR="00C25D03" w:rsidRPr="0053630A">
        <w:rPr>
          <w:color w:val="auto"/>
        </w:rPr>
        <w:fldChar w:fldCharType="end"/>
      </w:r>
      <w:r w:rsidRPr="0053630A">
        <w:rPr>
          <w:color w:val="auto"/>
          <w:lang w:val="fr-FR"/>
        </w:rPr>
        <w:t>: Responsables et délai de transmission des rapports par niveau</w:t>
      </w:r>
      <w:bookmarkEnd w:id="80"/>
    </w:p>
    <w:p w:rsidR="0053630A" w:rsidRPr="0053630A" w:rsidRDefault="0053630A" w:rsidP="0053630A">
      <w:pPr>
        <w:rPr>
          <w:lang w:val="fr-FR"/>
        </w:rPr>
      </w:pPr>
    </w:p>
    <w:tbl>
      <w:tblPr>
        <w:tblW w:w="9778" w:type="dxa"/>
        <w:tblBorders>
          <w:top w:val="nil"/>
          <w:left w:val="nil"/>
          <w:right w:val="nil"/>
        </w:tblBorders>
        <w:tblLayout w:type="fixed"/>
        <w:tblLook w:val="0000"/>
      </w:tblPr>
      <w:tblGrid>
        <w:gridCol w:w="1728"/>
        <w:gridCol w:w="3600"/>
        <w:gridCol w:w="1890"/>
        <w:gridCol w:w="2560"/>
      </w:tblGrid>
      <w:tr w:rsidR="002563D0" w:rsidRPr="00857488" w:rsidTr="00933752">
        <w:tc>
          <w:tcPr>
            <w:tcW w:w="1728" w:type="dxa"/>
            <w:tcBorders>
              <w:top w:val="single" w:sz="8" w:space="0" w:color="000000"/>
              <w:left w:val="single" w:sz="8" w:space="0" w:color="000000"/>
              <w:bottom w:val="single" w:sz="8" w:space="0" w:color="000000"/>
            </w:tcBorders>
            <w:shd w:val="clear" w:color="auto" w:fill="C1C1C1"/>
            <w:tcMar>
              <w:top w:w="140" w:type="nil"/>
              <w:right w:w="140" w:type="nil"/>
            </w:tcMar>
            <w:vAlign w:val="center"/>
          </w:tcPr>
          <w:p w:rsidR="002563D0" w:rsidRPr="00857488" w:rsidRDefault="002563D0" w:rsidP="00933752">
            <w:pPr>
              <w:widowControl w:val="0"/>
              <w:autoSpaceDE w:val="0"/>
              <w:autoSpaceDN w:val="0"/>
              <w:adjustRightInd w:val="0"/>
              <w:jc w:val="center"/>
              <w:rPr>
                <w:rFonts w:cs="Helvetica Neue"/>
              </w:rPr>
            </w:pPr>
            <w:r w:rsidRPr="00857488">
              <w:rPr>
                <w:rFonts w:cs="Calibri"/>
                <w:b/>
                <w:bCs/>
                <w:szCs w:val="22"/>
              </w:rPr>
              <w:t>Niveau</w:t>
            </w:r>
          </w:p>
        </w:tc>
        <w:tc>
          <w:tcPr>
            <w:tcW w:w="3600" w:type="dxa"/>
            <w:tcBorders>
              <w:top w:val="single" w:sz="8" w:space="0" w:color="000000"/>
              <w:left w:val="single" w:sz="8" w:space="0" w:color="000000"/>
              <w:bottom w:val="single" w:sz="8" w:space="0" w:color="000000"/>
            </w:tcBorders>
            <w:shd w:val="clear" w:color="auto" w:fill="C1C1C1"/>
            <w:tcMar>
              <w:top w:w="140" w:type="nil"/>
              <w:right w:w="140" w:type="nil"/>
            </w:tcMar>
            <w:vAlign w:val="center"/>
          </w:tcPr>
          <w:p w:rsidR="002563D0" w:rsidRPr="00857488" w:rsidRDefault="002563D0" w:rsidP="00933752">
            <w:pPr>
              <w:widowControl w:val="0"/>
              <w:autoSpaceDE w:val="0"/>
              <w:autoSpaceDN w:val="0"/>
              <w:adjustRightInd w:val="0"/>
              <w:jc w:val="center"/>
              <w:rPr>
                <w:rFonts w:cs="Helvetica Neue"/>
              </w:rPr>
            </w:pPr>
            <w:r w:rsidRPr="00857488">
              <w:rPr>
                <w:rFonts w:cs="Calibri"/>
                <w:b/>
                <w:bCs/>
                <w:szCs w:val="22"/>
              </w:rPr>
              <w:t>Personnes responsables</w:t>
            </w:r>
          </w:p>
        </w:tc>
        <w:tc>
          <w:tcPr>
            <w:tcW w:w="1890" w:type="dxa"/>
            <w:tcBorders>
              <w:top w:val="single" w:sz="8" w:space="0" w:color="000000"/>
              <w:left w:val="single" w:sz="8" w:space="0" w:color="000000"/>
              <w:bottom w:val="single" w:sz="8" w:space="0" w:color="000000"/>
              <w:right w:val="single" w:sz="8" w:space="0" w:color="000000"/>
            </w:tcBorders>
            <w:shd w:val="clear" w:color="auto" w:fill="C1C1C1"/>
            <w:tcMar>
              <w:top w:w="140" w:type="nil"/>
              <w:right w:w="140" w:type="nil"/>
            </w:tcMar>
            <w:vAlign w:val="center"/>
          </w:tcPr>
          <w:p w:rsidR="002563D0" w:rsidRPr="00857488" w:rsidRDefault="002563D0" w:rsidP="00933752">
            <w:pPr>
              <w:widowControl w:val="0"/>
              <w:autoSpaceDE w:val="0"/>
              <w:autoSpaceDN w:val="0"/>
              <w:adjustRightInd w:val="0"/>
              <w:jc w:val="center"/>
              <w:rPr>
                <w:rFonts w:cs="Helvetica Neue"/>
              </w:rPr>
            </w:pPr>
            <w:r w:rsidRPr="00857488">
              <w:rPr>
                <w:rFonts w:cs="Calibri"/>
                <w:b/>
                <w:bCs/>
                <w:szCs w:val="22"/>
              </w:rPr>
              <w:t>Canevas de rapport</w:t>
            </w:r>
          </w:p>
        </w:tc>
        <w:tc>
          <w:tcPr>
            <w:tcW w:w="2560" w:type="dxa"/>
            <w:tcBorders>
              <w:top w:val="single" w:sz="8" w:space="0" w:color="000000"/>
              <w:bottom w:val="single" w:sz="8" w:space="0" w:color="000000"/>
              <w:right w:val="single" w:sz="8" w:space="0" w:color="000000"/>
            </w:tcBorders>
            <w:shd w:val="clear" w:color="auto" w:fill="C1C1C1"/>
            <w:tcMar>
              <w:top w:w="140" w:type="nil"/>
              <w:right w:w="140" w:type="nil"/>
            </w:tcMar>
            <w:vAlign w:val="center"/>
          </w:tcPr>
          <w:p w:rsidR="002563D0" w:rsidRPr="00857488" w:rsidRDefault="002563D0" w:rsidP="00933752">
            <w:pPr>
              <w:widowControl w:val="0"/>
              <w:autoSpaceDE w:val="0"/>
              <w:autoSpaceDN w:val="0"/>
              <w:adjustRightInd w:val="0"/>
              <w:jc w:val="center"/>
              <w:rPr>
                <w:rFonts w:cs="Helvetica Neue"/>
              </w:rPr>
            </w:pPr>
            <w:r w:rsidRPr="00857488">
              <w:rPr>
                <w:rFonts w:cs="Calibri"/>
                <w:b/>
                <w:bCs/>
                <w:szCs w:val="22"/>
              </w:rPr>
              <w:t>Délai de transmission</w:t>
            </w:r>
          </w:p>
        </w:tc>
      </w:tr>
      <w:tr w:rsidR="002563D0" w:rsidRPr="00857488" w:rsidTr="00933752">
        <w:tblPrEx>
          <w:tblBorders>
            <w:top w:val="none" w:sz="0" w:space="0" w:color="auto"/>
          </w:tblBorders>
        </w:tblPrEx>
        <w:tc>
          <w:tcPr>
            <w:tcW w:w="1728" w:type="dxa"/>
            <w:tcBorders>
              <w:left w:val="single" w:sz="8" w:space="0" w:color="000000"/>
              <w:bottom w:val="single" w:sz="8" w:space="0" w:color="000000"/>
            </w:tcBorders>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Poste de santé</w:t>
            </w:r>
          </w:p>
        </w:tc>
        <w:tc>
          <w:tcPr>
            <w:tcW w:w="3600" w:type="dxa"/>
            <w:tcBorders>
              <w:left w:val="single" w:sz="8" w:space="0" w:color="000000"/>
              <w:bottom w:val="single" w:sz="8" w:space="0" w:color="000000"/>
            </w:tcBorders>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A</w:t>
            </w:r>
            <w:r>
              <w:rPr>
                <w:rFonts w:cs="Calibri"/>
                <w:szCs w:val="22"/>
              </w:rPr>
              <w:t xml:space="preserve">gent </w:t>
            </w:r>
            <w:r w:rsidRPr="00857488">
              <w:rPr>
                <w:rFonts w:cs="Calibri"/>
                <w:szCs w:val="22"/>
              </w:rPr>
              <w:t>T</w:t>
            </w:r>
            <w:r>
              <w:rPr>
                <w:rFonts w:cs="Calibri"/>
                <w:szCs w:val="22"/>
              </w:rPr>
              <w:t xml:space="preserve">echnique de </w:t>
            </w:r>
            <w:r w:rsidRPr="00857488">
              <w:rPr>
                <w:rFonts w:cs="Calibri"/>
                <w:szCs w:val="22"/>
              </w:rPr>
              <w:t>S</w:t>
            </w:r>
            <w:r>
              <w:rPr>
                <w:rFonts w:cs="Calibri"/>
                <w:szCs w:val="22"/>
              </w:rPr>
              <w:t>anté</w:t>
            </w:r>
          </w:p>
        </w:tc>
        <w:tc>
          <w:tcPr>
            <w:tcW w:w="1890" w:type="dxa"/>
            <w:tcBorders>
              <w:left w:val="single" w:sz="8" w:space="0" w:color="000000"/>
              <w:bottom w:val="single" w:sz="8" w:space="0" w:color="000000"/>
              <w:right w:val="single" w:sz="8" w:space="0" w:color="000000"/>
            </w:tcBorders>
            <w:shd w:val="clear" w:color="auto" w:fill="FFFFFF"/>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Centre de santé</w:t>
            </w:r>
          </w:p>
        </w:tc>
        <w:tc>
          <w:tcPr>
            <w:tcW w:w="2560" w:type="dxa"/>
            <w:tcBorders>
              <w:bottom w:val="single" w:sz="8" w:space="0" w:color="000000"/>
              <w:right w:val="single" w:sz="8" w:space="0" w:color="000000"/>
            </w:tcBorders>
            <w:shd w:val="clear" w:color="auto" w:fill="FFFFFF"/>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Le 3 de chaque mois</w:t>
            </w:r>
          </w:p>
        </w:tc>
      </w:tr>
      <w:tr w:rsidR="002563D0" w:rsidRPr="00857488" w:rsidTr="00933752">
        <w:tblPrEx>
          <w:tblBorders>
            <w:top w:val="none" w:sz="0" w:space="0" w:color="auto"/>
          </w:tblBorders>
        </w:tblPrEx>
        <w:tc>
          <w:tcPr>
            <w:tcW w:w="1728" w:type="dxa"/>
            <w:tcBorders>
              <w:left w:val="single" w:sz="8" w:space="0" w:color="000000"/>
              <w:bottom w:val="single" w:sz="8" w:space="0" w:color="000000"/>
            </w:tcBorders>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Centre de santé</w:t>
            </w:r>
          </w:p>
        </w:tc>
        <w:tc>
          <w:tcPr>
            <w:tcW w:w="3600" w:type="dxa"/>
            <w:tcBorders>
              <w:left w:val="single" w:sz="8" w:space="0" w:color="000000"/>
              <w:bottom w:val="single" w:sz="8" w:space="0" w:color="000000"/>
            </w:tcBorders>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Assistant de santé /Médecin</w:t>
            </w:r>
          </w:p>
        </w:tc>
        <w:tc>
          <w:tcPr>
            <w:tcW w:w="1890" w:type="dxa"/>
            <w:tcBorders>
              <w:left w:val="single" w:sz="8" w:space="0" w:color="000000"/>
              <w:bottom w:val="single" w:sz="8" w:space="0" w:color="000000"/>
              <w:right w:val="single" w:sz="8" w:space="0" w:color="000000"/>
            </w:tcBorders>
            <w:shd w:val="clear" w:color="auto" w:fill="FFFFFF"/>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Centre de santé</w:t>
            </w:r>
          </w:p>
        </w:tc>
        <w:tc>
          <w:tcPr>
            <w:tcW w:w="2560" w:type="dxa"/>
            <w:tcBorders>
              <w:bottom w:val="single" w:sz="8" w:space="0" w:color="000000"/>
              <w:right w:val="single" w:sz="8" w:space="0" w:color="000000"/>
            </w:tcBorders>
            <w:shd w:val="clear" w:color="auto" w:fill="FFFFFF"/>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Le 3 de chaque mois</w:t>
            </w:r>
          </w:p>
        </w:tc>
      </w:tr>
      <w:tr w:rsidR="002563D0" w:rsidRPr="00857488" w:rsidTr="00933752">
        <w:tblPrEx>
          <w:tblBorders>
            <w:top w:val="none" w:sz="0" w:space="0" w:color="auto"/>
          </w:tblBorders>
        </w:tblPrEx>
        <w:tc>
          <w:tcPr>
            <w:tcW w:w="1728" w:type="dxa"/>
            <w:tcBorders>
              <w:left w:val="single" w:sz="8" w:space="0" w:color="000000"/>
              <w:bottom w:val="single" w:sz="8" w:space="0" w:color="000000"/>
            </w:tcBorders>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CMC</w:t>
            </w:r>
          </w:p>
        </w:tc>
        <w:tc>
          <w:tcPr>
            <w:tcW w:w="3600" w:type="dxa"/>
            <w:tcBorders>
              <w:left w:val="single" w:sz="8" w:space="0" w:color="000000"/>
              <w:bottom w:val="single" w:sz="8" w:space="0" w:color="000000"/>
            </w:tcBorders>
            <w:tcMar>
              <w:top w:w="140" w:type="nil"/>
              <w:right w:w="140" w:type="nil"/>
            </w:tcMar>
            <w:vAlign w:val="center"/>
          </w:tcPr>
          <w:p w:rsidR="002563D0" w:rsidRPr="00857488" w:rsidRDefault="002563D0" w:rsidP="00933752">
            <w:pPr>
              <w:widowControl w:val="0"/>
              <w:autoSpaceDE w:val="0"/>
              <w:autoSpaceDN w:val="0"/>
              <w:adjustRightInd w:val="0"/>
              <w:rPr>
                <w:rFonts w:cs="Helvetica Neue"/>
                <w:lang w:val="fr-FR"/>
              </w:rPr>
            </w:pPr>
            <w:r w:rsidRPr="00857488">
              <w:rPr>
                <w:rFonts w:cs="Calibri"/>
                <w:szCs w:val="22"/>
                <w:lang w:val="fr-FR"/>
              </w:rPr>
              <w:t>Chargé des statistiques/ Point focal</w:t>
            </w:r>
          </w:p>
        </w:tc>
        <w:tc>
          <w:tcPr>
            <w:tcW w:w="1890" w:type="dxa"/>
            <w:tcBorders>
              <w:left w:val="single" w:sz="8" w:space="0" w:color="000000"/>
              <w:bottom w:val="single" w:sz="8" w:space="0" w:color="000000"/>
              <w:right w:val="single" w:sz="8" w:space="0" w:color="000000"/>
            </w:tcBorders>
            <w:shd w:val="clear" w:color="auto" w:fill="FFFFFF"/>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Hôpital</w:t>
            </w:r>
          </w:p>
        </w:tc>
        <w:tc>
          <w:tcPr>
            <w:tcW w:w="2560" w:type="dxa"/>
            <w:tcBorders>
              <w:bottom w:val="single" w:sz="8" w:space="0" w:color="000000"/>
              <w:right w:val="single" w:sz="8" w:space="0" w:color="000000"/>
            </w:tcBorders>
            <w:shd w:val="clear" w:color="auto" w:fill="FFFFFF"/>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Le 3 de chaque mois</w:t>
            </w:r>
          </w:p>
        </w:tc>
      </w:tr>
      <w:tr w:rsidR="002563D0" w:rsidRPr="00857488" w:rsidTr="00933752">
        <w:tblPrEx>
          <w:tblBorders>
            <w:top w:val="none" w:sz="0" w:space="0" w:color="auto"/>
          </w:tblBorders>
        </w:tblPrEx>
        <w:tc>
          <w:tcPr>
            <w:tcW w:w="1728" w:type="dxa"/>
            <w:tcBorders>
              <w:left w:val="single" w:sz="8" w:space="0" w:color="000000"/>
              <w:bottom w:val="single" w:sz="8" w:space="0" w:color="000000"/>
            </w:tcBorders>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Hôpital</w:t>
            </w:r>
          </w:p>
        </w:tc>
        <w:tc>
          <w:tcPr>
            <w:tcW w:w="3600" w:type="dxa"/>
            <w:tcBorders>
              <w:left w:val="single" w:sz="8" w:space="0" w:color="000000"/>
              <w:bottom w:val="single" w:sz="8" w:space="0" w:color="000000"/>
            </w:tcBorders>
            <w:tcMar>
              <w:top w:w="140" w:type="nil"/>
              <w:right w:w="140" w:type="nil"/>
            </w:tcMar>
            <w:vAlign w:val="center"/>
          </w:tcPr>
          <w:p w:rsidR="002563D0" w:rsidRPr="00857488" w:rsidRDefault="002563D0" w:rsidP="00933752">
            <w:pPr>
              <w:widowControl w:val="0"/>
              <w:autoSpaceDE w:val="0"/>
              <w:autoSpaceDN w:val="0"/>
              <w:adjustRightInd w:val="0"/>
              <w:rPr>
                <w:rFonts w:cs="Helvetica Neue"/>
                <w:lang w:val="fr-FR"/>
              </w:rPr>
            </w:pPr>
            <w:r w:rsidRPr="00857488">
              <w:rPr>
                <w:rFonts w:cs="Calibri"/>
                <w:szCs w:val="22"/>
                <w:lang w:val="fr-FR"/>
              </w:rPr>
              <w:t>Chargé des statistiques/ Point focal</w:t>
            </w:r>
          </w:p>
        </w:tc>
        <w:tc>
          <w:tcPr>
            <w:tcW w:w="1890" w:type="dxa"/>
            <w:tcBorders>
              <w:left w:val="single" w:sz="8" w:space="0" w:color="000000"/>
              <w:bottom w:val="single" w:sz="8" w:space="0" w:color="000000"/>
              <w:right w:val="single" w:sz="8" w:space="0" w:color="000000"/>
            </w:tcBorders>
            <w:shd w:val="clear" w:color="auto" w:fill="FFFFFF"/>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Hôpital</w:t>
            </w:r>
          </w:p>
        </w:tc>
        <w:tc>
          <w:tcPr>
            <w:tcW w:w="2560" w:type="dxa"/>
            <w:tcBorders>
              <w:bottom w:val="single" w:sz="8" w:space="0" w:color="000000"/>
              <w:right w:val="single" w:sz="8" w:space="0" w:color="000000"/>
            </w:tcBorders>
            <w:shd w:val="clear" w:color="auto" w:fill="FFFFFF"/>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Le 3 de chaque mois</w:t>
            </w:r>
          </w:p>
        </w:tc>
      </w:tr>
      <w:tr w:rsidR="002563D0" w:rsidRPr="00857488" w:rsidTr="00933752">
        <w:tblPrEx>
          <w:tblBorders>
            <w:top w:val="none" w:sz="0" w:space="0" w:color="auto"/>
          </w:tblBorders>
        </w:tblPrEx>
        <w:tc>
          <w:tcPr>
            <w:tcW w:w="1728" w:type="dxa"/>
            <w:tcBorders>
              <w:left w:val="single" w:sz="8" w:space="0" w:color="000000"/>
              <w:bottom w:val="single" w:sz="8" w:space="0" w:color="000000"/>
            </w:tcBorders>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DPS/DCS</w:t>
            </w:r>
          </w:p>
        </w:tc>
        <w:tc>
          <w:tcPr>
            <w:tcW w:w="3600" w:type="dxa"/>
            <w:tcBorders>
              <w:left w:val="single" w:sz="8" w:space="0" w:color="000000"/>
              <w:bottom w:val="single" w:sz="8" w:space="0" w:color="000000"/>
            </w:tcBorders>
            <w:tcMar>
              <w:top w:w="140" w:type="nil"/>
              <w:right w:w="140" w:type="nil"/>
            </w:tcMar>
            <w:vAlign w:val="center"/>
          </w:tcPr>
          <w:p w:rsidR="002563D0" w:rsidRPr="00857488" w:rsidRDefault="002563D0" w:rsidP="00933752">
            <w:pPr>
              <w:widowControl w:val="0"/>
              <w:autoSpaceDE w:val="0"/>
              <w:autoSpaceDN w:val="0"/>
              <w:adjustRightInd w:val="0"/>
              <w:rPr>
                <w:rFonts w:cs="Helvetica Neue"/>
                <w:lang w:val="fr-FR"/>
              </w:rPr>
            </w:pPr>
            <w:r w:rsidRPr="00857488">
              <w:rPr>
                <w:rFonts w:cs="Calibri"/>
                <w:szCs w:val="22"/>
                <w:lang w:val="fr-FR"/>
              </w:rPr>
              <w:t>Chargé des statistiques/ Point focal/ Médecin chargé de la maladie</w:t>
            </w:r>
          </w:p>
        </w:tc>
        <w:tc>
          <w:tcPr>
            <w:tcW w:w="1890" w:type="dxa"/>
            <w:tcBorders>
              <w:left w:val="single" w:sz="8" w:space="0" w:color="000000"/>
              <w:bottom w:val="single" w:sz="8" w:space="0" w:color="000000"/>
              <w:right w:val="single" w:sz="8" w:space="0" w:color="000000"/>
            </w:tcBorders>
            <w:shd w:val="clear" w:color="auto" w:fill="FFFFFF"/>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Centre de santé/DPS</w:t>
            </w:r>
          </w:p>
        </w:tc>
        <w:tc>
          <w:tcPr>
            <w:tcW w:w="2560" w:type="dxa"/>
            <w:tcBorders>
              <w:bottom w:val="single" w:sz="8" w:space="0" w:color="000000"/>
              <w:right w:val="single" w:sz="8" w:space="0" w:color="000000"/>
            </w:tcBorders>
            <w:shd w:val="clear" w:color="auto" w:fill="FFFFFF"/>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Le 5 de chaque mois</w:t>
            </w:r>
          </w:p>
        </w:tc>
      </w:tr>
      <w:tr w:rsidR="002563D0" w:rsidRPr="00857488" w:rsidTr="00933752">
        <w:tblPrEx>
          <w:tblBorders>
            <w:top w:val="none" w:sz="0" w:space="0" w:color="auto"/>
          </w:tblBorders>
        </w:tblPrEx>
        <w:tc>
          <w:tcPr>
            <w:tcW w:w="1728" w:type="dxa"/>
            <w:tcBorders>
              <w:left w:val="single" w:sz="8" w:space="0" w:color="000000"/>
              <w:bottom w:val="single" w:sz="8" w:space="0" w:color="000000"/>
            </w:tcBorders>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DRS</w:t>
            </w:r>
          </w:p>
        </w:tc>
        <w:tc>
          <w:tcPr>
            <w:tcW w:w="3600" w:type="dxa"/>
            <w:tcBorders>
              <w:left w:val="single" w:sz="8" w:space="0" w:color="000000"/>
              <w:bottom w:val="single" w:sz="8" w:space="0" w:color="000000"/>
            </w:tcBorders>
            <w:tcMar>
              <w:top w:w="140" w:type="nil"/>
              <w:right w:w="140" w:type="nil"/>
            </w:tcMar>
            <w:vAlign w:val="center"/>
          </w:tcPr>
          <w:p w:rsidR="002563D0" w:rsidRPr="00857488" w:rsidRDefault="002563D0" w:rsidP="00933752">
            <w:pPr>
              <w:widowControl w:val="0"/>
              <w:autoSpaceDE w:val="0"/>
              <w:autoSpaceDN w:val="0"/>
              <w:adjustRightInd w:val="0"/>
              <w:rPr>
                <w:rFonts w:cs="Helvetica Neue"/>
                <w:lang w:val="fr-FR"/>
              </w:rPr>
            </w:pPr>
            <w:r w:rsidRPr="00857488">
              <w:rPr>
                <w:rFonts w:cs="Calibri"/>
                <w:szCs w:val="22"/>
                <w:lang w:val="fr-FR"/>
              </w:rPr>
              <w:t>Chargé des statistiques/ Point focal/ Médecin chargé de la maladie</w:t>
            </w:r>
          </w:p>
        </w:tc>
        <w:tc>
          <w:tcPr>
            <w:tcW w:w="1890" w:type="dxa"/>
            <w:tcBorders>
              <w:left w:val="single" w:sz="8" w:space="0" w:color="000000"/>
              <w:bottom w:val="single" w:sz="8" w:space="0" w:color="000000"/>
              <w:right w:val="single" w:sz="8" w:space="0" w:color="000000"/>
            </w:tcBorders>
            <w:shd w:val="clear" w:color="auto" w:fill="FFFFFF"/>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Base de données « Episurv »</w:t>
            </w:r>
          </w:p>
        </w:tc>
        <w:tc>
          <w:tcPr>
            <w:tcW w:w="2560" w:type="dxa"/>
            <w:tcBorders>
              <w:bottom w:val="single" w:sz="8" w:space="0" w:color="000000"/>
              <w:right w:val="single" w:sz="8" w:space="0" w:color="000000"/>
            </w:tcBorders>
            <w:shd w:val="clear" w:color="auto" w:fill="FFFFFF"/>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Le 10 de chaque mois</w:t>
            </w:r>
          </w:p>
        </w:tc>
      </w:tr>
      <w:tr w:rsidR="002563D0" w:rsidRPr="00ED18BA" w:rsidTr="00933752">
        <w:tc>
          <w:tcPr>
            <w:tcW w:w="1728" w:type="dxa"/>
            <w:tcBorders>
              <w:left w:val="single" w:sz="8" w:space="0" w:color="000000"/>
              <w:bottom w:val="single" w:sz="8" w:space="0" w:color="000000"/>
            </w:tcBorders>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National</w:t>
            </w:r>
          </w:p>
        </w:tc>
        <w:tc>
          <w:tcPr>
            <w:tcW w:w="3600" w:type="dxa"/>
            <w:tcBorders>
              <w:left w:val="single" w:sz="8" w:space="0" w:color="000000"/>
              <w:bottom w:val="single" w:sz="8" w:space="0" w:color="000000"/>
            </w:tcBorders>
            <w:tcMar>
              <w:top w:w="140" w:type="nil"/>
              <w:right w:w="140" w:type="nil"/>
            </w:tcMar>
            <w:vAlign w:val="center"/>
          </w:tcPr>
          <w:p w:rsidR="002563D0" w:rsidRPr="00857488" w:rsidRDefault="002563D0" w:rsidP="00933752">
            <w:pPr>
              <w:widowControl w:val="0"/>
              <w:autoSpaceDE w:val="0"/>
              <w:autoSpaceDN w:val="0"/>
              <w:adjustRightInd w:val="0"/>
              <w:rPr>
                <w:rFonts w:cs="Helvetica Neue"/>
                <w:lang w:val="fr-FR"/>
              </w:rPr>
            </w:pPr>
            <w:r w:rsidRPr="00857488">
              <w:rPr>
                <w:rFonts w:cs="Calibri"/>
                <w:szCs w:val="22"/>
                <w:lang w:val="fr-FR"/>
              </w:rPr>
              <w:t>Chef section SSIS/ Responsable suivi évaluation/ coordonnateur de programme</w:t>
            </w:r>
          </w:p>
        </w:tc>
        <w:tc>
          <w:tcPr>
            <w:tcW w:w="1890" w:type="dxa"/>
            <w:tcBorders>
              <w:left w:val="single" w:sz="8" w:space="0" w:color="000000"/>
              <w:bottom w:val="single" w:sz="8" w:space="0" w:color="000000"/>
              <w:right w:val="single" w:sz="8" w:space="0" w:color="000000"/>
            </w:tcBorders>
            <w:shd w:val="clear" w:color="auto" w:fill="FFFFFF"/>
            <w:tcMar>
              <w:top w:w="140" w:type="nil"/>
              <w:right w:w="140" w:type="nil"/>
            </w:tcMar>
            <w:vAlign w:val="center"/>
          </w:tcPr>
          <w:p w:rsidR="002563D0" w:rsidRPr="00857488" w:rsidRDefault="002563D0" w:rsidP="00933752">
            <w:pPr>
              <w:widowControl w:val="0"/>
              <w:autoSpaceDE w:val="0"/>
              <w:autoSpaceDN w:val="0"/>
              <w:adjustRightInd w:val="0"/>
              <w:rPr>
                <w:rFonts w:cs="Helvetica Neue"/>
              </w:rPr>
            </w:pPr>
            <w:r w:rsidRPr="00857488">
              <w:rPr>
                <w:rFonts w:cs="Calibri"/>
                <w:szCs w:val="22"/>
              </w:rPr>
              <w:t>Base de données « Episurv »</w:t>
            </w:r>
          </w:p>
        </w:tc>
        <w:tc>
          <w:tcPr>
            <w:tcW w:w="2560" w:type="dxa"/>
            <w:tcBorders>
              <w:bottom w:val="single" w:sz="8" w:space="0" w:color="000000"/>
              <w:right w:val="single" w:sz="8" w:space="0" w:color="000000"/>
            </w:tcBorders>
            <w:shd w:val="clear" w:color="auto" w:fill="FFFFFF"/>
            <w:tcMar>
              <w:top w:w="140" w:type="nil"/>
              <w:right w:w="140" w:type="nil"/>
            </w:tcMar>
            <w:vAlign w:val="center"/>
          </w:tcPr>
          <w:p w:rsidR="002563D0" w:rsidRPr="00857488" w:rsidRDefault="002563D0" w:rsidP="00933752">
            <w:pPr>
              <w:widowControl w:val="0"/>
              <w:autoSpaceDE w:val="0"/>
              <w:autoSpaceDN w:val="0"/>
              <w:adjustRightInd w:val="0"/>
              <w:rPr>
                <w:rFonts w:cs="Helvetica Neue"/>
                <w:lang w:val="fr-FR"/>
              </w:rPr>
            </w:pPr>
            <w:r w:rsidRPr="00857488">
              <w:rPr>
                <w:rFonts w:cs="Calibri"/>
                <w:szCs w:val="22"/>
                <w:lang w:val="fr-FR"/>
              </w:rPr>
              <w:t>Annuel (avant le 15 février de chaque année)</w:t>
            </w:r>
          </w:p>
        </w:tc>
      </w:tr>
    </w:tbl>
    <w:p w:rsidR="002563D0" w:rsidRPr="00857488" w:rsidRDefault="002563D0" w:rsidP="002563D0">
      <w:pPr>
        <w:rPr>
          <w:szCs w:val="22"/>
          <w:lang w:val="fr-FR"/>
        </w:rPr>
      </w:pPr>
      <w:r w:rsidRPr="00857488">
        <w:rPr>
          <w:rFonts w:cs="Calibri"/>
          <w:szCs w:val="22"/>
          <w:lang w:val="fr-FR"/>
        </w:rPr>
        <w:t> </w:t>
      </w:r>
    </w:p>
    <w:p w:rsidR="00175C2D" w:rsidRPr="002C695E" w:rsidRDefault="00175C2D" w:rsidP="002C695E">
      <w:pPr>
        <w:pStyle w:val="Titre3"/>
        <w:numPr>
          <w:ilvl w:val="2"/>
          <w:numId w:val="22"/>
        </w:numPr>
        <w:spacing w:before="0"/>
        <w:ind w:left="709"/>
        <w:rPr>
          <w:color w:val="auto"/>
          <w:sz w:val="24"/>
          <w:lang w:val="fr-FR"/>
        </w:rPr>
      </w:pPr>
      <w:bookmarkStart w:id="81" w:name="_Toc480382951"/>
      <w:r w:rsidRPr="002C695E">
        <w:rPr>
          <w:color w:val="auto"/>
          <w:sz w:val="24"/>
          <w:lang w:val="fr-FR"/>
        </w:rPr>
        <w:t>Circuit d’information</w:t>
      </w:r>
      <w:bookmarkEnd w:id="81"/>
    </w:p>
    <w:p w:rsidR="00B641D7" w:rsidRPr="002C695E" w:rsidRDefault="00B641D7" w:rsidP="00B641D7">
      <w:pPr>
        <w:rPr>
          <w:sz w:val="24"/>
          <w:lang w:val="fr-FR"/>
        </w:rPr>
      </w:pPr>
    </w:p>
    <w:p w:rsidR="00175C2D" w:rsidRPr="002C695E" w:rsidRDefault="00175C2D" w:rsidP="00175C2D">
      <w:pPr>
        <w:rPr>
          <w:sz w:val="24"/>
          <w:szCs w:val="22"/>
          <w:lang w:val="fr-FR"/>
        </w:rPr>
      </w:pPr>
      <w:r w:rsidRPr="002C695E">
        <w:rPr>
          <w:sz w:val="24"/>
          <w:szCs w:val="22"/>
          <w:lang w:val="fr-FR"/>
        </w:rPr>
        <w:t xml:space="preserve">Les données primaires sont collectées par les </w:t>
      </w:r>
      <w:r w:rsidR="00CD1586">
        <w:rPr>
          <w:sz w:val="24"/>
          <w:szCs w:val="22"/>
          <w:lang w:val="fr-FR"/>
        </w:rPr>
        <w:t xml:space="preserve">agents de santé communautaires et les </w:t>
      </w:r>
      <w:r w:rsidRPr="002C695E">
        <w:rPr>
          <w:sz w:val="24"/>
          <w:szCs w:val="22"/>
          <w:lang w:val="fr-FR"/>
        </w:rPr>
        <w:t>formations sanitaires, sites de dépista</w:t>
      </w:r>
      <w:r w:rsidR="00661777" w:rsidRPr="002C695E">
        <w:rPr>
          <w:sz w:val="24"/>
          <w:szCs w:val="22"/>
          <w:lang w:val="fr-FR"/>
        </w:rPr>
        <w:t>ge et d’initiation de la TARV</w:t>
      </w:r>
      <w:r w:rsidR="00E33920" w:rsidRPr="002C695E">
        <w:rPr>
          <w:sz w:val="24"/>
          <w:szCs w:val="22"/>
          <w:lang w:val="fr-FR"/>
        </w:rPr>
        <w:t xml:space="preserve"> (Figure 9)</w:t>
      </w:r>
      <w:r w:rsidR="00661777" w:rsidRPr="002C695E">
        <w:rPr>
          <w:sz w:val="24"/>
          <w:szCs w:val="22"/>
          <w:lang w:val="fr-FR"/>
        </w:rPr>
        <w:t>. C</w:t>
      </w:r>
      <w:r w:rsidRPr="002C695E">
        <w:rPr>
          <w:sz w:val="24"/>
          <w:szCs w:val="22"/>
          <w:lang w:val="fr-FR"/>
        </w:rPr>
        <w:t xml:space="preserve">es données sont traitées et rapportées mensuellement au niveau supérieur. L’analyse des performances est faite par chaque niveau et des décisions sont prises pour améliorer les performances. </w:t>
      </w:r>
      <w:r w:rsidR="00EF0FBA" w:rsidRPr="002C695E">
        <w:rPr>
          <w:sz w:val="24"/>
          <w:szCs w:val="22"/>
          <w:lang w:val="fr-FR"/>
        </w:rPr>
        <w:t xml:space="preserve"> Le niveau supérieur fait la synthèse des données et effectue la retro-information au niveau inférieur. </w:t>
      </w:r>
    </w:p>
    <w:p w:rsidR="002C695E" w:rsidRDefault="002C695E" w:rsidP="00857488">
      <w:pPr>
        <w:widowControl w:val="0"/>
        <w:autoSpaceDE w:val="0"/>
        <w:autoSpaceDN w:val="0"/>
        <w:adjustRightInd w:val="0"/>
        <w:rPr>
          <w:rFonts w:cs="Arial Narrow"/>
          <w:sz w:val="24"/>
          <w:szCs w:val="22"/>
          <w:lang w:val="fr-FR"/>
        </w:rPr>
      </w:pPr>
    </w:p>
    <w:p w:rsidR="00857488" w:rsidRPr="002C695E" w:rsidRDefault="00857488" w:rsidP="00857488">
      <w:pPr>
        <w:widowControl w:val="0"/>
        <w:autoSpaceDE w:val="0"/>
        <w:autoSpaceDN w:val="0"/>
        <w:adjustRightInd w:val="0"/>
        <w:rPr>
          <w:rFonts w:cs="Arial Narrow"/>
          <w:sz w:val="24"/>
          <w:szCs w:val="22"/>
          <w:lang w:val="fr-FR"/>
        </w:rPr>
      </w:pPr>
      <w:r w:rsidRPr="002C695E">
        <w:rPr>
          <w:rFonts w:cs="Arial Narrow"/>
          <w:sz w:val="24"/>
          <w:szCs w:val="22"/>
          <w:lang w:val="fr-FR"/>
        </w:rPr>
        <w:t>La collecte débute par le rapport mensuel d’activités de l’A</w:t>
      </w:r>
      <w:r w:rsidR="00661777" w:rsidRPr="002C695E">
        <w:rPr>
          <w:rFonts w:cs="Arial Narrow"/>
          <w:sz w:val="24"/>
          <w:szCs w:val="22"/>
          <w:lang w:val="fr-FR"/>
        </w:rPr>
        <w:t xml:space="preserve">gent </w:t>
      </w:r>
      <w:r w:rsidRPr="002C695E">
        <w:rPr>
          <w:rFonts w:cs="Arial Narrow"/>
          <w:sz w:val="24"/>
          <w:szCs w:val="22"/>
          <w:lang w:val="fr-FR"/>
        </w:rPr>
        <w:t>C</w:t>
      </w:r>
      <w:r w:rsidR="00661777" w:rsidRPr="002C695E">
        <w:rPr>
          <w:rFonts w:cs="Arial Narrow"/>
          <w:sz w:val="24"/>
          <w:szCs w:val="22"/>
          <w:lang w:val="fr-FR"/>
        </w:rPr>
        <w:t>ommunautaire</w:t>
      </w:r>
      <w:r w:rsidRPr="002C695E">
        <w:rPr>
          <w:rFonts w:cs="Arial Narrow"/>
          <w:sz w:val="24"/>
          <w:szCs w:val="22"/>
          <w:lang w:val="fr-FR"/>
        </w:rPr>
        <w:t xml:space="preserve"> qui sont acheminées au Centre de Santé. Le Centre de Santé rassemble toutes les données de son aire, fait la synthèse et transmet </w:t>
      </w:r>
      <w:r w:rsidR="002563D0" w:rsidRPr="002C695E">
        <w:rPr>
          <w:rFonts w:cs="Arial Narrow"/>
          <w:sz w:val="24"/>
          <w:szCs w:val="22"/>
          <w:lang w:val="fr-FR"/>
        </w:rPr>
        <w:t xml:space="preserve"> à la DPS. Par ailleurs, l’Hôpital préfectoral rapporte directement à la DPS. La DPS </w:t>
      </w:r>
      <w:r w:rsidRPr="002C695E">
        <w:rPr>
          <w:rFonts w:cs="Arial Narrow"/>
          <w:sz w:val="24"/>
          <w:szCs w:val="22"/>
          <w:lang w:val="fr-FR"/>
        </w:rPr>
        <w:t>collecte les toutes les données reçues, en fait la synthèse et transmet  à la DRS.La DRS  fait le même exercice et transmet au niveau national (Ministère de la Santé) ave</w:t>
      </w:r>
      <w:r w:rsidR="002563D0" w:rsidRPr="002C695E">
        <w:rPr>
          <w:rFonts w:cs="Arial Narrow"/>
          <w:sz w:val="24"/>
          <w:szCs w:val="22"/>
          <w:lang w:val="fr-FR"/>
        </w:rPr>
        <w:t>c</w:t>
      </w:r>
      <w:r w:rsidRPr="002C695E">
        <w:rPr>
          <w:rFonts w:cs="Arial Narrow"/>
          <w:sz w:val="24"/>
          <w:szCs w:val="22"/>
          <w:lang w:val="fr-FR"/>
        </w:rPr>
        <w:t xml:space="preserve"> copie aux Partenaires</w:t>
      </w:r>
      <w:r w:rsidR="002563D0" w:rsidRPr="002C695E">
        <w:rPr>
          <w:rFonts w:cs="Arial Narrow"/>
          <w:sz w:val="24"/>
          <w:szCs w:val="22"/>
          <w:lang w:val="fr-FR"/>
        </w:rPr>
        <w:t>.</w:t>
      </w:r>
      <w:r w:rsidRPr="002C695E">
        <w:rPr>
          <w:rFonts w:cs="Arial Narrow"/>
          <w:sz w:val="24"/>
          <w:szCs w:val="22"/>
          <w:lang w:val="fr-FR"/>
        </w:rPr>
        <w:t> </w:t>
      </w:r>
      <w:r w:rsidR="00CD1586">
        <w:rPr>
          <w:rFonts w:cs="Arial Narrow"/>
          <w:sz w:val="24"/>
          <w:szCs w:val="22"/>
          <w:lang w:val="fr-FR"/>
        </w:rPr>
        <w:t>Enfin, le niveau central fait la synthèse nationale.</w:t>
      </w:r>
    </w:p>
    <w:p w:rsidR="00857488" w:rsidRPr="002C695E" w:rsidRDefault="00857488" w:rsidP="00857488">
      <w:pPr>
        <w:widowControl w:val="0"/>
        <w:autoSpaceDE w:val="0"/>
        <w:autoSpaceDN w:val="0"/>
        <w:adjustRightInd w:val="0"/>
        <w:rPr>
          <w:rFonts w:cs="Arial Narrow"/>
          <w:sz w:val="24"/>
          <w:szCs w:val="22"/>
          <w:lang w:val="fr-FR"/>
        </w:rPr>
      </w:pPr>
    </w:p>
    <w:p w:rsidR="00857488" w:rsidRPr="002C695E" w:rsidRDefault="00857488" w:rsidP="00857488">
      <w:pPr>
        <w:widowControl w:val="0"/>
        <w:autoSpaceDE w:val="0"/>
        <w:autoSpaceDN w:val="0"/>
        <w:adjustRightInd w:val="0"/>
        <w:rPr>
          <w:rFonts w:cs="Helvetica Neue"/>
          <w:sz w:val="24"/>
          <w:szCs w:val="22"/>
          <w:lang w:val="fr-FR"/>
        </w:rPr>
      </w:pPr>
      <w:r w:rsidRPr="002C695E">
        <w:rPr>
          <w:rFonts w:cs="Arial Narrow"/>
          <w:b/>
          <w:bCs/>
          <w:sz w:val="24"/>
          <w:szCs w:val="22"/>
          <w:lang w:val="fr-FR"/>
        </w:rPr>
        <w:t>A qui sont destinées les données ?</w:t>
      </w:r>
    </w:p>
    <w:p w:rsidR="00857488" w:rsidRPr="002C695E" w:rsidRDefault="00857488" w:rsidP="00857488">
      <w:pPr>
        <w:widowControl w:val="0"/>
        <w:autoSpaceDE w:val="0"/>
        <w:autoSpaceDN w:val="0"/>
        <w:adjustRightInd w:val="0"/>
        <w:rPr>
          <w:rFonts w:cs="Helvetica Neue"/>
          <w:sz w:val="24"/>
          <w:szCs w:val="22"/>
          <w:lang w:val="fr-FR"/>
        </w:rPr>
      </w:pPr>
      <w:r w:rsidRPr="002C695E">
        <w:rPr>
          <w:rFonts w:cs="Arial Narrow"/>
          <w:sz w:val="24"/>
          <w:szCs w:val="22"/>
          <w:lang w:val="fr-FR"/>
        </w:rPr>
        <w:t> </w:t>
      </w:r>
    </w:p>
    <w:p w:rsidR="00857488" w:rsidRPr="002C695E" w:rsidRDefault="00857488" w:rsidP="009B2B2E">
      <w:pPr>
        <w:pStyle w:val="Paragraphedeliste"/>
        <w:widowControl w:val="0"/>
        <w:numPr>
          <w:ilvl w:val="0"/>
          <w:numId w:val="24"/>
        </w:numPr>
        <w:autoSpaceDE w:val="0"/>
        <w:autoSpaceDN w:val="0"/>
        <w:adjustRightInd w:val="0"/>
        <w:rPr>
          <w:rFonts w:cs="Helvetica Neue"/>
          <w:sz w:val="24"/>
          <w:szCs w:val="22"/>
          <w:lang w:val="fr-FR"/>
        </w:rPr>
      </w:pPr>
      <w:r w:rsidRPr="002C695E">
        <w:rPr>
          <w:rFonts w:cs="Arial Narrow"/>
          <w:sz w:val="24"/>
          <w:szCs w:val="22"/>
          <w:lang w:val="fr-FR"/>
        </w:rPr>
        <w:t>Les utilisateurs de l’information dans le circuit de l’information</w:t>
      </w:r>
    </w:p>
    <w:p w:rsidR="00857488" w:rsidRPr="002C695E" w:rsidRDefault="00857488" w:rsidP="009B2B2E">
      <w:pPr>
        <w:pStyle w:val="Paragraphedeliste"/>
        <w:widowControl w:val="0"/>
        <w:numPr>
          <w:ilvl w:val="0"/>
          <w:numId w:val="24"/>
        </w:numPr>
        <w:autoSpaceDE w:val="0"/>
        <w:autoSpaceDN w:val="0"/>
        <w:adjustRightInd w:val="0"/>
        <w:rPr>
          <w:rFonts w:cs="Helvetica Neue"/>
          <w:sz w:val="24"/>
          <w:szCs w:val="22"/>
          <w:lang w:val="fr-FR"/>
        </w:rPr>
      </w:pPr>
      <w:r w:rsidRPr="002C695E">
        <w:rPr>
          <w:rFonts w:cs="Arial Narrow"/>
          <w:sz w:val="24"/>
          <w:szCs w:val="22"/>
          <w:lang w:val="fr-FR"/>
        </w:rPr>
        <w:t>Les agents communautaires</w:t>
      </w:r>
    </w:p>
    <w:p w:rsidR="00857488" w:rsidRPr="002C695E" w:rsidRDefault="00857488" w:rsidP="009B2B2E">
      <w:pPr>
        <w:pStyle w:val="Paragraphedeliste"/>
        <w:widowControl w:val="0"/>
        <w:numPr>
          <w:ilvl w:val="0"/>
          <w:numId w:val="24"/>
        </w:numPr>
        <w:autoSpaceDE w:val="0"/>
        <w:autoSpaceDN w:val="0"/>
        <w:adjustRightInd w:val="0"/>
        <w:rPr>
          <w:rFonts w:cs="Helvetica Neue"/>
          <w:sz w:val="24"/>
          <w:szCs w:val="22"/>
          <w:lang w:val="fr-FR"/>
        </w:rPr>
      </w:pPr>
      <w:r w:rsidRPr="002C695E">
        <w:rPr>
          <w:rFonts w:cs="Arial Narrow"/>
          <w:sz w:val="24"/>
          <w:szCs w:val="22"/>
          <w:lang w:val="fr-FR"/>
        </w:rPr>
        <w:t>Les superviseurs de l’A</w:t>
      </w:r>
      <w:r w:rsidR="002563D0" w:rsidRPr="002C695E">
        <w:rPr>
          <w:rFonts w:cs="Arial Narrow"/>
          <w:sz w:val="24"/>
          <w:szCs w:val="22"/>
          <w:lang w:val="fr-FR"/>
        </w:rPr>
        <w:t xml:space="preserve">gent de santé </w:t>
      </w:r>
      <w:r w:rsidRPr="002C695E">
        <w:rPr>
          <w:rFonts w:cs="Arial Narrow"/>
          <w:sz w:val="24"/>
          <w:szCs w:val="22"/>
          <w:lang w:val="fr-FR"/>
        </w:rPr>
        <w:t>C</w:t>
      </w:r>
      <w:r w:rsidR="002563D0" w:rsidRPr="002C695E">
        <w:rPr>
          <w:rFonts w:cs="Arial Narrow"/>
          <w:sz w:val="24"/>
          <w:szCs w:val="22"/>
          <w:lang w:val="fr-FR"/>
        </w:rPr>
        <w:t>ommunautaires</w:t>
      </w:r>
    </w:p>
    <w:p w:rsidR="00857488" w:rsidRPr="002C695E" w:rsidRDefault="00857488" w:rsidP="009B2B2E">
      <w:pPr>
        <w:pStyle w:val="Paragraphedeliste"/>
        <w:widowControl w:val="0"/>
        <w:numPr>
          <w:ilvl w:val="0"/>
          <w:numId w:val="24"/>
        </w:numPr>
        <w:autoSpaceDE w:val="0"/>
        <w:autoSpaceDN w:val="0"/>
        <w:adjustRightInd w:val="0"/>
        <w:rPr>
          <w:rFonts w:cs="Helvetica Neue"/>
          <w:sz w:val="24"/>
          <w:szCs w:val="22"/>
          <w:lang w:val="fr-FR"/>
        </w:rPr>
      </w:pPr>
      <w:r w:rsidRPr="002C695E">
        <w:rPr>
          <w:rFonts w:cs="Arial Narrow"/>
          <w:sz w:val="24"/>
          <w:szCs w:val="22"/>
          <w:lang w:val="fr-FR"/>
        </w:rPr>
        <w:t xml:space="preserve">Les chargés </w:t>
      </w:r>
      <w:r w:rsidR="00950653" w:rsidRPr="002C695E">
        <w:rPr>
          <w:rFonts w:cs="Arial Narrow"/>
          <w:sz w:val="24"/>
          <w:szCs w:val="22"/>
          <w:lang w:val="fr-FR"/>
        </w:rPr>
        <w:t>de Soins à Base Communautaire</w:t>
      </w:r>
    </w:p>
    <w:p w:rsidR="00857488" w:rsidRPr="002C695E" w:rsidRDefault="00857488" w:rsidP="009B2B2E">
      <w:pPr>
        <w:pStyle w:val="Paragraphedeliste"/>
        <w:widowControl w:val="0"/>
        <w:numPr>
          <w:ilvl w:val="0"/>
          <w:numId w:val="24"/>
        </w:numPr>
        <w:autoSpaceDE w:val="0"/>
        <w:autoSpaceDN w:val="0"/>
        <w:adjustRightInd w:val="0"/>
        <w:rPr>
          <w:rFonts w:cs="Helvetica Neue"/>
          <w:sz w:val="24"/>
          <w:szCs w:val="22"/>
          <w:lang w:val="fr-FR"/>
        </w:rPr>
      </w:pPr>
      <w:r w:rsidRPr="002C695E">
        <w:rPr>
          <w:rFonts w:cs="Arial Narrow"/>
          <w:sz w:val="24"/>
          <w:szCs w:val="22"/>
          <w:lang w:val="fr-FR"/>
        </w:rPr>
        <w:t>Les DPS/DCS</w:t>
      </w:r>
    </w:p>
    <w:p w:rsidR="00857488" w:rsidRPr="00CD1586" w:rsidRDefault="00857488" w:rsidP="009B2B2E">
      <w:pPr>
        <w:pStyle w:val="Paragraphedeliste"/>
        <w:widowControl w:val="0"/>
        <w:numPr>
          <w:ilvl w:val="0"/>
          <w:numId w:val="24"/>
        </w:numPr>
        <w:autoSpaceDE w:val="0"/>
        <w:autoSpaceDN w:val="0"/>
        <w:adjustRightInd w:val="0"/>
        <w:rPr>
          <w:rFonts w:cs="Helvetica Neue"/>
          <w:sz w:val="24"/>
          <w:szCs w:val="22"/>
          <w:lang w:val="fr-FR"/>
        </w:rPr>
      </w:pPr>
      <w:r w:rsidRPr="002C695E">
        <w:rPr>
          <w:rFonts w:cs="Arial Narrow"/>
          <w:sz w:val="24"/>
          <w:szCs w:val="22"/>
          <w:lang w:val="fr-FR"/>
        </w:rPr>
        <w:t>Les DRS</w:t>
      </w:r>
    </w:p>
    <w:p w:rsidR="00CD1586" w:rsidRPr="002C695E" w:rsidRDefault="00CD1586" w:rsidP="009B2B2E">
      <w:pPr>
        <w:pStyle w:val="Paragraphedeliste"/>
        <w:widowControl w:val="0"/>
        <w:numPr>
          <w:ilvl w:val="0"/>
          <w:numId w:val="24"/>
        </w:numPr>
        <w:autoSpaceDE w:val="0"/>
        <w:autoSpaceDN w:val="0"/>
        <w:adjustRightInd w:val="0"/>
        <w:rPr>
          <w:rFonts w:cs="Helvetica Neue"/>
          <w:sz w:val="24"/>
          <w:szCs w:val="22"/>
          <w:lang w:val="fr-FR"/>
        </w:rPr>
      </w:pPr>
      <w:r>
        <w:rPr>
          <w:rFonts w:cs="Arial Narrow"/>
          <w:sz w:val="24"/>
          <w:szCs w:val="22"/>
          <w:lang w:val="fr-FR"/>
        </w:rPr>
        <w:t>Le PNPCSP</w:t>
      </w:r>
    </w:p>
    <w:p w:rsidR="00857488" w:rsidRPr="002C695E" w:rsidRDefault="00857488" w:rsidP="009B2B2E">
      <w:pPr>
        <w:pStyle w:val="Paragraphedeliste"/>
        <w:widowControl w:val="0"/>
        <w:numPr>
          <w:ilvl w:val="0"/>
          <w:numId w:val="24"/>
        </w:numPr>
        <w:autoSpaceDE w:val="0"/>
        <w:autoSpaceDN w:val="0"/>
        <w:adjustRightInd w:val="0"/>
        <w:rPr>
          <w:rFonts w:cs="Helvetica Neue"/>
          <w:sz w:val="24"/>
          <w:szCs w:val="22"/>
          <w:lang w:val="fr-FR"/>
        </w:rPr>
      </w:pPr>
      <w:r w:rsidRPr="002C695E">
        <w:rPr>
          <w:rFonts w:cs="Arial Narrow"/>
          <w:sz w:val="24"/>
          <w:szCs w:val="22"/>
          <w:lang w:val="fr-FR"/>
        </w:rPr>
        <w:t>Le Ministère</w:t>
      </w:r>
    </w:p>
    <w:p w:rsidR="00857488" w:rsidRPr="002C695E" w:rsidRDefault="00857488" w:rsidP="009B2B2E">
      <w:pPr>
        <w:pStyle w:val="Paragraphedeliste"/>
        <w:widowControl w:val="0"/>
        <w:numPr>
          <w:ilvl w:val="0"/>
          <w:numId w:val="24"/>
        </w:numPr>
        <w:autoSpaceDE w:val="0"/>
        <w:autoSpaceDN w:val="0"/>
        <w:adjustRightInd w:val="0"/>
        <w:rPr>
          <w:rFonts w:cs="Helvetica Neue"/>
          <w:sz w:val="24"/>
          <w:szCs w:val="22"/>
          <w:lang w:val="fr-FR"/>
        </w:rPr>
      </w:pPr>
      <w:r w:rsidRPr="002C695E">
        <w:rPr>
          <w:rFonts w:cs="Arial Narrow"/>
          <w:sz w:val="24"/>
          <w:szCs w:val="22"/>
          <w:lang w:val="fr-FR"/>
        </w:rPr>
        <w:t>Les partenaires (PTF, ONG locales, ONG internationales, etc…)</w:t>
      </w:r>
    </w:p>
    <w:p w:rsidR="00862C34" w:rsidRDefault="00862C34" w:rsidP="00857488">
      <w:pPr>
        <w:widowControl w:val="0"/>
        <w:autoSpaceDE w:val="0"/>
        <w:autoSpaceDN w:val="0"/>
        <w:adjustRightInd w:val="0"/>
        <w:jc w:val="center"/>
        <w:rPr>
          <w:rFonts w:cs="Helvetica Neue"/>
          <w:szCs w:val="22"/>
          <w:lang w:val="fr-FR"/>
        </w:rPr>
        <w:sectPr w:rsidR="00862C34" w:rsidSect="00862C34">
          <w:pgSz w:w="12240" w:h="15840"/>
          <w:pgMar w:top="1440" w:right="1440" w:bottom="1440" w:left="1440" w:header="720" w:footer="720" w:gutter="0"/>
          <w:cols w:space="720"/>
          <w:docGrid w:linePitch="360"/>
        </w:sectPr>
      </w:pPr>
    </w:p>
    <w:p w:rsidR="00857488" w:rsidRPr="00857488" w:rsidRDefault="00857488" w:rsidP="00857488">
      <w:pPr>
        <w:widowControl w:val="0"/>
        <w:autoSpaceDE w:val="0"/>
        <w:autoSpaceDN w:val="0"/>
        <w:adjustRightInd w:val="0"/>
        <w:jc w:val="center"/>
        <w:rPr>
          <w:rFonts w:cs="Helvetica Neue"/>
          <w:szCs w:val="22"/>
          <w:lang w:val="fr-FR"/>
        </w:rPr>
      </w:pPr>
    </w:p>
    <w:p w:rsidR="00857488" w:rsidRDefault="00C25D03">
      <w:pPr>
        <w:spacing w:after="160" w:line="259" w:lineRule="auto"/>
        <w:rPr>
          <w:rFonts w:ascii="Symbol" w:eastAsia="Symbol" w:cs="Symbol"/>
          <w:sz w:val="14"/>
          <w:szCs w:val="14"/>
          <w:lang w:val="fr-FR" w:eastAsia="fr-FR"/>
        </w:rPr>
      </w:pPr>
      <w:r w:rsidRPr="00C25D03">
        <w:rPr>
          <w:noProof/>
          <w:lang w:val="fr-FR" w:eastAsia="fr-FR"/>
        </w:rPr>
        <w:pict>
          <v:group id="Group 116" o:spid="_x0000_s1074" style="position:absolute;left:0;text-align:left;margin-left:11.4pt;margin-top:16.1pt;width:569.35pt;height:375.6pt;z-index:251782144" coordorigin="1668,1762" coordsize="1138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">
            <v:group id="Group 113" o:spid="_x0000_s1075" style="position:absolute;left:1668;top:1762;width:11387;height:6828" coordorigin="1668,1762" coordsize="11387,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06" o:spid="_x0000_s1076" style="position:absolute;left:3178;top:1762;width:8674;height:2671" coordorigin="3178,1762" coordsize="8674,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02" o:spid="_x0000_s1077" style="position:absolute;left:3178;top:1762;width:3828;height:989" coordorigin="3178,1762" coordsize="382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61" o:spid="_x0000_s1078" type="#_x0000_t202" style="position:absolute;left:5131;top:1762;width:1875;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C57943" w:rsidRDefault="00C57943">
                          <w:r>
                            <w:t>Postes de santé</w:t>
                          </w:r>
                        </w:p>
                      </w:txbxContent>
                    </v:textbox>
                  </v:shape>
                  <v:shape id="AutoShape 89" o:spid="_x0000_s1079" type="#_x0000_t32" style="position:absolute;left:6042;top:2204;width:0;height:3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Text Box 90" o:spid="_x0000_s1080" type="#_x0000_t202" style="position:absolute;left:3178;top:1762;width:1712;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C57943" w:rsidRPr="003F06EE" w:rsidRDefault="00C57943">
                          <w:pPr>
                            <w:rPr>
                              <w:lang w:val="fr-FR"/>
                            </w:rPr>
                          </w:pPr>
                          <w:r>
                            <w:rPr>
                              <w:lang w:val="fr-FR"/>
                            </w:rPr>
                            <w:t>Communauté</w:t>
                          </w:r>
                        </w:p>
                      </w:txbxContent>
                    </v:textbox>
                  </v:shape>
                  <v:shape id="AutoShape 91" o:spid="_x0000_s1081" type="#_x0000_t32" style="position:absolute;left:4153;top:2204;width:1015;height:5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92" o:spid="_x0000_s1082" type="#_x0000_t32" style="position:absolute;left:4890;top:2029;width:27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group>
                <v:shape id="Text Box 76" o:spid="_x0000_s1083" type="#_x0000_t202" style="position:absolute;left:7183;top:2329;width:2209;height:6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C57943" w:rsidRDefault="00C57943" w:rsidP="00982019">
                        <w:pPr>
                          <w:rPr>
                            <w:lang w:val="fr-FR"/>
                          </w:rPr>
                        </w:pPr>
                        <w:r>
                          <w:rPr>
                            <w:lang w:val="fr-FR"/>
                          </w:rPr>
                          <w:t>Structures privées et</w:t>
                        </w:r>
                      </w:p>
                      <w:p w:rsidR="00C57943" w:rsidRPr="00982019" w:rsidRDefault="00C57943" w:rsidP="00982019">
                        <w:pPr>
                          <w:rPr>
                            <w:lang w:val="fr-FR"/>
                          </w:rPr>
                        </w:pPr>
                        <w:r>
                          <w:rPr>
                            <w:lang w:val="fr-FR"/>
                          </w:rPr>
                          <w:t xml:space="preserve"> confessionnelles</w:t>
                        </w:r>
                      </w:p>
                    </w:txbxContent>
                  </v:textbox>
                </v:shape>
                <v:shape id="Text Box 80" o:spid="_x0000_s1084" type="#_x0000_t202" style="position:absolute;left:9642;top:2576;width:1915;height:7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C57943" w:rsidRDefault="00C57943" w:rsidP="00982019">
                        <w:r>
                          <w:t xml:space="preserve">Centres Médicaux </w:t>
                        </w:r>
                      </w:p>
                      <w:p w:rsidR="00C57943" w:rsidRDefault="00C57943" w:rsidP="00982019">
                        <w:r>
                          <w:t>Communaux</w:t>
                        </w:r>
                      </w:p>
                    </w:txbxContent>
                  </v:textbox>
                </v:shape>
                <v:shape id="AutoShape 78" o:spid="_x0000_s1085" type="#_x0000_t32" style="position:absolute;left:7608;top:3327;width:2034;height:110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group id="Group 105" o:spid="_x0000_s1086" style="position:absolute;left:4153;top:2576;width:7699;height:1857" coordorigin="4153,2576" coordsize="7699,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64" o:spid="_x0000_s1087" type="#_x0000_t202" style="position:absolute;left:5168;top:2576;width:1838;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C57943" w:rsidRDefault="00C57943">
                          <w:r>
                            <w:t>Centres de santé</w:t>
                          </w:r>
                        </w:p>
                      </w:txbxContent>
                    </v:textbox>
                  </v:shape>
                  <v:shape id="Text Box 67" o:spid="_x0000_s1088" type="#_x0000_t202" style="position:absolute;left:9392;top:3769;width:2460;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C57943" w:rsidRPr="00F43004" w:rsidRDefault="00C57943">
                          <w:pPr>
                            <w:rPr>
                              <w:lang w:val="fr-FR"/>
                            </w:rPr>
                          </w:pPr>
                          <w:r>
                            <w:rPr>
                              <w:lang w:val="fr-FR"/>
                            </w:rPr>
                            <w:t>Hôpitaux  Préfectoraux</w:t>
                          </w:r>
                        </w:p>
                      </w:txbxContent>
                    </v:textbox>
                  </v:shape>
                  <v:shape id="AutoShape 74" o:spid="_x0000_s1089" type="#_x0000_t32" style="position:absolute;left:7608;top:3018;width:0;height:14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Text Box 75" o:spid="_x0000_s1090" type="#_x0000_t202" style="position:absolute;left:4153;top:3502;width:2052;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C57943" w:rsidRPr="00982019" w:rsidRDefault="00C57943">
                          <w:pPr>
                            <w:rPr>
                              <w:lang w:val="fr-FR"/>
                            </w:rPr>
                          </w:pPr>
                          <w:r>
                            <w:rPr>
                              <w:lang w:val="fr-FR"/>
                            </w:rPr>
                            <w:t>Structures privées</w:t>
                          </w:r>
                        </w:p>
                      </w:txbxContent>
                    </v:textbox>
                  </v:shape>
                  <v:shape id="AutoShape 77" o:spid="_x0000_s1091" type="#_x0000_t32" style="position:absolute;left:5529;top:3944;width:2079;height:4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79" o:spid="_x0000_s1092" type="#_x0000_t32" style="position:absolute;left:7708;top:4211;width:2742;height:22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88" o:spid="_x0000_s1093" type="#_x0000_t32" style="position:absolute;left:6205;top:3018;width:1403;height:14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group>
              </v:group>
              <v:group id="Group 112" o:spid="_x0000_s1094" style="position:absolute;left:1668;top:4455;width:11387;height:4135" coordorigin="1668,4455" coordsize="11387,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68" o:spid="_x0000_s1095" type="#_x0000_t202" style="position:absolute;left:4792;top:4455;width:5677;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C57943" w:rsidRDefault="00C57943" w:rsidP="001C2B5A">
                        <w:pPr>
                          <w:shd w:val="clear" w:color="auto" w:fill="FBE4D5" w:themeFill="accent2" w:themeFillTint="33"/>
                          <w:jc w:val="center"/>
                          <w:rPr>
                            <w:lang w:val="fr-FR"/>
                          </w:rPr>
                        </w:pPr>
                        <w:r>
                          <w:rPr>
                            <w:lang w:val="fr-FR"/>
                          </w:rPr>
                          <w:t>Directions Préfectorales de la Santé (DPS)</w:t>
                        </w:r>
                      </w:p>
                      <w:p w:rsidR="00C57943" w:rsidRDefault="00C57943" w:rsidP="001C2B5A">
                        <w:pPr>
                          <w:shd w:val="clear" w:color="auto" w:fill="FBE4D5" w:themeFill="accent2" w:themeFillTint="33"/>
                          <w:jc w:val="center"/>
                          <w:rPr>
                            <w:lang w:val="fr-FR"/>
                          </w:rPr>
                        </w:pPr>
                        <w:r>
                          <w:rPr>
                            <w:lang w:val="fr-FR"/>
                          </w:rPr>
                          <w:t>Directions Communales de la Santé (Conakry)</w:t>
                        </w:r>
                      </w:p>
                      <w:p w:rsidR="00C57943" w:rsidRPr="00F43004" w:rsidRDefault="00C57943" w:rsidP="001C2B5A">
                        <w:pPr>
                          <w:shd w:val="clear" w:color="auto" w:fill="FBE4D5" w:themeFill="accent2" w:themeFillTint="33"/>
                          <w:jc w:val="center"/>
                          <w:rPr>
                            <w:lang w:val="fr-FR"/>
                          </w:rPr>
                        </w:pPr>
                      </w:p>
                    </w:txbxContent>
                  </v:textbox>
                </v:shape>
                <v:group id="Group 111" o:spid="_x0000_s1096" style="position:absolute;left:1668;top:5147;width:11387;height:3443" coordorigin="1668,5147" coordsize="11387,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108" o:spid="_x0000_s1097" style="position:absolute;left:1668;top:5147;width:11387;height:901" coordorigin="1668,5147" coordsize="1138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Text Box 69" o:spid="_x0000_s1098" type="#_x0000_t202" style="position:absolute;left:8610;top:5606;width:4445;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C57943" w:rsidRPr="00F43004" w:rsidRDefault="00C57943" w:rsidP="00F43004">
                            <w:pPr>
                              <w:jc w:val="center"/>
                              <w:rPr>
                                <w:lang w:val="fr-FR"/>
                              </w:rPr>
                            </w:pPr>
                            <w:r>
                              <w:rPr>
                                <w:lang w:val="fr-FR"/>
                              </w:rPr>
                              <w:t>Directions Régionales de la Santé (DRS)</w:t>
                            </w:r>
                          </w:p>
                        </w:txbxContent>
                      </v:textbox>
                    </v:shape>
                    <v:shape id="Text Box 71" o:spid="_x0000_s1099" type="#_x0000_t202" style="position:absolute;left:3985;top:5606;width:3981;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C57943" w:rsidRPr="00F43004" w:rsidRDefault="00C57943" w:rsidP="00F43004">
                            <w:pPr>
                              <w:jc w:val="center"/>
                              <w:rPr>
                                <w:lang w:val="fr-FR"/>
                              </w:rPr>
                            </w:pPr>
                            <w:r>
                              <w:rPr>
                                <w:lang w:val="fr-FR"/>
                              </w:rPr>
                              <w:t>Direction Santé de la Ville de Conakry (DSVCO)</w:t>
                            </w:r>
                          </w:p>
                        </w:txbxContent>
                      </v:textbox>
                    </v:shape>
                    <v:shape id="Text Box 73" o:spid="_x0000_s1100" type="#_x0000_t202" style="position:absolute;left:1668;top:5606;width:2220;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C57943" w:rsidRPr="00F43004" w:rsidRDefault="00C57943" w:rsidP="00F43004">
                            <w:pPr>
                              <w:jc w:val="center"/>
                              <w:rPr>
                                <w:lang w:val="fr-FR"/>
                              </w:rPr>
                            </w:pPr>
                            <w:r>
                              <w:rPr>
                                <w:lang w:val="fr-FR"/>
                              </w:rPr>
                              <w:t xml:space="preserve">Hôpitaux nationaux </w:t>
                            </w:r>
                          </w:p>
                        </w:txbxContent>
                      </v:textbox>
                    </v:shape>
                    <v:shape id="AutoShape 82" o:spid="_x0000_s1101" type="#_x0000_t32" style="position:absolute;left:6111;top:5147;width:1378;height:45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">
                      <v:stroke endarrow="block"/>
                    </v:shape>
                    <v:shape id="AutoShape 83" o:spid="_x0000_s1102" type="#_x0000_t32" style="position:absolute;left:7489;top:5147;width:3061;height:45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DjxAAAANwAAAAPAAAAZHJzL2Rvd25yZXYueG1sRE9Na8JA&#10;EL0X+h+WKfRWN7FQ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AdtsOPEAAAA3AAAAA8A&#10;AAAAAAAAAAAAAAAABwIAAGRycy9kb3ducmV2LnhtbFBLBQYAAAAAAwADALcAAAD4AgAAAAA=&#10;">
                      <v:stroke endarrow="block"/>
                    </v:shape>
                  </v:group>
                  <v:group id="Group 110" o:spid="_x0000_s1103" style="position:absolute;left:3087;top:6048;width:7563;height:2542" coordorigin="3087,6048" coordsize="7563,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Text Box 70" o:spid="_x0000_s1104" type="#_x0000_t202" style="position:absolute;left:6894;top:6771;width:2013;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rsidR="00C57943" w:rsidRPr="00F43004" w:rsidRDefault="00C57943" w:rsidP="001C2B5A">
                            <w:pPr>
                              <w:shd w:val="clear" w:color="auto" w:fill="BDD6EE" w:themeFill="accent1" w:themeFillTint="66"/>
                              <w:jc w:val="center"/>
                              <w:rPr>
                                <w:lang w:val="fr-FR"/>
                              </w:rPr>
                            </w:pPr>
                            <w:r>
                              <w:rPr>
                                <w:lang w:val="fr-FR"/>
                              </w:rPr>
                              <w:t xml:space="preserve">PNPCSP </w:t>
                            </w:r>
                          </w:p>
                        </w:txbxContent>
                      </v:textbox>
                    </v:shape>
                    <v:group id="Group 109" o:spid="_x0000_s1105" style="position:absolute;left:3087;top:6048;width:7563;height:2542" coordorigin="3087,6048" coordsize="7563,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Text Box 72" o:spid="_x0000_s1106" type="#_x0000_t202" style="position:absolute;left:6813;top:7864;width:2418;height:7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rsidR="00C57943" w:rsidRPr="00F43004" w:rsidRDefault="00C57943" w:rsidP="003F06EE">
                              <w:pPr>
                                <w:jc w:val="center"/>
                                <w:rPr>
                                  <w:lang w:val="fr-FR"/>
                                </w:rPr>
                              </w:pPr>
                              <w:r>
                                <w:rPr>
                                  <w:lang w:val="fr-FR"/>
                                </w:rPr>
                                <w:t>SNIS (Ministère de la santé)</w:t>
                              </w:r>
                            </w:p>
                          </w:txbxContent>
                        </v:textbox>
                      </v:shape>
                      <v:shape id="AutoShape 84" o:spid="_x0000_s1107" type="#_x0000_t32" style="position:absolute;left:7966;top:6048;width:2684;height:72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">
                        <v:stroke endarrow="block"/>
                      </v:shape>
                      <v:shape id="AutoShape 85" o:spid="_x0000_s1108" type="#_x0000_t32" style="position:absolute;left:6042;top:6048;width:1924;height:7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">
                        <v:stroke endarrow="block"/>
                      </v:shape>
                      <v:shape id="AutoShape 86" o:spid="_x0000_s1109" type="#_x0000_t32" style="position:absolute;left:3087;top:6048;width:4809;height:7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v:shape id="AutoShape 87" o:spid="_x0000_s1110" type="#_x0000_t32" style="position:absolute;left:7896;top:7213;width:0;height:65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">
                        <v:stroke endarrow="block"/>
                      </v:shape>
                    </v:group>
                  </v:group>
                </v:group>
              </v:group>
            </v:group>
            <v:shape id="Text Box 114" o:spid="_x0000_s1111" type="#_x0000_t202" style="position:absolute;left:7199;top:8846;width:1517;height: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">
              <v:textbox style="mso-fit-shape-to-text:t">
                <w:txbxContent>
                  <w:p w:rsidR="00C57943" w:rsidRDefault="00C57943">
                    <w:r>
                      <w:t>Partenaires</w:t>
                    </w:r>
                  </w:p>
                </w:txbxContent>
              </v:textbox>
            </v:shape>
            <v:shape id="AutoShape 115" o:spid="_x0000_s1112" type="#_x0000_t32" style="position:absolute;left:7966;top:8590;width:0;height:2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Y+xAAAANwAAAAPAAAAZHJzL2Rvd25yZXYueG1sRE9Na8JA&#10;EL0X/A/LCN7qJh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IK0Jj7EAAAA3AAAAA8A&#10;AAAAAAAAAAAAAAAABwIAAGRycy9kb3ducmV2LnhtbFBLBQYAAAAAAwADALcAAAD4AgAAAAA=&#10;">
              <v:stroke endarrow="block"/>
            </v:shape>
          </v:group>
        </w:pict>
      </w:r>
    </w:p>
    <w:p w:rsidR="000C3E6B" w:rsidRPr="000C3E6B" w:rsidRDefault="000C3E6B" w:rsidP="000C3E6B">
      <w:pPr>
        <w:shd w:val="clear" w:color="auto" w:fill="FFFFFF"/>
        <w:rPr>
          <w:rFonts w:ascii="Helvetica" w:eastAsia="Times New Roman" w:hAnsi="Helvetica" w:cs="Helvetica"/>
          <w:sz w:val="20"/>
          <w:szCs w:val="20"/>
          <w:lang w:val="fr-FR"/>
        </w:rPr>
      </w:pPr>
    </w:p>
    <w:p w:rsidR="000C3E6B" w:rsidRDefault="000C3E6B" w:rsidP="00175C2D">
      <w:pPr>
        <w:rPr>
          <w:lang w:val="fr-FR"/>
        </w:rPr>
      </w:pPr>
    </w:p>
    <w:p w:rsidR="001E54A3" w:rsidRDefault="001E54A3" w:rsidP="00175C2D">
      <w:pPr>
        <w:rPr>
          <w:lang w:val="fr-FR"/>
        </w:rPr>
      </w:pPr>
    </w:p>
    <w:p w:rsidR="00F43004" w:rsidRDefault="00F43004" w:rsidP="00175C2D">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Pr="00940181" w:rsidRDefault="00857488" w:rsidP="00857488">
      <w:pPr>
        <w:rPr>
          <w:lang w:val="fr-FR"/>
        </w:rPr>
      </w:pPr>
    </w:p>
    <w:p w:rsidR="00857488" w:rsidRDefault="00857488" w:rsidP="00857488">
      <w:pPr>
        <w:rPr>
          <w:lang w:val="fr-FR"/>
        </w:rPr>
      </w:pPr>
    </w:p>
    <w:p w:rsidR="00BB21F6" w:rsidRPr="00940181" w:rsidRDefault="00BB21F6" w:rsidP="00857488">
      <w:pPr>
        <w:rPr>
          <w:lang w:val="fr-FR"/>
        </w:rPr>
      </w:pPr>
    </w:p>
    <w:p w:rsidR="00857488" w:rsidRPr="00940181" w:rsidRDefault="00857488" w:rsidP="00857488">
      <w:pPr>
        <w:rPr>
          <w:lang w:val="fr-FR"/>
        </w:rPr>
      </w:pPr>
    </w:p>
    <w:p w:rsidR="002563D0" w:rsidRPr="002C695E" w:rsidRDefault="00857488" w:rsidP="002C695E">
      <w:pPr>
        <w:pStyle w:val="Lgende"/>
        <w:spacing w:after="0"/>
        <w:jc w:val="center"/>
        <w:rPr>
          <w:color w:val="auto"/>
          <w:sz w:val="24"/>
          <w:lang w:val="fr-FR"/>
        </w:rPr>
      </w:pPr>
      <w:bookmarkStart w:id="82" w:name="_Toc480382974"/>
      <w:r w:rsidRPr="002C695E">
        <w:rPr>
          <w:color w:val="auto"/>
          <w:sz w:val="24"/>
          <w:lang w:val="fr-FR"/>
        </w:rPr>
        <w:t xml:space="preserve">Figure </w:t>
      </w:r>
      <w:r w:rsidR="00C25D03" w:rsidRPr="002C695E">
        <w:rPr>
          <w:color w:val="auto"/>
          <w:sz w:val="24"/>
        </w:rPr>
        <w:fldChar w:fldCharType="begin"/>
      </w:r>
      <w:r w:rsidRPr="002C695E">
        <w:rPr>
          <w:color w:val="auto"/>
          <w:sz w:val="24"/>
          <w:lang w:val="fr-FR"/>
        </w:rPr>
        <w:instrText xml:space="preserve"> SEQ Figure \* ARABIC </w:instrText>
      </w:r>
      <w:r w:rsidR="00C25D03" w:rsidRPr="002C695E">
        <w:rPr>
          <w:color w:val="auto"/>
          <w:sz w:val="24"/>
        </w:rPr>
        <w:fldChar w:fldCharType="separate"/>
      </w:r>
      <w:r w:rsidR="00774C46" w:rsidRPr="002C695E">
        <w:rPr>
          <w:noProof/>
          <w:color w:val="auto"/>
          <w:sz w:val="24"/>
          <w:lang w:val="fr-FR"/>
        </w:rPr>
        <w:t>9</w:t>
      </w:r>
      <w:r w:rsidR="00C25D03" w:rsidRPr="002C695E">
        <w:rPr>
          <w:color w:val="auto"/>
          <w:sz w:val="24"/>
        </w:rPr>
        <w:fldChar w:fldCharType="end"/>
      </w:r>
      <w:r w:rsidRPr="002C695E">
        <w:rPr>
          <w:color w:val="auto"/>
          <w:sz w:val="24"/>
          <w:lang w:val="fr-FR"/>
        </w:rPr>
        <w:t>: Circuit de transmission des données de prise en charge du VIH à l’échelon supérieur</w:t>
      </w:r>
      <w:bookmarkEnd w:id="82"/>
    </w:p>
    <w:p w:rsidR="002563D0" w:rsidRDefault="002563D0" w:rsidP="002563D0">
      <w:pPr>
        <w:rPr>
          <w:color w:val="5B9BD5" w:themeColor="accent1"/>
          <w:szCs w:val="18"/>
          <w:lang w:val="fr-FR"/>
        </w:rPr>
      </w:pPr>
      <w:r>
        <w:rPr>
          <w:lang w:val="fr-FR"/>
        </w:rPr>
        <w:br w:type="page"/>
      </w:r>
    </w:p>
    <w:p w:rsidR="00440C45" w:rsidRPr="002C695E" w:rsidRDefault="000123EE" w:rsidP="002C695E">
      <w:pPr>
        <w:pStyle w:val="Titre2"/>
        <w:numPr>
          <w:ilvl w:val="1"/>
          <w:numId w:val="22"/>
        </w:numPr>
        <w:spacing w:before="0"/>
        <w:ind w:left="426" w:hanging="426"/>
        <w:rPr>
          <w:color w:val="auto"/>
          <w:lang w:val="fr-FR"/>
        </w:rPr>
      </w:pPr>
      <w:bookmarkStart w:id="83" w:name="_Toc480382952"/>
      <w:r w:rsidRPr="002C695E">
        <w:rPr>
          <w:color w:val="auto"/>
          <w:lang w:val="fr-FR"/>
        </w:rPr>
        <w:t>Indicateurs de suivi évaluation</w:t>
      </w:r>
      <w:bookmarkEnd w:id="83"/>
    </w:p>
    <w:p w:rsidR="004F44ED" w:rsidRDefault="00CD1586" w:rsidP="00CD1586">
      <w:pPr>
        <w:pStyle w:val="Lgende"/>
        <w:spacing w:after="0"/>
        <w:jc w:val="center"/>
        <w:rPr>
          <w:color w:val="auto"/>
          <w:lang w:val="fr-FR"/>
        </w:rPr>
      </w:pPr>
      <w:bookmarkStart w:id="84" w:name="_Toc480382965"/>
      <w:r w:rsidRPr="00CD1586">
        <w:rPr>
          <w:color w:val="auto"/>
          <w:lang w:val="fr-FR"/>
        </w:rPr>
        <w:t xml:space="preserve">Tableau </w:t>
      </w:r>
      <w:r w:rsidR="00C25D03" w:rsidRPr="00CD1586">
        <w:rPr>
          <w:color w:val="auto"/>
          <w:lang w:val="fr-FR"/>
        </w:rPr>
        <w:fldChar w:fldCharType="begin"/>
      </w:r>
      <w:r w:rsidRPr="00CD1586">
        <w:rPr>
          <w:color w:val="auto"/>
          <w:lang w:val="fr-FR"/>
        </w:rPr>
        <w:instrText xml:space="preserve"> SEQ Tableau \* ARABIC </w:instrText>
      </w:r>
      <w:r w:rsidR="00C25D03" w:rsidRPr="00CD1586">
        <w:rPr>
          <w:color w:val="auto"/>
          <w:lang w:val="fr-FR"/>
        </w:rPr>
        <w:fldChar w:fldCharType="separate"/>
      </w:r>
      <w:r w:rsidRPr="00CD1586">
        <w:rPr>
          <w:color w:val="auto"/>
          <w:lang w:val="fr-FR"/>
        </w:rPr>
        <w:t>8</w:t>
      </w:r>
      <w:r w:rsidR="00C25D03" w:rsidRPr="00CD1586">
        <w:rPr>
          <w:color w:val="auto"/>
          <w:lang w:val="fr-FR"/>
        </w:rPr>
        <w:fldChar w:fldCharType="end"/>
      </w:r>
      <w:r w:rsidRPr="00CD1586">
        <w:rPr>
          <w:color w:val="auto"/>
          <w:lang w:val="fr-FR"/>
        </w:rPr>
        <w:t>: Liste des principaux indicateurs de suivi de la PECP</w:t>
      </w:r>
      <w:bookmarkEnd w:id="84"/>
    </w:p>
    <w:p w:rsidR="00CD1586" w:rsidRPr="00CD1586" w:rsidRDefault="00CD1586" w:rsidP="00CD1586">
      <w:pPr>
        <w:rPr>
          <w:lang w:val="fr-FR"/>
        </w:rPr>
      </w:pPr>
    </w:p>
    <w:tbl>
      <w:tblPr>
        <w:tblW w:w="145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4770"/>
        <w:gridCol w:w="876"/>
        <w:gridCol w:w="663"/>
        <w:gridCol w:w="687"/>
        <w:gridCol w:w="720"/>
        <w:gridCol w:w="810"/>
        <w:gridCol w:w="2004"/>
        <w:gridCol w:w="1464"/>
      </w:tblGrid>
      <w:tr w:rsidR="004F44ED" w:rsidRPr="002C695E" w:rsidTr="00952B7C">
        <w:tc>
          <w:tcPr>
            <w:tcW w:w="2520" w:type="dxa"/>
            <w:vMerge w:val="restart"/>
            <w:vAlign w:val="center"/>
          </w:tcPr>
          <w:p w:rsidR="004F44ED" w:rsidRPr="002C695E" w:rsidRDefault="004F44ED" w:rsidP="002C695E">
            <w:pPr>
              <w:jc w:val="center"/>
              <w:rPr>
                <w:b/>
                <w:sz w:val="20"/>
                <w:szCs w:val="20"/>
                <w:lang w:val="fr-FR"/>
              </w:rPr>
            </w:pPr>
            <w:r w:rsidRPr="002C695E">
              <w:rPr>
                <w:b/>
                <w:sz w:val="20"/>
                <w:szCs w:val="20"/>
                <w:lang w:val="fr-FR"/>
              </w:rPr>
              <w:t>Indicateur</w:t>
            </w:r>
          </w:p>
        </w:tc>
        <w:tc>
          <w:tcPr>
            <w:tcW w:w="4770" w:type="dxa"/>
            <w:vMerge w:val="restart"/>
            <w:vAlign w:val="center"/>
          </w:tcPr>
          <w:p w:rsidR="004F44ED" w:rsidRPr="002C695E" w:rsidRDefault="004F44ED" w:rsidP="002C695E">
            <w:pPr>
              <w:jc w:val="center"/>
              <w:rPr>
                <w:b/>
                <w:sz w:val="20"/>
                <w:szCs w:val="20"/>
                <w:lang w:val="fr-FR"/>
              </w:rPr>
            </w:pPr>
            <w:r w:rsidRPr="002C695E">
              <w:rPr>
                <w:b/>
                <w:sz w:val="20"/>
                <w:szCs w:val="20"/>
                <w:lang w:val="fr-FR"/>
              </w:rPr>
              <w:t>Définition</w:t>
            </w:r>
          </w:p>
        </w:tc>
        <w:tc>
          <w:tcPr>
            <w:tcW w:w="876" w:type="dxa"/>
            <w:vMerge w:val="restart"/>
            <w:vAlign w:val="center"/>
          </w:tcPr>
          <w:p w:rsidR="004F44ED" w:rsidRPr="002C695E" w:rsidRDefault="004F44ED" w:rsidP="002C695E">
            <w:pPr>
              <w:jc w:val="center"/>
              <w:rPr>
                <w:b/>
                <w:sz w:val="20"/>
                <w:szCs w:val="20"/>
                <w:lang w:val="fr-FR"/>
              </w:rPr>
            </w:pPr>
            <w:r w:rsidRPr="002C695E">
              <w:rPr>
                <w:b/>
                <w:sz w:val="20"/>
                <w:szCs w:val="20"/>
                <w:lang w:val="fr-FR"/>
              </w:rPr>
              <w:t>Niveau actuel</w:t>
            </w:r>
          </w:p>
          <w:p w:rsidR="004F44ED" w:rsidRPr="002C695E" w:rsidRDefault="004F44ED" w:rsidP="002C695E">
            <w:pPr>
              <w:jc w:val="center"/>
              <w:rPr>
                <w:b/>
                <w:sz w:val="20"/>
                <w:szCs w:val="20"/>
                <w:lang w:val="fr-FR"/>
              </w:rPr>
            </w:pPr>
            <w:r w:rsidRPr="002C695E">
              <w:rPr>
                <w:b/>
                <w:sz w:val="20"/>
                <w:szCs w:val="20"/>
                <w:lang w:val="fr-FR"/>
              </w:rPr>
              <w:t>2016</w:t>
            </w:r>
          </w:p>
        </w:tc>
        <w:tc>
          <w:tcPr>
            <w:tcW w:w="2880" w:type="dxa"/>
            <w:gridSpan w:val="4"/>
            <w:vAlign w:val="center"/>
          </w:tcPr>
          <w:p w:rsidR="004F44ED" w:rsidRPr="002C695E" w:rsidRDefault="004F44ED" w:rsidP="002C695E">
            <w:pPr>
              <w:jc w:val="center"/>
              <w:rPr>
                <w:b/>
                <w:sz w:val="20"/>
                <w:szCs w:val="20"/>
                <w:lang w:val="fr-FR"/>
              </w:rPr>
            </w:pPr>
            <w:r w:rsidRPr="002C695E">
              <w:rPr>
                <w:b/>
                <w:sz w:val="20"/>
                <w:szCs w:val="20"/>
                <w:lang w:val="fr-FR"/>
              </w:rPr>
              <w:t>Objectifs</w:t>
            </w:r>
          </w:p>
        </w:tc>
        <w:tc>
          <w:tcPr>
            <w:tcW w:w="2004" w:type="dxa"/>
            <w:vAlign w:val="center"/>
          </w:tcPr>
          <w:p w:rsidR="004F44ED" w:rsidRPr="002C695E" w:rsidRDefault="004F44ED" w:rsidP="002C695E">
            <w:pPr>
              <w:jc w:val="center"/>
              <w:rPr>
                <w:b/>
                <w:sz w:val="20"/>
                <w:szCs w:val="20"/>
                <w:lang w:val="fr-FR"/>
              </w:rPr>
            </w:pPr>
            <w:r w:rsidRPr="002C695E">
              <w:rPr>
                <w:b/>
                <w:sz w:val="20"/>
                <w:szCs w:val="20"/>
                <w:lang w:val="fr-FR"/>
              </w:rPr>
              <w:t>Source de données</w:t>
            </w:r>
          </w:p>
        </w:tc>
        <w:tc>
          <w:tcPr>
            <w:tcW w:w="1464" w:type="dxa"/>
            <w:vAlign w:val="center"/>
          </w:tcPr>
          <w:p w:rsidR="004F44ED" w:rsidRPr="002C695E" w:rsidRDefault="004F44ED" w:rsidP="002C695E">
            <w:pPr>
              <w:jc w:val="center"/>
              <w:rPr>
                <w:b/>
                <w:sz w:val="20"/>
                <w:szCs w:val="20"/>
                <w:lang w:val="fr-FR"/>
              </w:rPr>
            </w:pPr>
            <w:r w:rsidRPr="002C695E">
              <w:rPr>
                <w:b/>
                <w:sz w:val="20"/>
                <w:szCs w:val="20"/>
                <w:lang w:val="fr-FR"/>
              </w:rPr>
              <w:t>Fréquence</w:t>
            </w:r>
          </w:p>
        </w:tc>
      </w:tr>
      <w:tr w:rsidR="004F44ED" w:rsidRPr="003309AC" w:rsidTr="00952B7C">
        <w:tc>
          <w:tcPr>
            <w:tcW w:w="2520" w:type="dxa"/>
            <w:vMerge/>
          </w:tcPr>
          <w:p w:rsidR="004F44ED" w:rsidRPr="003309AC" w:rsidRDefault="004F44ED" w:rsidP="00440C45">
            <w:pPr>
              <w:rPr>
                <w:sz w:val="20"/>
                <w:szCs w:val="20"/>
                <w:lang w:val="fr-FR"/>
              </w:rPr>
            </w:pPr>
          </w:p>
        </w:tc>
        <w:tc>
          <w:tcPr>
            <w:tcW w:w="4770" w:type="dxa"/>
            <w:vMerge/>
          </w:tcPr>
          <w:p w:rsidR="004F44ED" w:rsidRPr="003309AC" w:rsidRDefault="004F44ED" w:rsidP="00440C45">
            <w:pPr>
              <w:rPr>
                <w:sz w:val="20"/>
                <w:szCs w:val="20"/>
                <w:lang w:val="fr-FR"/>
              </w:rPr>
            </w:pPr>
          </w:p>
        </w:tc>
        <w:tc>
          <w:tcPr>
            <w:tcW w:w="876" w:type="dxa"/>
            <w:vMerge/>
          </w:tcPr>
          <w:p w:rsidR="004F44ED" w:rsidRPr="003309AC" w:rsidRDefault="004F44ED" w:rsidP="00440C45">
            <w:pPr>
              <w:rPr>
                <w:sz w:val="20"/>
                <w:szCs w:val="20"/>
                <w:lang w:val="fr-FR"/>
              </w:rPr>
            </w:pPr>
          </w:p>
        </w:tc>
        <w:tc>
          <w:tcPr>
            <w:tcW w:w="663" w:type="dxa"/>
            <w:vAlign w:val="center"/>
          </w:tcPr>
          <w:p w:rsidR="004F44ED" w:rsidRPr="002C695E" w:rsidRDefault="004F44ED" w:rsidP="002C695E">
            <w:pPr>
              <w:jc w:val="center"/>
              <w:rPr>
                <w:b/>
                <w:sz w:val="20"/>
                <w:szCs w:val="20"/>
                <w:lang w:val="fr-FR"/>
              </w:rPr>
            </w:pPr>
            <w:r w:rsidRPr="002C695E">
              <w:rPr>
                <w:b/>
                <w:sz w:val="20"/>
                <w:szCs w:val="20"/>
                <w:lang w:val="fr-FR"/>
              </w:rPr>
              <w:t>2017</w:t>
            </w:r>
          </w:p>
        </w:tc>
        <w:tc>
          <w:tcPr>
            <w:tcW w:w="687" w:type="dxa"/>
            <w:vAlign w:val="center"/>
          </w:tcPr>
          <w:p w:rsidR="004F44ED" w:rsidRPr="002C695E" w:rsidRDefault="004F44ED" w:rsidP="002C695E">
            <w:pPr>
              <w:jc w:val="center"/>
              <w:rPr>
                <w:b/>
                <w:sz w:val="20"/>
                <w:szCs w:val="20"/>
                <w:lang w:val="fr-FR"/>
              </w:rPr>
            </w:pPr>
            <w:r w:rsidRPr="002C695E">
              <w:rPr>
                <w:b/>
                <w:sz w:val="20"/>
                <w:szCs w:val="20"/>
                <w:lang w:val="fr-FR"/>
              </w:rPr>
              <w:t>2018</w:t>
            </w:r>
          </w:p>
        </w:tc>
        <w:tc>
          <w:tcPr>
            <w:tcW w:w="720" w:type="dxa"/>
            <w:vAlign w:val="center"/>
          </w:tcPr>
          <w:p w:rsidR="004F44ED" w:rsidRPr="002C695E" w:rsidRDefault="004F44ED" w:rsidP="002C695E">
            <w:pPr>
              <w:jc w:val="center"/>
              <w:rPr>
                <w:b/>
                <w:sz w:val="20"/>
                <w:szCs w:val="20"/>
                <w:lang w:val="fr-FR"/>
              </w:rPr>
            </w:pPr>
            <w:r w:rsidRPr="002C695E">
              <w:rPr>
                <w:b/>
                <w:sz w:val="20"/>
                <w:szCs w:val="20"/>
                <w:lang w:val="fr-FR"/>
              </w:rPr>
              <w:t>2019</w:t>
            </w:r>
          </w:p>
        </w:tc>
        <w:tc>
          <w:tcPr>
            <w:tcW w:w="810" w:type="dxa"/>
            <w:vAlign w:val="center"/>
          </w:tcPr>
          <w:p w:rsidR="004F44ED" w:rsidRPr="002C695E" w:rsidRDefault="004F44ED" w:rsidP="002C695E">
            <w:pPr>
              <w:jc w:val="center"/>
              <w:rPr>
                <w:b/>
                <w:sz w:val="20"/>
                <w:szCs w:val="20"/>
                <w:lang w:val="fr-FR"/>
              </w:rPr>
            </w:pPr>
            <w:r w:rsidRPr="002C695E">
              <w:rPr>
                <w:b/>
                <w:sz w:val="20"/>
                <w:szCs w:val="20"/>
                <w:lang w:val="fr-FR"/>
              </w:rPr>
              <w:t>2020</w:t>
            </w:r>
          </w:p>
        </w:tc>
        <w:tc>
          <w:tcPr>
            <w:tcW w:w="2004" w:type="dxa"/>
          </w:tcPr>
          <w:p w:rsidR="004F44ED" w:rsidRPr="003309AC" w:rsidRDefault="004F44ED" w:rsidP="00440C45">
            <w:pPr>
              <w:rPr>
                <w:sz w:val="20"/>
                <w:szCs w:val="20"/>
                <w:lang w:val="fr-FR"/>
              </w:rPr>
            </w:pPr>
          </w:p>
        </w:tc>
        <w:tc>
          <w:tcPr>
            <w:tcW w:w="1464" w:type="dxa"/>
          </w:tcPr>
          <w:p w:rsidR="004F44ED" w:rsidRPr="003309AC" w:rsidRDefault="004F44ED" w:rsidP="00440C45">
            <w:pPr>
              <w:rPr>
                <w:sz w:val="20"/>
                <w:szCs w:val="20"/>
                <w:lang w:val="fr-FR"/>
              </w:rPr>
            </w:pPr>
          </w:p>
        </w:tc>
      </w:tr>
      <w:tr w:rsidR="004F44ED" w:rsidRPr="003309AC" w:rsidTr="00952B7C">
        <w:tc>
          <w:tcPr>
            <w:tcW w:w="2520" w:type="dxa"/>
          </w:tcPr>
          <w:p w:rsidR="004F44ED" w:rsidRPr="003309AC" w:rsidRDefault="004F44ED" w:rsidP="00D56F52">
            <w:pPr>
              <w:rPr>
                <w:sz w:val="20"/>
                <w:szCs w:val="20"/>
                <w:lang w:val="fr-FR"/>
              </w:rPr>
            </w:pPr>
            <w:r w:rsidRPr="003309AC">
              <w:rPr>
                <w:sz w:val="20"/>
                <w:szCs w:val="20"/>
                <w:lang w:val="fr-FR"/>
              </w:rPr>
              <w:t>Prévalence VIH</w:t>
            </w:r>
          </w:p>
        </w:tc>
        <w:tc>
          <w:tcPr>
            <w:tcW w:w="4770" w:type="dxa"/>
          </w:tcPr>
          <w:p w:rsidR="004F44ED" w:rsidRPr="003309AC" w:rsidRDefault="006206AC" w:rsidP="00D56F52">
            <w:pPr>
              <w:rPr>
                <w:sz w:val="20"/>
                <w:szCs w:val="20"/>
                <w:lang w:val="fr-FR"/>
              </w:rPr>
            </w:pPr>
            <w:r w:rsidRPr="003309AC">
              <w:rPr>
                <w:b/>
                <w:sz w:val="20"/>
                <w:szCs w:val="20"/>
                <w:lang w:val="fr-FR"/>
              </w:rPr>
              <w:t xml:space="preserve">N : </w:t>
            </w:r>
            <w:r w:rsidRPr="003309AC">
              <w:rPr>
                <w:sz w:val="20"/>
                <w:szCs w:val="20"/>
                <w:lang w:val="fr-FR"/>
              </w:rPr>
              <w:t>Nombre de personnes testées VIH+</w:t>
            </w:r>
          </w:p>
          <w:p w:rsidR="006206AC" w:rsidRPr="003309AC" w:rsidRDefault="006206AC" w:rsidP="00D56F52">
            <w:pPr>
              <w:rPr>
                <w:b/>
                <w:sz w:val="20"/>
                <w:szCs w:val="20"/>
                <w:lang w:val="fr-FR"/>
              </w:rPr>
            </w:pPr>
            <w:r w:rsidRPr="003309AC">
              <w:rPr>
                <w:b/>
                <w:sz w:val="20"/>
                <w:szCs w:val="20"/>
                <w:lang w:val="fr-FR"/>
              </w:rPr>
              <w:t>D</w:t>
            </w:r>
            <w:r w:rsidRPr="003309AC">
              <w:rPr>
                <w:sz w:val="20"/>
                <w:szCs w:val="20"/>
                <w:lang w:val="fr-FR"/>
              </w:rPr>
              <w:t> : Nombre total de personnes testées</w:t>
            </w:r>
          </w:p>
        </w:tc>
        <w:tc>
          <w:tcPr>
            <w:tcW w:w="876" w:type="dxa"/>
          </w:tcPr>
          <w:p w:rsidR="004F44ED" w:rsidRPr="003309AC" w:rsidRDefault="004F44ED" w:rsidP="00D56F52">
            <w:pPr>
              <w:rPr>
                <w:sz w:val="20"/>
                <w:szCs w:val="20"/>
                <w:lang w:val="fr-FR"/>
              </w:rPr>
            </w:pPr>
          </w:p>
        </w:tc>
        <w:tc>
          <w:tcPr>
            <w:tcW w:w="663" w:type="dxa"/>
          </w:tcPr>
          <w:p w:rsidR="004F44ED" w:rsidRPr="003309AC" w:rsidRDefault="004F44ED" w:rsidP="00D56F52">
            <w:pPr>
              <w:rPr>
                <w:sz w:val="20"/>
                <w:szCs w:val="20"/>
                <w:lang w:val="fr-FR"/>
              </w:rPr>
            </w:pPr>
          </w:p>
        </w:tc>
        <w:tc>
          <w:tcPr>
            <w:tcW w:w="687" w:type="dxa"/>
          </w:tcPr>
          <w:p w:rsidR="004F44ED" w:rsidRPr="003309AC" w:rsidRDefault="004F44ED" w:rsidP="00D56F52">
            <w:pPr>
              <w:rPr>
                <w:sz w:val="20"/>
                <w:szCs w:val="20"/>
                <w:lang w:val="fr-FR"/>
              </w:rPr>
            </w:pPr>
          </w:p>
        </w:tc>
        <w:tc>
          <w:tcPr>
            <w:tcW w:w="720" w:type="dxa"/>
          </w:tcPr>
          <w:p w:rsidR="004F44ED" w:rsidRPr="003309AC" w:rsidRDefault="004F44ED" w:rsidP="00D56F52">
            <w:pPr>
              <w:rPr>
                <w:sz w:val="20"/>
                <w:szCs w:val="20"/>
                <w:lang w:val="fr-FR"/>
              </w:rPr>
            </w:pPr>
          </w:p>
        </w:tc>
        <w:tc>
          <w:tcPr>
            <w:tcW w:w="810" w:type="dxa"/>
          </w:tcPr>
          <w:p w:rsidR="004F44ED" w:rsidRPr="003309AC" w:rsidRDefault="004F44ED" w:rsidP="00D56F52">
            <w:pPr>
              <w:rPr>
                <w:sz w:val="20"/>
                <w:szCs w:val="20"/>
                <w:lang w:val="fr-FR"/>
              </w:rPr>
            </w:pPr>
          </w:p>
        </w:tc>
        <w:tc>
          <w:tcPr>
            <w:tcW w:w="2004" w:type="dxa"/>
          </w:tcPr>
          <w:p w:rsidR="004F44ED" w:rsidRPr="003309AC" w:rsidRDefault="004F44ED" w:rsidP="00D56F52">
            <w:pPr>
              <w:rPr>
                <w:sz w:val="20"/>
                <w:szCs w:val="20"/>
                <w:lang w:val="fr-FR"/>
              </w:rPr>
            </w:pPr>
            <w:r w:rsidRPr="003309AC">
              <w:rPr>
                <w:sz w:val="20"/>
                <w:szCs w:val="20"/>
                <w:lang w:val="fr-FR"/>
              </w:rPr>
              <w:t>Enquête</w:t>
            </w:r>
          </w:p>
        </w:tc>
        <w:tc>
          <w:tcPr>
            <w:tcW w:w="1464" w:type="dxa"/>
          </w:tcPr>
          <w:p w:rsidR="004F44ED" w:rsidRPr="003309AC" w:rsidRDefault="004F44ED" w:rsidP="00D56F52">
            <w:pPr>
              <w:rPr>
                <w:sz w:val="20"/>
                <w:szCs w:val="20"/>
                <w:lang w:val="fr-FR"/>
              </w:rPr>
            </w:pPr>
          </w:p>
        </w:tc>
      </w:tr>
      <w:tr w:rsidR="004F44ED" w:rsidRPr="003309AC" w:rsidTr="00952B7C">
        <w:tc>
          <w:tcPr>
            <w:tcW w:w="2520" w:type="dxa"/>
          </w:tcPr>
          <w:p w:rsidR="004F44ED" w:rsidRPr="003309AC" w:rsidRDefault="004F44ED" w:rsidP="00D56F52">
            <w:pPr>
              <w:rPr>
                <w:sz w:val="20"/>
                <w:szCs w:val="20"/>
                <w:lang w:val="fr-FR"/>
              </w:rPr>
            </w:pPr>
            <w:r w:rsidRPr="003309AC">
              <w:rPr>
                <w:sz w:val="20"/>
                <w:szCs w:val="20"/>
                <w:lang w:val="fr-FR"/>
              </w:rPr>
              <w:t>Mortalité lié au sida</w:t>
            </w:r>
          </w:p>
        </w:tc>
        <w:tc>
          <w:tcPr>
            <w:tcW w:w="4770" w:type="dxa"/>
          </w:tcPr>
          <w:p w:rsidR="006206AC" w:rsidRPr="003309AC" w:rsidRDefault="006206AC" w:rsidP="006206AC">
            <w:pPr>
              <w:rPr>
                <w:sz w:val="20"/>
                <w:szCs w:val="20"/>
                <w:lang w:val="fr-FR"/>
              </w:rPr>
            </w:pPr>
            <w:r w:rsidRPr="003309AC">
              <w:rPr>
                <w:b/>
                <w:sz w:val="20"/>
                <w:szCs w:val="20"/>
                <w:lang w:val="fr-FR"/>
              </w:rPr>
              <w:t xml:space="preserve">N : </w:t>
            </w:r>
            <w:r w:rsidRPr="003309AC">
              <w:rPr>
                <w:sz w:val="20"/>
                <w:szCs w:val="20"/>
                <w:lang w:val="fr-FR"/>
              </w:rPr>
              <w:t xml:space="preserve">Nombre de personnes décédées de </w:t>
            </w:r>
            <w:r w:rsidR="003309AC" w:rsidRPr="003309AC">
              <w:rPr>
                <w:sz w:val="20"/>
                <w:szCs w:val="20"/>
                <w:lang w:val="fr-FR"/>
              </w:rPr>
              <w:t>sida</w:t>
            </w:r>
          </w:p>
          <w:p w:rsidR="004F44ED" w:rsidRPr="003309AC" w:rsidRDefault="006206AC" w:rsidP="006206AC">
            <w:pPr>
              <w:rPr>
                <w:b/>
                <w:sz w:val="20"/>
                <w:szCs w:val="20"/>
                <w:lang w:val="fr-FR"/>
              </w:rPr>
            </w:pPr>
            <w:r w:rsidRPr="003309AC">
              <w:rPr>
                <w:b/>
                <w:sz w:val="20"/>
                <w:szCs w:val="20"/>
                <w:lang w:val="fr-FR"/>
              </w:rPr>
              <w:t>D</w:t>
            </w:r>
            <w:r w:rsidRPr="003309AC">
              <w:rPr>
                <w:sz w:val="20"/>
                <w:szCs w:val="20"/>
                <w:lang w:val="fr-FR"/>
              </w:rPr>
              <w:t> : Nombre total de personnes vivant avec le VIH</w:t>
            </w:r>
          </w:p>
        </w:tc>
        <w:tc>
          <w:tcPr>
            <w:tcW w:w="876" w:type="dxa"/>
          </w:tcPr>
          <w:p w:rsidR="004F44ED" w:rsidRPr="003309AC" w:rsidRDefault="004F44ED" w:rsidP="00D56F52">
            <w:pPr>
              <w:rPr>
                <w:sz w:val="20"/>
                <w:szCs w:val="20"/>
                <w:lang w:val="fr-FR"/>
              </w:rPr>
            </w:pPr>
          </w:p>
        </w:tc>
        <w:tc>
          <w:tcPr>
            <w:tcW w:w="663" w:type="dxa"/>
          </w:tcPr>
          <w:p w:rsidR="004F44ED" w:rsidRPr="003309AC" w:rsidRDefault="004F44ED" w:rsidP="00D56F52">
            <w:pPr>
              <w:rPr>
                <w:sz w:val="20"/>
                <w:szCs w:val="20"/>
                <w:lang w:val="fr-FR"/>
              </w:rPr>
            </w:pPr>
          </w:p>
        </w:tc>
        <w:tc>
          <w:tcPr>
            <w:tcW w:w="687" w:type="dxa"/>
          </w:tcPr>
          <w:p w:rsidR="004F44ED" w:rsidRPr="003309AC" w:rsidRDefault="004F44ED" w:rsidP="00D56F52">
            <w:pPr>
              <w:rPr>
                <w:sz w:val="20"/>
                <w:szCs w:val="20"/>
                <w:lang w:val="fr-FR"/>
              </w:rPr>
            </w:pPr>
          </w:p>
        </w:tc>
        <w:tc>
          <w:tcPr>
            <w:tcW w:w="720" w:type="dxa"/>
          </w:tcPr>
          <w:p w:rsidR="004F44ED" w:rsidRPr="003309AC" w:rsidRDefault="004F44ED" w:rsidP="00D56F52">
            <w:pPr>
              <w:rPr>
                <w:sz w:val="20"/>
                <w:szCs w:val="20"/>
                <w:lang w:val="fr-FR"/>
              </w:rPr>
            </w:pPr>
          </w:p>
        </w:tc>
        <w:tc>
          <w:tcPr>
            <w:tcW w:w="810" w:type="dxa"/>
          </w:tcPr>
          <w:p w:rsidR="004F44ED" w:rsidRPr="003309AC" w:rsidRDefault="004F44ED" w:rsidP="00D56F52">
            <w:pPr>
              <w:rPr>
                <w:sz w:val="20"/>
                <w:szCs w:val="20"/>
                <w:lang w:val="fr-FR"/>
              </w:rPr>
            </w:pPr>
          </w:p>
        </w:tc>
        <w:tc>
          <w:tcPr>
            <w:tcW w:w="2004" w:type="dxa"/>
          </w:tcPr>
          <w:p w:rsidR="004F44ED" w:rsidRPr="003309AC" w:rsidRDefault="004F44ED" w:rsidP="00D56F52">
            <w:pPr>
              <w:rPr>
                <w:sz w:val="20"/>
                <w:szCs w:val="20"/>
                <w:lang w:val="fr-FR"/>
              </w:rPr>
            </w:pPr>
            <w:r w:rsidRPr="003309AC">
              <w:rPr>
                <w:sz w:val="20"/>
                <w:szCs w:val="20"/>
                <w:lang w:val="fr-FR"/>
              </w:rPr>
              <w:t>Enquête</w:t>
            </w:r>
          </w:p>
        </w:tc>
        <w:tc>
          <w:tcPr>
            <w:tcW w:w="1464" w:type="dxa"/>
          </w:tcPr>
          <w:p w:rsidR="004F44ED" w:rsidRPr="003309AC" w:rsidRDefault="004F44ED" w:rsidP="00D56F52">
            <w:pPr>
              <w:rPr>
                <w:sz w:val="20"/>
                <w:szCs w:val="20"/>
                <w:lang w:val="fr-FR"/>
              </w:rPr>
            </w:pPr>
          </w:p>
        </w:tc>
      </w:tr>
      <w:tr w:rsidR="004F44ED" w:rsidRPr="003309AC" w:rsidTr="00952B7C">
        <w:tc>
          <w:tcPr>
            <w:tcW w:w="2520" w:type="dxa"/>
          </w:tcPr>
          <w:p w:rsidR="004F44ED" w:rsidRPr="003309AC" w:rsidRDefault="004F44ED" w:rsidP="00D56F52">
            <w:pPr>
              <w:rPr>
                <w:sz w:val="20"/>
                <w:szCs w:val="20"/>
                <w:lang w:val="fr-FR"/>
              </w:rPr>
            </w:pPr>
            <w:r w:rsidRPr="003309AC">
              <w:rPr>
                <w:sz w:val="20"/>
                <w:szCs w:val="20"/>
                <w:lang w:val="fr-FR"/>
              </w:rPr>
              <w:t>% d’enfants exposés nés de mère VIH+ ayant fait la PCR</w:t>
            </w:r>
          </w:p>
        </w:tc>
        <w:tc>
          <w:tcPr>
            <w:tcW w:w="4770" w:type="dxa"/>
          </w:tcPr>
          <w:p w:rsidR="004F44ED" w:rsidRPr="003309AC" w:rsidRDefault="004F44ED" w:rsidP="00D56F52">
            <w:pPr>
              <w:rPr>
                <w:sz w:val="20"/>
                <w:szCs w:val="20"/>
                <w:lang w:val="fr-FR"/>
              </w:rPr>
            </w:pPr>
            <w:r w:rsidRPr="003309AC">
              <w:rPr>
                <w:b/>
                <w:sz w:val="20"/>
                <w:szCs w:val="20"/>
                <w:lang w:val="fr-FR"/>
              </w:rPr>
              <w:t>N </w:t>
            </w:r>
            <w:r w:rsidRPr="003309AC">
              <w:rPr>
                <w:sz w:val="20"/>
                <w:szCs w:val="20"/>
                <w:lang w:val="fr-FR"/>
              </w:rPr>
              <w:t>: Nombre de nouveau-nés exposés ayant fait la PCR</w:t>
            </w:r>
          </w:p>
          <w:p w:rsidR="004F44ED" w:rsidRPr="003309AC" w:rsidRDefault="004F44ED" w:rsidP="00D56F52">
            <w:pPr>
              <w:rPr>
                <w:sz w:val="20"/>
                <w:szCs w:val="20"/>
                <w:lang w:val="fr-FR"/>
              </w:rPr>
            </w:pPr>
            <w:r w:rsidRPr="003309AC">
              <w:rPr>
                <w:b/>
                <w:sz w:val="20"/>
                <w:szCs w:val="20"/>
                <w:lang w:val="fr-FR"/>
              </w:rPr>
              <w:t>D</w:t>
            </w:r>
            <w:r w:rsidRPr="003309AC">
              <w:rPr>
                <w:sz w:val="20"/>
                <w:szCs w:val="20"/>
                <w:lang w:val="fr-FR"/>
              </w:rPr>
              <w:t> : Nombre d’enfants exposés VIH attendus</w:t>
            </w:r>
          </w:p>
        </w:tc>
        <w:tc>
          <w:tcPr>
            <w:tcW w:w="876" w:type="dxa"/>
          </w:tcPr>
          <w:p w:rsidR="004F44ED" w:rsidRPr="003309AC" w:rsidRDefault="004F44ED" w:rsidP="00D56F52">
            <w:pPr>
              <w:rPr>
                <w:sz w:val="20"/>
                <w:szCs w:val="20"/>
                <w:lang w:val="fr-FR"/>
              </w:rPr>
            </w:pPr>
          </w:p>
        </w:tc>
        <w:tc>
          <w:tcPr>
            <w:tcW w:w="663" w:type="dxa"/>
          </w:tcPr>
          <w:p w:rsidR="004F44ED" w:rsidRPr="003309AC" w:rsidRDefault="004F44ED" w:rsidP="00D56F52">
            <w:pPr>
              <w:rPr>
                <w:sz w:val="20"/>
                <w:szCs w:val="20"/>
                <w:lang w:val="fr-FR"/>
              </w:rPr>
            </w:pPr>
          </w:p>
        </w:tc>
        <w:tc>
          <w:tcPr>
            <w:tcW w:w="687" w:type="dxa"/>
          </w:tcPr>
          <w:p w:rsidR="004F44ED" w:rsidRPr="003309AC" w:rsidRDefault="004F44ED" w:rsidP="00D56F52">
            <w:pPr>
              <w:rPr>
                <w:sz w:val="20"/>
                <w:szCs w:val="20"/>
                <w:lang w:val="fr-FR"/>
              </w:rPr>
            </w:pPr>
          </w:p>
        </w:tc>
        <w:tc>
          <w:tcPr>
            <w:tcW w:w="720" w:type="dxa"/>
          </w:tcPr>
          <w:p w:rsidR="004F44ED" w:rsidRPr="003309AC" w:rsidRDefault="004F44ED" w:rsidP="00D56F52">
            <w:pPr>
              <w:rPr>
                <w:sz w:val="20"/>
                <w:szCs w:val="20"/>
                <w:lang w:val="fr-FR"/>
              </w:rPr>
            </w:pPr>
          </w:p>
        </w:tc>
        <w:tc>
          <w:tcPr>
            <w:tcW w:w="810" w:type="dxa"/>
          </w:tcPr>
          <w:p w:rsidR="004F44ED" w:rsidRPr="003309AC" w:rsidRDefault="004F44ED" w:rsidP="00D56F52">
            <w:pPr>
              <w:rPr>
                <w:sz w:val="20"/>
                <w:szCs w:val="20"/>
                <w:lang w:val="fr-FR"/>
              </w:rPr>
            </w:pPr>
          </w:p>
        </w:tc>
        <w:tc>
          <w:tcPr>
            <w:tcW w:w="2004" w:type="dxa"/>
          </w:tcPr>
          <w:p w:rsidR="004F44ED" w:rsidRPr="003309AC" w:rsidRDefault="004F44ED" w:rsidP="00D56F52">
            <w:pPr>
              <w:rPr>
                <w:sz w:val="20"/>
                <w:szCs w:val="20"/>
                <w:lang w:val="fr-FR"/>
              </w:rPr>
            </w:pPr>
            <w:r w:rsidRPr="003309AC">
              <w:rPr>
                <w:sz w:val="20"/>
                <w:szCs w:val="20"/>
                <w:lang w:val="fr-FR"/>
              </w:rPr>
              <w:t>Données de routine</w:t>
            </w:r>
          </w:p>
          <w:p w:rsidR="004F44ED" w:rsidRPr="003309AC" w:rsidRDefault="004F44ED" w:rsidP="00D56F52">
            <w:pPr>
              <w:rPr>
                <w:sz w:val="20"/>
                <w:szCs w:val="20"/>
                <w:lang w:val="fr-FR"/>
              </w:rPr>
            </w:pPr>
            <w:r w:rsidRPr="003309AC">
              <w:rPr>
                <w:sz w:val="20"/>
                <w:szCs w:val="20"/>
                <w:lang w:val="fr-FR"/>
              </w:rPr>
              <w:t>SPECTRUM</w:t>
            </w:r>
          </w:p>
        </w:tc>
        <w:tc>
          <w:tcPr>
            <w:tcW w:w="1464" w:type="dxa"/>
          </w:tcPr>
          <w:p w:rsidR="004F44ED" w:rsidRPr="003309AC" w:rsidRDefault="004F44ED" w:rsidP="00D56F52">
            <w:pPr>
              <w:rPr>
                <w:sz w:val="20"/>
                <w:szCs w:val="20"/>
                <w:lang w:val="fr-FR"/>
              </w:rPr>
            </w:pPr>
            <w:r w:rsidRPr="003309AC">
              <w:rPr>
                <w:sz w:val="20"/>
                <w:szCs w:val="20"/>
                <w:lang w:val="fr-FR"/>
              </w:rPr>
              <w:t>Annuelle</w:t>
            </w:r>
          </w:p>
        </w:tc>
      </w:tr>
      <w:tr w:rsidR="004F44ED" w:rsidRPr="003309AC" w:rsidTr="00952B7C">
        <w:tc>
          <w:tcPr>
            <w:tcW w:w="2520" w:type="dxa"/>
          </w:tcPr>
          <w:p w:rsidR="004F44ED" w:rsidRPr="003309AC" w:rsidRDefault="004F44ED" w:rsidP="00945432">
            <w:pPr>
              <w:rPr>
                <w:sz w:val="20"/>
                <w:szCs w:val="20"/>
                <w:lang w:val="fr-FR"/>
              </w:rPr>
            </w:pPr>
            <w:r w:rsidRPr="003309AC">
              <w:rPr>
                <w:sz w:val="20"/>
                <w:szCs w:val="20"/>
                <w:lang w:val="fr-FR"/>
              </w:rPr>
              <w:t>% d’enfants de 0-15 connaissant leur statut sérologique VIH</w:t>
            </w:r>
          </w:p>
        </w:tc>
        <w:tc>
          <w:tcPr>
            <w:tcW w:w="4770" w:type="dxa"/>
          </w:tcPr>
          <w:p w:rsidR="004F44ED" w:rsidRPr="003309AC" w:rsidRDefault="004F44ED" w:rsidP="00440C45">
            <w:pPr>
              <w:rPr>
                <w:sz w:val="20"/>
                <w:szCs w:val="20"/>
                <w:lang w:val="fr-FR"/>
              </w:rPr>
            </w:pPr>
            <w:r w:rsidRPr="003309AC">
              <w:rPr>
                <w:b/>
                <w:sz w:val="20"/>
                <w:szCs w:val="20"/>
                <w:lang w:val="fr-FR"/>
              </w:rPr>
              <w:t>N</w:t>
            </w:r>
            <w:r w:rsidRPr="003309AC">
              <w:rPr>
                <w:sz w:val="20"/>
                <w:szCs w:val="20"/>
                <w:lang w:val="fr-FR"/>
              </w:rPr>
              <w:t> : Nombre d’enfants ayant reçu le résultat de dépistage VIH</w:t>
            </w:r>
          </w:p>
          <w:p w:rsidR="004F44ED" w:rsidRPr="003309AC" w:rsidRDefault="004F44ED" w:rsidP="00440C45">
            <w:pPr>
              <w:rPr>
                <w:sz w:val="20"/>
                <w:szCs w:val="20"/>
                <w:lang w:val="fr-FR"/>
              </w:rPr>
            </w:pPr>
            <w:r w:rsidRPr="003309AC">
              <w:rPr>
                <w:b/>
                <w:sz w:val="20"/>
                <w:szCs w:val="20"/>
                <w:lang w:val="fr-FR"/>
              </w:rPr>
              <w:t>D</w:t>
            </w:r>
            <w:r w:rsidRPr="003309AC">
              <w:rPr>
                <w:sz w:val="20"/>
                <w:szCs w:val="20"/>
                <w:lang w:val="fr-FR"/>
              </w:rPr>
              <w:t> : Nombre d’’enfants VIH+ attendus</w:t>
            </w:r>
          </w:p>
        </w:tc>
        <w:tc>
          <w:tcPr>
            <w:tcW w:w="876" w:type="dxa"/>
          </w:tcPr>
          <w:p w:rsidR="004F44ED" w:rsidRPr="003309AC" w:rsidRDefault="004F44ED" w:rsidP="00440C45">
            <w:pPr>
              <w:rPr>
                <w:sz w:val="20"/>
                <w:szCs w:val="20"/>
                <w:lang w:val="fr-FR"/>
              </w:rPr>
            </w:pPr>
          </w:p>
        </w:tc>
        <w:tc>
          <w:tcPr>
            <w:tcW w:w="663" w:type="dxa"/>
          </w:tcPr>
          <w:p w:rsidR="004F44ED" w:rsidRPr="003309AC" w:rsidRDefault="004F44ED" w:rsidP="00440C45">
            <w:pPr>
              <w:rPr>
                <w:sz w:val="20"/>
                <w:szCs w:val="20"/>
                <w:lang w:val="fr-FR"/>
              </w:rPr>
            </w:pPr>
          </w:p>
        </w:tc>
        <w:tc>
          <w:tcPr>
            <w:tcW w:w="687" w:type="dxa"/>
          </w:tcPr>
          <w:p w:rsidR="004F44ED" w:rsidRPr="003309AC" w:rsidRDefault="004F44ED" w:rsidP="00440C45">
            <w:pPr>
              <w:rPr>
                <w:sz w:val="20"/>
                <w:szCs w:val="20"/>
                <w:lang w:val="fr-FR"/>
              </w:rPr>
            </w:pPr>
          </w:p>
        </w:tc>
        <w:tc>
          <w:tcPr>
            <w:tcW w:w="720" w:type="dxa"/>
          </w:tcPr>
          <w:p w:rsidR="004F44ED" w:rsidRPr="003309AC" w:rsidRDefault="004F44ED" w:rsidP="00440C45">
            <w:pPr>
              <w:rPr>
                <w:sz w:val="20"/>
                <w:szCs w:val="20"/>
                <w:lang w:val="fr-FR"/>
              </w:rPr>
            </w:pPr>
          </w:p>
        </w:tc>
        <w:tc>
          <w:tcPr>
            <w:tcW w:w="810" w:type="dxa"/>
          </w:tcPr>
          <w:p w:rsidR="004F44ED" w:rsidRPr="003309AC" w:rsidRDefault="004F44ED" w:rsidP="00440C45">
            <w:pPr>
              <w:rPr>
                <w:sz w:val="20"/>
                <w:szCs w:val="20"/>
                <w:lang w:val="fr-FR"/>
              </w:rPr>
            </w:pPr>
          </w:p>
        </w:tc>
        <w:tc>
          <w:tcPr>
            <w:tcW w:w="2004" w:type="dxa"/>
          </w:tcPr>
          <w:p w:rsidR="004F44ED" w:rsidRPr="003309AC" w:rsidRDefault="004F44ED" w:rsidP="00440C45">
            <w:pPr>
              <w:rPr>
                <w:sz w:val="20"/>
                <w:szCs w:val="20"/>
                <w:lang w:val="fr-FR"/>
              </w:rPr>
            </w:pPr>
            <w:r w:rsidRPr="003309AC">
              <w:rPr>
                <w:sz w:val="20"/>
                <w:szCs w:val="20"/>
                <w:lang w:val="fr-FR"/>
              </w:rPr>
              <w:t>Données de routine</w:t>
            </w:r>
          </w:p>
          <w:p w:rsidR="004F44ED" w:rsidRPr="003309AC" w:rsidRDefault="004F44ED" w:rsidP="00440C45">
            <w:pPr>
              <w:rPr>
                <w:sz w:val="20"/>
                <w:szCs w:val="20"/>
                <w:lang w:val="fr-FR"/>
              </w:rPr>
            </w:pPr>
            <w:r w:rsidRPr="003309AC">
              <w:rPr>
                <w:sz w:val="20"/>
                <w:szCs w:val="20"/>
                <w:lang w:val="fr-FR"/>
              </w:rPr>
              <w:t>SPECTRUM</w:t>
            </w:r>
          </w:p>
        </w:tc>
        <w:tc>
          <w:tcPr>
            <w:tcW w:w="1464" w:type="dxa"/>
          </w:tcPr>
          <w:p w:rsidR="004F44ED" w:rsidRPr="003309AC" w:rsidRDefault="004F44ED" w:rsidP="00440C45">
            <w:pPr>
              <w:rPr>
                <w:sz w:val="20"/>
                <w:szCs w:val="20"/>
                <w:lang w:val="fr-FR"/>
              </w:rPr>
            </w:pPr>
            <w:r w:rsidRPr="003309AC">
              <w:rPr>
                <w:sz w:val="20"/>
                <w:szCs w:val="20"/>
                <w:lang w:val="fr-FR"/>
              </w:rPr>
              <w:t>Annuelle</w:t>
            </w:r>
          </w:p>
        </w:tc>
      </w:tr>
      <w:tr w:rsidR="004F44ED" w:rsidRPr="003309AC" w:rsidTr="00952B7C">
        <w:tc>
          <w:tcPr>
            <w:tcW w:w="2520" w:type="dxa"/>
          </w:tcPr>
          <w:p w:rsidR="004F44ED" w:rsidRPr="003309AC" w:rsidRDefault="004F44ED" w:rsidP="00440C45">
            <w:pPr>
              <w:rPr>
                <w:sz w:val="20"/>
                <w:szCs w:val="20"/>
                <w:lang w:val="fr-FR"/>
              </w:rPr>
            </w:pPr>
            <w:r w:rsidRPr="003309AC">
              <w:rPr>
                <w:sz w:val="20"/>
                <w:szCs w:val="20"/>
                <w:lang w:val="fr-FR"/>
              </w:rPr>
              <w:t>% d’enfants exposés ayant reçu la prophylaxie ARV</w:t>
            </w:r>
          </w:p>
        </w:tc>
        <w:tc>
          <w:tcPr>
            <w:tcW w:w="4770" w:type="dxa"/>
          </w:tcPr>
          <w:p w:rsidR="004F44ED" w:rsidRPr="003309AC" w:rsidRDefault="004F44ED" w:rsidP="00C747B4">
            <w:pPr>
              <w:rPr>
                <w:sz w:val="20"/>
                <w:szCs w:val="20"/>
                <w:lang w:val="fr-FR"/>
              </w:rPr>
            </w:pPr>
            <w:r w:rsidRPr="003309AC">
              <w:rPr>
                <w:sz w:val="20"/>
                <w:szCs w:val="20"/>
                <w:lang w:val="fr-FR"/>
              </w:rPr>
              <w:t>N : Nombre de nourrissons exposés D : Nombre de femmes enceintes ou allaitantes VIH+</w:t>
            </w:r>
          </w:p>
        </w:tc>
        <w:tc>
          <w:tcPr>
            <w:tcW w:w="876" w:type="dxa"/>
          </w:tcPr>
          <w:p w:rsidR="004F44ED" w:rsidRPr="003309AC" w:rsidRDefault="004F44ED" w:rsidP="00440C45">
            <w:pPr>
              <w:rPr>
                <w:sz w:val="20"/>
                <w:szCs w:val="20"/>
                <w:lang w:val="fr-FR"/>
              </w:rPr>
            </w:pPr>
          </w:p>
        </w:tc>
        <w:tc>
          <w:tcPr>
            <w:tcW w:w="663" w:type="dxa"/>
          </w:tcPr>
          <w:p w:rsidR="004F44ED" w:rsidRPr="003309AC" w:rsidRDefault="004F44ED" w:rsidP="00440C45">
            <w:pPr>
              <w:rPr>
                <w:sz w:val="20"/>
                <w:szCs w:val="20"/>
                <w:lang w:val="fr-FR"/>
              </w:rPr>
            </w:pPr>
          </w:p>
        </w:tc>
        <w:tc>
          <w:tcPr>
            <w:tcW w:w="687" w:type="dxa"/>
          </w:tcPr>
          <w:p w:rsidR="004F44ED" w:rsidRPr="003309AC" w:rsidRDefault="004F44ED" w:rsidP="00440C45">
            <w:pPr>
              <w:rPr>
                <w:sz w:val="20"/>
                <w:szCs w:val="20"/>
                <w:lang w:val="fr-FR"/>
              </w:rPr>
            </w:pPr>
          </w:p>
        </w:tc>
        <w:tc>
          <w:tcPr>
            <w:tcW w:w="720" w:type="dxa"/>
          </w:tcPr>
          <w:p w:rsidR="004F44ED" w:rsidRPr="003309AC" w:rsidRDefault="004F44ED" w:rsidP="00440C45">
            <w:pPr>
              <w:rPr>
                <w:sz w:val="20"/>
                <w:szCs w:val="20"/>
                <w:lang w:val="fr-FR"/>
              </w:rPr>
            </w:pPr>
          </w:p>
        </w:tc>
        <w:tc>
          <w:tcPr>
            <w:tcW w:w="810" w:type="dxa"/>
          </w:tcPr>
          <w:p w:rsidR="004F44ED" w:rsidRPr="003309AC" w:rsidRDefault="004F44ED" w:rsidP="00440C45">
            <w:pPr>
              <w:rPr>
                <w:sz w:val="20"/>
                <w:szCs w:val="20"/>
                <w:lang w:val="fr-FR"/>
              </w:rPr>
            </w:pPr>
          </w:p>
        </w:tc>
        <w:tc>
          <w:tcPr>
            <w:tcW w:w="2004" w:type="dxa"/>
          </w:tcPr>
          <w:p w:rsidR="00914DE2" w:rsidRPr="003309AC" w:rsidRDefault="00914DE2" w:rsidP="00914DE2">
            <w:pPr>
              <w:rPr>
                <w:sz w:val="20"/>
                <w:szCs w:val="20"/>
                <w:lang w:val="fr-FR"/>
              </w:rPr>
            </w:pPr>
            <w:r w:rsidRPr="003309AC">
              <w:rPr>
                <w:sz w:val="20"/>
                <w:szCs w:val="20"/>
                <w:lang w:val="fr-FR"/>
              </w:rPr>
              <w:t>Données de routine</w:t>
            </w:r>
          </w:p>
          <w:p w:rsidR="004F44ED" w:rsidRPr="003309AC" w:rsidRDefault="004F44ED" w:rsidP="00D56F52">
            <w:pPr>
              <w:rPr>
                <w:sz w:val="20"/>
                <w:szCs w:val="20"/>
                <w:lang w:val="fr-FR"/>
              </w:rPr>
            </w:pPr>
          </w:p>
        </w:tc>
        <w:tc>
          <w:tcPr>
            <w:tcW w:w="1464" w:type="dxa"/>
          </w:tcPr>
          <w:p w:rsidR="004F44ED" w:rsidRPr="003309AC" w:rsidRDefault="004F44ED" w:rsidP="00D56F52">
            <w:pPr>
              <w:rPr>
                <w:sz w:val="20"/>
                <w:szCs w:val="20"/>
                <w:lang w:val="fr-FR"/>
              </w:rPr>
            </w:pPr>
          </w:p>
        </w:tc>
      </w:tr>
      <w:tr w:rsidR="006206AC" w:rsidRPr="003309AC" w:rsidTr="00952B7C">
        <w:tc>
          <w:tcPr>
            <w:tcW w:w="2520" w:type="dxa"/>
          </w:tcPr>
          <w:p w:rsidR="006206AC" w:rsidRPr="003309AC" w:rsidRDefault="006206AC" w:rsidP="00440C45">
            <w:pPr>
              <w:rPr>
                <w:sz w:val="20"/>
                <w:szCs w:val="20"/>
                <w:lang w:val="fr-FR"/>
              </w:rPr>
            </w:pPr>
            <w:r w:rsidRPr="003309AC">
              <w:rPr>
                <w:sz w:val="20"/>
                <w:szCs w:val="20"/>
                <w:lang w:val="fr-FR"/>
              </w:rPr>
              <w:t>% d’enfants VIH+ exposés à la TB ayant reçu la prophylaxie à l’INH</w:t>
            </w:r>
          </w:p>
        </w:tc>
        <w:tc>
          <w:tcPr>
            <w:tcW w:w="4770" w:type="dxa"/>
          </w:tcPr>
          <w:p w:rsidR="006206AC" w:rsidRPr="003309AC" w:rsidRDefault="006206AC" w:rsidP="006206AC">
            <w:pPr>
              <w:rPr>
                <w:sz w:val="20"/>
                <w:szCs w:val="20"/>
                <w:lang w:val="fr-FR"/>
              </w:rPr>
            </w:pPr>
            <w:r w:rsidRPr="003309AC">
              <w:rPr>
                <w:sz w:val="20"/>
                <w:szCs w:val="20"/>
                <w:lang w:val="fr-FR"/>
              </w:rPr>
              <w:t xml:space="preserve">N : Nombre de nourrissons exposés à la TB sous prophylaxie à l’INH  D : Nombre total de nourrissons exposés à la TB </w:t>
            </w:r>
          </w:p>
        </w:tc>
        <w:tc>
          <w:tcPr>
            <w:tcW w:w="876" w:type="dxa"/>
          </w:tcPr>
          <w:p w:rsidR="006206AC" w:rsidRPr="003309AC" w:rsidRDefault="006206AC" w:rsidP="00440C45">
            <w:pPr>
              <w:rPr>
                <w:sz w:val="20"/>
                <w:szCs w:val="20"/>
                <w:lang w:val="fr-FR"/>
              </w:rPr>
            </w:pPr>
          </w:p>
        </w:tc>
        <w:tc>
          <w:tcPr>
            <w:tcW w:w="663" w:type="dxa"/>
          </w:tcPr>
          <w:p w:rsidR="006206AC" w:rsidRPr="003309AC" w:rsidRDefault="006206AC" w:rsidP="00440C45">
            <w:pPr>
              <w:rPr>
                <w:sz w:val="20"/>
                <w:szCs w:val="20"/>
                <w:lang w:val="fr-FR"/>
              </w:rPr>
            </w:pPr>
          </w:p>
        </w:tc>
        <w:tc>
          <w:tcPr>
            <w:tcW w:w="687" w:type="dxa"/>
          </w:tcPr>
          <w:p w:rsidR="006206AC" w:rsidRPr="003309AC" w:rsidRDefault="006206AC" w:rsidP="00440C45">
            <w:pPr>
              <w:rPr>
                <w:sz w:val="20"/>
                <w:szCs w:val="20"/>
                <w:lang w:val="fr-FR"/>
              </w:rPr>
            </w:pPr>
          </w:p>
        </w:tc>
        <w:tc>
          <w:tcPr>
            <w:tcW w:w="720" w:type="dxa"/>
          </w:tcPr>
          <w:p w:rsidR="006206AC" w:rsidRPr="003309AC" w:rsidRDefault="006206AC" w:rsidP="00440C45">
            <w:pPr>
              <w:rPr>
                <w:sz w:val="20"/>
                <w:szCs w:val="20"/>
                <w:lang w:val="fr-FR"/>
              </w:rPr>
            </w:pPr>
          </w:p>
        </w:tc>
        <w:tc>
          <w:tcPr>
            <w:tcW w:w="810" w:type="dxa"/>
          </w:tcPr>
          <w:p w:rsidR="006206AC" w:rsidRPr="003309AC" w:rsidRDefault="006206AC" w:rsidP="00440C45">
            <w:pPr>
              <w:rPr>
                <w:sz w:val="20"/>
                <w:szCs w:val="20"/>
                <w:lang w:val="fr-FR"/>
              </w:rPr>
            </w:pPr>
          </w:p>
        </w:tc>
        <w:tc>
          <w:tcPr>
            <w:tcW w:w="2004" w:type="dxa"/>
          </w:tcPr>
          <w:p w:rsidR="00914DE2" w:rsidRPr="003309AC" w:rsidRDefault="00914DE2" w:rsidP="00914DE2">
            <w:pPr>
              <w:rPr>
                <w:sz w:val="20"/>
                <w:szCs w:val="20"/>
                <w:lang w:val="fr-FR"/>
              </w:rPr>
            </w:pPr>
            <w:r w:rsidRPr="003309AC">
              <w:rPr>
                <w:sz w:val="20"/>
                <w:szCs w:val="20"/>
                <w:lang w:val="fr-FR"/>
              </w:rPr>
              <w:t>Données de routine</w:t>
            </w:r>
          </w:p>
          <w:p w:rsidR="006206AC" w:rsidRPr="003309AC" w:rsidRDefault="006206AC" w:rsidP="00D56F52">
            <w:pPr>
              <w:rPr>
                <w:sz w:val="20"/>
                <w:szCs w:val="20"/>
                <w:lang w:val="fr-FR"/>
              </w:rPr>
            </w:pPr>
          </w:p>
        </w:tc>
        <w:tc>
          <w:tcPr>
            <w:tcW w:w="1464" w:type="dxa"/>
          </w:tcPr>
          <w:p w:rsidR="006206AC" w:rsidRPr="003309AC" w:rsidRDefault="006206AC" w:rsidP="00D56F52">
            <w:pPr>
              <w:rPr>
                <w:sz w:val="20"/>
                <w:szCs w:val="20"/>
                <w:lang w:val="fr-FR"/>
              </w:rPr>
            </w:pPr>
          </w:p>
        </w:tc>
      </w:tr>
      <w:tr w:rsidR="006206AC" w:rsidRPr="003309AC" w:rsidTr="00952B7C">
        <w:tc>
          <w:tcPr>
            <w:tcW w:w="2520" w:type="dxa"/>
          </w:tcPr>
          <w:p w:rsidR="006206AC" w:rsidRPr="003309AC" w:rsidRDefault="006206AC" w:rsidP="00D56F52">
            <w:pPr>
              <w:rPr>
                <w:sz w:val="20"/>
                <w:szCs w:val="20"/>
                <w:lang w:val="fr-FR"/>
              </w:rPr>
            </w:pPr>
            <w:r w:rsidRPr="003309AC">
              <w:rPr>
                <w:sz w:val="20"/>
                <w:szCs w:val="20"/>
                <w:lang w:val="fr-FR"/>
              </w:rPr>
              <w:t>Couverture antirétrovirale chez les enfants de 0-15 ans</w:t>
            </w:r>
          </w:p>
        </w:tc>
        <w:tc>
          <w:tcPr>
            <w:tcW w:w="4770" w:type="dxa"/>
          </w:tcPr>
          <w:p w:rsidR="006206AC" w:rsidRPr="003309AC" w:rsidRDefault="006206AC" w:rsidP="006206AC">
            <w:pPr>
              <w:rPr>
                <w:sz w:val="20"/>
                <w:szCs w:val="20"/>
                <w:lang w:val="fr-FR"/>
              </w:rPr>
            </w:pPr>
            <w:r w:rsidRPr="003309AC">
              <w:rPr>
                <w:b/>
                <w:sz w:val="20"/>
                <w:szCs w:val="20"/>
                <w:lang w:val="fr-FR"/>
              </w:rPr>
              <w:t xml:space="preserve">N : </w:t>
            </w:r>
            <w:r w:rsidRPr="003309AC">
              <w:rPr>
                <w:sz w:val="20"/>
                <w:szCs w:val="20"/>
                <w:lang w:val="fr-FR"/>
              </w:rPr>
              <w:t xml:space="preserve">Nombre d’enfants de 0-15 ans sous TARV </w:t>
            </w:r>
            <w:r w:rsidRPr="003309AC">
              <w:rPr>
                <w:b/>
                <w:sz w:val="20"/>
                <w:szCs w:val="20"/>
                <w:lang w:val="fr-FR"/>
              </w:rPr>
              <w:t>D</w:t>
            </w:r>
            <w:r w:rsidRPr="003309AC">
              <w:rPr>
                <w:sz w:val="20"/>
                <w:szCs w:val="20"/>
                <w:lang w:val="fr-FR"/>
              </w:rPr>
              <w:t> : Nombre d’’enfants VIH+ attendus</w:t>
            </w:r>
          </w:p>
        </w:tc>
        <w:tc>
          <w:tcPr>
            <w:tcW w:w="876" w:type="dxa"/>
          </w:tcPr>
          <w:p w:rsidR="006206AC" w:rsidRPr="003309AC" w:rsidRDefault="006206AC" w:rsidP="00D56F52">
            <w:pPr>
              <w:rPr>
                <w:sz w:val="20"/>
                <w:szCs w:val="20"/>
                <w:lang w:val="fr-FR"/>
              </w:rPr>
            </w:pPr>
            <w:r w:rsidRPr="003309AC">
              <w:rPr>
                <w:sz w:val="20"/>
                <w:szCs w:val="20"/>
                <w:lang w:val="fr-FR"/>
              </w:rPr>
              <w:t>17</w:t>
            </w:r>
            <w:r w:rsidR="00556F13" w:rsidRPr="003309AC">
              <w:rPr>
                <w:sz w:val="20"/>
                <w:szCs w:val="20"/>
                <w:lang w:val="fr-FR"/>
              </w:rPr>
              <w:t>%</w:t>
            </w:r>
          </w:p>
        </w:tc>
        <w:tc>
          <w:tcPr>
            <w:tcW w:w="663" w:type="dxa"/>
          </w:tcPr>
          <w:p w:rsidR="006206AC" w:rsidRPr="003309AC" w:rsidRDefault="006206AC" w:rsidP="00D56F52">
            <w:pPr>
              <w:rPr>
                <w:sz w:val="20"/>
                <w:szCs w:val="20"/>
                <w:lang w:val="fr-FR"/>
              </w:rPr>
            </w:pPr>
            <w:r w:rsidRPr="003309AC">
              <w:rPr>
                <w:sz w:val="20"/>
                <w:szCs w:val="20"/>
                <w:lang w:val="fr-FR"/>
              </w:rPr>
              <w:t>36%</w:t>
            </w:r>
          </w:p>
        </w:tc>
        <w:tc>
          <w:tcPr>
            <w:tcW w:w="687" w:type="dxa"/>
          </w:tcPr>
          <w:p w:rsidR="006206AC" w:rsidRPr="003309AC" w:rsidRDefault="006206AC" w:rsidP="00D56F52">
            <w:pPr>
              <w:rPr>
                <w:sz w:val="20"/>
                <w:szCs w:val="20"/>
                <w:lang w:val="fr-FR"/>
              </w:rPr>
            </w:pPr>
            <w:r w:rsidRPr="003309AC">
              <w:rPr>
                <w:sz w:val="20"/>
                <w:szCs w:val="20"/>
                <w:lang w:val="fr-FR"/>
              </w:rPr>
              <w:t>72%</w:t>
            </w:r>
          </w:p>
        </w:tc>
        <w:tc>
          <w:tcPr>
            <w:tcW w:w="720" w:type="dxa"/>
          </w:tcPr>
          <w:p w:rsidR="006206AC" w:rsidRPr="003309AC" w:rsidRDefault="006206AC" w:rsidP="00D56F52">
            <w:pPr>
              <w:rPr>
                <w:sz w:val="20"/>
                <w:szCs w:val="20"/>
                <w:lang w:val="fr-FR"/>
              </w:rPr>
            </w:pPr>
            <w:r w:rsidRPr="003309AC">
              <w:rPr>
                <w:sz w:val="20"/>
                <w:szCs w:val="20"/>
                <w:lang w:val="fr-FR"/>
              </w:rPr>
              <w:t>82%</w:t>
            </w:r>
          </w:p>
        </w:tc>
        <w:tc>
          <w:tcPr>
            <w:tcW w:w="810" w:type="dxa"/>
          </w:tcPr>
          <w:p w:rsidR="006206AC" w:rsidRPr="003309AC" w:rsidRDefault="006206AC" w:rsidP="00D56F52">
            <w:pPr>
              <w:rPr>
                <w:sz w:val="20"/>
                <w:szCs w:val="20"/>
                <w:lang w:val="fr-FR"/>
              </w:rPr>
            </w:pPr>
            <w:r w:rsidRPr="003309AC">
              <w:rPr>
                <w:sz w:val="20"/>
                <w:szCs w:val="20"/>
                <w:lang w:val="fr-FR"/>
              </w:rPr>
              <w:t>90%</w:t>
            </w:r>
          </w:p>
        </w:tc>
        <w:tc>
          <w:tcPr>
            <w:tcW w:w="2004" w:type="dxa"/>
          </w:tcPr>
          <w:p w:rsidR="006206AC" w:rsidRPr="003309AC" w:rsidRDefault="006206AC" w:rsidP="00D56F52">
            <w:pPr>
              <w:rPr>
                <w:sz w:val="20"/>
                <w:szCs w:val="20"/>
                <w:lang w:val="fr-FR"/>
              </w:rPr>
            </w:pPr>
            <w:r w:rsidRPr="003309AC">
              <w:rPr>
                <w:sz w:val="20"/>
                <w:szCs w:val="20"/>
                <w:lang w:val="fr-FR"/>
              </w:rPr>
              <w:t>Données de routine PTME</w:t>
            </w:r>
          </w:p>
          <w:p w:rsidR="006206AC" w:rsidRPr="003309AC" w:rsidRDefault="006206AC" w:rsidP="00D56F52">
            <w:pPr>
              <w:rPr>
                <w:sz w:val="20"/>
                <w:szCs w:val="20"/>
                <w:lang w:val="fr-FR"/>
              </w:rPr>
            </w:pPr>
            <w:r w:rsidRPr="003309AC">
              <w:rPr>
                <w:sz w:val="20"/>
                <w:szCs w:val="20"/>
                <w:lang w:val="fr-FR"/>
              </w:rPr>
              <w:t>SPECTRUM</w:t>
            </w:r>
          </w:p>
        </w:tc>
        <w:tc>
          <w:tcPr>
            <w:tcW w:w="1464" w:type="dxa"/>
          </w:tcPr>
          <w:p w:rsidR="006206AC" w:rsidRPr="003309AC" w:rsidRDefault="006206AC" w:rsidP="00D56F52">
            <w:pPr>
              <w:rPr>
                <w:sz w:val="20"/>
                <w:szCs w:val="20"/>
                <w:lang w:val="fr-FR"/>
              </w:rPr>
            </w:pPr>
            <w:r w:rsidRPr="003309AC">
              <w:rPr>
                <w:sz w:val="20"/>
                <w:szCs w:val="20"/>
                <w:lang w:val="fr-FR"/>
              </w:rPr>
              <w:t>Annuelle</w:t>
            </w:r>
          </w:p>
        </w:tc>
      </w:tr>
      <w:tr w:rsidR="006206AC" w:rsidRPr="003309AC" w:rsidTr="00952B7C">
        <w:tc>
          <w:tcPr>
            <w:tcW w:w="2520" w:type="dxa"/>
          </w:tcPr>
          <w:p w:rsidR="006206AC" w:rsidRPr="003309AC" w:rsidRDefault="006206AC" w:rsidP="00C747B4">
            <w:pPr>
              <w:rPr>
                <w:sz w:val="20"/>
                <w:szCs w:val="20"/>
                <w:lang w:val="fr-FR"/>
              </w:rPr>
            </w:pPr>
            <w:r w:rsidRPr="003309AC">
              <w:rPr>
                <w:sz w:val="20"/>
                <w:szCs w:val="20"/>
                <w:lang w:val="fr-FR"/>
              </w:rPr>
              <w:t>Taux de rétention à 12 mois</w:t>
            </w:r>
          </w:p>
        </w:tc>
        <w:tc>
          <w:tcPr>
            <w:tcW w:w="4770" w:type="dxa"/>
          </w:tcPr>
          <w:p w:rsidR="006206AC" w:rsidRPr="003309AC" w:rsidRDefault="006206AC" w:rsidP="00440C45">
            <w:pPr>
              <w:rPr>
                <w:sz w:val="20"/>
                <w:szCs w:val="20"/>
                <w:lang w:val="fr-FR"/>
              </w:rPr>
            </w:pPr>
          </w:p>
        </w:tc>
        <w:tc>
          <w:tcPr>
            <w:tcW w:w="876" w:type="dxa"/>
          </w:tcPr>
          <w:p w:rsidR="006206AC" w:rsidRPr="003309AC" w:rsidRDefault="006206AC" w:rsidP="00440C45">
            <w:pPr>
              <w:rPr>
                <w:sz w:val="20"/>
                <w:szCs w:val="20"/>
                <w:lang w:val="fr-FR"/>
              </w:rPr>
            </w:pPr>
          </w:p>
        </w:tc>
        <w:tc>
          <w:tcPr>
            <w:tcW w:w="663" w:type="dxa"/>
          </w:tcPr>
          <w:p w:rsidR="006206AC" w:rsidRPr="003309AC" w:rsidRDefault="006206AC" w:rsidP="00440C45">
            <w:pPr>
              <w:rPr>
                <w:sz w:val="20"/>
                <w:szCs w:val="20"/>
                <w:lang w:val="fr-FR"/>
              </w:rPr>
            </w:pPr>
          </w:p>
        </w:tc>
        <w:tc>
          <w:tcPr>
            <w:tcW w:w="687" w:type="dxa"/>
          </w:tcPr>
          <w:p w:rsidR="006206AC" w:rsidRPr="003309AC" w:rsidRDefault="006206AC" w:rsidP="00440C45">
            <w:pPr>
              <w:rPr>
                <w:sz w:val="20"/>
                <w:szCs w:val="20"/>
                <w:lang w:val="fr-FR"/>
              </w:rPr>
            </w:pPr>
          </w:p>
        </w:tc>
        <w:tc>
          <w:tcPr>
            <w:tcW w:w="720" w:type="dxa"/>
          </w:tcPr>
          <w:p w:rsidR="006206AC" w:rsidRPr="003309AC" w:rsidRDefault="006206AC" w:rsidP="00440C45">
            <w:pPr>
              <w:rPr>
                <w:sz w:val="20"/>
                <w:szCs w:val="20"/>
                <w:lang w:val="fr-FR"/>
              </w:rPr>
            </w:pPr>
          </w:p>
        </w:tc>
        <w:tc>
          <w:tcPr>
            <w:tcW w:w="810" w:type="dxa"/>
          </w:tcPr>
          <w:p w:rsidR="006206AC" w:rsidRPr="003309AC" w:rsidRDefault="006206AC" w:rsidP="00440C45">
            <w:pPr>
              <w:rPr>
                <w:sz w:val="20"/>
                <w:szCs w:val="20"/>
                <w:lang w:val="fr-FR"/>
              </w:rPr>
            </w:pPr>
          </w:p>
        </w:tc>
        <w:tc>
          <w:tcPr>
            <w:tcW w:w="2004" w:type="dxa"/>
          </w:tcPr>
          <w:p w:rsidR="006206AC" w:rsidRPr="003309AC" w:rsidRDefault="006206AC" w:rsidP="00440C45">
            <w:pPr>
              <w:rPr>
                <w:sz w:val="20"/>
                <w:szCs w:val="20"/>
                <w:lang w:val="fr-FR"/>
              </w:rPr>
            </w:pPr>
          </w:p>
        </w:tc>
        <w:tc>
          <w:tcPr>
            <w:tcW w:w="1464" w:type="dxa"/>
          </w:tcPr>
          <w:p w:rsidR="006206AC" w:rsidRPr="003309AC" w:rsidRDefault="006206AC" w:rsidP="00D56F52">
            <w:pPr>
              <w:rPr>
                <w:sz w:val="20"/>
                <w:szCs w:val="20"/>
                <w:lang w:val="fr-FR"/>
              </w:rPr>
            </w:pPr>
            <w:r w:rsidRPr="003309AC">
              <w:rPr>
                <w:sz w:val="20"/>
                <w:szCs w:val="20"/>
                <w:lang w:val="fr-FR"/>
              </w:rPr>
              <w:t>2018</w:t>
            </w:r>
          </w:p>
        </w:tc>
      </w:tr>
      <w:tr w:rsidR="006206AC" w:rsidRPr="003309AC" w:rsidTr="00952B7C">
        <w:tc>
          <w:tcPr>
            <w:tcW w:w="2520" w:type="dxa"/>
          </w:tcPr>
          <w:p w:rsidR="006206AC" w:rsidRPr="003309AC" w:rsidRDefault="006206AC" w:rsidP="00C747B4">
            <w:pPr>
              <w:rPr>
                <w:sz w:val="20"/>
                <w:szCs w:val="20"/>
                <w:lang w:val="fr-FR"/>
              </w:rPr>
            </w:pPr>
            <w:r w:rsidRPr="003309AC">
              <w:rPr>
                <w:sz w:val="20"/>
                <w:szCs w:val="20"/>
                <w:lang w:val="fr-FR"/>
              </w:rPr>
              <w:t>Taux de rétention à 24 mois</w:t>
            </w:r>
          </w:p>
        </w:tc>
        <w:tc>
          <w:tcPr>
            <w:tcW w:w="4770" w:type="dxa"/>
          </w:tcPr>
          <w:p w:rsidR="006206AC" w:rsidRPr="003309AC" w:rsidRDefault="006206AC" w:rsidP="00440C45">
            <w:pPr>
              <w:rPr>
                <w:sz w:val="20"/>
                <w:szCs w:val="20"/>
                <w:lang w:val="fr-FR"/>
              </w:rPr>
            </w:pPr>
          </w:p>
        </w:tc>
        <w:tc>
          <w:tcPr>
            <w:tcW w:w="876" w:type="dxa"/>
          </w:tcPr>
          <w:p w:rsidR="006206AC" w:rsidRPr="003309AC" w:rsidRDefault="006206AC" w:rsidP="00440C45">
            <w:pPr>
              <w:rPr>
                <w:sz w:val="20"/>
                <w:szCs w:val="20"/>
                <w:lang w:val="fr-FR"/>
              </w:rPr>
            </w:pPr>
          </w:p>
        </w:tc>
        <w:tc>
          <w:tcPr>
            <w:tcW w:w="663" w:type="dxa"/>
          </w:tcPr>
          <w:p w:rsidR="006206AC" w:rsidRPr="003309AC" w:rsidRDefault="006206AC" w:rsidP="00440C45">
            <w:pPr>
              <w:rPr>
                <w:sz w:val="20"/>
                <w:szCs w:val="20"/>
                <w:lang w:val="fr-FR"/>
              </w:rPr>
            </w:pPr>
          </w:p>
        </w:tc>
        <w:tc>
          <w:tcPr>
            <w:tcW w:w="687" w:type="dxa"/>
          </w:tcPr>
          <w:p w:rsidR="006206AC" w:rsidRPr="003309AC" w:rsidRDefault="006206AC" w:rsidP="00440C45">
            <w:pPr>
              <w:rPr>
                <w:sz w:val="20"/>
                <w:szCs w:val="20"/>
                <w:lang w:val="fr-FR"/>
              </w:rPr>
            </w:pPr>
          </w:p>
        </w:tc>
        <w:tc>
          <w:tcPr>
            <w:tcW w:w="720" w:type="dxa"/>
          </w:tcPr>
          <w:p w:rsidR="006206AC" w:rsidRPr="003309AC" w:rsidRDefault="006206AC" w:rsidP="00440C45">
            <w:pPr>
              <w:rPr>
                <w:sz w:val="20"/>
                <w:szCs w:val="20"/>
                <w:lang w:val="fr-FR"/>
              </w:rPr>
            </w:pPr>
          </w:p>
        </w:tc>
        <w:tc>
          <w:tcPr>
            <w:tcW w:w="810" w:type="dxa"/>
          </w:tcPr>
          <w:p w:rsidR="006206AC" w:rsidRPr="003309AC" w:rsidRDefault="006206AC" w:rsidP="00440C45">
            <w:pPr>
              <w:rPr>
                <w:sz w:val="20"/>
                <w:szCs w:val="20"/>
                <w:lang w:val="fr-FR"/>
              </w:rPr>
            </w:pPr>
          </w:p>
        </w:tc>
        <w:tc>
          <w:tcPr>
            <w:tcW w:w="2004" w:type="dxa"/>
          </w:tcPr>
          <w:p w:rsidR="00914DE2" w:rsidRPr="003309AC" w:rsidRDefault="00914DE2" w:rsidP="00914DE2">
            <w:pPr>
              <w:rPr>
                <w:sz w:val="20"/>
                <w:szCs w:val="20"/>
                <w:lang w:val="fr-FR"/>
              </w:rPr>
            </w:pPr>
            <w:r w:rsidRPr="003309AC">
              <w:rPr>
                <w:sz w:val="20"/>
                <w:szCs w:val="20"/>
                <w:lang w:val="fr-FR"/>
              </w:rPr>
              <w:t>Données de routine</w:t>
            </w:r>
          </w:p>
          <w:p w:rsidR="006206AC" w:rsidRPr="003309AC" w:rsidRDefault="006206AC" w:rsidP="00440C45">
            <w:pPr>
              <w:rPr>
                <w:sz w:val="20"/>
                <w:szCs w:val="20"/>
                <w:lang w:val="fr-FR"/>
              </w:rPr>
            </w:pPr>
          </w:p>
        </w:tc>
        <w:tc>
          <w:tcPr>
            <w:tcW w:w="1464" w:type="dxa"/>
          </w:tcPr>
          <w:p w:rsidR="006206AC" w:rsidRPr="003309AC" w:rsidRDefault="006206AC" w:rsidP="00D56F52">
            <w:pPr>
              <w:rPr>
                <w:sz w:val="20"/>
                <w:szCs w:val="20"/>
                <w:lang w:val="fr-FR"/>
              </w:rPr>
            </w:pPr>
            <w:r w:rsidRPr="003309AC">
              <w:rPr>
                <w:sz w:val="20"/>
                <w:szCs w:val="20"/>
                <w:lang w:val="fr-FR"/>
              </w:rPr>
              <w:t>2019</w:t>
            </w:r>
          </w:p>
        </w:tc>
      </w:tr>
      <w:tr w:rsidR="006206AC" w:rsidRPr="003309AC" w:rsidTr="00952B7C">
        <w:tc>
          <w:tcPr>
            <w:tcW w:w="2520" w:type="dxa"/>
          </w:tcPr>
          <w:p w:rsidR="006206AC" w:rsidRPr="003309AC" w:rsidRDefault="006206AC" w:rsidP="00C747B4">
            <w:pPr>
              <w:rPr>
                <w:sz w:val="20"/>
                <w:szCs w:val="20"/>
                <w:lang w:val="fr-FR"/>
              </w:rPr>
            </w:pPr>
            <w:r w:rsidRPr="003309AC">
              <w:rPr>
                <w:sz w:val="20"/>
                <w:szCs w:val="20"/>
                <w:lang w:val="fr-FR"/>
              </w:rPr>
              <w:t>Taux de rétention à 48 mois</w:t>
            </w:r>
          </w:p>
        </w:tc>
        <w:tc>
          <w:tcPr>
            <w:tcW w:w="4770" w:type="dxa"/>
          </w:tcPr>
          <w:p w:rsidR="006206AC" w:rsidRPr="003309AC" w:rsidRDefault="006206AC" w:rsidP="00440C45">
            <w:pPr>
              <w:rPr>
                <w:sz w:val="20"/>
                <w:szCs w:val="20"/>
                <w:lang w:val="fr-FR"/>
              </w:rPr>
            </w:pPr>
          </w:p>
        </w:tc>
        <w:tc>
          <w:tcPr>
            <w:tcW w:w="876" w:type="dxa"/>
          </w:tcPr>
          <w:p w:rsidR="006206AC" w:rsidRPr="003309AC" w:rsidRDefault="006206AC" w:rsidP="00440C45">
            <w:pPr>
              <w:rPr>
                <w:sz w:val="20"/>
                <w:szCs w:val="20"/>
                <w:lang w:val="fr-FR"/>
              </w:rPr>
            </w:pPr>
          </w:p>
        </w:tc>
        <w:tc>
          <w:tcPr>
            <w:tcW w:w="663" w:type="dxa"/>
          </w:tcPr>
          <w:p w:rsidR="006206AC" w:rsidRPr="003309AC" w:rsidRDefault="006206AC" w:rsidP="00440C45">
            <w:pPr>
              <w:rPr>
                <w:sz w:val="20"/>
                <w:szCs w:val="20"/>
                <w:lang w:val="fr-FR"/>
              </w:rPr>
            </w:pPr>
          </w:p>
        </w:tc>
        <w:tc>
          <w:tcPr>
            <w:tcW w:w="687" w:type="dxa"/>
          </w:tcPr>
          <w:p w:rsidR="006206AC" w:rsidRPr="003309AC" w:rsidRDefault="006206AC" w:rsidP="00440C45">
            <w:pPr>
              <w:rPr>
                <w:sz w:val="20"/>
                <w:szCs w:val="20"/>
                <w:lang w:val="fr-FR"/>
              </w:rPr>
            </w:pPr>
          </w:p>
        </w:tc>
        <w:tc>
          <w:tcPr>
            <w:tcW w:w="720" w:type="dxa"/>
          </w:tcPr>
          <w:p w:rsidR="006206AC" w:rsidRPr="003309AC" w:rsidRDefault="006206AC" w:rsidP="00440C45">
            <w:pPr>
              <w:rPr>
                <w:sz w:val="20"/>
                <w:szCs w:val="20"/>
                <w:lang w:val="fr-FR"/>
              </w:rPr>
            </w:pPr>
          </w:p>
        </w:tc>
        <w:tc>
          <w:tcPr>
            <w:tcW w:w="810" w:type="dxa"/>
          </w:tcPr>
          <w:p w:rsidR="006206AC" w:rsidRPr="003309AC" w:rsidRDefault="006206AC" w:rsidP="00440C45">
            <w:pPr>
              <w:rPr>
                <w:sz w:val="20"/>
                <w:szCs w:val="20"/>
                <w:lang w:val="fr-FR"/>
              </w:rPr>
            </w:pPr>
          </w:p>
        </w:tc>
        <w:tc>
          <w:tcPr>
            <w:tcW w:w="2004" w:type="dxa"/>
          </w:tcPr>
          <w:p w:rsidR="00914DE2" w:rsidRPr="003309AC" w:rsidRDefault="00914DE2" w:rsidP="00914DE2">
            <w:pPr>
              <w:rPr>
                <w:sz w:val="20"/>
                <w:szCs w:val="20"/>
                <w:lang w:val="fr-FR"/>
              </w:rPr>
            </w:pPr>
            <w:r w:rsidRPr="003309AC">
              <w:rPr>
                <w:sz w:val="20"/>
                <w:szCs w:val="20"/>
                <w:lang w:val="fr-FR"/>
              </w:rPr>
              <w:t>Données de routine</w:t>
            </w:r>
          </w:p>
          <w:p w:rsidR="006206AC" w:rsidRPr="003309AC" w:rsidRDefault="006206AC" w:rsidP="00440C45">
            <w:pPr>
              <w:rPr>
                <w:sz w:val="20"/>
                <w:szCs w:val="20"/>
                <w:lang w:val="fr-FR"/>
              </w:rPr>
            </w:pPr>
          </w:p>
        </w:tc>
        <w:tc>
          <w:tcPr>
            <w:tcW w:w="1464" w:type="dxa"/>
          </w:tcPr>
          <w:p w:rsidR="006206AC" w:rsidRPr="003309AC" w:rsidRDefault="006206AC" w:rsidP="00D56F52">
            <w:pPr>
              <w:rPr>
                <w:sz w:val="20"/>
                <w:szCs w:val="20"/>
                <w:lang w:val="fr-FR"/>
              </w:rPr>
            </w:pPr>
            <w:r w:rsidRPr="003309AC">
              <w:rPr>
                <w:sz w:val="20"/>
                <w:szCs w:val="20"/>
                <w:lang w:val="fr-FR"/>
              </w:rPr>
              <w:t>2020</w:t>
            </w:r>
          </w:p>
        </w:tc>
      </w:tr>
      <w:tr w:rsidR="006206AC" w:rsidRPr="003309AC" w:rsidTr="00952B7C">
        <w:tc>
          <w:tcPr>
            <w:tcW w:w="2520" w:type="dxa"/>
          </w:tcPr>
          <w:p w:rsidR="006206AC" w:rsidRPr="003309AC" w:rsidRDefault="006206AC" w:rsidP="00C747B4">
            <w:pPr>
              <w:rPr>
                <w:sz w:val="20"/>
                <w:szCs w:val="20"/>
                <w:lang w:val="fr-FR"/>
              </w:rPr>
            </w:pPr>
            <w:r w:rsidRPr="003309AC">
              <w:rPr>
                <w:sz w:val="20"/>
                <w:szCs w:val="20"/>
                <w:lang w:val="fr-FR"/>
              </w:rPr>
              <w:t>% d’enfants sous ARV ayant une charge virale indétectable après 12 mois de TARV</w:t>
            </w:r>
          </w:p>
        </w:tc>
        <w:tc>
          <w:tcPr>
            <w:tcW w:w="4770" w:type="dxa"/>
          </w:tcPr>
          <w:p w:rsidR="006206AC" w:rsidRPr="003309AC" w:rsidRDefault="006206AC" w:rsidP="00440C45">
            <w:pPr>
              <w:rPr>
                <w:sz w:val="20"/>
                <w:szCs w:val="20"/>
                <w:lang w:val="fr-FR"/>
              </w:rPr>
            </w:pPr>
          </w:p>
        </w:tc>
        <w:tc>
          <w:tcPr>
            <w:tcW w:w="876" w:type="dxa"/>
          </w:tcPr>
          <w:p w:rsidR="006206AC" w:rsidRPr="003309AC" w:rsidRDefault="006206AC" w:rsidP="00440C45">
            <w:pPr>
              <w:rPr>
                <w:sz w:val="20"/>
                <w:szCs w:val="20"/>
                <w:lang w:val="fr-FR"/>
              </w:rPr>
            </w:pPr>
          </w:p>
        </w:tc>
        <w:tc>
          <w:tcPr>
            <w:tcW w:w="663" w:type="dxa"/>
          </w:tcPr>
          <w:p w:rsidR="006206AC" w:rsidRPr="003309AC" w:rsidRDefault="006206AC" w:rsidP="00440C45">
            <w:pPr>
              <w:rPr>
                <w:sz w:val="20"/>
                <w:szCs w:val="20"/>
                <w:lang w:val="fr-FR"/>
              </w:rPr>
            </w:pPr>
          </w:p>
        </w:tc>
        <w:tc>
          <w:tcPr>
            <w:tcW w:w="687" w:type="dxa"/>
          </w:tcPr>
          <w:p w:rsidR="006206AC" w:rsidRPr="003309AC" w:rsidRDefault="006206AC" w:rsidP="00440C45">
            <w:pPr>
              <w:rPr>
                <w:sz w:val="20"/>
                <w:szCs w:val="20"/>
                <w:lang w:val="fr-FR"/>
              </w:rPr>
            </w:pPr>
          </w:p>
        </w:tc>
        <w:tc>
          <w:tcPr>
            <w:tcW w:w="720" w:type="dxa"/>
          </w:tcPr>
          <w:p w:rsidR="006206AC" w:rsidRPr="003309AC" w:rsidRDefault="006206AC" w:rsidP="00440C45">
            <w:pPr>
              <w:rPr>
                <w:sz w:val="20"/>
                <w:szCs w:val="20"/>
                <w:lang w:val="fr-FR"/>
              </w:rPr>
            </w:pPr>
          </w:p>
        </w:tc>
        <w:tc>
          <w:tcPr>
            <w:tcW w:w="810" w:type="dxa"/>
          </w:tcPr>
          <w:p w:rsidR="006206AC" w:rsidRPr="003309AC" w:rsidRDefault="006206AC" w:rsidP="00440C45">
            <w:pPr>
              <w:rPr>
                <w:sz w:val="20"/>
                <w:szCs w:val="20"/>
                <w:lang w:val="fr-FR"/>
              </w:rPr>
            </w:pPr>
          </w:p>
        </w:tc>
        <w:tc>
          <w:tcPr>
            <w:tcW w:w="2004" w:type="dxa"/>
          </w:tcPr>
          <w:p w:rsidR="00914DE2" w:rsidRPr="003309AC" w:rsidRDefault="00914DE2" w:rsidP="00914DE2">
            <w:pPr>
              <w:rPr>
                <w:sz w:val="20"/>
                <w:szCs w:val="20"/>
                <w:lang w:val="fr-FR"/>
              </w:rPr>
            </w:pPr>
            <w:r w:rsidRPr="003309AC">
              <w:rPr>
                <w:sz w:val="20"/>
                <w:szCs w:val="20"/>
                <w:lang w:val="fr-FR"/>
              </w:rPr>
              <w:t>Données de routine</w:t>
            </w:r>
          </w:p>
          <w:p w:rsidR="006206AC" w:rsidRPr="003309AC" w:rsidRDefault="006206AC" w:rsidP="00440C45">
            <w:pPr>
              <w:rPr>
                <w:sz w:val="20"/>
                <w:szCs w:val="20"/>
                <w:lang w:val="fr-FR"/>
              </w:rPr>
            </w:pPr>
          </w:p>
        </w:tc>
        <w:tc>
          <w:tcPr>
            <w:tcW w:w="1464" w:type="dxa"/>
          </w:tcPr>
          <w:p w:rsidR="006206AC" w:rsidRPr="003309AC" w:rsidRDefault="006206AC" w:rsidP="00D56F52">
            <w:pPr>
              <w:rPr>
                <w:sz w:val="20"/>
                <w:szCs w:val="20"/>
                <w:lang w:val="fr-FR"/>
              </w:rPr>
            </w:pPr>
            <w:r w:rsidRPr="003309AC">
              <w:rPr>
                <w:sz w:val="20"/>
                <w:szCs w:val="20"/>
                <w:lang w:val="fr-FR"/>
              </w:rPr>
              <w:t>Annuelle</w:t>
            </w:r>
          </w:p>
        </w:tc>
      </w:tr>
      <w:tr w:rsidR="006206AC" w:rsidRPr="003309AC" w:rsidTr="00952B7C">
        <w:tc>
          <w:tcPr>
            <w:tcW w:w="2520" w:type="dxa"/>
          </w:tcPr>
          <w:p w:rsidR="006206AC" w:rsidRPr="003309AC" w:rsidRDefault="006206AC" w:rsidP="00DA48D2">
            <w:pPr>
              <w:rPr>
                <w:sz w:val="20"/>
                <w:szCs w:val="20"/>
                <w:lang w:val="fr-FR"/>
              </w:rPr>
            </w:pPr>
            <w:r w:rsidRPr="003309AC">
              <w:rPr>
                <w:sz w:val="20"/>
                <w:szCs w:val="20"/>
                <w:lang w:val="fr-FR"/>
              </w:rPr>
              <w:t>% de décès d’enfants de 0-15 ans liés au SIDA parmi les enfants VIH+</w:t>
            </w:r>
          </w:p>
        </w:tc>
        <w:tc>
          <w:tcPr>
            <w:tcW w:w="4770" w:type="dxa"/>
          </w:tcPr>
          <w:p w:rsidR="006206AC" w:rsidRPr="003309AC" w:rsidRDefault="006206AC" w:rsidP="00440C45">
            <w:pPr>
              <w:rPr>
                <w:sz w:val="20"/>
                <w:szCs w:val="20"/>
                <w:lang w:val="fr-FR"/>
              </w:rPr>
            </w:pPr>
          </w:p>
        </w:tc>
        <w:tc>
          <w:tcPr>
            <w:tcW w:w="876" w:type="dxa"/>
          </w:tcPr>
          <w:p w:rsidR="006206AC" w:rsidRPr="003309AC" w:rsidRDefault="006206AC" w:rsidP="00440C45">
            <w:pPr>
              <w:rPr>
                <w:sz w:val="20"/>
                <w:szCs w:val="20"/>
                <w:lang w:val="fr-FR"/>
              </w:rPr>
            </w:pPr>
          </w:p>
        </w:tc>
        <w:tc>
          <w:tcPr>
            <w:tcW w:w="663" w:type="dxa"/>
          </w:tcPr>
          <w:p w:rsidR="006206AC" w:rsidRPr="003309AC" w:rsidRDefault="006206AC" w:rsidP="00440C45">
            <w:pPr>
              <w:rPr>
                <w:sz w:val="20"/>
                <w:szCs w:val="20"/>
                <w:lang w:val="fr-FR"/>
              </w:rPr>
            </w:pPr>
          </w:p>
        </w:tc>
        <w:tc>
          <w:tcPr>
            <w:tcW w:w="687" w:type="dxa"/>
          </w:tcPr>
          <w:p w:rsidR="006206AC" w:rsidRPr="003309AC" w:rsidRDefault="006206AC" w:rsidP="00440C45">
            <w:pPr>
              <w:rPr>
                <w:sz w:val="20"/>
                <w:szCs w:val="20"/>
                <w:lang w:val="fr-FR"/>
              </w:rPr>
            </w:pPr>
          </w:p>
        </w:tc>
        <w:tc>
          <w:tcPr>
            <w:tcW w:w="720" w:type="dxa"/>
          </w:tcPr>
          <w:p w:rsidR="006206AC" w:rsidRPr="003309AC" w:rsidRDefault="006206AC" w:rsidP="00440C45">
            <w:pPr>
              <w:rPr>
                <w:sz w:val="20"/>
                <w:szCs w:val="20"/>
                <w:lang w:val="fr-FR"/>
              </w:rPr>
            </w:pPr>
          </w:p>
        </w:tc>
        <w:tc>
          <w:tcPr>
            <w:tcW w:w="810" w:type="dxa"/>
          </w:tcPr>
          <w:p w:rsidR="006206AC" w:rsidRPr="003309AC" w:rsidRDefault="006206AC" w:rsidP="00440C45">
            <w:pPr>
              <w:rPr>
                <w:sz w:val="20"/>
                <w:szCs w:val="20"/>
                <w:lang w:val="fr-FR"/>
              </w:rPr>
            </w:pPr>
          </w:p>
        </w:tc>
        <w:tc>
          <w:tcPr>
            <w:tcW w:w="2004" w:type="dxa"/>
          </w:tcPr>
          <w:p w:rsidR="006206AC" w:rsidRPr="003309AC" w:rsidRDefault="00914DE2" w:rsidP="00440C45">
            <w:pPr>
              <w:rPr>
                <w:sz w:val="20"/>
                <w:szCs w:val="20"/>
                <w:lang w:val="fr-FR"/>
              </w:rPr>
            </w:pPr>
            <w:r w:rsidRPr="003309AC">
              <w:rPr>
                <w:sz w:val="20"/>
                <w:szCs w:val="20"/>
                <w:lang w:val="fr-FR"/>
              </w:rPr>
              <w:t>Enquête</w:t>
            </w:r>
          </w:p>
        </w:tc>
        <w:tc>
          <w:tcPr>
            <w:tcW w:w="1464" w:type="dxa"/>
          </w:tcPr>
          <w:p w:rsidR="006206AC" w:rsidRPr="003309AC" w:rsidRDefault="006206AC" w:rsidP="00D56F52">
            <w:pPr>
              <w:rPr>
                <w:sz w:val="20"/>
                <w:szCs w:val="20"/>
                <w:lang w:val="fr-FR"/>
              </w:rPr>
            </w:pPr>
            <w:r w:rsidRPr="003309AC">
              <w:rPr>
                <w:sz w:val="20"/>
                <w:szCs w:val="20"/>
                <w:lang w:val="fr-FR"/>
              </w:rPr>
              <w:t>Annuelle</w:t>
            </w:r>
          </w:p>
        </w:tc>
      </w:tr>
    </w:tbl>
    <w:p w:rsidR="003309AC" w:rsidRDefault="003309AC" w:rsidP="00440C45">
      <w:pPr>
        <w:rPr>
          <w:lang w:val="fr-FR"/>
        </w:rPr>
        <w:sectPr w:rsidR="003309AC" w:rsidSect="00861997">
          <w:pgSz w:w="15840" w:h="12240" w:orient="landscape"/>
          <w:pgMar w:top="1440" w:right="1440" w:bottom="1440" w:left="1440" w:header="720" w:footer="720" w:gutter="0"/>
          <w:cols w:space="720"/>
          <w:docGrid w:linePitch="360"/>
        </w:sectPr>
      </w:pPr>
    </w:p>
    <w:p w:rsidR="00EA5FDE" w:rsidRPr="002C695E" w:rsidRDefault="00EA5FDE" w:rsidP="002C695E">
      <w:pPr>
        <w:pStyle w:val="Titre2"/>
        <w:numPr>
          <w:ilvl w:val="1"/>
          <w:numId w:val="22"/>
        </w:numPr>
        <w:spacing w:before="0"/>
        <w:ind w:left="426" w:hanging="426"/>
        <w:rPr>
          <w:color w:val="auto"/>
          <w:lang w:val="fr-FR"/>
        </w:rPr>
      </w:pPr>
      <w:bookmarkStart w:id="85" w:name="_Toc480382953"/>
      <w:r w:rsidRPr="002C695E">
        <w:rPr>
          <w:color w:val="auto"/>
          <w:lang w:val="fr-FR"/>
        </w:rPr>
        <w:t>Mise en œuvre du suivi-évaluation</w:t>
      </w:r>
      <w:bookmarkEnd w:id="85"/>
    </w:p>
    <w:p w:rsidR="00035FDC" w:rsidRPr="002C695E" w:rsidRDefault="00035FDC" w:rsidP="00EA5FDE">
      <w:pPr>
        <w:rPr>
          <w:sz w:val="16"/>
          <w:lang w:val="fr-FR"/>
        </w:rPr>
      </w:pPr>
    </w:p>
    <w:p w:rsidR="00EA5FDE" w:rsidRDefault="00EA5FDE" w:rsidP="00EA5FDE">
      <w:pPr>
        <w:rPr>
          <w:sz w:val="24"/>
          <w:lang w:val="fr-FR"/>
        </w:rPr>
      </w:pPr>
      <w:r w:rsidRPr="002C695E">
        <w:rPr>
          <w:sz w:val="24"/>
          <w:lang w:val="fr-FR"/>
        </w:rPr>
        <w:t>Le suivi et l’évaluation des activités se feront suivant trois modalités</w:t>
      </w:r>
    </w:p>
    <w:p w:rsidR="002C695E" w:rsidRPr="002C695E" w:rsidRDefault="002C695E" w:rsidP="00EA5FDE">
      <w:pPr>
        <w:rPr>
          <w:sz w:val="18"/>
          <w:lang w:val="fr-FR"/>
        </w:rPr>
      </w:pPr>
    </w:p>
    <w:p w:rsidR="00EA5FDE" w:rsidRPr="002C695E" w:rsidRDefault="00EA5FDE" w:rsidP="00EA5FDE">
      <w:pPr>
        <w:pStyle w:val="Paragraphedeliste"/>
        <w:numPr>
          <w:ilvl w:val="0"/>
          <w:numId w:val="24"/>
        </w:numPr>
        <w:rPr>
          <w:sz w:val="24"/>
          <w:lang w:val="fr-FR"/>
        </w:rPr>
      </w:pPr>
      <w:r w:rsidRPr="002C695E">
        <w:rPr>
          <w:sz w:val="24"/>
          <w:lang w:val="fr-FR"/>
        </w:rPr>
        <w:t>Les données de routine</w:t>
      </w:r>
    </w:p>
    <w:p w:rsidR="00EA5FDE" w:rsidRPr="002C695E" w:rsidRDefault="00EA5FDE" w:rsidP="00EA5FDE">
      <w:pPr>
        <w:pStyle w:val="Paragraphedeliste"/>
        <w:numPr>
          <w:ilvl w:val="0"/>
          <w:numId w:val="24"/>
        </w:numPr>
        <w:rPr>
          <w:sz w:val="24"/>
          <w:lang w:val="fr-FR"/>
        </w:rPr>
      </w:pPr>
      <w:r w:rsidRPr="002C695E">
        <w:rPr>
          <w:sz w:val="24"/>
          <w:lang w:val="fr-FR"/>
        </w:rPr>
        <w:t>La recherche opérationnelle</w:t>
      </w:r>
    </w:p>
    <w:p w:rsidR="00EA5FDE" w:rsidRPr="002C695E" w:rsidRDefault="00EA5FDE" w:rsidP="00EA5FDE">
      <w:pPr>
        <w:pStyle w:val="Paragraphedeliste"/>
        <w:numPr>
          <w:ilvl w:val="0"/>
          <w:numId w:val="24"/>
        </w:numPr>
        <w:rPr>
          <w:sz w:val="24"/>
          <w:lang w:val="fr-FR"/>
        </w:rPr>
      </w:pPr>
      <w:r w:rsidRPr="002C695E">
        <w:rPr>
          <w:sz w:val="24"/>
          <w:lang w:val="fr-FR"/>
        </w:rPr>
        <w:t>Les enquêtes.</w:t>
      </w:r>
    </w:p>
    <w:p w:rsidR="002C695E" w:rsidRPr="002C695E" w:rsidRDefault="002C695E" w:rsidP="00485D87">
      <w:pPr>
        <w:rPr>
          <w:sz w:val="16"/>
          <w:lang w:val="fr-FR"/>
        </w:rPr>
      </w:pPr>
    </w:p>
    <w:p w:rsidR="00035E9D" w:rsidRPr="002C695E" w:rsidRDefault="00774C46" w:rsidP="00485D87">
      <w:pPr>
        <w:rPr>
          <w:sz w:val="24"/>
          <w:lang w:val="fr-FR"/>
        </w:rPr>
      </w:pPr>
      <w:r w:rsidRPr="002C695E">
        <w:rPr>
          <w:sz w:val="24"/>
          <w:lang w:val="fr-FR"/>
        </w:rPr>
        <w:t xml:space="preserve">La fiche ci-dessous permettra à chaque niveau de suivre les indicateurs de dépistage d’enfants VIH+ réalisés, d’initiation du TARV et de rétention aux soins (Figure 10).  </w:t>
      </w:r>
    </w:p>
    <w:p w:rsidR="00774C46" w:rsidRDefault="00774C46" w:rsidP="00485D87">
      <w:pPr>
        <w:rPr>
          <w:lang w:val="fr-FR"/>
        </w:rPr>
      </w:pPr>
    </w:p>
    <w:p w:rsidR="00774C46" w:rsidRDefault="00C25D03" w:rsidP="00774C46">
      <w:pPr>
        <w:spacing w:after="160" w:line="259" w:lineRule="auto"/>
        <w:jc w:val="center"/>
        <w:rPr>
          <w:lang w:val="fr-FR"/>
        </w:rPr>
      </w:pPr>
      <w:r>
        <w:rPr>
          <w:noProof/>
          <w:lang w:val="fr-FR" w:eastAsia="fr-FR"/>
        </w:rPr>
        <w:pict>
          <v:shape id="Text Box 118" o:spid="_x0000_s1113" type="#_x0000_t202" style="position:absolute;left:0;text-align:left;margin-left:106.8pt;margin-top:2.75pt;width:307.6pt;height:18.2pt;z-index:251784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" stroked="f">
            <v:textbox style="mso-fit-shape-to-text:t">
              <w:txbxContent>
                <w:p w:rsidR="00C57943" w:rsidRPr="004110C1" w:rsidRDefault="00C57943" w:rsidP="00774C46">
                  <w:pPr>
                    <w:rPr>
                      <w:sz w:val="18"/>
                      <w:lang w:val="fr-FR"/>
                    </w:rPr>
                  </w:pPr>
                  <w:r w:rsidRPr="004110C1">
                    <w:rPr>
                      <w:sz w:val="18"/>
                      <w:lang w:val="fr-FR"/>
                    </w:rPr>
                    <w:t>Formation sanitaire : …………………</w:t>
                  </w:r>
                  <w:r>
                    <w:rPr>
                      <w:sz w:val="18"/>
                      <w:lang w:val="fr-FR"/>
                    </w:rPr>
                    <w:t>…………</w:t>
                  </w:r>
                  <w:r w:rsidRPr="004110C1">
                    <w:rPr>
                      <w:sz w:val="18"/>
                      <w:lang w:val="fr-FR"/>
                    </w:rPr>
                    <w:t xml:space="preserve">………..   Cible </w:t>
                  </w:r>
                  <w:r>
                    <w:rPr>
                      <w:sz w:val="18"/>
                      <w:lang w:val="fr-FR"/>
                    </w:rPr>
                    <w:t>annuelle attendu</w:t>
                  </w:r>
                  <w:r w:rsidRPr="004110C1">
                    <w:rPr>
                      <w:sz w:val="18"/>
                      <w:lang w:val="fr-FR"/>
                    </w:rPr>
                    <w:t>e:……….</w:t>
                  </w:r>
                </w:p>
              </w:txbxContent>
            </v:textbox>
          </v:shape>
        </w:pict>
      </w:r>
      <w:r w:rsidR="00774C46" w:rsidRPr="00774C46">
        <w:rPr>
          <w:noProof/>
          <w:lang w:val="fr-FR" w:eastAsia="fr-FR"/>
        </w:rPr>
        <w:drawing>
          <wp:inline distT="0" distB="0" distL="0" distR="0">
            <wp:extent cx="5528930" cy="2913321"/>
            <wp:effectExtent l="0" t="0" r="15240" b="20955"/>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74C46" w:rsidRPr="002C695E" w:rsidRDefault="00774C46" w:rsidP="002C695E">
      <w:pPr>
        <w:pStyle w:val="Lgende"/>
        <w:spacing w:after="0"/>
        <w:jc w:val="center"/>
        <w:rPr>
          <w:color w:val="auto"/>
          <w:sz w:val="24"/>
          <w:lang w:val="fr-FR"/>
        </w:rPr>
      </w:pPr>
      <w:bookmarkStart w:id="86" w:name="_Toc480382975"/>
      <w:r w:rsidRPr="002C695E">
        <w:rPr>
          <w:color w:val="auto"/>
          <w:sz w:val="24"/>
          <w:lang w:val="fr-FR"/>
        </w:rPr>
        <w:t xml:space="preserve">Figure </w:t>
      </w:r>
      <w:r w:rsidR="00C25D03" w:rsidRPr="002C695E">
        <w:rPr>
          <w:color w:val="auto"/>
          <w:sz w:val="24"/>
        </w:rPr>
        <w:fldChar w:fldCharType="begin"/>
      </w:r>
      <w:r w:rsidRPr="002C695E">
        <w:rPr>
          <w:color w:val="auto"/>
          <w:sz w:val="24"/>
          <w:lang w:val="fr-FR"/>
        </w:rPr>
        <w:instrText xml:space="preserve"> SEQ Figure \* ARABIC </w:instrText>
      </w:r>
      <w:r w:rsidR="00C25D03" w:rsidRPr="002C695E">
        <w:rPr>
          <w:color w:val="auto"/>
          <w:sz w:val="24"/>
        </w:rPr>
        <w:fldChar w:fldCharType="separate"/>
      </w:r>
      <w:r w:rsidRPr="002C695E">
        <w:rPr>
          <w:noProof/>
          <w:color w:val="auto"/>
          <w:sz w:val="24"/>
          <w:lang w:val="fr-FR"/>
        </w:rPr>
        <w:t>10</w:t>
      </w:r>
      <w:r w:rsidR="00C25D03" w:rsidRPr="002C695E">
        <w:rPr>
          <w:color w:val="auto"/>
          <w:sz w:val="24"/>
        </w:rPr>
        <w:fldChar w:fldCharType="end"/>
      </w:r>
      <w:r w:rsidRPr="002C695E">
        <w:rPr>
          <w:color w:val="auto"/>
          <w:sz w:val="24"/>
          <w:lang w:val="fr-FR"/>
        </w:rPr>
        <w:t>: Fiche de suivi des taux de couverture en dépistage, initiation TARV et rétention</w:t>
      </w:r>
      <w:bookmarkEnd w:id="86"/>
    </w:p>
    <w:p w:rsidR="00774C46" w:rsidRDefault="00774C46" w:rsidP="00485D87">
      <w:pPr>
        <w:rPr>
          <w:lang w:val="fr-FR"/>
        </w:rPr>
      </w:pPr>
    </w:p>
    <w:p w:rsidR="00485D87" w:rsidRPr="002C695E" w:rsidRDefault="00485D87" w:rsidP="00485D87">
      <w:pPr>
        <w:rPr>
          <w:sz w:val="24"/>
          <w:lang w:val="fr-FR"/>
        </w:rPr>
      </w:pPr>
      <w:r w:rsidRPr="002C695E">
        <w:rPr>
          <w:sz w:val="24"/>
          <w:lang w:val="fr-FR"/>
        </w:rPr>
        <w:t xml:space="preserve">Une évaluation à mi-parcours </w:t>
      </w:r>
      <w:r w:rsidR="00584699" w:rsidRPr="002C695E">
        <w:rPr>
          <w:sz w:val="24"/>
          <w:lang w:val="fr-FR"/>
        </w:rPr>
        <w:t>et une évaluation finale seront effectuées en fin 2018 et 2020 respectivement.</w:t>
      </w:r>
    </w:p>
    <w:p w:rsidR="003309AC" w:rsidRPr="002C695E" w:rsidRDefault="003309AC" w:rsidP="00EA5FDE">
      <w:pPr>
        <w:rPr>
          <w:sz w:val="16"/>
          <w:lang w:val="fr-FR"/>
        </w:rPr>
      </w:pPr>
    </w:p>
    <w:p w:rsidR="00EA5FDE" w:rsidRDefault="00EA5FDE" w:rsidP="00EA5FDE">
      <w:pPr>
        <w:rPr>
          <w:sz w:val="24"/>
          <w:lang w:val="fr-FR"/>
        </w:rPr>
      </w:pPr>
      <w:r w:rsidRPr="002C695E">
        <w:rPr>
          <w:sz w:val="24"/>
          <w:lang w:val="fr-FR"/>
        </w:rPr>
        <w:t>Les données de routine seront collectées de façon quotidienne par les sites (formations sanitaires). Les rapports mensuels seront élaborés et transmis à l’échelon supérieur selon le circuit (Figure 9) et la fréquence (Tableau 6) établis.</w:t>
      </w:r>
      <w:r w:rsidR="00372CCA" w:rsidRPr="002C695E">
        <w:rPr>
          <w:sz w:val="24"/>
          <w:lang w:val="fr-FR"/>
        </w:rPr>
        <w:t xml:space="preserve"> L’analyse de ces données permet de suivre les indicateurs programmatiques. </w:t>
      </w:r>
    </w:p>
    <w:p w:rsidR="002C695E" w:rsidRPr="002C695E" w:rsidRDefault="002C695E" w:rsidP="00EA5FDE">
      <w:pPr>
        <w:rPr>
          <w:sz w:val="16"/>
          <w:lang w:val="fr-FR"/>
        </w:rPr>
      </w:pPr>
    </w:p>
    <w:p w:rsidR="00EA5FDE" w:rsidRDefault="00EA5FDE" w:rsidP="00EA5FDE">
      <w:pPr>
        <w:rPr>
          <w:sz w:val="24"/>
          <w:lang w:val="fr-FR"/>
        </w:rPr>
      </w:pPr>
      <w:r w:rsidRPr="002C695E">
        <w:rPr>
          <w:sz w:val="24"/>
          <w:lang w:val="fr-FR"/>
        </w:rPr>
        <w:t>Des problèmes opérationnels peuvent entraver la mise en œuvre optimale du plan d’accélération. Pour cela, la recherche opérationnelle est indispensable pour mieux comprendre le problème et proposer des solutions adaptées</w:t>
      </w:r>
      <w:r w:rsidR="00372CCA" w:rsidRPr="002C695E">
        <w:rPr>
          <w:sz w:val="24"/>
          <w:lang w:val="fr-FR"/>
        </w:rPr>
        <w:t xml:space="preserve"> au contexte</w:t>
      </w:r>
      <w:r w:rsidRPr="002C695E">
        <w:rPr>
          <w:sz w:val="24"/>
          <w:lang w:val="fr-FR"/>
        </w:rPr>
        <w:t xml:space="preserve">. </w:t>
      </w:r>
    </w:p>
    <w:p w:rsidR="002C695E" w:rsidRPr="002C695E" w:rsidRDefault="002C695E" w:rsidP="00EA5FDE">
      <w:pPr>
        <w:rPr>
          <w:sz w:val="16"/>
          <w:lang w:val="fr-FR"/>
        </w:rPr>
      </w:pPr>
    </w:p>
    <w:p w:rsidR="00372CCA" w:rsidRPr="002C695E" w:rsidRDefault="00EA5FDE" w:rsidP="00EA5FDE">
      <w:pPr>
        <w:rPr>
          <w:sz w:val="24"/>
          <w:lang w:val="fr-FR"/>
        </w:rPr>
      </w:pPr>
      <w:r w:rsidRPr="002C695E">
        <w:rPr>
          <w:sz w:val="24"/>
          <w:lang w:val="fr-FR"/>
        </w:rPr>
        <w:t>Enfin, certains indicateurs nécessitent des échantillons représentatifs de la population. Il s’agit par exemple de la prévalence du VIH, du comportement des populations,</w:t>
      </w:r>
      <w:r w:rsidR="00372CCA" w:rsidRPr="002C695E">
        <w:rPr>
          <w:sz w:val="24"/>
          <w:lang w:val="fr-FR"/>
        </w:rPr>
        <w:t xml:space="preserve"> oude la mortalité spécifique au sida. Les enquêtes nationales sont donc requises pour renseigner ces indicateurs</w:t>
      </w:r>
      <w:r w:rsidRPr="002C695E">
        <w:rPr>
          <w:sz w:val="24"/>
          <w:lang w:val="fr-FR"/>
        </w:rPr>
        <w:t xml:space="preserve">. </w:t>
      </w:r>
      <w:r w:rsidR="00057EE1" w:rsidRPr="002C695E">
        <w:rPr>
          <w:sz w:val="24"/>
          <w:lang w:val="fr-FR"/>
        </w:rPr>
        <w:t xml:space="preserve">Les enquêtes ESCOMB et ENSS seront effectuées. </w:t>
      </w:r>
    </w:p>
    <w:p w:rsidR="00862C34" w:rsidRDefault="00862C34" w:rsidP="00EA5FDE">
      <w:pPr>
        <w:rPr>
          <w:lang w:val="fr-FR"/>
        </w:rPr>
        <w:sectPr w:rsidR="00862C34" w:rsidSect="00862C34">
          <w:pgSz w:w="12240" w:h="15840"/>
          <w:pgMar w:top="1440" w:right="1440" w:bottom="1440" w:left="1440" w:header="720" w:footer="720" w:gutter="0"/>
          <w:cols w:space="720"/>
          <w:docGrid w:linePitch="360"/>
        </w:sectPr>
      </w:pPr>
    </w:p>
    <w:p w:rsidR="00774C46" w:rsidRDefault="00774C46" w:rsidP="00EA5FDE">
      <w:pPr>
        <w:rPr>
          <w:lang w:val="fr-FR"/>
        </w:rPr>
      </w:pPr>
    </w:p>
    <w:p w:rsidR="006C5759" w:rsidRDefault="006C5759" w:rsidP="00EA5FDE">
      <w:pPr>
        <w:rPr>
          <w:lang w:val="fr-FR"/>
        </w:rPr>
      </w:pPr>
    </w:p>
    <w:p w:rsidR="006C5759" w:rsidRDefault="006C5759" w:rsidP="00EA5FDE">
      <w:pPr>
        <w:rPr>
          <w:lang w:val="fr-FR"/>
        </w:rPr>
      </w:pPr>
    </w:p>
    <w:p w:rsidR="006C5759" w:rsidRDefault="006C5759" w:rsidP="00EA5FDE">
      <w:pPr>
        <w:rPr>
          <w:lang w:val="fr-FR"/>
        </w:rPr>
      </w:pPr>
    </w:p>
    <w:p w:rsidR="006C5759" w:rsidRDefault="006C5759" w:rsidP="00EA5FDE">
      <w:pPr>
        <w:rPr>
          <w:lang w:val="fr-FR"/>
        </w:rPr>
      </w:pPr>
    </w:p>
    <w:p w:rsidR="006C5759" w:rsidRDefault="006C5759" w:rsidP="00EA5FDE">
      <w:pPr>
        <w:rPr>
          <w:lang w:val="fr-FR"/>
        </w:rPr>
      </w:pPr>
    </w:p>
    <w:p w:rsidR="006C5759" w:rsidRDefault="006C5759" w:rsidP="00EA5FDE">
      <w:pPr>
        <w:rPr>
          <w:lang w:val="fr-FR"/>
        </w:rPr>
      </w:pPr>
    </w:p>
    <w:p w:rsidR="006C5759" w:rsidRDefault="006C5759" w:rsidP="00EA5FDE">
      <w:pPr>
        <w:rPr>
          <w:lang w:val="fr-FR"/>
        </w:rPr>
      </w:pPr>
    </w:p>
    <w:p w:rsidR="006C5759" w:rsidRDefault="006C5759" w:rsidP="00EA5FDE">
      <w:pPr>
        <w:rPr>
          <w:lang w:val="fr-FR"/>
        </w:rPr>
      </w:pPr>
    </w:p>
    <w:p w:rsidR="006C5759" w:rsidRDefault="006C5759" w:rsidP="00EA5FDE">
      <w:pPr>
        <w:rPr>
          <w:lang w:val="fr-FR"/>
        </w:rPr>
      </w:pPr>
    </w:p>
    <w:p w:rsidR="006C5759" w:rsidRDefault="006C5759" w:rsidP="00EA5FDE">
      <w:pPr>
        <w:rPr>
          <w:lang w:val="fr-FR"/>
        </w:rPr>
      </w:pPr>
    </w:p>
    <w:p w:rsidR="006C5759" w:rsidRDefault="006C5759" w:rsidP="00EA5FDE">
      <w:pPr>
        <w:rPr>
          <w:lang w:val="fr-FR"/>
        </w:rPr>
      </w:pPr>
    </w:p>
    <w:p w:rsidR="006C5759" w:rsidRDefault="006C5759" w:rsidP="00EA5FDE">
      <w:pPr>
        <w:rPr>
          <w:lang w:val="fr-FR"/>
        </w:rPr>
      </w:pPr>
    </w:p>
    <w:p w:rsidR="006C5759" w:rsidRDefault="006C5759" w:rsidP="00EA5FDE">
      <w:pPr>
        <w:rPr>
          <w:lang w:val="fr-FR"/>
        </w:rPr>
      </w:pPr>
    </w:p>
    <w:p w:rsidR="000123EE" w:rsidRPr="006C5759" w:rsidRDefault="006C5759" w:rsidP="00862C34">
      <w:pPr>
        <w:pStyle w:val="Titre1"/>
        <w:spacing w:before="0"/>
        <w:jc w:val="center"/>
        <w:rPr>
          <w:sz w:val="40"/>
          <w:szCs w:val="40"/>
          <w:lang w:val="fr-FR"/>
        </w:rPr>
      </w:pPr>
      <w:bookmarkStart w:id="87" w:name="_Toc480382954"/>
      <w:r w:rsidRPr="006C5759">
        <w:rPr>
          <w:sz w:val="40"/>
          <w:szCs w:val="40"/>
          <w:lang w:val="fr-FR"/>
        </w:rPr>
        <w:t>CHAPITRE 7</w:t>
      </w:r>
      <w:r w:rsidR="002C695E">
        <w:rPr>
          <w:sz w:val="40"/>
          <w:szCs w:val="40"/>
          <w:lang w:val="fr-FR"/>
        </w:rPr>
        <w:t> :</w:t>
      </w:r>
      <w:r w:rsidRPr="006C5759">
        <w:rPr>
          <w:sz w:val="40"/>
          <w:szCs w:val="40"/>
          <w:lang w:val="fr-FR"/>
        </w:rPr>
        <w:t xml:space="preserve"> BUDGET</w:t>
      </w:r>
      <w:bookmarkEnd w:id="87"/>
    </w:p>
    <w:p w:rsidR="00192FC1" w:rsidRDefault="00192FC1" w:rsidP="00862C34">
      <w:pPr>
        <w:rPr>
          <w:rFonts w:ascii="Arial" w:hAnsi="Arial" w:cs="Arial"/>
          <w:lang w:val="fr-FR"/>
        </w:rPr>
        <w:sectPr w:rsidR="00192FC1" w:rsidSect="00862C34">
          <w:pgSz w:w="12240" w:h="15840"/>
          <w:pgMar w:top="1440" w:right="1440" w:bottom="1440" w:left="1440" w:header="720" w:footer="720" w:gutter="0"/>
          <w:cols w:space="720"/>
          <w:docGrid w:linePitch="360"/>
        </w:sectPr>
      </w:pPr>
    </w:p>
    <w:tbl>
      <w:tblPr>
        <w:tblW w:w="15029" w:type="dxa"/>
        <w:tblInd w:w="-923" w:type="dxa"/>
        <w:tblLayout w:type="fixed"/>
        <w:tblCellMar>
          <w:left w:w="70" w:type="dxa"/>
          <w:right w:w="70" w:type="dxa"/>
        </w:tblCellMar>
        <w:tblLook w:val="04A0"/>
      </w:tblPr>
      <w:tblGrid>
        <w:gridCol w:w="709"/>
        <w:gridCol w:w="3970"/>
        <w:gridCol w:w="627"/>
        <w:gridCol w:w="627"/>
        <w:gridCol w:w="698"/>
        <w:gridCol w:w="698"/>
        <w:gridCol w:w="749"/>
        <w:gridCol w:w="924"/>
        <w:gridCol w:w="1064"/>
        <w:gridCol w:w="993"/>
        <w:gridCol w:w="992"/>
        <w:gridCol w:w="991"/>
        <w:gridCol w:w="1135"/>
        <w:gridCol w:w="143"/>
        <w:gridCol w:w="709"/>
      </w:tblGrid>
      <w:tr w:rsidR="005562BB" w:rsidRPr="00ED18BA" w:rsidTr="0034118B">
        <w:trPr>
          <w:trHeight w:val="420"/>
        </w:trPr>
        <w:tc>
          <w:tcPr>
            <w:tcW w:w="15029" w:type="dxa"/>
            <w:gridSpan w:val="15"/>
            <w:tcBorders>
              <w:top w:val="nil"/>
              <w:left w:val="nil"/>
              <w:bottom w:val="nil"/>
              <w:right w:val="nil"/>
            </w:tcBorders>
            <w:shd w:val="clear" w:color="auto" w:fill="auto"/>
            <w:vAlign w:val="bottom"/>
            <w:hideMark/>
          </w:tcPr>
          <w:p w:rsidR="005562BB" w:rsidRPr="005562BB" w:rsidRDefault="005562BB" w:rsidP="005562BB">
            <w:pPr>
              <w:jc w:val="center"/>
              <w:rPr>
                <w:rFonts w:ascii="Calibri" w:eastAsia="Times New Roman" w:hAnsi="Calibri"/>
                <w:b/>
                <w:bCs/>
                <w:color w:val="000000"/>
                <w:sz w:val="32"/>
                <w:szCs w:val="32"/>
                <w:lang w:val="fr-FR" w:eastAsia="fr-FR"/>
              </w:rPr>
            </w:pPr>
            <w:r w:rsidRPr="005562BB">
              <w:rPr>
                <w:rFonts w:ascii="Calibri" w:eastAsia="Times New Roman" w:hAnsi="Calibri"/>
                <w:b/>
                <w:bCs/>
                <w:color w:val="000000"/>
                <w:sz w:val="32"/>
                <w:szCs w:val="32"/>
                <w:lang w:val="fr-FR" w:eastAsia="fr-FR"/>
              </w:rPr>
              <w:t>BUDGET ET PLAN D'ACTION DE MISE EN ŒUVRE</w:t>
            </w:r>
          </w:p>
        </w:tc>
      </w:tr>
      <w:tr w:rsidR="005562BB" w:rsidRPr="00ED18BA" w:rsidTr="0034118B">
        <w:trPr>
          <w:trHeight w:val="300"/>
        </w:trPr>
        <w:tc>
          <w:tcPr>
            <w:tcW w:w="709"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3970"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627"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627"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698"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698"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749"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924" w:type="dxa"/>
            <w:tcBorders>
              <w:top w:val="nil"/>
              <w:left w:val="nil"/>
              <w:bottom w:val="nil"/>
              <w:right w:val="nil"/>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p>
        </w:tc>
        <w:tc>
          <w:tcPr>
            <w:tcW w:w="1064"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993"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992"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991"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1278" w:type="dxa"/>
            <w:gridSpan w:val="2"/>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709"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r>
      <w:tr w:rsidR="005562BB" w:rsidRPr="00ED18BA" w:rsidTr="0034118B">
        <w:trPr>
          <w:trHeight w:val="315"/>
        </w:trPr>
        <w:tc>
          <w:tcPr>
            <w:tcW w:w="709"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3970"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627"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627"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698"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698"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749"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924" w:type="dxa"/>
            <w:tcBorders>
              <w:top w:val="nil"/>
              <w:left w:val="nil"/>
              <w:bottom w:val="nil"/>
              <w:right w:val="nil"/>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p>
        </w:tc>
        <w:tc>
          <w:tcPr>
            <w:tcW w:w="1064"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993"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992"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991"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1278" w:type="dxa"/>
            <w:gridSpan w:val="2"/>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c>
          <w:tcPr>
            <w:tcW w:w="709" w:type="dxa"/>
            <w:tcBorders>
              <w:top w:val="nil"/>
              <w:left w:val="nil"/>
              <w:bottom w:val="nil"/>
              <w:right w:val="nil"/>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p>
        </w:tc>
      </w:tr>
      <w:tr w:rsidR="005562BB" w:rsidRPr="005562BB" w:rsidTr="0034118B">
        <w:trPr>
          <w:trHeight w:val="31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N°</w:t>
            </w:r>
          </w:p>
        </w:tc>
        <w:tc>
          <w:tcPr>
            <w:tcW w:w="3970" w:type="dxa"/>
            <w:vMerge w:val="restart"/>
            <w:tcBorders>
              <w:top w:val="single" w:sz="8" w:space="0" w:color="auto"/>
              <w:left w:val="nil"/>
              <w:bottom w:val="single" w:sz="8" w:space="0" w:color="000000"/>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Activités</w:t>
            </w:r>
          </w:p>
        </w:tc>
        <w:tc>
          <w:tcPr>
            <w:tcW w:w="3399" w:type="dxa"/>
            <w:gridSpan w:val="5"/>
            <w:tcBorders>
              <w:top w:val="single" w:sz="8" w:space="0" w:color="auto"/>
              <w:left w:val="nil"/>
              <w:bottom w:val="single" w:sz="4" w:space="0" w:color="auto"/>
              <w:right w:val="single" w:sz="4" w:space="0" w:color="000000"/>
            </w:tcBorders>
            <w:shd w:val="clear" w:color="000000" w:fill="DDEBF7"/>
            <w:noWrap/>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Cibles </w:t>
            </w:r>
          </w:p>
        </w:tc>
        <w:tc>
          <w:tcPr>
            <w:tcW w:w="924" w:type="dxa"/>
            <w:vMerge w:val="restart"/>
            <w:tcBorders>
              <w:top w:val="single" w:sz="8" w:space="0" w:color="auto"/>
              <w:left w:val="single" w:sz="4" w:space="0" w:color="auto"/>
              <w:bottom w:val="single" w:sz="8" w:space="0" w:color="000000"/>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Cout unitaire </w:t>
            </w:r>
          </w:p>
        </w:tc>
        <w:tc>
          <w:tcPr>
            <w:tcW w:w="5318" w:type="dxa"/>
            <w:gridSpan w:val="6"/>
            <w:tcBorders>
              <w:top w:val="single" w:sz="8" w:space="0" w:color="auto"/>
              <w:left w:val="nil"/>
              <w:bottom w:val="single" w:sz="4" w:space="0" w:color="auto"/>
              <w:right w:val="single" w:sz="4" w:space="0" w:color="000000"/>
            </w:tcBorders>
            <w:shd w:val="clear" w:color="000000" w:fill="DDEBF7"/>
            <w:noWrap/>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Coût total par année</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DDEBF7"/>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Responsable</w:t>
            </w:r>
          </w:p>
        </w:tc>
      </w:tr>
      <w:tr w:rsidR="005562BB" w:rsidRPr="005562BB" w:rsidTr="0034118B">
        <w:trPr>
          <w:trHeight w:val="33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5562BB" w:rsidRPr="005562BB" w:rsidRDefault="005562BB" w:rsidP="005562BB">
            <w:pPr>
              <w:jc w:val="left"/>
              <w:rPr>
                <w:rFonts w:ascii="Calibri" w:eastAsia="Times New Roman" w:hAnsi="Calibri"/>
                <w:b/>
                <w:bCs/>
                <w:color w:val="000000"/>
                <w:sz w:val="24"/>
                <w:lang w:val="fr-FR" w:eastAsia="fr-FR"/>
              </w:rPr>
            </w:pPr>
          </w:p>
        </w:tc>
        <w:tc>
          <w:tcPr>
            <w:tcW w:w="3970" w:type="dxa"/>
            <w:vMerge/>
            <w:tcBorders>
              <w:top w:val="single" w:sz="8" w:space="0" w:color="auto"/>
              <w:left w:val="nil"/>
              <w:bottom w:val="single" w:sz="8" w:space="0" w:color="000000"/>
              <w:right w:val="single" w:sz="4" w:space="0" w:color="auto"/>
            </w:tcBorders>
            <w:vAlign w:val="center"/>
            <w:hideMark/>
          </w:tcPr>
          <w:p w:rsidR="005562BB" w:rsidRPr="005562BB" w:rsidRDefault="005562BB" w:rsidP="005562BB">
            <w:pPr>
              <w:jc w:val="left"/>
              <w:rPr>
                <w:rFonts w:ascii="Calibri" w:eastAsia="Times New Roman" w:hAnsi="Calibri"/>
                <w:b/>
                <w:bCs/>
                <w:color w:val="000000"/>
                <w:sz w:val="24"/>
                <w:lang w:val="fr-FR" w:eastAsia="fr-FR"/>
              </w:rPr>
            </w:pPr>
          </w:p>
        </w:tc>
        <w:tc>
          <w:tcPr>
            <w:tcW w:w="627" w:type="dxa"/>
            <w:tcBorders>
              <w:top w:val="nil"/>
              <w:left w:val="nil"/>
              <w:bottom w:val="single" w:sz="8"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2017</w:t>
            </w:r>
          </w:p>
        </w:tc>
        <w:tc>
          <w:tcPr>
            <w:tcW w:w="627" w:type="dxa"/>
            <w:tcBorders>
              <w:top w:val="nil"/>
              <w:left w:val="nil"/>
              <w:bottom w:val="single" w:sz="8"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2018</w:t>
            </w:r>
          </w:p>
        </w:tc>
        <w:tc>
          <w:tcPr>
            <w:tcW w:w="698" w:type="dxa"/>
            <w:tcBorders>
              <w:top w:val="nil"/>
              <w:left w:val="nil"/>
              <w:bottom w:val="single" w:sz="8"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2019</w:t>
            </w:r>
          </w:p>
        </w:tc>
        <w:tc>
          <w:tcPr>
            <w:tcW w:w="698" w:type="dxa"/>
            <w:tcBorders>
              <w:top w:val="nil"/>
              <w:left w:val="nil"/>
              <w:bottom w:val="single" w:sz="8"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2020</w:t>
            </w:r>
          </w:p>
        </w:tc>
        <w:tc>
          <w:tcPr>
            <w:tcW w:w="749" w:type="dxa"/>
            <w:tcBorders>
              <w:top w:val="nil"/>
              <w:left w:val="nil"/>
              <w:bottom w:val="single" w:sz="8"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w:t>
            </w:r>
          </w:p>
        </w:tc>
        <w:tc>
          <w:tcPr>
            <w:tcW w:w="924" w:type="dxa"/>
            <w:vMerge/>
            <w:tcBorders>
              <w:top w:val="single" w:sz="8" w:space="0" w:color="auto"/>
              <w:left w:val="single" w:sz="4" w:space="0" w:color="auto"/>
              <w:bottom w:val="single" w:sz="8" w:space="0" w:color="000000"/>
              <w:right w:val="single" w:sz="4" w:space="0" w:color="auto"/>
            </w:tcBorders>
            <w:vAlign w:val="center"/>
            <w:hideMark/>
          </w:tcPr>
          <w:p w:rsidR="005562BB" w:rsidRPr="005562BB" w:rsidRDefault="005562BB" w:rsidP="005562BB">
            <w:pPr>
              <w:jc w:val="left"/>
              <w:rPr>
                <w:rFonts w:ascii="Calibri" w:eastAsia="Times New Roman" w:hAnsi="Calibri"/>
                <w:b/>
                <w:bCs/>
                <w:color w:val="000000"/>
                <w:sz w:val="24"/>
                <w:lang w:val="fr-FR" w:eastAsia="fr-FR"/>
              </w:rPr>
            </w:pPr>
          </w:p>
        </w:tc>
        <w:tc>
          <w:tcPr>
            <w:tcW w:w="1064" w:type="dxa"/>
            <w:tcBorders>
              <w:top w:val="nil"/>
              <w:left w:val="nil"/>
              <w:bottom w:val="single" w:sz="8"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2017</w:t>
            </w:r>
          </w:p>
        </w:tc>
        <w:tc>
          <w:tcPr>
            <w:tcW w:w="993" w:type="dxa"/>
            <w:tcBorders>
              <w:top w:val="nil"/>
              <w:left w:val="nil"/>
              <w:bottom w:val="single" w:sz="8"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2018</w:t>
            </w:r>
          </w:p>
        </w:tc>
        <w:tc>
          <w:tcPr>
            <w:tcW w:w="992" w:type="dxa"/>
            <w:tcBorders>
              <w:top w:val="nil"/>
              <w:left w:val="nil"/>
              <w:bottom w:val="single" w:sz="8"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2019</w:t>
            </w:r>
          </w:p>
        </w:tc>
        <w:tc>
          <w:tcPr>
            <w:tcW w:w="991" w:type="dxa"/>
            <w:tcBorders>
              <w:top w:val="nil"/>
              <w:left w:val="nil"/>
              <w:bottom w:val="single" w:sz="8"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2020</w:t>
            </w:r>
          </w:p>
        </w:tc>
        <w:tc>
          <w:tcPr>
            <w:tcW w:w="1278" w:type="dxa"/>
            <w:gridSpan w:val="2"/>
            <w:tcBorders>
              <w:top w:val="nil"/>
              <w:left w:val="nil"/>
              <w:bottom w:val="single" w:sz="8"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w:t>
            </w: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5562BB" w:rsidRPr="005562BB" w:rsidRDefault="005562BB" w:rsidP="005562BB">
            <w:pPr>
              <w:jc w:val="left"/>
              <w:rPr>
                <w:rFonts w:ascii="Calibri" w:eastAsia="Times New Roman" w:hAnsi="Calibri"/>
                <w:b/>
                <w:bCs/>
                <w:color w:val="000000"/>
                <w:sz w:val="24"/>
                <w:lang w:val="fr-FR" w:eastAsia="fr-FR"/>
              </w:rPr>
            </w:pPr>
          </w:p>
        </w:tc>
      </w:tr>
      <w:tr w:rsidR="005562BB" w:rsidRPr="00ED18BA" w:rsidTr="0034118B">
        <w:trPr>
          <w:trHeight w:val="315"/>
        </w:trPr>
        <w:tc>
          <w:tcPr>
            <w:tcW w:w="15029" w:type="dxa"/>
            <w:gridSpan w:val="15"/>
            <w:tcBorders>
              <w:top w:val="single" w:sz="8" w:space="0" w:color="auto"/>
              <w:left w:val="single" w:sz="8" w:space="0" w:color="auto"/>
              <w:bottom w:val="single" w:sz="8" w:space="0" w:color="auto"/>
              <w:right w:val="single" w:sz="8" w:space="0" w:color="000000"/>
            </w:tcBorders>
            <w:shd w:val="clear" w:color="000000" w:fill="00B0F0"/>
            <w:vAlign w:val="center"/>
            <w:hideMark/>
          </w:tcPr>
          <w:p w:rsidR="005562BB" w:rsidRPr="005562BB" w:rsidRDefault="005562BB" w:rsidP="005562BB">
            <w:pPr>
              <w:jc w:val="left"/>
              <w:rPr>
                <w:rFonts w:ascii="Calibri" w:eastAsia="Times New Roman" w:hAnsi="Calibri"/>
                <w:b/>
                <w:bCs/>
                <w:color w:val="000000"/>
                <w:sz w:val="28"/>
                <w:szCs w:val="28"/>
                <w:lang w:val="fr-FR" w:eastAsia="fr-FR"/>
              </w:rPr>
            </w:pPr>
            <w:r w:rsidRPr="005562BB">
              <w:rPr>
                <w:rFonts w:ascii="Calibri" w:eastAsia="Times New Roman" w:hAnsi="Calibri"/>
                <w:b/>
                <w:bCs/>
                <w:color w:val="000000"/>
                <w:sz w:val="28"/>
                <w:szCs w:val="28"/>
                <w:lang w:val="fr-FR" w:eastAsia="fr-FR"/>
              </w:rPr>
              <w:t>Axe stratégique 1 : Renforcement du pilotage stratégique pour la PECP</w:t>
            </w:r>
          </w:p>
        </w:tc>
      </w:tr>
      <w:tr w:rsidR="005562BB" w:rsidRPr="00ED18BA" w:rsidTr="0034118B">
        <w:trPr>
          <w:trHeight w:val="630"/>
        </w:trPr>
        <w:tc>
          <w:tcPr>
            <w:tcW w:w="15029" w:type="dxa"/>
            <w:gridSpan w:val="15"/>
            <w:tcBorders>
              <w:top w:val="single" w:sz="8" w:space="0" w:color="auto"/>
              <w:left w:val="single" w:sz="8" w:space="0" w:color="auto"/>
              <w:bottom w:val="single" w:sz="8" w:space="0" w:color="auto"/>
              <w:right w:val="single" w:sz="8" w:space="0" w:color="000000"/>
            </w:tcBorders>
            <w:shd w:val="clear" w:color="000000" w:fill="92D050"/>
            <w:vAlign w:val="center"/>
            <w:hideMark/>
          </w:tcPr>
          <w:p w:rsidR="005562BB" w:rsidRPr="005562BB" w:rsidRDefault="005562BB" w:rsidP="005562BB">
            <w:pPr>
              <w:jc w:val="lef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Interventions 1.1 : Actualisation, diffusion et application des directives pour le dépistage VIH, l’initiation du TARV et le suivi des enfants de 0-15 ans infectés par le VIH</w:t>
            </w:r>
          </w:p>
        </w:tc>
      </w:tr>
      <w:tr w:rsidR="005562BB" w:rsidRPr="005562BB" w:rsidTr="0034118B">
        <w:trPr>
          <w:trHeight w:val="12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1.1.1</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Organiser un atelier de revue et d'actualisation des normes et d'élaboration des Directives opérationnelles de PECP (25 participants x 5 jours)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125</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125</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12 500   </w:t>
            </w:r>
          </w:p>
        </w:tc>
        <w:tc>
          <w:tcPr>
            <w:tcW w:w="993"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992"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991"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12 500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1.1.2</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Elaborer le Guide de prise en charge pédiatrique du VIH (1 consultant)</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7 000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7 000   </w:t>
            </w:r>
          </w:p>
        </w:tc>
        <w:tc>
          <w:tcPr>
            <w:tcW w:w="993"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992"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991"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7 000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9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1.1.3</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Faire la Reprographie des Normes,  des Directives opérationnelles et du Guide du prestataire (500 exemplaires)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500</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500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30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Pr>
                <w:rFonts w:ascii="Calibri" w:eastAsia="Times New Roman" w:hAnsi="Calibri"/>
                <w:color w:val="000000"/>
                <w:szCs w:val="22"/>
                <w:lang w:val="fr-FR" w:eastAsia="fr-FR"/>
              </w:rPr>
              <w:t>1</w:t>
            </w:r>
            <w:r w:rsidRPr="005562BB">
              <w:rPr>
                <w:rFonts w:ascii="Calibri" w:eastAsia="Times New Roman" w:hAnsi="Calibri"/>
                <w:color w:val="000000"/>
                <w:szCs w:val="22"/>
                <w:lang w:val="fr-FR" w:eastAsia="fr-FR"/>
              </w:rPr>
              <w:t xml:space="preserve">5 000   </w:t>
            </w:r>
          </w:p>
        </w:tc>
        <w:tc>
          <w:tcPr>
            <w:tcW w:w="993"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992"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991"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15 000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838"/>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1.1.4</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Diffuser les Directives Opérationnelles de dépistage systématique à toutes les portes d'entrée</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25</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25</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2 500   </w:t>
            </w:r>
          </w:p>
        </w:tc>
        <w:tc>
          <w:tcPr>
            <w:tcW w:w="993"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992"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991"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2 500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915"/>
        </w:trPr>
        <w:tc>
          <w:tcPr>
            <w:tcW w:w="709" w:type="dxa"/>
            <w:tcBorders>
              <w:top w:val="nil"/>
              <w:left w:val="single" w:sz="8" w:space="0" w:color="auto"/>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1.1.5</w:t>
            </w:r>
          </w:p>
        </w:tc>
        <w:tc>
          <w:tcPr>
            <w:tcW w:w="3970" w:type="dxa"/>
            <w:tcBorders>
              <w:top w:val="nil"/>
              <w:left w:val="nil"/>
              <w:bottom w:val="nil"/>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Former les Formateurs et superviseurs sur les Nouvelles directives opérationnelles (25 participants x 5 jours)</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125</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125</w:t>
            </w:r>
          </w:p>
        </w:tc>
        <w:tc>
          <w:tcPr>
            <w:tcW w:w="924" w:type="dxa"/>
            <w:tcBorders>
              <w:top w:val="nil"/>
              <w:left w:val="nil"/>
              <w:bottom w:val="nil"/>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100   </w:t>
            </w:r>
          </w:p>
        </w:tc>
        <w:tc>
          <w:tcPr>
            <w:tcW w:w="1064"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12 500   </w:t>
            </w:r>
          </w:p>
        </w:tc>
        <w:tc>
          <w:tcPr>
            <w:tcW w:w="993" w:type="dxa"/>
            <w:tcBorders>
              <w:top w:val="nil"/>
              <w:left w:val="nil"/>
              <w:bottom w:val="nil"/>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992" w:type="dxa"/>
            <w:tcBorders>
              <w:top w:val="nil"/>
              <w:left w:val="nil"/>
              <w:bottom w:val="nil"/>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991" w:type="dxa"/>
            <w:tcBorders>
              <w:top w:val="nil"/>
              <w:left w:val="nil"/>
              <w:bottom w:val="nil"/>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278" w:type="dxa"/>
            <w:gridSpan w:val="2"/>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12 500   </w:t>
            </w:r>
          </w:p>
        </w:tc>
        <w:tc>
          <w:tcPr>
            <w:tcW w:w="709" w:type="dxa"/>
            <w:tcBorders>
              <w:top w:val="nil"/>
              <w:left w:val="nil"/>
              <w:bottom w:val="nil"/>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30"/>
        </w:trPr>
        <w:tc>
          <w:tcPr>
            <w:tcW w:w="4679" w:type="dxa"/>
            <w:gridSpan w:val="2"/>
            <w:tcBorders>
              <w:top w:val="single" w:sz="8" w:space="0" w:color="auto"/>
              <w:left w:val="single" w:sz="8" w:space="0" w:color="auto"/>
              <w:bottom w:val="single" w:sz="8"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lang w:val="fr-FR" w:eastAsia="fr-FR"/>
              </w:rPr>
            </w:pPr>
            <w:r w:rsidRPr="005562BB">
              <w:rPr>
                <w:rFonts w:ascii="Calibri" w:eastAsia="Times New Roman" w:hAnsi="Calibri"/>
                <w:b/>
                <w:bCs/>
                <w:color w:val="000000"/>
                <w:szCs w:val="22"/>
                <w:lang w:val="fr-FR" w:eastAsia="fr-FR"/>
              </w:rPr>
              <w:t>Total Intervention 1.1</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lang w:val="fr-FR" w:eastAsia="fr-FR"/>
              </w:rPr>
            </w:pPr>
            <w:r w:rsidRPr="005562BB">
              <w:rPr>
                <w:rFonts w:ascii="Calibri" w:eastAsia="Times New Roman" w:hAnsi="Calibri"/>
                <w:b/>
                <w:bCs/>
                <w:color w:val="000000"/>
                <w:szCs w:val="22"/>
                <w:lang w:val="fr-FR" w:eastAsia="fr-FR"/>
              </w:rPr>
              <w:t> </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lang w:val="fr-FR" w:eastAsia="fr-FR"/>
              </w:rPr>
            </w:pPr>
            <w:r w:rsidRPr="005562BB">
              <w:rPr>
                <w:rFonts w:ascii="Calibri" w:eastAsia="Times New Roman" w:hAnsi="Calibri"/>
                <w:b/>
                <w:bCs/>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lang w:val="fr-FR" w:eastAsia="fr-FR"/>
              </w:rPr>
            </w:pPr>
            <w:r w:rsidRPr="005562BB">
              <w:rPr>
                <w:rFonts w:ascii="Calibri" w:eastAsia="Times New Roman" w:hAnsi="Calibri"/>
                <w:b/>
                <w:bCs/>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lang w:val="fr-FR" w:eastAsia="fr-FR"/>
              </w:rPr>
            </w:pPr>
            <w:r w:rsidRPr="005562BB">
              <w:rPr>
                <w:rFonts w:ascii="Calibri" w:eastAsia="Times New Roman" w:hAnsi="Calibri"/>
                <w:b/>
                <w:bCs/>
                <w:color w:val="000000"/>
                <w:szCs w:val="22"/>
                <w:lang w:val="fr-FR" w:eastAsia="fr-FR"/>
              </w:rPr>
              <w:t> </w:t>
            </w:r>
          </w:p>
        </w:tc>
        <w:tc>
          <w:tcPr>
            <w:tcW w:w="749"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w:t>
            </w:r>
          </w:p>
        </w:tc>
        <w:tc>
          <w:tcPr>
            <w:tcW w:w="92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lang w:val="fr-FR" w:eastAsia="fr-FR"/>
              </w:rPr>
            </w:pPr>
            <w:r w:rsidRPr="005562BB">
              <w:rPr>
                <w:rFonts w:ascii="Calibri" w:eastAsia="Times New Roman" w:hAnsi="Calibri"/>
                <w:b/>
                <w:bCs/>
                <w:color w:val="000000"/>
                <w:szCs w:val="22"/>
                <w:lang w:val="fr-FR" w:eastAsia="fr-FR"/>
              </w:rPr>
              <w:t> </w:t>
            </w:r>
          </w:p>
        </w:tc>
        <w:tc>
          <w:tcPr>
            <w:tcW w:w="106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49 500   </w:t>
            </w:r>
          </w:p>
        </w:tc>
        <w:tc>
          <w:tcPr>
            <w:tcW w:w="993" w:type="dxa"/>
            <w:tcBorders>
              <w:top w:val="single" w:sz="8" w:space="0" w:color="auto"/>
              <w:left w:val="nil"/>
              <w:bottom w:val="single" w:sz="8" w:space="0" w:color="auto"/>
              <w:right w:val="single" w:sz="4" w:space="0" w:color="auto"/>
            </w:tcBorders>
            <w:shd w:val="clear" w:color="000000" w:fill="FFFF00"/>
            <w:vAlign w:val="bottom"/>
            <w:hideMark/>
          </w:tcPr>
          <w:p w:rsidR="005562BB" w:rsidRPr="005562BB" w:rsidRDefault="005562BB" w:rsidP="0034118B">
            <w:pPr>
              <w:jc w:val="right"/>
              <w:rPr>
                <w:rFonts w:ascii="Calibri" w:eastAsia="Times New Roman" w:hAnsi="Calibri"/>
                <w:b/>
                <w:bCs/>
                <w:color w:val="000000"/>
                <w:lang w:val="fr-FR" w:eastAsia="fr-FR"/>
              </w:rPr>
            </w:pPr>
            <w:r w:rsidRPr="005562BB">
              <w:rPr>
                <w:rFonts w:ascii="Calibri" w:eastAsia="Times New Roman" w:hAnsi="Calibri"/>
                <w:b/>
                <w:bCs/>
                <w:color w:val="000000"/>
                <w:szCs w:val="22"/>
                <w:lang w:val="fr-FR" w:eastAsia="fr-FR"/>
              </w:rPr>
              <w:t> </w:t>
            </w:r>
          </w:p>
        </w:tc>
        <w:tc>
          <w:tcPr>
            <w:tcW w:w="992" w:type="dxa"/>
            <w:tcBorders>
              <w:top w:val="single" w:sz="8" w:space="0" w:color="auto"/>
              <w:left w:val="nil"/>
              <w:bottom w:val="single" w:sz="8" w:space="0" w:color="auto"/>
              <w:right w:val="single" w:sz="4" w:space="0" w:color="auto"/>
            </w:tcBorders>
            <w:shd w:val="clear" w:color="000000" w:fill="FFFF00"/>
            <w:vAlign w:val="bottom"/>
            <w:hideMark/>
          </w:tcPr>
          <w:p w:rsidR="005562BB" w:rsidRPr="005562BB" w:rsidRDefault="005562BB" w:rsidP="0034118B">
            <w:pPr>
              <w:jc w:val="right"/>
              <w:rPr>
                <w:rFonts w:ascii="Calibri" w:eastAsia="Times New Roman" w:hAnsi="Calibri"/>
                <w:b/>
                <w:bCs/>
                <w:color w:val="000000"/>
                <w:lang w:val="fr-FR" w:eastAsia="fr-FR"/>
              </w:rPr>
            </w:pPr>
            <w:r w:rsidRPr="005562BB">
              <w:rPr>
                <w:rFonts w:ascii="Calibri" w:eastAsia="Times New Roman" w:hAnsi="Calibri"/>
                <w:b/>
                <w:bCs/>
                <w:color w:val="000000"/>
                <w:szCs w:val="22"/>
                <w:lang w:val="fr-FR" w:eastAsia="fr-FR"/>
              </w:rPr>
              <w:t> </w:t>
            </w:r>
          </w:p>
        </w:tc>
        <w:tc>
          <w:tcPr>
            <w:tcW w:w="991" w:type="dxa"/>
            <w:tcBorders>
              <w:top w:val="single" w:sz="8" w:space="0" w:color="auto"/>
              <w:left w:val="nil"/>
              <w:bottom w:val="single" w:sz="8" w:space="0" w:color="auto"/>
              <w:right w:val="single" w:sz="4" w:space="0" w:color="auto"/>
            </w:tcBorders>
            <w:shd w:val="clear" w:color="000000" w:fill="FFFF00"/>
            <w:vAlign w:val="bottom"/>
            <w:hideMark/>
          </w:tcPr>
          <w:p w:rsidR="005562BB" w:rsidRPr="005562BB" w:rsidRDefault="005562BB" w:rsidP="0034118B">
            <w:pPr>
              <w:jc w:val="right"/>
              <w:rPr>
                <w:rFonts w:ascii="Calibri" w:eastAsia="Times New Roman" w:hAnsi="Calibri"/>
                <w:b/>
                <w:bCs/>
                <w:color w:val="000000"/>
                <w:lang w:val="fr-FR" w:eastAsia="fr-FR"/>
              </w:rPr>
            </w:pPr>
            <w:r w:rsidRPr="005562BB">
              <w:rPr>
                <w:rFonts w:ascii="Calibri" w:eastAsia="Times New Roman" w:hAnsi="Calibri"/>
                <w:b/>
                <w:bCs/>
                <w:color w:val="000000"/>
                <w:szCs w:val="22"/>
                <w:lang w:val="fr-FR" w:eastAsia="fr-FR"/>
              </w:rPr>
              <w:t> </w:t>
            </w:r>
          </w:p>
        </w:tc>
        <w:tc>
          <w:tcPr>
            <w:tcW w:w="1278" w:type="dxa"/>
            <w:gridSpan w:val="2"/>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49 500   </w:t>
            </w:r>
          </w:p>
        </w:tc>
        <w:tc>
          <w:tcPr>
            <w:tcW w:w="709" w:type="dxa"/>
            <w:tcBorders>
              <w:top w:val="single" w:sz="8" w:space="0" w:color="auto"/>
              <w:left w:val="nil"/>
              <w:bottom w:val="single" w:sz="8" w:space="0" w:color="auto"/>
              <w:right w:val="single" w:sz="8" w:space="0" w:color="auto"/>
            </w:tcBorders>
            <w:shd w:val="clear" w:color="000000" w:fill="FFFF00"/>
            <w:vAlign w:val="bottom"/>
            <w:hideMark/>
          </w:tcPr>
          <w:p w:rsidR="005562BB" w:rsidRPr="005562BB" w:rsidRDefault="005562BB" w:rsidP="005562BB">
            <w:pPr>
              <w:jc w:val="left"/>
              <w:rPr>
                <w:rFonts w:ascii="Calibri" w:eastAsia="Times New Roman" w:hAnsi="Calibri"/>
                <w:b/>
                <w:bCs/>
                <w:color w:val="000000"/>
                <w:lang w:val="fr-FR" w:eastAsia="fr-FR"/>
              </w:rPr>
            </w:pPr>
            <w:r w:rsidRPr="005562BB">
              <w:rPr>
                <w:rFonts w:ascii="Calibri" w:eastAsia="Times New Roman" w:hAnsi="Calibri"/>
                <w:b/>
                <w:bCs/>
                <w:color w:val="000000"/>
                <w:szCs w:val="22"/>
                <w:lang w:val="fr-FR" w:eastAsia="fr-FR"/>
              </w:rPr>
              <w:t> </w:t>
            </w:r>
          </w:p>
        </w:tc>
      </w:tr>
      <w:tr w:rsidR="005562BB" w:rsidRPr="00ED18BA" w:rsidTr="0034118B">
        <w:trPr>
          <w:trHeight w:val="315"/>
        </w:trPr>
        <w:tc>
          <w:tcPr>
            <w:tcW w:w="15029" w:type="dxa"/>
            <w:gridSpan w:val="15"/>
            <w:tcBorders>
              <w:top w:val="single" w:sz="8" w:space="0" w:color="auto"/>
              <w:left w:val="single" w:sz="8" w:space="0" w:color="auto"/>
              <w:bottom w:val="single" w:sz="8" w:space="0" w:color="auto"/>
              <w:right w:val="single" w:sz="8" w:space="0" w:color="000000"/>
            </w:tcBorders>
            <w:shd w:val="clear" w:color="000000" w:fill="92D050"/>
            <w:vAlign w:val="center"/>
            <w:hideMark/>
          </w:tcPr>
          <w:p w:rsidR="005562BB" w:rsidRPr="005562BB" w:rsidRDefault="005562BB" w:rsidP="005562BB">
            <w:pPr>
              <w:jc w:val="lef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Intervention 1.2 : Amélioration de la gestion et de la coordination des activités du programme</w:t>
            </w:r>
          </w:p>
        </w:tc>
      </w:tr>
      <w:tr w:rsidR="005562BB" w:rsidRPr="005562BB" w:rsidTr="0034118B">
        <w:trPr>
          <w:trHeight w:val="9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1.2.1</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Organiser une réunion de définition des objectifs et des cibles  par niveau et par site (30 participants x 1 jours) </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30</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30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450   </w:t>
            </w:r>
          </w:p>
        </w:tc>
        <w:tc>
          <w:tcPr>
            <w:tcW w:w="993"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992"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991"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450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15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1.2.2</w:t>
            </w:r>
          </w:p>
        </w:tc>
        <w:tc>
          <w:tcPr>
            <w:tcW w:w="3970" w:type="dxa"/>
            <w:tcBorders>
              <w:top w:val="single" w:sz="4" w:space="0" w:color="auto"/>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Organiser des réunions de coordination pour le suivi de la mise en œuvre du plan de PECP à tous les niveaux (mensuelle, trim, sem et annuelle) (25 participants par région x 8 régions + niveau central x 1/trim)</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900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900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900</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900</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3600</w:t>
            </w:r>
          </w:p>
        </w:tc>
        <w:tc>
          <w:tcPr>
            <w:tcW w:w="924" w:type="dxa"/>
            <w:tcBorders>
              <w:top w:val="single" w:sz="4" w:space="0" w:color="auto"/>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15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13 500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13 500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13 500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13 500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54 000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9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1.2.3</w:t>
            </w:r>
          </w:p>
        </w:tc>
        <w:tc>
          <w:tcPr>
            <w:tcW w:w="3970"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Elaborer des microplans d'action annuels  par niveau (15 participants par région x 8 régions + niveau central x 2 jours)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270</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270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270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270</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1080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75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20 250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20 250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20 250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20 250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81 000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1215"/>
        </w:trPr>
        <w:tc>
          <w:tcPr>
            <w:tcW w:w="709" w:type="dxa"/>
            <w:tcBorders>
              <w:top w:val="nil"/>
              <w:left w:val="single" w:sz="8" w:space="0" w:color="auto"/>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1.2.4</w:t>
            </w:r>
          </w:p>
        </w:tc>
        <w:tc>
          <w:tcPr>
            <w:tcW w:w="3970" w:type="dxa"/>
            <w:tcBorders>
              <w:top w:val="nil"/>
              <w:left w:val="nil"/>
              <w:bottom w:val="nil"/>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Identifier des indicateurs clés pour le suivi mensuel des performances par niveau (15 participants par région x 8 régions + niveau central x 2 jours)</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270</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270</w:t>
            </w:r>
          </w:p>
        </w:tc>
        <w:tc>
          <w:tcPr>
            <w:tcW w:w="749"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540</w:t>
            </w:r>
          </w:p>
        </w:tc>
        <w:tc>
          <w:tcPr>
            <w:tcW w:w="924" w:type="dxa"/>
            <w:tcBorders>
              <w:top w:val="nil"/>
              <w:left w:val="nil"/>
              <w:bottom w:val="nil"/>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75   </w:t>
            </w:r>
          </w:p>
        </w:tc>
        <w:tc>
          <w:tcPr>
            <w:tcW w:w="1064"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3"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20 250   </w:t>
            </w:r>
          </w:p>
        </w:tc>
        <w:tc>
          <w:tcPr>
            <w:tcW w:w="992"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20 250   </w:t>
            </w:r>
          </w:p>
        </w:tc>
        <w:tc>
          <w:tcPr>
            <w:tcW w:w="1278" w:type="dxa"/>
            <w:gridSpan w:val="2"/>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40 500   </w:t>
            </w:r>
          </w:p>
        </w:tc>
        <w:tc>
          <w:tcPr>
            <w:tcW w:w="709" w:type="dxa"/>
            <w:tcBorders>
              <w:top w:val="nil"/>
              <w:left w:val="nil"/>
              <w:bottom w:val="nil"/>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30"/>
        </w:trPr>
        <w:tc>
          <w:tcPr>
            <w:tcW w:w="4679" w:type="dxa"/>
            <w:gridSpan w:val="2"/>
            <w:tcBorders>
              <w:top w:val="single" w:sz="8" w:space="0" w:color="auto"/>
              <w:left w:val="single" w:sz="8" w:space="0" w:color="auto"/>
              <w:bottom w:val="single" w:sz="8"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Intervention 1.2</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sz w:val="24"/>
                <w:lang w:val="fr-FR" w:eastAsia="fr-FR"/>
              </w:rPr>
            </w:pPr>
            <w:r w:rsidRPr="005562BB">
              <w:rPr>
                <w:rFonts w:ascii="Calibri" w:eastAsia="Times New Roman" w:hAnsi="Calibri"/>
                <w:color w:val="000000"/>
                <w:sz w:val="24"/>
                <w:lang w:val="fr-FR" w:eastAsia="fr-FR"/>
              </w:rPr>
              <w:t> </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sz w:val="24"/>
                <w:lang w:val="fr-FR" w:eastAsia="fr-FR"/>
              </w:rPr>
            </w:pPr>
            <w:r w:rsidRPr="005562BB">
              <w:rPr>
                <w:rFonts w:ascii="Calibri" w:eastAsia="Times New Roman" w:hAnsi="Calibri"/>
                <w:color w:val="000000"/>
                <w:sz w:val="24"/>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sz w:val="24"/>
                <w:lang w:val="fr-FR" w:eastAsia="fr-FR"/>
              </w:rPr>
            </w:pPr>
            <w:r w:rsidRPr="005562BB">
              <w:rPr>
                <w:rFonts w:ascii="Calibri" w:eastAsia="Times New Roman" w:hAnsi="Calibri"/>
                <w:color w:val="000000"/>
                <w:sz w:val="24"/>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sz w:val="24"/>
                <w:lang w:val="fr-FR" w:eastAsia="fr-FR"/>
              </w:rPr>
            </w:pPr>
            <w:r w:rsidRPr="005562BB">
              <w:rPr>
                <w:rFonts w:ascii="Calibri" w:eastAsia="Times New Roman" w:hAnsi="Calibri"/>
                <w:color w:val="000000"/>
                <w:sz w:val="24"/>
                <w:lang w:val="fr-FR" w:eastAsia="fr-FR"/>
              </w:rPr>
              <w:t> </w:t>
            </w:r>
          </w:p>
        </w:tc>
        <w:tc>
          <w:tcPr>
            <w:tcW w:w="749"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w:t>
            </w:r>
          </w:p>
        </w:tc>
        <w:tc>
          <w:tcPr>
            <w:tcW w:w="92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sz w:val="24"/>
                <w:lang w:val="fr-FR" w:eastAsia="fr-FR"/>
              </w:rPr>
            </w:pPr>
            <w:r w:rsidRPr="005562BB">
              <w:rPr>
                <w:rFonts w:ascii="Calibri" w:eastAsia="Times New Roman" w:hAnsi="Calibri"/>
                <w:color w:val="000000"/>
                <w:sz w:val="24"/>
                <w:lang w:val="fr-FR" w:eastAsia="fr-FR"/>
              </w:rPr>
              <w:t> </w:t>
            </w:r>
          </w:p>
        </w:tc>
        <w:tc>
          <w:tcPr>
            <w:tcW w:w="106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34 200   </w:t>
            </w:r>
          </w:p>
        </w:tc>
        <w:tc>
          <w:tcPr>
            <w:tcW w:w="993"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54 000   </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33 750   </w:t>
            </w:r>
          </w:p>
        </w:tc>
        <w:tc>
          <w:tcPr>
            <w:tcW w:w="991"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54 000   </w:t>
            </w:r>
          </w:p>
        </w:tc>
        <w:tc>
          <w:tcPr>
            <w:tcW w:w="1278" w:type="dxa"/>
            <w:gridSpan w:val="2"/>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175 950   </w:t>
            </w:r>
          </w:p>
        </w:tc>
        <w:tc>
          <w:tcPr>
            <w:tcW w:w="709" w:type="dxa"/>
            <w:tcBorders>
              <w:top w:val="single" w:sz="8" w:space="0" w:color="auto"/>
              <w:left w:val="nil"/>
              <w:bottom w:val="single" w:sz="8" w:space="0" w:color="auto"/>
              <w:right w:val="single" w:sz="8" w:space="0" w:color="auto"/>
            </w:tcBorders>
            <w:shd w:val="clear" w:color="000000" w:fill="FFFF00"/>
            <w:vAlign w:val="center"/>
            <w:hideMark/>
          </w:tcPr>
          <w:p w:rsidR="005562BB" w:rsidRPr="005562BB" w:rsidRDefault="005562BB" w:rsidP="005562BB">
            <w:pPr>
              <w:jc w:val="left"/>
              <w:rPr>
                <w:rFonts w:ascii="Calibri" w:eastAsia="Times New Roman" w:hAnsi="Calibri"/>
                <w:color w:val="000000"/>
                <w:sz w:val="24"/>
                <w:lang w:val="fr-FR" w:eastAsia="fr-FR"/>
              </w:rPr>
            </w:pPr>
            <w:r w:rsidRPr="005562BB">
              <w:rPr>
                <w:rFonts w:ascii="Calibri" w:eastAsia="Times New Roman" w:hAnsi="Calibri"/>
                <w:color w:val="000000"/>
                <w:sz w:val="24"/>
                <w:lang w:val="fr-FR" w:eastAsia="fr-FR"/>
              </w:rPr>
              <w:t> </w:t>
            </w:r>
          </w:p>
        </w:tc>
      </w:tr>
      <w:tr w:rsidR="005562BB" w:rsidRPr="00ED18BA" w:rsidTr="0034118B">
        <w:trPr>
          <w:trHeight w:val="315"/>
        </w:trPr>
        <w:tc>
          <w:tcPr>
            <w:tcW w:w="15029" w:type="dxa"/>
            <w:gridSpan w:val="15"/>
            <w:tcBorders>
              <w:top w:val="single" w:sz="8" w:space="0" w:color="auto"/>
              <w:left w:val="single" w:sz="8" w:space="0" w:color="auto"/>
              <w:bottom w:val="single" w:sz="8" w:space="0" w:color="auto"/>
              <w:right w:val="single" w:sz="8" w:space="0" w:color="000000"/>
            </w:tcBorders>
            <w:shd w:val="clear" w:color="000000" w:fill="92D050"/>
            <w:vAlign w:val="center"/>
            <w:hideMark/>
          </w:tcPr>
          <w:p w:rsidR="005562BB" w:rsidRPr="005562BB" w:rsidRDefault="005562BB" w:rsidP="005562BB">
            <w:pPr>
              <w:jc w:val="lef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Intervention 1.3: Renforcement de la mobilisation adéquate des ressources (financement)</w:t>
            </w:r>
          </w:p>
        </w:tc>
      </w:tr>
      <w:tr w:rsidR="005562BB" w:rsidRPr="005562BB" w:rsidTr="0034118B">
        <w:trPr>
          <w:trHeight w:val="49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1.3.1</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 xml:space="preserve">Elaborer et soumettre des requêtes de financement aux partenaires </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PM</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9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1.3.2</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Plaider pour la mobilisation accrue de ressources y compris nationales (1 table ronde de plaidoyer)</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50</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50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100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75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3 750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3 750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7 500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93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1.3.3</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Actualiser et mettre en œuvre des Procédures de gestion financière transparente (Recruter un cabinet)</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BC523D">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15 000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15 000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15 000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15"/>
        </w:trPr>
        <w:tc>
          <w:tcPr>
            <w:tcW w:w="4679" w:type="dxa"/>
            <w:gridSpan w:val="2"/>
            <w:tcBorders>
              <w:top w:val="single" w:sz="4" w:space="0" w:color="auto"/>
              <w:left w:val="single" w:sz="8" w:space="0" w:color="auto"/>
              <w:bottom w:val="single" w:sz="4"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Intervention 1.3</w:t>
            </w:r>
          </w:p>
        </w:tc>
        <w:tc>
          <w:tcPr>
            <w:tcW w:w="627"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w:t>
            </w:r>
          </w:p>
        </w:tc>
        <w:tc>
          <w:tcPr>
            <w:tcW w:w="924"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3 750   </w:t>
            </w:r>
          </w:p>
        </w:tc>
        <w:tc>
          <w:tcPr>
            <w:tcW w:w="993"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15 000   </w:t>
            </w:r>
          </w:p>
        </w:tc>
        <w:tc>
          <w:tcPr>
            <w:tcW w:w="992"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3 750   </w:t>
            </w:r>
          </w:p>
        </w:tc>
        <w:tc>
          <w:tcPr>
            <w:tcW w:w="991"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     </w:t>
            </w:r>
          </w:p>
        </w:tc>
        <w:tc>
          <w:tcPr>
            <w:tcW w:w="1278" w:type="dxa"/>
            <w:gridSpan w:val="2"/>
            <w:tcBorders>
              <w:top w:val="nil"/>
              <w:left w:val="nil"/>
              <w:bottom w:val="single" w:sz="4"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22 500   </w:t>
            </w:r>
          </w:p>
        </w:tc>
        <w:tc>
          <w:tcPr>
            <w:tcW w:w="709" w:type="dxa"/>
            <w:tcBorders>
              <w:top w:val="nil"/>
              <w:left w:val="nil"/>
              <w:bottom w:val="single" w:sz="4" w:space="0" w:color="auto"/>
              <w:right w:val="single" w:sz="8"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ED18BA" w:rsidTr="0034118B">
        <w:trPr>
          <w:trHeight w:val="315"/>
        </w:trPr>
        <w:tc>
          <w:tcPr>
            <w:tcW w:w="15029" w:type="dxa"/>
            <w:gridSpan w:val="15"/>
            <w:tcBorders>
              <w:top w:val="single" w:sz="4" w:space="0" w:color="auto"/>
              <w:left w:val="single" w:sz="8" w:space="0" w:color="auto"/>
              <w:bottom w:val="single" w:sz="4" w:space="0" w:color="auto"/>
              <w:right w:val="single" w:sz="8" w:space="0" w:color="000000"/>
            </w:tcBorders>
            <w:shd w:val="clear" w:color="000000" w:fill="92D050"/>
            <w:vAlign w:val="center"/>
            <w:hideMark/>
          </w:tcPr>
          <w:p w:rsidR="005562BB" w:rsidRPr="005562BB" w:rsidRDefault="005562BB" w:rsidP="005562BB">
            <w:pPr>
              <w:jc w:val="left"/>
              <w:rPr>
                <w:rFonts w:ascii="Calibri" w:eastAsia="Times New Roman" w:hAnsi="Calibri"/>
                <w:b/>
                <w:bCs/>
                <w:sz w:val="24"/>
                <w:lang w:val="fr-FR" w:eastAsia="fr-FR"/>
              </w:rPr>
            </w:pPr>
            <w:r w:rsidRPr="005562BB">
              <w:rPr>
                <w:rFonts w:ascii="Calibri" w:eastAsia="Times New Roman" w:hAnsi="Calibri"/>
                <w:b/>
                <w:bCs/>
                <w:sz w:val="24"/>
                <w:lang w:val="fr-FR" w:eastAsia="fr-FR"/>
              </w:rPr>
              <w:t>Intervention 1.4: Amélioration du Suivi et évaluation des activités de PECP</w:t>
            </w:r>
          </w:p>
        </w:tc>
      </w:tr>
      <w:tr w:rsidR="005562BB" w:rsidRPr="005562BB" w:rsidTr="0034118B">
        <w:trPr>
          <w:trHeight w:val="9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1.4.1</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Mettre à jour les outils de collecte des données et de rapportage par niveau (atelier de 25 participants x 5 jrs)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125</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125</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12 500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12 500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1.4.2</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Multiplier et diffuser les outils de rapportage  (Reproduction An2-A4)</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3000</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3000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3000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3000</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12000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30 000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30 000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30 000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30 000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120 000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1.4.3</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Effectuer l'évaluation globale à mi-parcours en 2018</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w:t>
            </w:r>
          </w:p>
        </w:tc>
        <w:tc>
          <w:tcPr>
            <w:tcW w:w="924" w:type="dxa"/>
            <w:tcBorders>
              <w:top w:val="single" w:sz="4" w:space="0" w:color="auto"/>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7 000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7 000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7 000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476"/>
        </w:trPr>
        <w:tc>
          <w:tcPr>
            <w:tcW w:w="709" w:type="dxa"/>
            <w:tcBorders>
              <w:top w:val="nil"/>
              <w:left w:val="single" w:sz="8" w:space="0" w:color="auto"/>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1.4.4</w:t>
            </w:r>
          </w:p>
        </w:tc>
        <w:tc>
          <w:tcPr>
            <w:tcW w:w="3970" w:type="dxa"/>
            <w:tcBorders>
              <w:top w:val="nil"/>
              <w:left w:val="nil"/>
              <w:bottom w:val="nil"/>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Effectuer l'évaluation finale en 2020</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749"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w:t>
            </w:r>
          </w:p>
        </w:tc>
        <w:tc>
          <w:tcPr>
            <w:tcW w:w="924" w:type="dxa"/>
            <w:tcBorders>
              <w:top w:val="nil"/>
              <w:left w:val="nil"/>
              <w:bottom w:val="nil"/>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10 000   </w:t>
            </w:r>
          </w:p>
        </w:tc>
        <w:tc>
          <w:tcPr>
            <w:tcW w:w="1064" w:type="dxa"/>
            <w:tcBorders>
              <w:top w:val="nil"/>
              <w:left w:val="nil"/>
              <w:bottom w:val="nil"/>
              <w:right w:val="single" w:sz="4" w:space="0" w:color="auto"/>
            </w:tcBorders>
            <w:shd w:val="clear" w:color="auto" w:fill="auto"/>
            <w:vAlign w:val="center"/>
          </w:tcPr>
          <w:p w:rsidR="005562BB" w:rsidRPr="005562BB" w:rsidRDefault="005562BB" w:rsidP="0034118B">
            <w:pPr>
              <w:jc w:val="right"/>
              <w:rPr>
                <w:rFonts w:ascii="Calibri" w:eastAsia="Times New Roman" w:hAnsi="Calibri"/>
                <w:color w:val="000000"/>
                <w:lang w:val="fr-FR" w:eastAsia="fr-FR"/>
              </w:rPr>
            </w:pPr>
          </w:p>
        </w:tc>
        <w:tc>
          <w:tcPr>
            <w:tcW w:w="993" w:type="dxa"/>
            <w:tcBorders>
              <w:top w:val="nil"/>
              <w:left w:val="nil"/>
              <w:bottom w:val="nil"/>
              <w:right w:val="single" w:sz="4" w:space="0" w:color="auto"/>
            </w:tcBorders>
            <w:shd w:val="clear" w:color="auto" w:fill="auto"/>
            <w:vAlign w:val="center"/>
          </w:tcPr>
          <w:p w:rsidR="005562BB" w:rsidRPr="005562BB" w:rsidRDefault="005562BB" w:rsidP="0034118B">
            <w:pPr>
              <w:jc w:val="right"/>
              <w:rPr>
                <w:rFonts w:ascii="Calibri" w:eastAsia="Times New Roman" w:hAnsi="Calibri"/>
                <w:color w:val="000000"/>
                <w:lang w:val="fr-FR" w:eastAsia="fr-FR"/>
              </w:rPr>
            </w:pPr>
          </w:p>
        </w:tc>
        <w:tc>
          <w:tcPr>
            <w:tcW w:w="992" w:type="dxa"/>
            <w:tcBorders>
              <w:top w:val="nil"/>
              <w:left w:val="nil"/>
              <w:bottom w:val="nil"/>
              <w:right w:val="single" w:sz="4" w:space="0" w:color="auto"/>
            </w:tcBorders>
            <w:shd w:val="clear" w:color="auto" w:fill="auto"/>
            <w:vAlign w:val="center"/>
          </w:tcPr>
          <w:p w:rsidR="005562BB" w:rsidRPr="005562BB" w:rsidRDefault="005562BB" w:rsidP="0034118B">
            <w:pPr>
              <w:jc w:val="right"/>
              <w:rPr>
                <w:rFonts w:ascii="Calibri" w:eastAsia="Times New Roman" w:hAnsi="Calibri"/>
                <w:color w:val="000000"/>
                <w:lang w:val="fr-FR" w:eastAsia="fr-FR"/>
              </w:rPr>
            </w:pPr>
          </w:p>
        </w:tc>
        <w:tc>
          <w:tcPr>
            <w:tcW w:w="991"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10 000   </w:t>
            </w:r>
          </w:p>
        </w:tc>
        <w:tc>
          <w:tcPr>
            <w:tcW w:w="1278" w:type="dxa"/>
            <w:gridSpan w:val="2"/>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10 000   </w:t>
            </w:r>
          </w:p>
        </w:tc>
        <w:tc>
          <w:tcPr>
            <w:tcW w:w="709" w:type="dxa"/>
            <w:tcBorders>
              <w:top w:val="nil"/>
              <w:left w:val="nil"/>
              <w:bottom w:val="nil"/>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30"/>
        </w:trPr>
        <w:tc>
          <w:tcPr>
            <w:tcW w:w="4679" w:type="dxa"/>
            <w:gridSpan w:val="2"/>
            <w:tcBorders>
              <w:top w:val="single" w:sz="8" w:space="0" w:color="auto"/>
              <w:left w:val="single" w:sz="8" w:space="0" w:color="auto"/>
              <w:bottom w:val="single" w:sz="8"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Intervention 1.4</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w:t>
            </w:r>
          </w:p>
        </w:tc>
        <w:tc>
          <w:tcPr>
            <w:tcW w:w="92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42 500   </w:t>
            </w:r>
          </w:p>
        </w:tc>
        <w:tc>
          <w:tcPr>
            <w:tcW w:w="993"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37 000   </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30 000   </w:t>
            </w:r>
          </w:p>
        </w:tc>
        <w:tc>
          <w:tcPr>
            <w:tcW w:w="991"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40 000   </w:t>
            </w:r>
          </w:p>
        </w:tc>
        <w:tc>
          <w:tcPr>
            <w:tcW w:w="1278" w:type="dxa"/>
            <w:gridSpan w:val="2"/>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149 500   </w:t>
            </w:r>
          </w:p>
        </w:tc>
        <w:tc>
          <w:tcPr>
            <w:tcW w:w="709" w:type="dxa"/>
            <w:tcBorders>
              <w:top w:val="single" w:sz="8" w:space="0" w:color="auto"/>
              <w:left w:val="nil"/>
              <w:bottom w:val="single" w:sz="8" w:space="0" w:color="auto"/>
              <w:right w:val="single" w:sz="8"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ED18BA" w:rsidTr="0034118B">
        <w:trPr>
          <w:trHeight w:val="315"/>
        </w:trPr>
        <w:tc>
          <w:tcPr>
            <w:tcW w:w="15029" w:type="dxa"/>
            <w:gridSpan w:val="15"/>
            <w:tcBorders>
              <w:top w:val="nil"/>
              <w:left w:val="single" w:sz="8" w:space="0" w:color="auto"/>
              <w:bottom w:val="single" w:sz="4" w:space="0" w:color="auto"/>
              <w:right w:val="single" w:sz="8" w:space="0" w:color="000000"/>
            </w:tcBorders>
            <w:shd w:val="clear" w:color="000000" w:fill="92D050"/>
            <w:vAlign w:val="center"/>
            <w:hideMark/>
          </w:tcPr>
          <w:p w:rsidR="005562BB" w:rsidRPr="005562BB" w:rsidRDefault="005562BB" w:rsidP="005562BB">
            <w:pPr>
              <w:jc w:val="lef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Intervention 1.5: Mise en œuvre de la Recherche action</w:t>
            </w:r>
          </w:p>
        </w:tc>
      </w:tr>
      <w:tr w:rsidR="005562BB" w:rsidRPr="005562BB" w:rsidTr="0034118B">
        <w:trPr>
          <w:trHeight w:val="41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1.5.1</w:t>
            </w:r>
          </w:p>
        </w:tc>
        <w:tc>
          <w:tcPr>
            <w:tcW w:w="3970" w:type="dxa"/>
            <w:tcBorders>
              <w:top w:val="nil"/>
              <w:left w:val="nil"/>
              <w:bottom w:val="single" w:sz="4" w:space="0" w:color="auto"/>
              <w:right w:val="single" w:sz="4" w:space="0" w:color="auto"/>
            </w:tcBorders>
            <w:shd w:val="clear" w:color="auto" w:fill="auto"/>
            <w:noWrap/>
            <w:vAlign w:val="center"/>
            <w:hideMark/>
          </w:tcPr>
          <w:p w:rsidR="005562BB" w:rsidRPr="005562BB" w:rsidRDefault="005562BB" w:rsidP="005562BB">
            <w:pPr>
              <w:rPr>
                <w:rFonts w:ascii="Calibri" w:eastAsia="Times New Roman" w:hAnsi="Calibri"/>
                <w:color w:val="000000"/>
                <w:lang w:val="fr-FR" w:eastAsia="fr-FR"/>
              </w:rPr>
            </w:pPr>
            <w:r w:rsidRPr="005562BB">
              <w:rPr>
                <w:rFonts w:ascii="Calibri" w:eastAsia="Times New Roman" w:hAnsi="Calibri"/>
                <w:color w:val="000000"/>
                <w:szCs w:val="22"/>
                <w:lang w:val="fr-FR" w:eastAsia="fr-FR"/>
              </w:rPr>
              <w:t>Elaborer le protocole de recherche action</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125</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125</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12 500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12 500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54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1.5.2</w:t>
            </w:r>
          </w:p>
        </w:tc>
        <w:tc>
          <w:tcPr>
            <w:tcW w:w="3970"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Multiplier et Diffuser le protocole de recherche action</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100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100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2 000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1.5.3</w:t>
            </w:r>
          </w:p>
        </w:tc>
        <w:tc>
          <w:tcPr>
            <w:tcW w:w="3970"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Former les gestionnaires et prestataires à la recherche action</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125</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125</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12 500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12 500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9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1.5.4</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Développer et documenter les bonnes pratiques (Réunions et communications scientifiques de 25 participants par session)</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25</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25</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25</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25</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100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2 500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2 500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2 500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2 500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10 000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70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1.5.5</w:t>
            </w:r>
          </w:p>
        </w:tc>
        <w:tc>
          <w:tcPr>
            <w:tcW w:w="3970"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Organiser des Journées scientifiques (Forum) sur la PTME et la prise en charge pédiatrique du VIH (60 part x 1 jr)</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60</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60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60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60</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240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75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4 500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4 500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4 500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4 500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18 000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743"/>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1.5.6</w:t>
            </w:r>
          </w:p>
        </w:tc>
        <w:tc>
          <w:tcPr>
            <w:tcW w:w="3970"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Mettre à échelle les bonnes pratiques (Ateliers régionaux de 25 part x 2 x 9 régions)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450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450</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900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75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33 750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33 750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67 500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15"/>
        </w:trPr>
        <w:tc>
          <w:tcPr>
            <w:tcW w:w="4679" w:type="dxa"/>
            <w:gridSpan w:val="2"/>
            <w:tcBorders>
              <w:top w:val="single" w:sz="4" w:space="0" w:color="auto"/>
              <w:left w:val="single" w:sz="8" w:space="0" w:color="auto"/>
              <w:bottom w:val="single" w:sz="4"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Intervention 1.5</w:t>
            </w:r>
          </w:p>
        </w:tc>
        <w:tc>
          <w:tcPr>
            <w:tcW w:w="627"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w:t>
            </w:r>
          </w:p>
        </w:tc>
        <w:tc>
          <w:tcPr>
            <w:tcW w:w="924"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7 000   </w:t>
            </w:r>
          </w:p>
        </w:tc>
        <w:tc>
          <w:tcPr>
            <w:tcW w:w="993"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67 750   </w:t>
            </w:r>
          </w:p>
        </w:tc>
        <w:tc>
          <w:tcPr>
            <w:tcW w:w="992"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7 000   </w:t>
            </w:r>
          </w:p>
        </w:tc>
        <w:tc>
          <w:tcPr>
            <w:tcW w:w="991" w:type="dxa"/>
            <w:tcBorders>
              <w:top w:val="nil"/>
              <w:left w:val="nil"/>
              <w:bottom w:val="single" w:sz="4"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40 750   </w:t>
            </w:r>
          </w:p>
        </w:tc>
        <w:tc>
          <w:tcPr>
            <w:tcW w:w="1278" w:type="dxa"/>
            <w:gridSpan w:val="2"/>
            <w:tcBorders>
              <w:top w:val="nil"/>
              <w:left w:val="nil"/>
              <w:bottom w:val="single" w:sz="4"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122 500   </w:t>
            </w:r>
          </w:p>
        </w:tc>
        <w:tc>
          <w:tcPr>
            <w:tcW w:w="709" w:type="dxa"/>
            <w:tcBorders>
              <w:top w:val="nil"/>
              <w:left w:val="nil"/>
              <w:bottom w:val="single" w:sz="4" w:space="0" w:color="auto"/>
              <w:right w:val="single" w:sz="8"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15"/>
        </w:trPr>
        <w:tc>
          <w:tcPr>
            <w:tcW w:w="8078" w:type="dxa"/>
            <w:gridSpan w:val="7"/>
            <w:tcBorders>
              <w:top w:val="single" w:sz="4" w:space="0" w:color="auto"/>
              <w:left w:val="single" w:sz="8" w:space="0" w:color="auto"/>
              <w:bottom w:val="single" w:sz="4" w:space="0" w:color="auto"/>
              <w:right w:val="single" w:sz="4" w:space="0" w:color="000000"/>
            </w:tcBorders>
            <w:shd w:val="clear" w:color="000000" w:fill="A5A5A5"/>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Axe Stratégique 1</w:t>
            </w:r>
          </w:p>
        </w:tc>
        <w:tc>
          <w:tcPr>
            <w:tcW w:w="924" w:type="dxa"/>
            <w:tcBorders>
              <w:top w:val="nil"/>
              <w:left w:val="nil"/>
              <w:bottom w:val="single" w:sz="4" w:space="0" w:color="auto"/>
              <w:right w:val="single" w:sz="4" w:space="0" w:color="auto"/>
            </w:tcBorders>
            <w:shd w:val="clear" w:color="000000" w:fill="A5A5A5"/>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nil"/>
              <w:left w:val="nil"/>
              <w:bottom w:val="single" w:sz="4" w:space="0" w:color="auto"/>
              <w:right w:val="single" w:sz="4" w:space="0" w:color="auto"/>
            </w:tcBorders>
            <w:shd w:val="clear" w:color="000000" w:fill="A5A5A5"/>
            <w:vAlign w:val="center"/>
            <w:hideMark/>
          </w:tcPr>
          <w:p w:rsidR="005562BB" w:rsidRPr="00BC523D" w:rsidRDefault="005562BB" w:rsidP="0034118B">
            <w:pPr>
              <w:jc w:val="right"/>
              <w:rPr>
                <w:rFonts w:ascii="Calibri" w:eastAsia="Times New Roman" w:hAnsi="Calibri"/>
                <w:b/>
                <w:bCs/>
                <w:color w:val="000000"/>
                <w:lang w:val="fr-FR" w:eastAsia="fr-FR"/>
              </w:rPr>
            </w:pPr>
            <w:r w:rsidRPr="00BC523D">
              <w:rPr>
                <w:rFonts w:ascii="Calibri" w:eastAsia="Times New Roman" w:hAnsi="Calibri"/>
                <w:b/>
                <w:bCs/>
                <w:color w:val="000000"/>
                <w:lang w:val="fr-FR" w:eastAsia="fr-FR"/>
              </w:rPr>
              <w:t xml:space="preserve">136 950   </w:t>
            </w:r>
          </w:p>
        </w:tc>
        <w:tc>
          <w:tcPr>
            <w:tcW w:w="993" w:type="dxa"/>
            <w:tcBorders>
              <w:top w:val="nil"/>
              <w:left w:val="nil"/>
              <w:bottom w:val="single" w:sz="4" w:space="0" w:color="auto"/>
              <w:right w:val="single" w:sz="4" w:space="0" w:color="auto"/>
            </w:tcBorders>
            <w:shd w:val="clear" w:color="000000" w:fill="A5A5A5"/>
            <w:vAlign w:val="center"/>
            <w:hideMark/>
          </w:tcPr>
          <w:p w:rsidR="005562BB" w:rsidRPr="00BC523D" w:rsidRDefault="005562BB" w:rsidP="0034118B">
            <w:pPr>
              <w:jc w:val="right"/>
              <w:rPr>
                <w:rFonts w:ascii="Calibri" w:eastAsia="Times New Roman" w:hAnsi="Calibri"/>
                <w:b/>
                <w:bCs/>
                <w:color w:val="000000"/>
                <w:lang w:val="fr-FR" w:eastAsia="fr-FR"/>
              </w:rPr>
            </w:pPr>
            <w:r w:rsidRPr="00BC523D">
              <w:rPr>
                <w:rFonts w:ascii="Calibri" w:eastAsia="Times New Roman" w:hAnsi="Calibri"/>
                <w:b/>
                <w:bCs/>
                <w:color w:val="000000"/>
                <w:lang w:val="fr-FR" w:eastAsia="fr-FR"/>
              </w:rPr>
              <w:t xml:space="preserve">173 750   </w:t>
            </w:r>
          </w:p>
        </w:tc>
        <w:tc>
          <w:tcPr>
            <w:tcW w:w="992" w:type="dxa"/>
            <w:tcBorders>
              <w:top w:val="nil"/>
              <w:left w:val="nil"/>
              <w:bottom w:val="single" w:sz="4" w:space="0" w:color="auto"/>
              <w:right w:val="single" w:sz="4" w:space="0" w:color="auto"/>
            </w:tcBorders>
            <w:shd w:val="clear" w:color="000000" w:fill="A5A5A5"/>
            <w:vAlign w:val="center"/>
            <w:hideMark/>
          </w:tcPr>
          <w:p w:rsidR="005562BB" w:rsidRPr="00BC523D" w:rsidRDefault="005562BB" w:rsidP="0034118B">
            <w:pPr>
              <w:jc w:val="right"/>
              <w:rPr>
                <w:rFonts w:ascii="Calibri" w:eastAsia="Times New Roman" w:hAnsi="Calibri"/>
                <w:b/>
                <w:bCs/>
                <w:color w:val="000000"/>
                <w:lang w:val="fr-FR" w:eastAsia="fr-FR"/>
              </w:rPr>
            </w:pPr>
            <w:r w:rsidRPr="00BC523D">
              <w:rPr>
                <w:rFonts w:ascii="Calibri" w:eastAsia="Times New Roman" w:hAnsi="Calibri"/>
                <w:b/>
                <w:bCs/>
                <w:color w:val="000000"/>
                <w:lang w:val="fr-FR" w:eastAsia="fr-FR"/>
              </w:rPr>
              <w:t xml:space="preserve">74 500   </w:t>
            </w:r>
          </w:p>
        </w:tc>
        <w:tc>
          <w:tcPr>
            <w:tcW w:w="991" w:type="dxa"/>
            <w:tcBorders>
              <w:top w:val="nil"/>
              <w:left w:val="nil"/>
              <w:bottom w:val="single" w:sz="4" w:space="0" w:color="auto"/>
              <w:right w:val="single" w:sz="4" w:space="0" w:color="auto"/>
            </w:tcBorders>
            <w:shd w:val="clear" w:color="000000" w:fill="A5A5A5"/>
            <w:vAlign w:val="center"/>
            <w:hideMark/>
          </w:tcPr>
          <w:p w:rsidR="005562BB" w:rsidRPr="00BC523D" w:rsidRDefault="005562BB" w:rsidP="0034118B">
            <w:pPr>
              <w:jc w:val="right"/>
              <w:rPr>
                <w:rFonts w:ascii="Calibri" w:eastAsia="Times New Roman" w:hAnsi="Calibri"/>
                <w:b/>
                <w:bCs/>
                <w:color w:val="000000"/>
                <w:lang w:val="fr-FR" w:eastAsia="fr-FR"/>
              </w:rPr>
            </w:pPr>
            <w:r w:rsidRPr="00BC523D">
              <w:rPr>
                <w:rFonts w:ascii="Calibri" w:eastAsia="Times New Roman" w:hAnsi="Calibri"/>
                <w:b/>
                <w:bCs/>
                <w:color w:val="000000"/>
                <w:lang w:val="fr-FR" w:eastAsia="fr-FR"/>
              </w:rPr>
              <w:t xml:space="preserve">134 750   </w:t>
            </w:r>
          </w:p>
        </w:tc>
        <w:tc>
          <w:tcPr>
            <w:tcW w:w="1278" w:type="dxa"/>
            <w:gridSpan w:val="2"/>
            <w:tcBorders>
              <w:top w:val="nil"/>
              <w:left w:val="nil"/>
              <w:bottom w:val="single" w:sz="4" w:space="0" w:color="auto"/>
              <w:right w:val="single" w:sz="4" w:space="0" w:color="auto"/>
            </w:tcBorders>
            <w:shd w:val="clear" w:color="000000" w:fill="A5A5A5"/>
            <w:vAlign w:val="center"/>
            <w:hideMark/>
          </w:tcPr>
          <w:p w:rsidR="005562BB" w:rsidRPr="00BC523D" w:rsidRDefault="005562BB" w:rsidP="0034118B">
            <w:pPr>
              <w:jc w:val="right"/>
              <w:rPr>
                <w:rFonts w:ascii="Calibri" w:eastAsia="Times New Roman" w:hAnsi="Calibri"/>
                <w:b/>
                <w:bCs/>
                <w:color w:val="000000"/>
                <w:lang w:val="fr-FR" w:eastAsia="fr-FR"/>
              </w:rPr>
            </w:pPr>
            <w:r w:rsidRPr="00BC523D">
              <w:rPr>
                <w:rFonts w:ascii="Calibri" w:eastAsia="Times New Roman" w:hAnsi="Calibri"/>
                <w:b/>
                <w:bCs/>
                <w:color w:val="000000"/>
                <w:lang w:val="fr-FR" w:eastAsia="fr-FR"/>
              </w:rPr>
              <w:t xml:space="preserve">519 950   </w:t>
            </w:r>
          </w:p>
        </w:tc>
        <w:tc>
          <w:tcPr>
            <w:tcW w:w="709" w:type="dxa"/>
            <w:tcBorders>
              <w:top w:val="nil"/>
              <w:left w:val="nil"/>
              <w:bottom w:val="single" w:sz="4" w:space="0" w:color="auto"/>
              <w:right w:val="single" w:sz="8" w:space="0" w:color="auto"/>
            </w:tcBorders>
            <w:shd w:val="clear" w:color="000000" w:fill="A5A5A5"/>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ED18BA" w:rsidTr="0034118B">
        <w:trPr>
          <w:trHeight w:val="315"/>
        </w:trPr>
        <w:tc>
          <w:tcPr>
            <w:tcW w:w="15029" w:type="dxa"/>
            <w:gridSpan w:val="15"/>
            <w:tcBorders>
              <w:top w:val="single" w:sz="4" w:space="0" w:color="auto"/>
              <w:left w:val="single" w:sz="8" w:space="0" w:color="auto"/>
              <w:bottom w:val="single" w:sz="4" w:space="0" w:color="auto"/>
              <w:right w:val="single" w:sz="8" w:space="0" w:color="000000"/>
            </w:tcBorders>
            <w:shd w:val="clear" w:color="000000" w:fill="00B0F0"/>
            <w:vAlign w:val="center"/>
            <w:hideMark/>
          </w:tcPr>
          <w:p w:rsidR="005562BB" w:rsidRPr="005562BB" w:rsidRDefault="005562BB" w:rsidP="005562BB">
            <w:pPr>
              <w:jc w:val="left"/>
              <w:rPr>
                <w:rFonts w:ascii="Calibri" w:eastAsia="Times New Roman" w:hAnsi="Calibri"/>
                <w:b/>
                <w:bCs/>
                <w:color w:val="000000"/>
                <w:sz w:val="28"/>
                <w:szCs w:val="28"/>
                <w:lang w:val="fr-FR" w:eastAsia="fr-FR"/>
              </w:rPr>
            </w:pPr>
            <w:r w:rsidRPr="0034118B">
              <w:rPr>
                <w:rFonts w:ascii="Calibri" w:eastAsia="Times New Roman" w:hAnsi="Calibri"/>
                <w:b/>
                <w:bCs/>
                <w:color w:val="000000"/>
                <w:sz w:val="24"/>
                <w:szCs w:val="28"/>
                <w:lang w:val="fr-FR" w:eastAsia="fr-FR"/>
              </w:rPr>
              <w:t>Axe Stratégique 2: Renforcement des capacités des services pour offrir des soins et services de prise en charge pédiatrique du VIH de qualité</w:t>
            </w:r>
          </w:p>
        </w:tc>
      </w:tr>
      <w:tr w:rsidR="005562BB" w:rsidRPr="00ED18BA" w:rsidTr="0034118B">
        <w:trPr>
          <w:trHeight w:val="315"/>
        </w:trPr>
        <w:tc>
          <w:tcPr>
            <w:tcW w:w="15029" w:type="dxa"/>
            <w:gridSpan w:val="15"/>
            <w:tcBorders>
              <w:top w:val="single" w:sz="4" w:space="0" w:color="auto"/>
              <w:left w:val="single" w:sz="8" w:space="0" w:color="auto"/>
              <w:bottom w:val="single" w:sz="4" w:space="0" w:color="auto"/>
              <w:right w:val="single" w:sz="8" w:space="0" w:color="000000"/>
            </w:tcBorders>
            <w:shd w:val="clear" w:color="000000" w:fill="92D050"/>
            <w:vAlign w:val="bottom"/>
            <w:hideMark/>
          </w:tcPr>
          <w:p w:rsidR="005562BB" w:rsidRPr="005562BB" w:rsidRDefault="005562BB" w:rsidP="005562BB">
            <w:pPr>
              <w:jc w:val="lef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Intervention 2.1: Accélération de l’intégration des activités de PECP dans les services de SRMNIA/PTME</w:t>
            </w:r>
          </w:p>
        </w:tc>
      </w:tr>
      <w:tr w:rsidR="005562BB" w:rsidRPr="005562BB" w:rsidTr="0034118B">
        <w:trPr>
          <w:trHeight w:val="11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2.1.1</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Organiser un atelier de définition et/ou d’actualisation des activités de PECP à inclure dans le PMA des Centres de santé et des Postes de santé (25 part x 5 jrs)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125</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125</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12 500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12 500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15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2.1.2</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Elaborer et  diffuser les normes minimales requises et les Directives opérationnelles du processus d'intégration de la PECP dans les CS et les PS (1 consultant national + Reproduction et diffusion)</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w:t>
            </w:r>
          </w:p>
        </w:tc>
        <w:tc>
          <w:tcPr>
            <w:tcW w:w="924" w:type="dxa"/>
            <w:tcBorders>
              <w:top w:val="single" w:sz="4" w:space="0" w:color="auto"/>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27 000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27 000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27 000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2.1.3</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Elaborer les Directives de délégation des tâches (1 consultant national)</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04CB0">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7 000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7 000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7 000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856"/>
        </w:trPr>
        <w:tc>
          <w:tcPr>
            <w:tcW w:w="709" w:type="dxa"/>
            <w:tcBorders>
              <w:top w:val="nil"/>
              <w:left w:val="single" w:sz="8" w:space="0" w:color="auto"/>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2.1.4</w:t>
            </w:r>
          </w:p>
        </w:tc>
        <w:tc>
          <w:tcPr>
            <w:tcW w:w="3970" w:type="dxa"/>
            <w:tcBorders>
              <w:top w:val="nil"/>
              <w:left w:val="nil"/>
              <w:bottom w:val="nil"/>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Intégrer chaque année la PECP dans 30 nouveaux CS y compris les structures privées</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30</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30</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30</w:t>
            </w:r>
          </w:p>
        </w:tc>
        <w:tc>
          <w:tcPr>
            <w:tcW w:w="749"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PM</w:t>
            </w:r>
          </w:p>
        </w:tc>
        <w:tc>
          <w:tcPr>
            <w:tcW w:w="924" w:type="dxa"/>
            <w:tcBorders>
              <w:top w:val="nil"/>
              <w:left w:val="nil"/>
              <w:bottom w:val="nil"/>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3"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     </w:t>
            </w:r>
          </w:p>
        </w:tc>
        <w:tc>
          <w:tcPr>
            <w:tcW w:w="709" w:type="dxa"/>
            <w:tcBorders>
              <w:top w:val="nil"/>
              <w:left w:val="nil"/>
              <w:bottom w:val="nil"/>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34"/>
        </w:trPr>
        <w:tc>
          <w:tcPr>
            <w:tcW w:w="4679" w:type="dxa"/>
            <w:gridSpan w:val="2"/>
            <w:tcBorders>
              <w:top w:val="single" w:sz="8" w:space="0" w:color="auto"/>
              <w:left w:val="single" w:sz="8" w:space="0" w:color="auto"/>
              <w:bottom w:val="single" w:sz="8"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Intervention 2.1</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w:t>
            </w:r>
          </w:p>
        </w:tc>
        <w:tc>
          <w:tcPr>
            <w:tcW w:w="92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46 500   </w:t>
            </w:r>
          </w:p>
        </w:tc>
        <w:tc>
          <w:tcPr>
            <w:tcW w:w="993"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     </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     </w:t>
            </w:r>
          </w:p>
        </w:tc>
        <w:tc>
          <w:tcPr>
            <w:tcW w:w="991"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     </w:t>
            </w:r>
          </w:p>
        </w:tc>
        <w:tc>
          <w:tcPr>
            <w:tcW w:w="1278" w:type="dxa"/>
            <w:gridSpan w:val="2"/>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46 500   </w:t>
            </w:r>
          </w:p>
        </w:tc>
        <w:tc>
          <w:tcPr>
            <w:tcW w:w="709" w:type="dxa"/>
            <w:tcBorders>
              <w:top w:val="single" w:sz="8" w:space="0" w:color="auto"/>
              <w:left w:val="nil"/>
              <w:bottom w:val="single" w:sz="8" w:space="0" w:color="auto"/>
              <w:right w:val="single" w:sz="8"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ED18BA" w:rsidTr="0034118B">
        <w:trPr>
          <w:trHeight w:val="315"/>
        </w:trPr>
        <w:tc>
          <w:tcPr>
            <w:tcW w:w="15029" w:type="dxa"/>
            <w:gridSpan w:val="15"/>
            <w:tcBorders>
              <w:top w:val="nil"/>
              <w:left w:val="single" w:sz="8" w:space="0" w:color="auto"/>
              <w:bottom w:val="single" w:sz="4" w:space="0" w:color="auto"/>
              <w:right w:val="single" w:sz="8" w:space="0" w:color="000000"/>
            </w:tcBorders>
            <w:shd w:val="clear" w:color="000000" w:fill="92D050"/>
            <w:vAlign w:val="center"/>
            <w:hideMark/>
          </w:tcPr>
          <w:p w:rsidR="005562BB" w:rsidRPr="005562BB" w:rsidRDefault="005562BB" w:rsidP="005562BB">
            <w:pPr>
              <w:jc w:val="left"/>
              <w:rPr>
                <w:rFonts w:ascii="Calibri" w:eastAsia="Times New Roman" w:hAnsi="Calibri"/>
                <w:b/>
                <w:bCs/>
                <w:sz w:val="24"/>
                <w:lang w:val="fr-FR" w:eastAsia="fr-FR"/>
              </w:rPr>
            </w:pPr>
            <w:r w:rsidRPr="005562BB">
              <w:rPr>
                <w:rFonts w:ascii="Calibri" w:eastAsia="Times New Roman" w:hAnsi="Calibri"/>
                <w:b/>
                <w:bCs/>
                <w:sz w:val="24"/>
                <w:lang w:val="fr-FR" w:eastAsia="fr-FR"/>
              </w:rPr>
              <w:t>Intervention 2.2: Dotation des Formations sanitaires en équipements pour la PECP</w:t>
            </w:r>
          </w:p>
        </w:tc>
      </w:tr>
      <w:tr w:rsidR="005562BB" w:rsidRPr="005562BB" w:rsidTr="0034118B">
        <w:trPr>
          <w:trHeight w:val="6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2.2.1</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Organiser une mission d'évaluation des besoins en équipements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7 000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7 000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463"/>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2.2.2</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Doter 7 hôpitaux régionaux d'appareil pour la PCR</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7</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45 000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135 000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90 000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90 000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315 000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571"/>
        </w:trPr>
        <w:tc>
          <w:tcPr>
            <w:tcW w:w="709" w:type="dxa"/>
            <w:tcBorders>
              <w:top w:val="nil"/>
              <w:left w:val="single" w:sz="8" w:space="0" w:color="auto"/>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2.2.3</w:t>
            </w:r>
          </w:p>
        </w:tc>
        <w:tc>
          <w:tcPr>
            <w:tcW w:w="3970" w:type="dxa"/>
            <w:tcBorders>
              <w:top w:val="nil"/>
              <w:left w:val="nil"/>
              <w:bottom w:val="nil"/>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Doter 7 hôpitaux préfectoraux d'appareil pour les CD4 (Haut débit)</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7</w:t>
            </w:r>
          </w:p>
        </w:tc>
        <w:tc>
          <w:tcPr>
            <w:tcW w:w="924" w:type="dxa"/>
            <w:tcBorders>
              <w:top w:val="nil"/>
              <w:left w:val="nil"/>
              <w:bottom w:val="nil"/>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30 000   </w:t>
            </w:r>
          </w:p>
        </w:tc>
        <w:tc>
          <w:tcPr>
            <w:tcW w:w="1064"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90 000   </w:t>
            </w:r>
          </w:p>
        </w:tc>
        <w:tc>
          <w:tcPr>
            <w:tcW w:w="993"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60 000   </w:t>
            </w:r>
          </w:p>
        </w:tc>
        <w:tc>
          <w:tcPr>
            <w:tcW w:w="992"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60 000   </w:t>
            </w:r>
          </w:p>
        </w:tc>
        <w:tc>
          <w:tcPr>
            <w:tcW w:w="991"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210 000   </w:t>
            </w:r>
          </w:p>
        </w:tc>
        <w:tc>
          <w:tcPr>
            <w:tcW w:w="709" w:type="dxa"/>
            <w:tcBorders>
              <w:top w:val="nil"/>
              <w:left w:val="nil"/>
              <w:bottom w:val="nil"/>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30"/>
        </w:trPr>
        <w:tc>
          <w:tcPr>
            <w:tcW w:w="4679" w:type="dxa"/>
            <w:gridSpan w:val="2"/>
            <w:tcBorders>
              <w:top w:val="single" w:sz="8" w:space="0" w:color="auto"/>
              <w:left w:val="single" w:sz="8" w:space="0" w:color="auto"/>
              <w:bottom w:val="single" w:sz="8"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Intervention 2.2</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w:t>
            </w:r>
          </w:p>
        </w:tc>
        <w:tc>
          <w:tcPr>
            <w:tcW w:w="92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single" w:sz="8" w:space="0" w:color="auto"/>
              <w:left w:val="nil"/>
              <w:bottom w:val="single" w:sz="8" w:space="0" w:color="auto"/>
              <w:right w:val="single" w:sz="4" w:space="0" w:color="auto"/>
            </w:tcBorders>
            <w:shd w:val="clear" w:color="000000" w:fill="FFFF00"/>
            <w:vAlign w:val="center"/>
            <w:hideMark/>
          </w:tcPr>
          <w:p w:rsidR="005562BB" w:rsidRPr="00504CB0" w:rsidRDefault="005562BB" w:rsidP="0034118B">
            <w:pPr>
              <w:jc w:val="right"/>
              <w:rPr>
                <w:rFonts w:ascii="Calibri" w:eastAsia="Times New Roman" w:hAnsi="Calibri"/>
                <w:b/>
                <w:bCs/>
                <w:color w:val="000000"/>
                <w:lang w:val="fr-FR" w:eastAsia="fr-FR"/>
              </w:rPr>
            </w:pPr>
            <w:r w:rsidRPr="00504CB0">
              <w:rPr>
                <w:rFonts w:ascii="Calibri" w:eastAsia="Times New Roman" w:hAnsi="Calibri"/>
                <w:b/>
                <w:bCs/>
                <w:color w:val="000000"/>
                <w:lang w:val="fr-FR" w:eastAsia="fr-FR"/>
              </w:rPr>
              <w:t xml:space="preserve">232 000   </w:t>
            </w:r>
          </w:p>
        </w:tc>
        <w:tc>
          <w:tcPr>
            <w:tcW w:w="993" w:type="dxa"/>
            <w:tcBorders>
              <w:top w:val="single" w:sz="8" w:space="0" w:color="auto"/>
              <w:left w:val="nil"/>
              <w:bottom w:val="single" w:sz="8" w:space="0" w:color="auto"/>
              <w:right w:val="single" w:sz="4" w:space="0" w:color="auto"/>
            </w:tcBorders>
            <w:shd w:val="clear" w:color="000000" w:fill="FFFF00"/>
            <w:vAlign w:val="center"/>
            <w:hideMark/>
          </w:tcPr>
          <w:p w:rsidR="005562BB" w:rsidRPr="00504CB0" w:rsidRDefault="005562BB" w:rsidP="0034118B">
            <w:pPr>
              <w:jc w:val="right"/>
              <w:rPr>
                <w:rFonts w:ascii="Calibri" w:eastAsia="Times New Roman" w:hAnsi="Calibri"/>
                <w:b/>
                <w:bCs/>
                <w:color w:val="000000"/>
                <w:lang w:val="fr-FR" w:eastAsia="fr-FR"/>
              </w:rPr>
            </w:pPr>
            <w:r w:rsidRPr="00504CB0">
              <w:rPr>
                <w:rFonts w:ascii="Calibri" w:eastAsia="Times New Roman" w:hAnsi="Calibri"/>
                <w:b/>
                <w:bCs/>
                <w:color w:val="000000"/>
                <w:lang w:val="fr-FR" w:eastAsia="fr-FR"/>
              </w:rPr>
              <w:t xml:space="preserve">150 000   </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rsidR="005562BB" w:rsidRPr="00504CB0" w:rsidRDefault="005562BB" w:rsidP="0034118B">
            <w:pPr>
              <w:jc w:val="right"/>
              <w:rPr>
                <w:rFonts w:ascii="Calibri" w:eastAsia="Times New Roman" w:hAnsi="Calibri"/>
                <w:b/>
                <w:bCs/>
                <w:color w:val="000000"/>
                <w:lang w:val="fr-FR" w:eastAsia="fr-FR"/>
              </w:rPr>
            </w:pPr>
            <w:r w:rsidRPr="00504CB0">
              <w:rPr>
                <w:rFonts w:ascii="Calibri" w:eastAsia="Times New Roman" w:hAnsi="Calibri"/>
                <w:b/>
                <w:bCs/>
                <w:color w:val="000000"/>
                <w:lang w:val="fr-FR" w:eastAsia="fr-FR"/>
              </w:rPr>
              <w:t xml:space="preserve">150000   </w:t>
            </w:r>
          </w:p>
        </w:tc>
        <w:tc>
          <w:tcPr>
            <w:tcW w:w="991" w:type="dxa"/>
            <w:tcBorders>
              <w:top w:val="single" w:sz="8" w:space="0" w:color="auto"/>
              <w:left w:val="nil"/>
              <w:bottom w:val="single" w:sz="8" w:space="0" w:color="auto"/>
              <w:right w:val="single" w:sz="4" w:space="0" w:color="auto"/>
            </w:tcBorders>
            <w:shd w:val="clear" w:color="000000" w:fill="FFFF00"/>
            <w:vAlign w:val="center"/>
            <w:hideMark/>
          </w:tcPr>
          <w:p w:rsidR="005562BB" w:rsidRPr="00504CB0" w:rsidRDefault="005562BB" w:rsidP="0034118B">
            <w:pPr>
              <w:jc w:val="right"/>
              <w:rPr>
                <w:rFonts w:ascii="Calibri" w:eastAsia="Times New Roman" w:hAnsi="Calibri"/>
                <w:b/>
                <w:bCs/>
                <w:color w:val="000000"/>
                <w:lang w:val="fr-FR" w:eastAsia="fr-FR"/>
              </w:rPr>
            </w:pPr>
            <w:r w:rsidRPr="00504CB0">
              <w:rPr>
                <w:rFonts w:ascii="Calibri" w:eastAsia="Times New Roman" w:hAnsi="Calibri"/>
                <w:b/>
                <w:bCs/>
                <w:color w:val="000000"/>
                <w:lang w:val="fr-FR" w:eastAsia="fr-FR"/>
              </w:rPr>
              <w:t xml:space="preserve">              -     </w:t>
            </w:r>
          </w:p>
        </w:tc>
        <w:tc>
          <w:tcPr>
            <w:tcW w:w="1278" w:type="dxa"/>
            <w:gridSpan w:val="2"/>
            <w:tcBorders>
              <w:top w:val="single" w:sz="8" w:space="0" w:color="auto"/>
              <w:left w:val="nil"/>
              <w:bottom w:val="single" w:sz="8" w:space="0" w:color="auto"/>
              <w:right w:val="single" w:sz="4" w:space="0" w:color="auto"/>
            </w:tcBorders>
            <w:shd w:val="clear" w:color="000000" w:fill="FFFF00"/>
            <w:vAlign w:val="center"/>
            <w:hideMark/>
          </w:tcPr>
          <w:p w:rsidR="005562BB" w:rsidRPr="00504CB0" w:rsidRDefault="005562BB" w:rsidP="0034118B">
            <w:pPr>
              <w:jc w:val="right"/>
              <w:rPr>
                <w:rFonts w:ascii="Calibri" w:eastAsia="Times New Roman" w:hAnsi="Calibri"/>
                <w:b/>
                <w:bCs/>
                <w:color w:val="000000"/>
                <w:lang w:val="fr-FR" w:eastAsia="fr-FR"/>
              </w:rPr>
            </w:pPr>
            <w:r w:rsidRPr="00504CB0">
              <w:rPr>
                <w:rFonts w:ascii="Calibri" w:eastAsia="Times New Roman" w:hAnsi="Calibri"/>
                <w:b/>
                <w:bCs/>
                <w:color w:val="000000"/>
                <w:lang w:val="fr-FR" w:eastAsia="fr-FR"/>
              </w:rPr>
              <w:t xml:space="preserve">532 000   </w:t>
            </w:r>
          </w:p>
        </w:tc>
        <w:tc>
          <w:tcPr>
            <w:tcW w:w="709" w:type="dxa"/>
            <w:tcBorders>
              <w:top w:val="single" w:sz="8" w:space="0" w:color="auto"/>
              <w:left w:val="nil"/>
              <w:bottom w:val="single" w:sz="8" w:space="0" w:color="auto"/>
              <w:right w:val="single" w:sz="8"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ED18BA" w:rsidTr="0034118B">
        <w:trPr>
          <w:trHeight w:val="315"/>
        </w:trPr>
        <w:tc>
          <w:tcPr>
            <w:tcW w:w="15029" w:type="dxa"/>
            <w:gridSpan w:val="15"/>
            <w:tcBorders>
              <w:top w:val="nil"/>
              <w:left w:val="single" w:sz="8" w:space="0" w:color="auto"/>
              <w:bottom w:val="single" w:sz="4" w:space="0" w:color="auto"/>
              <w:right w:val="single" w:sz="8" w:space="0" w:color="000000"/>
            </w:tcBorders>
            <w:shd w:val="clear" w:color="000000" w:fill="92D050"/>
            <w:vAlign w:val="center"/>
            <w:hideMark/>
          </w:tcPr>
          <w:p w:rsidR="005562BB" w:rsidRPr="005562BB" w:rsidRDefault="005562BB" w:rsidP="005562BB">
            <w:pPr>
              <w:jc w:val="lef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Intervention 2.3: Organiser la maintenance préventive et curative des équip</w:t>
            </w:r>
            <w:r w:rsidR="00824164">
              <w:rPr>
                <w:rFonts w:ascii="Calibri" w:eastAsia="Times New Roman" w:hAnsi="Calibri"/>
                <w:b/>
                <w:bCs/>
                <w:color w:val="000000"/>
                <w:sz w:val="24"/>
                <w:lang w:val="fr-FR" w:eastAsia="fr-FR"/>
              </w:rPr>
              <w:t>e</w:t>
            </w:r>
            <w:r w:rsidRPr="005562BB">
              <w:rPr>
                <w:rFonts w:ascii="Calibri" w:eastAsia="Times New Roman" w:hAnsi="Calibri"/>
                <w:b/>
                <w:bCs/>
                <w:color w:val="000000"/>
                <w:sz w:val="24"/>
                <w:lang w:val="fr-FR" w:eastAsia="fr-FR"/>
              </w:rPr>
              <w:t>ments</w:t>
            </w:r>
          </w:p>
        </w:tc>
      </w:tr>
      <w:tr w:rsidR="005562BB" w:rsidRPr="005562BB" w:rsidTr="0034118B">
        <w:trPr>
          <w:trHeight w:val="80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2.3.1</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Former 20 techniciens dans la maintenance préventive et curative des équipments (20 part x 7 jrs)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140</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140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14 000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14 000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15"/>
        </w:trPr>
        <w:tc>
          <w:tcPr>
            <w:tcW w:w="709" w:type="dxa"/>
            <w:tcBorders>
              <w:top w:val="nil"/>
              <w:left w:val="single" w:sz="8" w:space="0" w:color="auto"/>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2.3.2</w:t>
            </w:r>
          </w:p>
        </w:tc>
        <w:tc>
          <w:tcPr>
            <w:tcW w:w="3970" w:type="dxa"/>
            <w:tcBorders>
              <w:top w:val="nil"/>
              <w:left w:val="nil"/>
              <w:bottom w:val="nil"/>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Assurer la réparation des équipements en panne</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749"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4</w:t>
            </w:r>
          </w:p>
        </w:tc>
        <w:tc>
          <w:tcPr>
            <w:tcW w:w="924" w:type="dxa"/>
            <w:tcBorders>
              <w:top w:val="nil"/>
              <w:left w:val="nil"/>
              <w:bottom w:val="nil"/>
              <w:right w:val="single" w:sz="4" w:space="0" w:color="auto"/>
            </w:tcBorders>
            <w:shd w:val="clear" w:color="000000" w:fill="E2EFDA"/>
            <w:vAlign w:val="center"/>
            <w:hideMark/>
          </w:tcPr>
          <w:p w:rsidR="005562BB" w:rsidRPr="005562BB" w:rsidRDefault="005562BB" w:rsidP="00504CB0">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7 000   </w:t>
            </w:r>
          </w:p>
        </w:tc>
        <w:tc>
          <w:tcPr>
            <w:tcW w:w="1064"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7 000   </w:t>
            </w:r>
          </w:p>
        </w:tc>
        <w:tc>
          <w:tcPr>
            <w:tcW w:w="993"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7 000   </w:t>
            </w:r>
          </w:p>
        </w:tc>
        <w:tc>
          <w:tcPr>
            <w:tcW w:w="992"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7 000   </w:t>
            </w:r>
          </w:p>
        </w:tc>
        <w:tc>
          <w:tcPr>
            <w:tcW w:w="991"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7 000   </w:t>
            </w:r>
          </w:p>
        </w:tc>
        <w:tc>
          <w:tcPr>
            <w:tcW w:w="1278" w:type="dxa"/>
            <w:gridSpan w:val="2"/>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28 000   </w:t>
            </w:r>
          </w:p>
        </w:tc>
        <w:tc>
          <w:tcPr>
            <w:tcW w:w="709" w:type="dxa"/>
            <w:tcBorders>
              <w:top w:val="nil"/>
              <w:left w:val="nil"/>
              <w:bottom w:val="nil"/>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30"/>
        </w:trPr>
        <w:tc>
          <w:tcPr>
            <w:tcW w:w="4679" w:type="dxa"/>
            <w:gridSpan w:val="2"/>
            <w:tcBorders>
              <w:top w:val="single" w:sz="8" w:space="0" w:color="auto"/>
              <w:left w:val="single" w:sz="8" w:space="0" w:color="auto"/>
              <w:bottom w:val="single" w:sz="8"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Intervention 2.3</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w:t>
            </w:r>
          </w:p>
        </w:tc>
        <w:tc>
          <w:tcPr>
            <w:tcW w:w="92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21 000   </w:t>
            </w:r>
          </w:p>
        </w:tc>
        <w:tc>
          <w:tcPr>
            <w:tcW w:w="993"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7 000   </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7 000   </w:t>
            </w:r>
          </w:p>
        </w:tc>
        <w:tc>
          <w:tcPr>
            <w:tcW w:w="991"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7 000   </w:t>
            </w:r>
          </w:p>
        </w:tc>
        <w:tc>
          <w:tcPr>
            <w:tcW w:w="1278" w:type="dxa"/>
            <w:gridSpan w:val="2"/>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42 000   </w:t>
            </w:r>
          </w:p>
        </w:tc>
        <w:tc>
          <w:tcPr>
            <w:tcW w:w="709" w:type="dxa"/>
            <w:tcBorders>
              <w:top w:val="single" w:sz="8" w:space="0" w:color="auto"/>
              <w:left w:val="nil"/>
              <w:bottom w:val="single" w:sz="8" w:space="0" w:color="auto"/>
              <w:right w:val="single" w:sz="8"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ED18BA" w:rsidTr="0034118B">
        <w:trPr>
          <w:trHeight w:val="315"/>
        </w:trPr>
        <w:tc>
          <w:tcPr>
            <w:tcW w:w="15029" w:type="dxa"/>
            <w:gridSpan w:val="15"/>
            <w:tcBorders>
              <w:top w:val="single" w:sz="8" w:space="0" w:color="auto"/>
              <w:left w:val="single" w:sz="8" w:space="0" w:color="auto"/>
              <w:bottom w:val="single" w:sz="8" w:space="0" w:color="auto"/>
              <w:right w:val="single" w:sz="8" w:space="0" w:color="000000"/>
            </w:tcBorders>
            <w:shd w:val="clear" w:color="000000" w:fill="92D050"/>
            <w:vAlign w:val="center"/>
            <w:hideMark/>
          </w:tcPr>
          <w:p w:rsidR="005562BB" w:rsidRPr="005562BB" w:rsidRDefault="005562BB" w:rsidP="005562BB">
            <w:pPr>
              <w:jc w:val="lef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Intervention 2.4: Dotation des Formations sanitaires en réactifs et test de dépistage rapide VIH </w:t>
            </w:r>
          </w:p>
        </w:tc>
      </w:tr>
      <w:tr w:rsidR="005562BB" w:rsidRPr="005562BB" w:rsidTr="0034118B">
        <w:trPr>
          <w:trHeight w:val="9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2.4.1</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Evaluer les besoins en réactifs et consommables en fonction des cibles (réunions de quantification: 10 part x 3 jrs)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30</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30</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120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65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1 950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1 950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1 950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1 950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7 800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2.4.2</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Doter les formations sanitaires en tests de dépistage rapide du VIH</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4</w:t>
            </w:r>
          </w:p>
        </w:tc>
        <w:tc>
          <w:tcPr>
            <w:tcW w:w="924" w:type="dxa"/>
            <w:tcBorders>
              <w:top w:val="single" w:sz="4" w:space="0" w:color="auto"/>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150 000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150 000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150 000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150 000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150 000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600 000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2.4.3</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Doter les hôpitaux régionaux en réactifs de PCR</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4</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100 000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100 000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100 000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100 000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100 000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400 000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79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2.4.4</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Doter les hôpitaux préfectoraux, régionaux et CMC en réactifs de CD4</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4</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100 000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100 000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100 000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100 000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400 000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1082"/>
        </w:trPr>
        <w:tc>
          <w:tcPr>
            <w:tcW w:w="709" w:type="dxa"/>
            <w:tcBorders>
              <w:top w:val="nil"/>
              <w:left w:val="single" w:sz="8" w:space="0" w:color="auto"/>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2.4.5</w:t>
            </w:r>
          </w:p>
        </w:tc>
        <w:tc>
          <w:tcPr>
            <w:tcW w:w="3970" w:type="dxa"/>
            <w:tcBorders>
              <w:top w:val="nil"/>
              <w:left w:val="nil"/>
              <w:bottom w:val="nil"/>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Mettre en place un réseau de transport des échantillons et d'acheminement des résultats jusqu'au patient (PCR,CD4, Charge virale)</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749"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4</w:t>
            </w:r>
          </w:p>
        </w:tc>
        <w:tc>
          <w:tcPr>
            <w:tcW w:w="924" w:type="dxa"/>
            <w:tcBorders>
              <w:top w:val="nil"/>
              <w:left w:val="nil"/>
              <w:bottom w:val="nil"/>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50 000   </w:t>
            </w:r>
          </w:p>
        </w:tc>
        <w:tc>
          <w:tcPr>
            <w:tcW w:w="1064"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50 000   </w:t>
            </w:r>
          </w:p>
        </w:tc>
        <w:tc>
          <w:tcPr>
            <w:tcW w:w="993"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50 000   </w:t>
            </w:r>
          </w:p>
        </w:tc>
        <w:tc>
          <w:tcPr>
            <w:tcW w:w="992"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50 000   </w:t>
            </w:r>
          </w:p>
        </w:tc>
        <w:tc>
          <w:tcPr>
            <w:tcW w:w="991"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50 000   </w:t>
            </w:r>
          </w:p>
        </w:tc>
        <w:tc>
          <w:tcPr>
            <w:tcW w:w="1278" w:type="dxa"/>
            <w:gridSpan w:val="2"/>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200 000   </w:t>
            </w:r>
          </w:p>
        </w:tc>
        <w:tc>
          <w:tcPr>
            <w:tcW w:w="709" w:type="dxa"/>
            <w:tcBorders>
              <w:top w:val="nil"/>
              <w:left w:val="nil"/>
              <w:bottom w:val="nil"/>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15"/>
        </w:trPr>
        <w:tc>
          <w:tcPr>
            <w:tcW w:w="4679" w:type="dxa"/>
            <w:gridSpan w:val="2"/>
            <w:tcBorders>
              <w:top w:val="single" w:sz="8" w:space="0" w:color="auto"/>
              <w:left w:val="single" w:sz="8" w:space="0" w:color="auto"/>
              <w:bottom w:val="single" w:sz="8"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Intervention 2.4</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92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single" w:sz="8" w:space="0" w:color="auto"/>
              <w:left w:val="nil"/>
              <w:bottom w:val="single" w:sz="8" w:space="0" w:color="auto"/>
              <w:right w:val="single" w:sz="4" w:space="0" w:color="auto"/>
            </w:tcBorders>
            <w:shd w:val="clear" w:color="000000" w:fill="FFFF00"/>
            <w:vAlign w:val="center"/>
            <w:hideMark/>
          </w:tcPr>
          <w:p w:rsidR="005562BB" w:rsidRPr="008A1668" w:rsidRDefault="005562BB" w:rsidP="0034118B">
            <w:pPr>
              <w:jc w:val="right"/>
              <w:rPr>
                <w:rFonts w:ascii="Calibri" w:eastAsia="Times New Roman" w:hAnsi="Calibri"/>
                <w:b/>
                <w:bCs/>
                <w:color w:val="000000"/>
                <w:lang w:val="fr-FR" w:eastAsia="fr-FR"/>
              </w:rPr>
            </w:pPr>
            <w:r w:rsidRPr="008A1668">
              <w:rPr>
                <w:rFonts w:ascii="Calibri" w:eastAsia="Times New Roman" w:hAnsi="Calibri"/>
                <w:b/>
                <w:bCs/>
                <w:color w:val="000000"/>
                <w:lang w:val="fr-FR" w:eastAsia="fr-FR"/>
              </w:rPr>
              <w:t xml:space="preserve">401 950   </w:t>
            </w:r>
          </w:p>
        </w:tc>
        <w:tc>
          <w:tcPr>
            <w:tcW w:w="993" w:type="dxa"/>
            <w:tcBorders>
              <w:top w:val="single" w:sz="8" w:space="0" w:color="auto"/>
              <w:left w:val="nil"/>
              <w:bottom w:val="single" w:sz="8" w:space="0" w:color="auto"/>
              <w:right w:val="single" w:sz="4" w:space="0" w:color="auto"/>
            </w:tcBorders>
            <w:shd w:val="clear" w:color="000000" w:fill="FFFF00"/>
            <w:vAlign w:val="center"/>
            <w:hideMark/>
          </w:tcPr>
          <w:p w:rsidR="005562BB" w:rsidRPr="008A1668" w:rsidRDefault="005562BB" w:rsidP="0034118B">
            <w:pPr>
              <w:jc w:val="right"/>
              <w:rPr>
                <w:rFonts w:ascii="Calibri" w:eastAsia="Times New Roman" w:hAnsi="Calibri"/>
                <w:b/>
                <w:bCs/>
                <w:color w:val="000000"/>
                <w:lang w:val="fr-FR" w:eastAsia="fr-FR"/>
              </w:rPr>
            </w:pPr>
            <w:r w:rsidRPr="008A1668">
              <w:rPr>
                <w:rFonts w:ascii="Calibri" w:eastAsia="Times New Roman" w:hAnsi="Calibri"/>
                <w:b/>
                <w:bCs/>
                <w:color w:val="000000"/>
                <w:lang w:val="fr-FR" w:eastAsia="fr-FR"/>
              </w:rPr>
              <w:t xml:space="preserve">401 950   </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rsidR="005562BB" w:rsidRPr="008A1668" w:rsidRDefault="005562BB" w:rsidP="0034118B">
            <w:pPr>
              <w:jc w:val="right"/>
              <w:rPr>
                <w:rFonts w:ascii="Calibri" w:eastAsia="Times New Roman" w:hAnsi="Calibri"/>
                <w:b/>
                <w:bCs/>
                <w:color w:val="000000"/>
                <w:lang w:val="fr-FR" w:eastAsia="fr-FR"/>
              </w:rPr>
            </w:pPr>
            <w:r w:rsidRPr="008A1668">
              <w:rPr>
                <w:rFonts w:ascii="Calibri" w:eastAsia="Times New Roman" w:hAnsi="Calibri"/>
                <w:b/>
                <w:bCs/>
                <w:color w:val="000000"/>
                <w:lang w:val="fr-FR" w:eastAsia="fr-FR"/>
              </w:rPr>
              <w:t xml:space="preserve">401 950   </w:t>
            </w:r>
          </w:p>
        </w:tc>
        <w:tc>
          <w:tcPr>
            <w:tcW w:w="991" w:type="dxa"/>
            <w:tcBorders>
              <w:top w:val="single" w:sz="8" w:space="0" w:color="auto"/>
              <w:left w:val="nil"/>
              <w:bottom w:val="single" w:sz="8" w:space="0" w:color="auto"/>
              <w:right w:val="single" w:sz="4" w:space="0" w:color="auto"/>
            </w:tcBorders>
            <w:shd w:val="clear" w:color="000000" w:fill="FFFF00"/>
            <w:vAlign w:val="center"/>
            <w:hideMark/>
          </w:tcPr>
          <w:p w:rsidR="005562BB" w:rsidRPr="008A1668" w:rsidRDefault="005562BB" w:rsidP="0034118B">
            <w:pPr>
              <w:jc w:val="right"/>
              <w:rPr>
                <w:rFonts w:ascii="Calibri" w:eastAsia="Times New Roman" w:hAnsi="Calibri"/>
                <w:b/>
                <w:bCs/>
                <w:color w:val="000000"/>
                <w:lang w:val="fr-FR" w:eastAsia="fr-FR"/>
              </w:rPr>
            </w:pPr>
            <w:r w:rsidRPr="008A1668">
              <w:rPr>
                <w:rFonts w:ascii="Calibri" w:eastAsia="Times New Roman" w:hAnsi="Calibri"/>
                <w:b/>
                <w:bCs/>
                <w:color w:val="000000"/>
                <w:lang w:val="fr-FR" w:eastAsia="fr-FR"/>
              </w:rPr>
              <w:t xml:space="preserve">401 950   </w:t>
            </w:r>
          </w:p>
        </w:tc>
        <w:tc>
          <w:tcPr>
            <w:tcW w:w="1278" w:type="dxa"/>
            <w:gridSpan w:val="2"/>
            <w:tcBorders>
              <w:top w:val="single" w:sz="8" w:space="0" w:color="auto"/>
              <w:left w:val="nil"/>
              <w:bottom w:val="single" w:sz="8" w:space="0" w:color="auto"/>
              <w:right w:val="single" w:sz="4" w:space="0" w:color="auto"/>
            </w:tcBorders>
            <w:shd w:val="clear" w:color="000000" w:fill="FFFF00"/>
            <w:vAlign w:val="center"/>
            <w:hideMark/>
          </w:tcPr>
          <w:p w:rsidR="005562BB" w:rsidRPr="008A1668" w:rsidRDefault="005562BB" w:rsidP="0034118B">
            <w:pPr>
              <w:jc w:val="right"/>
              <w:rPr>
                <w:rFonts w:ascii="Calibri" w:eastAsia="Times New Roman" w:hAnsi="Calibri"/>
                <w:b/>
                <w:bCs/>
                <w:color w:val="000000"/>
                <w:lang w:val="fr-FR" w:eastAsia="fr-FR"/>
              </w:rPr>
            </w:pPr>
            <w:r w:rsidRPr="008A1668">
              <w:rPr>
                <w:rFonts w:ascii="Calibri" w:eastAsia="Times New Roman" w:hAnsi="Calibri"/>
                <w:b/>
                <w:bCs/>
                <w:color w:val="000000"/>
                <w:lang w:val="fr-FR" w:eastAsia="fr-FR"/>
              </w:rPr>
              <w:t xml:space="preserve">1 607 800   </w:t>
            </w:r>
          </w:p>
        </w:tc>
        <w:tc>
          <w:tcPr>
            <w:tcW w:w="709" w:type="dxa"/>
            <w:tcBorders>
              <w:top w:val="single" w:sz="8" w:space="0" w:color="auto"/>
              <w:left w:val="nil"/>
              <w:bottom w:val="single" w:sz="8" w:space="0" w:color="auto"/>
              <w:right w:val="single" w:sz="8" w:space="0" w:color="auto"/>
            </w:tcBorders>
            <w:shd w:val="clear" w:color="000000" w:fill="FFFF00"/>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ED18BA" w:rsidTr="0034118B">
        <w:trPr>
          <w:trHeight w:val="315"/>
        </w:trPr>
        <w:tc>
          <w:tcPr>
            <w:tcW w:w="15029" w:type="dxa"/>
            <w:gridSpan w:val="15"/>
            <w:tcBorders>
              <w:top w:val="single" w:sz="8" w:space="0" w:color="auto"/>
              <w:left w:val="single" w:sz="8" w:space="0" w:color="auto"/>
              <w:bottom w:val="single" w:sz="8" w:space="0" w:color="auto"/>
              <w:right w:val="single" w:sz="8" w:space="0" w:color="000000"/>
            </w:tcBorders>
            <w:shd w:val="clear" w:color="000000" w:fill="92D050"/>
            <w:vAlign w:val="center"/>
            <w:hideMark/>
          </w:tcPr>
          <w:p w:rsidR="005562BB" w:rsidRPr="005562BB" w:rsidRDefault="005562BB" w:rsidP="005562BB">
            <w:pPr>
              <w:jc w:val="lef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Intervention 2.5: Dotation des formations sanitaires des médicaments ARV pédiatriques et de prise en charge des infections opportunistes</w:t>
            </w:r>
          </w:p>
        </w:tc>
      </w:tr>
      <w:tr w:rsidR="005562BB" w:rsidRPr="005562BB" w:rsidTr="0034118B">
        <w:trPr>
          <w:trHeight w:val="73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2.5.1</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Faire la quantification des besoins en fonction des cibles à atteindre (Ref act 2.4.1)</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PM</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2.5.2</w:t>
            </w:r>
          </w:p>
        </w:tc>
        <w:tc>
          <w:tcPr>
            <w:tcW w:w="3970"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Doter les formations sanitaires en médicaments ARV pédiatriques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4927</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9714</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10881</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11723</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11723</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50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246 350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485 700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544 050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586 150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1 862 250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2.5.3</w:t>
            </w:r>
          </w:p>
        </w:tc>
        <w:tc>
          <w:tcPr>
            <w:tcW w:w="3970"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Doter les formations sanitaires en médicaments IO</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4927</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9714</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10881</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11723</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11723</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49 270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97 140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108 810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117 230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372 450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15"/>
        </w:trPr>
        <w:tc>
          <w:tcPr>
            <w:tcW w:w="709" w:type="dxa"/>
            <w:tcBorders>
              <w:top w:val="nil"/>
              <w:left w:val="single" w:sz="8" w:space="0" w:color="auto"/>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2.5.4</w:t>
            </w:r>
          </w:p>
        </w:tc>
        <w:tc>
          <w:tcPr>
            <w:tcW w:w="3970" w:type="dxa"/>
            <w:tcBorders>
              <w:top w:val="nil"/>
              <w:left w:val="nil"/>
              <w:bottom w:val="nil"/>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Assurer le stockage et la distribution des médicaments par niveau et aux sites</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749"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4</w:t>
            </w:r>
          </w:p>
        </w:tc>
        <w:tc>
          <w:tcPr>
            <w:tcW w:w="924" w:type="dxa"/>
            <w:tcBorders>
              <w:top w:val="nil"/>
              <w:left w:val="nil"/>
              <w:bottom w:val="nil"/>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10 500   </w:t>
            </w:r>
          </w:p>
        </w:tc>
        <w:tc>
          <w:tcPr>
            <w:tcW w:w="1064"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10 500   </w:t>
            </w:r>
          </w:p>
        </w:tc>
        <w:tc>
          <w:tcPr>
            <w:tcW w:w="993"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10 500   </w:t>
            </w:r>
          </w:p>
        </w:tc>
        <w:tc>
          <w:tcPr>
            <w:tcW w:w="992"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10 500   </w:t>
            </w:r>
          </w:p>
        </w:tc>
        <w:tc>
          <w:tcPr>
            <w:tcW w:w="991"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10 500   </w:t>
            </w:r>
          </w:p>
        </w:tc>
        <w:tc>
          <w:tcPr>
            <w:tcW w:w="1278" w:type="dxa"/>
            <w:gridSpan w:val="2"/>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42 000   </w:t>
            </w:r>
          </w:p>
        </w:tc>
        <w:tc>
          <w:tcPr>
            <w:tcW w:w="709" w:type="dxa"/>
            <w:tcBorders>
              <w:top w:val="nil"/>
              <w:left w:val="nil"/>
              <w:bottom w:val="nil"/>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30"/>
        </w:trPr>
        <w:tc>
          <w:tcPr>
            <w:tcW w:w="4679" w:type="dxa"/>
            <w:gridSpan w:val="2"/>
            <w:tcBorders>
              <w:top w:val="single" w:sz="8" w:space="0" w:color="auto"/>
              <w:left w:val="single" w:sz="8" w:space="0" w:color="auto"/>
              <w:bottom w:val="single" w:sz="8"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Intervention 2.5</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w:t>
            </w:r>
          </w:p>
        </w:tc>
        <w:tc>
          <w:tcPr>
            <w:tcW w:w="92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8A1668">
              <w:rPr>
                <w:rFonts w:ascii="Calibri" w:eastAsia="Times New Roman" w:hAnsi="Calibri"/>
                <w:b/>
                <w:bCs/>
                <w:color w:val="000000"/>
                <w:lang w:val="fr-FR" w:eastAsia="fr-FR"/>
              </w:rPr>
              <w:t xml:space="preserve">306 120   </w:t>
            </w:r>
          </w:p>
        </w:tc>
        <w:tc>
          <w:tcPr>
            <w:tcW w:w="993"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593 340   </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663 360   </w:t>
            </w:r>
          </w:p>
        </w:tc>
        <w:tc>
          <w:tcPr>
            <w:tcW w:w="991"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713 880   </w:t>
            </w:r>
          </w:p>
        </w:tc>
        <w:tc>
          <w:tcPr>
            <w:tcW w:w="1278" w:type="dxa"/>
            <w:gridSpan w:val="2"/>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2 276 700   </w:t>
            </w:r>
          </w:p>
        </w:tc>
        <w:tc>
          <w:tcPr>
            <w:tcW w:w="709" w:type="dxa"/>
            <w:tcBorders>
              <w:top w:val="single" w:sz="8" w:space="0" w:color="auto"/>
              <w:left w:val="nil"/>
              <w:bottom w:val="single" w:sz="8" w:space="0" w:color="auto"/>
              <w:right w:val="single" w:sz="8"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ED18BA" w:rsidTr="0034118B">
        <w:trPr>
          <w:trHeight w:val="315"/>
        </w:trPr>
        <w:tc>
          <w:tcPr>
            <w:tcW w:w="15029" w:type="dxa"/>
            <w:gridSpan w:val="15"/>
            <w:tcBorders>
              <w:top w:val="single" w:sz="8" w:space="0" w:color="auto"/>
              <w:left w:val="single" w:sz="8" w:space="0" w:color="auto"/>
              <w:bottom w:val="single" w:sz="8" w:space="0" w:color="auto"/>
              <w:right w:val="single" w:sz="8" w:space="0" w:color="000000"/>
            </w:tcBorders>
            <w:shd w:val="clear" w:color="000000" w:fill="92D050"/>
            <w:vAlign w:val="center"/>
            <w:hideMark/>
          </w:tcPr>
          <w:p w:rsidR="005562BB" w:rsidRPr="005562BB" w:rsidRDefault="005562BB" w:rsidP="005562BB">
            <w:pPr>
              <w:jc w:val="lef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Intervention 2.6: Renforcement des capacités des ressources humaines</w:t>
            </w:r>
          </w:p>
        </w:tc>
      </w:tr>
      <w:tr w:rsidR="005562BB" w:rsidRPr="005562BB" w:rsidTr="0034118B">
        <w:trPr>
          <w:trHeight w:val="8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2.6.1</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Organiser une mission d'évaluation des prestataires pour Identifier les besoins de formation</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7 000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7 000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9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2.6.2</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Former 75 laborantins au dépistage et à la réalisation du comptage des CD4 et de la PCR (50 An1 et 25 An2) pendant 5 jours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250</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125</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375</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25 000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12 500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37 500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2.6.3</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Former 150 infirmiers à la prise en charge pédiatrique (dépistage, initiation de la TARV, suivi des patients) pendant 3 jrs</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225</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225</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450</w:t>
            </w:r>
          </w:p>
        </w:tc>
        <w:tc>
          <w:tcPr>
            <w:tcW w:w="924" w:type="dxa"/>
            <w:tcBorders>
              <w:top w:val="single" w:sz="4" w:space="0" w:color="auto"/>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75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16 875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16 875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33 750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9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2.6.4</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Former 50 médecins à la prise en charge pédiatrique (dépistage, initiation de la TARV, suivi des patients) penda</w:t>
            </w:r>
            <w:r w:rsidR="008A1668">
              <w:rPr>
                <w:rFonts w:ascii="Calibri" w:eastAsia="Times New Roman" w:hAnsi="Calibri"/>
                <w:color w:val="000000"/>
                <w:szCs w:val="22"/>
                <w:lang w:val="fr-FR" w:eastAsia="fr-FR"/>
              </w:rPr>
              <w:t>n</w:t>
            </w:r>
            <w:r w:rsidRPr="005562BB">
              <w:rPr>
                <w:rFonts w:ascii="Calibri" w:eastAsia="Times New Roman" w:hAnsi="Calibri"/>
                <w:color w:val="000000"/>
                <w:szCs w:val="22"/>
                <w:lang w:val="fr-FR" w:eastAsia="fr-FR"/>
              </w:rPr>
              <w:t>t 4 jrs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200</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200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20 000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20 000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496"/>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2.6.5</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Former les DRS et les DPS au pilotage stratégique de la PECP</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120</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120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12 000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12 000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2.6.6</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Organiser les supervisions formatives par niveau (2 sup/an x 3 pers x 15 jours)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8</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7 500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15 000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15 000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15 000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60 000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427"/>
        </w:trPr>
        <w:tc>
          <w:tcPr>
            <w:tcW w:w="709" w:type="dxa"/>
            <w:tcBorders>
              <w:top w:val="nil"/>
              <w:left w:val="single" w:sz="8" w:space="0" w:color="auto"/>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2.6.7</w:t>
            </w:r>
          </w:p>
        </w:tc>
        <w:tc>
          <w:tcPr>
            <w:tcW w:w="3970" w:type="dxa"/>
            <w:tcBorders>
              <w:top w:val="nil"/>
              <w:left w:val="nil"/>
              <w:bottom w:val="nil"/>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Organiser le coaching des prestataires par niveau (Mission sur terrain)</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749"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4</w:t>
            </w:r>
          </w:p>
        </w:tc>
        <w:tc>
          <w:tcPr>
            <w:tcW w:w="924" w:type="dxa"/>
            <w:tcBorders>
              <w:top w:val="nil"/>
              <w:left w:val="nil"/>
              <w:bottom w:val="nil"/>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7 000   </w:t>
            </w:r>
          </w:p>
        </w:tc>
        <w:tc>
          <w:tcPr>
            <w:tcW w:w="1064"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7 000   </w:t>
            </w:r>
          </w:p>
        </w:tc>
        <w:tc>
          <w:tcPr>
            <w:tcW w:w="993"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7 000   </w:t>
            </w:r>
          </w:p>
        </w:tc>
        <w:tc>
          <w:tcPr>
            <w:tcW w:w="992"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7 000   </w:t>
            </w:r>
          </w:p>
        </w:tc>
        <w:tc>
          <w:tcPr>
            <w:tcW w:w="991"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7 000   </w:t>
            </w:r>
          </w:p>
        </w:tc>
        <w:tc>
          <w:tcPr>
            <w:tcW w:w="1278" w:type="dxa"/>
            <w:gridSpan w:val="2"/>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28 000   </w:t>
            </w:r>
          </w:p>
        </w:tc>
        <w:tc>
          <w:tcPr>
            <w:tcW w:w="709" w:type="dxa"/>
            <w:tcBorders>
              <w:top w:val="nil"/>
              <w:left w:val="nil"/>
              <w:bottom w:val="nil"/>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30"/>
        </w:trPr>
        <w:tc>
          <w:tcPr>
            <w:tcW w:w="4679" w:type="dxa"/>
            <w:gridSpan w:val="2"/>
            <w:tcBorders>
              <w:top w:val="single" w:sz="8" w:space="0" w:color="auto"/>
              <w:left w:val="single" w:sz="8" w:space="0" w:color="auto"/>
              <w:bottom w:val="single" w:sz="8"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Intervention 2.6</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w:t>
            </w:r>
          </w:p>
        </w:tc>
        <w:tc>
          <w:tcPr>
            <w:tcW w:w="92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8A1668">
              <w:rPr>
                <w:rFonts w:ascii="Calibri" w:eastAsia="Times New Roman" w:hAnsi="Calibri"/>
                <w:b/>
                <w:bCs/>
                <w:color w:val="000000"/>
                <w:lang w:val="fr-FR" w:eastAsia="fr-FR"/>
              </w:rPr>
              <w:t xml:space="preserve">102 875   </w:t>
            </w:r>
          </w:p>
        </w:tc>
        <w:tc>
          <w:tcPr>
            <w:tcW w:w="993"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51 375   </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22 000   </w:t>
            </w:r>
          </w:p>
        </w:tc>
        <w:tc>
          <w:tcPr>
            <w:tcW w:w="991"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22 000   </w:t>
            </w:r>
          </w:p>
        </w:tc>
        <w:tc>
          <w:tcPr>
            <w:tcW w:w="1278" w:type="dxa"/>
            <w:gridSpan w:val="2"/>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198 250   </w:t>
            </w:r>
          </w:p>
        </w:tc>
        <w:tc>
          <w:tcPr>
            <w:tcW w:w="709" w:type="dxa"/>
            <w:tcBorders>
              <w:top w:val="single" w:sz="8" w:space="0" w:color="auto"/>
              <w:left w:val="nil"/>
              <w:bottom w:val="single" w:sz="8" w:space="0" w:color="auto"/>
              <w:right w:val="single" w:sz="8"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ED18BA" w:rsidTr="0034118B">
        <w:trPr>
          <w:trHeight w:val="315"/>
        </w:trPr>
        <w:tc>
          <w:tcPr>
            <w:tcW w:w="15029" w:type="dxa"/>
            <w:gridSpan w:val="15"/>
            <w:tcBorders>
              <w:top w:val="single" w:sz="8" w:space="0" w:color="auto"/>
              <w:left w:val="single" w:sz="8" w:space="0" w:color="auto"/>
              <w:bottom w:val="single" w:sz="8" w:space="0" w:color="auto"/>
              <w:right w:val="single" w:sz="8" w:space="0" w:color="000000"/>
            </w:tcBorders>
            <w:shd w:val="clear" w:color="000000" w:fill="92D050"/>
            <w:vAlign w:val="center"/>
            <w:hideMark/>
          </w:tcPr>
          <w:p w:rsidR="005562BB" w:rsidRPr="005562BB" w:rsidRDefault="005562BB" w:rsidP="005562BB">
            <w:pPr>
              <w:jc w:val="left"/>
              <w:rPr>
                <w:rFonts w:ascii="Calibri" w:eastAsia="Times New Roman" w:hAnsi="Calibri"/>
                <w:b/>
                <w:bCs/>
                <w:sz w:val="24"/>
                <w:lang w:val="fr-FR" w:eastAsia="fr-FR"/>
              </w:rPr>
            </w:pPr>
            <w:r w:rsidRPr="005562BB">
              <w:rPr>
                <w:rFonts w:ascii="Calibri" w:eastAsia="Times New Roman" w:hAnsi="Calibri"/>
                <w:b/>
                <w:bCs/>
                <w:sz w:val="24"/>
                <w:lang w:val="fr-FR" w:eastAsia="fr-FR"/>
              </w:rPr>
              <w:t>Intervention 2.7: Renforcement du dépistage des enfants infectés par le VIH</w:t>
            </w:r>
          </w:p>
        </w:tc>
      </w:tr>
      <w:tr w:rsidR="005562BB" w:rsidRPr="005562BB" w:rsidTr="0034118B">
        <w:trPr>
          <w:trHeight w:val="66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2.7.1</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Mettre en place un réseau de transport des DBS et d'acheminement des résultats jusqu'au patient (Contrat de transport)</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4</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15 000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15 000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15 000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15 000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60 000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1099"/>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2.7.2</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 xml:space="preserve">Diffuser les Directives Opérationnelles de dépistage systématique à toutes les portes d'entrée (Confection et reproduction d'affiches  et </w:t>
            </w:r>
            <w:r w:rsidR="008A1668" w:rsidRPr="005562BB">
              <w:rPr>
                <w:rFonts w:ascii="Calibri" w:eastAsia="Times New Roman" w:hAnsi="Calibri"/>
                <w:szCs w:val="22"/>
                <w:lang w:val="fr-FR" w:eastAsia="fr-FR"/>
              </w:rPr>
              <w:t>algorithme</w:t>
            </w:r>
            <w:r w:rsidRPr="005562BB">
              <w:rPr>
                <w:rFonts w:ascii="Calibri" w:eastAsia="Times New Roman" w:hAnsi="Calibri"/>
                <w:szCs w:val="22"/>
                <w:lang w:val="fr-FR" w:eastAsia="fr-FR"/>
              </w:rPr>
              <w:t>)</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1000</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1000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2000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10 000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20 000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289"/>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2.7.3</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left"/>
              <w:rPr>
                <w:rFonts w:ascii="Calibri" w:eastAsia="Times New Roman" w:hAnsi="Calibri"/>
                <w:lang w:val="fr-FR" w:eastAsia="fr-FR"/>
              </w:rPr>
            </w:pPr>
            <w:r w:rsidRPr="005562BB">
              <w:rPr>
                <w:rFonts w:ascii="Calibri" w:eastAsia="Times New Roman" w:hAnsi="Calibri"/>
                <w:szCs w:val="22"/>
                <w:lang w:val="fr-FR" w:eastAsia="fr-FR"/>
              </w:rPr>
              <w:t>Décentraliser le dépistage au niveau PS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PM</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539"/>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2.7.4</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Mettre en place des stratégies de dépistage de la fratrie du cas index</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PM</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15"/>
        </w:trPr>
        <w:tc>
          <w:tcPr>
            <w:tcW w:w="709" w:type="dxa"/>
            <w:tcBorders>
              <w:top w:val="nil"/>
              <w:left w:val="single" w:sz="8" w:space="0" w:color="auto"/>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2.7.5</w:t>
            </w:r>
          </w:p>
        </w:tc>
        <w:tc>
          <w:tcPr>
            <w:tcW w:w="3970" w:type="dxa"/>
            <w:tcBorders>
              <w:top w:val="nil"/>
              <w:left w:val="nil"/>
              <w:bottom w:val="nil"/>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Organiser des campagnes de dépistage lors des Semaines de Mois de l'Enfant</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749"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4</w:t>
            </w:r>
          </w:p>
        </w:tc>
        <w:tc>
          <w:tcPr>
            <w:tcW w:w="924" w:type="dxa"/>
            <w:tcBorders>
              <w:top w:val="nil"/>
              <w:left w:val="nil"/>
              <w:bottom w:val="nil"/>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25 000   </w:t>
            </w:r>
          </w:p>
        </w:tc>
        <w:tc>
          <w:tcPr>
            <w:tcW w:w="1064"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25 000   </w:t>
            </w:r>
          </w:p>
        </w:tc>
        <w:tc>
          <w:tcPr>
            <w:tcW w:w="993"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25 000   </w:t>
            </w:r>
          </w:p>
        </w:tc>
        <w:tc>
          <w:tcPr>
            <w:tcW w:w="992"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25 000   </w:t>
            </w:r>
          </w:p>
        </w:tc>
        <w:tc>
          <w:tcPr>
            <w:tcW w:w="991"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25 000   </w:t>
            </w:r>
          </w:p>
        </w:tc>
        <w:tc>
          <w:tcPr>
            <w:tcW w:w="1278" w:type="dxa"/>
            <w:gridSpan w:val="2"/>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100 000   </w:t>
            </w:r>
          </w:p>
        </w:tc>
        <w:tc>
          <w:tcPr>
            <w:tcW w:w="709" w:type="dxa"/>
            <w:tcBorders>
              <w:top w:val="nil"/>
              <w:left w:val="nil"/>
              <w:bottom w:val="nil"/>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30"/>
        </w:trPr>
        <w:tc>
          <w:tcPr>
            <w:tcW w:w="4679" w:type="dxa"/>
            <w:gridSpan w:val="2"/>
            <w:tcBorders>
              <w:top w:val="single" w:sz="8" w:space="0" w:color="auto"/>
              <w:left w:val="single" w:sz="8" w:space="0" w:color="auto"/>
              <w:bottom w:val="single" w:sz="8"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Intervention 2.7</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w:t>
            </w:r>
          </w:p>
        </w:tc>
        <w:tc>
          <w:tcPr>
            <w:tcW w:w="92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50 000   </w:t>
            </w:r>
          </w:p>
        </w:tc>
        <w:tc>
          <w:tcPr>
            <w:tcW w:w="993"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40 000   </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50 000   </w:t>
            </w:r>
          </w:p>
        </w:tc>
        <w:tc>
          <w:tcPr>
            <w:tcW w:w="991"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40 000   </w:t>
            </w:r>
          </w:p>
        </w:tc>
        <w:tc>
          <w:tcPr>
            <w:tcW w:w="1278" w:type="dxa"/>
            <w:gridSpan w:val="2"/>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180 000   </w:t>
            </w:r>
          </w:p>
        </w:tc>
        <w:tc>
          <w:tcPr>
            <w:tcW w:w="709" w:type="dxa"/>
            <w:tcBorders>
              <w:top w:val="single" w:sz="8" w:space="0" w:color="auto"/>
              <w:left w:val="nil"/>
              <w:bottom w:val="single" w:sz="8" w:space="0" w:color="auto"/>
              <w:right w:val="single" w:sz="8"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ED18BA" w:rsidTr="0034118B">
        <w:trPr>
          <w:trHeight w:val="315"/>
        </w:trPr>
        <w:tc>
          <w:tcPr>
            <w:tcW w:w="15029" w:type="dxa"/>
            <w:gridSpan w:val="15"/>
            <w:tcBorders>
              <w:top w:val="single" w:sz="8" w:space="0" w:color="auto"/>
              <w:left w:val="single" w:sz="8" w:space="0" w:color="auto"/>
              <w:bottom w:val="single" w:sz="8" w:space="0" w:color="auto"/>
              <w:right w:val="single" w:sz="8" w:space="0" w:color="000000"/>
            </w:tcBorders>
            <w:shd w:val="clear" w:color="000000" w:fill="92D050"/>
            <w:vAlign w:val="center"/>
            <w:hideMark/>
          </w:tcPr>
          <w:p w:rsidR="005562BB" w:rsidRPr="005562BB" w:rsidRDefault="005562BB" w:rsidP="005562BB">
            <w:pPr>
              <w:jc w:val="lef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Intervention 2.8: Décentralisation de l’initiation du TARV, du suivi et de la rétention des enfants infectés par le VIH</w:t>
            </w:r>
          </w:p>
        </w:tc>
      </w:tr>
      <w:tr w:rsidR="005562BB" w:rsidRPr="005562BB" w:rsidTr="0034118B">
        <w:trPr>
          <w:trHeight w:val="9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2.8.1</w:t>
            </w:r>
          </w:p>
        </w:tc>
        <w:tc>
          <w:tcPr>
            <w:tcW w:w="3970" w:type="dxa"/>
            <w:tcBorders>
              <w:top w:val="nil"/>
              <w:left w:val="nil"/>
              <w:bottom w:val="single" w:sz="4" w:space="0" w:color="auto"/>
              <w:right w:val="single" w:sz="4" w:space="0" w:color="auto"/>
            </w:tcBorders>
            <w:shd w:val="clear" w:color="auto" w:fill="auto"/>
            <w:noWrap/>
            <w:vAlign w:val="center"/>
            <w:hideMark/>
          </w:tcPr>
          <w:p w:rsidR="005562BB" w:rsidRPr="005562BB" w:rsidRDefault="005562BB" w:rsidP="005562BB">
            <w:pPr>
              <w:rPr>
                <w:rFonts w:ascii="Calibri" w:eastAsia="Times New Roman" w:hAnsi="Calibri"/>
                <w:color w:val="000000"/>
                <w:lang w:val="fr-FR" w:eastAsia="fr-FR"/>
              </w:rPr>
            </w:pPr>
            <w:r w:rsidRPr="005562BB">
              <w:rPr>
                <w:rFonts w:ascii="Calibri" w:eastAsia="Times New Roman" w:hAnsi="Calibri"/>
                <w:color w:val="000000"/>
                <w:szCs w:val="22"/>
                <w:lang w:val="fr-FR" w:eastAsia="fr-FR"/>
              </w:rPr>
              <w:t>Elaborer et diffuser les algorithmes de traitement simplifiés et adaptés à chaque niveau de soins (1 Consultant national)</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27 000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27 000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27 000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2.8.2</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Mettre en place des stratégies de couplage du traitement et du suivi de l'adulte et de l'enfant</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PM</w:t>
            </w:r>
          </w:p>
        </w:tc>
        <w:tc>
          <w:tcPr>
            <w:tcW w:w="924" w:type="dxa"/>
            <w:tcBorders>
              <w:top w:val="single" w:sz="4" w:space="0" w:color="auto"/>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2.8.3</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Créer  et diffuser des fiches de références et de contre références des patients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5000</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5000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5000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5000</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20000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5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25 000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25 000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25 000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25 000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100 000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12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2.8.4</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lang w:val="fr-FR" w:eastAsia="fr-FR"/>
              </w:rPr>
            </w:pPr>
            <w:r w:rsidRPr="005562BB">
              <w:rPr>
                <w:rFonts w:ascii="Calibri" w:eastAsia="Times New Roman" w:hAnsi="Calibri"/>
                <w:szCs w:val="22"/>
                <w:lang w:val="fr-FR" w:eastAsia="fr-FR"/>
              </w:rPr>
              <w:t>Mettre en œuvre des stratégies de recherche active des perdus de vue (téléphone, SMS, Visites à domicile) (Frais de communication pour 300 médiateurs)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3600</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3600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3600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3600</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14400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3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10 800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10 800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10 800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10 800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43 200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15"/>
        </w:trPr>
        <w:tc>
          <w:tcPr>
            <w:tcW w:w="709" w:type="dxa"/>
            <w:tcBorders>
              <w:top w:val="nil"/>
              <w:left w:val="single" w:sz="8" w:space="0" w:color="auto"/>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2.8.5</w:t>
            </w:r>
          </w:p>
        </w:tc>
        <w:tc>
          <w:tcPr>
            <w:tcW w:w="3970" w:type="dxa"/>
            <w:tcBorders>
              <w:top w:val="nil"/>
              <w:left w:val="nil"/>
              <w:bottom w:val="nil"/>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Appuyer les associations de PVVIH par district</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33</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33</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33</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33</w:t>
            </w:r>
          </w:p>
        </w:tc>
        <w:tc>
          <w:tcPr>
            <w:tcW w:w="749"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132</w:t>
            </w:r>
          </w:p>
        </w:tc>
        <w:tc>
          <w:tcPr>
            <w:tcW w:w="924" w:type="dxa"/>
            <w:tcBorders>
              <w:top w:val="nil"/>
              <w:left w:val="nil"/>
              <w:bottom w:val="nil"/>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500   </w:t>
            </w:r>
          </w:p>
        </w:tc>
        <w:tc>
          <w:tcPr>
            <w:tcW w:w="1064"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16 500   </w:t>
            </w:r>
          </w:p>
        </w:tc>
        <w:tc>
          <w:tcPr>
            <w:tcW w:w="993"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16 500   </w:t>
            </w:r>
          </w:p>
        </w:tc>
        <w:tc>
          <w:tcPr>
            <w:tcW w:w="992"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16 500   </w:t>
            </w:r>
          </w:p>
        </w:tc>
        <w:tc>
          <w:tcPr>
            <w:tcW w:w="991"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16 500   </w:t>
            </w:r>
          </w:p>
        </w:tc>
        <w:tc>
          <w:tcPr>
            <w:tcW w:w="1278" w:type="dxa"/>
            <w:gridSpan w:val="2"/>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66 000   </w:t>
            </w:r>
          </w:p>
        </w:tc>
        <w:tc>
          <w:tcPr>
            <w:tcW w:w="709" w:type="dxa"/>
            <w:tcBorders>
              <w:top w:val="nil"/>
              <w:left w:val="nil"/>
              <w:bottom w:val="nil"/>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30"/>
        </w:trPr>
        <w:tc>
          <w:tcPr>
            <w:tcW w:w="4679" w:type="dxa"/>
            <w:gridSpan w:val="2"/>
            <w:tcBorders>
              <w:top w:val="single" w:sz="8" w:space="0" w:color="auto"/>
              <w:left w:val="single" w:sz="8" w:space="0" w:color="auto"/>
              <w:bottom w:val="single" w:sz="8"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Intervention 2.8</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w:t>
            </w:r>
          </w:p>
        </w:tc>
        <w:tc>
          <w:tcPr>
            <w:tcW w:w="92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79 300   </w:t>
            </w:r>
          </w:p>
        </w:tc>
        <w:tc>
          <w:tcPr>
            <w:tcW w:w="993"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52 300   </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52 300   </w:t>
            </w:r>
          </w:p>
        </w:tc>
        <w:tc>
          <w:tcPr>
            <w:tcW w:w="991"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52 300   </w:t>
            </w:r>
          </w:p>
        </w:tc>
        <w:tc>
          <w:tcPr>
            <w:tcW w:w="1278" w:type="dxa"/>
            <w:gridSpan w:val="2"/>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236 200   </w:t>
            </w:r>
          </w:p>
        </w:tc>
        <w:tc>
          <w:tcPr>
            <w:tcW w:w="709" w:type="dxa"/>
            <w:tcBorders>
              <w:top w:val="single" w:sz="8" w:space="0" w:color="auto"/>
              <w:left w:val="nil"/>
              <w:bottom w:val="single" w:sz="8" w:space="0" w:color="auto"/>
              <w:right w:val="single" w:sz="8"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30"/>
        </w:trPr>
        <w:tc>
          <w:tcPr>
            <w:tcW w:w="9002" w:type="dxa"/>
            <w:gridSpan w:val="8"/>
            <w:tcBorders>
              <w:top w:val="single" w:sz="8" w:space="0" w:color="auto"/>
              <w:left w:val="single" w:sz="8" w:space="0" w:color="auto"/>
              <w:bottom w:val="single" w:sz="8" w:space="0" w:color="auto"/>
              <w:right w:val="single" w:sz="4" w:space="0" w:color="000000"/>
            </w:tcBorders>
            <w:shd w:val="clear" w:color="000000" w:fill="A5A5A5"/>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Axe Stratégique 2</w:t>
            </w:r>
          </w:p>
        </w:tc>
        <w:tc>
          <w:tcPr>
            <w:tcW w:w="1064" w:type="dxa"/>
            <w:tcBorders>
              <w:top w:val="nil"/>
              <w:left w:val="nil"/>
              <w:bottom w:val="single" w:sz="8" w:space="0" w:color="auto"/>
              <w:right w:val="single" w:sz="4" w:space="0" w:color="auto"/>
            </w:tcBorders>
            <w:shd w:val="clear" w:color="000000" w:fill="A5A5A5"/>
            <w:vAlign w:val="center"/>
            <w:hideMark/>
          </w:tcPr>
          <w:p w:rsidR="005562BB" w:rsidRPr="006016A8" w:rsidRDefault="006016A8" w:rsidP="0034118B">
            <w:pPr>
              <w:jc w:val="right"/>
              <w:rPr>
                <w:rFonts w:ascii="Calibri" w:eastAsia="Times New Roman" w:hAnsi="Calibri"/>
                <w:b/>
                <w:bCs/>
                <w:color w:val="000000"/>
                <w:lang w:val="fr-FR" w:eastAsia="fr-FR"/>
              </w:rPr>
            </w:pPr>
            <w:r>
              <w:rPr>
                <w:rFonts w:ascii="Calibri" w:eastAsia="Times New Roman" w:hAnsi="Calibri"/>
                <w:b/>
                <w:bCs/>
                <w:color w:val="000000"/>
                <w:lang w:val="fr-FR" w:eastAsia="fr-FR"/>
              </w:rPr>
              <w:t>239</w:t>
            </w:r>
            <w:r w:rsidR="005562BB" w:rsidRPr="006016A8">
              <w:rPr>
                <w:rFonts w:ascii="Calibri" w:eastAsia="Times New Roman" w:hAnsi="Calibri"/>
                <w:b/>
                <w:bCs/>
                <w:color w:val="000000"/>
                <w:lang w:val="fr-FR" w:eastAsia="fr-FR"/>
              </w:rPr>
              <w:t xml:space="preserve">745   </w:t>
            </w:r>
          </w:p>
        </w:tc>
        <w:tc>
          <w:tcPr>
            <w:tcW w:w="993" w:type="dxa"/>
            <w:tcBorders>
              <w:top w:val="nil"/>
              <w:left w:val="nil"/>
              <w:bottom w:val="single" w:sz="8" w:space="0" w:color="auto"/>
              <w:right w:val="single" w:sz="4" w:space="0" w:color="auto"/>
            </w:tcBorders>
            <w:shd w:val="clear" w:color="000000" w:fill="A5A5A5"/>
            <w:vAlign w:val="center"/>
            <w:hideMark/>
          </w:tcPr>
          <w:p w:rsidR="005562BB" w:rsidRPr="006016A8" w:rsidRDefault="005562BB" w:rsidP="0034118B">
            <w:pPr>
              <w:jc w:val="right"/>
              <w:rPr>
                <w:rFonts w:ascii="Calibri" w:eastAsia="Times New Roman" w:hAnsi="Calibri"/>
                <w:b/>
                <w:bCs/>
                <w:color w:val="000000"/>
                <w:lang w:val="fr-FR" w:eastAsia="fr-FR"/>
              </w:rPr>
            </w:pPr>
            <w:r w:rsidRPr="006016A8">
              <w:rPr>
                <w:rFonts w:ascii="Calibri" w:eastAsia="Times New Roman" w:hAnsi="Calibri"/>
                <w:b/>
                <w:bCs/>
                <w:color w:val="000000"/>
                <w:szCs w:val="22"/>
                <w:lang w:val="fr-FR" w:eastAsia="fr-FR"/>
              </w:rPr>
              <w:t xml:space="preserve">1295 965   </w:t>
            </w:r>
          </w:p>
        </w:tc>
        <w:tc>
          <w:tcPr>
            <w:tcW w:w="992" w:type="dxa"/>
            <w:tcBorders>
              <w:top w:val="nil"/>
              <w:left w:val="nil"/>
              <w:bottom w:val="single" w:sz="8" w:space="0" w:color="auto"/>
              <w:right w:val="single" w:sz="4" w:space="0" w:color="auto"/>
            </w:tcBorders>
            <w:shd w:val="clear" w:color="000000" w:fill="A5A5A5"/>
            <w:vAlign w:val="center"/>
            <w:hideMark/>
          </w:tcPr>
          <w:p w:rsidR="005562BB" w:rsidRPr="006016A8" w:rsidRDefault="005562BB" w:rsidP="0034118B">
            <w:pPr>
              <w:jc w:val="right"/>
              <w:rPr>
                <w:rFonts w:ascii="Calibri" w:eastAsia="Times New Roman" w:hAnsi="Calibri"/>
                <w:b/>
                <w:bCs/>
                <w:color w:val="000000"/>
                <w:lang w:val="fr-FR" w:eastAsia="fr-FR"/>
              </w:rPr>
            </w:pPr>
            <w:r w:rsidRPr="006016A8">
              <w:rPr>
                <w:rFonts w:ascii="Calibri" w:eastAsia="Times New Roman" w:hAnsi="Calibri"/>
                <w:b/>
                <w:bCs/>
                <w:color w:val="000000"/>
                <w:szCs w:val="22"/>
                <w:lang w:val="fr-FR" w:eastAsia="fr-FR"/>
              </w:rPr>
              <w:t xml:space="preserve">1346 610   </w:t>
            </w:r>
          </w:p>
        </w:tc>
        <w:tc>
          <w:tcPr>
            <w:tcW w:w="991" w:type="dxa"/>
            <w:tcBorders>
              <w:top w:val="nil"/>
              <w:left w:val="nil"/>
              <w:bottom w:val="single" w:sz="8" w:space="0" w:color="auto"/>
              <w:right w:val="single" w:sz="4" w:space="0" w:color="auto"/>
            </w:tcBorders>
            <w:shd w:val="clear" w:color="000000" w:fill="A5A5A5"/>
            <w:vAlign w:val="center"/>
            <w:hideMark/>
          </w:tcPr>
          <w:p w:rsidR="005562BB" w:rsidRPr="006016A8" w:rsidRDefault="006016A8" w:rsidP="0034118B">
            <w:pPr>
              <w:jc w:val="right"/>
              <w:rPr>
                <w:rFonts w:ascii="Calibri" w:eastAsia="Times New Roman" w:hAnsi="Calibri"/>
                <w:b/>
                <w:bCs/>
                <w:color w:val="000000"/>
                <w:lang w:val="fr-FR" w:eastAsia="fr-FR"/>
              </w:rPr>
            </w:pPr>
            <w:r>
              <w:rPr>
                <w:rFonts w:ascii="Calibri" w:eastAsia="Times New Roman" w:hAnsi="Calibri"/>
                <w:b/>
                <w:bCs/>
                <w:color w:val="000000"/>
                <w:szCs w:val="22"/>
                <w:lang w:val="fr-FR" w:eastAsia="fr-FR"/>
              </w:rPr>
              <w:t>1</w:t>
            </w:r>
            <w:r w:rsidR="005562BB" w:rsidRPr="006016A8">
              <w:rPr>
                <w:rFonts w:ascii="Calibri" w:eastAsia="Times New Roman" w:hAnsi="Calibri"/>
                <w:b/>
                <w:bCs/>
                <w:color w:val="000000"/>
                <w:szCs w:val="22"/>
                <w:lang w:val="fr-FR" w:eastAsia="fr-FR"/>
              </w:rPr>
              <w:t xml:space="preserve">237 130   </w:t>
            </w:r>
          </w:p>
        </w:tc>
        <w:tc>
          <w:tcPr>
            <w:tcW w:w="1278" w:type="dxa"/>
            <w:gridSpan w:val="2"/>
            <w:tcBorders>
              <w:top w:val="nil"/>
              <w:left w:val="nil"/>
              <w:bottom w:val="single" w:sz="8" w:space="0" w:color="auto"/>
              <w:right w:val="single" w:sz="4" w:space="0" w:color="auto"/>
            </w:tcBorders>
            <w:shd w:val="clear" w:color="000000" w:fill="A5A5A5"/>
            <w:vAlign w:val="center"/>
            <w:hideMark/>
          </w:tcPr>
          <w:p w:rsidR="005562BB" w:rsidRPr="006016A8" w:rsidRDefault="005562BB" w:rsidP="0034118B">
            <w:pPr>
              <w:jc w:val="right"/>
              <w:rPr>
                <w:rFonts w:ascii="Calibri" w:eastAsia="Times New Roman" w:hAnsi="Calibri"/>
                <w:b/>
                <w:bCs/>
                <w:color w:val="000000"/>
                <w:lang w:val="fr-FR" w:eastAsia="fr-FR"/>
              </w:rPr>
            </w:pPr>
            <w:r w:rsidRPr="006016A8">
              <w:rPr>
                <w:rFonts w:ascii="Calibri" w:eastAsia="Times New Roman" w:hAnsi="Calibri"/>
                <w:b/>
                <w:bCs/>
                <w:color w:val="000000"/>
                <w:lang w:val="fr-FR" w:eastAsia="fr-FR"/>
              </w:rPr>
              <w:t xml:space="preserve">5 119 450   </w:t>
            </w:r>
          </w:p>
        </w:tc>
        <w:tc>
          <w:tcPr>
            <w:tcW w:w="709" w:type="dxa"/>
            <w:tcBorders>
              <w:top w:val="nil"/>
              <w:left w:val="nil"/>
              <w:bottom w:val="single" w:sz="8" w:space="0" w:color="auto"/>
              <w:right w:val="single" w:sz="8" w:space="0" w:color="auto"/>
            </w:tcBorders>
            <w:shd w:val="clear" w:color="000000" w:fill="A5A5A5"/>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ED18BA" w:rsidTr="0034118B">
        <w:trPr>
          <w:trHeight w:val="315"/>
        </w:trPr>
        <w:tc>
          <w:tcPr>
            <w:tcW w:w="15029" w:type="dxa"/>
            <w:gridSpan w:val="15"/>
            <w:tcBorders>
              <w:top w:val="single" w:sz="8" w:space="0" w:color="auto"/>
              <w:left w:val="single" w:sz="8" w:space="0" w:color="auto"/>
              <w:bottom w:val="single" w:sz="8" w:space="0" w:color="auto"/>
              <w:right w:val="single" w:sz="8" w:space="0" w:color="000000"/>
            </w:tcBorders>
            <w:shd w:val="clear" w:color="000000" w:fill="00B0F0"/>
            <w:vAlign w:val="center"/>
            <w:hideMark/>
          </w:tcPr>
          <w:p w:rsidR="005562BB" w:rsidRPr="005562BB" w:rsidRDefault="005562BB" w:rsidP="005562BB">
            <w:pPr>
              <w:jc w:val="left"/>
              <w:rPr>
                <w:rFonts w:ascii="Calibri" w:eastAsia="Times New Roman" w:hAnsi="Calibri"/>
                <w:b/>
                <w:bCs/>
                <w:color w:val="000000"/>
                <w:sz w:val="28"/>
                <w:szCs w:val="28"/>
                <w:lang w:val="fr-FR" w:eastAsia="fr-FR"/>
              </w:rPr>
            </w:pPr>
            <w:r w:rsidRPr="005562BB">
              <w:rPr>
                <w:rFonts w:ascii="Calibri" w:eastAsia="Times New Roman" w:hAnsi="Calibri"/>
                <w:b/>
                <w:bCs/>
                <w:color w:val="000000"/>
                <w:sz w:val="28"/>
                <w:szCs w:val="28"/>
                <w:lang w:val="fr-FR" w:eastAsia="fr-FR"/>
              </w:rPr>
              <w:t>Axe Stratégique 3: Renforcement de la mobilisation communautaire pour la prise en charge pédiatrique de qualité</w:t>
            </w:r>
          </w:p>
        </w:tc>
      </w:tr>
      <w:tr w:rsidR="005562BB" w:rsidRPr="00ED18BA" w:rsidTr="0034118B">
        <w:trPr>
          <w:trHeight w:val="315"/>
        </w:trPr>
        <w:tc>
          <w:tcPr>
            <w:tcW w:w="15029" w:type="dxa"/>
            <w:gridSpan w:val="15"/>
            <w:tcBorders>
              <w:top w:val="single" w:sz="8" w:space="0" w:color="auto"/>
              <w:left w:val="single" w:sz="8" w:space="0" w:color="auto"/>
              <w:bottom w:val="single" w:sz="8" w:space="0" w:color="auto"/>
              <w:right w:val="single" w:sz="8" w:space="0" w:color="000000"/>
            </w:tcBorders>
            <w:shd w:val="clear" w:color="000000" w:fill="92D050"/>
            <w:vAlign w:val="center"/>
            <w:hideMark/>
          </w:tcPr>
          <w:p w:rsidR="005562BB" w:rsidRPr="005562BB" w:rsidRDefault="005562BB" w:rsidP="005562BB">
            <w:pPr>
              <w:jc w:val="lef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Intervention 3.1: Renforcement de la communication et de la mobilisation sociale en faveur de la PECP</w:t>
            </w:r>
          </w:p>
        </w:tc>
      </w:tr>
      <w:tr w:rsidR="005562BB" w:rsidRPr="005562BB" w:rsidTr="0034118B">
        <w:trPr>
          <w:trHeight w:val="12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3.1.1</w:t>
            </w:r>
          </w:p>
        </w:tc>
        <w:tc>
          <w:tcPr>
            <w:tcW w:w="3970" w:type="dxa"/>
            <w:tcBorders>
              <w:top w:val="nil"/>
              <w:left w:val="nil"/>
              <w:bottom w:val="single" w:sz="4" w:space="0" w:color="auto"/>
              <w:right w:val="single" w:sz="4" w:space="0" w:color="auto"/>
            </w:tcBorders>
            <w:shd w:val="clear" w:color="auto" w:fill="auto"/>
            <w:noWrap/>
            <w:vAlign w:val="center"/>
            <w:hideMark/>
          </w:tcPr>
          <w:p w:rsidR="005562BB" w:rsidRPr="005562BB" w:rsidRDefault="005562BB" w:rsidP="005562BB">
            <w:pPr>
              <w:rPr>
                <w:rFonts w:ascii="Calibri" w:eastAsia="Times New Roman" w:hAnsi="Calibri"/>
                <w:color w:val="000000"/>
                <w:lang w:val="fr-FR" w:eastAsia="fr-FR"/>
              </w:rPr>
            </w:pPr>
            <w:r w:rsidRPr="005562BB">
              <w:rPr>
                <w:rFonts w:ascii="Calibri" w:eastAsia="Times New Roman" w:hAnsi="Calibri"/>
                <w:color w:val="000000"/>
                <w:szCs w:val="22"/>
                <w:lang w:val="fr-FR" w:eastAsia="fr-FR"/>
              </w:rPr>
              <w:t>Elaborer le plan de communication sur la prise en charge du VIH en Guinée avec un accent sur la PECP (Atelier de 25 part x 5 jrs)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125</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125</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250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12 500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12 500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25 000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9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3.1.2</w:t>
            </w:r>
          </w:p>
        </w:tc>
        <w:tc>
          <w:tcPr>
            <w:tcW w:w="3970"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Renforcer les capacités de 25 communicateurs (journalistes) en matière de PECP en 5 jours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125</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125</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12 500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12 500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4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3.1.3</w:t>
            </w:r>
          </w:p>
        </w:tc>
        <w:tc>
          <w:tcPr>
            <w:tcW w:w="3970" w:type="dxa"/>
            <w:tcBorders>
              <w:top w:val="nil"/>
              <w:left w:val="nil"/>
              <w:bottom w:val="single" w:sz="4" w:space="0" w:color="auto"/>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Concevoir les messages en faveur de la PECP</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3.1.4</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Multiplier et diffuser 1000 dépliants, 1000 affiches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1000</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1000</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2000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6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6 000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6 000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278" w:type="dxa"/>
            <w:gridSpan w:val="2"/>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12 000   </w:t>
            </w:r>
          </w:p>
        </w:tc>
        <w:tc>
          <w:tcPr>
            <w:tcW w:w="709" w:type="dxa"/>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15"/>
        </w:trPr>
        <w:tc>
          <w:tcPr>
            <w:tcW w:w="709" w:type="dxa"/>
            <w:tcBorders>
              <w:top w:val="nil"/>
              <w:left w:val="single" w:sz="8" w:space="0" w:color="auto"/>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3.1.5</w:t>
            </w:r>
          </w:p>
        </w:tc>
        <w:tc>
          <w:tcPr>
            <w:tcW w:w="3970" w:type="dxa"/>
            <w:tcBorders>
              <w:top w:val="nil"/>
              <w:left w:val="nil"/>
              <w:bottom w:val="nil"/>
              <w:right w:val="single" w:sz="4"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Organiser des émissions télé, radio et articles pour la presse écrite</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w:t>
            </w:r>
          </w:p>
        </w:tc>
        <w:tc>
          <w:tcPr>
            <w:tcW w:w="749"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8</w:t>
            </w:r>
          </w:p>
        </w:tc>
        <w:tc>
          <w:tcPr>
            <w:tcW w:w="924" w:type="dxa"/>
            <w:tcBorders>
              <w:top w:val="nil"/>
              <w:left w:val="nil"/>
              <w:bottom w:val="nil"/>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10 000   </w:t>
            </w:r>
          </w:p>
        </w:tc>
        <w:tc>
          <w:tcPr>
            <w:tcW w:w="1064"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20 000   </w:t>
            </w:r>
          </w:p>
        </w:tc>
        <w:tc>
          <w:tcPr>
            <w:tcW w:w="993"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20 000   </w:t>
            </w:r>
          </w:p>
        </w:tc>
        <w:tc>
          <w:tcPr>
            <w:tcW w:w="992"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20 000   </w:t>
            </w:r>
          </w:p>
        </w:tc>
        <w:tc>
          <w:tcPr>
            <w:tcW w:w="991"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20 000   </w:t>
            </w:r>
          </w:p>
        </w:tc>
        <w:tc>
          <w:tcPr>
            <w:tcW w:w="1278" w:type="dxa"/>
            <w:gridSpan w:val="2"/>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80 000   </w:t>
            </w:r>
          </w:p>
        </w:tc>
        <w:tc>
          <w:tcPr>
            <w:tcW w:w="709" w:type="dxa"/>
            <w:tcBorders>
              <w:top w:val="nil"/>
              <w:left w:val="nil"/>
              <w:bottom w:val="nil"/>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30"/>
        </w:trPr>
        <w:tc>
          <w:tcPr>
            <w:tcW w:w="4679" w:type="dxa"/>
            <w:gridSpan w:val="2"/>
            <w:tcBorders>
              <w:top w:val="single" w:sz="8" w:space="0" w:color="auto"/>
              <w:left w:val="single" w:sz="8" w:space="0" w:color="auto"/>
              <w:bottom w:val="single" w:sz="8"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Intervention 3.1</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w:t>
            </w:r>
          </w:p>
        </w:tc>
        <w:tc>
          <w:tcPr>
            <w:tcW w:w="92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51 000   </w:t>
            </w:r>
          </w:p>
        </w:tc>
        <w:tc>
          <w:tcPr>
            <w:tcW w:w="993"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26 000   </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32 500   </w:t>
            </w:r>
          </w:p>
        </w:tc>
        <w:tc>
          <w:tcPr>
            <w:tcW w:w="991"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20 000   </w:t>
            </w:r>
          </w:p>
        </w:tc>
        <w:tc>
          <w:tcPr>
            <w:tcW w:w="1278" w:type="dxa"/>
            <w:gridSpan w:val="2"/>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129 500   </w:t>
            </w:r>
          </w:p>
        </w:tc>
        <w:tc>
          <w:tcPr>
            <w:tcW w:w="709" w:type="dxa"/>
            <w:tcBorders>
              <w:top w:val="single" w:sz="8" w:space="0" w:color="auto"/>
              <w:left w:val="nil"/>
              <w:bottom w:val="single" w:sz="8" w:space="0" w:color="auto"/>
              <w:right w:val="single" w:sz="8"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ED18BA" w:rsidTr="0034118B">
        <w:trPr>
          <w:trHeight w:val="330"/>
        </w:trPr>
        <w:tc>
          <w:tcPr>
            <w:tcW w:w="15029" w:type="dxa"/>
            <w:gridSpan w:val="15"/>
            <w:tcBorders>
              <w:top w:val="single" w:sz="8" w:space="0" w:color="auto"/>
              <w:left w:val="single" w:sz="8" w:space="0" w:color="auto"/>
              <w:bottom w:val="single" w:sz="8" w:space="0" w:color="auto"/>
              <w:right w:val="single" w:sz="8" w:space="0" w:color="000000"/>
            </w:tcBorders>
            <w:shd w:val="clear" w:color="000000" w:fill="92D050"/>
            <w:vAlign w:val="center"/>
            <w:hideMark/>
          </w:tcPr>
          <w:p w:rsidR="005562BB" w:rsidRPr="005562BB" w:rsidRDefault="005562BB" w:rsidP="005562BB">
            <w:pPr>
              <w:jc w:val="lef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Intervention 3.2: Définition et mise en œuvre du paquet de soins communautaires de PECP</w:t>
            </w:r>
          </w:p>
        </w:tc>
      </w:tr>
      <w:tr w:rsidR="005562BB" w:rsidRPr="005562BB" w:rsidTr="0034118B">
        <w:trPr>
          <w:trHeight w:val="9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3.2.1</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Décrire les activités de PECP à base communautaire</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135"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     </w:t>
            </w:r>
          </w:p>
        </w:tc>
        <w:tc>
          <w:tcPr>
            <w:tcW w:w="852" w:type="dxa"/>
            <w:gridSpan w:val="2"/>
            <w:tcBorders>
              <w:top w:val="nil"/>
              <w:left w:val="nil"/>
              <w:bottom w:val="single" w:sz="4" w:space="0" w:color="auto"/>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915"/>
        </w:trPr>
        <w:tc>
          <w:tcPr>
            <w:tcW w:w="709" w:type="dxa"/>
            <w:tcBorders>
              <w:top w:val="nil"/>
              <w:left w:val="single" w:sz="8" w:space="0" w:color="auto"/>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3.2.2</w:t>
            </w:r>
          </w:p>
        </w:tc>
        <w:tc>
          <w:tcPr>
            <w:tcW w:w="3970" w:type="dxa"/>
            <w:tcBorders>
              <w:top w:val="nil"/>
              <w:left w:val="nil"/>
              <w:bottom w:val="nil"/>
              <w:right w:val="single" w:sz="4" w:space="0" w:color="auto"/>
            </w:tcBorders>
            <w:shd w:val="clear" w:color="auto" w:fill="auto"/>
            <w:noWrap/>
            <w:vAlign w:val="center"/>
            <w:hideMark/>
          </w:tcPr>
          <w:p w:rsidR="005562BB" w:rsidRPr="005562BB" w:rsidRDefault="005562BB" w:rsidP="005562BB">
            <w:pPr>
              <w:rPr>
                <w:rFonts w:ascii="Calibri" w:eastAsia="Times New Roman" w:hAnsi="Calibri"/>
                <w:color w:val="000000"/>
                <w:lang w:val="fr-FR" w:eastAsia="fr-FR"/>
              </w:rPr>
            </w:pPr>
            <w:r w:rsidRPr="005562BB">
              <w:rPr>
                <w:rFonts w:ascii="Calibri" w:eastAsia="Times New Roman" w:hAnsi="Calibri"/>
                <w:color w:val="000000"/>
                <w:szCs w:val="22"/>
                <w:lang w:val="fr-FR" w:eastAsia="fr-FR"/>
              </w:rPr>
              <w:t>Elaborer et diffuser les Directives de prise en charge communautaire du VIH chez l’enfant (25 part x 5 jrs)</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125</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125</w:t>
            </w:r>
          </w:p>
        </w:tc>
        <w:tc>
          <w:tcPr>
            <w:tcW w:w="924" w:type="dxa"/>
            <w:tcBorders>
              <w:top w:val="nil"/>
              <w:left w:val="nil"/>
              <w:bottom w:val="nil"/>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100   </w:t>
            </w:r>
          </w:p>
        </w:tc>
        <w:tc>
          <w:tcPr>
            <w:tcW w:w="1064" w:type="dxa"/>
            <w:tcBorders>
              <w:top w:val="nil"/>
              <w:left w:val="nil"/>
              <w:bottom w:val="nil"/>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3"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12 500   </w:t>
            </w:r>
          </w:p>
        </w:tc>
        <w:tc>
          <w:tcPr>
            <w:tcW w:w="992"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135"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12 500   </w:t>
            </w:r>
          </w:p>
        </w:tc>
        <w:tc>
          <w:tcPr>
            <w:tcW w:w="852" w:type="dxa"/>
            <w:gridSpan w:val="2"/>
            <w:tcBorders>
              <w:top w:val="nil"/>
              <w:left w:val="nil"/>
              <w:bottom w:val="nil"/>
              <w:right w:val="single" w:sz="8" w:space="0" w:color="auto"/>
            </w:tcBorders>
            <w:shd w:val="clear" w:color="auto" w:fill="auto"/>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30"/>
        </w:trPr>
        <w:tc>
          <w:tcPr>
            <w:tcW w:w="4679" w:type="dxa"/>
            <w:gridSpan w:val="2"/>
            <w:tcBorders>
              <w:top w:val="single" w:sz="8" w:space="0" w:color="auto"/>
              <w:left w:val="single" w:sz="8" w:space="0" w:color="auto"/>
              <w:bottom w:val="single" w:sz="8"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Intervention 3.2</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w:t>
            </w:r>
          </w:p>
        </w:tc>
        <w:tc>
          <w:tcPr>
            <w:tcW w:w="92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lef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w:t>
            </w:r>
          </w:p>
        </w:tc>
        <w:tc>
          <w:tcPr>
            <w:tcW w:w="993"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12 500   </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     </w:t>
            </w:r>
          </w:p>
        </w:tc>
        <w:tc>
          <w:tcPr>
            <w:tcW w:w="991"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     </w:t>
            </w:r>
          </w:p>
        </w:tc>
        <w:tc>
          <w:tcPr>
            <w:tcW w:w="1135"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12 500   </w:t>
            </w:r>
          </w:p>
        </w:tc>
        <w:tc>
          <w:tcPr>
            <w:tcW w:w="852" w:type="dxa"/>
            <w:gridSpan w:val="2"/>
            <w:tcBorders>
              <w:top w:val="single" w:sz="8" w:space="0" w:color="auto"/>
              <w:left w:val="nil"/>
              <w:bottom w:val="single" w:sz="8" w:space="0" w:color="auto"/>
              <w:right w:val="single" w:sz="8"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ED18BA" w:rsidTr="0034118B">
        <w:trPr>
          <w:trHeight w:val="315"/>
        </w:trPr>
        <w:tc>
          <w:tcPr>
            <w:tcW w:w="15029" w:type="dxa"/>
            <w:gridSpan w:val="15"/>
            <w:tcBorders>
              <w:top w:val="nil"/>
              <w:left w:val="single" w:sz="8" w:space="0" w:color="auto"/>
              <w:bottom w:val="single" w:sz="4" w:space="0" w:color="auto"/>
              <w:right w:val="single" w:sz="8" w:space="0" w:color="000000"/>
            </w:tcBorders>
            <w:shd w:val="clear" w:color="000000" w:fill="92D050"/>
            <w:noWrap/>
            <w:vAlign w:val="center"/>
            <w:hideMark/>
          </w:tcPr>
          <w:p w:rsidR="005562BB" w:rsidRPr="005562BB" w:rsidRDefault="005562BB" w:rsidP="005562BB">
            <w:pPr>
              <w:jc w:val="lef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Intervention 3.3: Renforcement des capacités des médiateurs communautaires et des associations impliquées dans la lutte contre le VIH</w:t>
            </w:r>
          </w:p>
        </w:tc>
      </w:tr>
      <w:tr w:rsidR="005562BB" w:rsidRPr="005562BB" w:rsidTr="0034118B">
        <w:trPr>
          <w:trHeight w:val="5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3.3.1</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Former 150 médiateurs communautaires</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225</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225</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450</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75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16 875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16 875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135"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33 750   </w:t>
            </w:r>
          </w:p>
        </w:tc>
        <w:tc>
          <w:tcPr>
            <w:tcW w:w="852" w:type="dxa"/>
            <w:gridSpan w:val="2"/>
            <w:tcBorders>
              <w:top w:val="nil"/>
              <w:left w:val="nil"/>
              <w:bottom w:val="single" w:sz="4" w:space="0" w:color="auto"/>
              <w:right w:val="single" w:sz="8"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3.3.2</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Former 24 responsables des associations surtout de PVVIH impliquées dans la PECP</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72</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72</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100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7 200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w:t>
            </w:r>
          </w:p>
        </w:tc>
        <w:tc>
          <w:tcPr>
            <w:tcW w:w="1135"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7 200   </w:t>
            </w:r>
          </w:p>
        </w:tc>
        <w:tc>
          <w:tcPr>
            <w:tcW w:w="852" w:type="dxa"/>
            <w:gridSpan w:val="2"/>
            <w:tcBorders>
              <w:top w:val="nil"/>
              <w:left w:val="nil"/>
              <w:bottom w:val="single" w:sz="4" w:space="0" w:color="auto"/>
              <w:right w:val="single" w:sz="8"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9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3.3.3</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Doter 12 associations du matériel de sensibilisation (Reprographie de kit de sensibilisation)</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24</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2 000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24 000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24 000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135"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48 000   </w:t>
            </w:r>
          </w:p>
        </w:tc>
        <w:tc>
          <w:tcPr>
            <w:tcW w:w="852" w:type="dxa"/>
            <w:gridSpan w:val="2"/>
            <w:tcBorders>
              <w:top w:val="nil"/>
              <w:left w:val="nil"/>
              <w:bottom w:val="single" w:sz="4" w:space="0" w:color="auto"/>
              <w:right w:val="single" w:sz="8"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9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3.3.4</w:t>
            </w:r>
          </w:p>
        </w:tc>
        <w:tc>
          <w:tcPr>
            <w:tcW w:w="3970"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Doter 12 associations du matériel de communication (Achat de kit de communication)</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w:t>
            </w:r>
          </w:p>
        </w:tc>
        <w:tc>
          <w:tcPr>
            <w:tcW w:w="627"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12</w:t>
            </w:r>
          </w:p>
        </w:tc>
        <w:tc>
          <w:tcPr>
            <w:tcW w:w="924" w:type="dxa"/>
            <w:tcBorders>
              <w:top w:val="nil"/>
              <w:left w:val="nil"/>
              <w:bottom w:val="single" w:sz="4" w:space="0" w:color="auto"/>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3 500   </w:t>
            </w:r>
          </w:p>
        </w:tc>
        <w:tc>
          <w:tcPr>
            <w:tcW w:w="1064"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42 000   </w:t>
            </w:r>
          </w:p>
        </w:tc>
        <w:tc>
          <w:tcPr>
            <w:tcW w:w="993"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135" w:type="dxa"/>
            <w:tcBorders>
              <w:top w:val="nil"/>
              <w:left w:val="nil"/>
              <w:bottom w:val="single" w:sz="4" w:space="0" w:color="auto"/>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42 000   </w:t>
            </w:r>
          </w:p>
        </w:tc>
        <w:tc>
          <w:tcPr>
            <w:tcW w:w="852" w:type="dxa"/>
            <w:gridSpan w:val="2"/>
            <w:tcBorders>
              <w:top w:val="nil"/>
              <w:left w:val="nil"/>
              <w:bottom w:val="single" w:sz="4" w:space="0" w:color="auto"/>
              <w:right w:val="single" w:sz="8"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915"/>
        </w:trPr>
        <w:tc>
          <w:tcPr>
            <w:tcW w:w="709" w:type="dxa"/>
            <w:tcBorders>
              <w:top w:val="nil"/>
              <w:left w:val="single" w:sz="8" w:space="0" w:color="auto"/>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3.3.5</w:t>
            </w:r>
          </w:p>
        </w:tc>
        <w:tc>
          <w:tcPr>
            <w:tcW w:w="3970" w:type="dxa"/>
            <w:tcBorders>
              <w:top w:val="nil"/>
              <w:left w:val="nil"/>
              <w:bottom w:val="nil"/>
              <w:right w:val="single" w:sz="4" w:space="0" w:color="auto"/>
            </w:tcBorders>
            <w:shd w:val="clear" w:color="auto" w:fill="auto"/>
            <w:vAlign w:val="center"/>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Doter 12 associations de moyens pour la recherche active des perdus de vue (Achat et fonctionnement de 12 mobylettes)</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12</w:t>
            </w:r>
          </w:p>
        </w:tc>
        <w:tc>
          <w:tcPr>
            <w:tcW w:w="627"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nil"/>
              <w:left w:val="nil"/>
              <w:bottom w:val="nil"/>
              <w:right w:val="single" w:sz="4" w:space="0" w:color="auto"/>
            </w:tcBorders>
            <w:shd w:val="clear" w:color="auto" w:fill="auto"/>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12</w:t>
            </w:r>
          </w:p>
        </w:tc>
        <w:tc>
          <w:tcPr>
            <w:tcW w:w="924" w:type="dxa"/>
            <w:tcBorders>
              <w:top w:val="nil"/>
              <w:left w:val="nil"/>
              <w:bottom w:val="nil"/>
              <w:right w:val="single" w:sz="4" w:space="0" w:color="auto"/>
            </w:tcBorders>
            <w:shd w:val="clear" w:color="000000" w:fill="E2EFDA"/>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6 500   </w:t>
            </w:r>
          </w:p>
        </w:tc>
        <w:tc>
          <w:tcPr>
            <w:tcW w:w="1064"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78 000   </w:t>
            </w:r>
          </w:p>
        </w:tc>
        <w:tc>
          <w:tcPr>
            <w:tcW w:w="993"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2"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991"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xml:space="preserve">                    -     </w:t>
            </w:r>
          </w:p>
        </w:tc>
        <w:tc>
          <w:tcPr>
            <w:tcW w:w="1135" w:type="dxa"/>
            <w:tcBorders>
              <w:top w:val="nil"/>
              <w:left w:val="nil"/>
              <w:bottom w:val="nil"/>
              <w:right w:val="single" w:sz="4" w:space="0" w:color="auto"/>
            </w:tcBorders>
            <w:shd w:val="clear" w:color="auto" w:fill="auto"/>
            <w:vAlign w:val="center"/>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78 000   </w:t>
            </w:r>
          </w:p>
        </w:tc>
        <w:tc>
          <w:tcPr>
            <w:tcW w:w="852" w:type="dxa"/>
            <w:gridSpan w:val="2"/>
            <w:tcBorders>
              <w:top w:val="nil"/>
              <w:left w:val="nil"/>
              <w:bottom w:val="nil"/>
              <w:right w:val="single" w:sz="8" w:space="0" w:color="auto"/>
            </w:tcBorders>
            <w:shd w:val="clear" w:color="auto" w:fill="auto"/>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30"/>
        </w:trPr>
        <w:tc>
          <w:tcPr>
            <w:tcW w:w="4679" w:type="dxa"/>
            <w:gridSpan w:val="2"/>
            <w:tcBorders>
              <w:top w:val="single" w:sz="8" w:space="0" w:color="auto"/>
              <w:left w:val="single" w:sz="8" w:space="0" w:color="auto"/>
              <w:bottom w:val="single" w:sz="8" w:space="0" w:color="auto"/>
              <w:right w:val="single" w:sz="4" w:space="0" w:color="000000"/>
            </w:tcBorders>
            <w:shd w:val="clear" w:color="000000" w:fill="FFFF00"/>
            <w:vAlign w:val="center"/>
            <w:hideMark/>
          </w:tcPr>
          <w:p w:rsidR="005562BB" w:rsidRPr="005562BB" w:rsidRDefault="005562BB" w:rsidP="005562B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Intervention 3.3</w:t>
            </w:r>
          </w:p>
        </w:tc>
        <w:tc>
          <w:tcPr>
            <w:tcW w:w="627" w:type="dxa"/>
            <w:tcBorders>
              <w:top w:val="single" w:sz="8" w:space="0" w:color="auto"/>
              <w:left w:val="nil"/>
              <w:bottom w:val="single" w:sz="8" w:space="0" w:color="auto"/>
              <w:right w:val="single" w:sz="4"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27" w:type="dxa"/>
            <w:tcBorders>
              <w:top w:val="single" w:sz="8" w:space="0" w:color="auto"/>
              <w:left w:val="nil"/>
              <w:bottom w:val="single" w:sz="8" w:space="0" w:color="auto"/>
              <w:right w:val="single" w:sz="4"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698" w:type="dxa"/>
            <w:tcBorders>
              <w:top w:val="single" w:sz="8" w:space="0" w:color="auto"/>
              <w:left w:val="nil"/>
              <w:bottom w:val="single" w:sz="8" w:space="0" w:color="auto"/>
              <w:right w:val="single" w:sz="4"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749" w:type="dxa"/>
            <w:tcBorders>
              <w:top w:val="single" w:sz="8" w:space="0" w:color="auto"/>
              <w:left w:val="nil"/>
              <w:bottom w:val="single" w:sz="8" w:space="0" w:color="auto"/>
              <w:right w:val="single" w:sz="4" w:space="0" w:color="auto"/>
            </w:tcBorders>
            <w:shd w:val="clear" w:color="000000" w:fill="FFFF00"/>
            <w:vAlign w:val="bottom"/>
            <w:hideMark/>
          </w:tcPr>
          <w:p w:rsidR="005562BB" w:rsidRPr="005562BB" w:rsidRDefault="005562BB" w:rsidP="005562BB">
            <w:pPr>
              <w:jc w:val="lef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924" w:type="dxa"/>
            <w:tcBorders>
              <w:top w:val="single" w:sz="8" w:space="0" w:color="auto"/>
              <w:left w:val="nil"/>
              <w:bottom w:val="single" w:sz="8" w:space="0" w:color="auto"/>
              <w:right w:val="single" w:sz="4" w:space="0" w:color="auto"/>
            </w:tcBorders>
            <w:shd w:val="clear" w:color="000000" w:fill="FFFF00"/>
            <w:vAlign w:val="center"/>
            <w:hideMark/>
          </w:tcPr>
          <w:p w:rsidR="005562BB" w:rsidRPr="005562BB" w:rsidRDefault="005562BB" w:rsidP="005562BB">
            <w:pPr>
              <w:jc w:val="center"/>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c>
          <w:tcPr>
            <w:tcW w:w="1064" w:type="dxa"/>
            <w:tcBorders>
              <w:top w:val="single" w:sz="8" w:space="0" w:color="auto"/>
              <w:left w:val="nil"/>
              <w:bottom w:val="single" w:sz="8" w:space="0" w:color="auto"/>
              <w:right w:val="single" w:sz="4" w:space="0" w:color="auto"/>
            </w:tcBorders>
            <w:shd w:val="clear" w:color="000000" w:fill="FFFF00"/>
            <w:vAlign w:val="bottom"/>
            <w:hideMark/>
          </w:tcPr>
          <w:p w:rsidR="005562BB" w:rsidRPr="005562BB" w:rsidRDefault="005562BB" w:rsidP="0034118B">
            <w:pPr>
              <w:jc w:val="right"/>
              <w:rPr>
                <w:rFonts w:ascii="Calibri" w:eastAsia="Times New Roman" w:hAnsi="Calibri"/>
                <w:b/>
                <w:bCs/>
                <w:color w:val="000000"/>
                <w:sz w:val="24"/>
                <w:lang w:val="fr-FR" w:eastAsia="fr-FR"/>
              </w:rPr>
            </w:pPr>
            <w:r w:rsidRPr="006016A8">
              <w:rPr>
                <w:rFonts w:ascii="Calibri" w:eastAsia="Times New Roman" w:hAnsi="Calibri"/>
                <w:b/>
                <w:bCs/>
                <w:color w:val="000000"/>
                <w:lang w:val="fr-FR" w:eastAsia="fr-FR"/>
              </w:rPr>
              <w:t xml:space="preserve">168 075   </w:t>
            </w:r>
          </w:p>
        </w:tc>
        <w:tc>
          <w:tcPr>
            <w:tcW w:w="993" w:type="dxa"/>
            <w:tcBorders>
              <w:top w:val="single" w:sz="8" w:space="0" w:color="auto"/>
              <w:left w:val="nil"/>
              <w:bottom w:val="single" w:sz="8" w:space="0" w:color="auto"/>
              <w:right w:val="single" w:sz="4" w:space="0" w:color="auto"/>
            </w:tcBorders>
            <w:shd w:val="clear" w:color="000000" w:fill="FFFF00"/>
            <w:vAlign w:val="bottom"/>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16 875   </w:t>
            </w:r>
          </w:p>
        </w:tc>
        <w:tc>
          <w:tcPr>
            <w:tcW w:w="992" w:type="dxa"/>
            <w:tcBorders>
              <w:top w:val="single" w:sz="8" w:space="0" w:color="auto"/>
              <w:left w:val="nil"/>
              <w:bottom w:val="single" w:sz="8" w:space="0" w:color="auto"/>
              <w:right w:val="single" w:sz="4" w:space="0" w:color="auto"/>
            </w:tcBorders>
            <w:shd w:val="clear" w:color="000000" w:fill="FFFF00"/>
            <w:vAlign w:val="bottom"/>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24 000   </w:t>
            </w:r>
          </w:p>
        </w:tc>
        <w:tc>
          <w:tcPr>
            <w:tcW w:w="991" w:type="dxa"/>
            <w:tcBorders>
              <w:top w:val="single" w:sz="8" w:space="0" w:color="auto"/>
              <w:left w:val="nil"/>
              <w:bottom w:val="single" w:sz="8" w:space="0" w:color="auto"/>
              <w:right w:val="single" w:sz="4" w:space="0" w:color="auto"/>
            </w:tcBorders>
            <w:shd w:val="clear" w:color="000000" w:fill="FFFF00"/>
            <w:vAlign w:val="bottom"/>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     -     </w:t>
            </w:r>
          </w:p>
        </w:tc>
        <w:tc>
          <w:tcPr>
            <w:tcW w:w="1135" w:type="dxa"/>
            <w:tcBorders>
              <w:top w:val="single" w:sz="8" w:space="0" w:color="auto"/>
              <w:left w:val="nil"/>
              <w:bottom w:val="single" w:sz="8" w:space="0" w:color="auto"/>
              <w:right w:val="single" w:sz="4" w:space="0" w:color="auto"/>
            </w:tcBorders>
            <w:shd w:val="clear" w:color="000000" w:fill="FFFF00"/>
            <w:vAlign w:val="bottom"/>
            <w:hideMark/>
          </w:tcPr>
          <w:p w:rsidR="005562BB" w:rsidRPr="005562BB" w:rsidRDefault="005562BB" w:rsidP="0034118B">
            <w:pPr>
              <w:jc w:val="right"/>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 xml:space="preserve">208 950   </w:t>
            </w:r>
          </w:p>
        </w:tc>
        <w:tc>
          <w:tcPr>
            <w:tcW w:w="852" w:type="dxa"/>
            <w:gridSpan w:val="2"/>
            <w:tcBorders>
              <w:top w:val="single" w:sz="8" w:space="0" w:color="auto"/>
              <w:left w:val="nil"/>
              <w:bottom w:val="single" w:sz="8" w:space="0" w:color="auto"/>
              <w:right w:val="single" w:sz="8" w:space="0" w:color="auto"/>
            </w:tcBorders>
            <w:shd w:val="clear" w:color="000000" w:fill="FFFF00"/>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330"/>
        </w:trPr>
        <w:tc>
          <w:tcPr>
            <w:tcW w:w="9002" w:type="dxa"/>
            <w:gridSpan w:val="8"/>
            <w:tcBorders>
              <w:top w:val="single" w:sz="8" w:space="0" w:color="auto"/>
              <w:left w:val="single" w:sz="8" w:space="0" w:color="auto"/>
              <w:bottom w:val="single" w:sz="8" w:space="0" w:color="auto"/>
              <w:right w:val="single" w:sz="4" w:space="0" w:color="000000"/>
            </w:tcBorders>
            <w:shd w:val="clear" w:color="000000" w:fill="A5A5A5"/>
            <w:vAlign w:val="center"/>
            <w:hideMark/>
          </w:tcPr>
          <w:p w:rsidR="005562BB" w:rsidRPr="005562BB" w:rsidRDefault="005562BB" w:rsidP="005562BB">
            <w:pPr>
              <w:jc w:val="center"/>
              <w:rPr>
                <w:rFonts w:ascii="Calibri" w:eastAsia="Times New Roman" w:hAnsi="Calibri"/>
                <w:b/>
                <w:bCs/>
                <w:color w:val="000000"/>
                <w:sz w:val="24"/>
                <w:lang w:val="fr-FR" w:eastAsia="fr-FR"/>
              </w:rPr>
            </w:pPr>
            <w:r w:rsidRPr="005562BB">
              <w:rPr>
                <w:rFonts w:ascii="Calibri" w:eastAsia="Times New Roman" w:hAnsi="Calibri"/>
                <w:b/>
                <w:bCs/>
                <w:color w:val="000000"/>
                <w:sz w:val="24"/>
                <w:lang w:val="fr-FR" w:eastAsia="fr-FR"/>
              </w:rPr>
              <w:t>Total Axe Stratégique 3</w:t>
            </w:r>
          </w:p>
        </w:tc>
        <w:tc>
          <w:tcPr>
            <w:tcW w:w="1064" w:type="dxa"/>
            <w:tcBorders>
              <w:top w:val="nil"/>
              <w:left w:val="nil"/>
              <w:bottom w:val="single" w:sz="8" w:space="0" w:color="auto"/>
              <w:right w:val="single" w:sz="4" w:space="0" w:color="auto"/>
            </w:tcBorders>
            <w:shd w:val="clear" w:color="000000" w:fill="A5A5A5"/>
            <w:vAlign w:val="bottom"/>
            <w:hideMark/>
          </w:tcPr>
          <w:p w:rsidR="005562BB" w:rsidRPr="006016A8" w:rsidRDefault="005562BB" w:rsidP="0034118B">
            <w:pPr>
              <w:jc w:val="right"/>
              <w:rPr>
                <w:rFonts w:ascii="Calibri" w:eastAsia="Times New Roman" w:hAnsi="Calibri"/>
                <w:b/>
                <w:bCs/>
                <w:color w:val="000000"/>
                <w:lang w:val="fr-FR" w:eastAsia="fr-FR"/>
              </w:rPr>
            </w:pPr>
            <w:r w:rsidRPr="006016A8">
              <w:rPr>
                <w:rFonts w:ascii="Calibri" w:eastAsia="Times New Roman" w:hAnsi="Calibri"/>
                <w:b/>
                <w:bCs/>
                <w:color w:val="000000"/>
                <w:lang w:val="fr-FR" w:eastAsia="fr-FR"/>
              </w:rPr>
              <w:t xml:space="preserve">219 075   </w:t>
            </w:r>
          </w:p>
        </w:tc>
        <w:tc>
          <w:tcPr>
            <w:tcW w:w="993" w:type="dxa"/>
            <w:tcBorders>
              <w:top w:val="nil"/>
              <w:left w:val="nil"/>
              <w:bottom w:val="single" w:sz="8" w:space="0" w:color="auto"/>
              <w:right w:val="single" w:sz="4" w:space="0" w:color="auto"/>
            </w:tcBorders>
            <w:shd w:val="clear" w:color="000000" w:fill="A5A5A5"/>
            <w:vAlign w:val="bottom"/>
            <w:hideMark/>
          </w:tcPr>
          <w:p w:rsidR="005562BB" w:rsidRPr="006016A8" w:rsidRDefault="005562BB" w:rsidP="0034118B">
            <w:pPr>
              <w:jc w:val="right"/>
              <w:rPr>
                <w:rFonts w:ascii="Calibri" w:eastAsia="Times New Roman" w:hAnsi="Calibri"/>
                <w:b/>
                <w:bCs/>
                <w:color w:val="000000"/>
                <w:lang w:val="fr-FR" w:eastAsia="fr-FR"/>
              </w:rPr>
            </w:pPr>
            <w:r w:rsidRPr="006016A8">
              <w:rPr>
                <w:rFonts w:ascii="Calibri" w:eastAsia="Times New Roman" w:hAnsi="Calibri"/>
                <w:b/>
                <w:bCs/>
                <w:color w:val="000000"/>
                <w:lang w:val="fr-FR" w:eastAsia="fr-FR"/>
              </w:rPr>
              <w:t xml:space="preserve">55 375   </w:t>
            </w:r>
          </w:p>
        </w:tc>
        <w:tc>
          <w:tcPr>
            <w:tcW w:w="992" w:type="dxa"/>
            <w:tcBorders>
              <w:top w:val="nil"/>
              <w:left w:val="nil"/>
              <w:bottom w:val="single" w:sz="8" w:space="0" w:color="auto"/>
              <w:right w:val="single" w:sz="4" w:space="0" w:color="auto"/>
            </w:tcBorders>
            <w:shd w:val="clear" w:color="000000" w:fill="A5A5A5"/>
            <w:vAlign w:val="bottom"/>
            <w:hideMark/>
          </w:tcPr>
          <w:p w:rsidR="005562BB" w:rsidRPr="006016A8" w:rsidRDefault="005562BB" w:rsidP="0034118B">
            <w:pPr>
              <w:jc w:val="right"/>
              <w:rPr>
                <w:rFonts w:ascii="Calibri" w:eastAsia="Times New Roman" w:hAnsi="Calibri"/>
                <w:b/>
                <w:bCs/>
                <w:color w:val="000000"/>
                <w:lang w:val="fr-FR" w:eastAsia="fr-FR"/>
              </w:rPr>
            </w:pPr>
            <w:r w:rsidRPr="006016A8">
              <w:rPr>
                <w:rFonts w:ascii="Calibri" w:eastAsia="Times New Roman" w:hAnsi="Calibri"/>
                <w:b/>
                <w:bCs/>
                <w:color w:val="000000"/>
                <w:lang w:val="fr-FR" w:eastAsia="fr-FR"/>
              </w:rPr>
              <w:t xml:space="preserve">56 500   </w:t>
            </w:r>
          </w:p>
        </w:tc>
        <w:tc>
          <w:tcPr>
            <w:tcW w:w="991" w:type="dxa"/>
            <w:tcBorders>
              <w:top w:val="nil"/>
              <w:left w:val="nil"/>
              <w:bottom w:val="single" w:sz="8" w:space="0" w:color="auto"/>
              <w:right w:val="single" w:sz="4" w:space="0" w:color="auto"/>
            </w:tcBorders>
            <w:shd w:val="clear" w:color="000000" w:fill="A5A5A5"/>
            <w:vAlign w:val="bottom"/>
            <w:hideMark/>
          </w:tcPr>
          <w:p w:rsidR="005562BB" w:rsidRPr="006016A8" w:rsidRDefault="005562BB" w:rsidP="0034118B">
            <w:pPr>
              <w:jc w:val="right"/>
              <w:rPr>
                <w:rFonts w:ascii="Calibri" w:eastAsia="Times New Roman" w:hAnsi="Calibri"/>
                <w:b/>
                <w:bCs/>
                <w:color w:val="000000"/>
                <w:lang w:val="fr-FR" w:eastAsia="fr-FR"/>
              </w:rPr>
            </w:pPr>
            <w:r w:rsidRPr="006016A8">
              <w:rPr>
                <w:rFonts w:ascii="Calibri" w:eastAsia="Times New Roman" w:hAnsi="Calibri"/>
                <w:b/>
                <w:bCs/>
                <w:color w:val="000000"/>
                <w:lang w:val="fr-FR" w:eastAsia="fr-FR"/>
              </w:rPr>
              <w:t xml:space="preserve">20 000   </w:t>
            </w:r>
          </w:p>
        </w:tc>
        <w:tc>
          <w:tcPr>
            <w:tcW w:w="1135" w:type="dxa"/>
            <w:tcBorders>
              <w:top w:val="nil"/>
              <w:left w:val="nil"/>
              <w:bottom w:val="single" w:sz="8" w:space="0" w:color="auto"/>
              <w:right w:val="single" w:sz="4" w:space="0" w:color="auto"/>
            </w:tcBorders>
            <w:shd w:val="clear" w:color="000000" w:fill="A5A5A5"/>
            <w:vAlign w:val="bottom"/>
            <w:hideMark/>
          </w:tcPr>
          <w:p w:rsidR="005562BB" w:rsidRPr="006016A8" w:rsidRDefault="005562BB" w:rsidP="0034118B">
            <w:pPr>
              <w:jc w:val="right"/>
              <w:rPr>
                <w:rFonts w:ascii="Calibri" w:eastAsia="Times New Roman" w:hAnsi="Calibri"/>
                <w:b/>
                <w:bCs/>
                <w:color w:val="000000"/>
                <w:lang w:val="fr-FR" w:eastAsia="fr-FR"/>
              </w:rPr>
            </w:pPr>
            <w:r w:rsidRPr="006016A8">
              <w:rPr>
                <w:rFonts w:ascii="Calibri" w:eastAsia="Times New Roman" w:hAnsi="Calibri"/>
                <w:b/>
                <w:bCs/>
                <w:color w:val="000000"/>
                <w:lang w:val="fr-FR" w:eastAsia="fr-FR"/>
              </w:rPr>
              <w:t xml:space="preserve">350 950   </w:t>
            </w:r>
          </w:p>
        </w:tc>
        <w:tc>
          <w:tcPr>
            <w:tcW w:w="852" w:type="dxa"/>
            <w:gridSpan w:val="2"/>
            <w:tcBorders>
              <w:top w:val="nil"/>
              <w:left w:val="nil"/>
              <w:bottom w:val="single" w:sz="8" w:space="0" w:color="auto"/>
              <w:right w:val="single" w:sz="8" w:space="0" w:color="auto"/>
            </w:tcBorders>
            <w:shd w:val="clear" w:color="000000" w:fill="A5A5A5"/>
            <w:vAlign w:val="bottom"/>
            <w:hideMark/>
          </w:tcPr>
          <w:p w:rsidR="005562BB" w:rsidRPr="005562BB" w:rsidRDefault="005562BB" w:rsidP="0034118B">
            <w:pPr>
              <w:jc w:val="right"/>
              <w:rPr>
                <w:rFonts w:ascii="Calibri" w:eastAsia="Times New Roman" w:hAnsi="Calibri"/>
                <w:color w:val="000000"/>
                <w:lang w:val="fr-FR" w:eastAsia="fr-FR"/>
              </w:rPr>
            </w:pPr>
            <w:r w:rsidRPr="005562BB">
              <w:rPr>
                <w:rFonts w:ascii="Calibri" w:eastAsia="Times New Roman" w:hAnsi="Calibri"/>
                <w:color w:val="000000"/>
                <w:szCs w:val="22"/>
                <w:lang w:val="fr-FR" w:eastAsia="fr-FR"/>
              </w:rPr>
              <w:t> </w:t>
            </w:r>
          </w:p>
        </w:tc>
      </w:tr>
      <w:tr w:rsidR="005562BB" w:rsidRPr="005562BB" w:rsidTr="0034118B">
        <w:trPr>
          <w:trHeight w:val="540"/>
        </w:trPr>
        <w:tc>
          <w:tcPr>
            <w:tcW w:w="9002" w:type="dxa"/>
            <w:gridSpan w:val="8"/>
            <w:tcBorders>
              <w:top w:val="single" w:sz="8" w:space="0" w:color="auto"/>
              <w:left w:val="single" w:sz="8" w:space="0" w:color="auto"/>
              <w:bottom w:val="single" w:sz="8" w:space="0" w:color="auto"/>
              <w:right w:val="single" w:sz="4" w:space="0" w:color="000000"/>
            </w:tcBorders>
            <w:shd w:val="clear" w:color="000000" w:fill="F4B084"/>
            <w:vAlign w:val="center"/>
            <w:hideMark/>
          </w:tcPr>
          <w:p w:rsidR="005562BB" w:rsidRPr="005562BB" w:rsidRDefault="005562BB" w:rsidP="005562BB">
            <w:pPr>
              <w:jc w:val="center"/>
              <w:rPr>
                <w:rFonts w:ascii="Calibri" w:eastAsia="Times New Roman" w:hAnsi="Calibri"/>
                <w:b/>
                <w:bCs/>
                <w:color w:val="000000"/>
                <w:sz w:val="26"/>
                <w:szCs w:val="26"/>
                <w:lang w:val="fr-FR" w:eastAsia="fr-FR"/>
              </w:rPr>
            </w:pPr>
            <w:r w:rsidRPr="005562BB">
              <w:rPr>
                <w:rFonts w:ascii="Calibri" w:eastAsia="Times New Roman" w:hAnsi="Calibri"/>
                <w:b/>
                <w:bCs/>
                <w:color w:val="000000"/>
                <w:sz w:val="26"/>
                <w:szCs w:val="26"/>
                <w:lang w:val="fr-FR" w:eastAsia="fr-FR"/>
              </w:rPr>
              <w:t>TOTAL GENERAL</w:t>
            </w:r>
          </w:p>
        </w:tc>
        <w:tc>
          <w:tcPr>
            <w:tcW w:w="1064" w:type="dxa"/>
            <w:tcBorders>
              <w:top w:val="nil"/>
              <w:left w:val="nil"/>
              <w:bottom w:val="single" w:sz="8" w:space="0" w:color="auto"/>
              <w:right w:val="single" w:sz="4" w:space="0" w:color="auto"/>
            </w:tcBorders>
            <w:shd w:val="clear" w:color="000000" w:fill="F4B084"/>
            <w:vAlign w:val="center"/>
            <w:hideMark/>
          </w:tcPr>
          <w:p w:rsidR="005562BB" w:rsidRPr="006016A8" w:rsidRDefault="005562BB" w:rsidP="0034118B">
            <w:pPr>
              <w:jc w:val="right"/>
              <w:rPr>
                <w:rFonts w:ascii="Calibri" w:eastAsia="Times New Roman" w:hAnsi="Calibri"/>
                <w:b/>
                <w:bCs/>
                <w:color w:val="000000"/>
                <w:sz w:val="20"/>
                <w:lang w:val="fr-FR" w:eastAsia="fr-FR"/>
              </w:rPr>
            </w:pPr>
            <w:r w:rsidRPr="006016A8">
              <w:rPr>
                <w:rFonts w:ascii="Calibri" w:eastAsia="Times New Roman" w:hAnsi="Calibri"/>
                <w:b/>
                <w:bCs/>
                <w:color w:val="000000"/>
                <w:sz w:val="20"/>
                <w:lang w:val="fr-FR" w:eastAsia="fr-FR"/>
              </w:rPr>
              <w:t xml:space="preserve">1 595 770   </w:t>
            </w:r>
          </w:p>
        </w:tc>
        <w:tc>
          <w:tcPr>
            <w:tcW w:w="993" w:type="dxa"/>
            <w:tcBorders>
              <w:top w:val="nil"/>
              <w:left w:val="nil"/>
              <w:bottom w:val="single" w:sz="8" w:space="0" w:color="auto"/>
              <w:right w:val="single" w:sz="4" w:space="0" w:color="auto"/>
            </w:tcBorders>
            <w:shd w:val="clear" w:color="000000" w:fill="F4B084"/>
            <w:vAlign w:val="center"/>
            <w:hideMark/>
          </w:tcPr>
          <w:p w:rsidR="005562BB" w:rsidRPr="006016A8" w:rsidRDefault="005562BB" w:rsidP="0034118B">
            <w:pPr>
              <w:jc w:val="right"/>
              <w:rPr>
                <w:rFonts w:ascii="Calibri" w:eastAsia="Times New Roman" w:hAnsi="Calibri"/>
                <w:b/>
                <w:bCs/>
                <w:color w:val="000000"/>
                <w:sz w:val="20"/>
                <w:lang w:val="fr-FR" w:eastAsia="fr-FR"/>
              </w:rPr>
            </w:pPr>
            <w:r w:rsidRPr="006016A8">
              <w:rPr>
                <w:rFonts w:ascii="Calibri" w:eastAsia="Times New Roman" w:hAnsi="Calibri"/>
                <w:b/>
                <w:bCs/>
                <w:color w:val="000000"/>
                <w:sz w:val="20"/>
                <w:lang w:val="fr-FR" w:eastAsia="fr-FR"/>
              </w:rPr>
              <w:t xml:space="preserve"> 1 525 090   </w:t>
            </w:r>
          </w:p>
        </w:tc>
        <w:tc>
          <w:tcPr>
            <w:tcW w:w="992" w:type="dxa"/>
            <w:tcBorders>
              <w:top w:val="nil"/>
              <w:left w:val="nil"/>
              <w:bottom w:val="single" w:sz="8" w:space="0" w:color="auto"/>
              <w:right w:val="single" w:sz="4" w:space="0" w:color="auto"/>
            </w:tcBorders>
            <w:shd w:val="clear" w:color="000000" w:fill="F4B084"/>
            <w:vAlign w:val="center"/>
            <w:hideMark/>
          </w:tcPr>
          <w:p w:rsidR="005562BB" w:rsidRPr="006016A8" w:rsidRDefault="005562BB" w:rsidP="0034118B">
            <w:pPr>
              <w:jc w:val="right"/>
              <w:rPr>
                <w:rFonts w:ascii="Calibri" w:eastAsia="Times New Roman" w:hAnsi="Calibri"/>
                <w:b/>
                <w:bCs/>
                <w:color w:val="000000"/>
                <w:sz w:val="20"/>
                <w:lang w:val="fr-FR" w:eastAsia="fr-FR"/>
              </w:rPr>
            </w:pPr>
            <w:r w:rsidRPr="006016A8">
              <w:rPr>
                <w:rFonts w:ascii="Calibri" w:eastAsia="Times New Roman" w:hAnsi="Calibri"/>
                <w:b/>
                <w:bCs/>
                <w:color w:val="000000"/>
                <w:sz w:val="20"/>
                <w:lang w:val="fr-FR" w:eastAsia="fr-FR"/>
              </w:rPr>
              <w:t xml:space="preserve"> 1 477 610   </w:t>
            </w:r>
          </w:p>
        </w:tc>
        <w:tc>
          <w:tcPr>
            <w:tcW w:w="991" w:type="dxa"/>
            <w:tcBorders>
              <w:top w:val="nil"/>
              <w:left w:val="nil"/>
              <w:bottom w:val="single" w:sz="8" w:space="0" w:color="auto"/>
              <w:right w:val="single" w:sz="4" w:space="0" w:color="auto"/>
            </w:tcBorders>
            <w:shd w:val="clear" w:color="000000" w:fill="F4B084"/>
            <w:vAlign w:val="center"/>
            <w:hideMark/>
          </w:tcPr>
          <w:p w:rsidR="005562BB" w:rsidRPr="006016A8" w:rsidRDefault="005562BB" w:rsidP="0034118B">
            <w:pPr>
              <w:jc w:val="right"/>
              <w:rPr>
                <w:rFonts w:ascii="Calibri" w:eastAsia="Times New Roman" w:hAnsi="Calibri"/>
                <w:b/>
                <w:bCs/>
                <w:color w:val="000000"/>
                <w:sz w:val="20"/>
                <w:lang w:val="fr-FR" w:eastAsia="fr-FR"/>
              </w:rPr>
            </w:pPr>
            <w:r w:rsidRPr="006016A8">
              <w:rPr>
                <w:rFonts w:ascii="Calibri" w:eastAsia="Times New Roman" w:hAnsi="Calibri"/>
                <w:b/>
                <w:bCs/>
                <w:color w:val="000000"/>
                <w:sz w:val="20"/>
                <w:lang w:val="fr-FR" w:eastAsia="fr-FR"/>
              </w:rPr>
              <w:t xml:space="preserve"> 1 391 880   </w:t>
            </w:r>
          </w:p>
        </w:tc>
        <w:tc>
          <w:tcPr>
            <w:tcW w:w="1135" w:type="dxa"/>
            <w:tcBorders>
              <w:top w:val="nil"/>
              <w:left w:val="nil"/>
              <w:bottom w:val="single" w:sz="8" w:space="0" w:color="auto"/>
              <w:right w:val="single" w:sz="4" w:space="0" w:color="auto"/>
            </w:tcBorders>
            <w:shd w:val="clear" w:color="000000" w:fill="F4B084"/>
            <w:vAlign w:val="center"/>
            <w:hideMark/>
          </w:tcPr>
          <w:p w:rsidR="005562BB" w:rsidRPr="006016A8" w:rsidRDefault="005562BB" w:rsidP="0034118B">
            <w:pPr>
              <w:jc w:val="right"/>
              <w:rPr>
                <w:rFonts w:ascii="Calibri" w:eastAsia="Times New Roman" w:hAnsi="Calibri"/>
                <w:b/>
                <w:bCs/>
                <w:color w:val="000000"/>
                <w:sz w:val="20"/>
                <w:lang w:val="fr-FR" w:eastAsia="fr-FR"/>
              </w:rPr>
            </w:pPr>
            <w:r w:rsidRPr="006016A8">
              <w:rPr>
                <w:rFonts w:ascii="Calibri" w:eastAsia="Times New Roman" w:hAnsi="Calibri"/>
                <w:b/>
                <w:bCs/>
                <w:color w:val="000000"/>
                <w:sz w:val="20"/>
                <w:lang w:val="fr-FR" w:eastAsia="fr-FR"/>
              </w:rPr>
              <w:t xml:space="preserve">5 990 350   </w:t>
            </w:r>
          </w:p>
        </w:tc>
        <w:tc>
          <w:tcPr>
            <w:tcW w:w="852" w:type="dxa"/>
            <w:gridSpan w:val="2"/>
            <w:tcBorders>
              <w:top w:val="nil"/>
              <w:left w:val="nil"/>
              <w:bottom w:val="single" w:sz="8" w:space="0" w:color="auto"/>
              <w:right w:val="single" w:sz="8" w:space="0" w:color="auto"/>
            </w:tcBorders>
            <w:shd w:val="clear" w:color="000000" w:fill="F4B084"/>
            <w:vAlign w:val="center"/>
            <w:hideMark/>
          </w:tcPr>
          <w:p w:rsidR="005562BB" w:rsidRPr="005562BB" w:rsidRDefault="005562BB" w:rsidP="0034118B">
            <w:pPr>
              <w:jc w:val="right"/>
              <w:rPr>
                <w:rFonts w:ascii="Calibri" w:eastAsia="Times New Roman" w:hAnsi="Calibri"/>
                <w:b/>
                <w:bCs/>
                <w:color w:val="000000"/>
                <w:sz w:val="26"/>
                <w:szCs w:val="26"/>
                <w:lang w:val="fr-FR" w:eastAsia="fr-FR"/>
              </w:rPr>
            </w:pPr>
            <w:r w:rsidRPr="005562BB">
              <w:rPr>
                <w:rFonts w:ascii="Calibri" w:eastAsia="Times New Roman" w:hAnsi="Calibri"/>
                <w:b/>
                <w:bCs/>
                <w:color w:val="000000"/>
                <w:sz w:val="26"/>
                <w:szCs w:val="26"/>
                <w:lang w:val="fr-FR" w:eastAsia="fr-FR"/>
              </w:rPr>
              <w:t> </w:t>
            </w:r>
          </w:p>
        </w:tc>
      </w:tr>
    </w:tbl>
    <w:p w:rsidR="00A31376" w:rsidRDefault="00A31376" w:rsidP="00167513">
      <w:pPr>
        <w:pStyle w:val="Titre2"/>
        <w:numPr>
          <w:ilvl w:val="1"/>
          <w:numId w:val="25"/>
        </w:numPr>
        <w:spacing w:before="0"/>
        <w:ind w:left="426" w:hanging="426"/>
        <w:rPr>
          <w:color w:val="auto"/>
          <w:sz w:val="28"/>
          <w:szCs w:val="28"/>
          <w:lang w:val="fr-FR"/>
        </w:rPr>
        <w:sectPr w:rsidR="00A31376" w:rsidSect="00861997">
          <w:pgSz w:w="15840" w:h="12240" w:orient="landscape"/>
          <w:pgMar w:top="1440" w:right="1440" w:bottom="1440" w:left="1440" w:header="720" w:footer="720" w:gutter="0"/>
          <w:cols w:space="720"/>
          <w:docGrid w:linePitch="360"/>
        </w:sectPr>
      </w:pPr>
    </w:p>
    <w:p w:rsidR="007962FE" w:rsidRPr="00DE7A2C" w:rsidRDefault="007962FE" w:rsidP="00167513">
      <w:pPr>
        <w:pStyle w:val="Titre2"/>
        <w:numPr>
          <w:ilvl w:val="1"/>
          <w:numId w:val="25"/>
        </w:numPr>
        <w:spacing w:before="0"/>
        <w:ind w:left="426" w:hanging="426"/>
        <w:rPr>
          <w:color w:val="auto"/>
          <w:sz w:val="28"/>
          <w:szCs w:val="28"/>
          <w:lang w:val="fr-FR"/>
        </w:rPr>
      </w:pPr>
      <w:bookmarkStart w:id="88" w:name="_Toc480382955"/>
      <w:r w:rsidRPr="00DE7A2C">
        <w:rPr>
          <w:color w:val="auto"/>
          <w:sz w:val="28"/>
          <w:szCs w:val="28"/>
          <w:lang w:val="fr-FR"/>
        </w:rPr>
        <w:t>Répartition des dépenses par axe et intervention</w:t>
      </w:r>
      <w:bookmarkEnd w:id="88"/>
    </w:p>
    <w:p w:rsidR="007962FE" w:rsidRDefault="007962FE" w:rsidP="007962FE">
      <w:pPr>
        <w:rPr>
          <w:lang w:val="fr-FR"/>
        </w:rPr>
      </w:pPr>
    </w:p>
    <w:p w:rsidR="00DE7A2C" w:rsidRDefault="00DE7A2C" w:rsidP="00167513">
      <w:pPr>
        <w:pStyle w:val="Paragraphedeliste"/>
        <w:numPr>
          <w:ilvl w:val="2"/>
          <w:numId w:val="25"/>
        </w:numPr>
        <w:ind w:left="709"/>
        <w:rPr>
          <w:b/>
          <w:sz w:val="24"/>
          <w:lang w:val="fr-FR"/>
        </w:rPr>
      </w:pPr>
      <w:r w:rsidRPr="00DE7A2C">
        <w:rPr>
          <w:b/>
          <w:sz w:val="24"/>
          <w:lang w:val="fr-FR"/>
        </w:rPr>
        <w:t>Budget par Axes</w:t>
      </w:r>
    </w:p>
    <w:p w:rsidR="006016A8" w:rsidRDefault="006016A8" w:rsidP="006016A8">
      <w:pPr>
        <w:pStyle w:val="Paragraphedeliste"/>
        <w:ind w:left="709"/>
        <w:rPr>
          <w:b/>
          <w:sz w:val="24"/>
          <w:lang w:val="fr-FR"/>
        </w:rPr>
      </w:pPr>
    </w:p>
    <w:tbl>
      <w:tblPr>
        <w:tblW w:w="11120" w:type="dxa"/>
        <w:tblInd w:w="-356" w:type="dxa"/>
        <w:tblCellMar>
          <w:left w:w="70" w:type="dxa"/>
          <w:right w:w="70" w:type="dxa"/>
        </w:tblCellMar>
        <w:tblLook w:val="04A0"/>
      </w:tblPr>
      <w:tblGrid>
        <w:gridCol w:w="540"/>
        <w:gridCol w:w="4080"/>
        <w:gridCol w:w="1300"/>
        <w:gridCol w:w="1300"/>
        <w:gridCol w:w="1300"/>
        <w:gridCol w:w="1300"/>
        <w:gridCol w:w="1300"/>
      </w:tblGrid>
      <w:tr w:rsidR="006016A8" w:rsidRPr="006016A8" w:rsidTr="006016A8">
        <w:trPr>
          <w:trHeight w:val="420"/>
        </w:trPr>
        <w:tc>
          <w:tcPr>
            <w:tcW w:w="11120" w:type="dxa"/>
            <w:gridSpan w:val="7"/>
            <w:tcBorders>
              <w:top w:val="nil"/>
              <w:left w:val="nil"/>
              <w:bottom w:val="nil"/>
              <w:right w:val="nil"/>
            </w:tcBorders>
            <w:shd w:val="clear" w:color="auto" w:fill="auto"/>
            <w:vAlign w:val="bottom"/>
            <w:hideMark/>
          </w:tcPr>
          <w:p w:rsidR="006016A8" w:rsidRPr="006016A8" w:rsidRDefault="006016A8" w:rsidP="006016A8">
            <w:pPr>
              <w:jc w:val="center"/>
              <w:rPr>
                <w:rFonts w:ascii="Calibri" w:eastAsia="Times New Roman" w:hAnsi="Calibri"/>
                <w:b/>
                <w:bCs/>
                <w:color w:val="000000"/>
                <w:sz w:val="32"/>
                <w:szCs w:val="32"/>
                <w:lang w:val="fr-FR" w:eastAsia="fr-FR"/>
              </w:rPr>
            </w:pPr>
            <w:r w:rsidRPr="006016A8">
              <w:rPr>
                <w:rFonts w:ascii="Calibri" w:eastAsia="Times New Roman" w:hAnsi="Calibri"/>
                <w:b/>
                <w:bCs/>
                <w:color w:val="000000"/>
                <w:sz w:val="32"/>
                <w:szCs w:val="32"/>
                <w:lang w:val="fr-FR" w:eastAsia="fr-FR"/>
              </w:rPr>
              <w:t>BUDGET PAR AXES STRATEGIQUES</w:t>
            </w:r>
          </w:p>
        </w:tc>
      </w:tr>
      <w:tr w:rsidR="006016A8" w:rsidRPr="006016A8" w:rsidTr="006016A8">
        <w:trPr>
          <w:trHeight w:val="315"/>
        </w:trPr>
        <w:tc>
          <w:tcPr>
            <w:tcW w:w="540" w:type="dxa"/>
            <w:tcBorders>
              <w:top w:val="nil"/>
              <w:left w:val="nil"/>
              <w:bottom w:val="nil"/>
              <w:right w:val="nil"/>
            </w:tcBorders>
            <w:shd w:val="clear" w:color="auto" w:fill="auto"/>
            <w:vAlign w:val="bottom"/>
            <w:hideMark/>
          </w:tcPr>
          <w:p w:rsidR="006016A8" w:rsidRPr="006016A8" w:rsidRDefault="006016A8" w:rsidP="006016A8">
            <w:pPr>
              <w:jc w:val="left"/>
              <w:rPr>
                <w:rFonts w:ascii="Calibri" w:eastAsia="Times New Roman" w:hAnsi="Calibri"/>
                <w:color w:val="000000"/>
                <w:lang w:val="fr-FR" w:eastAsia="fr-FR"/>
              </w:rPr>
            </w:pPr>
          </w:p>
        </w:tc>
        <w:tc>
          <w:tcPr>
            <w:tcW w:w="4080" w:type="dxa"/>
            <w:tcBorders>
              <w:top w:val="nil"/>
              <w:left w:val="nil"/>
              <w:bottom w:val="nil"/>
              <w:right w:val="nil"/>
            </w:tcBorders>
            <w:shd w:val="clear" w:color="auto" w:fill="auto"/>
            <w:vAlign w:val="bottom"/>
            <w:hideMark/>
          </w:tcPr>
          <w:p w:rsidR="006016A8" w:rsidRPr="006016A8" w:rsidRDefault="006016A8" w:rsidP="006016A8">
            <w:pPr>
              <w:jc w:val="left"/>
              <w:rPr>
                <w:rFonts w:ascii="Calibri" w:eastAsia="Times New Roman" w:hAnsi="Calibri"/>
                <w:color w:val="000000"/>
                <w:lang w:val="fr-FR" w:eastAsia="fr-FR"/>
              </w:rPr>
            </w:pPr>
          </w:p>
        </w:tc>
        <w:tc>
          <w:tcPr>
            <w:tcW w:w="1300" w:type="dxa"/>
            <w:tcBorders>
              <w:top w:val="nil"/>
              <w:left w:val="nil"/>
              <w:bottom w:val="nil"/>
              <w:right w:val="nil"/>
            </w:tcBorders>
            <w:shd w:val="clear" w:color="auto" w:fill="auto"/>
            <w:vAlign w:val="bottom"/>
            <w:hideMark/>
          </w:tcPr>
          <w:p w:rsidR="006016A8" w:rsidRPr="006016A8" w:rsidRDefault="006016A8" w:rsidP="006016A8">
            <w:pPr>
              <w:jc w:val="left"/>
              <w:rPr>
                <w:rFonts w:ascii="Calibri" w:eastAsia="Times New Roman" w:hAnsi="Calibri"/>
                <w:color w:val="000000"/>
                <w:lang w:val="fr-FR" w:eastAsia="fr-FR"/>
              </w:rPr>
            </w:pPr>
          </w:p>
        </w:tc>
        <w:tc>
          <w:tcPr>
            <w:tcW w:w="1300" w:type="dxa"/>
            <w:tcBorders>
              <w:top w:val="nil"/>
              <w:left w:val="nil"/>
              <w:bottom w:val="nil"/>
              <w:right w:val="nil"/>
            </w:tcBorders>
            <w:shd w:val="clear" w:color="auto" w:fill="auto"/>
            <w:vAlign w:val="bottom"/>
            <w:hideMark/>
          </w:tcPr>
          <w:p w:rsidR="006016A8" w:rsidRPr="006016A8" w:rsidRDefault="006016A8" w:rsidP="006016A8">
            <w:pPr>
              <w:jc w:val="left"/>
              <w:rPr>
                <w:rFonts w:ascii="Calibri" w:eastAsia="Times New Roman" w:hAnsi="Calibri"/>
                <w:color w:val="000000"/>
                <w:lang w:val="fr-FR" w:eastAsia="fr-FR"/>
              </w:rPr>
            </w:pPr>
          </w:p>
        </w:tc>
        <w:tc>
          <w:tcPr>
            <w:tcW w:w="1300" w:type="dxa"/>
            <w:tcBorders>
              <w:top w:val="nil"/>
              <w:left w:val="nil"/>
              <w:bottom w:val="nil"/>
              <w:right w:val="nil"/>
            </w:tcBorders>
            <w:shd w:val="clear" w:color="auto" w:fill="auto"/>
            <w:vAlign w:val="bottom"/>
            <w:hideMark/>
          </w:tcPr>
          <w:p w:rsidR="006016A8" w:rsidRPr="006016A8" w:rsidRDefault="006016A8" w:rsidP="006016A8">
            <w:pPr>
              <w:jc w:val="left"/>
              <w:rPr>
                <w:rFonts w:ascii="Calibri" w:eastAsia="Times New Roman" w:hAnsi="Calibri"/>
                <w:color w:val="000000"/>
                <w:lang w:val="fr-FR" w:eastAsia="fr-FR"/>
              </w:rPr>
            </w:pPr>
          </w:p>
        </w:tc>
        <w:tc>
          <w:tcPr>
            <w:tcW w:w="1300" w:type="dxa"/>
            <w:tcBorders>
              <w:top w:val="nil"/>
              <w:left w:val="nil"/>
              <w:bottom w:val="nil"/>
              <w:right w:val="nil"/>
            </w:tcBorders>
            <w:shd w:val="clear" w:color="auto" w:fill="auto"/>
            <w:vAlign w:val="bottom"/>
            <w:hideMark/>
          </w:tcPr>
          <w:p w:rsidR="006016A8" w:rsidRPr="006016A8" w:rsidRDefault="006016A8" w:rsidP="006016A8">
            <w:pPr>
              <w:jc w:val="left"/>
              <w:rPr>
                <w:rFonts w:ascii="Calibri" w:eastAsia="Times New Roman" w:hAnsi="Calibri"/>
                <w:color w:val="000000"/>
                <w:lang w:val="fr-FR" w:eastAsia="fr-FR"/>
              </w:rPr>
            </w:pPr>
          </w:p>
        </w:tc>
        <w:tc>
          <w:tcPr>
            <w:tcW w:w="1300" w:type="dxa"/>
            <w:tcBorders>
              <w:top w:val="nil"/>
              <w:left w:val="nil"/>
              <w:bottom w:val="nil"/>
              <w:right w:val="nil"/>
            </w:tcBorders>
            <w:shd w:val="clear" w:color="auto" w:fill="auto"/>
            <w:vAlign w:val="bottom"/>
            <w:hideMark/>
          </w:tcPr>
          <w:p w:rsidR="006016A8" w:rsidRPr="006016A8" w:rsidRDefault="006016A8" w:rsidP="006016A8">
            <w:pPr>
              <w:jc w:val="left"/>
              <w:rPr>
                <w:rFonts w:ascii="Calibri" w:eastAsia="Times New Roman" w:hAnsi="Calibri"/>
                <w:color w:val="000000"/>
                <w:lang w:val="fr-FR" w:eastAsia="fr-FR"/>
              </w:rPr>
            </w:pPr>
          </w:p>
        </w:tc>
      </w:tr>
      <w:tr w:rsidR="006016A8" w:rsidRPr="006016A8" w:rsidTr="006016A8">
        <w:trPr>
          <w:trHeight w:val="315"/>
        </w:trPr>
        <w:tc>
          <w:tcPr>
            <w:tcW w:w="4620" w:type="dxa"/>
            <w:gridSpan w:val="2"/>
            <w:vMerge w:val="restart"/>
            <w:tcBorders>
              <w:top w:val="single" w:sz="8" w:space="0" w:color="auto"/>
              <w:left w:val="single" w:sz="8" w:space="0" w:color="auto"/>
              <w:bottom w:val="single" w:sz="8" w:space="0" w:color="000000"/>
              <w:right w:val="single" w:sz="4" w:space="0" w:color="000000"/>
            </w:tcBorders>
            <w:shd w:val="clear" w:color="000000" w:fill="E2EFDA"/>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AXES STRATEGIQUES</w:t>
            </w:r>
          </w:p>
        </w:tc>
        <w:tc>
          <w:tcPr>
            <w:tcW w:w="6500" w:type="dxa"/>
            <w:gridSpan w:val="5"/>
            <w:tcBorders>
              <w:top w:val="single" w:sz="8" w:space="0" w:color="auto"/>
              <w:left w:val="nil"/>
              <w:bottom w:val="single" w:sz="4" w:space="0" w:color="auto"/>
              <w:right w:val="single" w:sz="8" w:space="0" w:color="000000"/>
            </w:tcBorders>
            <w:shd w:val="clear" w:color="000000" w:fill="DDEBF7"/>
            <w:noWrap/>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Coût total par année</w:t>
            </w:r>
          </w:p>
        </w:tc>
      </w:tr>
      <w:tr w:rsidR="006016A8" w:rsidRPr="006016A8" w:rsidTr="006016A8">
        <w:trPr>
          <w:trHeight w:val="330"/>
        </w:trPr>
        <w:tc>
          <w:tcPr>
            <w:tcW w:w="4620" w:type="dxa"/>
            <w:gridSpan w:val="2"/>
            <w:vMerge/>
            <w:tcBorders>
              <w:top w:val="single" w:sz="8" w:space="0" w:color="auto"/>
              <w:left w:val="single" w:sz="8" w:space="0" w:color="auto"/>
              <w:bottom w:val="single" w:sz="8" w:space="0" w:color="000000"/>
              <w:right w:val="single" w:sz="4" w:space="0" w:color="000000"/>
            </w:tcBorders>
            <w:vAlign w:val="center"/>
            <w:hideMark/>
          </w:tcPr>
          <w:p w:rsidR="006016A8" w:rsidRPr="006016A8" w:rsidRDefault="006016A8" w:rsidP="006016A8">
            <w:pPr>
              <w:jc w:val="left"/>
              <w:rPr>
                <w:rFonts w:ascii="Calibri" w:eastAsia="Times New Roman" w:hAnsi="Calibri"/>
                <w:b/>
                <w:bCs/>
                <w:color w:val="000000"/>
                <w:sz w:val="24"/>
                <w:lang w:val="fr-FR" w:eastAsia="fr-FR"/>
              </w:rPr>
            </w:pPr>
          </w:p>
        </w:tc>
        <w:tc>
          <w:tcPr>
            <w:tcW w:w="1300" w:type="dxa"/>
            <w:tcBorders>
              <w:top w:val="single" w:sz="4" w:space="0" w:color="auto"/>
              <w:left w:val="nil"/>
              <w:bottom w:val="single" w:sz="8" w:space="0" w:color="auto"/>
              <w:right w:val="single" w:sz="4" w:space="0" w:color="auto"/>
            </w:tcBorders>
            <w:shd w:val="clear" w:color="auto" w:fill="auto"/>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2017</w:t>
            </w:r>
          </w:p>
        </w:tc>
        <w:tc>
          <w:tcPr>
            <w:tcW w:w="1300" w:type="dxa"/>
            <w:tcBorders>
              <w:top w:val="single" w:sz="4" w:space="0" w:color="auto"/>
              <w:left w:val="nil"/>
              <w:bottom w:val="single" w:sz="8" w:space="0" w:color="auto"/>
              <w:right w:val="single" w:sz="4" w:space="0" w:color="auto"/>
            </w:tcBorders>
            <w:shd w:val="clear" w:color="auto" w:fill="auto"/>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2018</w:t>
            </w:r>
          </w:p>
        </w:tc>
        <w:tc>
          <w:tcPr>
            <w:tcW w:w="1300" w:type="dxa"/>
            <w:tcBorders>
              <w:top w:val="single" w:sz="4" w:space="0" w:color="auto"/>
              <w:left w:val="nil"/>
              <w:bottom w:val="single" w:sz="8" w:space="0" w:color="auto"/>
              <w:right w:val="single" w:sz="4" w:space="0" w:color="auto"/>
            </w:tcBorders>
            <w:shd w:val="clear" w:color="auto" w:fill="auto"/>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2019</w:t>
            </w:r>
          </w:p>
        </w:tc>
        <w:tc>
          <w:tcPr>
            <w:tcW w:w="1300" w:type="dxa"/>
            <w:tcBorders>
              <w:top w:val="single" w:sz="4" w:space="0" w:color="auto"/>
              <w:left w:val="nil"/>
              <w:bottom w:val="single" w:sz="8" w:space="0" w:color="auto"/>
              <w:right w:val="nil"/>
            </w:tcBorders>
            <w:shd w:val="clear" w:color="auto" w:fill="auto"/>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2020</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Total</w:t>
            </w:r>
          </w:p>
        </w:tc>
      </w:tr>
      <w:tr w:rsidR="006016A8" w:rsidRPr="006016A8" w:rsidTr="006016A8">
        <w:trPr>
          <w:trHeight w:val="660"/>
        </w:trPr>
        <w:tc>
          <w:tcPr>
            <w:tcW w:w="4620" w:type="dxa"/>
            <w:gridSpan w:val="2"/>
            <w:tcBorders>
              <w:top w:val="nil"/>
              <w:left w:val="single" w:sz="8" w:space="0" w:color="auto"/>
              <w:bottom w:val="single" w:sz="4" w:space="0" w:color="auto"/>
              <w:right w:val="single" w:sz="4" w:space="0" w:color="000000"/>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Axe stratégique 1</w:t>
            </w:r>
            <w:r w:rsidRPr="006016A8">
              <w:rPr>
                <w:rFonts w:ascii="Calibri" w:eastAsia="Times New Roman" w:hAnsi="Calibri"/>
                <w:color w:val="000000"/>
                <w:sz w:val="24"/>
                <w:lang w:val="fr-FR" w:eastAsia="fr-FR"/>
              </w:rPr>
              <w:t xml:space="preserve"> : Renforcement du pilotage stratégique pour la PECP</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136 950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173 750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74 500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134 750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519 950   </w:t>
            </w:r>
          </w:p>
        </w:tc>
      </w:tr>
      <w:tr w:rsidR="006016A8" w:rsidRPr="006016A8" w:rsidTr="006016A8">
        <w:trPr>
          <w:trHeight w:val="1290"/>
        </w:trPr>
        <w:tc>
          <w:tcPr>
            <w:tcW w:w="4620" w:type="dxa"/>
            <w:gridSpan w:val="2"/>
            <w:tcBorders>
              <w:top w:val="single" w:sz="4" w:space="0" w:color="auto"/>
              <w:left w:val="single" w:sz="8" w:space="0" w:color="auto"/>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Axe Stratégique 2</w:t>
            </w:r>
            <w:r w:rsidRPr="006016A8">
              <w:rPr>
                <w:rFonts w:ascii="Calibri" w:eastAsia="Times New Roman" w:hAnsi="Calibri"/>
                <w:color w:val="000000"/>
                <w:sz w:val="24"/>
                <w:lang w:val="fr-FR" w:eastAsia="fr-FR"/>
              </w:rPr>
              <w:t>: Renforcement des capacités des services pour offrir des soins et services de prise en charge pédiatrique du VIH de qualité</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1 239 745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1 295 965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1 346 610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1 237 130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5 119 450   </w:t>
            </w:r>
          </w:p>
        </w:tc>
      </w:tr>
      <w:tr w:rsidR="006016A8" w:rsidRPr="006016A8" w:rsidTr="006016A8">
        <w:trPr>
          <w:trHeight w:val="1005"/>
        </w:trPr>
        <w:tc>
          <w:tcPr>
            <w:tcW w:w="4620" w:type="dxa"/>
            <w:gridSpan w:val="2"/>
            <w:tcBorders>
              <w:top w:val="single" w:sz="4" w:space="0" w:color="auto"/>
              <w:left w:val="single" w:sz="8" w:space="0" w:color="auto"/>
              <w:bottom w:val="nil"/>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Axe Stratégique 3</w:t>
            </w:r>
            <w:r w:rsidRPr="006016A8">
              <w:rPr>
                <w:rFonts w:ascii="Calibri" w:eastAsia="Times New Roman" w:hAnsi="Calibri"/>
                <w:color w:val="000000"/>
                <w:sz w:val="24"/>
                <w:lang w:val="fr-FR" w:eastAsia="fr-FR"/>
              </w:rPr>
              <w:t>: Renforcement de la mobilisation communautaire pour la prise en charge pédiatrique de qualité</w:t>
            </w:r>
          </w:p>
        </w:tc>
        <w:tc>
          <w:tcPr>
            <w:tcW w:w="1300" w:type="dxa"/>
            <w:tcBorders>
              <w:top w:val="nil"/>
              <w:left w:val="single" w:sz="4" w:space="0" w:color="auto"/>
              <w:bottom w:val="nil"/>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219 075   </w:t>
            </w:r>
          </w:p>
        </w:tc>
        <w:tc>
          <w:tcPr>
            <w:tcW w:w="1300" w:type="dxa"/>
            <w:tcBorders>
              <w:top w:val="nil"/>
              <w:left w:val="nil"/>
              <w:bottom w:val="nil"/>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55 375   </w:t>
            </w:r>
          </w:p>
        </w:tc>
        <w:tc>
          <w:tcPr>
            <w:tcW w:w="1300" w:type="dxa"/>
            <w:tcBorders>
              <w:top w:val="nil"/>
              <w:left w:val="nil"/>
              <w:bottom w:val="nil"/>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56 500   </w:t>
            </w:r>
          </w:p>
        </w:tc>
        <w:tc>
          <w:tcPr>
            <w:tcW w:w="1300" w:type="dxa"/>
            <w:tcBorders>
              <w:top w:val="nil"/>
              <w:left w:val="nil"/>
              <w:bottom w:val="nil"/>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20 000   </w:t>
            </w:r>
          </w:p>
        </w:tc>
        <w:tc>
          <w:tcPr>
            <w:tcW w:w="1300" w:type="dxa"/>
            <w:tcBorders>
              <w:top w:val="nil"/>
              <w:left w:val="single" w:sz="8" w:space="0" w:color="auto"/>
              <w:bottom w:val="nil"/>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350 950   </w:t>
            </w:r>
          </w:p>
        </w:tc>
      </w:tr>
      <w:tr w:rsidR="006016A8" w:rsidRPr="006016A8" w:rsidTr="006016A8">
        <w:trPr>
          <w:trHeight w:val="540"/>
        </w:trPr>
        <w:tc>
          <w:tcPr>
            <w:tcW w:w="4620" w:type="dxa"/>
            <w:gridSpan w:val="2"/>
            <w:tcBorders>
              <w:top w:val="single" w:sz="8" w:space="0" w:color="auto"/>
              <w:left w:val="single" w:sz="8" w:space="0" w:color="auto"/>
              <w:bottom w:val="single" w:sz="8" w:space="0" w:color="auto"/>
              <w:right w:val="single" w:sz="4" w:space="0" w:color="000000"/>
            </w:tcBorders>
            <w:shd w:val="clear" w:color="000000" w:fill="FFFFFF"/>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TOTAL GENERAL</w:t>
            </w:r>
          </w:p>
        </w:tc>
        <w:tc>
          <w:tcPr>
            <w:tcW w:w="1300" w:type="dxa"/>
            <w:tcBorders>
              <w:top w:val="single" w:sz="8" w:space="0" w:color="auto"/>
              <w:left w:val="nil"/>
              <w:bottom w:val="single" w:sz="8"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1 595 770   </w:t>
            </w:r>
          </w:p>
        </w:tc>
        <w:tc>
          <w:tcPr>
            <w:tcW w:w="1300" w:type="dxa"/>
            <w:tcBorders>
              <w:top w:val="single" w:sz="8" w:space="0" w:color="auto"/>
              <w:left w:val="nil"/>
              <w:bottom w:val="single" w:sz="8"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1 525 090   </w:t>
            </w:r>
          </w:p>
        </w:tc>
        <w:tc>
          <w:tcPr>
            <w:tcW w:w="1300" w:type="dxa"/>
            <w:tcBorders>
              <w:top w:val="single" w:sz="8" w:space="0" w:color="auto"/>
              <w:left w:val="nil"/>
              <w:bottom w:val="single" w:sz="8"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1 477 610   </w:t>
            </w:r>
          </w:p>
        </w:tc>
        <w:tc>
          <w:tcPr>
            <w:tcW w:w="1300" w:type="dxa"/>
            <w:tcBorders>
              <w:top w:val="single" w:sz="8" w:space="0" w:color="auto"/>
              <w:left w:val="nil"/>
              <w:bottom w:val="single" w:sz="8" w:space="0" w:color="auto"/>
              <w:right w:val="nil"/>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1 391 880   </w:t>
            </w:r>
          </w:p>
        </w:tc>
        <w:tc>
          <w:tcPr>
            <w:tcW w:w="13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5 990 350   </w:t>
            </w:r>
          </w:p>
        </w:tc>
      </w:tr>
    </w:tbl>
    <w:p w:rsidR="006016A8" w:rsidRDefault="006016A8" w:rsidP="006016A8">
      <w:pPr>
        <w:pStyle w:val="Paragraphedeliste"/>
        <w:ind w:left="709"/>
        <w:rPr>
          <w:b/>
          <w:sz w:val="24"/>
          <w:lang w:val="fr-FR"/>
        </w:rPr>
      </w:pPr>
    </w:p>
    <w:p w:rsidR="006016A8" w:rsidRDefault="006016A8" w:rsidP="00167513">
      <w:pPr>
        <w:pStyle w:val="Paragraphedeliste"/>
        <w:numPr>
          <w:ilvl w:val="2"/>
          <w:numId w:val="25"/>
        </w:numPr>
        <w:ind w:left="709"/>
        <w:rPr>
          <w:b/>
          <w:sz w:val="24"/>
          <w:lang w:val="fr-FR"/>
        </w:rPr>
      </w:pPr>
      <w:r>
        <w:rPr>
          <w:b/>
          <w:sz w:val="24"/>
          <w:lang w:val="fr-FR"/>
        </w:rPr>
        <w:t>Budget par Interventions</w:t>
      </w:r>
    </w:p>
    <w:p w:rsidR="006016A8" w:rsidRDefault="006016A8" w:rsidP="006016A8">
      <w:pPr>
        <w:ind w:left="-11"/>
        <w:rPr>
          <w:b/>
          <w:sz w:val="24"/>
          <w:lang w:val="fr-FR"/>
        </w:rPr>
      </w:pPr>
    </w:p>
    <w:tbl>
      <w:tblPr>
        <w:tblW w:w="10980" w:type="dxa"/>
        <w:tblInd w:w="-356" w:type="dxa"/>
        <w:tblCellMar>
          <w:left w:w="70" w:type="dxa"/>
          <w:right w:w="70" w:type="dxa"/>
        </w:tblCellMar>
        <w:tblLook w:val="04A0"/>
      </w:tblPr>
      <w:tblGrid>
        <w:gridCol w:w="540"/>
        <w:gridCol w:w="3940"/>
        <w:gridCol w:w="1300"/>
        <w:gridCol w:w="1300"/>
        <w:gridCol w:w="1300"/>
        <w:gridCol w:w="1300"/>
        <w:gridCol w:w="1300"/>
      </w:tblGrid>
      <w:tr w:rsidR="006016A8" w:rsidRPr="006016A8" w:rsidTr="00C76C1C">
        <w:trPr>
          <w:trHeight w:val="420"/>
        </w:trPr>
        <w:tc>
          <w:tcPr>
            <w:tcW w:w="10980" w:type="dxa"/>
            <w:gridSpan w:val="7"/>
            <w:tcBorders>
              <w:top w:val="nil"/>
              <w:left w:val="nil"/>
              <w:bottom w:val="nil"/>
              <w:right w:val="nil"/>
            </w:tcBorders>
            <w:shd w:val="clear" w:color="auto" w:fill="auto"/>
            <w:vAlign w:val="bottom"/>
            <w:hideMark/>
          </w:tcPr>
          <w:p w:rsidR="006016A8" w:rsidRPr="006016A8" w:rsidRDefault="006016A8" w:rsidP="006016A8">
            <w:pPr>
              <w:jc w:val="center"/>
              <w:rPr>
                <w:rFonts w:ascii="Calibri" w:eastAsia="Times New Roman" w:hAnsi="Calibri"/>
                <w:b/>
                <w:bCs/>
                <w:color w:val="000000"/>
                <w:sz w:val="32"/>
                <w:szCs w:val="32"/>
                <w:lang w:val="fr-FR" w:eastAsia="fr-FR"/>
              </w:rPr>
            </w:pPr>
            <w:r w:rsidRPr="006016A8">
              <w:rPr>
                <w:rFonts w:ascii="Calibri" w:eastAsia="Times New Roman" w:hAnsi="Calibri"/>
                <w:b/>
                <w:bCs/>
                <w:color w:val="000000"/>
                <w:sz w:val="32"/>
                <w:szCs w:val="32"/>
                <w:lang w:val="fr-FR" w:eastAsia="fr-FR"/>
              </w:rPr>
              <w:t>BUDGET PAR INTERVENTIONS</w:t>
            </w:r>
          </w:p>
        </w:tc>
      </w:tr>
      <w:tr w:rsidR="006016A8" w:rsidRPr="006016A8" w:rsidTr="00C76C1C">
        <w:trPr>
          <w:trHeight w:val="315"/>
        </w:trPr>
        <w:tc>
          <w:tcPr>
            <w:tcW w:w="540" w:type="dxa"/>
            <w:tcBorders>
              <w:top w:val="nil"/>
              <w:left w:val="nil"/>
              <w:bottom w:val="nil"/>
              <w:right w:val="nil"/>
            </w:tcBorders>
            <w:shd w:val="clear" w:color="auto" w:fill="auto"/>
            <w:vAlign w:val="bottom"/>
            <w:hideMark/>
          </w:tcPr>
          <w:p w:rsidR="006016A8" w:rsidRPr="006016A8" w:rsidRDefault="006016A8" w:rsidP="006016A8">
            <w:pPr>
              <w:jc w:val="left"/>
              <w:rPr>
                <w:rFonts w:ascii="Calibri" w:eastAsia="Times New Roman" w:hAnsi="Calibri"/>
                <w:color w:val="000000"/>
                <w:lang w:val="fr-FR" w:eastAsia="fr-FR"/>
              </w:rPr>
            </w:pPr>
          </w:p>
        </w:tc>
        <w:tc>
          <w:tcPr>
            <w:tcW w:w="3940" w:type="dxa"/>
            <w:tcBorders>
              <w:top w:val="nil"/>
              <w:left w:val="nil"/>
              <w:bottom w:val="nil"/>
              <w:right w:val="nil"/>
            </w:tcBorders>
            <w:shd w:val="clear" w:color="auto" w:fill="auto"/>
            <w:vAlign w:val="bottom"/>
            <w:hideMark/>
          </w:tcPr>
          <w:p w:rsidR="006016A8" w:rsidRPr="006016A8" w:rsidRDefault="006016A8" w:rsidP="006016A8">
            <w:pPr>
              <w:jc w:val="left"/>
              <w:rPr>
                <w:rFonts w:ascii="Calibri" w:eastAsia="Times New Roman" w:hAnsi="Calibri"/>
                <w:color w:val="000000"/>
                <w:lang w:val="fr-FR" w:eastAsia="fr-FR"/>
              </w:rPr>
            </w:pPr>
          </w:p>
        </w:tc>
        <w:tc>
          <w:tcPr>
            <w:tcW w:w="1300" w:type="dxa"/>
            <w:tcBorders>
              <w:top w:val="nil"/>
              <w:left w:val="nil"/>
              <w:bottom w:val="nil"/>
              <w:right w:val="nil"/>
            </w:tcBorders>
            <w:shd w:val="clear" w:color="auto" w:fill="auto"/>
            <w:vAlign w:val="bottom"/>
            <w:hideMark/>
          </w:tcPr>
          <w:p w:rsidR="006016A8" w:rsidRPr="006016A8" w:rsidRDefault="006016A8" w:rsidP="006016A8">
            <w:pPr>
              <w:jc w:val="left"/>
              <w:rPr>
                <w:rFonts w:ascii="Calibri" w:eastAsia="Times New Roman" w:hAnsi="Calibri"/>
                <w:color w:val="000000"/>
                <w:lang w:val="fr-FR" w:eastAsia="fr-FR"/>
              </w:rPr>
            </w:pPr>
          </w:p>
        </w:tc>
        <w:tc>
          <w:tcPr>
            <w:tcW w:w="1300" w:type="dxa"/>
            <w:tcBorders>
              <w:top w:val="nil"/>
              <w:left w:val="nil"/>
              <w:bottom w:val="nil"/>
              <w:right w:val="nil"/>
            </w:tcBorders>
            <w:shd w:val="clear" w:color="auto" w:fill="auto"/>
            <w:vAlign w:val="bottom"/>
            <w:hideMark/>
          </w:tcPr>
          <w:p w:rsidR="006016A8" w:rsidRPr="006016A8" w:rsidRDefault="006016A8" w:rsidP="006016A8">
            <w:pPr>
              <w:jc w:val="left"/>
              <w:rPr>
                <w:rFonts w:ascii="Calibri" w:eastAsia="Times New Roman" w:hAnsi="Calibri"/>
                <w:color w:val="000000"/>
                <w:lang w:val="fr-FR" w:eastAsia="fr-FR"/>
              </w:rPr>
            </w:pPr>
          </w:p>
        </w:tc>
        <w:tc>
          <w:tcPr>
            <w:tcW w:w="1300" w:type="dxa"/>
            <w:tcBorders>
              <w:top w:val="nil"/>
              <w:left w:val="nil"/>
              <w:bottom w:val="nil"/>
              <w:right w:val="nil"/>
            </w:tcBorders>
            <w:shd w:val="clear" w:color="auto" w:fill="auto"/>
            <w:vAlign w:val="bottom"/>
            <w:hideMark/>
          </w:tcPr>
          <w:p w:rsidR="006016A8" w:rsidRPr="006016A8" w:rsidRDefault="006016A8" w:rsidP="006016A8">
            <w:pPr>
              <w:jc w:val="left"/>
              <w:rPr>
                <w:rFonts w:ascii="Calibri" w:eastAsia="Times New Roman" w:hAnsi="Calibri"/>
                <w:color w:val="000000"/>
                <w:lang w:val="fr-FR" w:eastAsia="fr-FR"/>
              </w:rPr>
            </w:pPr>
          </w:p>
        </w:tc>
        <w:tc>
          <w:tcPr>
            <w:tcW w:w="1300" w:type="dxa"/>
            <w:tcBorders>
              <w:top w:val="nil"/>
              <w:left w:val="nil"/>
              <w:bottom w:val="nil"/>
              <w:right w:val="nil"/>
            </w:tcBorders>
            <w:shd w:val="clear" w:color="auto" w:fill="auto"/>
            <w:vAlign w:val="bottom"/>
            <w:hideMark/>
          </w:tcPr>
          <w:p w:rsidR="006016A8" w:rsidRPr="006016A8" w:rsidRDefault="006016A8" w:rsidP="006016A8">
            <w:pPr>
              <w:jc w:val="left"/>
              <w:rPr>
                <w:rFonts w:ascii="Calibri" w:eastAsia="Times New Roman" w:hAnsi="Calibri"/>
                <w:color w:val="000000"/>
                <w:lang w:val="fr-FR" w:eastAsia="fr-FR"/>
              </w:rPr>
            </w:pPr>
          </w:p>
        </w:tc>
        <w:tc>
          <w:tcPr>
            <w:tcW w:w="1300" w:type="dxa"/>
            <w:tcBorders>
              <w:top w:val="nil"/>
              <w:left w:val="nil"/>
              <w:bottom w:val="nil"/>
              <w:right w:val="nil"/>
            </w:tcBorders>
            <w:shd w:val="clear" w:color="auto" w:fill="auto"/>
            <w:vAlign w:val="bottom"/>
            <w:hideMark/>
          </w:tcPr>
          <w:p w:rsidR="006016A8" w:rsidRPr="006016A8" w:rsidRDefault="006016A8" w:rsidP="006016A8">
            <w:pPr>
              <w:jc w:val="left"/>
              <w:rPr>
                <w:rFonts w:ascii="Calibri" w:eastAsia="Times New Roman" w:hAnsi="Calibri"/>
                <w:color w:val="000000"/>
                <w:lang w:val="fr-FR" w:eastAsia="fr-FR"/>
              </w:rPr>
            </w:pPr>
          </w:p>
        </w:tc>
      </w:tr>
      <w:tr w:rsidR="006016A8" w:rsidRPr="006016A8" w:rsidTr="00C76C1C">
        <w:trPr>
          <w:trHeight w:val="315"/>
        </w:trPr>
        <w:tc>
          <w:tcPr>
            <w:tcW w:w="4480" w:type="dxa"/>
            <w:gridSpan w:val="2"/>
            <w:vMerge w:val="restart"/>
            <w:tcBorders>
              <w:top w:val="single" w:sz="8" w:space="0" w:color="auto"/>
              <w:left w:val="single" w:sz="8" w:space="0" w:color="auto"/>
              <w:bottom w:val="single" w:sz="8" w:space="0" w:color="000000"/>
              <w:right w:val="single" w:sz="4" w:space="0" w:color="000000"/>
            </w:tcBorders>
            <w:shd w:val="clear" w:color="000000" w:fill="E2EFDA"/>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Interventions</w:t>
            </w:r>
          </w:p>
        </w:tc>
        <w:tc>
          <w:tcPr>
            <w:tcW w:w="6500" w:type="dxa"/>
            <w:gridSpan w:val="5"/>
            <w:tcBorders>
              <w:top w:val="single" w:sz="8" w:space="0" w:color="auto"/>
              <w:left w:val="nil"/>
              <w:bottom w:val="single" w:sz="4" w:space="0" w:color="auto"/>
              <w:right w:val="single" w:sz="8" w:space="0" w:color="000000"/>
            </w:tcBorders>
            <w:shd w:val="clear" w:color="000000" w:fill="DDEBF7"/>
            <w:noWrap/>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Coût total par année</w:t>
            </w:r>
          </w:p>
        </w:tc>
      </w:tr>
      <w:tr w:rsidR="006016A8" w:rsidRPr="006016A8" w:rsidTr="00C76C1C">
        <w:trPr>
          <w:trHeight w:val="330"/>
        </w:trPr>
        <w:tc>
          <w:tcPr>
            <w:tcW w:w="4480" w:type="dxa"/>
            <w:gridSpan w:val="2"/>
            <w:vMerge/>
            <w:tcBorders>
              <w:top w:val="single" w:sz="8" w:space="0" w:color="auto"/>
              <w:left w:val="single" w:sz="8" w:space="0" w:color="auto"/>
              <w:bottom w:val="single" w:sz="8" w:space="0" w:color="000000"/>
              <w:right w:val="single" w:sz="4" w:space="0" w:color="000000"/>
            </w:tcBorders>
            <w:vAlign w:val="center"/>
            <w:hideMark/>
          </w:tcPr>
          <w:p w:rsidR="006016A8" w:rsidRPr="006016A8" w:rsidRDefault="006016A8" w:rsidP="006016A8">
            <w:pPr>
              <w:jc w:val="left"/>
              <w:rPr>
                <w:rFonts w:ascii="Calibri" w:eastAsia="Times New Roman" w:hAnsi="Calibri"/>
                <w:b/>
                <w:bCs/>
                <w:color w:val="000000"/>
                <w:sz w:val="24"/>
                <w:lang w:val="fr-FR" w:eastAsia="fr-FR"/>
              </w:rPr>
            </w:pPr>
          </w:p>
        </w:tc>
        <w:tc>
          <w:tcPr>
            <w:tcW w:w="1300" w:type="dxa"/>
            <w:tcBorders>
              <w:top w:val="single" w:sz="4" w:space="0" w:color="auto"/>
              <w:left w:val="nil"/>
              <w:bottom w:val="single" w:sz="8" w:space="0" w:color="auto"/>
              <w:right w:val="single" w:sz="4" w:space="0" w:color="auto"/>
            </w:tcBorders>
            <w:shd w:val="clear" w:color="auto" w:fill="auto"/>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2017</w:t>
            </w:r>
          </w:p>
        </w:tc>
        <w:tc>
          <w:tcPr>
            <w:tcW w:w="1300" w:type="dxa"/>
            <w:tcBorders>
              <w:top w:val="single" w:sz="4" w:space="0" w:color="auto"/>
              <w:left w:val="nil"/>
              <w:bottom w:val="single" w:sz="8" w:space="0" w:color="auto"/>
              <w:right w:val="single" w:sz="4" w:space="0" w:color="auto"/>
            </w:tcBorders>
            <w:shd w:val="clear" w:color="auto" w:fill="auto"/>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2018</w:t>
            </w:r>
          </w:p>
        </w:tc>
        <w:tc>
          <w:tcPr>
            <w:tcW w:w="1300" w:type="dxa"/>
            <w:tcBorders>
              <w:top w:val="single" w:sz="4" w:space="0" w:color="auto"/>
              <w:left w:val="nil"/>
              <w:bottom w:val="single" w:sz="8" w:space="0" w:color="auto"/>
              <w:right w:val="single" w:sz="4" w:space="0" w:color="auto"/>
            </w:tcBorders>
            <w:shd w:val="clear" w:color="auto" w:fill="auto"/>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2019</w:t>
            </w:r>
          </w:p>
        </w:tc>
        <w:tc>
          <w:tcPr>
            <w:tcW w:w="1300" w:type="dxa"/>
            <w:tcBorders>
              <w:top w:val="single" w:sz="4" w:space="0" w:color="auto"/>
              <w:left w:val="nil"/>
              <w:bottom w:val="single" w:sz="8" w:space="0" w:color="auto"/>
              <w:right w:val="nil"/>
            </w:tcBorders>
            <w:shd w:val="clear" w:color="auto" w:fill="auto"/>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2020</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Total</w:t>
            </w:r>
          </w:p>
        </w:tc>
      </w:tr>
      <w:tr w:rsidR="006016A8" w:rsidRPr="006016A8" w:rsidTr="00C76C1C">
        <w:trPr>
          <w:trHeight w:val="1470"/>
        </w:trPr>
        <w:tc>
          <w:tcPr>
            <w:tcW w:w="4480" w:type="dxa"/>
            <w:gridSpan w:val="2"/>
            <w:tcBorders>
              <w:top w:val="nil"/>
              <w:left w:val="single" w:sz="8" w:space="0" w:color="auto"/>
              <w:bottom w:val="single" w:sz="4" w:space="0" w:color="auto"/>
              <w:right w:val="single" w:sz="4" w:space="0" w:color="000000"/>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Interventions 1.1</w:t>
            </w:r>
            <w:r w:rsidRPr="006016A8">
              <w:rPr>
                <w:rFonts w:ascii="Calibri" w:eastAsia="Times New Roman" w:hAnsi="Calibri"/>
                <w:color w:val="000000"/>
                <w:sz w:val="24"/>
                <w:lang w:val="fr-FR" w:eastAsia="fr-FR"/>
              </w:rPr>
              <w:t xml:space="preserve"> : Actualisation, diffusion et application des directives pour le dépistage VIH, l’initiation du TARV et le suivi des enfants de 0-15 ans infectés par le VIH</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49 500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49 500   </w:t>
            </w:r>
          </w:p>
        </w:tc>
      </w:tr>
      <w:tr w:rsidR="006016A8" w:rsidRPr="006016A8" w:rsidTr="00C76C1C">
        <w:trPr>
          <w:trHeight w:val="960"/>
        </w:trPr>
        <w:tc>
          <w:tcPr>
            <w:tcW w:w="4480" w:type="dxa"/>
            <w:gridSpan w:val="2"/>
            <w:tcBorders>
              <w:top w:val="single" w:sz="4" w:space="0" w:color="auto"/>
              <w:left w:val="single" w:sz="8" w:space="0" w:color="auto"/>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Intervention 1.2</w:t>
            </w:r>
            <w:r w:rsidRPr="006016A8">
              <w:rPr>
                <w:rFonts w:ascii="Calibri" w:eastAsia="Times New Roman" w:hAnsi="Calibri"/>
                <w:color w:val="000000"/>
                <w:sz w:val="24"/>
                <w:lang w:val="fr-FR" w:eastAsia="fr-FR"/>
              </w:rPr>
              <w:t xml:space="preserve"> : Amélioration de la gestion et de la coordination des activités du programme</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34 200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54 000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33 750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54 000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175 950   </w:t>
            </w:r>
          </w:p>
        </w:tc>
      </w:tr>
      <w:tr w:rsidR="006016A8" w:rsidRPr="006016A8" w:rsidTr="00C76C1C">
        <w:trPr>
          <w:trHeight w:val="900"/>
        </w:trPr>
        <w:tc>
          <w:tcPr>
            <w:tcW w:w="4480" w:type="dxa"/>
            <w:gridSpan w:val="2"/>
            <w:tcBorders>
              <w:top w:val="single" w:sz="4" w:space="0" w:color="auto"/>
              <w:left w:val="single" w:sz="8" w:space="0" w:color="auto"/>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Intervention 1.3</w:t>
            </w:r>
            <w:r w:rsidRPr="006016A8">
              <w:rPr>
                <w:rFonts w:ascii="Calibri" w:eastAsia="Times New Roman" w:hAnsi="Calibri"/>
                <w:color w:val="000000"/>
                <w:sz w:val="24"/>
                <w:lang w:val="fr-FR" w:eastAsia="fr-FR"/>
              </w:rPr>
              <w:t>: Renforcement de la mobilisation adéquate des ressources (financement)</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3 750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15 000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3 750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22 500   </w:t>
            </w:r>
          </w:p>
        </w:tc>
      </w:tr>
      <w:tr w:rsidR="006016A8" w:rsidRPr="006016A8" w:rsidTr="00C76C1C">
        <w:trPr>
          <w:trHeight w:val="630"/>
        </w:trPr>
        <w:tc>
          <w:tcPr>
            <w:tcW w:w="4480" w:type="dxa"/>
            <w:gridSpan w:val="2"/>
            <w:tcBorders>
              <w:top w:val="single" w:sz="4" w:space="0" w:color="auto"/>
              <w:left w:val="single" w:sz="8" w:space="0" w:color="auto"/>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sz w:val="24"/>
                <w:lang w:val="fr-FR" w:eastAsia="fr-FR"/>
              </w:rPr>
            </w:pPr>
            <w:r w:rsidRPr="006016A8">
              <w:rPr>
                <w:rFonts w:ascii="Calibri" w:eastAsia="Times New Roman" w:hAnsi="Calibri"/>
                <w:sz w:val="24"/>
                <w:lang w:val="fr-FR" w:eastAsia="fr-FR"/>
              </w:rPr>
              <w:t>Intervention 1.4: Amélioration du Suivi et évaluation des activités de PECP</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42 500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37 000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30 000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40 000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149 500   </w:t>
            </w:r>
          </w:p>
        </w:tc>
      </w:tr>
      <w:tr w:rsidR="006016A8" w:rsidRPr="006016A8" w:rsidTr="00C76C1C">
        <w:trPr>
          <w:trHeight w:val="660"/>
        </w:trPr>
        <w:tc>
          <w:tcPr>
            <w:tcW w:w="448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Intervention 1.5</w:t>
            </w:r>
            <w:r w:rsidRPr="006016A8">
              <w:rPr>
                <w:rFonts w:ascii="Calibri" w:eastAsia="Times New Roman" w:hAnsi="Calibri"/>
                <w:color w:val="000000"/>
                <w:sz w:val="24"/>
                <w:lang w:val="fr-FR" w:eastAsia="fr-FR"/>
              </w:rPr>
              <w:t>: Mise en œuvre de la Recherche action</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7 000   </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67 750   </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7 000   </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40 750   </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122 500   </w:t>
            </w:r>
          </w:p>
        </w:tc>
      </w:tr>
      <w:tr w:rsidR="006016A8" w:rsidRPr="006016A8" w:rsidTr="00C76C1C">
        <w:trPr>
          <w:trHeight w:val="945"/>
        </w:trPr>
        <w:tc>
          <w:tcPr>
            <w:tcW w:w="44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Intervention 2.1</w:t>
            </w:r>
            <w:r w:rsidRPr="006016A8">
              <w:rPr>
                <w:rFonts w:ascii="Calibri" w:eastAsia="Times New Roman" w:hAnsi="Calibri"/>
                <w:color w:val="000000"/>
                <w:sz w:val="24"/>
                <w:lang w:val="fr-FR" w:eastAsia="fr-FR"/>
              </w:rPr>
              <w:t>: Accélération de l’intégration des activités de PECP dans les services de SRMNIA/PTME</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46 500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46 500   </w:t>
            </w:r>
          </w:p>
        </w:tc>
      </w:tr>
      <w:tr w:rsidR="006016A8" w:rsidRPr="006016A8" w:rsidTr="00C76C1C">
        <w:trPr>
          <w:trHeight w:val="945"/>
        </w:trPr>
        <w:tc>
          <w:tcPr>
            <w:tcW w:w="44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Intervention 2.2</w:t>
            </w:r>
            <w:r w:rsidRPr="006016A8">
              <w:rPr>
                <w:rFonts w:ascii="Calibri" w:eastAsia="Times New Roman" w:hAnsi="Calibri"/>
                <w:color w:val="000000"/>
                <w:sz w:val="24"/>
                <w:lang w:val="fr-FR" w:eastAsia="fr-FR"/>
              </w:rPr>
              <w:t>: Dotation des Formations sanitaires en équipements pour la PECP</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232 000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150 000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150 000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532 000   </w:t>
            </w:r>
          </w:p>
        </w:tc>
      </w:tr>
      <w:tr w:rsidR="006016A8" w:rsidRPr="006016A8" w:rsidTr="00C76C1C">
        <w:trPr>
          <w:trHeight w:val="945"/>
        </w:trPr>
        <w:tc>
          <w:tcPr>
            <w:tcW w:w="44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Intervention 2.3</w:t>
            </w:r>
            <w:r w:rsidRPr="006016A8">
              <w:rPr>
                <w:rFonts w:ascii="Calibri" w:eastAsia="Times New Roman" w:hAnsi="Calibri"/>
                <w:color w:val="000000"/>
                <w:sz w:val="24"/>
                <w:lang w:val="fr-FR" w:eastAsia="fr-FR"/>
              </w:rPr>
              <w:t>: Organiser la maintenance préventive et curative des équipments</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21 000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7 000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7 000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7 000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42 000   </w:t>
            </w:r>
          </w:p>
        </w:tc>
      </w:tr>
      <w:tr w:rsidR="006016A8" w:rsidRPr="006016A8" w:rsidTr="00C76C1C">
        <w:trPr>
          <w:trHeight w:val="945"/>
        </w:trPr>
        <w:tc>
          <w:tcPr>
            <w:tcW w:w="44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Intervention 2.4</w:t>
            </w:r>
            <w:r w:rsidRPr="006016A8">
              <w:rPr>
                <w:rFonts w:ascii="Calibri" w:eastAsia="Times New Roman" w:hAnsi="Calibri"/>
                <w:color w:val="000000"/>
                <w:sz w:val="24"/>
                <w:lang w:val="fr-FR" w:eastAsia="fr-FR"/>
              </w:rPr>
              <w:t xml:space="preserve">: Dotation des Formations sanitaires en réactifs et test de dépistage rapide VIH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401 950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401 950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401 950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401 950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1 607 800   </w:t>
            </w:r>
          </w:p>
        </w:tc>
      </w:tr>
      <w:tr w:rsidR="006016A8" w:rsidRPr="006016A8" w:rsidTr="00C76C1C">
        <w:trPr>
          <w:trHeight w:val="945"/>
        </w:trPr>
        <w:tc>
          <w:tcPr>
            <w:tcW w:w="44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Intervention 2.5</w:t>
            </w:r>
            <w:r w:rsidRPr="006016A8">
              <w:rPr>
                <w:rFonts w:ascii="Calibri" w:eastAsia="Times New Roman" w:hAnsi="Calibri"/>
                <w:color w:val="000000"/>
                <w:sz w:val="24"/>
                <w:lang w:val="fr-FR" w:eastAsia="fr-FR"/>
              </w:rPr>
              <w:t>: Dotation des formations sanitaires des médicaments ARV pédiatriques et de prise en charge des infections opportunistes</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306 120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593 340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663 360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713 880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2 276 700   </w:t>
            </w:r>
          </w:p>
        </w:tc>
      </w:tr>
      <w:tr w:rsidR="006016A8" w:rsidRPr="006016A8" w:rsidTr="00C76C1C">
        <w:trPr>
          <w:trHeight w:val="945"/>
        </w:trPr>
        <w:tc>
          <w:tcPr>
            <w:tcW w:w="44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Intervention 2.6</w:t>
            </w:r>
            <w:r w:rsidRPr="006016A8">
              <w:rPr>
                <w:rFonts w:ascii="Calibri" w:eastAsia="Times New Roman" w:hAnsi="Calibri"/>
                <w:color w:val="000000"/>
                <w:sz w:val="24"/>
                <w:lang w:val="fr-FR" w:eastAsia="fr-FR"/>
              </w:rPr>
              <w:t>: Renforcement des capacités des ressources humaines</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102 875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51 375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22 000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22 000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198 250   </w:t>
            </w:r>
          </w:p>
        </w:tc>
      </w:tr>
      <w:tr w:rsidR="006016A8" w:rsidRPr="006016A8" w:rsidTr="00C76C1C">
        <w:trPr>
          <w:trHeight w:val="945"/>
        </w:trPr>
        <w:tc>
          <w:tcPr>
            <w:tcW w:w="44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Intervention 2.7</w:t>
            </w:r>
            <w:r w:rsidRPr="006016A8">
              <w:rPr>
                <w:rFonts w:ascii="Calibri" w:eastAsia="Times New Roman" w:hAnsi="Calibri"/>
                <w:color w:val="000000"/>
                <w:sz w:val="24"/>
                <w:lang w:val="fr-FR" w:eastAsia="fr-FR"/>
              </w:rPr>
              <w:t>: Renforcement du dépistage des enfants infectés par le VIH</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50 000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40 000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50 000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40 000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180 000   </w:t>
            </w:r>
          </w:p>
        </w:tc>
      </w:tr>
      <w:tr w:rsidR="006016A8" w:rsidRPr="006016A8" w:rsidTr="00C76C1C">
        <w:trPr>
          <w:trHeight w:val="945"/>
        </w:trPr>
        <w:tc>
          <w:tcPr>
            <w:tcW w:w="44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Intervention 2.8</w:t>
            </w:r>
            <w:r w:rsidRPr="006016A8">
              <w:rPr>
                <w:rFonts w:ascii="Calibri" w:eastAsia="Times New Roman" w:hAnsi="Calibri"/>
                <w:color w:val="000000"/>
                <w:sz w:val="24"/>
                <w:lang w:val="fr-FR" w:eastAsia="fr-FR"/>
              </w:rPr>
              <w:t>: Décentralisation de l’initiation du TARV, du suivi et de la rétention des enfants infectés par le VIH</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79 300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52 300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52 300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52 300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236 200   </w:t>
            </w:r>
          </w:p>
        </w:tc>
      </w:tr>
      <w:tr w:rsidR="006016A8" w:rsidRPr="006016A8" w:rsidTr="00C76C1C">
        <w:trPr>
          <w:trHeight w:val="1095"/>
        </w:trPr>
        <w:tc>
          <w:tcPr>
            <w:tcW w:w="44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Intervention 3.1</w:t>
            </w:r>
            <w:r w:rsidRPr="006016A8">
              <w:rPr>
                <w:rFonts w:ascii="Calibri" w:eastAsia="Times New Roman" w:hAnsi="Calibri"/>
                <w:color w:val="000000"/>
                <w:sz w:val="24"/>
                <w:lang w:val="fr-FR" w:eastAsia="fr-FR"/>
              </w:rPr>
              <w:t>: Renforcement de la communication et de la mobilisation sociale en faveur de la PECP</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51 000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26 000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32 500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20 000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129 500   </w:t>
            </w:r>
          </w:p>
        </w:tc>
      </w:tr>
      <w:tr w:rsidR="006016A8" w:rsidRPr="006016A8" w:rsidTr="00C76C1C">
        <w:trPr>
          <w:trHeight w:val="900"/>
        </w:trPr>
        <w:tc>
          <w:tcPr>
            <w:tcW w:w="44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Intervention 3.2</w:t>
            </w:r>
            <w:r w:rsidRPr="006016A8">
              <w:rPr>
                <w:rFonts w:ascii="Calibri" w:eastAsia="Times New Roman" w:hAnsi="Calibri"/>
                <w:color w:val="000000"/>
                <w:sz w:val="24"/>
                <w:lang w:val="fr-FR" w:eastAsia="fr-FR"/>
              </w:rPr>
              <w:t>: Définition et mise en œuvre du paquet de soins communautaires de PECP</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12 500   </w:t>
            </w:r>
          </w:p>
        </w:tc>
        <w:tc>
          <w:tcPr>
            <w:tcW w:w="1300" w:type="dxa"/>
            <w:tcBorders>
              <w:top w:val="nil"/>
              <w:left w:val="nil"/>
              <w:bottom w:val="single" w:sz="4"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     </w:t>
            </w:r>
          </w:p>
        </w:tc>
        <w:tc>
          <w:tcPr>
            <w:tcW w:w="1300" w:type="dxa"/>
            <w:tcBorders>
              <w:top w:val="nil"/>
              <w:left w:val="nil"/>
              <w:bottom w:val="single" w:sz="4" w:space="0" w:color="auto"/>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12 500   </w:t>
            </w:r>
          </w:p>
        </w:tc>
      </w:tr>
      <w:tr w:rsidR="006016A8" w:rsidRPr="006016A8" w:rsidTr="00C76C1C">
        <w:trPr>
          <w:trHeight w:val="1260"/>
        </w:trPr>
        <w:tc>
          <w:tcPr>
            <w:tcW w:w="4480" w:type="dxa"/>
            <w:gridSpan w:val="2"/>
            <w:tcBorders>
              <w:top w:val="single" w:sz="4" w:space="0" w:color="auto"/>
              <w:left w:val="single" w:sz="8" w:space="0" w:color="auto"/>
              <w:bottom w:val="nil"/>
              <w:right w:val="single" w:sz="4" w:space="0" w:color="000000"/>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b/>
                <w:bCs/>
                <w:color w:val="000000"/>
                <w:sz w:val="24"/>
                <w:u w:val="single"/>
                <w:lang w:val="fr-FR" w:eastAsia="fr-FR"/>
              </w:rPr>
              <w:t>Intervention 3.3</w:t>
            </w:r>
            <w:r w:rsidRPr="006016A8">
              <w:rPr>
                <w:rFonts w:ascii="Calibri" w:eastAsia="Times New Roman" w:hAnsi="Calibri"/>
                <w:color w:val="000000"/>
                <w:sz w:val="24"/>
                <w:lang w:val="fr-FR" w:eastAsia="fr-FR"/>
              </w:rPr>
              <w:t>: Renforcement des capacités des médiateurs communautaires et des associations impliquées dans la lutte contre le VIH</w:t>
            </w:r>
          </w:p>
        </w:tc>
        <w:tc>
          <w:tcPr>
            <w:tcW w:w="1300" w:type="dxa"/>
            <w:tcBorders>
              <w:top w:val="nil"/>
              <w:left w:val="nil"/>
              <w:bottom w:val="nil"/>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168 075   </w:t>
            </w:r>
          </w:p>
        </w:tc>
        <w:tc>
          <w:tcPr>
            <w:tcW w:w="1300" w:type="dxa"/>
            <w:tcBorders>
              <w:top w:val="nil"/>
              <w:left w:val="nil"/>
              <w:bottom w:val="nil"/>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16 875   </w:t>
            </w:r>
          </w:p>
        </w:tc>
        <w:tc>
          <w:tcPr>
            <w:tcW w:w="1300" w:type="dxa"/>
            <w:tcBorders>
              <w:top w:val="nil"/>
              <w:left w:val="nil"/>
              <w:bottom w:val="nil"/>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24 000   </w:t>
            </w:r>
          </w:p>
        </w:tc>
        <w:tc>
          <w:tcPr>
            <w:tcW w:w="1300" w:type="dxa"/>
            <w:tcBorders>
              <w:top w:val="nil"/>
              <w:left w:val="nil"/>
              <w:bottom w:val="nil"/>
              <w:right w:val="nil"/>
            </w:tcBorders>
            <w:shd w:val="clear" w:color="000000" w:fill="FFFFFF"/>
            <w:vAlign w:val="center"/>
            <w:hideMark/>
          </w:tcPr>
          <w:p w:rsidR="006016A8" w:rsidRPr="006016A8" w:rsidRDefault="006016A8" w:rsidP="006016A8">
            <w:pPr>
              <w:jc w:val="left"/>
              <w:rPr>
                <w:rFonts w:ascii="Calibri" w:eastAsia="Times New Roman" w:hAnsi="Calibri"/>
                <w:color w:val="000000"/>
                <w:sz w:val="24"/>
                <w:lang w:val="fr-FR" w:eastAsia="fr-FR"/>
              </w:rPr>
            </w:pPr>
            <w:r w:rsidRPr="006016A8">
              <w:rPr>
                <w:rFonts w:ascii="Calibri" w:eastAsia="Times New Roman" w:hAnsi="Calibri"/>
                <w:color w:val="000000"/>
                <w:sz w:val="24"/>
                <w:lang w:val="fr-FR" w:eastAsia="fr-FR"/>
              </w:rPr>
              <w:t xml:space="preserve">              -     </w:t>
            </w:r>
          </w:p>
        </w:tc>
        <w:tc>
          <w:tcPr>
            <w:tcW w:w="1300" w:type="dxa"/>
            <w:tcBorders>
              <w:top w:val="nil"/>
              <w:left w:val="single" w:sz="8" w:space="0" w:color="auto"/>
              <w:bottom w:val="nil"/>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208 950   </w:t>
            </w:r>
          </w:p>
        </w:tc>
      </w:tr>
      <w:tr w:rsidR="006016A8" w:rsidRPr="006016A8" w:rsidTr="00C76C1C">
        <w:trPr>
          <w:trHeight w:val="540"/>
        </w:trPr>
        <w:tc>
          <w:tcPr>
            <w:tcW w:w="4480" w:type="dxa"/>
            <w:gridSpan w:val="2"/>
            <w:tcBorders>
              <w:top w:val="single" w:sz="8" w:space="0" w:color="auto"/>
              <w:left w:val="single" w:sz="8" w:space="0" w:color="auto"/>
              <w:bottom w:val="single" w:sz="8" w:space="0" w:color="auto"/>
              <w:right w:val="single" w:sz="4" w:space="0" w:color="000000"/>
            </w:tcBorders>
            <w:shd w:val="clear" w:color="000000" w:fill="FFFFFF"/>
            <w:vAlign w:val="center"/>
            <w:hideMark/>
          </w:tcPr>
          <w:p w:rsidR="006016A8" w:rsidRPr="006016A8" w:rsidRDefault="006016A8" w:rsidP="006016A8">
            <w:pPr>
              <w:jc w:val="center"/>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TOTAL GENERAL</w:t>
            </w:r>
          </w:p>
        </w:tc>
        <w:tc>
          <w:tcPr>
            <w:tcW w:w="1300" w:type="dxa"/>
            <w:tcBorders>
              <w:top w:val="single" w:sz="8" w:space="0" w:color="auto"/>
              <w:left w:val="nil"/>
              <w:bottom w:val="single" w:sz="8"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1 595 770   </w:t>
            </w:r>
          </w:p>
        </w:tc>
        <w:tc>
          <w:tcPr>
            <w:tcW w:w="1300" w:type="dxa"/>
            <w:tcBorders>
              <w:top w:val="single" w:sz="8" w:space="0" w:color="auto"/>
              <w:left w:val="nil"/>
              <w:bottom w:val="single" w:sz="8"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1 525 090   </w:t>
            </w:r>
          </w:p>
        </w:tc>
        <w:tc>
          <w:tcPr>
            <w:tcW w:w="1300" w:type="dxa"/>
            <w:tcBorders>
              <w:top w:val="single" w:sz="8" w:space="0" w:color="auto"/>
              <w:left w:val="nil"/>
              <w:bottom w:val="single" w:sz="8" w:space="0" w:color="auto"/>
              <w:right w:val="single" w:sz="4"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1 477 610   </w:t>
            </w:r>
          </w:p>
        </w:tc>
        <w:tc>
          <w:tcPr>
            <w:tcW w:w="1300" w:type="dxa"/>
            <w:tcBorders>
              <w:top w:val="single" w:sz="8" w:space="0" w:color="auto"/>
              <w:left w:val="nil"/>
              <w:bottom w:val="single" w:sz="8" w:space="0" w:color="auto"/>
              <w:right w:val="nil"/>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1 391 880   </w:t>
            </w:r>
          </w:p>
        </w:tc>
        <w:tc>
          <w:tcPr>
            <w:tcW w:w="13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016A8" w:rsidRPr="006016A8" w:rsidRDefault="006016A8" w:rsidP="006016A8">
            <w:pPr>
              <w:jc w:val="left"/>
              <w:rPr>
                <w:rFonts w:ascii="Calibri" w:eastAsia="Times New Roman" w:hAnsi="Calibri"/>
                <w:b/>
                <w:bCs/>
                <w:color w:val="000000"/>
                <w:sz w:val="24"/>
                <w:lang w:val="fr-FR" w:eastAsia="fr-FR"/>
              </w:rPr>
            </w:pPr>
            <w:r w:rsidRPr="006016A8">
              <w:rPr>
                <w:rFonts w:ascii="Calibri" w:eastAsia="Times New Roman" w:hAnsi="Calibri"/>
                <w:b/>
                <w:bCs/>
                <w:color w:val="000000"/>
                <w:sz w:val="24"/>
                <w:lang w:val="fr-FR" w:eastAsia="fr-FR"/>
              </w:rPr>
              <w:t xml:space="preserve"> 5 990 350   </w:t>
            </w:r>
          </w:p>
        </w:tc>
      </w:tr>
    </w:tbl>
    <w:p w:rsidR="006016A8" w:rsidRPr="006016A8" w:rsidRDefault="006016A8" w:rsidP="006016A8">
      <w:pPr>
        <w:ind w:left="-11"/>
        <w:rPr>
          <w:b/>
          <w:sz w:val="24"/>
          <w:lang w:val="fr-FR"/>
        </w:rPr>
      </w:pPr>
    </w:p>
    <w:p w:rsidR="00A275C7" w:rsidRPr="002C695E" w:rsidRDefault="00A275C7" w:rsidP="005B571E">
      <w:pPr>
        <w:pStyle w:val="Titre1"/>
        <w:rPr>
          <w:color w:val="auto"/>
        </w:rPr>
      </w:pPr>
      <w:bookmarkStart w:id="89" w:name="_Toc480382956"/>
      <w:r w:rsidRPr="002C695E">
        <w:rPr>
          <w:color w:val="auto"/>
        </w:rPr>
        <w:t>Références</w:t>
      </w:r>
      <w:bookmarkEnd w:id="89"/>
    </w:p>
    <w:p w:rsidR="005B571E" w:rsidRPr="005B571E" w:rsidRDefault="005B571E" w:rsidP="005B571E"/>
    <w:p w:rsidR="006F71FB" w:rsidRPr="002C695E" w:rsidRDefault="006F71FB" w:rsidP="00167513">
      <w:pPr>
        <w:pStyle w:val="Paragraphedeliste"/>
        <w:numPr>
          <w:ilvl w:val="0"/>
          <w:numId w:val="26"/>
        </w:numPr>
        <w:spacing w:after="120"/>
        <w:rPr>
          <w:sz w:val="24"/>
          <w:lang w:val="fr-FR"/>
        </w:rPr>
      </w:pPr>
      <w:r w:rsidRPr="002C695E">
        <w:rPr>
          <w:sz w:val="24"/>
          <w:lang w:val="fr-FR"/>
        </w:rPr>
        <w:t>CNLS (2013) Plan stratégique national de lutte contre le VIH 2013-2017. Conakry : CNLS.</w:t>
      </w:r>
    </w:p>
    <w:p w:rsidR="001233D0" w:rsidRPr="002C695E" w:rsidRDefault="001233D0" w:rsidP="00167513">
      <w:pPr>
        <w:pStyle w:val="Paragraphedeliste"/>
        <w:numPr>
          <w:ilvl w:val="0"/>
          <w:numId w:val="26"/>
        </w:numPr>
        <w:tabs>
          <w:tab w:val="left" w:pos="8910"/>
        </w:tabs>
        <w:spacing w:after="120"/>
        <w:rPr>
          <w:sz w:val="24"/>
          <w:lang w:val="fr-FR"/>
        </w:rPr>
      </w:pPr>
      <w:r w:rsidRPr="002C695E">
        <w:rPr>
          <w:sz w:val="24"/>
          <w:lang w:val="fr-FR"/>
        </w:rPr>
        <w:t>CNLS (2015</w:t>
      </w:r>
      <w:r w:rsidR="00ED2C1A" w:rsidRPr="002C695E">
        <w:rPr>
          <w:sz w:val="24"/>
          <w:lang w:val="fr-FR"/>
        </w:rPr>
        <w:t>a</w:t>
      </w:r>
      <w:r w:rsidRPr="002C695E">
        <w:rPr>
          <w:sz w:val="24"/>
          <w:lang w:val="fr-FR"/>
        </w:rPr>
        <w:t>) Enquête de surveillance comportementale et biologique des IST/VIH/SIDA-ESCOMB 2015. Conakry : CNLS.</w:t>
      </w:r>
    </w:p>
    <w:p w:rsidR="00ED2C1A" w:rsidRPr="002C695E" w:rsidRDefault="00ED2C1A" w:rsidP="00167513">
      <w:pPr>
        <w:pStyle w:val="Paragraphedeliste"/>
        <w:numPr>
          <w:ilvl w:val="0"/>
          <w:numId w:val="26"/>
        </w:numPr>
        <w:tabs>
          <w:tab w:val="left" w:pos="8910"/>
        </w:tabs>
        <w:spacing w:after="120"/>
        <w:rPr>
          <w:sz w:val="24"/>
          <w:lang w:val="fr-FR"/>
        </w:rPr>
      </w:pPr>
      <w:r w:rsidRPr="002C695E">
        <w:rPr>
          <w:sz w:val="24"/>
          <w:lang w:val="fr-FR"/>
        </w:rPr>
        <w:t>CNLS (2015b) Enquête Nationale de Surveillance Sentinelle du VIH des femmes enceintes dans les sites sentinelles (ENSS-2015-Guinée). Conakry : CNLS.</w:t>
      </w:r>
    </w:p>
    <w:p w:rsidR="00C50CEC" w:rsidRPr="002C695E" w:rsidRDefault="00C50CEC" w:rsidP="00167513">
      <w:pPr>
        <w:pStyle w:val="Paragraphedeliste"/>
        <w:numPr>
          <w:ilvl w:val="0"/>
          <w:numId w:val="26"/>
        </w:numPr>
        <w:spacing w:after="120"/>
        <w:rPr>
          <w:sz w:val="24"/>
          <w:lang w:val="fr-FR"/>
        </w:rPr>
      </w:pPr>
      <w:r w:rsidRPr="002C695E">
        <w:rPr>
          <w:sz w:val="24"/>
          <w:lang w:val="fr-FR"/>
        </w:rPr>
        <w:t>Keugoung B (2014) Interface entre programmes verticaux et services de santé généraux – Comment optimiser cette relation dans les systèmes de santé d’Afrique sub-saharienne ? Thèse doctorale. Bruxelles : Université Catholique de Louvain.</w:t>
      </w:r>
    </w:p>
    <w:p w:rsidR="00C50CEC" w:rsidRPr="002C695E" w:rsidRDefault="00C50CEC" w:rsidP="00167513">
      <w:pPr>
        <w:pStyle w:val="Paragraphedeliste"/>
        <w:numPr>
          <w:ilvl w:val="0"/>
          <w:numId w:val="26"/>
        </w:numPr>
        <w:spacing w:after="120"/>
        <w:rPr>
          <w:sz w:val="24"/>
        </w:rPr>
      </w:pPr>
      <w:r w:rsidRPr="002C695E">
        <w:rPr>
          <w:sz w:val="24"/>
          <w:lang w:val="fr-FR"/>
        </w:rPr>
        <w:t xml:space="preserve">OMS (2000) Rapport sur la santé dans le Monde 2000 – Pour un système de santé plus performant. </w:t>
      </w:r>
      <w:r w:rsidR="002C695E">
        <w:rPr>
          <w:sz w:val="24"/>
        </w:rPr>
        <w:t>Genève</w:t>
      </w:r>
      <w:r w:rsidRPr="002C695E">
        <w:rPr>
          <w:sz w:val="24"/>
        </w:rPr>
        <w:t xml:space="preserve">: OMS. </w:t>
      </w:r>
    </w:p>
    <w:p w:rsidR="0012594A" w:rsidRPr="002C695E" w:rsidRDefault="0012594A" w:rsidP="00167513">
      <w:pPr>
        <w:pStyle w:val="Paragraphedeliste"/>
        <w:numPr>
          <w:ilvl w:val="0"/>
          <w:numId w:val="26"/>
        </w:numPr>
        <w:spacing w:after="120"/>
        <w:rPr>
          <w:rFonts w:ascii="Segoe UI" w:hAnsi="Segoe UI" w:cs="Segoe UI"/>
          <w:color w:val="000000"/>
          <w:szCs w:val="20"/>
          <w:lang w:val="fr-FR"/>
        </w:rPr>
      </w:pPr>
      <w:r w:rsidRPr="002C695E">
        <w:rPr>
          <w:sz w:val="24"/>
        </w:rPr>
        <w:t>OMS (2015)</w:t>
      </w:r>
      <w:r w:rsidR="000B6A54" w:rsidRPr="002C695E">
        <w:rPr>
          <w:sz w:val="24"/>
        </w:rPr>
        <w:t xml:space="preserve"> Guideline on when to start antiretroviral therapy and on pre-exposure prophylaxis for HIV. </w:t>
      </w:r>
      <w:r w:rsidR="000B6A54" w:rsidRPr="002C695E">
        <w:rPr>
          <w:sz w:val="24"/>
          <w:lang w:val="fr-FR"/>
        </w:rPr>
        <w:t xml:space="preserve">Geneva : OMS Disponible sur : </w:t>
      </w:r>
      <w:hyperlink r:id="rId33" w:history="1">
        <w:r w:rsidR="000B6A54" w:rsidRPr="002C695E">
          <w:rPr>
            <w:rStyle w:val="Lienhypertexte"/>
            <w:rFonts w:ascii="Segoe UI" w:hAnsi="Segoe UI" w:cs="Segoe UI"/>
            <w:szCs w:val="20"/>
            <w:lang w:val="fr-FR"/>
          </w:rPr>
          <w:t>http://apps.who.int/iris/bitstream/10665/186275/1/9789241509565_eng.pdf?ua=1</w:t>
        </w:r>
      </w:hyperlink>
    </w:p>
    <w:p w:rsidR="003D5EA4" w:rsidRPr="002C695E" w:rsidRDefault="0044251B" w:rsidP="00167513">
      <w:pPr>
        <w:pStyle w:val="Paragraphedeliste"/>
        <w:numPr>
          <w:ilvl w:val="0"/>
          <w:numId w:val="26"/>
        </w:numPr>
        <w:spacing w:after="120"/>
        <w:rPr>
          <w:rFonts w:ascii="Segoe UI" w:hAnsi="Segoe UI" w:cs="Segoe UI"/>
          <w:color w:val="000000"/>
          <w:szCs w:val="20"/>
          <w:lang w:val="fr-FR"/>
        </w:rPr>
      </w:pPr>
      <w:r w:rsidRPr="002C695E">
        <w:rPr>
          <w:sz w:val="24"/>
          <w:lang w:val="fr-FR"/>
        </w:rPr>
        <w:t xml:space="preserve">ONUSIDA (2014) 90-90-90, Une cible ambitieuse de traitement pour aider à mettre fin à l’épidémie du sida. Genève : ONUSIDA. Disponible sur : </w:t>
      </w:r>
      <w:hyperlink r:id="rId34" w:history="1">
        <w:r w:rsidRPr="002C695E">
          <w:rPr>
            <w:rStyle w:val="Lienhypertexte"/>
            <w:rFonts w:ascii="Segoe UI" w:hAnsi="Segoe UI" w:cs="Segoe UI"/>
            <w:szCs w:val="20"/>
            <w:lang w:val="fr-FR"/>
          </w:rPr>
          <w:t>http://www.unaids.org/sites/default/files/media_asset/90-90-90_fr.pdf</w:t>
        </w:r>
      </w:hyperlink>
      <w:r w:rsidRPr="002C695E">
        <w:rPr>
          <w:rFonts w:ascii="Segoe UI" w:hAnsi="Segoe UI" w:cs="Segoe UI"/>
          <w:color w:val="000000"/>
          <w:szCs w:val="20"/>
          <w:lang w:val="fr-FR"/>
        </w:rPr>
        <w:t xml:space="preserve">. </w:t>
      </w:r>
    </w:p>
    <w:p w:rsidR="00192FC1" w:rsidRPr="002C695E" w:rsidRDefault="006F71FB" w:rsidP="00167513">
      <w:pPr>
        <w:pStyle w:val="Paragraphedeliste"/>
        <w:numPr>
          <w:ilvl w:val="0"/>
          <w:numId w:val="26"/>
        </w:numPr>
        <w:rPr>
          <w:sz w:val="24"/>
          <w:lang w:val="fr-FR"/>
        </w:rPr>
      </w:pPr>
      <w:r w:rsidRPr="002C695E">
        <w:rPr>
          <w:sz w:val="24"/>
          <w:lang w:val="fr-FR"/>
        </w:rPr>
        <w:t>PNLS</w:t>
      </w:r>
      <w:r w:rsidR="00192FC1" w:rsidRPr="002C695E">
        <w:rPr>
          <w:sz w:val="24"/>
          <w:lang w:val="fr-FR"/>
        </w:rPr>
        <w:t xml:space="preserve"> (2015) Le Plan stratégique pour l’élimination de la transmission mère enfant du VIH 2015-2017. Conakry : PNPCSP.</w:t>
      </w:r>
    </w:p>
    <w:p w:rsidR="00F67FA7" w:rsidRDefault="00F67FA7">
      <w:pPr>
        <w:spacing w:after="160" w:line="259" w:lineRule="auto"/>
        <w:jc w:val="left"/>
        <w:rPr>
          <w:lang w:val="fr-FR"/>
        </w:rPr>
        <w:sectPr w:rsidR="00F67FA7" w:rsidSect="006016A8">
          <w:pgSz w:w="12240" w:h="15840"/>
          <w:pgMar w:top="1440" w:right="1440" w:bottom="1440" w:left="1134" w:header="720" w:footer="720" w:gutter="0"/>
          <w:cols w:space="720"/>
          <w:docGrid w:linePitch="360"/>
        </w:sectPr>
      </w:pPr>
    </w:p>
    <w:p w:rsidR="00584D5D" w:rsidRDefault="00584D5D" w:rsidP="00F67FA7">
      <w:pPr>
        <w:pStyle w:val="Titre1"/>
        <w:spacing w:before="0"/>
        <w:rPr>
          <w:color w:val="auto"/>
          <w:lang w:val="fr-FR"/>
        </w:rPr>
      </w:pPr>
      <w:bookmarkStart w:id="90" w:name="_Toc480382957"/>
      <w:r w:rsidRPr="00584D5D">
        <w:rPr>
          <w:color w:val="auto"/>
          <w:lang w:val="fr-FR"/>
        </w:rPr>
        <w:t>Comité de rédaction</w:t>
      </w:r>
      <w:bookmarkEnd w:id="90"/>
    </w:p>
    <w:p w:rsidR="0011719E" w:rsidRDefault="0011719E" w:rsidP="0011719E">
      <w:pPr>
        <w:rPr>
          <w:lang w:val="fr-FR"/>
        </w:rPr>
      </w:pPr>
    </w:p>
    <w:tbl>
      <w:tblPr>
        <w:tblW w:w="9500" w:type="dxa"/>
        <w:tblInd w:w="55" w:type="dxa"/>
        <w:tblCellMar>
          <w:left w:w="70" w:type="dxa"/>
          <w:right w:w="70" w:type="dxa"/>
        </w:tblCellMar>
        <w:tblLook w:val="04A0"/>
      </w:tblPr>
      <w:tblGrid>
        <w:gridCol w:w="700"/>
        <w:gridCol w:w="2340"/>
        <w:gridCol w:w="2800"/>
        <w:gridCol w:w="3660"/>
      </w:tblGrid>
      <w:tr w:rsidR="0011719E" w:rsidRPr="0011719E" w:rsidTr="0011719E">
        <w:trPr>
          <w:trHeight w:val="405"/>
        </w:trPr>
        <w:tc>
          <w:tcPr>
            <w:tcW w:w="700" w:type="dxa"/>
            <w:tcBorders>
              <w:top w:val="single" w:sz="8" w:space="0" w:color="auto"/>
              <w:left w:val="single" w:sz="8" w:space="0" w:color="auto"/>
              <w:bottom w:val="single" w:sz="8" w:space="0" w:color="auto"/>
              <w:right w:val="single" w:sz="4" w:space="0" w:color="auto"/>
            </w:tcBorders>
            <w:shd w:val="clear" w:color="000000" w:fill="9BC2E6"/>
            <w:noWrap/>
            <w:vAlign w:val="center"/>
            <w:hideMark/>
          </w:tcPr>
          <w:p w:rsidR="0011719E" w:rsidRPr="0011719E" w:rsidRDefault="0011719E" w:rsidP="0011719E">
            <w:pPr>
              <w:jc w:val="center"/>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N°</w:t>
            </w:r>
          </w:p>
        </w:tc>
        <w:tc>
          <w:tcPr>
            <w:tcW w:w="5140" w:type="dxa"/>
            <w:gridSpan w:val="2"/>
            <w:tcBorders>
              <w:top w:val="single" w:sz="8" w:space="0" w:color="auto"/>
              <w:left w:val="nil"/>
              <w:bottom w:val="single" w:sz="8" w:space="0" w:color="auto"/>
              <w:right w:val="single" w:sz="4" w:space="0" w:color="000000"/>
            </w:tcBorders>
            <w:shd w:val="clear" w:color="000000" w:fill="9BC2E6"/>
            <w:noWrap/>
            <w:vAlign w:val="center"/>
            <w:hideMark/>
          </w:tcPr>
          <w:p w:rsidR="0011719E" w:rsidRPr="0011719E" w:rsidRDefault="0011719E" w:rsidP="0011719E">
            <w:pPr>
              <w:jc w:val="center"/>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PRENOMS &amp; NOM</w:t>
            </w:r>
          </w:p>
        </w:tc>
        <w:tc>
          <w:tcPr>
            <w:tcW w:w="3660" w:type="dxa"/>
            <w:tcBorders>
              <w:top w:val="single" w:sz="8" w:space="0" w:color="auto"/>
              <w:left w:val="nil"/>
              <w:bottom w:val="single" w:sz="8" w:space="0" w:color="auto"/>
              <w:right w:val="single" w:sz="8" w:space="0" w:color="auto"/>
            </w:tcBorders>
            <w:shd w:val="clear" w:color="000000" w:fill="9BC2E6"/>
            <w:noWrap/>
            <w:vAlign w:val="center"/>
            <w:hideMark/>
          </w:tcPr>
          <w:p w:rsidR="0011719E" w:rsidRPr="0011719E" w:rsidRDefault="0011719E" w:rsidP="0011719E">
            <w:pPr>
              <w:jc w:val="center"/>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STRUCTURES</w:t>
            </w:r>
          </w:p>
        </w:tc>
      </w:tr>
      <w:tr w:rsidR="0011719E" w:rsidRPr="0011719E" w:rsidTr="0011719E">
        <w:trPr>
          <w:trHeight w:val="405"/>
        </w:trPr>
        <w:tc>
          <w:tcPr>
            <w:tcW w:w="7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1</w:t>
            </w:r>
          </w:p>
        </w:tc>
        <w:tc>
          <w:tcPr>
            <w:tcW w:w="2340" w:type="dxa"/>
            <w:tcBorders>
              <w:top w:val="single" w:sz="4" w:space="0" w:color="auto"/>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Laye</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KABA</w:t>
            </w:r>
          </w:p>
        </w:tc>
        <w:tc>
          <w:tcPr>
            <w:tcW w:w="3660" w:type="dxa"/>
            <w:tcBorders>
              <w:top w:val="single" w:sz="4" w:space="0" w:color="auto"/>
              <w:left w:val="nil"/>
              <w:bottom w:val="single" w:sz="4" w:space="0" w:color="auto"/>
              <w:right w:val="single" w:sz="8" w:space="0" w:color="auto"/>
            </w:tcBorders>
            <w:shd w:val="clear" w:color="auto" w:fill="auto"/>
            <w:vAlign w:val="center"/>
            <w:hideMark/>
          </w:tcPr>
          <w:p w:rsidR="0011719E" w:rsidRPr="0011719E" w:rsidRDefault="0011719E" w:rsidP="0011719E">
            <w:pPr>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Coordonnateur Adjoint PNPCSP </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2</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Kade</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NDIAYE</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Chef Unité PTME/PNPCSP </w:t>
            </w:r>
          </w:p>
        </w:tc>
      </w:tr>
      <w:tr w:rsidR="0011719E" w:rsidRPr="00ED18BA"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3</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 xml:space="preserve">Foromo </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GUILAVOGUI</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Chefr Unité PEC/VIH/PNPCSP </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4</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Oumar</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CAMARA</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Comptable PNPCSP </w:t>
            </w:r>
          </w:p>
        </w:tc>
      </w:tr>
      <w:tr w:rsidR="0011719E" w:rsidRPr="00ED18BA"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5</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Mouctar</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BALDE</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Chargé d'Etude Unité PTME/PNPCSP </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6</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Penda Maladho</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DIALLO</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Chef Labo BIOMOL/LNR</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7</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Aimé</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KOUROUMA</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SOLTHIS</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9</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Kassia</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TOLNO</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Chargé d'Etude/PCIMNE</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10</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Ibrahima Sory</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DIALLO</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Médecin PECP/INSE</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11</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Ibrahima Kolo</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BARRY</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Médecin PECP/INSE</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12</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Dialikatou</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CAMARA</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jc w:val="left"/>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Pédiatre  HN Ignace Denn</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13</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M'mah</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BANGOURA</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jc w:val="left"/>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Pédiatre  HN Donka</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14</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Balla</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KOEVOGUI</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jc w:val="left"/>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HR Kinida</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15</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Mafoudia</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TOURE</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Pédiatre HN Donka</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16</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 xml:space="preserve">Ibrahima </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SYLLA</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Maternité Ignace Denn</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17</w:t>
            </w:r>
          </w:p>
        </w:tc>
        <w:tc>
          <w:tcPr>
            <w:tcW w:w="2340" w:type="dxa"/>
            <w:tcBorders>
              <w:top w:val="nil"/>
              <w:left w:val="nil"/>
              <w:bottom w:val="nil"/>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Siriman</w:t>
            </w:r>
          </w:p>
        </w:tc>
        <w:tc>
          <w:tcPr>
            <w:tcW w:w="2800" w:type="dxa"/>
            <w:tcBorders>
              <w:top w:val="nil"/>
              <w:left w:val="nil"/>
              <w:bottom w:val="nil"/>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CAMARA</w:t>
            </w:r>
          </w:p>
        </w:tc>
        <w:tc>
          <w:tcPr>
            <w:tcW w:w="3660" w:type="dxa"/>
            <w:tcBorders>
              <w:top w:val="nil"/>
              <w:left w:val="nil"/>
              <w:bottom w:val="nil"/>
              <w:right w:val="single" w:sz="8" w:space="0" w:color="auto"/>
            </w:tcBorders>
            <w:shd w:val="clear" w:color="auto" w:fill="auto"/>
            <w:vAlign w:val="center"/>
            <w:hideMark/>
          </w:tcPr>
          <w:p w:rsidR="0011719E" w:rsidRPr="0011719E" w:rsidRDefault="0011719E" w:rsidP="0011719E">
            <w:pPr>
              <w:jc w:val="left"/>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OMS</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18</w:t>
            </w:r>
          </w:p>
        </w:tc>
        <w:tc>
          <w:tcPr>
            <w:tcW w:w="2340" w:type="dxa"/>
            <w:tcBorders>
              <w:top w:val="single" w:sz="4" w:space="0" w:color="auto"/>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Willy</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MPENGA</w:t>
            </w:r>
          </w:p>
        </w:tc>
        <w:tc>
          <w:tcPr>
            <w:tcW w:w="3660" w:type="dxa"/>
            <w:tcBorders>
              <w:top w:val="single" w:sz="4" w:space="0" w:color="auto"/>
              <w:left w:val="nil"/>
              <w:bottom w:val="single" w:sz="4" w:space="0" w:color="auto"/>
              <w:right w:val="single" w:sz="8" w:space="0" w:color="auto"/>
            </w:tcBorders>
            <w:shd w:val="clear" w:color="auto" w:fill="auto"/>
            <w:vAlign w:val="center"/>
            <w:hideMark/>
          </w:tcPr>
          <w:p w:rsidR="0011719E" w:rsidRPr="0011719E" w:rsidRDefault="0011719E" w:rsidP="0011719E">
            <w:pPr>
              <w:jc w:val="left"/>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MSF-Belgique</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19</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Arnold</w:t>
            </w:r>
          </w:p>
        </w:tc>
        <w:tc>
          <w:tcPr>
            <w:tcW w:w="2800" w:type="dxa"/>
            <w:tcBorders>
              <w:top w:val="nil"/>
              <w:left w:val="nil"/>
              <w:bottom w:val="single" w:sz="4" w:space="0" w:color="auto"/>
              <w:right w:val="single" w:sz="4" w:space="0" w:color="auto"/>
            </w:tcBorders>
            <w:shd w:val="clear" w:color="auto" w:fill="auto"/>
            <w:noWrap/>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AHIATSI</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jc w:val="left"/>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Assistant Programmatique PNPCSP</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20</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Youssouf</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KOITA</w:t>
            </w:r>
          </w:p>
        </w:tc>
        <w:tc>
          <w:tcPr>
            <w:tcW w:w="3660" w:type="dxa"/>
            <w:tcBorders>
              <w:top w:val="nil"/>
              <w:left w:val="nil"/>
              <w:bottom w:val="single" w:sz="4" w:space="0" w:color="auto"/>
              <w:right w:val="single" w:sz="8" w:space="0" w:color="auto"/>
            </w:tcBorders>
            <w:shd w:val="clear" w:color="auto" w:fill="auto"/>
            <w:vAlign w:val="center"/>
            <w:hideMark/>
          </w:tcPr>
          <w:p w:rsidR="0011719E" w:rsidRPr="0011719E" w:rsidRDefault="0011719E" w:rsidP="0011719E">
            <w:pPr>
              <w:jc w:val="left"/>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Coordonnateur National PNPCSP</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21</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Kadiatou</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BALDE</w:t>
            </w:r>
          </w:p>
        </w:tc>
        <w:tc>
          <w:tcPr>
            <w:tcW w:w="3660" w:type="dxa"/>
            <w:tcBorders>
              <w:top w:val="nil"/>
              <w:left w:val="nil"/>
              <w:bottom w:val="nil"/>
              <w:right w:val="single" w:sz="8" w:space="0" w:color="auto"/>
            </w:tcBorders>
            <w:shd w:val="clear" w:color="auto" w:fill="auto"/>
            <w:vAlign w:val="center"/>
            <w:hideMark/>
          </w:tcPr>
          <w:p w:rsidR="0011719E" w:rsidRPr="0011719E" w:rsidRDefault="0011719E" w:rsidP="0011719E">
            <w:pPr>
              <w:jc w:val="left"/>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UNICEF</w:t>
            </w:r>
          </w:p>
        </w:tc>
      </w:tr>
      <w:tr w:rsidR="0011719E" w:rsidRPr="0011719E" w:rsidTr="0011719E">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22</w:t>
            </w:r>
          </w:p>
        </w:tc>
        <w:tc>
          <w:tcPr>
            <w:tcW w:w="2340" w:type="dxa"/>
            <w:tcBorders>
              <w:top w:val="nil"/>
              <w:left w:val="nil"/>
              <w:bottom w:val="single" w:sz="4"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 xml:space="preserve">Basile </w:t>
            </w:r>
          </w:p>
        </w:tc>
        <w:tc>
          <w:tcPr>
            <w:tcW w:w="2800" w:type="dxa"/>
            <w:tcBorders>
              <w:top w:val="nil"/>
              <w:left w:val="nil"/>
              <w:bottom w:val="single" w:sz="4"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 xml:space="preserve">KEUGOUNG </w:t>
            </w:r>
          </w:p>
        </w:tc>
        <w:tc>
          <w:tcPr>
            <w:tcW w:w="3660" w:type="dxa"/>
            <w:tcBorders>
              <w:top w:val="single" w:sz="4" w:space="0" w:color="auto"/>
              <w:left w:val="nil"/>
              <w:bottom w:val="single" w:sz="4" w:space="0" w:color="auto"/>
              <w:right w:val="single" w:sz="8" w:space="0" w:color="auto"/>
            </w:tcBorders>
            <w:shd w:val="clear" w:color="auto" w:fill="auto"/>
            <w:vAlign w:val="center"/>
            <w:hideMark/>
          </w:tcPr>
          <w:p w:rsidR="0011719E" w:rsidRPr="0011719E" w:rsidRDefault="0011719E" w:rsidP="0011719E">
            <w:pPr>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Consultant International</w:t>
            </w:r>
          </w:p>
        </w:tc>
      </w:tr>
      <w:tr w:rsidR="0011719E" w:rsidRPr="0011719E" w:rsidTr="0011719E">
        <w:trPr>
          <w:trHeight w:val="405"/>
        </w:trPr>
        <w:tc>
          <w:tcPr>
            <w:tcW w:w="700" w:type="dxa"/>
            <w:tcBorders>
              <w:top w:val="nil"/>
              <w:left w:val="single" w:sz="8" w:space="0" w:color="auto"/>
              <w:bottom w:val="single" w:sz="8" w:space="0" w:color="auto"/>
              <w:right w:val="single" w:sz="4" w:space="0" w:color="auto"/>
            </w:tcBorders>
            <w:shd w:val="clear" w:color="auto" w:fill="auto"/>
            <w:noWrap/>
            <w:vAlign w:val="center"/>
            <w:hideMark/>
          </w:tcPr>
          <w:p w:rsidR="0011719E" w:rsidRPr="0011719E" w:rsidRDefault="0011719E" w:rsidP="0011719E">
            <w:pPr>
              <w:jc w:val="center"/>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23</w:t>
            </w:r>
          </w:p>
        </w:tc>
        <w:tc>
          <w:tcPr>
            <w:tcW w:w="2340" w:type="dxa"/>
            <w:tcBorders>
              <w:top w:val="nil"/>
              <w:left w:val="nil"/>
              <w:bottom w:val="single" w:sz="8" w:space="0" w:color="auto"/>
              <w:right w:val="nil"/>
            </w:tcBorders>
            <w:shd w:val="clear" w:color="auto" w:fill="auto"/>
            <w:vAlign w:val="center"/>
            <w:hideMark/>
          </w:tcPr>
          <w:p w:rsidR="0011719E" w:rsidRPr="0011719E" w:rsidRDefault="0011719E" w:rsidP="0011719E">
            <w:pPr>
              <w:jc w:val="left"/>
              <w:rPr>
                <w:rFonts w:ascii="Calibri" w:eastAsia="Times New Roman" w:hAnsi="Calibri"/>
                <w:color w:val="000000"/>
                <w:sz w:val="24"/>
                <w:lang w:val="fr-FR" w:eastAsia="fr-FR"/>
              </w:rPr>
            </w:pPr>
            <w:r w:rsidRPr="0011719E">
              <w:rPr>
                <w:rFonts w:ascii="Calibri" w:eastAsia="Times New Roman" w:hAnsi="Calibri"/>
                <w:color w:val="000000"/>
                <w:sz w:val="24"/>
                <w:lang w:val="fr-FR" w:eastAsia="fr-FR"/>
              </w:rPr>
              <w:t>Mohamed</w:t>
            </w:r>
          </w:p>
        </w:tc>
        <w:tc>
          <w:tcPr>
            <w:tcW w:w="2800" w:type="dxa"/>
            <w:tcBorders>
              <w:top w:val="nil"/>
              <w:left w:val="nil"/>
              <w:bottom w:val="single" w:sz="8" w:space="0" w:color="auto"/>
              <w:right w:val="single" w:sz="4" w:space="0" w:color="auto"/>
            </w:tcBorders>
            <w:shd w:val="clear" w:color="auto" w:fill="auto"/>
            <w:vAlign w:val="center"/>
            <w:hideMark/>
          </w:tcPr>
          <w:p w:rsidR="0011719E" w:rsidRPr="0011719E" w:rsidRDefault="0011719E" w:rsidP="0011719E">
            <w:pPr>
              <w:jc w:val="left"/>
              <w:rPr>
                <w:rFonts w:ascii="Calibri" w:eastAsia="Times New Roman" w:hAnsi="Calibri"/>
                <w:b/>
                <w:bCs/>
                <w:color w:val="000000"/>
                <w:sz w:val="24"/>
                <w:lang w:val="fr-FR" w:eastAsia="fr-FR"/>
              </w:rPr>
            </w:pPr>
            <w:r w:rsidRPr="0011719E">
              <w:rPr>
                <w:rFonts w:ascii="Calibri" w:eastAsia="Times New Roman" w:hAnsi="Calibri"/>
                <w:b/>
                <w:bCs/>
                <w:color w:val="000000"/>
                <w:sz w:val="24"/>
                <w:lang w:val="fr-FR" w:eastAsia="fr-FR"/>
              </w:rPr>
              <w:t>CISSE</w:t>
            </w:r>
          </w:p>
        </w:tc>
        <w:tc>
          <w:tcPr>
            <w:tcW w:w="3660" w:type="dxa"/>
            <w:tcBorders>
              <w:top w:val="nil"/>
              <w:left w:val="nil"/>
              <w:bottom w:val="single" w:sz="8" w:space="0" w:color="auto"/>
              <w:right w:val="single" w:sz="8" w:space="0" w:color="auto"/>
            </w:tcBorders>
            <w:shd w:val="clear" w:color="auto" w:fill="auto"/>
            <w:vAlign w:val="center"/>
            <w:hideMark/>
          </w:tcPr>
          <w:p w:rsidR="0011719E" w:rsidRPr="0011719E" w:rsidRDefault="0011719E" w:rsidP="0011719E">
            <w:pPr>
              <w:rPr>
                <w:rFonts w:ascii="Arial Narrow" w:eastAsia="Times New Roman" w:hAnsi="Arial Narrow"/>
                <w:color w:val="000000"/>
                <w:sz w:val="24"/>
                <w:lang w:val="fr-FR" w:eastAsia="fr-FR"/>
              </w:rPr>
            </w:pPr>
            <w:r w:rsidRPr="0011719E">
              <w:rPr>
                <w:rFonts w:ascii="Arial Narrow" w:eastAsia="Times New Roman" w:hAnsi="Arial Narrow"/>
                <w:color w:val="000000"/>
                <w:sz w:val="24"/>
                <w:lang w:val="fr-FR" w:eastAsia="fr-FR"/>
              </w:rPr>
              <w:t>Consultant National</w:t>
            </w:r>
          </w:p>
        </w:tc>
      </w:tr>
    </w:tbl>
    <w:p w:rsidR="0011719E" w:rsidRPr="0011719E" w:rsidRDefault="0011719E" w:rsidP="0011719E">
      <w:pPr>
        <w:rPr>
          <w:lang w:val="fr-FR"/>
        </w:rPr>
      </w:pPr>
    </w:p>
    <w:sectPr w:rsidR="0011719E" w:rsidRPr="0011719E" w:rsidSect="00F67F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AF9" w:rsidRDefault="007B5AF9" w:rsidP="00536E18">
      <w:r>
        <w:separator/>
      </w:r>
    </w:p>
  </w:endnote>
  <w:endnote w:type="continuationSeparator" w:id="1">
    <w:p w:rsidR="007B5AF9" w:rsidRDefault="007B5AF9" w:rsidP="0053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Corbel"/>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43" w:rsidRPr="00E3295E" w:rsidRDefault="00C57943" w:rsidP="00B67A88">
    <w:pPr>
      <w:pStyle w:val="Pieddepage"/>
      <w:tabs>
        <w:tab w:val="center" w:pos="4820"/>
      </w:tabs>
      <w:jc w:val="center"/>
      <w:rPr>
        <w:lang w:val="fr-FR"/>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677377"/>
      <w:docPartObj>
        <w:docPartGallery w:val="Page Numbers (Bottom of Page)"/>
        <w:docPartUnique/>
      </w:docPartObj>
    </w:sdtPr>
    <w:sdtContent>
      <w:p w:rsidR="00C57943" w:rsidRDefault="00C57943">
        <w:pPr>
          <w:pStyle w:val="Pieddepage"/>
          <w:jc w:val="right"/>
        </w:pPr>
        <w:fldSimple w:instr=" PAGE   \* MERGEFORMAT ">
          <w:r>
            <w:rPr>
              <w:noProof/>
            </w:rPr>
            <w:t>22</w:t>
          </w:r>
        </w:fldSimple>
      </w:p>
    </w:sdtContent>
  </w:sdt>
  <w:p w:rsidR="00C57943" w:rsidRPr="00E3295E" w:rsidRDefault="00C57943" w:rsidP="00B67A88">
    <w:pPr>
      <w:pStyle w:val="Pieddepage"/>
      <w:tabs>
        <w:tab w:val="center" w:pos="4820"/>
      </w:tabs>
      <w:jc w:val="center"/>
      <w:rPr>
        <w:lang w:val="fr-FR"/>
      </w:rPr>
    </w:pPr>
    <w:r>
      <w:rPr>
        <w:lang w:val="fr-FR"/>
      </w:rPr>
      <w:t>Plan Accélération PECP du VIH 2017-2020</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832283"/>
      <w:docPartObj>
        <w:docPartGallery w:val="Page Numbers (Bottom of Page)"/>
        <w:docPartUnique/>
      </w:docPartObj>
    </w:sdtPr>
    <w:sdtContent>
      <w:p w:rsidR="00C57943" w:rsidRDefault="00C57943">
        <w:pPr>
          <w:pStyle w:val="Pieddepage"/>
          <w:jc w:val="right"/>
        </w:pPr>
        <w:fldSimple w:instr=" PAGE   \* MERGEFORMAT ">
          <w:r>
            <w:rPr>
              <w:noProof/>
            </w:rPr>
            <w:t>31</w:t>
          </w:r>
        </w:fldSimple>
      </w:p>
    </w:sdtContent>
  </w:sdt>
  <w:p w:rsidR="00C57943" w:rsidRPr="00E3295E" w:rsidRDefault="00C57943" w:rsidP="00B67A88">
    <w:pPr>
      <w:pStyle w:val="Pieddepage"/>
      <w:tabs>
        <w:tab w:val="center" w:pos="4820"/>
      </w:tabs>
      <w:jc w:val="center"/>
      <w:rPr>
        <w:lang w:val="fr-FR"/>
      </w:rPr>
    </w:pPr>
    <w:r>
      <w:rPr>
        <w:lang w:val="fr-FR"/>
      </w:rPr>
      <w:t>Plan Accélération PECP du VIH 2017-2020</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43" w:rsidRDefault="00C57943">
    <w:pPr>
      <w:pStyle w:val="Pieddepage"/>
      <w:jc w:val="right"/>
    </w:pPr>
  </w:p>
  <w:p w:rsidR="00C57943" w:rsidRPr="00E3295E" w:rsidRDefault="00C57943" w:rsidP="00B67A88">
    <w:pPr>
      <w:pStyle w:val="Pieddepage"/>
      <w:tabs>
        <w:tab w:val="center" w:pos="4820"/>
      </w:tabs>
      <w:jc w:val="center"/>
      <w:rPr>
        <w:lang w:val="fr-FR"/>
      </w:rPr>
    </w:pPr>
    <w:r>
      <w:rPr>
        <w:lang w:val="fr-FR"/>
      </w:rPr>
      <w:t>Plan Accélération PECP du VIH 2017-2020</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199742"/>
      <w:docPartObj>
        <w:docPartGallery w:val="Page Numbers (Bottom of Page)"/>
        <w:docPartUnique/>
      </w:docPartObj>
    </w:sdtPr>
    <w:sdtContent>
      <w:p w:rsidR="00C57943" w:rsidRPr="00C61BE0" w:rsidRDefault="00C57943">
        <w:pPr>
          <w:pStyle w:val="Pieddepage"/>
          <w:jc w:val="right"/>
          <w:rPr>
            <w:lang w:val="fr-FR"/>
          </w:rPr>
        </w:pPr>
        <w:r>
          <w:fldChar w:fldCharType="begin"/>
        </w:r>
        <w:r w:rsidRPr="00C61BE0">
          <w:rPr>
            <w:lang w:val="fr-FR"/>
          </w:rPr>
          <w:instrText xml:space="preserve"> PAGE   \* MERGEFORMAT </w:instrText>
        </w:r>
        <w:r>
          <w:fldChar w:fldCharType="separate"/>
        </w:r>
        <w:r>
          <w:rPr>
            <w:noProof/>
            <w:lang w:val="fr-FR"/>
          </w:rPr>
          <w:t>35</w:t>
        </w:r>
        <w:r>
          <w:rPr>
            <w:noProof/>
          </w:rPr>
          <w:fldChar w:fldCharType="end"/>
        </w:r>
      </w:p>
    </w:sdtContent>
  </w:sdt>
  <w:p w:rsidR="00C57943" w:rsidRPr="00E3295E" w:rsidRDefault="00C57943" w:rsidP="00313047">
    <w:pPr>
      <w:pStyle w:val="Pieddepage"/>
      <w:tabs>
        <w:tab w:val="center" w:pos="4820"/>
      </w:tabs>
      <w:jc w:val="center"/>
      <w:rPr>
        <w:lang w:val="fr-FR"/>
      </w:rPr>
    </w:pPr>
    <w:r>
      <w:rPr>
        <w:lang w:val="fr-FR"/>
      </w:rPr>
      <w:t>Plan Accélération PECP du VIH 2017-2020</w:t>
    </w:r>
  </w:p>
  <w:p w:rsidR="00C57943" w:rsidRPr="00E3295E" w:rsidRDefault="00C57943" w:rsidP="00B67A88">
    <w:pPr>
      <w:pStyle w:val="Pieddepage"/>
      <w:tabs>
        <w:tab w:val="center" w:pos="4820"/>
      </w:tabs>
      <w:jc w:val="center"/>
      <w:rPr>
        <w:lang w:val="fr-FR"/>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733714"/>
      <w:docPartObj>
        <w:docPartGallery w:val="Page Numbers (Bottom of Page)"/>
        <w:docPartUnique/>
      </w:docPartObj>
    </w:sdtPr>
    <w:sdtContent>
      <w:p w:rsidR="00C57943" w:rsidRPr="00C61BE0" w:rsidRDefault="00C57943">
        <w:pPr>
          <w:pStyle w:val="Pieddepage"/>
          <w:jc w:val="right"/>
          <w:rPr>
            <w:lang w:val="fr-FR"/>
          </w:rPr>
        </w:pPr>
        <w:r>
          <w:fldChar w:fldCharType="begin"/>
        </w:r>
        <w:r w:rsidRPr="00C61BE0">
          <w:rPr>
            <w:lang w:val="fr-FR"/>
          </w:rPr>
          <w:instrText xml:space="preserve"> PAGE   \* MERGEFORMAT </w:instrText>
        </w:r>
        <w:r>
          <w:fldChar w:fldCharType="separate"/>
        </w:r>
        <w:r>
          <w:rPr>
            <w:noProof/>
            <w:lang w:val="fr-FR"/>
          </w:rPr>
          <w:t>59</w:t>
        </w:r>
        <w:r>
          <w:rPr>
            <w:noProof/>
          </w:rPr>
          <w:fldChar w:fldCharType="end"/>
        </w:r>
      </w:p>
    </w:sdtContent>
  </w:sdt>
  <w:p w:rsidR="00C57943" w:rsidRPr="00E3295E" w:rsidRDefault="00C57943" w:rsidP="00313047">
    <w:pPr>
      <w:pStyle w:val="Pieddepage"/>
      <w:tabs>
        <w:tab w:val="center" w:pos="4820"/>
      </w:tabs>
      <w:jc w:val="center"/>
      <w:rPr>
        <w:lang w:val="fr-FR"/>
      </w:rPr>
    </w:pPr>
    <w:r>
      <w:rPr>
        <w:lang w:val="fr-FR"/>
      </w:rPr>
      <w:t>Plan Accélération PECP du VIH 2017-2020</w:t>
    </w:r>
  </w:p>
  <w:p w:rsidR="00C57943" w:rsidRPr="00E3295E" w:rsidRDefault="00C57943" w:rsidP="00B67A88">
    <w:pPr>
      <w:pStyle w:val="Pieddepage"/>
      <w:tabs>
        <w:tab w:val="center" w:pos="4820"/>
      </w:tabs>
      <w:jc w:val="center"/>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464928"/>
      <w:docPartObj>
        <w:docPartGallery w:val="Page Numbers (Bottom of Page)"/>
        <w:docPartUnique/>
      </w:docPartObj>
    </w:sdtPr>
    <w:sdtEndPr>
      <w:rPr>
        <w:noProof/>
      </w:rPr>
    </w:sdtEndPr>
    <w:sdtContent>
      <w:p w:rsidR="00C57943" w:rsidRPr="00E3295E" w:rsidRDefault="00C57943" w:rsidP="00B67A88">
        <w:pPr>
          <w:pStyle w:val="Pieddepage"/>
          <w:tabs>
            <w:tab w:val="center" w:pos="4820"/>
          </w:tabs>
          <w:jc w:val="center"/>
          <w:rPr>
            <w:lang w:val="fr-FR"/>
          </w:rPr>
        </w:pPr>
        <w:r>
          <w:rPr>
            <w:lang w:val="fr-FR"/>
          </w:rPr>
          <w:t>Plan Accélération PECP du VIH 2017-2020</w:t>
        </w:r>
        <w:r w:rsidRPr="00E3295E">
          <w:rPr>
            <w:lang w:val="fr-FR"/>
          </w:rPr>
          <w:tab/>
          <w:t xml:space="preserve">Page </w:t>
        </w:r>
        <w:r>
          <w:fldChar w:fldCharType="begin"/>
        </w:r>
        <w:r w:rsidRPr="00E3295E">
          <w:rPr>
            <w:lang w:val="fr-FR"/>
          </w:rPr>
          <w:instrText xml:space="preserve"> PAGE   \* MERGEFORMAT </w:instrText>
        </w:r>
        <w:r>
          <w:fldChar w:fldCharType="separate"/>
        </w:r>
        <w:r>
          <w:rPr>
            <w:noProof/>
            <w:lang w:val="fr-FR"/>
          </w:rPr>
          <w:t>xi</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41127"/>
      <w:docPartObj>
        <w:docPartGallery w:val="Page Numbers (Bottom of Page)"/>
        <w:docPartUnique/>
      </w:docPartObj>
    </w:sdtPr>
    <w:sdtEndPr>
      <w:rPr>
        <w:noProof/>
      </w:rPr>
    </w:sdtEndPr>
    <w:sdtContent>
      <w:p w:rsidR="00C57943" w:rsidRPr="00E3295E" w:rsidRDefault="00C57943" w:rsidP="00B67A88">
        <w:pPr>
          <w:pStyle w:val="Pieddepage"/>
          <w:tabs>
            <w:tab w:val="center" w:pos="4820"/>
          </w:tabs>
          <w:jc w:val="center"/>
          <w:rPr>
            <w:lang w:val="fr-FR"/>
          </w:rPr>
        </w:pPr>
        <w:r>
          <w:rPr>
            <w:lang w:val="fr-FR"/>
          </w:rPr>
          <w:t>Plan Accélération PECP du VIH 2017-2020</w:t>
        </w:r>
        <w:r w:rsidRPr="00E3295E">
          <w:rPr>
            <w:lang w:val="fr-FR"/>
          </w:rPr>
          <w:tab/>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332466"/>
      <w:docPartObj>
        <w:docPartGallery w:val="Page Numbers (Bottom of Page)"/>
        <w:docPartUnique/>
      </w:docPartObj>
    </w:sdtPr>
    <w:sdtContent>
      <w:p w:rsidR="00C57943" w:rsidRDefault="00C57943">
        <w:pPr>
          <w:pStyle w:val="Pieddepage"/>
          <w:jc w:val="right"/>
        </w:pPr>
        <w:fldSimple w:instr=" PAGE   \* MERGEFORMAT ">
          <w:r>
            <w:rPr>
              <w:noProof/>
            </w:rPr>
            <w:t>4</w:t>
          </w:r>
        </w:fldSimple>
      </w:p>
    </w:sdtContent>
  </w:sdt>
  <w:p w:rsidR="00C57943" w:rsidRPr="00E3295E" w:rsidRDefault="00C57943" w:rsidP="00B67A88">
    <w:pPr>
      <w:pStyle w:val="Pieddepage"/>
      <w:tabs>
        <w:tab w:val="center" w:pos="4820"/>
      </w:tabs>
      <w:jc w:val="center"/>
      <w:rPr>
        <w:lang w:val="fr-F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722655"/>
      <w:docPartObj>
        <w:docPartGallery w:val="Page Numbers (Bottom of Page)"/>
        <w:docPartUnique/>
      </w:docPartObj>
    </w:sdtPr>
    <w:sdtContent>
      <w:p w:rsidR="00C57943" w:rsidRDefault="00C57943" w:rsidP="0030351D">
        <w:pPr>
          <w:pStyle w:val="Pieddepage"/>
          <w:jc w:val="center"/>
        </w:pPr>
      </w:p>
    </w:sdtContent>
  </w:sdt>
  <w:p w:rsidR="00C57943" w:rsidRPr="00E3295E" w:rsidRDefault="00C57943" w:rsidP="00B67A88">
    <w:pPr>
      <w:pStyle w:val="Pieddepage"/>
      <w:tabs>
        <w:tab w:val="center" w:pos="4820"/>
      </w:tabs>
      <w:jc w:val="center"/>
      <w:rPr>
        <w:lang w:val="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636466"/>
      <w:docPartObj>
        <w:docPartGallery w:val="Page Numbers (Bottom of Page)"/>
        <w:docPartUnique/>
      </w:docPartObj>
    </w:sdtPr>
    <w:sdtContent>
      <w:p w:rsidR="00C57943" w:rsidRDefault="00C57943">
        <w:pPr>
          <w:pStyle w:val="Pieddepage"/>
          <w:jc w:val="right"/>
        </w:pPr>
        <w:fldSimple w:instr=" PAGE   \* MERGEFORMAT ">
          <w:r>
            <w:rPr>
              <w:noProof/>
            </w:rPr>
            <w:t>8</w:t>
          </w:r>
        </w:fldSimple>
      </w:p>
    </w:sdtContent>
  </w:sdt>
  <w:p w:rsidR="00C57943" w:rsidRPr="00E3295E" w:rsidRDefault="00C57943" w:rsidP="00B67A88">
    <w:pPr>
      <w:pStyle w:val="Pieddepage"/>
      <w:tabs>
        <w:tab w:val="center" w:pos="4820"/>
      </w:tabs>
      <w:jc w:val="center"/>
      <w:rPr>
        <w:lang w:val="fr-F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387046"/>
      <w:docPartObj>
        <w:docPartGallery w:val="Page Numbers (Bottom of Page)"/>
        <w:docPartUnique/>
      </w:docPartObj>
    </w:sdtPr>
    <w:sdtContent>
      <w:p w:rsidR="00C57943" w:rsidRDefault="00C57943">
        <w:pPr>
          <w:pStyle w:val="Pieddepage"/>
          <w:jc w:val="right"/>
        </w:pPr>
        <w:fldSimple w:instr=" PAGE   \* MERGEFORMAT ">
          <w:r>
            <w:rPr>
              <w:noProof/>
            </w:rPr>
            <w:t>13</w:t>
          </w:r>
        </w:fldSimple>
      </w:p>
    </w:sdtContent>
  </w:sdt>
  <w:p w:rsidR="00C57943" w:rsidRPr="00E3295E" w:rsidRDefault="00C57943" w:rsidP="00B67A88">
    <w:pPr>
      <w:pStyle w:val="Pieddepage"/>
      <w:tabs>
        <w:tab w:val="center" w:pos="4820"/>
      </w:tabs>
      <w:jc w:val="center"/>
      <w:rPr>
        <w:lang w:val="fr-FR"/>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408938"/>
      <w:docPartObj>
        <w:docPartGallery w:val="Page Numbers (Bottom of Page)"/>
        <w:docPartUnique/>
      </w:docPartObj>
    </w:sdtPr>
    <w:sdtContent>
      <w:p w:rsidR="00C57943" w:rsidRDefault="00C57943">
        <w:pPr>
          <w:pStyle w:val="Pieddepage"/>
          <w:jc w:val="right"/>
        </w:pPr>
        <w:fldSimple w:instr=" PAGE   \* MERGEFORMAT ">
          <w:r>
            <w:rPr>
              <w:noProof/>
            </w:rPr>
            <w:t>19</w:t>
          </w:r>
        </w:fldSimple>
      </w:p>
    </w:sdtContent>
  </w:sdt>
  <w:p w:rsidR="00C57943" w:rsidRPr="00E3295E" w:rsidRDefault="00C57943" w:rsidP="00B67A88">
    <w:pPr>
      <w:pStyle w:val="Pieddepage"/>
      <w:tabs>
        <w:tab w:val="center" w:pos="4820"/>
      </w:tabs>
      <w:jc w:val="center"/>
      <w:rPr>
        <w:lang w:val="fr-F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43" w:rsidRDefault="00C57943">
    <w:pPr>
      <w:pStyle w:val="Pieddepage"/>
      <w:jc w:val="right"/>
    </w:pPr>
  </w:p>
  <w:p w:rsidR="00C57943" w:rsidRPr="00E3295E" w:rsidRDefault="00C57943" w:rsidP="00B67A88">
    <w:pPr>
      <w:pStyle w:val="Pieddepage"/>
      <w:tabs>
        <w:tab w:val="center" w:pos="4820"/>
      </w:tabs>
      <w:jc w:val="cen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AF9" w:rsidRDefault="007B5AF9" w:rsidP="00536E18">
      <w:r>
        <w:separator/>
      </w:r>
    </w:p>
  </w:footnote>
  <w:footnote w:type="continuationSeparator" w:id="1">
    <w:p w:rsidR="007B5AF9" w:rsidRDefault="007B5AF9" w:rsidP="00536E18">
      <w:r>
        <w:continuationSeparator/>
      </w:r>
    </w:p>
  </w:footnote>
  <w:footnote w:id="2">
    <w:p w:rsidR="00C57943" w:rsidRPr="00D4068C" w:rsidRDefault="00C57943" w:rsidP="00A1753F">
      <w:pPr>
        <w:pStyle w:val="Notedebasdepage"/>
        <w:rPr>
          <w:lang w:val="fr-FR"/>
        </w:rPr>
      </w:pPr>
      <w:r>
        <w:rPr>
          <w:rStyle w:val="Appelnotedebasdep"/>
        </w:rPr>
        <w:footnoteRef/>
      </w:r>
      <w:r>
        <w:rPr>
          <w:lang w:val="fr-FR"/>
        </w:rPr>
        <w:t>Ministère du Plan (2014) Arrêté N° 3015/MP/SG/CC/2014 portant publication des résultats préliminaires du RGPHralisé du 1</w:t>
      </w:r>
      <w:r w:rsidRPr="00D4068C">
        <w:rPr>
          <w:vertAlign w:val="superscript"/>
          <w:lang w:val="fr-FR"/>
        </w:rPr>
        <w:t>er</w:t>
      </w:r>
      <w:r>
        <w:rPr>
          <w:lang w:val="fr-FR"/>
        </w:rPr>
        <w:t xml:space="preserve"> mars au 2 avril 2014.</w:t>
      </w:r>
    </w:p>
  </w:footnote>
  <w:footnote w:id="3">
    <w:p w:rsidR="00C57943" w:rsidRPr="00A42053" w:rsidRDefault="00C57943" w:rsidP="00A1753F">
      <w:pPr>
        <w:pStyle w:val="Notedebasdepage"/>
        <w:rPr>
          <w:rStyle w:val="Appelnotedebasdep"/>
          <w:rFonts w:ascii="Cambria" w:hAnsi="Cambria"/>
          <w:b/>
          <w:i/>
          <w:sz w:val="22"/>
          <w:szCs w:val="22"/>
        </w:rPr>
      </w:pPr>
      <w:r w:rsidRPr="00A42053">
        <w:rPr>
          <w:rStyle w:val="Appelnotedebasdep"/>
          <w:rFonts w:ascii="Cambria" w:hAnsi="Cambria"/>
          <w:b/>
          <w:i/>
          <w:sz w:val="22"/>
          <w:szCs w:val="22"/>
        </w:rPr>
        <w:footnoteRef/>
      </w:r>
      <w:r w:rsidRPr="00A42053">
        <w:rPr>
          <w:rStyle w:val="Appelnotedebasdep"/>
          <w:rFonts w:ascii="Cambria" w:hAnsi="Cambria"/>
          <w:b/>
          <w:i/>
          <w:sz w:val="22"/>
          <w:szCs w:val="22"/>
        </w:rPr>
        <w:t xml:space="preserve"> MP, Bulletin de Population et Développement, 2012</w:t>
      </w:r>
    </w:p>
  </w:footnote>
  <w:footnote w:id="4">
    <w:p w:rsidR="00C57943" w:rsidRPr="00A42053" w:rsidRDefault="00C57943" w:rsidP="00A1753F">
      <w:pPr>
        <w:pStyle w:val="Notedebasdepage"/>
        <w:rPr>
          <w:rStyle w:val="Appelnotedebasdep"/>
          <w:rFonts w:ascii="Cambria" w:hAnsi="Cambria"/>
          <w:b/>
          <w:sz w:val="22"/>
          <w:szCs w:val="22"/>
        </w:rPr>
      </w:pPr>
      <w:r w:rsidRPr="00A42053">
        <w:rPr>
          <w:rStyle w:val="Appelnotedebasdep"/>
          <w:rFonts w:ascii="Cambria" w:hAnsi="Cambria"/>
          <w:b/>
          <w:sz w:val="22"/>
          <w:szCs w:val="22"/>
        </w:rPr>
        <w:footnoteRef/>
      </w:r>
      <w:r w:rsidRPr="00A42053">
        <w:rPr>
          <w:rStyle w:val="Appelnotedebasdep"/>
          <w:rFonts w:ascii="Cambria" w:hAnsi="Cambria"/>
          <w:b/>
          <w:sz w:val="22"/>
          <w:szCs w:val="22"/>
        </w:rPr>
        <w:t xml:space="preserve"> PNUD, RMDH 2010.</w:t>
      </w:r>
    </w:p>
  </w:footnote>
  <w:footnote w:id="5">
    <w:p w:rsidR="00C57943" w:rsidRDefault="00C57943" w:rsidP="00A1753F">
      <w:pPr>
        <w:pStyle w:val="Notedebasdepage"/>
      </w:pPr>
      <w:r w:rsidRPr="001C5226">
        <w:rPr>
          <w:rStyle w:val="Appelnotedebasdep"/>
          <w:rFonts w:ascii="Calibri" w:hAnsi="Calibri"/>
          <w:i/>
          <w:sz w:val="18"/>
          <w:szCs w:val="18"/>
        </w:rPr>
        <w:footnoteRef/>
      </w:r>
      <w:r w:rsidRPr="001C5226">
        <w:rPr>
          <w:rStyle w:val="Appelnotedebasdep"/>
          <w:rFonts w:ascii="Calibri" w:hAnsi="Calibri"/>
          <w:i/>
          <w:sz w:val="18"/>
          <w:szCs w:val="18"/>
        </w:rPr>
        <w:t xml:space="preserve"> PNUD, Rapport Mondialsur le DéveloppementHumain, 2012</w:t>
      </w:r>
    </w:p>
  </w:footnote>
  <w:footnote w:id="6">
    <w:p w:rsidR="00C57943" w:rsidRPr="000E586B" w:rsidRDefault="00C57943" w:rsidP="00A1753F">
      <w:pPr>
        <w:pStyle w:val="Notedebasdepage"/>
        <w:rPr>
          <w:rStyle w:val="Appelnotedebasdep"/>
          <w:rFonts w:ascii="Calibri" w:hAnsi="Calibri"/>
          <w:i/>
          <w:sz w:val="18"/>
          <w:szCs w:val="18"/>
        </w:rPr>
      </w:pPr>
      <w:r w:rsidRPr="000E586B">
        <w:rPr>
          <w:rStyle w:val="Appelnotedebasdep"/>
          <w:rFonts w:ascii="Calibri" w:hAnsi="Calibri"/>
          <w:i/>
          <w:sz w:val="18"/>
          <w:szCs w:val="18"/>
        </w:rPr>
        <w:footnoteRef/>
      </w:r>
      <w:r w:rsidRPr="000E586B">
        <w:rPr>
          <w:rStyle w:val="Appelnotedebasdep"/>
          <w:rFonts w:ascii="Calibri" w:hAnsi="Calibri"/>
          <w:i/>
          <w:sz w:val="18"/>
          <w:szCs w:val="18"/>
        </w:rPr>
        <w:t>MP, ’EnquêteLégère pour l’Evaluation de la Pauvreté,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D86E9E00"/>
    <w:lvl w:ilvl="0" w:tplc="DFB83E78">
      <w:start w:val="1"/>
      <w:numFmt w:val="decimal"/>
      <w:pStyle w:val="Titre2"/>
      <w:lvlText w:val="1.%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364AA"/>
    <w:multiLevelType w:val="multilevel"/>
    <w:tmpl w:val="2BB8A39A"/>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CDA2988"/>
    <w:multiLevelType w:val="hybridMultilevel"/>
    <w:tmpl w:val="7012F402"/>
    <w:lvl w:ilvl="0" w:tplc="A8EE45CE">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F0681"/>
    <w:multiLevelType w:val="hybridMultilevel"/>
    <w:tmpl w:val="CA50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E4AF7"/>
    <w:multiLevelType w:val="hybridMultilevel"/>
    <w:tmpl w:val="57F0F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C71F1E"/>
    <w:multiLevelType w:val="multilevel"/>
    <w:tmpl w:val="092ADBE6"/>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2346913"/>
    <w:multiLevelType w:val="hybridMultilevel"/>
    <w:tmpl w:val="CA50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467E7"/>
    <w:multiLevelType w:val="hybridMultilevel"/>
    <w:tmpl w:val="C9A6959C"/>
    <w:lvl w:ilvl="0" w:tplc="7CC64B54">
      <w:start w:val="1"/>
      <w:numFmt w:val="bullet"/>
      <w:lvlText w:val="-"/>
      <w:lvlJc w:val="left"/>
      <w:pPr>
        <w:ind w:left="720" w:hanging="360"/>
      </w:pPr>
      <w:rPr>
        <w:rFonts w:ascii="Calibri Light" w:eastAsia="Times New Roman" w:hAnsi="Calibri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3256AF"/>
    <w:multiLevelType w:val="hybridMultilevel"/>
    <w:tmpl w:val="5CB88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411BE4"/>
    <w:multiLevelType w:val="hybridMultilevel"/>
    <w:tmpl w:val="B4989E84"/>
    <w:lvl w:ilvl="0" w:tplc="D978924A">
      <w:start w:val="1"/>
      <w:numFmt w:val="decimal"/>
      <w:pStyle w:val="Titre3"/>
      <w:lvlText w:val="2. 6.%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81B606D"/>
    <w:multiLevelType w:val="multilevel"/>
    <w:tmpl w:val="EA6815E4"/>
    <w:lvl w:ilvl="0">
      <w:start w:val="6"/>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560" w:hanging="1800"/>
      </w:pPr>
      <w:rPr>
        <w:rFonts w:hint="default"/>
      </w:rPr>
    </w:lvl>
  </w:abstractNum>
  <w:abstractNum w:abstractNumId="11">
    <w:nsid w:val="2C585B6B"/>
    <w:multiLevelType w:val="hybridMultilevel"/>
    <w:tmpl w:val="D86E9E00"/>
    <w:lvl w:ilvl="0" w:tplc="DFB83E78">
      <w:start w:val="1"/>
      <w:numFmt w:val="decimal"/>
      <w:lvlText w:val="1.%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3287B"/>
    <w:multiLevelType w:val="multilevel"/>
    <w:tmpl w:val="3C64176E"/>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7266336"/>
    <w:multiLevelType w:val="hybridMultilevel"/>
    <w:tmpl w:val="CA50F836"/>
    <w:lvl w:ilvl="0" w:tplc="04090001">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38A9608D"/>
    <w:multiLevelType w:val="hybridMultilevel"/>
    <w:tmpl w:val="AE403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F50EFA"/>
    <w:multiLevelType w:val="hybridMultilevel"/>
    <w:tmpl w:val="6A84A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212FC2"/>
    <w:multiLevelType w:val="hybridMultilevel"/>
    <w:tmpl w:val="A780492E"/>
    <w:lvl w:ilvl="0" w:tplc="7CC64B54">
      <w:start w:val="1"/>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23056"/>
    <w:multiLevelType w:val="hybridMultilevel"/>
    <w:tmpl w:val="0B7A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1E7F9D"/>
    <w:multiLevelType w:val="multilevel"/>
    <w:tmpl w:val="F600270C"/>
    <w:lvl w:ilvl="0">
      <w:start w:val="4"/>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9">
    <w:nsid w:val="61401E45"/>
    <w:multiLevelType w:val="hybridMultilevel"/>
    <w:tmpl w:val="CA50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476B41"/>
    <w:multiLevelType w:val="multilevel"/>
    <w:tmpl w:val="F2D8CD0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D4B1F55"/>
    <w:multiLevelType w:val="hybridMultilevel"/>
    <w:tmpl w:val="D0946D7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5156F5"/>
    <w:multiLevelType w:val="hybridMultilevel"/>
    <w:tmpl w:val="5B346540"/>
    <w:lvl w:ilvl="0" w:tplc="7CC64B54">
      <w:start w:val="1"/>
      <w:numFmt w:val="bullet"/>
      <w:lvlText w:val="-"/>
      <w:lvlJc w:val="left"/>
      <w:pPr>
        <w:ind w:left="720" w:hanging="360"/>
      </w:pPr>
      <w:rPr>
        <w:rFonts w:ascii="Calibri Light" w:eastAsia="Times New Roman" w:hAnsi="Calibri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2644054"/>
    <w:multiLevelType w:val="hybridMultilevel"/>
    <w:tmpl w:val="3B629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5A928C3"/>
    <w:multiLevelType w:val="hybridMultilevel"/>
    <w:tmpl w:val="5A4CA3A0"/>
    <w:lvl w:ilvl="0" w:tplc="0270F6AE">
      <w:start w:val="1"/>
      <w:numFmt w:val="bullet"/>
      <w:pStyle w:val="AP7BULLETFormatCOPIED"/>
      <w:lvlText w:val=""/>
      <w:lvlJc w:val="left"/>
      <w:pPr>
        <w:ind w:left="360" w:hanging="360"/>
      </w:pPr>
      <w:rPr>
        <w:rFonts w:ascii="Symbol" w:hAnsi="Symbol" w:hint="default"/>
      </w:rPr>
    </w:lvl>
    <w:lvl w:ilvl="1" w:tplc="040C0003">
      <w:start w:val="1"/>
      <w:numFmt w:val="bullet"/>
      <w:lvlText w:val="o"/>
      <w:lvlJc w:val="left"/>
      <w:pPr>
        <w:ind w:left="450" w:hanging="360"/>
      </w:pPr>
      <w:rPr>
        <w:rFonts w:ascii="Courier New" w:hAnsi="Courier New" w:hint="default"/>
      </w:rPr>
    </w:lvl>
    <w:lvl w:ilvl="2" w:tplc="040C0005">
      <w:start w:val="1"/>
      <w:numFmt w:val="bullet"/>
      <w:lvlText w:val=""/>
      <w:lvlJc w:val="left"/>
      <w:pPr>
        <w:ind w:left="1170" w:hanging="360"/>
      </w:pPr>
      <w:rPr>
        <w:rFonts w:ascii="Wingdings" w:hAnsi="Wingdings" w:hint="default"/>
      </w:rPr>
    </w:lvl>
    <w:lvl w:ilvl="3" w:tplc="040C0001" w:tentative="1">
      <w:start w:val="1"/>
      <w:numFmt w:val="bullet"/>
      <w:lvlText w:val=""/>
      <w:lvlJc w:val="left"/>
      <w:pPr>
        <w:ind w:left="1890" w:hanging="360"/>
      </w:pPr>
      <w:rPr>
        <w:rFonts w:ascii="Symbol" w:hAnsi="Symbol" w:hint="default"/>
      </w:rPr>
    </w:lvl>
    <w:lvl w:ilvl="4" w:tplc="040C0003" w:tentative="1">
      <w:start w:val="1"/>
      <w:numFmt w:val="bullet"/>
      <w:lvlText w:val="o"/>
      <w:lvlJc w:val="left"/>
      <w:pPr>
        <w:ind w:left="2610" w:hanging="360"/>
      </w:pPr>
      <w:rPr>
        <w:rFonts w:ascii="Courier New" w:hAnsi="Courier New" w:hint="default"/>
      </w:rPr>
    </w:lvl>
    <w:lvl w:ilvl="5" w:tplc="040C0005" w:tentative="1">
      <w:start w:val="1"/>
      <w:numFmt w:val="bullet"/>
      <w:lvlText w:val=""/>
      <w:lvlJc w:val="left"/>
      <w:pPr>
        <w:ind w:left="3330" w:hanging="360"/>
      </w:pPr>
      <w:rPr>
        <w:rFonts w:ascii="Wingdings" w:hAnsi="Wingdings" w:hint="default"/>
      </w:rPr>
    </w:lvl>
    <w:lvl w:ilvl="6" w:tplc="040C0001" w:tentative="1">
      <w:start w:val="1"/>
      <w:numFmt w:val="bullet"/>
      <w:lvlText w:val=""/>
      <w:lvlJc w:val="left"/>
      <w:pPr>
        <w:ind w:left="4050" w:hanging="360"/>
      </w:pPr>
      <w:rPr>
        <w:rFonts w:ascii="Symbol" w:hAnsi="Symbol" w:hint="default"/>
      </w:rPr>
    </w:lvl>
    <w:lvl w:ilvl="7" w:tplc="040C0003" w:tentative="1">
      <w:start w:val="1"/>
      <w:numFmt w:val="bullet"/>
      <w:lvlText w:val="o"/>
      <w:lvlJc w:val="left"/>
      <w:pPr>
        <w:ind w:left="4770" w:hanging="360"/>
      </w:pPr>
      <w:rPr>
        <w:rFonts w:ascii="Courier New" w:hAnsi="Courier New" w:hint="default"/>
      </w:rPr>
    </w:lvl>
    <w:lvl w:ilvl="8" w:tplc="040C0005" w:tentative="1">
      <w:start w:val="1"/>
      <w:numFmt w:val="bullet"/>
      <w:lvlText w:val=""/>
      <w:lvlJc w:val="left"/>
      <w:pPr>
        <w:ind w:left="5490" w:hanging="360"/>
      </w:pPr>
      <w:rPr>
        <w:rFonts w:ascii="Wingdings" w:hAnsi="Wingdings" w:hint="default"/>
      </w:rPr>
    </w:lvl>
  </w:abstractNum>
  <w:abstractNum w:abstractNumId="25">
    <w:nsid w:val="76ED225B"/>
    <w:multiLevelType w:val="hybridMultilevel"/>
    <w:tmpl w:val="6DE21658"/>
    <w:lvl w:ilvl="0" w:tplc="7CC64B54">
      <w:start w:val="1"/>
      <w:numFmt w:val="bullet"/>
      <w:lvlText w:val="-"/>
      <w:lvlJc w:val="left"/>
      <w:pPr>
        <w:ind w:left="720" w:hanging="360"/>
      </w:pPr>
      <w:rPr>
        <w:rFonts w:ascii="Calibri Light" w:eastAsia="Times New Roman" w:hAnsi="Calibri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8A7517"/>
    <w:multiLevelType w:val="hybridMultilevel"/>
    <w:tmpl w:val="9ACE7E54"/>
    <w:lvl w:ilvl="0" w:tplc="1A2EDE54">
      <w:start w:val="1"/>
      <w:numFmt w:val="bullet"/>
      <w:lvlText w:val=""/>
      <w:lvlJc w:val="left"/>
      <w:pPr>
        <w:ind w:left="720" w:hanging="360"/>
      </w:pPr>
      <w:rPr>
        <w:rFonts w:ascii="Wingdings" w:hAnsi="Wingdings" w:hint="default"/>
      </w:rPr>
    </w:lvl>
    <w:lvl w:ilvl="1" w:tplc="D6C262A2" w:tentative="1">
      <w:start w:val="1"/>
      <w:numFmt w:val="bullet"/>
      <w:lvlText w:val="o"/>
      <w:lvlJc w:val="left"/>
      <w:pPr>
        <w:ind w:left="1440" w:hanging="360"/>
      </w:pPr>
      <w:rPr>
        <w:rFonts w:ascii="Courier New" w:hAnsi="Courier New" w:cs="Courier New" w:hint="default"/>
      </w:rPr>
    </w:lvl>
    <w:lvl w:ilvl="2" w:tplc="4F4A21F8" w:tentative="1">
      <w:start w:val="1"/>
      <w:numFmt w:val="bullet"/>
      <w:lvlText w:val=""/>
      <w:lvlJc w:val="left"/>
      <w:pPr>
        <w:ind w:left="2160" w:hanging="360"/>
      </w:pPr>
      <w:rPr>
        <w:rFonts w:ascii="Wingdings" w:hAnsi="Wingdings" w:hint="default"/>
      </w:rPr>
    </w:lvl>
    <w:lvl w:ilvl="3" w:tplc="929850BC" w:tentative="1">
      <w:start w:val="1"/>
      <w:numFmt w:val="bullet"/>
      <w:lvlText w:val=""/>
      <w:lvlJc w:val="left"/>
      <w:pPr>
        <w:ind w:left="2880" w:hanging="360"/>
      </w:pPr>
      <w:rPr>
        <w:rFonts w:ascii="Symbol" w:hAnsi="Symbol" w:hint="default"/>
      </w:rPr>
    </w:lvl>
    <w:lvl w:ilvl="4" w:tplc="9B50C664" w:tentative="1">
      <w:start w:val="1"/>
      <w:numFmt w:val="bullet"/>
      <w:lvlText w:val="o"/>
      <w:lvlJc w:val="left"/>
      <w:pPr>
        <w:ind w:left="3600" w:hanging="360"/>
      </w:pPr>
      <w:rPr>
        <w:rFonts w:ascii="Courier New" w:hAnsi="Courier New" w:cs="Courier New" w:hint="default"/>
      </w:rPr>
    </w:lvl>
    <w:lvl w:ilvl="5" w:tplc="969C5E96" w:tentative="1">
      <w:start w:val="1"/>
      <w:numFmt w:val="bullet"/>
      <w:lvlText w:val=""/>
      <w:lvlJc w:val="left"/>
      <w:pPr>
        <w:ind w:left="4320" w:hanging="360"/>
      </w:pPr>
      <w:rPr>
        <w:rFonts w:ascii="Wingdings" w:hAnsi="Wingdings" w:hint="default"/>
      </w:rPr>
    </w:lvl>
    <w:lvl w:ilvl="6" w:tplc="28C68B6E" w:tentative="1">
      <w:start w:val="1"/>
      <w:numFmt w:val="bullet"/>
      <w:lvlText w:val=""/>
      <w:lvlJc w:val="left"/>
      <w:pPr>
        <w:ind w:left="5040" w:hanging="360"/>
      </w:pPr>
      <w:rPr>
        <w:rFonts w:ascii="Symbol" w:hAnsi="Symbol" w:hint="default"/>
      </w:rPr>
    </w:lvl>
    <w:lvl w:ilvl="7" w:tplc="86BC449C" w:tentative="1">
      <w:start w:val="1"/>
      <w:numFmt w:val="bullet"/>
      <w:lvlText w:val="o"/>
      <w:lvlJc w:val="left"/>
      <w:pPr>
        <w:ind w:left="5760" w:hanging="360"/>
      </w:pPr>
      <w:rPr>
        <w:rFonts w:ascii="Courier New" w:hAnsi="Courier New" w:cs="Courier New" w:hint="default"/>
      </w:rPr>
    </w:lvl>
    <w:lvl w:ilvl="8" w:tplc="91A05576" w:tentative="1">
      <w:start w:val="1"/>
      <w:numFmt w:val="bullet"/>
      <w:lvlText w:val=""/>
      <w:lvlJc w:val="left"/>
      <w:pPr>
        <w:ind w:left="6480" w:hanging="360"/>
      </w:pPr>
      <w:rPr>
        <w:rFonts w:ascii="Wingdings" w:hAnsi="Wingdings" w:hint="default"/>
      </w:rPr>
    </w:lvl>
  </w:abstractNum>
  <w:abstractNum w:abstractNumId="27">
    <w:nsid w:val="7F622430"/>
    <w:multiLevelType w:val="hybridMultilevel"/>
    <w:tmpl w:val="1EAAE35A"/>
    <w:lvl w:ilvl="0" w:tplc="EB82A16E">
      <w:start w:val="1"/>
      <w:numFmt w:val="bullet"/>
      <w:lvlText w:val=""/>
      <w:lvlJc w:val="right"/>
      <w:pPr>
        <w:ind w:left="720" w:hanging="360"/>
      </w:pPr>
      <w:rPr>
        <w:rFonts w:ascii="Symbol" w:hAnsi="Symbol" w:hint="default"/>
        <w:color w:val="000000"/>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6"/>
  </w:num>
  <w:num w:numId="2">
    <w:abstractNumId w:val="22"/>
  </w:num>
  <w:num w:numId="3">
    <w:abstractNumId w:val="11"/>
  </w:num>
  <w:num w:numId="4">
    <w:abstractNumId w:val="25"/>
  </w:num>
  <w:num w:numId="5">
    <w:abstractNumId w:val="2"/>
  </w:num>
  <w:num w:numId="6">
    <w:abstractNumId w:val="19"/>
  </w:num>
  <w:num w:numId="7">
    <w:abstractNumId w:val="3"/>
  </w:num>
  <w:num w:numId="8">
    <w:abstractNumId w:val="6"/>
  </w:num>
  <w:num w:numId="9">
    <w:abstractNumId w:val="9"/>
  </w:num>
  <w:num w:numId="10">
    <w:abstractNumId w:val="1"/>
  </w:num>
  <w:num w:numId="11">
    <w:abstractNumId w:val="24"/>
  </w:num>
  <w:num w:numId="12">
    <w:abstractNumId w:val="21"/>
  </w:num>
  <w:num w:numId="13">
    <w:abstractNumId w:val="15"/>
  </w:num>
  <w:num w:numId="14">
    <w:abstractNumId w:val="4"/>
  </w:num>
  <w:num w:numId="15">
    <w:abstractNumId w:val="8"/>
  </w:num>
  <w:num w:numId="16">
    <w:abstractNumId w:val="23"/>
  </w:num>
  <w:num w:numId="17">
    <w:abstractNumId w:val="27"/>
  </w:num>
  <w:num w:numId="18">
    <w:abstractNumId w:val="7"/>
  </w:num>
  <w:num w:numId="19">
    <w:abstractNumId w:val="20"/>
  </w:num>
  <w:num w:numId="20">
    <w:abstractNumId w:val="18"/>
  </w:num>
  <w:num w:numId="21">
    <w:abstractNumId w:val="12"/>
  </w:num>
  <w:num w:numId="22">
    <w:abstractNumId w:val="10"/>
  </w:num>
  <w:num w:numId="23">
    <w:abstractNumId w:val="13"/>
  </w:num>
  <w:num w:numId="24">
    <w:abstractNumId w:val="16"/>
  </w:num>
  <w:num w:numId="25">
    <w:abstractNumId w:val="5"/>
  </w:num>
  <w:num w:numId="26">
    <w:abstractNumId w:val="14"/>
  </w:num>
  <w:num w:numId="27">
    <w:abstractNumId w:val="17"/>
  </w:num>
  <w:num w:numId="28">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bordersDoNotSurroundHeader/>
  <w:bordersDoNotSurroundFooter/>
  <w:defaultTabStop w:val="708"/>
  <w:hyphenationZone w:val="425"/>
  <w:drawingGridHorizontalSpacing w:val="110"/>
  <w:displayHorizontalDrawingGridEvery w:val="2"/>
  <w:characterSpacingControl w:val="doNotCompress"/>
  <w:savePreviewPicture/>
  <w:hdrShapeDefaults>
    <o:shapedefaults v:ext="edit" spidmax="14338"/>
  </w:hdrShapeDefaults>
  <w:footnotePr>
    <w:footnote w:id="0"/>
    <w:footnote w:id="1"/>
  </w:footnotePr>
  <w:endnotePr>
    <w:endnote w:id="0"/>
    <w:endnote w:id="1"/>
  </w:endnotePr>
  <w:compat/>
  <w:rsids>
    <w:rsidRoot w:val="006113CB"/>
    <w:rsid w:val="00011AA0"/>
    <w:rsid w:val="000123EE"/>
    <w:rsid w:val="000169FE"/>
    <w:rsid w:val="00023612"/>
    <w:rsid w:val="00025519"/>
    <w:rsid w:val="00032495"/>
    <w:rsid w:val="00033890"/>
    <w:rsid w:val="00035E9D"/>
    <w:rsid w:val="00035FDC"/>
    <w:rsid w:val="00040711"/>
    <w:rsid w:val="000421D3"/>
    <w:rsid w:val="000432CE"/>
    <w:rsid w:val="000472FC"/>
    <w:rsid w:val="00054358"/>
    <w:rsid w:val="00057EE1"/>
    <w:rsid w:val="0006236F"/>
    <w:rsid w:val="00062E40"/>
    <w:rsid w:val="00066B36"/>
    <w:rsid w:val="000706D1"/>
    <w:rsid w:val="0007254E"/>
    <w:rsid w:val="000768C8"/>
    <w:rsid w:val="000868D2"/>
    <w:rsid w:val="00093644"/>
    <w:rsid w:val="000B6140"/>
    <w:rsid w:val="000B6A54"/>
    <w:rsid w:val="000C3E6B"/>
    <w:rsid w:val="000C7C75"/>
    <w:rsid w:val="000D5726"/>
    <w:rsid w:val="000E19C0"/>
    <w:rsid w:val="000E5DCD"/>
    <w:rsid w:val="000F38E4"/>
    <w:rsid w:val="001033CA"/>
    <w:rsid w:val="0010360E"/>
    <w:rsid w:val="001044CC"/>
    <w:rsid w:val="001058A6"/>
    <w:rsid w:val="00105F8F"/>
    <w:rsid w:val="00113E09"/>
    <w:rsid w:val="0011719E"/>
    <w:rsid w:val="001233D0"/>
    <w:rsid w:val="001246F9"/>
    <w:rsid w:val="0012594A"/>
    <w:rsid w:val="0012640A"/>
    <w:rsid w:val="00133BBA"/>
    <w:rsid w:val="00142768"/>
    <w:rsid w:val="00147042"/>
    <w:rsid w:val="00150851"/>
    <w:rsid w:val="00160CA0"/>
    <w:rsid w:val="001611E8"/>
    <w:rsid w:val="00167513"/>
    <w:rsid w:val="00167A60"/>
    <w:rsid w:val="0017246F"/>
    <w:rsid w:val="0017274A"/>
    <w:rsid w:val="00175C2D"/>
    <w:rsid w:val="001763D6"/>
    <w:rsid w:val="001768BF"/>
    <w:rsid w:val="00176A11"/>
    <w:rsid w:val="00192FC1"/>
    <w:rsid w:val="00193438"/>
    <w:rsid w:val="001A2D00"/>
    <w:rsid w:val="001A4928"/>
    <w:rsid w:val="001B29B4"/>
    <w:rsid w:val="001B7496"/>
    <w:rsid w:val="001C2B5A"/>
    <w:rsid w:val="001C2FE0"/>
    <w:rsid w:val="001C6F13"/>
    <w:rsid w:val="001E54A3"/>
    <w:rsid w:val="001F349C"/>
    <w:rsid w:val="001F3ECB"/>
    <w:rsid w:val="001F573D"/>
    <w:rsid w:val="002006D3"/>
    <w:rsid w:val="00201966"/>
    <w:rsid w:val="00205669"/>
    <w:rsid w:val="00211D6A"/>
    <w:rsid w:val="00217CDA"/>
    <w:rsid w:val="00226CD2"/>
    <w:rsid w:val="00227A6B"/>
    <w:rsid w:val="00235C5D"/>
    <w:rsid w:val="00245446"/>
    <w:rsid w:val="002520B3"/>
    <w:rsid w:val="002563D0"/>
    <w:rsid w:val="002637A2"/>
    <w:rsid w:val="00267439"/>
    <w:rsid w:val="002677C0"/>
    <w:rsid w:val="00271D6D"/>
    <w:rsid w:val="002721B2"/>
    <w:rsid w:val="0028123C"/>
    <w:rsid w:val="002834DF"/>
    <w:rsid w:val="002900EE"/>
    <w:rsid w:val="00291DBA"/>
    <w:rsid w:val="00293122"/>
    <w:rsid w:val="002A7E8F"/>
    <w:rsid w:val="002B53F4"/>
    <w:rsid w:val="002C695E"/>
    <w:rsid w:val="002C75B9"/>
    <w:rsid w:val="002D487F"/>
    <w:rsid w:val="002E03A6"/>
    <w:rsid w:val="002E1D3D"/>
    <w:rsid w:val="002E56EB"/>
    <w:rsid w:val="002F203B"/>
    <w:rsid w:val="002F20CE"/>
    <w:rsid w:val="002F23C1"/>
    <w:rsid w:val="002F3D81"/>
    <w:rsid w:val="00301E6F"/>
    <w:rsid w:val="0030351D"/>
    <w:rsid w:val="003107A2"/>
    <w:rsid w:val="00313047"/>
    <w:rsid w:val="00313059"/>
    <w:rsid w:val="00314C49"/>
    <w:rsid w:val="003168F7"/>
    <w:rsid w:val="003309AC"/>
    <w:rsid w:val="003327B0"/>
    <w:rsid w:val="00333C87"/>
    <w:rsid w:val="00340B22"/>
    <w:rsid w:val="0034118B"/>
    <w:rsid w:val="00350645"/>
    <w:rsid w:val="00354BA0"/>
    <w:rsid w:val="003568B4"/>
    <w:rsid w:val="003603CF"/>
    <w:rsid w:val="00372B0C"/>
    <w:rsid w:val="00372CCA"/>
    <w:rsid w:val="003736CD"/>
    <w:rsid w:val="00373951"/>
    <w:rsid w:val="0037409F"/>
    <w:rsid w:val="00374B2D"/>
    <w:rsid w:val="0038417C"/>
    <w:rsid w:val="00386DC6"/>
    <w:rsid w:val="003870D0"/>
    <w:rsid w:val="003914FB"/>
    <w:rsid w:val="003973ED"/>
    <w:rsid w:val="003B6D9A"/>
    <w:rsid w:val="003B78B0"/>
    <w:rsid w:val="003C5A04"/>
    <w:rsid w:val="003D4295"/>
    <w:rsid w:val="003D518F"/>
    <w:rsid w:val="003D5EA4"/>
    <w:rsid w:val="003D787F"/>
    <w:rsid w:val="003E241D"/>
    <w:rsid w:val="003F06EE"/>
    <w:rsid w:val="003F3A7A"/>
    <w:rsid w:val="004002DA"/>
    <w:rsid w:val="00400696"/>
    <w:rsid w:val="004110C1"/>
    <w:rsid w:val="00430063"/>
    <w:rsid w:val="00440C45"/>
    <w:rsid w:val="0044251B"/>
    <w:rsid w:val="00444766"/>
    <w:rsid w:val="00451355"/>
    <w:rsid w:val="004615C8"/>
    <w:rsid w:val="0047494E"/>
    <w:rsid w:val="00485D87"/>
    <w:rsid w:val="0049317A"/>
    <w:rsid w:val="0049798E"/>
    <w:rsid w:val="004A4C23"/>
    <w:rsid w:val="004B5205"/>
    <w:rsid w:val="004C2F84"/>
    <w:rsid w:val="004D6A55"/>
    <w:rsid w:val="004D737E"/>
    <w:rsid w:val="004D7EB2"/>
    <w:rsid w:val="004D7FA0"/>
    <w:rsid w:val="004F44ED"/>
    <w:rsid w:val="00504CB0"/>
    <w:rsid w:val="00513694"/>
    <w:rsid w:val="00517D0B"/>
    <w:rsid w:val="00522E06"/>
    <w:rsid w:val="00524812"/>
    <w:rsid w:val="00527266"/>
    <w:rsid w:val="00527735"/>
    <w:rsid w:val="0053630A"/>
    <w:rsid w:val="00536559"/>
    <w:rsid w:val="00536E18"/>
    <w:rsid w:val="00547C80"/>
    <w:rsid w:val="00551E78"/>
    <w:rsid w:val="00554790"/>
    <w:rsid w:val="005562BB"/>
    <w:rsid w:val="00556F13"/>
    <w:rsid w:val="00562CAF"/>
    <w:rsid w:val="005644E2"/>
    <w:rsid w:val="00570427"/>
    <w:rsid w:val="00584699"/>
    <w:rsid w:val="00584D5D"/>
    <w:rsid w:val="005A0C43"/>
    <w:rsid w:val="005A5994"/>
    <w:rsid w:val="005B4218"/>
    <w:rsid w:val="005B571E"/>
    <w:rsid w:val="005B6150"/>
    <w:rsid w:val="005C2F8D"/>
    <w:rsid w:val="005D1898"/>
    <w:rsid w:val="006016A8"/>
    <w:rsid w:val="0060691E"/>
    <w:rsid w:val="006113CB"/>
    <w:rsid w:val="00612310"/>
    <w:rsid w:val="00615442"/>
    <w:rsid w:val="00616B86"/>
    <w:rsid w:val="006206AC"/>
    <w:rsid w:val="00621353"/>
    <w:rsid w:val="00622C64"/>
    <w:rsid w:val="00626D43"/>
    <w:rsid w:val="0063001D"/>
    <w:rsid w:val="00635D1A"/>
    <w:rsid w:val="00636E96"/>
    <w:rsid w:val="00641A1B"/>
    <w:rsid w:val="00650F3E"/>
    <w:rsid w:val="00654FF0"/>
    <w:rsid w:val="00657901"/>
    <w:rsid w:val="006606A5"/>
    <w:rsid w:val="00660F2D"/>
    <w:rsid w:val="00661777"/>
    <w:rsid w:val="006648D4"/>
    <w:rsid w:val="006713FD"/>
    <w:rsid w:val="0067437F"/>
    <w:rsid w:val="00680570"/>
    <w:rsid w:val="0068719C"/>
    <w:rsid w:val="00687825"/>
    <w:rsid w:val="006946A3"/>
    <w:rsid w:val="00696794"/>
    <w:rsid w:val="006A5C92"/>
    <w:rsid w:val="006A78F7"/>
    <w:rsid w:val="006B51F5"/>
    <w:rsid w:val="006C5759"/>
    <w:rsid w:val="006D335D"/>
    <w:rsid w:val="006E15EB"/>
    <w:rsid w:val="006E632A"/>
    <w:rsid w:val="006F71FB"/>
    <w:rsid w:val="007073DF"/>
    <w:rsid w:val="007118AB"/>
    <w:rsid w:val="0071241C"/>
    <w:rsid w:val="00712530"/>
    <w:rsid w:val="00723A7A"/>
    <w:rsid w:val="00725C4D"/>
    <w:rsid w:val="00733C4F"/>
    <w:rsid w:val="0073449E"/>
    <w:rsid w:val="00735BB1"/>
    <w:rsid w:val="00752A96"/>
    <w:rsid w:val="00752FE7"/>
    <w:rsid w:val="007533D5"/>
    <w:rsid w:val="00756523"/>
    <w:rsid w:val="00757194"/>
    <w:rsid w:val="00763B40"/>
    <w:rsid w:val="0076652D"/>
    <w:rsid w:val="00766586"/>
    <w:rsid w:val="00770182"/>
    <w:rsid w:val="00774223"/>
    <w:rsid w:val="0077457D"/>
    <w:rsid w:val="00774C46"/>
    <w:rsid w:val="00774D85"/>
    <w:rsid w:val="007805E2"/>
    <w:rsid w:val="0078485F"/>
    <w:rsid w:val="00787712"/>
    <w:rsid w:val="00790771"/>
    <w:rsid w:val="0079368B"/>
    <w:rsid w:val="00794C39"/>
    <w:rsid w:val="007962FE"/>
    <w:rsid w:val="007A2722"/>
    <w:rsid w:val="007A2B27"/>
    <w:rsid w:val="007B5AF9"/>
    <w:rsid w:val="007B6867"/>
    <w:rsid w:val="007C0202"/>
    <w:rsid w:val="007C2A88"/>
    <w:rsid w:val="007C4DC5"/>
    <w:rsid w:val="007D0AFF"/>
    <w:rsid w:val="007D3EC9"/>
    <w:rsid w:val="007D438A"/>
    <w:rsid w:val="007D46D4"/>
    <w:rsid w:val="007E5509"/>
    <w:rsid w:val="007F180C"/>
    <w:rsid w:val="007F519A"/>
    <w:rsid w:val="008060B3"/>
    <w:rsid w:val="008075F9"/>
    <w:rsid w:val="00820245"/>
    <w:rsid w:val="00822E5B"/>
    <w:rsid w:val="00823F0D"/>
    <w:rsid w:val="00824164"/>
    <w:rsid w:val="0082498A"/>
    <w:rsid w:val="00834853"/>
    <w:rsid w:val="00853302"/>
    <w:rsid w:val="00857488"/>
    <w:rsid w:val="00857FDC"/>
    <w:rsid w:val="00861997"/>
    <w:rsid w:val="00861CD2"/>
    <w:rsid w:val="00862C34"/>
    <w:rsid w:val="00862C91"/>
    <w:rsid w:val="00865523"/>
    <w:rsid w:val="00866981"/>
    <w:rsid w:val="00870A9A"/>
    <w:rsid w:val="00880B02"/>
    <w:rsid w:val="00885E75"/>
    <w:rsid w:val="008865F0"/>
    <w:rsid w:val="00887D27"/>
    <w:rsid w:val="008A0B63"/>
    <w:rsid w:val="008A15F4"/>
    <w:rsid w:val="008A1668"/>
    <w:rsid w:val="008A2517"/>
    <w:rsid w:val="008A2D93"/>
    <w:rsid w:val="008B5D56"/>
    <w:rsid w:val="008B5FAA"/>
    <w:rsid w:val="008B62FB"/>
    <w:rsid w:val="008B727D"/>
    <w:rsid w:val="008B7E5E"/>
    <w:rsid w:val="008C0D1B"/>
    <w:rsid w:val="008C21FD"/>
    <w:rsid w:val="008C2486"/>
    <w:rsid w:val="008C56AE"/>
    <w:rsid w:val="008C6338"/>
    <w:rsid w:val="008C75C0"/>
    <w:rsid w:val="008D317B"/>
    <w:rsid w:val="008D3449"/>
    <w:rsid w:val="008E1638"/>
    <w:rsid w:val="008E59DF"/>
    <w:rsid w:val="008F0109"/>
    <w:rsid w:val="009076E8"/>
    <w:rsid w:val="00910309"/>
    <w:rsid w:val="00912F85"/>
    <w:rsid w:val="00914DE2"/>
    <w:rsid w:val="009300CD"/>
    <w:rsid w:val="00930612"/>
    <w:rsid w:val="00933752"/>
    <w:rsid w:val="00933C1C"/>
    <w:rsid w:val="00933C20"/>
    <w:rsid w:val="00940181"/>
    <w:rsid w:val="00945432"/>
    <w:rsid w:val="0094583A"/>
    <w:rsid w:val="00950653"/>
    <w:rsid w:val="0095147F"/>
    <w:rsid w:val="00952B7C"/>
    <w:rsid w:val="009545D5"/>
    <w:rsid w:val="00955AB4"/>
    <w:rsid w:val="00956109"/>
    <w:rsid w:val="00963C89"/>
    <w:rsid w:val="009711C3"/>
    <w:rsid w:val="00972779"/>
    <w:rsid w:val="00973FBA"/>
    <w:rsid w:val="00974350"/>
    <w:rsid w:val="00982019"/>
    <w:rsid w:val="00982958"/>
    <w:rsid w:val="009830D5"/>
    <w:rsid w:val="0098627C"/>
    <w:rsid w:val="009A00AF"/>
    <w:rsid w:val="009A1C61"/>
    <w:rsid w:val="009A5A77"/>
    <w:rsid w:val="009A74A6"/>
    <w:rsid w:val="009B2B2E"/>
    <w:rsid w:val="009B39B3"/>
    <w:rsid w:val="009B3AAE"/>
    <w:rsid w:val="009D339C"/>
    <w:rsid w:val="009D7DEF"/>
    <w:rsid w:val="009F1A9A"/>
    <w:rsid w:val="009F2855"/>
    <w:rsid w:val="009F31DF"/>
    <w:rsid w:val="00A012D0"/>
    <w:rsid w:val="00A02D95"/>
    <w:rsid w:val="00A046CD"/>
    <w:rsid w:val="00A05D9D"/>
    <w:rsid w:val="00A10AEF"/>
    <w:rsid w:val="00A11E16"/>
    <w:rsid w:val="00A1753F"/>
    <w:rsid w:val="00A248E9"/>
    <w:rsid w:val="00A25BA8"/>
    <w:rsid w:val="00A275C7"/>
    <w:rsid w:val="00A31376"/>
    <w:rsid w:val="00A54330"/>
    <w:rsid w:val="00A62883"/>
    <w:rsid w:val="00A72A48"/>
    <w:rsid w:val="00A732B3"/>
    <w:rsid w:val="00A8008D"/>
    <w:rsid w:val="00A80971"/>
    <w:rsid w:val="00AA10CF"/>
    <w:rsid w:val="00AA115B"/>
    <w:rsid w:val="00AB12CB"/>
    <w:rsid w:val="00AB5E44"/>
    <w:rsid w:val="00AB7A66"/>
    <w:rsid w:val="00AC3237"/>
    <w:rsid w:val="00AC52EC"/>
    <w:rsid w:val="00AC7DA2"/>
    <w:rsid w:val="00AD3A48"/>
    <w:rsid w:val="00AD41A5"/>
    <w:rsid w:val="00AD6AFA"/>
    <w:rsid w:val="00AE0780"/>
    <w:rsid w:val="00AE43D7"/>
    <w:rsid w:val="00AE6BA2"/>
    <w:rsid w:val="00AF643D"/>
    <w:rsid w:val="00AF6CF2"/>
    <w:rsid w:val="00B216A3"/>
    <w:rsid w:val="00B21EBB"/>
    <w:rsid w:val="00B2320E"/>
    <w:rsid w:val="00B3068D"/>
    <w:rsid w:val="00B37B5B"/>
    <w:rsid w:val="00B47A2A"/>
    <w:rsid w:val="00B544E6"/>
    <w:rsid w:val="00B63871"/>
    <w:rsid w:val="00B641D7"/>
    <w:rsid w:val="00B65FF8"/>
    <w:rsid w:val="00B67A88"/>
    <w:rsid w:val="00B835D5"/>
    <w:rsid w:val="00B8772B"/>
    <w:rsid w:val="00B91D51"/>
    <w:rsid w:val="00B93DDB"/>
    <w:rsid w:val="00B97B22"/>
    <w:rsid w:val="00BA7437"/>
    <w:rsid w:val="00BB018F"/>
    <w:rsid w:val="00BB07F6"/>
    <w:rsid w:val="00BB21F6"/>
    <w:rsid w:val="00BB2A20"/>
    <w:rsid w:val="00BB4BD4"/>
    <w:rsid w:val="00BC0B5E"/>
    <w:rsid w:val="00BC1503"/>
    <w:rsid w:val="00BC523D"/>
    <w:rsid w:val="00BD1A36"/>
    <w:rsid w:val="00BD25F5"/>
    <w:rsid w:val="00BE07AB"/>
    <w:rsid w:val="00BE1F6F"/>
    <w:rsid w:val="00C0198F"/>
    <w:rsid w:val="00C1102F"/>
    <w:rsid w:val="00C16C54"/>
    <w:rsid w:val="00C172FB"/>
    <w:rsid w:val="00C25D03"/>
    <w:rsid w:val="00C31CE6"/>
    <w:rsid w:val="00C322EA"/>
    <w:rsid w:val="00C361CB"/>
    <w:rsid w:val="00C42C0D"/>
    <w:rsid w:val="00C46D48"/>
    <w:rsid w:val="00C50CEC"/>
    <w:rsid w:val="00C54E8C"/>
    <w:rsid w:val="00C56BA6"/>
    <w:rsid w:val="00C57943"/>
    <w:rsid w:val="00C61BE0"/>
    <w:rsid w:val="00C63485"/>
    <w:rsid w:val="00C665D3"/>
    <w:rsid w:val="00C747B4"/>
    <w:rsid w:val="00C76C1C"/>
    <w:rsid w:val="00C85ECB"/>
    <w:rsid w:val="00C9170C"/>
    <w:rsid w:val="00C94D09"/>
    <w:rsid w:val="00CA22DC"/>
    <w:rsid w:val="00CA381A"/>
    <w:rsid w:val="00CB1EDA"/>
    <w:rsid w:val="00CB2C53"/>
    <w:rsid w:val="00CC2589"/>
    <w:rsid w:val="00CC63D5"/>
    <w:rsid w:val="00CC6A87"/>
    <w:rsid w:val="00CC7298"/>
    <w:rsid w:val="00CD1586"/>
    <w:rsid w:val="00CD731C"/>
    <w:rsid w:val="00CE0064"/>
    <w:rsid w:val="00CF367F"/>
    <w:rsid w:val="00CF51C3"/>
    <w:rsid w:val="00CF6FAF"/>
    <w:rsid w:val="00D00348"/>
    <w:rsid w:val="00D0444C"/>
    <w:rsid w:val="00D06153"/>
    <w:rsid w:val="00D063E3"/>
    <w:rsid w:val="00D10B2B"/>
    <w:rsid w:val="00D131B9"/>
    <w:rsid w:val="00D177EB"/>
    <w:rsid w:val="00D20C52"/>
    <w:rsid w:val="00D3071F"/>
    <w:rsid w:val="00D506B2"/>
    <w:rsid w:val="00D56F52"/>
    <w:rsid w:val="00D62EC1"/>
    <w:rsid w:val="00D65758"/>
    <w:rsid w:val="00D710D5"/>
    <w:rsid w:val="00D80E0F"/>
    <w:rsid w:val="00D848D4"/>
    <w:rsid w:val="00D860AF"/>
    <w:rsid w:val="00DA48D2"/>
    <w:rsid w:val="00DB2CD3"/>
    <w:rsid w:val="00DB33A6"/>
    <w:rsid w:val="00DB47B8"/>
    <w:rsid w:val="00DC06F9"/>
    <w:rsid w:val="00DC5ACA"/>
    <w:rsid w:val="00DD5514"/>
    <w:rsid w:val="00DD6711"/>
    <w:rsid w:val="00DE521D"/>
    <w:rsid w:val="00DE7A2C"/>
    <w:rsid w:val="00DF0B74"/>
    <w:rsid w:val="00DF2DF6"/>
    <w:rsid w:val="00DF5A3A"/>
    <w:rsid w:val="00E00480"/>
    <w:rsid w:val="00E05EA2"/>
    <w:rsid w:val="00E06823"/>
    <w:rsid w:val="00E11F12"/>
    <w:rsid w:val="00E13BBF"/>
    <w:rsid w:val="00E1561C"/>
    <w:rsid w:val="00E15781"/>
    <w:rsid w:val="00E27974"/>
    <w:rsid w:val="00E3295E"/>
    <w:rsid w:val="00E33920"/>
    <w:rsid w:val="00E36E7B"/>
    <w:rsid w:val="00E42950"/>
    <w:rsid w:val="00E50A58"/>
    <w:rsid w:val="00E604C7"/>
    <w:rsid w:val="00E67A6B"/>
    <w:rsid w:val="00E82681"/>
    <w:rsid w:val="00E903DD"/>
    <w:rsid w:val="00E90C84"/>
    <w:rsid w:val="00E97EE7"/>
    <w:rsid w:val="00EA5FDE"/>
    <w:rsid w:val="00EB0AA0"/>
    <w:rsid w:val="00EB2801"/>
    <w:rsid w:val="00EC682A"/>
    <w:rsid w:val="00ED18BA"/>
    <w:rsid w:val="00ED2C1A"/>
    <w:rsid w:val="00EE0225"/>
    <w:rsid w:val="00EE1EF2"/>
    <w:rsid w:val="00EE30BE"/>
    <w:rsid w:val="00EE32AD"/>
    <w:rsid w:val="00EE4081"/>
    <w:rsid w:val="00EF0FBA"/>
    <w:rsid w:val="00F07631"/>
    <w:rsid w:val="00F30388"/>
    <w:rsid w:val="00F31BF5"/>
    <w:rsid w:val="00F3266E"/>
    <w:rsid w:val="00F402CC"/>
    <w:rsid w:val="00F43004"/>
    <w:rsid w:val="00F45E00"/>
    <w:rsid w:val="00F5296A"/>
    <w:rsid w:val="00F61F1D"/>
    <w:rsid w:val="00F67FA7"/>
    <w:rsid w:val="00F71A0A"/>
    <w:rsid w:val="00F738D6"/>
    <w:rsid w:val="00F81EED"/>
    <w:rsid w:val="00F83116"/>
    <w:rsid w:val="00F86438"/>
    <w:rsid w:val="00FA460E"/>
    <w:rsid w:val="00FA4F17"/>
    <w:rsid w:val="00FA5925"/>
    <w:rsid w:val="00FA7EDF"/>
    <w:rsid w:val="00FC0FAA"/>
    <w:rsid w:val="00FC72F2"/>
    <w:rsid w:val="00FD36BE"/>
    <w:rsid w:val="00FE2B48"/>
    <w:rsid w:val="00FF0E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27" type="connector" idref="#AutoShape 78"/>
        <o:r id="V:Rule28" type="connector" idref="#AutoShape 44"/>
        <o:r id="V:Rule29" type="connector" idref="#AutoShape 47"/>
        <o:r id="V:Rule30" type="connector" idref="#AutoShape 79"/>
        <o:r id="V:Rule31" type="connector" idref="#AutoShape 41"/>
        <o:r id="V:Rule32" type="connector" idref="#AutoShape 43"/>
        <o:r id="V:Rule33" type="connector" idref="#AutoShape 74"/>
        <o:r id="V:Rule34" type="connector" idref="#AutoShape 86"/>
        <o:r id="V:Rule35" type="connector" idref="#AutoShape 37"/>
        <o:r id="V:Rule36" type="connector" idref="#AutoShape 39"/>
        <o:r id="V:Rule37" type="connector" idref="#AutoShape 87"/>
        <o:r id="V:Rule38" type="connector" idref="#AutoShape 82"/>
        <o:r id="V:Rule39" type="connector" idref="#AutoShape 38"/>
        <o:r id="V:Rule40" type="connector" idref="#AutoShape 27"/>
        <o:r id="V:Rule41" type="connector" idref="#AutoShape 40"/>
        <o:r id="V:Rule42" type="connector" idref="#AutoShape 89"/>
        <o:r id="V:Rule43" type="connector" idref="#AutoShape 85"/>
        <o:r id="V:Rule44" type="connector" idref="#AutoShape 46"/>
        <o:r id="V:Rule45" type="connector" idref="#AutoShape 45"/>
        <o:r id="V:Rule46" type="connector" idref="#AutoShape 84"/>
        <o:r id="V:Rule47" type="connector" idref="#AutoShape 91"/>
        <o:r id="V:Rule48" type="connector" idref="#AutoShape 88"/>
        <o:r id="V:Rule49" type="connector" idref="#AutoShape 92"/>
        <o:r id="V:Rule50" type="connector" idref="#AutoShape 77"/>
        <o:r id="V:Rule51" type="connector" idref="#AutoShape 83"/>
        <o:r id="V:Rule52" type="connector" idref="#AutoShape 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E2"/>
    <w:pPr>
      <w:spacing w:after="0" w:line="240" w:lineRule="auto"/>
      <w:jc w:val="both"/>
    </w:pPr>
    <w:rPr>
      <w:rFonts w:cs="Times New Roman"/>
      <w:szCs w:val="24"/>
      <w:lang w:val="en-US"/>
    </w:rPr>
  </w:style>
  <w:style w:type="paragraph" w:styleId="Titre1">
    <w:name w:val="heading 1"/>
    <w:basedOn w:val="Normal"/>
    <w:next w:val="Normal"/>
    <w:link w:val="Titre1Car"/>
    <w:uiPriority w:val="9"/>
    <w:qFormat/>
    <w:rsid w:val="004D73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C50CEC"/>
    <w:pPr>
      <w:keepNext/>
      <w:keepLines/>
      <w:numPr>
        <w:numId w:val="28"/>
      </w:numPr>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0169FE"/>
    <w:pPr>
      <w:keepNext/>
      <w:keepLines/>
      <w:numPr>
        <w:numId w:val="9"/>
      </w:numPr>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0CEC"/>
    <w:rPr>
      <w:rFonts w:asciiTheme="majorHAnsi" w:eastAsiaTheme="majorEastAsia" w:hAnsiTheme="majorHAnsi" w:cstheme="majorBidi"/>
      <w:b/>
      <w:bCs/>
      <w:color w:val="2E74B5" w:themeColor="accent1" w:themeShade="BF"/>
      <w:sz w:val="28"/>
      <w:szCs w:val="28"/>
      <w:lang w:val="en-US"/>
    </w:rPr>
  </w:style>
  <w:style w:type="character" w:customStyle="1" w:styleId="Titre2Car">
    <w:name w:val="Titre 2 Car"/>
    <w:basedOn w:val="Policepardfaut"/>
    <w:link w:val="Titre2"/>
    <w:uiPriority w:val="9"/>
    <w:rsid w:val="00C50CEC"/>
    <w:rPr>
      <w:rFonts w:asciiTheme="majorHAnsi" w:eastAsiaTheme="majorEastAsia" w:hAnsiTheme="majorHAnsi" w:cstheme="majorBidi"/>
      <w:b/>
      <w:bCs/>
      <w:color w:val="5B9BD5" w:themeColor="accent1"/>
      <w:sz w:val="26"/>
      <w:szCs w:val="26"/>
      <w:lang w:val="en-US"/>
    </w:rPr>
  </w:style>
  <w:style w:type="character" w:customStyle="1" w:styleId="Titre3Car">
    <w:name w:val="Titre 3 Car"/>
    <w:basedOn w:val="Policepardfaut"/>
    <w:link w:val="Titre3"/>
    <w:uiPriority w:val="9"/>
    <w:rsid w:val="000169FE"/>
    <w:rPr>
      <w:rFonts w:asciiTheme="majorHAnsi" w:eastAsiaTheme="majorEastAsia" w:hAnsiTheme="majorHAnsi" w:cstheme="majorBidi"/>
      <w:b/>
      <w:bCs/>
      <w:color w:val="5B9BD5" w:themeColor="accent1"/>
      <w:szCs w:val="24"/>
      <w:lang w:val="en-US"/>
    </w:rPr>
  </w:style>
  <w:style w:type="paragraph" w:styleId="Paragraphedeliste">
    <w:name w:val="List Paragraph"/>
    <w:aliases w:val="heading 2"/>
    <w:basedOn w:val="Normal"/>
    <w:link w:val="ParagraphedelisteCar"/>
    <w:uiPriority w:val="34"/>
    <w:qFormat/>
    <w:rsid w:val="00CD731C"/>
    <w:pPr>
      <w:ind w:left="720"/>
      <w:contextualSpacing/>
    </w:pPr>
  </w:style>
  <w:style w:type="character" w:customStyle="1" w:styleId="ParagraphedelisteCar">
    <w:name w:val="Paragraphe de liste Car"/>
    <w:aliases w:val="heading 2 Car"/>
    <w:basedOn w:val="Policepardfaut"/>
    <w:link w:val="Paragraphedeliste"/>
    <w:uiPriority w:val="34"/>
    <w:locked/>
    <w:rsid w:val="00CD731C"/>
    <w:rPr>
      <w:lang w:val="en-US"/>
    </w:rPr>
  </w:style>
  <w:style w:type="paragraph" w:styleId="Pieddepage">
    <w:name w:val="footer"/>
    <w:basedOn w:val="Normal"/>
    <w:link w:val="PieddepageCar"/>
    <w:uiPriority w:val="99"/>
    <w:unhideWhenUsed/>
    <w:rsid w:val="00536E18"/>
    <w:pPr>
      <w:tabs>
        <w:tab w:val="center" w:pos="4680"/>
        <w:tab w:val="right" w:pos="9360"/>
      </w:tabs>
    </w:pPr>
  </w:style>
  <w:style w:type="character" w:customStyle="1" w:styleId="PieddepageCar">
    <w:name w:val="Pied de page Car"/>
    <w:basedOn w:val="Policepardfaut"/>
    <w:link w:val="Pieddepage"/>
    <w:uiPriority w:val="99"/>
    <w:rsid w:val="00536E18"/>
    <w:rPr>
      <w:lang w:val="en-US"/>
    </w:rPr>
  </w:style>
  <w:style w:type="paragraph" w:styleId="Notedebasdepage">
    <w:name w:val="footnote text"/>
    <w:aliases w:val="Footnote Text Char,Footnote Text Char1 Char,Footnote Text Char Char Char1,Footnote Text Char1 Char Char Char1,Footnote Text Char1 Char1 Char,Footnote Text Char Char Char Char,Footnote Text Char1 Char Char Char Char,FOOTNOTES,fn,ADB,f"/>
    <w:basedOn w:val="Normal"/>
    <w:link w:val="NotedebasdepageCar"/>
    <w:uiPriority w:val="99"/>
    <w:unhideWhenUsed/>
    <w:qFormat/>
    <w:rsid w:val="00536E18"/>
    <w:rPr>
      <w:rFonts w:eastAsiaTheme="minorEastAsia"/>
      <w:sz w:val="20"/>
      <w:szCs w:val="20"/>
      <w:lang w:val="en-GB" w:eastAsia="zh-CN"/>
    </w:rPr>
  </w:style>
  <w:style w:type="character" w:customStyle="1" w:styleId="NotedebasdepageCar">
    <w:name w:val="Note de bas de page Car"/>
    <w:aliases w:val="Footnote Text Char Car,Footnote Text Char1 Char Car,Footnote Text Char Char Char1 Car,Footnote Text Char1 Char Char Char1 Car,Footnote Text Char1 Char1 Char Car,Footnote Text Char Char Char Char Car,FOOTNOTES Car,fn Car,ADB Car"/>
    <w:basedOn w:val="Policepardfaut"/>
    <w:link w:val="Notedebasdepage"/>
    <w:uiPriority w:val="99"/>
    <w:rsid w:val="00536E18"/>
    <w:rPr>
      <w:rFonts w:eastAsiaTheme="minorEastAsia"/>
      <w:sz w:val="20"/>
      <w:szCs w:val="20"/>
      <w:lang w:val="en-GB" w:eastAsia="zh-CN"/>
    </w:rPr>
  </w:style>
  <w:style w:type="character" w:styleId="Appelnotedebasdep">
    <w:name w:val="footnote reference"/>
    <w:aliases w:val="note bp, Car Car Char Car Char Car Car Char Car Char Char, Car Car Car Car Car Car Car Car Char Car Car Char Car Car Car Char Car Char Char Char,ftref,Car Car Char Car Char Car Car Char Car Char Char,SUPERS,16 Point"/>
    <w:basedOn w:val="Policepardfaut"/>
    <w:link w:val="BVIfnrCarCar1Car"/>
    <w:uiPriority w:val="99"/>
    <w:unhideWhenUsed/>
    <w:rsid w:val="00536E18"/>
    <w:rPr>
      <w:vertAlign w:val="superscript"/>
    </w:rPr>
  </w:style>
  <w:style w:type="paragraph" w:customStyle="1" w:styleId="BVIfnrCarCar1Car">
    <w:name w:val="BVI fnr Car Car1 Car"/>
    <w:aliases w:val="BVI fnr Car Car Car1, BVI fnr Car Car Car Car Car, BVI fnr Car Car Car Car Char Car Car Car Car, BVI fnr Car Car Car Car Char Char Car Car Car"/>
    <w:basedOn w:val="Normal"/>
    <w:link w:val="Appelnotedebasdep"/>
    <w:uiPriority w:val="99"/>
    <w:rsid w:val="00A1753F"/>
    <w:pPr>
      <w:spacing w:line="240" w:lineRule="exact"/>
    </w:pPr>
    <w:rPr>
      <w:vertAlign w:val="superscript"/>
      <w:lang w:val="fr-FR"/>
    </w:rPr>
  </w:style>
  <w:style w:type="character" w:customStyle="1" w:styleId="TextedebullesCar">
    <w:name w:val="Texte de bulles Car"/>
    <w:basedOn w:val="Policepardfaut"/>
    <w:link w:val="Textedebulles"/>
    <w:uiPriority w:val="99"/>
    <w:semiHidden/>
    <w:rsid w:val="00536E18"/>
    <w:rPr>
      <w:rFonts w:ascii="Tahoma" w:hAnsi="Tahoma" w:cs="Tahoma"/>
      <w:sz w:val="16"/>
      <w:szCs w:val="16"/>
      <w:lang w:val="en-US"/>
    </w:rPr>
  </w:style>
  <w:style w:type="paragraph" w:styleId="Textedebulles">
    <w:name w:val="Balloon Text"/>
    <w:basedOn w:val="Normal"/>
    <w:link w:val="TextedebullesCar"/>
    <w:uiPriority w:val="99"/>
    <w:semiHidden/>
    <w:unhideWhenUsed/>
    <w:rsid w:val="00536E18"/>
    <w:rPr>
      <w:rFonts w:ascii="Tahoma" w:hAnsi="Tahoma" w:cs="Tahoma"/>
      <w:sz w:val="16"/>
      <w:szCs w:val="16"/>
    </w:rPr>
  </w:style>
  <w:style w:type="character" w:customStyle="1" w:styleId="T1Car">
    <w:name w:val="T1 Car"/>
    <w:link w:val="T1"/>
    <w:locked/>
    <w:rsid w:val="00536E18"/>
    <w:rPr>
      <w:rFonts w:ascii="Arial Black" w:eastAsia="Times New Roman" w:hAnsi="Arial Black" w:cs="Arial"/>
      <w:b/>
      <w:noProof/>
      <w:color w:val="0000FF"/>
      <w:kern w:val="36"/>
      <w:sz w:val="28"/>
      <w:szCs w:val="26"/>
      <w:lang w:val="fr-BE"/>
    </w:rPr>
  </w:style>
  <w:style w:type="paragraph" w:customStyle="1" w:styleId="T1">
    <w:name w:val="T1"/>
    <w:basedOn w:val="Titre1"/>
    <w:link w:val="T1Car"/>
    <w:qFormat/>
    <w:rsid w:val="00536E18"/>
    <w:pPr>
      <w:keepLines w:val="0"/>
      <w:spacing w:before="0"/>
    </w:pPr>
    <w:rPr>
      <w:rFonts w:ascii="Arial Black" w:eastAsia="Times New Roman" w:hAnsi="Arial Black" w:cs="Arial"/>
      <w:bCs w:val="0"/>
      <w:noProof/>
      <w:color w:val="0000FF"/>
      <w:kern w:val="36"/>
      <w:szCs w:val="26"/>
      <w:lang w:val="fr-BE"/>
    </w:rPr>
  </w:style>
  <w:style w:type="paragraph" w:styleId="Commentaire">
    <w:name w:val="annotation text"/>
    <w:basedOn w:val="Normal"/>
    <w:link w:val="CommentaireCar"/>
    <w:uiPriority w:val="99"/>
    <w:unhideWhenUsed/>
    <w:rsid w:val="00536E18"/>
    <w:rPr>
      <w:rFonts w:eastAsiaTheme="minorEastAsia"/>
      <w:sz w:val="24"/>
      <w:lang w:val="fr-FR" w:eastAsia="fr-FR"/>
    </w:rPr>
  </w:style>
  <w:style w:type="character" w:customStyle="1" w:styleId="CommentaireCar">
    <w:name w:val="Commentaire Car"/>
    <w:basedOn w:val="Policepardfaut"/>
    <w:link w:val="Commentaire"/>
    <w:uiPriority w:val="99"/>
    <w:rsid w:val="00536E18"/>
    <w:rPr>
      <w:rFonts w:eastAsiaTheme="minorEastAsia"/>
      <w:sz w:val="24"/>
      <w:szCs w:val="24"/>
      <w:lang w:eastAsia="fr-FR"/>
    </w:rPr>
  </w:style>
  <w:style w:type="character" w:customStyle="1" w:styleId="ObjetducommentaireCar">
    <w:name w:val="Objet du commentaire Car"/>
    <w:basedOn w:val="CommentaireCar"/>
    <w:link w:val="Objetducommentaire"/>
    <w:uiPriority w:val="99"/>
    <w:semiHidden/>
    <w:rsid w:val="00536E18"/>
    <w:rPr>
      <w:rFonts w:eastAsiaTheme="minorEastAsia"/>
      <w:b/>
      <w:bCs/>
      <w:sz w:val="20"/>
      <w:szCs w:val="20"/>
      <w:lang w:val="en-US" w:eastAsia="fr-FR"/>
    </w:rPr>
  </w:style>
  <w:style w:type="paragraph" w:styleId="Objetducommentaire">
    <w:name w:val="annotation subject"/>
    <w:basedOn w:val="Commentaire"/>
    <w:next w:val="Commentaire"/>
    <w:link w:val="ObjetducommentaireCar"/>
    <w:uiPriority w:val="99"/>
    <w:semiHidden/>
    <w:unhideWhenUsed/>
    <w:rsid w:val="00536E18"/>
    <w:pPr>
      <w:spacing w:after="160"/>
    </w:pPr>
    <w:rPr>
      <w:rFonts w:eastAsiaTheme="minorHAnsi"/>
      <w:b/>
      <w:bCs/>
      <w:sz w:val="20"/>
      <w:szCs w:val="20"/>
      <w:lang w:val="en-US" w:eastAsia="en-US"/>
    </w:rPr>
  </w:style>
  <w:style w:type="character" w:customStyle="1" w:styleId="ExplorateurdedocumentsCar">
    <w:name w:val="Explorateur de documents Car"/>
    <w:basedOn w:val="Policepardfaut"/>
    <w:link w:val="Explorateurdedocuments"/>
    <w:uiPriority w:val="99"/>
    <w:semiHidden/>
    <w:rsid w:val="00536E18"/>
    <w:rPr>
      <w:rFonts w:ascii="Tahoma" w:hAnsi="Tahoma" w:cs="Tahoma"/>
      <w:sz w:val="16"/>
      <w:szCs w:val="16"/>
      <w:lang w:val="en-US"/>
    </w:rPr>
  </w:style>
  <w:style w:type="paragraph" w:styleId="Explorateurdedocuments">
    <w:name w:val="Document Map"/>
    <w:basedOn w:val="Normal"/>
    <w:link w:val="ExplorateurdedocumentsCar"/>
    <w:uiPriority w:val="99"/>
    <w:semiHidden/>
    <w:unhideWhenUsed/>
    <w:rsid w:val="00536E18"/>
    <w:rPr>
      <w:rFonts w:ascii="Tahoma" w:hAnsi="Tahoma" w:cs="Tahoma"/>
      <w:sz w:val="16"/>
      <w:szCs w:val="16"/>
    </w:rPr>
  </w:style>
  <w:style w:type="paragraph" w:styleId="En-tte">
    <w:name w:val="header"/>
    <w:basedOn w:val="Normal"/>
    <w:link w:val="En-tteCar"/>
    <w:uiPriority w:val="99"/>
    <w:unhideWhenUsed/>
    <w:rsid w:val="00536E18"/>
    <w:pPr>
      <w:tabs>
        <w:tab w:val="center" w:pos="4536"/>
        <w:tab w:val="right" w:pos="9072"/>
      </w:tabs>
    </w:pPr>
  </w:style>
  <w:style w:type="character" w:customStyle="1" w:styleId="En-tteCar">
    <w:name w:val="En-tête Car"/>
    <w:basedOn w:val="Policepardfaut"/>
    <w:link w:val="En-tte"/>
    <w:uiPriority w:val="99"/>
    <w:rsid w:val="00536E18"/>
    <w:rPr>
      <w:lang w:val="en-US"/>
    </w:rPr>
  </w:style>
  <w:style w:type="paragraph" w:styleId="Rvision">
    <w:name w:val="Revision"/>
    <w:hidden/>
    <w:uiPriority w:val="99"/>
    <w:semiHidden/>
    <w:rsid w:val="00536E18"/>
    <w:pPr>
      <w:spacing w:after="0" w:line="240" w:lineRule="auto"/>
    </w:pPr>
    <w:rPr>
      <w:lang w:val="en-US"/>
    </w:rPr>
  </w:style>
  <w:style w:type="table" w:styleId="Grilledutableau">
    <w:name w:val="Table Grid"/>
    <w:basedOn w:val="TableauNormal"/>
    <w:uiPriority w:val="59"/>
    <w:rsid w:val="00536E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aliases w:val="heading 1"/>
    <w:basedOn w:val="Normal"/>
    <w:next w:val="Normal"/>
    <w:autoRedefine/>
    <w:uiPriority w:val="39"/>
    <w:unhideWhenUsed/>
    <w:qFormat/>
    <w:rsid w:val="000123EE"/>
    <w:pPr>
      <w:tabs>
        <w:tab w:val="left" w:pos="371"/>
        <w:tab w:val="right" w:leader="dot" w:pos="9629"/>
      </w:tabs>
      <w:spacing w:before="120"/>
    </w:pPr>
    <w:rPr>
      <w:rFonts w:ascii="Cambria" w:eastAsia="MS Mincho" w:hAnsi="Cambria"/>
      <w:b/>
      <w:sz w:val="24"/>
      <w:lang w:val="fr-FR" w:eastAsia="fr-FR"/>
    </w:rPr>
  </w:style>
  <w:style w:type="paragraph" w:customStyle="1" w:styleId="LgendeFigures">
    <w:name w:val="Légende Figures"/>
    <w:basedOn w:val="Lgende"/>
    <w:next w:val="Normal"/>
    <w:qFormat/>
    <w:rsid w:val="004002DA"/>
    <w:pPr>
      <w:keepLines/>
      <w:pBdr>
        <w:bottom w:val="single" w:sz="4" w:space="1" w:color="auto"/>
      </w:pBdr>
      <w:spacing w:before="120" w:after="120"/>
      <w:jc w:val="center"/>
    </w:pPr>
    <w:rPr>
      <w:rFonts w:ascii="Trebuchet MS" w:eastAsia="Times New Roman" w:hAnsi="Trebuchet MS" w:cs="Tahoma"/>
      <w:bCs w:val="0"/>
      <w:color w:val="0000CC"/>
      <w:sz w:val="20"/>
      <w:szCs w:val="20"/>
      <w:lang w:val="fr-FR" w:eastAsia="fr-FR"/>
    </w:rPr>
  </w:style>
  <w:style w:type="paragraph" w:styleId="Lgende">
    <w:name w:val="caption"/>
    <w:basedOn w:val="Normal"/>
    <w:next w:val="Normal"/>
    <w:unhideWhenUsed/>
    <w:qFormat/>
    <w:rsid w:val="00150851"/>
    <w:pPr>
      <w:spacing w:after="200"/>
    </w:pPr>
    <w:rPr>
      <w:b/>
      <w:bCs/>
      <w:color w:val="5B9BD5" w:themeColor="accent1"/>
      <w:szCs w:val="18"/>
    </w:rPr>
  </w:style>
  <w:style w:type="paragraph" w:customStyle="1" w:styleId="PECP">
    <w:name w:val="PECP"/>
    <w:basedOn w:val="Normal"/>
    <w:qFormat/>
    <w:rsid w:val="00105F8F"/>
    <w:pPr>
      <w:spacing w:before="60" w:after="60"/>
    </w:pPr>
    <w:rPr>
      <w:rFonts w:ascii="Arial Narrow" w:eastAsia="Times New Roman" w:hAnsi="Arial Narrow" w:cs="Tahoma"/>
      <w:sz w:val="24"/>
      <w:szCs w:val="20"/>
      <w:lang w:val="fr-FR"/>
    </w:rPr>
  </w:style>
  <w:style w:type="paragraph" w:styleId="Corpsdetexte">
    <w:name w:val="Body Text"/>
    <w:basedOn w:val="Normal"/>
    <w:link w:val="CorpsdetexteCar"/>
    <w:uiPriority w:val="99"/>
    <w:unhideWhenUsed/>
    <w:rsid w:val="00E36E7B"/>
    <w:pPr>
      <w:spacing w:after="120" w:line="276" w:lineRule="auto"/>
    </w:pPr>
    <w:rPr>
      <w:rFonts w:ascii="Calibri" w:eastAsia="Calibri" w:hAnsi="Calibri"/>
      <w:sz w:val="20"/>
      <w:szCs w:val="20"/>
    </w:rPr>
  </w:style>
  <w:style w:type="character" w:customStyle="1" w:styleId="CorpsdetexteCar">
    <w:name w:val="Corps de texte Car"/>
    <w:basedOn w:val="Policepardfaut"/>
    <w:link w:val="Corpsdetexte"/>
    <w:uiPriority w:val="99"/>
    <w:rsid w:val="00E36E7B"/>
    <w:rPr>
      <w:rFonts w:ascii="Calibri" w:eastAsia="Calibri" w:hAnsi="Calibri" w:cs="Times New Roman"/>
      <w:sz w:val="20"/>
      <w:szCs w:val="20"/>
    </w:rPr>
  </w:style>
  <w:style w:type="paragraph" w:customStyle="1" w:styleId="Listecouleur-Accent11">
    <w:name w:val="Liste couleur - Accent 11"/>
    <w:aliases w:val="References"/>
    <w:basedOn w:val="Normal"/>
    <w:qFormat/>
    <w:rsid w:val="00E36E7B"/>
    <w:pPr>
      <w:ind w:left="720"/>
      <w:contextualSpacing/>
    </w:pPr>
    <w:rPr>
      <w:rFonts w:ascii="Times New Roman" w:eastAsia="Times New Roman" w:hAnsi="Times New Roman"/>
      <w:sz w:val="24"/>
      <w:lang w:eastAsia="fr-FR"/>
    </w:rPr>
  </w:style>
  <w:style w:type="paragraph" w:customStyle="1" w:styleId="Sansinterligne1">
    <w:name w:val="Sans interligne1"/>
    <w:link w:val="SansinterligneCar"/>
    <w:uiPriority w:val="1"/>
    <w:qFormat/>
    <w:rsid w:val="00E42950"/>
    <w:pPr>
      <w:spacing w:after="0" w:line="240" w:lineRule="auto"/>
    </w:pPr>
    <w:rPr>
      <w:rFonts w:ascii="Calibri" w:eastAsia="Times New Roman" w:hAnsi="Calibri" w:cs="Times New Roman"/>
    </w:rPr>
  </w:style>
  <w:style w:type="character" w:customStyle="1" w:styleId="SansinterligneCar">
    <w:name w:val="Sans interligne Car"/>
    <w:link w:val="Sansinterligne1"/>
    <w:uiPriority w:val="1"/>
    <w:rsid w:val="00E42950"/>
    <w:rPr>
      <w:rFonts w:ascii="Calibri" w:eastAsia="Times New Roman" w:hAnsi="Calibri" w:cs="Times New Roman"/>
    </w:rPr>
  </w:style>
  <w:style w:type="character" w:styleId="Lienhypertexte">
    <w:name w:val="Hyperlink"/>
    <w:basedOn w:val="Policepardfaut"/>
    <w:uiPriority w:val="99"/>
    <w:unhideWhenUsed/>
    <w:rsid w:val="00AD3A48"/>
    <w:rPr>
      <w:color w:val="0563C1" w:themeColor="hyperlink"/>
      <w:u w:val="single"/>
    </w:rPr>
  </w:style>
  <w:style w:type="paragraph" w:styleId="TM2">
    <w:name w:val="toc 2"/>
    <w:basedOn w:val="Normal"/>
    <w:next w:val="Normal"/>
    <w:autoRedefine/>
    <w:uiPriority w:val="39"/>
    <w:unhideWhenUsed/>
    <w:rsid w:val="00AD3A48"/>
    <w:pPr>
      <w:spacing w:after="100"/>
      <w:ind w:left="220"/>
    </w:pPr>
  </w:style>
  <w:style w:type="paragraph" w:styleId="TM3">
    <w:name w:val="toc 3"/>
    <w:basedOn w:val="Normal"/>
    <w:next w:val="Normal"/>
    <w:autoRedefine/>
    <w:uiPriority w:val="39"/>
    <w:unhideWhenUsed/>
    <w:rsid w:val="004D737E"/>
    <w:pPr>
      <w:spacing w:after="100"/>
      <w:ind w:left="440"/>
    </w:pPr>
  </w:style>
  <w:style w:type="paragraph" w:customStyle="1" w:styleId="Default">
    <w:name w:val="Default"/>
    <w:rsid w:val="00E604C7"/>
    <w:pPr>
      <w:widowControl w:val="0"/>
      <w:autoSpaceDE w:val="0"/>
      <w:autoSpaceDN w:val="0"/>
      <w:adjustRightInd w:val="0"/>
      <w:spacing w:after="0" w:line="240" w:lineRule="auto"/>
    </w:pPr>
    <w:rPr>
      <w:rFonts w:ascii="Andalus" w:eastAsiaTheme="minorEastAsia" w:hAnsi="Andalus" w:cs="Andalus"/>
      <w:color w:val="000000"/>
      <w:sz w:val="24"/>
      <w:szCs w:val="24"/>
      <w:lang w:eastAsia="fr-FR"/>
    </w:rPr>
  </w:style>
  <w:style w:type="paragraph" w:customStyle="1" w:styleId="AP7BULLETFormatCOPIED">
    <w:name w:val="AP7 BULLET Format COPIED"/>
    <w:basedOn w:val="Normal"/>
    <w:qFormat/>
    <w:rsid w:val="00372B0C"/>
    <w:pPr>
      <w:numPr>
        <w:numId w:val="11"/>
      </w:numPr>
      <w:spacing w:before="100" w:beforeAutospacing="1" w:after="120"/>
    </w:pPr>
    <w:rPr>
      <w:rFonts w:ascii="Calibri" w:eastAsia="MS Mincho" w:hAnsi="Calibri"/>
    </w:rPr>
  </w:style>
  <w:style w:type="paragraph" w:styleId="Tabledesillustrations">
    <w:name w:val="table of figures"/>
    <w:basedOn w:val="Normal"/>
    <w:next w:val="Normal"/>
    <w:uiPriority w:val="99"/>
    <w:unhideWhenUsed/>
    <w:rsid w:val="00AF643D"/>
  </w:style>
  <w:style w:type="paragraph" w:customStyle="1" w:styleId="xl63">
    <w:name w:val="xl63"/>
    <w:basedOn w:val="Normal"/>
    <w:rsid w:val="008619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lang w:val="fr-FR" w:eastAsia="fr-FR"/>
    </w:rPr>
  </w:style>
  <w:style w:type="paragraph" w:customStyle="1" w:styleId="xl64">
    <w:name w:val="xl64"/>
    <w:basedOn w:val="Normal"/>
    <w:rsid w:val="00861997"/>
    <w:pPr>
      <w:spacing w:before="100" w:beforeAutospacing="1" w:after="100" w:afterAutospacing="1"/>
      <w:jc w:val="left"/>
    </w:pPr>
    <w:rPr>
      <w:rFonts w:ascii="Times New Roman" w:eastAsia="Times New Roman" w:hAnsi="Times New Roman"/>
      <w:sz w:val="24"/>
      <w:lang w:val="fr-FR" w:eastAsia="fr-FR"/>
    </w:rPr>
  </w:style>
  <w:style w:type="paragraph" w:customStyle="1" w:styleId="xl65">
    <w:name w:val="xl65"/>
    <w:basedOn w:val="Normal"/>
    <w:rsid w:val="008619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66">
    <w:name w:val="xl66"/>
    <w:basedOn w:val="Normal"/>
    <w:rsid w:val="008619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67">
    <w:name w:val="xl67"/>
    <w:basedOn w:val="Normal"/>
    <w:rsid w:val="008619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lang w:val="fr-FR" w:eastAsia="fr-FR"/>
    </w:rPr>
  </w:style>
  <w:style w:type="paragraph" w:customStyle="1" w:styleId="xl68">
    <w:name w:val="xl68"/>
    <w:basedOn w:val="Normal"/>
    <w:rsid w:val="00861997"/>
    <w:pPr>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69">
    <w:name w:val="xl69"/>
    <w:basedOn w:val="Normal"/>
    <w:rsid w:val="0086199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70">
    <w:name w:val="xl70"/>
    <w:basedOn w:val="Normal"/>
    <w:rsid w:val="00861997"/>
    <w:pPr>
      <w:spacing w:before="100" w:beforeAutospacing="1" w:after="100" w:afterAutospacing="1"/>
      <w:jc w:val="left"/>
    </w:pPr>
    <w:rPr>
      <w:rFonts w:ascii="Times New Roman" w:eastAsia="Times New Roman" w:hAnsi="Times New Roman"/>
      <w:sz w:val="24"/>
      <w:lang w:val="fr-FR" w:eastAsia="fr-FR"/>
    </w:rPr>
  </w:style>
  <w:style w:type="paragraph" w:customStyle="1" w:styleId="xl71">
    <w:name w:val="xl71"/>
    <w:basedOn w:val="Normal"/>
    <w:rsid w:val="008619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72">
    <w:name w:val="xl72"/>
    <w:basedOn w:val="Normal"/>
    <w:rsid w:val="008619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73">
    <w:name w:val="xl73"/>
    <w:basedOn w:val="Normal"/>
    <w:rsid w:val="00861997"/>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lang w:val="fr-FR" w:eastAsia="fr-FR"/>
    </w:rPr>
  </w:style>
  <w:style w:type="paragraph" w:customStyle="1" w:styleId="xl74">
    <w:name w:val="xl74"/>
    <w:basedOn w:val="Normal"/>
    <w:rsid w:val="00861997"/>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lang w:val="fr-FR" w:eastAsia="fr-FR"/>
    </w:rPr>
  </w:style>
  <w:style w:type="paragraph" w:customStyle="1" w:styleId="xl75">
    <w:name w:val="xl75"/>
    <w:basedOn w:val="Normal"/>
    <w:rsid w:val="00861997"/>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FF0000"/>
      <w:sz w:val="24"/>
      <w:lang w:val="fr-FR" w:eastAsia="fr-FR"/>
    </w:rPr>
  </w:style>
  <w:style w:type="paragraph" w:customStyle="1" w:styleId="xl76">
    <w:name w:val="xl76"/>
    <w:basedOn w:val="Normal"/>
    <w:rsid w:val="0086199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lang w:val="fr-FR" w:eastAsia="fr-FR"/>
    </w:rPr>
  </w:style>
  <w:style w:type="paragraph" w:customStyle="1" w:styleId="xl77">
    <w:name w:val="xl77"/>
    <w:basedOn w:val="Normal"/>
    <w:rsid w:val="00861997"/>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FF0000"/>
      <w:sz w:val="24"/>
      <w:lang w:val="fr-FR" w:eastAsia="fr-FR"/>
    </w:rPr>
  </w:style>
  <w:style w:type="paragraph" w:customStyle="1" w:styleId="xl78">
    <w:name w:val="xl78"/>
    <w:basedOn w:val="Normal"/>
    <w:rsid w:val="00861997"/>
    <w:pPr>
      <w:shd w:val="clear" w:color="000000" w:fill="FFFFFF"/>
      <w:spacing w:before="100" w:beforeAutospacing="1" w:after="100" w:afterAutospacing="1"/>
      <w:jc w:val="left"/>
    </w:pPr>
    <w:rPr>
      <w:rFonts w:ascii="Times New Roman" w:eastAsia="Times New Roman" w:hAnsi="Times New Roman"/>
      <w:sz w:val="24"/>
      <w:lang w:val="fr-FR" w:eastAsia="fr-FR"/>
    </w:rPr>
  </w:style>
  <w:style w:type="paragraph" w:customStyle="1" w:styleId="xl79">
    <w:name w:val="xl79"/>
    <w:basedOn w:val="Normal"/>
    <w:rsid w:val="008619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80">
    <w:name w:val="xl80"/>
    <w:basedOn w:val="Normal"/>
    <w:rsid w:val="008619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81">
    <w:name w:val="xl81"/>
    <w:basedOn w:val="Normal"/>
    <w:rsid w:val="008619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82">
    <w:name w:val="xl82"/>
    <w:basedOn w:val="Normal"/>
    <w:rsid w:val="008619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83">
    <w:name w:val="xl83"/>
    <w:basedOn w:val="Normal"/>
    <w:rsid w:val="0086199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84">
    <w:name w:val="xl84"/>
    <w:basedOn w:val="Normal"/>
    <w:rsid w:val="0086199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85">
    <w:name w:val="xl85"/>
    <w:basedOn w:val="Normal"/>
    <w:rsid w:val="0086199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86">
    <w:name w:val="xl86"/>
    <w:basedOn w:val="Normal"/>
    <w:rsid w:val="008619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87">
    <w:name w:val="xl87"/>
    <w:basedOn w:val="Normal"/>
    <w:rsid w:val="00861997"/>
    <w:pPr>
      <w:pBdr>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lang w:val="fr-FR" w:eastAsia="fr-FR"/>
    </w:rPr>
  </w:style>
  <w:style w:type="paragraph" w:customStyle="1" w:styleId="xl88">
    <w:name w:val="xl88"/>
    <w:basedOn w:val="Normal"/>
    <w:rsid w:val="008619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89">
    <w:name w:val="xl89"/>
    <w:basedOn w:val="Normal"/>
    <w:rsid w:val="00861997"/>
    <w:pPr>
      <w:pBdr>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90">
    <w:name w:val="xl90"/>
    <w:basedOn w:val="Normal"/>
    <w:rsid w:val="00861997"/>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lang w:val="fr-FR" w:eastAsia="fr-FR"/>
    </w:rPr>
  </w:style>
  <w:style w:type="paragraph" w:customStyle="1" w:styleId="xl91">
    <w:name w:val="xl91"/>
    <w:basedOn w:val="Normal"/>
    <w:rsid w:val="0086199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lang w:val="fr-FR" w:eastAsia="fr-FR"/>
    </w:rPr>
  </w:style>
  <w:style w:type="paragraph" w:customStyle="1" w:styleId="xl92">
    <w:name w:val="xl92"/>
    <w:basedOn w:val="Normal"/>
    <w:rsid w:val="00861997"/>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93">
    <w:name w:val="xl93"/>
    <w:basedOn w:val="Normal"/>
    <w:rsid w:val="00861997"/>
    <w:pPr>
      <w:pBdr>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FF0000"/>
      <w:sz w:val="24"/>
      <w:lang w:val="fr-FR" w:eastAsia="fr-FR"/>
    </w:rPr>
  </w:style>
  <w:style w:type="paragraph" w:customStyle="1" w:styleId="xl94">
    <w:name w:val="xl94"/>
    <w:basedOn w:val="Normal"/>
    <w:rsid w:val="008619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95">
    <w:name w:val="xl95"/>
    <w:basedOn w:val="Normal"/>
    <w:rsid w:val="00861997"/>
    <w:pPr>
      <w:pBdr>
        <w:top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lang w:val="fr-FR" w:eastAsia="fr-FR"/>
    </w:rPr>
  </w:style>
  <w:style w:type="paragraph" w:customStyle="1" w:styleId="xl96">
    <w:name w:val="xl96"/>
    <w:basedOn w:val="Normal"/>
    <w:rsid w:val="00861997"/>
    <w:pPr>
      <w:pBdr>
        <w:top w:val="single" w:sz="4" w:space="0" w:color="auto"/>
        <w:left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97">
    <w:name w:val="xl97"/>
    <w:basedOn w:val="Normal"/>
    <w:rsid w:val="00861997"/>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lang w:val="fr-FR" w:eastAsia="fr-FR"/>
    </w:rPr>
  </w:style>
  <w:style w:type="paragraph" w:customStyle="1" w:styleId="xl98">
    <w:name w:val="xl98"/>
    <w:basedOn w:val="Normal"/>
    <w:rsid w:val="00861997"/>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99">
    <w:name w:val="xl99"/>
    <w:basedOn w:val="Normal"/>
    <w:rsid w:val="0086199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lang w:val="fr-FR" w:eastAsia="fr-FR"/>
    </w:rPr>
  </w:style>
  <w:style w:type="paragraph" w:customStyle="1" w:styleId="xl100">
    <w:name w:val="xl100"/>
    <w:basedOn w:val="Normal"/>
    <w:rsid w:val="0086199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101">
    <w:name w:val="xl101"/>
    <w:basedOn w:val="Normal"/>
    <w:rsid w:val="0086199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02">
    <w:name w:val="xl102"/>
    <w:basedOn w:val="Normal"/>
    <w:rsid w:val="0086199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103">
    <w:name w:val="xl103"/>
    <w:basedOn w:val="Normal"/>
    <w:rsid w:val="0086199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04">
    <w:name w:val="xl104"/>
    <w:basedOn w:val="Normal"/>
    <w:rsid w:val="00861997"/>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left"/>
    </w:pPr>
    <w:rPr>
      <w:rFonts w:ascii="Times New Roman" w:eastAsia="Times New Roman" w:hAnsi="Times New Roman"/>
      <w:sz w:val="24"/>
      <w:lang w:val="fr-FR" w:eastAsia="fr-FR"/>
    </w:rPr>
  </w:style>
  <w:style w:type="paragraph" w:customStyle="1" w:styleId="xl105">
    <w:name w:val="xl105"/>
    <w:basedOn w:val="Normal"/>
    <w:rsid w:val="00861997"/>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lang w:val="fr-FR" w:eastAsia="fr-FR"/>
    </w:rPr>
  </w:style>
  <w:style w:type="paragraph" w:customStyle="1" w:styleId="xl106">
    <w:name w:val="xl106"/>
    <w:basedOn w:val="Normal"/>
    <w:rsid w:val="0086199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107">
    <w:name w:val="xl107"/>
    <w:basedOn w:val="Normal"/>
    <w:rsid w:val="0086199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108">
    <w:name w:val="xl108"/>
    <w:basedOn w:val="Normal"/>
    <w:rsid w:val="00861997"/>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left"/>
      <w:textAlignment w:val="center"/>
    </w:pPr>
    <w:rPr>
      <w:rFonts w:ascii="Times New Roman" w:eastAsia="Times New Roman" w:hAnsi="Times New Roman"/>
      <w:sz w:val="24"/>
      <w:lang w:val="fr-FR" w:eastAsia="fr-FR"/>
    </w:rPr>
  </w:style>
  <w:style w:type="paragraph" w:customStyle="1" w:styleId="xl109">
    <w:name w:val="xl109"/>
    <w:basedOn w:val="Normal"/>
    <w:rsid w:val="0086199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10">
    <w:name w:val="xl110"/>
    <w:basedOn w:val="Normal"/>
    <w:rsid w:val="0086199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11">
    <w:name w:val="xl111"/>
    <w:basedOn w:val="Normal"/>
    <w:rsid w:val="0086199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sz w:val="24"/>
      <w:lang w:val="fr-FR" w:eastAsia="fr-FR"/>
    </w:rPr>
  </w:style>
  <w:style w:type="paragraph" w:customStyle="1" w:styleId="xl112">
    <w:name w:val="xl112"/>
    <w:basedOn w:val="Normal"/>
    <w:rsid w:val="0086199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13">
    <w:name w:val="xl113"/>
    <w:basedOn w:val="Normal"/>
    <w:rsid w:val="00861997"/>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left"/>
    </w:pPr>
    <w:rPr>
      <w:rFonts w:ascii="Times New Roman" w:eastAsia="Times New Roman" w:hAnsi="Times New Roman"/>
      <w:b/>
      <w:bCs/>
      <w:sz w:val="24"/>
      <w:lang w:val="fr-FR" w:eastAsia="fr-FR"/>
    </w:rPr>
  </w:style>
  <w:style w:type="paragraph" w:customStyle="1" w:styleId="xl114">
    <w:name w:val="xl114"/>
    <w:basedOn w:val="Normal"/>
    <w:rsid w:val="00861997"/>
    <w:pPr>
      <w:pBdr>
        <w:top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FF0000"/>
      <w:sz w:val="24"/>
      <w:lang w:val="fr-FR" w:eastAsia="fr-FR"/>
    </w:rPr>
  </w:style>
  <w:style w:type="paragraph" w:customStyle="1" w:styleId="xl115">
    <w:name w:val="xl115"/>
    <w:basedOn w:val="Normal"/>
    <w:rsid w:val="0086199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sz w:val="24"/>
      <w:lang w:val="fr-FR" w:eastAsia="fr-FR"/>
    </w:rPr>
  </w:style>
  <w:style w:type="paragraph" w:customStyle="1" w:styleId="xl116">
    <w:name w:val="xl116"/>
    <w:basedOn w:val="Normal"/>
    <w:rsid w:val="00861997"/>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left"/>
      <w:textAlignment w:val="center"/>
    </w:pPr>
    <w:rPr>
      <w:rFonts w:ascii="Times New Roman" w:eastAsia="Times New Roman" w:hAnsi="Times New Roman"/>
      <w:sz w:val="24"/>
      <w:lang w:val="fr-FR" w:eastAsia="fr-FR"/>
    </w:rPr>
  </w:style>
  <w:style w:type="paragraph" w:customStyle="1" w:styleId="xl117">
    <w:name w:val="xl117"/>
    <w:basedOn w:val="Normal"/>
    <w:rsid w:val="00861997"/>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lang w:val="fr-FR" w:eastAsia="fr-FR"/>
    </w:rPr>
  </w:style>
  <w:style w:type="paragraph" w:customStyle="1" w:styleId="xl118">
    <w:name w:val="xl118"/>
    <w:basedOn w:val="Normal"/>
    <w:rsid w:val="00861997"/>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left"/>
    </w:pPr>
    <w:rPr>
      <w:rFonts w:ascii="Times New Roman" w:eastAsia="Times New Roman" w:hAnsi="Times New Roman"/>
      <w:sz w:val="24"/>
      <w:lang w:val="fr-FR" w:eastAsia="fr-FR"/>
    </w:rPr>
  </w:style>
  <w:style w:type="paragraph" w:customStyle="1" w:styleId="xl119">
    <w:name w:val="xl119"/>
    <w:basedOn w:val="Normal"/>
    <w:rsid w:val="0086199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20">
    <w:name w:val="xl120"/>
    <w:basedOn w:val="Normal"/>
    <w:rsid w:val="00861997"/>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sz w:val="24"/>
      <w:lang w:val="fr-FR" w:eastAsia="fr-FR"/>
    </w:rPr>
  </w:style>
  <w:style w:type="paragraph" w:customStyle="1" w:styleId="xl121">
    <w:name w:val="xl121"/>
    <w:basedOn w:val="Normal"/>
    <w:rsid w:val="00861997"/>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lang w:val="fr-FR" w:eastAsia="fr-FR"/>
    </w:rPr>
  </w:style>
  <w:style w:type="paragraph" w:customStyle="1" w:styleId="xl122">
    <w:name w:val="xl122"/>
    <w:basedOn w:val="Normal"/>
    <w:rsid w:val="00861997"/>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lang w:val="fr-FR" w:eastAsia="fr-FR"/>
    </w:rPr>
  </w:style>
  <w:style w:type="paragraph" w:customStyle="1" w:styleId="xl123">
    <w:name w:val="xl123"/>
    <w:basedOn w:val="Normal"/>
    <w:rsid w:val="0086199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left"/>
    </w:pPr>
    <w:rPr>
      <w:rFonts w:ascii="Times New Roman" w:eastAsia="Times New Roman" w:hAnsi="Times New Roman"/>
      <w:sz w:val="24"/>
      <w:lang w:val="fr-FR" w:eastAsia="fr-FR"/>
    </w:rPr>
  </w:style>
  <w:style w:type="paragraph" w:customStyle="1" w:styleId="xl124">
    <w:name w:val="xl124"/>
    <w:basedOn w:val="Normal"/>
    <w:rsid w:val="0086199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sz w:val="24"/>
      <w:lang w:val="fr-FR" w:eastAsia="fr-FR"/>
    </w:rPr>
  </w:style>
  <w:style w:type="paragraph" w:customStyle="1" w:styleId="xl125">
    <w:name w:val="xl125"/>
    <w:basedOn w:val="Normal"/>
    <w:rsid w:val="0086199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left"/>
    </w:pPr>
    <w:rPr>
      <w:rFonts w:ascii="Times New Roman" w:eastAsia="Times New Roman" w:hAnsi="Times New Roman"/>
      <w:b/>
      <w:bCs/>
      <w:sz w:val="24"/>
      <w:lang w:val="fr-FR" w:eastAsia="fr-FR"/>
    </w:rPr>
  </w:style>
  <w:style w:type="paragraph" w:customStyle="1" w:styleId="xl126">
    <w:name w:val="xl126"/>
    <w:basedOn w:val="Normal"/>
    <w:rsid w:val="00861997"/>
    <w:pPr>
      <w:pBdr>
        <w:left w:val="single" w:sz="4" w:space="0" w:color="auto"/>
        <w:bottom w:val="single" w:sz="8" w:space="0" w:color="auto"/>
        <w:right w:val="single" w:sz="4" w:space="0" w:color="auto"/>
      </w:pBdr>
      <w:shd w:val="clear" w:color="000000" w:fill="F4B084"/>
      <w:spacing w:before="100" w:beforeAutospacing="1" w:after="100" w:afterAutospacing="1"/>
      <w:jc w:val="left"/>
      <w:textAlignment w:val="center"/>
    </w:pPr>
    <w:rPr>
      <w:rFonts w:ascii="Times New Roman" w:eastAsia="Times New Roman" w:hAnsi="Times New Roman"/>
      <w:b/>
      <w:bCs/>
      <w:sz w:val="26"/>
      <w:szCs w:val="26"/>
      <w:lang w:val="fr-FR" w:eastAsia="fr-FR"/>
    </w:rPr>
  </w:style>
  <w:style w:type="paragraph" w:customStyle="1" w:styleId="xl127">
    <w:name w:val="xl127"/>
    <w:basedOn w:val="Normal"/>
    <w:rsid w:val="00861997"/>
    <w:pPr>
      <w:pBdr>
        <w:left w:val="single" w:sz="4" w:space="0" w:color="auto"/>
        <w:bottom w:val="single" w:sz="8" w:space="0" w:color="auto"/>
        <w:right w:val="single" w:sz="8" w:space="0" w:color="auto"/>
      </w:pBdr>
      <w:shd w:val="clear" w:color="000000" w:fill="F4B084"/>
      <w:spacing w:before="100" w:beforeAutospacing="1" w:after="100" w:afterAutospacing="1"/>
      <w:jc w:val="left"/>
      <w:textAlignment w:val="center"/>
    </w:pPr>
    <w:rPr>
      <w:rFonts w:ascii="Times New Roman" w:eastAsia="Times New Roman" w:hAnsi="Times New Roman"/>
      <w:b/>
      <w:bCs/>
      <w:sz w:val="26"/>
      <w:szCs w:val="26"/>
      <w:lang w:val="fr-FR" w:eastAsia="fr-FR"/>
    </w:rPr>
  </w:style>
  <w:style w:type="paragraph" w:customStyle="1" w:styleId="xl128">
    <w:name w:val="xl128"/>
    <w:basedOn w:val="Normal"/>
    <w:rsid w:val="0086199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129">
    <w:name w:val="xl129"/>
    <w:basedOn w:val="Normal"/>
    <w:rsid w:val="0086199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130">
    <w:name w:val="xl130"/>
    <w:basedOn w:val="Normal"/>
    <w:rsid w:val="0086199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4"/>
      <w:lang w:val="fr-FR" w:eastAsia="fr-FR"/>
    </w:rPr>
  </w:style>
  <w:style w:type="paragraph" w:customStyle="1" w:styleId="xl131">
    <w:name w:val="xl131"/>
    <w:basedOn w:val="Normal"/>
    <w:rsid w:val="00861997"/>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lang w:val="fr-FR" w:eastAsia="fr-FR"/>
    </w:rPr>
  </w:style>
  <w:style w:type="paragraph" w:customStyle="1" w:styleId="xl132">
    <w:name w:val="xl132"/>
    <w:basedOn w:val="Normal"/>
    <w:rsid w:val="0086199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left"/>
    </w:pPr>
    <w:rPr>
      <w:rFonts w:ascii="Times New Roman" w:eastAsia="Times New Roman" w:hAnsi="Times New Roman"/>
      <w:sz w:val="24"/>
      <w:lang w:val="fr-FR" w:eastAsia="fr-FR"/>
    </w:rPr>
  </w:style>
  <w:style w:type="paragraph" w:customStyle="1" w:styleId="xl133">
    <w:name w:val="xl133"/>
    <w:basedOn w:val="Normal"/>
    <w:rsid w:val="00861997"/>
    <w:pPr>
      <w:pBdr>
        <w:top w:val="single" w:sz="4" w:space="0" w:color="auto"/>
        <w:left w:val="single" w:sz="4" w:space="0" w:color="auto"/>
        <w:bottom w:val="single" w:sz="4" w:space="0" w:color="auto"/>
        <w:right w:val="single" w:sz="8" w:space="0" w:color="auto"/>
      </w:pBdr>
      <w:shd w:val="clear" w:color="000000" w:fill="A5A5A5"/>
      <w:spacing w:before="100" w:beforeAutospacing="1" w:after="100" w:afterAutospacing="1"/>
      <w:jc w:val="left"/>
    </w:pPr>
    <w:rPr>
      <w:rFonts w:ascii="Times New Roman" w:eastAsia="Times New Roman" w:hAnsi="Times New Roman"/>
      <w:sz w:val="24"/>
      <w:lang w:val="fr-FR" w:eastAsia="fr-FR"/>
    </w:rPr>
  </w:style>
  <w:style w:type="paragraph" w:customStyle="1" w:styleId="xl134">
    <w:name w:val="xl134"/>
    <w:basedOn w:val="Normal"/>
    <w:rsid w:val="00861997"/>
    <w:pPr>
      <w:pBdr>
        <w:top w:val="single" w:sz="8" w:space="0" w:color="auto"/>
        <w:left w:val="single" w:sz="8" w:space="0" w:color="auto"/>
        <w:bottom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b/>
      <w:bCs/>
      <w:sz w:val="26"/>
      <w:szCs w:val="26"/>
      <w:lang w:val="fr-FR" w:eastAsia="fr-FR"/>
    </w:rPr>
  </w:style>
  <w:style w:type="paragraph" w:customStyle="1" w:styleId="xl135">
    <w:name w:val="xl135"/>
    <w:basedOn w:val="Normal"/>
    <w:rsid w:val="00861997"/>
    <w:pPr>
      <w:pBdr>
        <w:top w:val="single" w:sz="8" w:space="0" w:color="auto"/>
        <w:bottom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b/>
      <w:bCs/>
      <w:sz w:val="26"/>
      <w:szCs w:val="26"/>
      <w:lang w:val="fr-FR" w:eastAsia="fr-FR"/>
    </w:rPr>
  </w:style>
  <w:style w:type="paragraph" w:customStyle="1" w:styleId="xl136">
    <w:name w:val="xl136"/>
    <w:basedOn w:val="Normal"/>
    <w:rsid w:val="00861997"/>
    <w:pPr>
      <w:pBdr>
        <w:top w:val="single" w:sz="8" w:space="0" w:color="auto"/>
        <w:bottom w:val="single" w:sz="8" w:space="0" w:color="auto"/>
        <w:right w:val="single" w:sz="4" w:space="0" w:color="auto"/>
      </w:pBdr>
      <w:shd w:val="clear" w:color="000000" w:fill="F4B084"/>
      <w:spacing w:before="100" w:beforeAutospacing="1" w:after="100" w:afterAutospacing="1"/>
      <w:jc w:val="center"/>
      <w:textAlignment w:val="center"/>
    </w:pPr>
    <w:rPr>
      <w:rFonts w:ascii="Times New Roman" w:eastAsia="Times New Roman" w:hAnsi="Times New Roman"/>
      <w:b/>
      <w:bCs/>
      <w:sz w:val="26"/>
      <w:szCs w:val="26"/>
      <w:lang w:val="fr-FR" w:eastAsia="fr-FR"/>
    </w:rPr>
  </w:style>
  <w:style w:type="paragraph" w:customStyle="1" w:styleId="xl137">
    <w:name w:val="xl137"/>
    <w:basedOn w:val="Normal"/>
    <w:rsid w:val="00861997"/>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Times New Roman" w:eastAsia="Times New Roman" w:hAnsi="Times New Roman"/>
      <w:b/>
      <w:bCs/>
      <w:sz w:val="24"/>
      <w:lang w:val="fr-FR" w:eastAsia="fr-FR"/>
    </w:rPr>
  </w:style>
  <w:style w:type="paragraph" w:customStyle="1" w:styleId="xl138">
    <w:name w:val="xl138"/>
    <w:basedOn w:val="Normal"/>
    <w:rsid w:val="00861997"/>
    <w:pPr>
      <w:pBdr>
        <w:top w:val="single" w:sz="8" w:space="0" w:color="auto"/>
        <w:bottom w:val="single" w:sz="8"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b/>
      <w:bCs/>
      <w:sz w:val="24"/>
      <w:lang w:val="fr-FR" w:eastAsia="fr-FR"/>
    </w:rPr>
  </w:style>
  <w:style w:type="paragraph" w:customStyle="1" w:styleId="xl139">
    <w:name w:val="xl139"/>
    <w:basedOn w:val="Normal"/>
    <w:rsid w:val="0086199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40">
    <w:name w:val="xl140"/>
    <w:basedOn w:val="Normal"/>
    <w:rsid w:val="0086199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41">
    <w:name w:val="xl141"/>
    <w:basedOn w:val="Normal"/>
    <w:rsid w:val="00861997"/>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42">
    <w:name w:val="xl142"/>
    <w:basedOn w:val="Normal"/>
    <w:rsid w:val="00861997"/>
    <w:pPr>
      <w:pBdr>
        <w:top w:val="single" w:sz="8" w:space="0" w:color="auto"/>
        <w:left w:val="single" w:sz="8" w:space="0" w:color="auto"/>
        <w:bottom w:val="single" w:sz="8"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43">
    <w:name w:val="xl143"/>
    <w:basedOn w:val="Normal"/>
    <w:rsid w:val="00861997"/>
    <w:pPr>
      <w:pBdr>
        <w:top w:val="single" w:sz="8" w:space="0" w:color="auto"/>
        <w:bottom w:val="single" w:sz="8"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44">
    <w:name w:val="xl144"/>
    <w:basedOn w:val="Normal"/>
    <w:rsid w:val="00861997"/>
    <w:pPr>
      <w:pBdr>
        <w:top w:val="single" w:sz="8" w:space="0" w:color="auto"/>
        <w:bottom w:val="single" w:sz="8" w:space="0" w:color="auto"/>
        <w:right w:val="single" w:sz="8"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45">
    <w:name w:val="xl145"/>
    <w:basedOn w:val="Normal"/>
    <w:rsid w:val="00861997"/>
    <w:pPr>
      <w:pBdr>
        <w:left w:val="single" w:sz="8" w:space="0" w:color="auto"/>
        <w:bottom w:val="single" w:sz="4"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46">
    <w:name w:val="xl146"/>
    <w:basedOn w:val="Normal"/>
    <w:rsid w:val="00861997"/>
    <w:pPr>
      <w:pBdr>
        <w:bottom w:val="single" w:sz="4"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47">
    <w:name w:val="xl147"/>
    <w:basedOn w:val="Normal"/>
    <w:rsid w:val="00861997"/>
    <w:pPr>
      <w:pBdr>
        <w:bottom w:val="single" w:sz="4" w:space="0" w:color="auto"/>
        <w:right w:val="single" w:sz="8"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48">
    <w:name w:val="xl148"/>
    <w:basedOn w:val="Normal"/>
    <w:rsid w:val="00861997"/>
    <w:pPr>
      <w:spacing w:before="100" w:beforeAutospacing="1" w:after="100" w:afterAutospacing="1"/>
      <w:jc w:val="center"/>
    </w:pPr>
    <w:rPr>
      <w:rFonts w:ascii="Times New Roman" w:eastAsia="Times New Roman" w:hAnsi="Times New Roman"/>
      <w:b/>
      <w:bCs/>
      <w:sz w:val="32"/>
      <w:szCs w:val="32"/>
      <w:lang w:val="fr-FR" w:eastAsia="fr-FR"/>
    </w:rPr>
  </w:style>
  <w:style w:type="paragraph" w:customStyle="1" w:styleId="xl149">
    <w:name w:val="xl149"/>
    <w:basedOn w:val="Normal"/>
    <w:rsid w:val="00861997"/>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Times New Roman" w:eastAsia="Times New Roman" w:hAnsi="Times New Roman"/>
      <w:b/>
      <w:bCs/>
      <w:sz w:val="24"/>
      <w:lang w:val="fr-FR" w:eastAsia="fr-FR"/>
    </w:rPr>
  </w:style>
  <w:style w:type="paragraph" w:customStyle="1" w:styleId="xl150">
    <w:name w:val="xl150"/>
    <w:basedOn w:val="Normal"/>
    <w:rsid w:val="00861997"/>
    <w:pPr>
      <w:pBdr>
        <w:top w:val="single" w:sz="8" w:space="0" w:color="auto"/>
        <w:bottom w:val="single" w:sz="8"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b/>
      <w:bCs/>
      <w:sz w:val="24"/>
      <w:lang w:val="fr-FR" w:eastAsia="fr-FR"/>
    </w:rPr>
  </w:style>
  <w:style w:type="paragraph" w:customStyle="1" w:styleId="xl151">
    <w:name w:val="xl151"/>
    <w:basedOn w:val="Normal"/>
    <w:rsid w:val="00861997"/>
    <w:pPr>
      <w:pBdr>
        <w:top w:val="single" w:sz="4" w:space="0" w:color="auto"/>
        <w:left w:val="single" w:sz="8" w:space="0" w:color="auto"/>
        <w:bottom w:val="single" w:sz="4" w:space="0" w:color="auto"/>
      </w:pBdr>
      <w:shd w:val="clear" w:color="000000" w:fill="FFFF00"/>
      <w:spacing w:before="100" w:beforeAutospacing="1" w:after="100" w:afterAutospacing="1"/>
      <w:jc w:val="right"/>
      <w:textAlignment w:val="center"/>
    </w:pPr>
    <w:rPr>
      <w:rFonts w:ascii="Times New Roman" w:eastAsia="Times New Roman" w:hAnsi="Times New Roman"/>
      <w:b/>
      <w:bCs/>
      <w:sz w:val="24"/>
      <w:lang w:val="fr-FR" w:eastAsia="fr-FR"/>
    </w:rPr>
  </w:style>
  <w:style w:type="paragraph" w:customStyle="1" w:styleId="xl152">
    <w:name w:val="xl152"/>
    <w:basedOn w:val="Normal"/>
    <w:rsid w:val="00861997"/>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b/>
      <w:bCs/>
      <w:sz w:val="24"/>
      <w:lang w:val="fr-FR" w:eastAsia="fr-FR"/>
    </w:rPr>
  </w:style>
  <w:style w:type="paragraph" w:customStyle="1" w:styleId="xl153">
    <w:name w:val="xl153"/>
    <w:basedOn w:val="Normal"/>
    <w:rsid w:val="00861997"/>
    <w:pPr>
      <w:pBdr>
        <w:top w:val="single" w:sz="4" w:space="0" w:color="auto"/>
        <w:left w:val="single" w:sz="8" w:space="0" w:color="auto"/>
        <w:bottom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54">
    <w:name w:val="xl154"/>
    <w:basedOn w:val="Normal"/>
    <w:rsid w:val="00861997"/>
    <w:pPr>
      <w:pBdr>
        <w:top w:val="single" w:sz="4" w:space="0" w:color="auto"/>
        <w:bottom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55">
    <w:name w:val="xl155"/>
    <w:basedOn w:val="Normal"/>
    <w:rsid w:val="00861997"/>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56">
    <w:name w:val="xl156"/>
    <w:basedOn w:val="Normal"/>
    <w:rsid w:val="00861997"/>
    <w:pPr>
      <w:pBdr>
        <w:top w:val="single" w:sz="8" w:space="0" w:color="auto"/>
        <w:left w:val="single" w:sz="8" w:space="0" w:color="auto"/>
        <w:bottom w:val="single" w:sz="8" w:space="0" w:color="auto"/>
      </w:pBdr>
      <w:shd w:val="clear" w:color="000000" w:fill="00B0F0"/>
      <w:spacing w:before="100" w:beforeAutospacing="1" w:after="100" w:afterAutospacing="1"/>
      <w:jc w:val="left"/>
      <w:textAlignment w:val="center"/>
    </w:pPr>
    <w:rPr>
      <w:rFonts w:ascii="Times New Roman" w:eastAsia="Times New Roman" w:hAnsi="Times New Roman"/>
      <w:b/>
      <w:bCs/>
      <w:sz w:val="28"/>
      <w:szCs w:val="28"/>
      <w:lang w:val="fr-FR" w:eastAsia="fr-FR"/>
    </w:rPr>
  </w:style>
  <w:style w:type="paragraph" w:customStyle="1" w:styleId="xl157">
    <w:name w:val="xl157"/>
    <w:basedOn w:val="Normal"/>
    <w:rsid w:val="00861997"/>
    <w:pPr>
      <w:pBdr>
        <w:top w:val="single" w:sz="8" w:space="0" w:color="auto"/>
        <w:bottom w:val="single" w:sz="8" w:space="0" w:color="auto"/>
      </w:pBdr>
      <w:shd w:val="clear" w:color="000000" w:fill="00B0F0"/>
      <w:spacing w:before="100" w:beforeAutospacing="1" w:after="100" w:afterAutospacing="1"/>
      <w:jc w:val="left"/>
      <w:textAlignment w:val="center"/>
    </w:pPr>
    <w:rPr>
      <w:rFonts w:ascii="Times New Roman" w:eastAsia="Times New Roman" w:hAnsi="Times New Roman"/>
      <w:b/>
      <w:bCs/>
      <w:sz w:val="28"/>
      <w:szCs w:val="28"/>
      <w:lang w:val="fr-FR" w:eastAsia="fr-FR"/>
    </w:rPr>
  </w:style>
  <w:style w:type="paragraph" w:customStyle="1" w:styleId="xl158">
    <w:name w:val="xl158"/>
    <w:basedOn w:val="Normal"/>
    <w:rsid w:val="00861997"/>
    <w:pPr>
      <w:pBdr>
        <w:top w:val="single" w:sz="8" w:space="0" w:color="auto"/>
        <w:bottom w:val="single" w:sz="8" w:space="0" w:color="auto"/>
        <w:right w:val="single" w:sz="8" w:space="0" w:color="auto"/>
      </w:pBdr>
      <w:shd w:val="clear" w:color="000000" w:fill="00B0F0"/>
      <w:spacing w:before="100" w:beforeAutospacing="1" w:after="100" w:afterAutospacing="1"/>
      <w:jc w:val="left"/>
      <w:textAlignment w:val="center"/>
    </w:pPr>
    <w:rPr>
      <w:rFonts w:ascii="Times New Roman" w:eastAsia="Times New Roman" w:hAnsi="Times New Roman"/>
      <w:b/>
      <w:bCs/>
      <w:sz w:val="28"/>
      <w:szCs w:val="28"/>
      <w:lang w:val="fr-FR" w:eastAsia="fr-FR"/>
    </w:rPr>
  </w:style>
  <w:style w:type="paragraph" w:customStyle="1" w:styleId="xl159">
    <w:name w:val="xl159"/>
    <w:basedOn w:val="Normal"/>
    <w:rsid w:val="00861997"/>
    <w:pPr>
      <w:pBdr>
        <w:top w:val="single" w:sz="4" w:space="0" w:color="auto"/>
        <w:left w:val="single" w:sz="8" w:space="0" w:color="auto"/>
        <w:bottom w:val="single" w:sz="4"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60">
    <w:name w:val="xl160"/>
    <w:basedOn w:val="Normal"/>
    <w:rsid w:val="00861997"/>
    <w:pPr>
      <w:pBdr>
        <w:top w:val="single" w:sz="4" w:space="0" w:color="auto"/>
        <w:bottom w:val="single" w:sz="4"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61">
    <w:name w:val="xl161"/>
    <w:basedOn w:val="Normal"/>
    <w:rsid w:val="00861997"/>
    <w:pPr>
      <w:pBdr>
        <w:top w:val="single" w:sz="4" w:space="0" w:color="auto"/>
        <w:bottom w:val="single" w:sz="4" w:space="0" w:color="auto"/>
        <w:right w:val="single" w:sz="8"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62">
    <w:name w:val="xl162"/>
    <w:basedOn w:val="Normal"/>
    <w:rsid w:val="00861997"/>
    <w:pPr>
      <w:pBdr>
        <w:left w:val="single" w:sz="8" w:space="0" w:color="auto"/>
        <w:bottom w:val="single" w:sz="4"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63">
    <w:name w:val="xl163"/>
    <w:basedOn w:val="Normal"/>
    <w:rsid w:val="00861997"/>
    <w:pPr>
      <w:pBdr>
        <w:bottom w:val="single" w:sz="4"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64">
    <w:name w:val="xl164"/>
    <w:basedOn w:val="Normal"/>
    <w:rsid w:val="00861997"/>
    <w:pPr>
      <w:pBdr>
        <w:bottom w:val="single" w:sz="4" w:space="0" w:color="auto"/>
        <w:right w:val="single" w:sz="8"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65">
    <w:name w:val="xl165"/>
    <w:basedOn w:val="Normal"/>
    <w:rsid w:val="00861997"/>
    <w:pPr>
      <w:pBdr>
        <w:top w:val="single" w:sz="4" w:space="0" w:color="auto"/>
        <w:left w:val="single" w:sz="8" w:space="0" w:color="auto"/>
        <w:bottom w:val="single" w:sz="4" w:space="0" w:color="auto"/>
      </w:pBdr>
      <w:shd w:val="clear" w:color="000000" w:fill="00B0F0"/>
      <w:spacing w:before="100" w:beforeAutospacing="1" w:after="100" w:afterAutospacing="1"/>
      <w:jc w:val="left"/>
      <w:textAlignment w:val="center"/>
    </w:pPr>
    <w:rPr>
      <w:rFonts w:ascii="Times New Roman" w:eastAsia="Times New Roman" w:hAnsi="Times New Roman"/>
      <w:b/>
      <w:bCs/>
      <w:sz w:val="28"/>
      <w:szCs w:val="28"/>
      <w:lang w:val="fr-FR" w:eastAsia="fr-FR"/>
    </w:rPr>
  </w:style>
  <w:style w:type="paragraph" w:customStyle="1" w:styleId="xl166">
    <w:name w:val="xl166"/>
    <w:basedOn w:val="Normal"/>
    <w:rsid w:val="00861997"/>
    <w:pPr>
      <w:pBdr>
        <w:top w:val="single" w:sz="4" w:space="0" w:color="auto"/>
        <w:bottom w:val="single" w:sz="4" w:space="0" w:color="auto"/>
      </w:pBdr>
      <w:shd w:val="clear" w:color="000000" w:fill="00B0F0"/>
      <w:spacing w:before="100" w:beforeAutospacing="1" w:after="100" w:afterAutospacing="1"/>
      <w:jc w:val="left"/>
      <w:textAlignment w:val="center"/>
    </w:pPr>
    <w:rPr>
      <w:rFonts w:ascii="Times New Roman" w:eastAsia="Times New Roman" w:hAnsi="Times New Roman"/>
      <w:b/>
      <w:bCs/>
      <w:sz w:val="28"/>
      <w:szCs w:val="28"/>
      <w:lang w:val="fr-FR" w:eastAsia="fr-FR"/>
    </w:rPr>
  </w:style>
  <w:style w:type="paragraph" w:customStyle="1" w:styleId="xl167">
    <w:name w:val="xl167"/>
    <w:basedOn w:val="Normal"/>
    <w:rsid w:val="00861997"/>
    <w:pPr>
      <w:pBdr>
        <w:top w:val="single" w:sz="4" w:space="0" w:color="auto"/>
        <w:bottom w:val="single" w:sz="4" w:space="0" w:color="auto"/>
        <w:right w:val="single" w:sz="8" w:space="0" w:color="auto"/>
      </w:pBdr>
      <w:shd w:val="clear" w:color="000000" w:fill="00B0F0"/>
      <w:spacing w:before="100" w:beforeAutospacing="1" w:after="100" w:afterAutospacing="1"/>
      <w:jc w:val="left"/>
      <w:textAlignment w:val="center"/>
    </w:pPr>
    <w:rPr>
      <w:rFonts w:ascii="Times New Roman" w:eastAsia="Times New Roman" w:hAnsi="Times New Roman"/>
      <w:b/>
      <w:bCs/>
      <w:sz w:val="28"/>
      <w:szCs w:val="28"/>
      <w:lang w:val="fr-FR" w:eastAsia="fr-FR"/>
    </w:rPr>
  </w:style>
  <w:style w:type="paragraph" w:customStyle="1" w:styleId="xl168">
    <w:name w:val="xl168"/>
    <w:basedOn w:val="Normal"/>
    <w:rsid w:val="00861997"/>
    <w:pPr>
      <w:pBdr>
        <w:top w:val="single" w:sz="4" w:space="0" w:color="auto"/>
        <w:left w:val="single" w:sz="8" w:space="0" w:color="auto"/>
        <w:bottom w:val="single" w:sz="4" w:space="0" w:color="auto"/>
      </w:pBdr>
      <w:shd w:val="clear" w:color="000000" w:fill="92D050"/>
      <w:spacing w:before="100" w:beforeAutospacing="1" w:after="100" w:afterAutospacing="1"/>
      <w:jc w:val="left"/>
    </w:pPr>
    <w:rPr>
      <w:rFonts w:ascii="Times New Roman" w:eastAsia="Times New Roman" w:hAnsi="Times New Roman"/>
      <w:b/>
      <w:bCs/>
      <w:sz w:val="24"/>
      <w:lang w:val="fr-FR" w:eastAsia="fr-FR"/>
    </w:rPr>
  </w:style>
  <w:style w:type="paragraph" w:customStyle="1" w:styleId="xl169">
    <w:name w:val="xl169"/>
    <w:basedOn w:val="Normal"/>
    <w:rsid w:val="00861997"/>
    <w:pPr>
      <w:pBdr>
        <w:top w:val="single" w:sz="4" w:space="0" w:color="auto"/>
        <w:bottom w:val="single" w:sz="4" w:space="0" w:color="auto"/>
      </w:pBdr>
      <w:shd w:val="clear" w:color="000000" w:fill="92D050"/>
      <w:spacing w:before="100" w:beforeAutospacing="1" w:after="100" w:afterAutospacing="1"/>
      <w:jc w:val="left"/>
    </w:pPr>
    <w:rPr>
      <w:rFonts w:ascii="Times New Roman" w:eastAsia="Times New Roman" w:hAnsi="Times New Roman"/>
      <w:b/>
      <w:bCs/>
      <w:sz w:val="24"/>
      <w:lang w:val="fr-FR" w:eastAsia="fr-FR"/>
    </w:rPr>
  </w:style>
  <w:style w:type="paragraph" w:customStyle="1" w:styleId="xl170">
    <w:name w:val="xl170"/>
    <w:basedOn w:val="Normal"/>
    <w:rsid w:val="00861997"/>
    <w:pPr>
      <w:pBdr>
        <w:top w:val="single" w:sz="4" w:space="0" w:color="auto"/>
        <w:bottom w:val="single" w:sz="4" w:space="0" w:color="auto"/>
        <w:right w:val="single" w:sz="8" w:space="0" w:color="auto"/>
      </w:pBdr>
      <w:shd w:val="clear" w:color="000000" w:fill="92D050"/>
      <w:spacing w:before="100" w:beforeAutospacing="1" w:after="100" w:afterAutospacing="1"/>
      <w:jc w:val="left"/>
    </w:pPr>
    <w:rPr>
      <w:rFonts w:ascii="Times New Roman" w:eastAsia="Times New Roman" w:hAnsi="Times New Roman"/>
      <w:b/>
      <w:bCs/>
      <w:sz w:val="24"/>
      <w:lang w:val="fr-FR" w:eastAsia="fr-FR"/>
    </w:rPr>
  </w:style>
  <w:style w:type="paragraph" w:customStyle="1" w:styleId="xl171">
    <w:name w:val="xl171"/>
    <w:basedOn w:val="Normal"/>
    <w:rsid w:val="00861997"/>
    <w:pPr>
      <w:pBdr>
        <w:left w:val="single" w:sz="8" w:space="0" w:color="auto"/>
        <w:bottom w:val="single" w:sz="4"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72">
    <w:name w:val="xl172"/>
    <w:basedOn w:val="Normal"/>
    <w:rsid w:val="00861997"/>
    <w:pPr>
      <w:pBdr>
        <w:bottom w:val="single" w:sz="4"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73">
    <w:name w:val="xl173"/>
    <w:basedOn w:val="Normal"/>
    <w:rsid w:val="00861997"/>
    <w:pPr>
      <w:pBdr>
        <w:bottom w:val="single" w:sz="4" w:space="0" w:color="auto"/>
        <w:right w:val="single" w:sz="8"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74">
    <w:name w:val="xl174"/>
    <w:basedOn w:val="Normal"/>
    <w:rsid w:val="00861997"/>
    <w:pPr>
      <w:pBdr>
        <w:top w:val="single" w:sz="8" w:space="0" w:color="auto"/>
        <w:left w:val="single" w:sz="8" w:space="0" w:color="auto"/>
        <w:bottom w:val="single" w:sz="8"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75">
    <w:name w:val="xl175"/>
    <w:basedOn w:val="Normal"/>
    <w:rsid w:val="00861997"/>
    <w:pPr>
      <w:pBdr>
        <w:top w:val="single" w:sz="8" w:space="0" w:color="auto"/>
        <w:bottom w:val="single" w:sz="8"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76">
    <w:name w:val="xl176"/>
    <w:basedOn w:val="Normal"/>
    <w:rsid w:val="00861997"/>
    <w:pPr>
      <w:pBdr>
        <w:top w:val="single" w:sz="8" w:space="0" w:color="auto"/>
        <w:bottom w:val="single" w:sz="8" w:space="0" w:color="auto"/>
        <w:right w:val="single" w:sz="8" w:space="0" w:color="auto"/>
      </w:pBdr>
      <w:shd w:val="clear" w:color="000000" w:fill="92D050"/>
      <w:spacing w:before="100" w:beforeAutospacing="1" w:after="100" w:afterAutospacing="1"/>
      <w:jc w:val="left"/>
      <w:textAlignment w:val="center"/>
    </w:pPr>
    <w:rPr>
      <w:rFonts w:ascii="Times New Roman" w:eastAsia="Times New Roman" w:hAnsi="Times New Roman"/>
      <w:b/>
      <w:bCs/>
      <w:sz w:val="24"/>
      <w:lang w:val="fr-FR" w:eastAsia="fr-FR"/>
    </w:rPr>
  </w:style>
  <w:style w:type="paragraph" w:customStyle="1" w:styleId="xl177">
    <w:name w:val="xl177"/>
    <w:basedOn w:val="Normal"/>
    <w:rsid w:val="00861997"/>
    <w:pPr>
      <w:pBdr>
        <w:top w:val="single" w:sz="8" w:space="0" w:color="auto"/>
        <w:left w:val="single" w:sz="4" w:space="0" w:color="auto"/>
        <w:bottom w:val="single" w:sz="4" w:space="0" w:color="auto"/>
      </w:pBdr>
      <w:shd w:val="clear" w:color="000000" w:fill="DDEBF7"/>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78">
    <w:name w:val="xl178"/>
    <w:basedOn w:val="Normal"/>
    <w:rsid w:val="00861997"/>
    <w:pPr>
      <w:pBdr>
        <w:top w:val="single" w:sz="8" w:space="0" w:color="auto"/>
        <w:bottom w:val="single" w:sz="4" w:space="0" w:color="auto"/>
      </w:pBdr>
      <w:shd w:val="clear" w:color="000000" w:fill="DDEBF7"/>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79">
    <w:name w:val="xl179"/>
    <w:basedOn w:val="Normal"/>
    <w:rsid w:val="00861997"/>
    <w:pPr>
      <w:pBdr>
        <w:top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80">
    <w:name w:val="xl180"/>
    <w:basedOn w:val="Normal"/>
    <w:rsid w:val="00861997"/>
    <w:pPr>
      <w:pBdr>
        <w:top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81">
    <w:name w:val="xl181"/>
    <w:basedOn w:val="Normal"/>
    <w:rsid w:val="00861997"/>
    <w:pPr>
      <w:pBdr>
        <w:top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82">
    <w:name w:val="xl182"/>
    <w:basedOn w:val="Normal"/>
    <w:rsid w:val="00861997"/>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83">
    <w:name w:val="xl183"/>
    <w:basedOn w:val="Normal"/>
    <w:rsid w:val="00861997"/>
    <w:pPr>
      <w:pBdr>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84">
    <w:name w:val="xl184"/>
    <w:basedOn w:val="Normal"/>
    <w:rsid w:val="00861997"/>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85">
    <w:name w:val="xl185"/>
    <w:basedOn w:val="Normal"/>
    <w:rsid w:val="00861997"/>
    <w:pPr>
      <w:pBdr>
        <w:top w:val="single" w:sz="4" w:space="0" w:color="auto"/>
        <w:left w:val="single" w:sz="4"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86">
    <w:name w:val="xl186"/>
    <w:basedOn w:val="Normal"/>
    <w:rsid w:val="00861997"/>
    <w:pPr>
      <w:pBdr>
        <w:top w:val="single" w:sz="8"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b/>
      <w:bCs/>
      <w:sz w:val="24"/>
      <w:lang w:val="fr-FR" w:eastAsia="fr-FR"/>
    </w:rPr>
  </w:style>
  <w:style w:type="paragraph" w:customStyle="1" w:styleId="xl187">
    <w:name w:val="xl187"/>
    <w:basedOn w:val="Normal"/>
    <w:rsid w:val="00861997"/>
    <w:pPr>
      <w:pBdr>
        <w:top w:val="single" w:sz="4" w:space="0" w:color="auto"/>
        <w:left w:val="single" w:sz="8" w:space="0" w:color="auto"/>
        <w:bottom w:val="single" w:sz="8"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b/>
      <w:bCs/>
      <w:sz w:val="24"/>
      <w:lang w:val="fr-FR" w:eastAsia="fr-FR"/>
    </w:rPr>
  </w:style>
</w:styles>
</file>

<file path=word/webSettings.xml><?xml version="1.0" encoding="utf-8"?>
<w:webSettings xmlns:r="http://schemas.openxmlformats.org/officeDocument/2006/relationships" xmlns:w="http://schemas.openxmlformats.org/wordprocessingml/2006/main">
  <w:divs>
    <w:div w:id="32773040">
      <w:bodyDiv w:val="1"/>
      <w:marLeft w:val="0"/>
      <w:marRight w:val="0"/>
      <w:marTop w:val="0"/>
      <w:marBottom w:val="0"/>
      <w:divBdr>
        <w:top w:val="none" w:sz="0" w:space="0" w:color="auto"/>
        <w:left w:val="none" w:sz="0" w:space="0" w:color="auto"/>
        <w:bottom w:val="none" w:sz="0" w:space="0" w:color="auto"/>
        <w:right w:val="none" w:sz="0" w:space="0" w:color="auto"/>
      </w:divBdr>
    </w:div>
    <w:div w:id="75634072">
      <w:bodyDiv w:val="1"/>
      <w:marLeft w:val="0"/>
      <w:marRight w:val="0"/>
      <w:marTop w:val="0"/>
      <w:marBottom w:val="0"/>
      <w:divBdr>
        <w:top w:val="none" w:sz="0" w:space="0" w:color="auto"/>
        <w:left w:val="none" w:sz="0" w:space="0" w:color="auto"/>
        <w:bottom w:val="none" w:sz="0" w:space="0" w:color="auto"/>
        <w:right w:val="none" w:sz="0" w:space="0" w:color="auto"/>
      </w:divBdr>
    </w:div>
    <w:div w:id="214778572">
      <w:bodyDiv w:val="1"/>
      <w:marLeft w:val="0"/>
      <w:marRight w:val="0"/>
      <w:marTop w:val="0"/>
      <w:marBottom w:val="0"/>
      <w:divBdr>
        <w:top w:val="none" w:sz="0" w:space="0" w:color="auto"/>
        <w:left w:val="none" w:sz="0" w:space="0" w:color="auto"/>
        <w:bottom w:val="none" w:sz="0" w:space="0" w:color="auto"/>
        <w:right w:val="none" w:sz="0" w:space="0" w:color="auto"/>
      </w:divBdr>
    </w:div>
    <w:div w:id="445386789">
      <w:bodyDiv w:val="1"/>
      <w:marLeft w:val="0"/>
      <w:marRight w:val="0"/>
      <w:marTop w:val="0"/>
      <w:marBottom w:val="0"/>
      <w:divBdr>
        <w:top w:val="none" w:sz="0" w:space="0" w:color="auto"/>
        <w:left w:val="none" w:sz="0" w:space="0" w:color="auto"/>
        <w:bottom w:val="none" w:sz="0" w:space="0" w:color="auto"/>
        <w:right w:val="none" w:sz="0" w:space="0" w:color="auto"/>
      </w:divBdr>
    </w:div>
    <w:div w:id="618990901">
      <w:bodyDiv w:val="1"/>
      <w:marLeft w:val="0"/>
      <w:marRight w:val="0"/>
      <w:marTop w:val="0"/>
      <w:marBottom w:val="0"/>
      <w:divBdr>
        <w:top w:val="none" w:sz="0" w:space="0" w:color="auto"/>
        <w:left w:val="none" w:sz="0" w:space="0" w:color="auto"/>
        <w:bottom w:val="none" w:sz="0" w:space="0" w:color="auto"/>
        <w:right w:val="none" w:sz="0" w:space="0" w:color="auto"/>
      </w:divBdr>
    </w:div>
    <w:div w:id="666595364">
      <w:bodyDiv w:val="1"/>
      <w:marLeft w:val="0"/>
      <w:marRight w:val="0"/>
      <w:marTop w:val="0"/>
      <w:marBottom w:val="0"/>
      <w:divBdr>
        <w:top w:val="none" w:sz="0" w:space="0" w:color="auto"/>
        <w:left w:val="none" w:sz="0" w:space="0" w:color="auto"/>
        <w:bottom w:val="none" w:sz="0" w:space="0" w:color="auto"/>
        <w:right w:val="none" w:sz="0" w:space="0" w:color="auto"/>
      </w:divBdr>
    </w:div>
    <w:div w:id="701126409">
      <w:bodyDiv w:val="1"/>
      <w:marLeft w:val="0"/>
      <w:marRight w:val="0"/>
      <w:marTop w:val="0"/>
      <w:marBottom w:val="0"/>
      <w:divBdr>
        <w:top w:val="none" w:sz="0" w:space="0" w:color="auto"/>
        <w:left w:val="none" w:sz="0" w:space="0" w:color="auto"/>
        <w:bottom w:val="none" w:sz="0" w:space="0" w:color="auto"/>
        <w:right w:val="none" w:sz="0" w:space="0" w:color="auto"/>
      </w:divBdr>
    </w:div>
    <w:div w:id="712927346">
      <w:bodyDiv w:val="1"/>
      <w:marLeft w:val="0"/>
      <w:marRight w:val="0"/>
      <w:marTop w:val="0"/>
      <w:marBottom w:val="0"/>
      <w:divBdr>
        <w:top w:val="none" w:sz="0" w:space="0" w:color="auto"/>
        <w:left w:val="none" w:sz="0" w:space="0" w:color="auto"/>
        <w:bottom w:val="none" w:sz="0" w:space="0" w:color="auto"/>
        <w:right w:val="none" w:sz="0" w:space="0" w:color="auto"/>
      </w:divBdr>
    </w:div>
    <w:div w:id="760640232">
      <w:bodyDiv w:val="1"/>
      <w:marLeft w:val="0"/>
      <w:marRight w:val="0"/>
      <w:marTop w:val="0"/>
      <w:marBottom w:val="0"/>
      <w:divBdr>
        <w:top w:val="none" w:sz="0" w:space="0" w:color="auto"/>
        <w:left w:val="none" w:sz="0" w:space="0" w:color="auto"/>
        <w:bottom w:val="none" w:sz="0" w:space="0" w:color="auto"/>
        <w:right w:val="none" w:sz="0" w:space="0" w:color="auto"/>
      </w:divBdr>
    </w:div>
    <w:div w:id="801927288">
      <w:bodyDiv w:val="1"/>
      <w:marLeft w:val="0"/>
      <w:marRight w:val="0"/>
      <w:marTop w:val="0"/>
      <w:marBottom w:val="0"/>
      <w:divBdr>
        <w:top w:val="none" w:sz="0" w:space="0" w:color="auto"/>
        <w:left w:val="none" w:sz="0" w:space="0" w:color="auto"/>
        <w:bottom w:val="none" w:sz="0" w:space="0" w:color="auto"/>
        <w:right w:val="none" w:sz="0" w:space="0" w:color="auto"/>
      </w:divBdr>
    </w:div>
    <w:div w:id="900557710">
      <w:bodyDiv w:val="1"/>
      <w:marLeft w:val="0"/>
      <w:marRight w:val="0"/>
      <w:marTop w:val="0"/>
      <w:marBottom w:val="0"/>
      <w:divBdr>
        <w:top w:val="none" w:sz="0" w:space="0" w:color="auto"/>
        <w:left w:val="none" w:sz="0" w:space="0" w:color="auto"/>
        <w:bottom w:val="none" w:sz="0" w:space="0" w:color="auto"/>
        <w:right w:val="none" w:sz="0" w:space="0" w:color="auto"/>
      </w:divBdr>
    </w:div>
    <w:div w:id="944384196">
      <w:bodyDiv w:val="1"/>
      <w:marLeft w:val="0"/>
      <w:marRight w:val="0"/>
      <w:marTop w:val="0"/>
      <w:marBottom w:val="0"/>
      <w:divBdr>
        <w:top w:val="none" w:sz="0" w:space="0" w:color="auto"/>
        <w:left w:val="none" w:sz="0" w:space="0" w:color="auto"/>
        <w:bottom w:val="none" w:sz="0" w:space="0" w:color="auto"/>
        <w:right w:val="none" w:sz="0" w:space="0" w:color="auto"/>
      </w:divBdr>
    </w:div>
    <w:div w:id="1014304641">
      <w:bodyDiv w:val="1"/>
      <w:marLeft w:val="0"/>
      <w:marRight w:val="0"/>
      <w:marTop w:val="0"/>
      <w:marBottom w:val="0"/>
      <w:divBdr>
        <w:top w:val="none" w:sz="0" w:space="0" w:color="auto"/>
        <w:left w:val="none" w:sz="0" w:space="0" w:color="auto"/>
        <w:bottom w:val="none" w:sz="0" w:space="0" w:color="auto"/>
        <w:right w:val="none" w:sz="0" w:space="0" w:color="auto"/>
      </w:divBdr>
    </w:div>
    <w:div w:id="1022782923">
      <w:bodyDiv w:val="1"/>
      <w:marLeft w:val="0"/>
      <w:marRight w:val="0"/>
      <w:marTop w:val="0"/>
      <w:marBottom w:val="0"/>
      <w:divBdr>
        <w:top w:val="none" w:sz="0" w:space="0" w:color="auto"/>
        <w:left w:val="none" w:sz="0" w:space="0" w:color="auto"/>
        <w:bottom w:val="none" w:sz="0" w:space="0" w:color="auto"/>
        <w:right w:val="none" w:sz="0" w:space="0" w:color="auto"/>
      </w:divBdr>
    </w:div>
    <w:div w:id="1026295565">
      <w:bodyDiv w:val="1"/>
      <w:marLeft w:val="0"/>
      <w:marRight w:val="0"/>
      <w:marTop w:val="0"/>
      <w:marBottom w:val="0"/>
      <w:divBdr>
        <w:top w:val="none" w:sz="0" w:space="0" w:color="auto"/>
        <w:left w:val="none" w:sz="0" w:space="0" w:color="auto"/>
        <w:bottom w:val="none" w:sz="0" w:space="0" w:color="auto"/>
        <w:right w:val="none" w:sz="0" w:space="0" w:color="auto"/>
      </w:divBdr>
    </w:div>
    <w:div w:id="1038358778">
      <w:bodyDiv w:val="1"/>
      <w:marLeft w:val="0"/>
      <w:marRight w:val="0"/>
      <w:marTop w:val="0"/>
      <w:marBottom w:val="0"/>
      <w:divBdr>
        <w:top w:val="none" w:sz="0" w:space="0" w:color="auto"/>
        <w:left w:val="none" w:sz="0" w:space="0" w:color="auto"/>
        <w:bottom w:val="none" w:sz="0" w:space="0" w:color="auto"/>
        <w:right w:val="none" w:sz="0" w:space="0" w:color="auto"/>
      </w:divBdr>
    </w:div>
    <w:div w:id="1056123142">
      <w:bodyDiv w:val="1"/>
      <w:marLeft w:val="0"/>
      <w:marRight w:val="0"/>
      <w:marTop w:val="0"/>
      <w:marBottom w:val="0"/>
      <w:divBdr>
        <w:top w:val="none" w:sz="0" w:space="0" w:color="auto"/>
        <w:left w:val="none" w:sz="0" w:space="0" w:color="auto"/>
        <w:bottom w:val="none" w:sz="0" w:space="0" w:color="auto"/>
        <w:right w:val="none" w:sz="0" w:space="0" w:color="auto"/>
      </w:divBdr>
    </w:div>
    <w:div w:id="1317413559">
      <w:bodyDiv w:val="1"/>
      <w:marLeft w:val="0"/>
      <w:marRight w:val="0"/>
      <w:marTop w:val="0"/>
      <w:marBottom w:val="0"/>
      <w:divBdr>
        <w:top w:val="none" w:sz="0" w:space="0" w:color="auto"/>
        <w:left w:val="none" w:sz="0" w:space="0" w:color="auto"/>
        <w:bottom w:val="none" w:sz="0" w:space="0" w:color="auto"/>
        <w:right w:val="none" w:sz="0" w:space="0" w:color="auto"/>
      </w:divBdr>
    </w:div>
    <w:div w:id="1504469889">
      <w:bodyDiv w:val="1"/>
      <w:marLeft w:val="0"/>
      <w:marRight w:val="0"/>
      <w:marTop w:val="0"/>
      <w:marBottom w:val="0"/>
      <w:divBdr>
        <w:top w:val="none" w:sz="0" w:space="0" w:color="auto"/>
        <w:left w:val="none" w:sz="0" w:space="0" w:color="auto"/>
        <w:bottom w:val="none" w:sz="0" w:space="0" w:color="auto"/>
        <w:right w:val="none" w:sz="0" w:space="0" w:color="auto"/>
      </w:divBdr>
    </w:div>
    <w:div w:id="1744453281">
      <w:bodyDiv w:val="1"/>
      <w:marLeft w:val="0"/>
      <w:marRight w:val="0"/>
      <w:marTop w:val="0"/>
      <w:marBottom w:val="0"/>
      <w:divBdr>
        <w:top w:val="none" w:sz="0" w:space="0" w:color="auto"/>
        <w:left w:val="none" w:sz="0" w:space="0" w:color="auto"/>
        <w:bottom w:val="none" w:sz="0" w:space="0" w:color="auto"/>
        <w:right w:val="none" w:sz="0" w:space="0" w:color="auto"/>
      </w:divBdr>
    </w:div>
    <w:div w:id="18896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www.unaids.org/sites/default/files/media_asset/90-90-90_fr.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apps.who.int/iris/bitstream/10665/186275/1/9789241509565_eng.pdf?ua=1"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5.xml"/><Relationship Id="rId32"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image" Target="media/image5.gi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4.gif"/><Relationship Id="rId30" Type="http://schemas.openxmlformats.org/officeDocument/2006/relationships/footer" Target="footer13.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Bakup%20BKeu\BKeugoung\Perso\Basile\Basile\Guin&#233;e%20VIH\Atelier\Modelisation%20des%20cibles_%20plan%20Guin&#233;e%20PNLS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Bakup%20BKeu\BKeugoung\Perso\Basile\Basile\Guin&#233;e%20VIH\Atelier\Modelisation%20des%20cibles_%20plan%20Guin&#233;e%20PNLS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Bakup%20BKeu\BKeugoung\Perso\Basile\Basile\Guin&#233;e%20VIH\Atelier\Modelisation%20des%20cibles_%20plan%20Guin&#233;e%20PNLS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Bakup%20BKeu\BKeugoung\Perso\Basile\Basile\Guin&#233;e%20VIH\Atelier\Modelisation%20des%20cibles_%20plan%20Guin&#233;e%20PNLS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Bakup%20BKeu\BKeugoung\Perso\Basile\Basile\Guin&#233;e%20VIH\Atelier\Modelisation%20des%20cibles_%20plan%20Guin&#233;e%20PNLS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Bakup%20BKeu\BKeugoung\Perso\Basile\Basile\Guin&#233;e%20VIH\Atelier\Modelisation%20des%20cibles_%20plan%20Guin&#233;e%20PNLS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434920800462855"/>
          <c:y val="9.3911456014861797E-2"/>
          <c:w val="0.85628382668731395"/>
          <c:h val="0.77728081354145639"/>
        </c:manualLayout>
      </c:layout>
      <c:lineChart>
        <c:grouping val="standard"/>
        <c:ser>
          <c:idx val="0"/>
          <c:order val="0"/>
          <c:dLbls>
            <c:dLbl>
              <c:idx val="0"/>
              <c:layout>
                <c:manualLayout>
                  <c:x val="-3.3313783709166295E-2"/>
                  <c:y val="-4.64052213547329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E1F-42D6-86C6-8E035249EA26}"/>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E1F-42D6-86C6-8E035249EA26}"/>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E1F-42D6-86C6-8E035249EA26}"/>
                </c:ext>
              </c:extLst>
            </c:dLbl>
            <c:dLbl>
              <c:idx val="3"/>
              <c:layout>
                <c:manualLayout>
                  <c:x val="-2.7761430483441304E-2"/>
                  <c:y val="-3.98601826631749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E1F-42D6-86C6-8E035249EA26}"/>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E1F-42D6-86C6-8E035249EA26}"/>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E1F-42D6-86C6-8E035249EA26}"/>
                </c:ext>
              </c:extLst>
            </c:dLbl>
            <c:dLbl>
              <c:idx val="6"/>
              <c:layout>
                <c:manualLayout>
                  <c:x val="-3.4689372437717136E-2"/>
                  <c:y val="-4.99722376457525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E1F-42D6-86C6-8E035249EA26}"/>
                </c:ext>
              </c:extLst>
            </c:dLbl>
            <c:dLbl>
              <c:idx val="7"/>
              <c:layout>
                <c:manualLayout>
                  <c:x val="-2.7761486424305294E-2"/>
                  <c:y val="-5.56862656256793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E1F-42D6-86C6-8E035249EA26}"/>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E1F-42D6-86C6-8E035249EA26}"/>
                </c:ext>
              </c:extLst>
            </c:dLbl>
            <c:dLbl>
              <c:idx val="9"/>
              <c:layout>
                <c:manualLayout>
                  <c:x val="-2.220918913944421E-2"/>
                  <c:y val="-6.03267877611527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E1F-42D6-86C6-8E035249EA26}"/>
                </c:ext>
              </c:extLst>
            </c:dLbl>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numRef>
              <c:f>'Nouvelles infections'!$M$5:$V$5</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'Nouvelles infections'!$M$6:$V$6</c:f>
              <c:numCache>
                <c:formatCode>General</c:formatCode>
                <c:ptCount val="10"/>
                <c:pt idx="0">
                  <c:v>2005</c:v>
                </c:pt>
                <c:pt idx="1">
                  <c:v>1916</c:v>
                </c:pt>
                <c:pt idx="2">
                  <c:v>1407</c:v>
                </c:pt>
                <c:pt idx="3">
                  <c:v>1356</c:v>
                </c:pt>
                <c:pt idx="4">
                  <c:v>1305</c:v>
                </c:pt>
                <c:pt idx="5">
                  <c:v>1249</c:v>
                </c:pt>
                <c:pt idx="6">
                  <c:v>1186</c:v>
                </c:pt>
                <c:pt idx="7">
                  <c:v>1124</c:v>
                </c:pt>
                <c:pt idx="8">
                  <c:v>1063</c:v>
                </c:pt>
                <c:pt idx="9">
                  <c:v>1002</c:v>
                </c:pt>
              </c:numCache>
            </c:numRef>
          </c:val>
          <c:extLst xmlns:c16r2="http://schemas.microsoft.com/office/drawing/2015/06/chart">
            <c:ext xmlns:c16="http://schemas.microsoft.com/office/drawing/2014/chart" uri="{C3380CC4-5D6E-409C-BE32-E72D297353CC}">
              <c16:uniqueId val="{0000000A-DE1F-42D6-86C6-8E035249EA26}"/>
            </c:ext>
          </c:extLst>
        </c:ser>
        <c:marker val="1"/>
        <c:axId val="76636160"/>
        <c:axId val="76638080"/>
      </c:lineChart>
      <c:catAx>
        <c:axId val="76636160"/>
        <c:scaling>
          <c:orientation val="minMax"/>
        </c:scaling>
        <c:axPos val="b"/>
        <c:title>
          <c:tx>
            <c:rich>
              <a:bodyPr/>
              <a:lstStyle/>
              <a:p>
                <a:pPr>
                  <a:defRPr/>
                </a:pPr>
                <a:r>
                  <a:rPr lang="en-US"/>
                  <a:t>Année</a:t>
                </a:r>
              </a:p>
            </c:rich>
          </c:tx>
          <c:layout>
            <c:manualLayout>
              <c:xMode val="edge"/>
              <c:yMode val="edge"/>
              <c:x val="0.89301861789830672"/>
              <c:y val="0.93280602290532943"/>
            </c:manualLayout>
          </c:layout>
        </c:title>
        <c:numFmt formatCode="General" sourceLinked="1"/>
        <c:tickLblPos val="nextTo"/>
        <c:txPr>
          <a:bodyPr/>
          <a:lstStyle/>
          <a:p>
            <a:pPr>
              <a:defRPr sz="900"/>
            </a:pPr>
            <a:endParaRPr lang="fr-FR"/>
          </a:p>
        </c:txPr>
        <c:crossAx val="76638080"/>
        <c:crosses val="autoZero"/>
        <c:auto val="1"/>
        <c:lblAlgn val="ctr"/>
        <c:lblOffset val="100"/>
      </c:catAx>
      <c:valAx>
        <c:axId val="76638080"/>
        <c:scaling>
          <c:orientation val="minMax"/>
        </c:scaling>
        <c:axPos val="l"/>
        <c:majorGridlines/>
        <c:title>
          <c:tx>
            <c:rich>
              <a:bodyPr rot="0" vert="horz"/>
              <a:lstStyle/>
              <a:p>
                <a:pPr>
                  <a:defRPr/>
                </a:pPr>
                <a:r>
                  <a:rPr lang="en-US"/>
                  <a:t>Nombre</a:t>
                </a:r>
              </a:p>
            </c:rich>
          </c:tx>
          <c:layout>
            <c:manualLayout>
              <c:xMode val="edge"/>
              <c:yMode val="edge"/>
              <c:x val="1.9329198018470745E-2"/>
              <c:y val="2.2620514987939325E-3"/>
            </c:manualLayout>
          </c:layout>
        </c:title>
        <c:numFmt formatCode="General" sourceLinked="1"/>
        <c:minorTickMark val="out"/>
        <c:tickLblPos val="nextTo"/>
        <c:txPr>
          <a:bodyPr/>
          <a:lstStyle/>
          <a:p>
            <a:pPr>
              <a:defRPr sz="900"/>
            </a:pPr>
            <a:endParaRPr lang="fr-FR"/>
          </a:p>
        </c:txPr>
        <c:crossAx val="7663616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287729658792651"/>
          <c:y val="0.10173260257361509"/>
          <c:w val="0.86656714785651756"/>
          <c:h val="0.71080359635896573"/>
        </c:manualLayout>
      </c:layout>
      <c:lineChart>
        <c:grouping val="standard"/>
        <c:ser>
          <c:idx val="1"/>
          <c:order val="0"/>
          <c:dLbls>
            <c:dLbl>
              <c:idx val="7"/>
              <c:layout>
                <c:manualLayout>
                  <c:x val="-6.6958442694663056E-2"/>
                  <c:y val="-6.065981335666375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21F-4FC0-85FA-EE758F4ACF79}"/>
                </c:ext>
              </c:extLst>
            </c:dLbl>
            <c:dLbl>
              <c:idx val="10"/>
              <c:layout>
                <c:manualLayout>
                  <c:x val="-4.0486657917760412E-2"/>
                  <c:y val="-3.688964411363480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21F-4FC0-85FA-EE758F4ACF79}"/>
                </c:ext>
              </c:extLst>
            </c:dLbl>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'Sites PTME'!$M$6:$M$16</c:f>
              <c:numCache>
                <c:formatCode>General</c:formatCode>
                <c:ptCount val="11"/>
                <c:pt idx="0">
                  <c:v>2004</c:v>
                </c:pt>
                <c:pt idx="1">
                  <c:v>2007</c:v>
                </c:pt>
                <c:pt idx="2">
                  <c:v>2008</c:v>
                </c:pt>
                <c:pt idx="3">
                  <c:v>2009</c:v>
                </c:pt>
                <c:pt idx="4">
                  <c:v>2010</c:v>
                </c:pt>
                <c:pt idx="5">
                  <c:v>2011</c:v>
                </c:pt>
                <c:pt idx="6">
                  <c:v>2012</c:v>
                </c:pt>
                <c:pt idx="7">
                  <c:v>2013</c:v>
                </c:pt>
                <c:pt idx="8">
                  <c:v>2014</c:v>
                </c:pt>
                <c:pt idx="9">
                  <c:v>2015</c:v>
                </c:pt>
                <c:pt idx="10">
                  <c:v>2006</c:v>
                </c:pt>
              </c:numCache>
            </c:numRef>
          </c:cat>
          <c:val>
            <c:numRef>
              <c:f>'Sites PTME'!$N$6:$N$16</c:f>
              <c:numCache>
                <c:formatCode>General</c:formatCode>
                <c:ptCount val="11"/>
                <c:pt idx="0">
                  <c:v>7</c:v>
                </c:pt>
                <c:pt idx="1">
                  <c:v>44</c:v>
                </c:pt>
                <c:pt idx="2">
                  <c:v>62</c:v>
                </c:pt>
                <c:pt idx="3">
                  <c:v>83</c:v>
                </c:pt>
                <c:pt idx="4">
                  <c:v>83</c:v>
                </c:pt>
                <c:pt idx="5">
                  <c:v>89</c:v>
                </c:pt>
                <c:pt idx="6">
                  <c:v>89</c:v>
                </c:pt>
                <c:pt idx="7">
                  <c:v>131</c:v>
                </c:pt>
                <c:pt idx="8">
                  <c:v>262</c:v>
                </c:pt>
                <c:pt idx="9">
                  <c:v>297</c:v>
                </c:pt>
                <c:pt idx="10">
                  <c:v>323</c:v>
                </c:pt>
              </c:numCache>
            </c:numRef>
          </c:val>
          <c:extLst xmlns:c16r2="http://schemas.microsoft.com/office/drawing/2015/06/chart">
            <c:ext xmlns:c16="http://schemas.microsoft.com/office/drawing/2014/chart" uri="{C3380CC4-5D6E-409C-BE32-E72D297353CC}">
              <c16:uniqueId val="{00000002-D21F-4FC0-85FA-EE758F4ACF79}"/>
            </c:ext>
          </c:extLst>
        </c:ser>
        <c:marker val="1"/>
        <c:axId val="76681984"/>
        <c:axId val="76683904"/>
      </c:lineChart>
      <c:catAx>
        <c:axId val="76681984"/>
        <c:scaling>
          <c:orientation val="minMax"/>
        </c:scaling>
        <c:axPos val="b"/>
        <c:title>
          <c:tx>
            <c:rich>
              <a:bodyPr/>
              <a:lstStyle/>
              <a:p>
                <a:pPr algn="ctr">
                  <a:defRPr/>
                </a:pPr>
                <a:r>
                  <a:rPr lang="en-US"/>
                  <a:t>Année</a:t>
                </a:r>
              </a:p>
            </c:rich>
          </c:tx>
          <c:layout>
            <c:manualLayout>
              <c:xMode val="edge"/>
              <c:yMode val="edge"/>
              <c:x val="0.88218853893263061"/>
              <c:y val="0.90190460235023862"/>
            </c:manualLayout>
          </c:layout>
        </c:title>
        <c:numFmt formatCode="General" sourceLinked="1"/>
        <c:tickLblPos val="nextTo"/>
        <c:txPr>
          <a:bodyPr/>
          <a:lstStyle/>
          <a:p>
            <a:pPr>
              <a:spcAft>
                <a:spcPts val="600"/>
              </a:spcAft>
              <a:defRPr/>
            </a:pPr>
            <a:endParaRPr lang="fr-FR"/>
          </a:p>
        </c:txPr>
        <c:crossAx val="76683904"/>
        <c:crosses val="autoZero"/>
        <c:auto val="1"/>
        <c:lblAlgn val="ctr"/>
        <c:lblOffset val="100"/>
      </c:catAx>
      <c:valAx>
        <c:axId val="76683904"/>
        <c:scaling>
          <c:orientation val="minMax"/>
        </c:scaling>
        <c:axPos val="l"/>
        <c:majorGridlines/>
        <c:title>
          <c:tx>
            <c:rich>
              <a:bodyPr rot="0" vert="horz"/>
              <a:lstStyle/>
              <a:p>
                <a:pPr>
                  <a:defRPr/>
                </a:pPr>
                <a:r>
                  <a:rPr lang="en-US"/>
                  <a:t>Nombre</a:t>
                </a:r>
              </a:p>
            </c:rich>
          </c:tx>
          <c:layout>
            <c:manualLayout>
              <c:xMode val="edge"/>
              <c:yMode val="edge"/>
              <c:x val="1.1111111111111125E-2"/>
              <c:y val="8.8970793544424567E-3"/>
            </c:manualLayout>
          </c:layout>
        </c:title>
        <c:numFmt formatCode="General" sourceLinked="1"/>
        <c:tickLblPos val="nextTo"/>
        <c:crossAx val="7668198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7.4036546368970904E-2"/>
          <c:y val="3.5618165595305611E-2"/>
          <c:w val="0.92384924476978281"/>
          <c:h val="0.86706401439842973"/>
        </c:manualLayout>
      </c:layout>
      <c:barChart>
        <c:barDir val="col"/>
        <c:grouping val="clustered"/>
        <c:ser>
          <c:idx val="0"/>
          <c:order val="0"/>
          <c:spPr>
            <a:solidFill>
              <a:schemeClr val="accent1"/>
            </a:solidFill>
            <a:ln>
              <a:noFill/>
            </a:ln>
            <a:effectLst/>
          </c:spPr>
          <c:dLbls>
            <c:dLbl>
              <c:idx val="0"/>
              <c:tx>
                <c:rich>
                  <a:bodyPr/>
                  <a:lstStyle/>
                  <a:p>
                    <a:r>
                      <a:rPr lang="en-US"/>
                      <a:t>ND</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496-4BD2-B9BD-AC66B196C52D}"/>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'Niveau de base'!$C$40:$C$41</c:f>
              <c:strCache>
                <c:ptCount val="2"/>
                <c:pt idx="0">
                  <c:v>Nombre d'enfants sous ARV</c:v>
                </c:pt>
                <c:pt idx="1">
                  <c:v>Nombre d'adultes sous ARV</c:v>
                </c:pt>
              </c:strCache>
            </c:strRef>
          </c:cat>
          <c:val>
            <c:numRef>
              <c:f>'Niveau de base'!$D$40:$D$41</c:f>
              <c:numCache>
                <c:formatCode>General</c:formatCode>
                <c:ptCount val="2"/>
                <c:pt idx="0">
                  <c:v>0</c:v>
                </c:pt>
                <c:pt idx="1">
                  <c:v>9104</c:v>
                </c:pt>
              </c:numCache>
            </c:numRef>
          </c:val>
          <c:extLst xmlns:c16r2="http://schemas.microsoft.com/office/drawing/2015/06/chart">
            <c:ext xmlns:c16="http://schemas.microsoft.com/office/drawing/2014/chart" uri="{C3380CC4-5D6E-409C-BE32-E72D297353CC}">
              <c16:uniqueId val="{00000000-11A4-4929-9B1C-8283667805B6}"/>
            </c:ext>
          </c:extLst>
        </c:ser>
        <c:ser>
          <c:idx val="1"/>
          <c:order val="1"/>
          <c:spPr>
            <a:solidFill>
              <a:schemeClr val="accent2"/>
            </a:solidFill>
            <a:ln>
              <a:noFill/>
            </a:ln>
            <a:effectLst/>
          </c:spPr>
          <c:dLbls>
            <c:dLbl>
              <c:idx val="0"/>
              <c:tx>
                <c:rich>
                  <a:bodyPr/>
                  <a:lstStyle/>
                  <a:p>
                    <a:r>
                      <a:rPr lang="en-US"/>
                      <a:t>ND</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496-4BD2-B9BD-AC66B196C52D}"/>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'Niveau de base'!$C$40:$C$43</c:f>
              <c:strCache>
                <c:ptCount val="2"/>
                <c:pt idx="0">
                  <c:v>Nombre d'enfants sous ARV</c:v>
                </c:pt>
                <c:pt idx="1">
                  <c:v>Nombre d'adultes sous ARV</c:v>
                </c:pt>
              </c:strCache>
            </c:strRef>
          </c:cat>
          <c:val>
            <c:numRef>
              <c:f>'Niveau de base'!$E$40:$E$41</c:f>
              <c:numCache>
                <c:formatCode>General</c:formatCode>
                <c:ptCount val="2"/>
                <c:pt idx="0">
                  <c:v>0</c:v>
                </c:pt>
                <c:pt idx="1">
                  <c:v>15153</c:v>
                </c:pt>
              </c:numCache>
            </c:numRef>
          </c:val>
          <c:extLst xmlns:c16r2="http://schemas.microsoft.com/office/drawing/2015/06/chart">
            <c:ext xmlns:c16="http://schemas.microsoft.com/office/drawing/2014/chart" uri="{C3380CC4-5D6E-409C-BE32-E72D297353CC}">
              <c16:uniqueId val="{00000001-11A4-4929-9B1C-8283667805B6}"/>
            </c:ext>
          </c:extLst>
        </c:ser>
        <c:ser>
          <c:idx val="2"/>
          <c:order val="2"/>
          <c:spPr>
            <a:solidFill>
              <a:schemeClr val="accent3"/>
            </a:solidFill>
            <a:ln>
              <a:noFill/>
            </a:ln>
            <a:effectLst/>
          </c:spPr>
          <c:dLbls>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'Niveau de base'!$C$40:$C$43</c:f>
              <c:strCache>
                <c:ptCount val="2"/>
                <c:pt idx="0">
                  <c:v>Nombre d'enfants sous ARV</c:v>
                </c:pt>
                <c:pt idx="1">
                  <c:v>Nombre d'adultes sous ARV</c:v>
                </c:pt>
              </c:strCache>
            </c:strRef>
          </c:cat>
          <c:val>
            <c:numRef>
              <c:f>'Niveau de base'!$F$40:$F$41</c:f>
              <c:numCache>
                <c:formatCode>General</c:formatCode>
                <c:ptCount val="2"/>
                <c:pt idx="0">
                  <c:v>697</c:v>
                </c:pt>
                <c:pt idx="1">
                  <c:v>19738</c:v>
                </c:pt>
              </c:numCache>
            </c:numRef>
          </c:val>
          <c:extLst xmlns:c16r2="http://schemas.microsoft.com/office/drawing/2015/06/chart">
            <c:ext xmlns:c16="http://schemas.microsoft.com/office/drawing/2014/chart" uri="{C3380CC4-5D6E-409C-BE32-E72D297353CC}">
              <c16:uniqueId val="{00000002-11A4-4929-9B1C-8283667805B6}"/>
            </c:ext>
          </c:extLst>
        </c:ser>
        <c:ser>
          <c:idx val="3"/>
          <c:order val="3"/>
          <c:spPr>
            <a:solidFill>
              <a:schemeClr val="accent4"/>
            </a:solidFill>
            <a:ln>
              <a:noFill/>
            </a:ln>
            <a:effectLst/>
          </c:spPr>
          <c:dLbls>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'Niveau de base'!$C$40:$C$43</c:f>
              <c:strCache>
                <c:ptCount val="2"/>
                <c:pt idx="0">
                  <c:v>Nombre d'enfants sous ARV</c:v>
                </c:pt>
                <c:pt idx="1">
                  <c:v>Nombre d'adultes sous ARV</c:v>
                </c:pt>
              </c:strCache>
            </c:strRef>
          </c:cat>
          <c:val>
            <c:numRef>
              <c:f>'Niveau de base'!$G$40:$G$41</c:f>
              <c:numCache>
                <c:formatCode>General</c:formatCode>
                <c:ptCount val="2"/>
                <c:pt idx="0">
                  <c:v>745</c:v>
                </c:pt>
                <c:pt idx="1">
                  <c:v>22190</c:v>
                </c:pt>
              </c:numCache>
            </c:numRef>
          </c:val>
          <c:extLst xmlns:c16r2="http://schemas.microsoft.com/office/drawing/2015/06/chart">
            <c:ext xmlns:c16="http://schemas.microsoft.com/office/drawing/2014/chart" uri="{C3380CC4-5D6E-409C-BE32-E72D297353CC}">
              <c16:uniqueId val="{00000003-11A4-4929-9B1C-8283667805B6}"/>
            </c:ext>
          </c:extLst>
        </c:ser>
        <c:ser>
          <c:idx val="4"/>
          <c:order val="4"/>
          <c:spPr>
            <a:solidFill>
              <a:schemeClr val="accent5"/>
            </a:solidFill>
            <a:ln>
              <a:noFill/>
            </a:ln>
            <a:effectLst/>
          </c:spPr>
          <c:dLbls>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'Niveau de base'!$C$40:$C$43</c:f>
              <c:strCache>
                <c:ptCount val="2"/>
                <c:pt idx="0">
                  <c:v>Nombre d'enfants sous ARV</c:v>
                </c:pt>
                <c:pt idx="1">
                  <c:v>Nombre d'adultes sous ARV</c:v>
                </c:pt>
              </c:strCache>
            </c:strRef>
          </c:cat>
          <c:val>
            <c:numRef>
              <c:f>'Niveau de base'!$H$40:$H$41</c:f>
              <c:numCache>
                <c:formatCode>General</c:formatCode>
                <c:ptCount val="2"/>
                <c:pt idx="0">
                  <c:v>1057</c:v>
                </c:pt>
                <c:pt idx="1">
                  <c:v>23781</c:v>
                </c:pt>
              </c:numCache>
            </c:numRef>
          </c:val>
          <c:extLst xmlns:c16r2="http://schemas.microsoft.com/office/drawing/2015/06/chart">
            <c:ext xmlns:c16="http://schemas.microsoft.com/office/drawing/2014/chart" uri="{C3380CC4-5D6E-409C-BE32-E72D297353CC}">
              <c16:uniqueId val="{00000004-11A4-4929-9B1C-8283667805B6}"/>
            </c:ext>
          </c:extLst>
        </c:ser>
        <c:ser>
          <c:idx val="5"/>
          <c:order val="5"/>
          <c:spPr>
            <a:solidFill>
              <a:schemeClr val="accent6"/>
            </a:solidFill>
            <a:ln>
              <a:noFill/>
            </a:ln>
            <a:effectLst/>
          </c:spPr>
          <c:dLbls>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'Niveau de base'!$C$40:$C$43</c:f>
              <c:strCache>
                <c:ptCount val="2"/>
                <c:pt idx="0">
                  <c:v>Nombre d'enfants sous ARV</c:v>
                </c:pt>
                <c:pt idx="1">
                  <c:v>Nombre d'adultes sous ARV</c:v>
                </c:pt>
              </c:strCache>
            </c:strRef>
          </c:cat>
          <c:val>
            <c:numRef>
              <c:f>'Niveau de base'!$I$40:$I$41</c:f>
              <c:numCache>
                <c:formatCode>General</c:formatCode>
                <c:ptCount val="2"/>
                <c:pt idx="0">
                  <c:v>1333</c:v>
                </c:pt>
                <c:pt idx="1">
                  <c:v>26459</c:v>
                </c:pt>
              </c:numCache>
            </c:numRef>
          </c:val>
          <c:extLst xmlns:c16r2="http://schemas.microsoft.com/office/drawing/2015/06/chart">
            <c:ext xmlns:c16="http://schemas.microsoft.com/office/drawing/2014/chart" uri="{C3380CC4-5D6E-409C-BE32-E72D297353CC}">
              <c16:uniqueId val="{00000005-11A4-4929-9B1C-8283667805B6}"/>
            </c:ext>
          </c:extLst>
        </c:ser>
        <c:ser>
          <c:idx val="6"/>
          <c:order val="6"/>
          <c:spPr>
            <a:solidFill>
              <a:schemeClr val="accent1">
                <a:lumMod val="60000"/>
              </a:schemeClr>
            </a:solidFill>
            <a:ln>
              <a:noFill/>
            </a:ln>
            <a:effectLst/>
          </c:spPr>
          <c:dLbls>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'Niveau de base'!$C$40:$C$43</c:f>
              <c:strCache>
                <c:ptCount val="2"/>
                <c:pt idx="0">
                  <c:v>Nombre d'enfants sous ARV</c:v>
                </c:pt>
                <c:pt idx="1">
                  <c:v>Nombre d'adultes sous ARV</c:v>
                </c:pt>
              </c:strCache>
            </c:strRef>
          </c:cat>
          <c:val>
            <c:numRef>
              <c:f>'Niveau de base'!$J$40:$J$41</c:f>
              <c:numCache>
                <c:formatCode>General</c:formatCode>
                <c:ptCount val="2"/>
                <c:pt idx="0">
                  <c:v>1193</c:v>
                </c:pt>
                <c:pt idx="1">
                  <c:v>30847</c:v>
                </c:pt>
              </c:numCache>
            </c:numRef>
          </c:val>
          <c:extLst xmlns:c16r2="http://schemas.microsoft.com/office/drawing/2015/06/chart">
            <c:ext xmlns:c16="http://schemas.microsoft.com/office/drawing/2014/chart" uri="{C3380CC4-5D6E-409C-BE32-E72D297353CC}">
              <c16:uniqueId val="{00000006-11A4-4929-9B1C-8283667805B6}"/>
            </c:ext>
          </c:extLst>
        </c:ser>
        <c:ser>
          <c:idx val="7"/>
          <c:order val="7"/>
          <c:dLbls>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'Niveau de base'!$C$40:$C$43</c:f>
              <c:strCache>
                <c:ptCount val="2"/>
                <c:pt idx="0">
                  <c:v>Nombre d'enfants sous ARV</c:v>
                </c:pt>
                <c:pt idx="1">
                  <c:v>Nombre d'adultes sous ARV</c:v>
                </c:pt>
              </c:strCache>
            </c:strRef>
          </c:cat>
          <c:val>
            <c:numRef>
              <c:f>'Niveau de base'!$K$40:$K$41</c:f>
              <c:numCache>
                <c:formatCode>General</c:formatCode>
                <c:ptCount val="2"/>
                <c:pt idx="0">
                  <c:v>1819</c:v>
                </c:pt>
                <c:pt idx="1">
                  <c:v>33263</c:v>
                </c:pt>
              </c:numCache>
            </c:numRef>
          </c:val>
          <c:extLst xmlns:c16r2="http://schemas.microsoft.com/office/drawing/2015/06/chart">
            <c:ext xmlns:c16="http://schemas.microsoft.com/office/drawing/2014/chart" uri="{C3380CC4-5D6E-409C-BE32-E72D297353CC}">
              <c16:uniqueId val="{00000007-11A4-4929-9B1C-8283667805B6}"/>
            </c:ext>
          </c:extLst>
        </c:ser>
        <c:ser>
          <c:idx val="8"/>
          <c:order val="8"/>
          <c:dLbls>
            <c:dLbl>
              <c:idx val="0"/>
              <c:tx>
                <c:rich>
                  <a:bodyPr/>
                  <a:lstStyle/>
                  <a:p>
                    <a:r>
                      <a:rPr lang="en-US"/>
                      <a:t>2374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53C-455A-94D8-A3C406BAE3A3}"/>
                </c:ext>
              </c:extLst>
            </c:dLbl>
            <c:dLbl>
              <c:idx val="1"/>
              <c:tx>
                <c:rich>
                  <a:bodyPr/>
                  <a:lstStyle/>
                  <a:p>
                    <a:r>
                      <a:rPr lang="en-US"/>
                      <a:t>41299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53C-455A-94D8-A3C406BAE3A3}"/>
                </c:ext>
              </c:extLst>
            </c:dLbl>
            <c:numFmt formatCode="#,##0" sourceLinked="0"/>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'Niveau de base'!$C$40:$C$43</c:f>
              <c:strCache>
                <c:ptCount val="2"/>
                <c:pt idx="0">
                  <c:v>Nombre d'enfants sous ARV</c:v>
                </c:pt>
                <c:pt idx="1">
                  <c:v>Nombre d'adultes sous ARV</c:v>
                </c:pt>
              </c:strCache>
            </c:strRef>
          </c:cat>
          <c:val>
            <c:numRef>
              <c:f>'Niveau de base'!$L$40:$L$41</c:f>
              <c:numCache>
                <c:formatCode>General</c:formatCode>
                <c:ptCount val="2"/>
                <c:pt idx="0">
                  <c:v>2374</c:v>
                </c:pt>
                <c:pt idx="1">
                  <c:v>41299</c:v>
                </c:pt>
              </c:numCache>
            </c:numRef>
          </c:val>
          <c:extLst xmlns:c16r2="http://schemas.microsoft.com/office/drawing/2015/06/chart">
            <c:ext xmlns:c16="http://schemas.microsoft.com/office/drawing/2014/chart" uri="{C3380CC4-5D6E-409C-BE32-E72D297353CC}">
              <c16:uniqueId val="{00000008-11A4-4929-9B1C-8283667805B6}"/>
            </c:ext>
          </c:extLst>
        </c:ser>
        <c:gapWidth val="219"/>
        <c:overlap val="-27"/>
        <c:axId val="90189824"/>
        <c:axId val="90191360"/>
      </c:barChart>
      <c:catAx>
        <c:axId val="901898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0191360"/>
        <c:crosses val="autoZero"/>
        <c:auto val="1"/>
        <c:lblAlgn val="ctr"/>
        <c:lblOffset val="100"/>
      </c:catAx>
      <c:valAx>
        <c:axId val="901913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01898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3814129483814541"/>
          <c:y val="8.3757040556598911E-2"/>
          <c:w val="0.81284470691163602"/>
          <c:h val="0.68897658334315304"/>
        </c:manualLayout>
      </c:layout>
      <c:lineChart>
        <c:grouping val="standard"/>
        <c:ser>
          <c:idx val="1"/>
          <c:order val="0"/>
          <c:tx>
            <c:strRef>
              <c:f>'Niveau de base'!$C$12</c:f>
              <c:strCache>
                <c:ptCount val="1"/>
                <c:pt idx="0">
                  <c:v>couverture enfants</c:v>
                </c:pt>
              </c:strCache>
            </c:strRef>
          </c:tx>
          <c:spPr>
            <a:ln w="28575"/>
          </c:spPr>
          <c:marker>
            <c:symbol val="square"/>
            <c:size val="5"/>
          </c:marker>
          <c:dLbls>
            <c:dLbl>
              <c:idx val="0"/>
              <c:tx>
                <c:rich>
                  <a:bodyPr/>
                  <a:lstStyle/>
                  <a:p>
                    <a:r>
                      <a:rPr lang="en-US"/>
                      <a:t>ND</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3B1-4598-A55B-3ADFE60DEAE7}"/>
                </c:ext>
              </c:extLst>
            </c:dLbl>
            <c:dLbl>
              <c:idx val="1"/>
              <c:tx>
                <c:rich>
                  <a:bodyPr/>
                  <a:lstStyle/>
                  <a:p>
                    <a:r>
                      <a:rPr lang="en-US"/>
                      <a:t>ND</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3B1-4598-A55B-3ADFE60DEAE7}"/>
                </c:ext>
              </c:extLst>
            </c:dLbl>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'Niveau de base'!$D$3:$L$3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'Niveau de base'!$D$12:$L$12</c:f>
              <c:numCache>
                <c:formatCode>General</c:formatCode>
                <c:ptCount val="9"/>
                <c:pt idx="0">
                  <c:v>0</c:v>
                </c:pt>
                <c:pt idx="1">
                  <c:v>0</c:v>
                </c:pt>
                <c:pt idx="2" formatCode="0%">
                  <c:v>5.399752091726074E-2</c:v>
                </c:pt>
                <c:pt idx="3" formatCode="0%">
                  <c:v>5.5132095019610868E-2</c:v>
                </c:pt>
                <c:pt idx="4" formatCode="0%">
                  <c:v>7.5776041293282692E-2</c:v>
                </c:pt>
                <c:pt idx="5" formatCode="0%">
                  <c:v>9.5330043624401062E-2</c:v>
                </c:pt>
                <c:pt idx="6" formatCode="0%">
                  <c:v>8.5196029422266881E-2</c:v>
                </c:pt>
                <c:pt idx="7" formatCode="0%">
                  <c:v>0.1303942652329749</c:v>
                </c:pt>
                <c:pt idx="8" formatCode="0%">
                  <c:v>0.1715070076578529</c:v>
                </c:pt>
              </c:numCache>
            </c:numRef>
          </c:val>
          <c:extLst xmlns:c16r2="http://schemas.microsoft.com/office/drawing/2015/06/chart">
            <c:ext xmlns:c16="http://schemas.microsoft.com/office/drawing/2014/chart" uri="{C3380CC4-5D6E-409C-BE32-E72D297353CC}">
              <c16:uniqueId val="{00000002-83B1-4598-A55B-3ADFE60DEAE7}"/>
            </c:ext>
          </c:extLst>
        </c:ser>
        <c:ser>
          <c:idx val="0"/>
          <c:order val="1"/>
          <c:tx>
            <c:strRef>
              <c:f>'Niveau de base'!$C$13</c:f>
              <c:strCache>
                <c:ptCount val="1"/>
                <c:pt idx="0">
                  <c:v>Couverture adultes</c:v>
                </c:pt>
              </c:strCache>
            </c:strRef>
          </c:tx>
          <c:spPr>
            <a:ln w="28575"/>
          </c:spPr>
          <c:marker>
            <c:symbol val="x"/>
            <c:size val="5"/>
          </c:marker>
          <c:dLbls>
            <c:dLbl>
              <c:idx val="0"/>
              <c:layout>
                <c:manualLayout>
                  <c:x val="-4.7625109361329646E-2"/>
                  <c:y val="-4.68070467038028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3B1-4598-A55B-3ADFE60DEAE7}"/>
                </c:ext>
              </c:extLst>
            </c:dLbl>
            <c:dLbl>
              <c:idx val="5"/>
              <c:layout>
                <c:manualLayout>
                  <c:x val="-7.0770997375328132E-2"/>
                  <c:y val="3.659064683557561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3B1-4598-A55B-3ADFE60DEAE7}"/>
                </c:ext>
              </c:extLst>
            </c:dLbl>
            <c:dLbl>
              <c:idx val="6"/>
              <c:layout>
                <c:manualLayout>
                  <c:x val="-4.4847331583552072E-2"/>
                  <c:y val="-4.68070467038028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3B1-4598-A55B-3ADFE60DEAE7}"/>
                </c:ext>
              </c:extLst>
            </c:dLbl>
            <c:dLbl>
              <c:idx val="7"/>
              <c:layout>
                <c:manualLayout>
                  <c:x val="-3.0958661417322834E-2"/>
                  <c:y val="3.659064683557558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3B1-4598-A55B-3ADFE60DEAE7}"/>
                </c:ext>
              </c:extLst>
            </c:dLbl>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val>
            <c:numRef>
              <c:f>'Niveau de base'!$D$13:$L$13</c:f>
              <c:numCache>
                <c:formatCode>0%</c:formatCode>
                <c:ptCount val="9"/>
                <c:pt idx="0">
                  <c:v>0.52</c:v>
                </c:pt>
                <c:pt idx="1">
                  <c:v>0.53</c:v>
                </c:pt>
                <c:pt idx="2" formatCode="0.00%">
                  <c:v>0.68520000000000003</c:v>
                </c:pt>
                <c:pt idx="3">
                  <c:v>0.59</c:v>
                </c:pt>
                <c:pt idx="4" formatCode="0.00%">
                  <c:v>0.64280000000000126</c:v>
                </c:pt>
                <c:pt idx="5" formatCode="0.00%">
                  <c:v>0.48040000000000038</c:v>
                </c:pt>
                <c:pt idx="6">
                  <c:v>0.49578899996785675</c:v>
                </c:pt>
                <c:pt idx="7">
                  <c:v>0.33776058325971642</c:v>
                </c:pt>
                <c:pt idx="8">
                  <c:v>0.34764931183972392</c:v>
                </c:pt>
              </c:numCache>
            </c:numRef>
          </c:val>
          <c:extLst xmlns:c16r2="http://schemas.microsoft.com/office/drawing/2015/06/chart">
            <c:ext xmlns:c16="http://schemas.microsoft.com/office/drawing/2014/chart" uri="{C3380CC4-5D6E-409C-BE32-E72D297353CC}">
              <c16:uniqueId val="{00000007-83B1-4598-A55B-3ADFE60DEAE7}"/>
            </c:ext>
          </c:extLst>
        </c:ser>
        <c:marker val="1"/>
        <c:axId val="103105280"/>
        <c:axId val="103106816"/>
      </c:lineChart>
      <c:catAx>
        <c:axId val="103105280"/>
        <c:scaling>
          <c:orientation val="minMax"/>
        </c:scaling>
        <c:axPos val="b"/>
        <c:numFmt formatCode="General" sourceLinked="1"/>
        <c:tickLblPos val="nextTo"/>
        <c:crossAx val="103106816"/>
        <c:crosses val="autoZero"/>
        <c:auto val="1"/>
        <c:lblAlgn val="ctr"/>
        <c:lblOffset val="100"/>
      </c:catAx>
      <c:valAx>
        <c:axId val="103106816"/>
        <c:scaling>
          <c:orientation val="minMax"/>
          <c:max val="0.9"/>
        </c:scaling>
        <c:axPos val="l"/>
        <c:majorGridlines/>
        <c:numFmt formatCode="0%" sourceLinked="0"/>
        <c:tickLblPos val="nextTo"/>
        <c:crossAx val="103105280"/>
        <c:crosses val="autoZero"/>
        <c:crossBetween val="between"/>
      </c:valAx>
    </c:plotArea>
    <c:legend>
      <c:legendPos val="r"/>
      <c:layout>
        <c:manualLayout>
          <c:xMode val="edge"/>
          <c:yMode val="edge"/>
          <c:x val="0.14265266841644797"/>
          <c:y val="0.88662255028395709"/>
          <c:w val="0.76108333333333766"/>
          <c:h val="0.11196523417933714"/>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0035079749646636"/>
          <c:y val="7.5230414746544114E-2"/>
          <c:w val="0.82260852008883811"/>
          <c:h val="0.68207270462159975"/>
        </c:manualLayout>
      </c:layout>
      <c:lineChart>
        <c:grouping val="standard"/>
        <c:ser>
          <c:idx val="0"/>
          <c:order val="0"/>
          <c:tx>
            <c:strRef>
              <c:f>'1- Acceleration scenario'!$C$7</c:f>
              <c:strCache>
                <c:ptCount val="1"/>
                <c:pt idx="0">
                  <c:v>Scenarion 3: Forte accélération</c:v>
                </c:pt>
              </c:strCache>
            </c:strRef>
          </c:tx>
          <c:spPr>
            <a:ln w="22225" cap="rnd">
              <a:solidFill>
                <a:schemeClr val="accent1"/>
              </a:solidFill>
              <a:round/>
            </a:ln>
            <a:effectLst/>
          </c:spPr>
          <c:marker>
            <c:symbol val="circle"/>
            <c:size val="5"/>
          </c:marker>
          <c:dLbls>
            <c:dLbl>
              <c:idx val="9"/>
              <c:layout>
                <c:manualLayout>
                  <c:x val="-4.9738374049398133E-2"/>
                  <c:y val="-4.797434594869189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E58-45E0-A85C-EFDBEDC731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'1- Acceleration scenario'!$D$4:$P$4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'1- Acceleration scenario'!$D$7:$P$7</c:f>
              <c:numCache>
                <c:formatCode>0%</c:formatCode>
                <c:ptCount val="13"/>
                <c:pt idx="0">
                  <c:v>0</c:v>
                </c:pt>
                <c:pt idx="1">
                  <c:v>0</c:v>
                </c:pt>
                <c:pt idx="2">
                  <c:v>5.3997520917260913E-2</c:v>
                </c:pt>
                <c:pt idx="3">
                  <c:v>5.5132095019611041E-2</c:v>
                </c:pt>
                <c:pt idx="4">
                  <c:v>7.5776041293282692E-2</c:v>
                </c:pt>
                <c:pt idx="5">
                  <c:v>9.5330043624401062E-2</c:v>
                </c:pt>
                <c:pt idx="6">
                  <c:v>8.5196029422267228E-2</c:v>
                </c:pt>
                <c:pt idx="7">
                  <c:v>0.1303942652329749</c:v>
                </c:pt>
                <c:pt idx="8">
                  <c:v>0.1715070076578529</c:v>
                </c:pt>
                <c:pt idx="9">
                  <c:v>0.36000000000000032</c:v>
                </c:pt>
                <c:pt idx="10">
                  <c:v>0.72000000000000064</c:v>
                </c:pt>
                <c:pt idx="11">
                  <c:v>0.82000000000000062</c:v>
                </c:pt>
                <c:pt idx="12">
                  <c:v>0.9</c:v>
                </c:pt>
              </c:numCache>
            </c:numRef>
          </c:val>
          <c:extLst xmlns:c16r2="http://schemas.microsoft.com/office/drawing/2015/06/chart">
            <c:ext xmlns:c16="http://schemas.microsoft.com/office/drawing/2014/chart" uri="{C3380CC4-5D6E-409C-BE32-E72D297353CC}">
              <c16:uniqueId val="{00000001-2E58-45E0-A85C-EFDBEDC73147}"/>
            </c:ext>
          </c:extLst>
        </c:ser>
        <c:ser>
          <c:idx val="2"/>
          <c:order val="1"/>
          <c:tx>
            <c:strRef>
              <c:f>'1- Acceleration scenario'!$C$6</c:f>
              <c:strCache>
                <c:ptCount val="1"/>
                <c:pt idx="0">
                  <c:v>Scenario 2- Accélération modérée</c:v>
                </c:pt>
              </c:strCache>
            </c:strRef>
          </c:tx>
          <c:spPr>
            <a:ln w="22225" cap="rnd">
              <a:solidFill>
                <a:schemeClr val="accent3"/>
              </a:solidFill>
              <a:round/>
            </a:ln>
            <a:effectLst/>
          </c:spPr>
          <c:marker>
            <c:symbol val="x"/>
            <c:size val="5"/>
          </c:marker>
          <c:dLbls>
            <c:dLbl>
              <c:idx val="0"/>
              <c:tx>
                <c:rich>
                  <a:bodyPr/>
                  <a:lstStyle/>
                  <a:p>
                    <a:endParaRPr lang="en-US"/>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E58-45E0-A85C-EFDBEDC73147}"/>
                </c:ext>
              </c:extLst>
            </c:dLbl>
            <c:dLbl>
              <c:idx val="9"/>
              <c:layout>
                <c:manualLayout>
                  <c:x val="-3.0507604818628551E-2"/>
                  <c:y val="-3.645360862150324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E58-45E0-A85C-EFDBEDC73147}"/>
                </c:ext>
              </c:extLst>
            </c:dLbl>
            <c:dLbl>
              <c:idx val="10"/>
              <c:layout>
                <c:manualLayout>
                  <c:x val="-3.4781109092132716E-2"/>
                  <c:y val="-4.029385439723261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E58-45E0-A85C-EFDBEDC73147}"/>
                </c:ext>
              </c:extLst>
            </c:dLbl>
            <c:dLbl>
              <c:idx val="11"/>
              <c:layout>
                <c:manualLayout>
                  <c:x val="-4.7601621912646011E-2"/>
                  <c:y val="-3.261336284577364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E58-45E0-A85C-EFDBEDC73147}"/>
                </c:ext>
              </c:extLst>
            </c:dLbl>
            <c:dLbl>
              <c:idx val="1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fr-FR"/>
                </a:p>
              </c:txPr>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val>
            <c:numRef>
              <c:f>'1- Acceleration scenario'!$D$6:$P$6</c:f>
              <c:numCache>
                <c:formatCode>0%</c:formatCode>
                <c:ptCount val="13"/>
                <c:pt idx="0">
                  <c:v>0</c:v>
                </c:pt>
                <c:pt idx="1">
                  <c:v>0</c:v>
                </c:pt>
                <c:pt idx="2">
                  <c:v>5.3997520917260913E-2</c:v>
                </c:pt>
                <c:pt idx="3">
                  <c:v>5.5132095019611041E-2</c:v>
                </c:pt>
                <c:pt idx="4">
                  <c:v>7.5776041293282692E-2</c:v>
                </c:pt>
                <c:pt idx="5">
                  <c:v>9.5330043624401062E-2</c:v>
                </c:pt>
                <c:pt idx="6">
                  <c:v>8.5196029422267228E-2</c:v>
                </c:pt>
                <c:pt idx="7">
                  <c:v>0.1303942652329749</c:v>
                </c:pt>
                <c:pt idx="8">
                  <c:v>0.1715070076578529</c:v>
                </c:pt>
                <c:pt idx="9">
                  <c:v>0.25</c:v>
                </c:pt>
                <c:pt idx="10">
                  <c:v>0.30000000000000032</c:v>
                </c:pt>
                <c:pt idx="11">
                  <c:v>0.4</c:v>
                </c:pt>
                <c:pt idx="12">
                  <c:v>0.9</c:v>
                </c:pt>
              </c:numCache>
            </c:numRef>
          </c:val>
          <c:extLst xmlns:c16r2="http://schemas.microsoft.com/office/drawing/2015/06/chart">
            <c:ext xmlns:c16="http://schemas.microsoft.com/office/drawing/2014/chart" uri="{C3380CC4-5D6E-409C-BE32-E72D297353CC}">
              <c16:uniqueId val="{00000007-2E58-45E0-A85C-EFDBEDC73147}"/>
            </c:ext>
          </c:extLst>
        </c:ser>
        <c:ser>
          <c:idx val="1"/>
          <c:order val="2"/>
          <c:tx>
            <c:strRef>
              <c:f>'1- Acceleration scenario'!$C$5</c:f>
              <c:strCache>
                <c:ptCount val="1"/>
                <c:pt idx="0">
                  <c:v>Scenario 1- Statu-Quo: Couverture ARV stationnaire</c:v>
                </c:pt>
              </c:strCache>
            </c:strRef>
          </c:tx>
          <c:spPr>
            <a:ln w="22225" cap="rnd">
              <a:solidFill>
                <a:schemeClr val="accent2"/>
              </a:solidFill>
              <a:round/>
            </a:ln>
            <a:effectLst/>
          </c:spPr>
          <c:marker>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E58-45E0-A85C-EFDBEDC73147}"/>
                </c:ext>
              </c:extLst>
            </c:dLbl>
            <c:dLbl>
              <c:idx val="9"/>
              <c:layout>
                <c:manualLayout>
                  <c:x val="-2.1960596271619972E-2"/>
                  <c:y val="4.419155266881960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E58-45E0-A85C-EFDBEDC73147}"/>
                </c:ext>
              </c:extLst>
            </c:dLbl>
            <c:dLbl>
              <c:idx val="10"/>
              <c:layout>
                <c:manualLayout>
                  <c:x val="-1.9823844134867909E-2"/>
                  <c:y val="4.035130689308996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E58-45E0-A85C-EFDBEDC73147}"/>
                </c:ext>
              </c:extLst>
            </c:dLbl>
            <c:dLbl>
              <c:idx val="11"/>
              <c:layout>
                <c:manualLayout>
                  <c:x val="-2.8370852681876453E-2"/>
                  <c:y val="4.035130689308996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E58-45E0-A85C-EFDBEDC73147}"/>
                </c:ext>
              </c:extLst>
            </c:dLbl>
            <c:dLbl>
              <c:idx val="12"/>
              <c:layout>
                <c:manualLayout>
                  <c:x val="-3.050760481862844E-2"/>
                  <c:y val="4.419155266881944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E58-45E0-A85C-EFDBEDC731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val>
            <c:numRef>
              <c:f>'1- Acceleration scenario'!$D$5:$P$5</c:f>
              <c:numCache>
                <c:formatCode>0%</c:formatCode>
                <c:ptCount val="13"/>
                <c:pt idx="0">
                  <c:v>0</c:v>
                </c:pt>
                <c:pt idx="1">
                  <c:v>0</c:v>
                </c:pt>
                <c:pt idx="2">
                  <c:v>5.3997520917260913E-2</c:v>
                </c:pt>
                <c:pt idx="3">
                  <c:v>5.5132095019611041E-2</c:v>
                </c:pt>
                <c:pt idx="4">
                  <c:v>7.5776041293282692E-2</c:v>
                </c:pt>
                <c:pt idx="5">
                  <c:v>9.5330043624401062E-2</c:v>
                </c:pt>
                <c:pt idx="6">
                  <c:v>8.5196029422267228E-2</c:v>
                </c:pt>
                <c:pt idx="7">
                  <c:v>0.1303942652329749</c:v>
                </c:pt>
                <c:pt idx="8">
                  <c:v>0.1715070076578529</c:v>
                </c:pt>
                <c:pt idx="9">
                  <c:v>0.2</c:v>
                </c:pt>
                <c:pt idx="10">
                  <c:v>0.24000000000000021</c:v>
                </c:pt>
                <c:pt idx="11">
                  <c:v>0.28000000000000008</c:v>
                </c:pt>
                <c:pt idx="12">
                  <c:v>0.32000000000000156</c:v>
                </c:pt>
              </c:numCache>
            </c:numRef>
          </c:val>
          <c:extLst xmlns:c16r2="http://schemas.microsoft.com/office/drawing/2015/06/chart">
            <c:ext xmlns:c16="http://schemas.microsoft.com/office/drawing/2014/chart" uri="{C3380CC4-5D6E-409C-BE32-E72D297353CC}">
              <c16:uniqueId val="{0000000D-2E58-45E0-A85C-EFDBEDC73147}"/>
            </c:ext>
          </c:extLst>
        </c:ser>
        <c:dLbls>
          <c:showVal val="1"/>
        </c:dLbls>
        <c:marker val="1"/>
        <c:axId val="103155968"/>
        <c:axId val="103186816"/>
      </c:lineChart>
      <c:catAx>
        <c:axId val="103155968"/>
        <c:scaling>
          <c:orientation val="minMax"/>
        </c:scaling>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a:lstStyle/>
              <a:p>
                <a:pPr>
                  <a:defRPr b="0"/>
                </a:pPr>
                <a:r>
                  <a:rPr lang="en-US" b="0"/>
                  <a:t>Année</a:t>
                </a:r>
              </a:p>
            </c:rich>
          </c:tx>
          <c:layout>
            <c:manualLayout>
              <c:xMode val="edge"/>
              <c:yMode val="edge"/>
              <c:x val="0.87398411736994464"/>
              <c:y val="0.8195084485407067"/>
            </c:manualLayout>
          </c:layout>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fr-FR"/>
          </a:p>
        </c:txPr>
        <c:crossAx val="103186816"/>
        <c:crosses val="autoZero"/>
        <c:lblAlgn val="ctr"/>
        <c:lblOffset val="100"/>
      </c:catAx>
      <c:valAx>
        <c:axId val="103186816"/>
        <c:scaling>
          <c:orientation val="minMax"/>
          <c:max val="1"/>
        </c:scaling>
        <c:axPos val="l"/>
        <c:majorGridlines>
          <c:spPr>
            <a:ln w="9525" cap="flat" cmpd="sng" algn="ctr">
              <a:solidFill>
                <a:schemeClr val="dk1">
                  <a:lumMod val="15000"/>
                  <a:lumOff val="85000"/>
                  <a:alpha val="54000"/>
                </a:schemeClr>
              </a:solidFill>
              <a:round/>
            </a:ln>
            <a:effectLst/>
          </c:spPr>
        </c:majorGridlines>
        <c:title>
          <c:tx>
            <c:rich>
              <a:bodyPr rot="0" vert="horz"/>
              <a:lstStyle/>
              <a:p>
                <a:pPr>
                  <a:defRPr b="0"/>
                </a:pPr>
                <a:r>
                  <a:rPr lang="en-US" b="0"/>
                  <a:t>Couverture TARV</a:t>
                </a:r>
              </a:p>
            </c:rich>
          </c:tx>
          <c:layout>
            <c:manualLayout>
              <c:xMode val="edge"/>
              <c:yMode val="edge"/>
              <c:x val="1.0683760683760755E-2"/>
              <c:y val="1.1263713003616521E-3"/>
            </c:manualLayout>
          </c:layout>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crossAx val="103155968"/>
        <c:crosses val="autoZero"/>
        <c:crossBetween val="between"/>
      </c:valAx>
      <c:spPr>
        <a:pattFill prst="ltDnDiag">
          <a:fgClr>
            <a:schemeClr val="dk1">
              <a:lumMod val="15000"/>
              <a:lumOff val="85000"/>
            </a:schemeClr>
          </a:fgClr>
          <a:bgClr>
            <a:schemeClr val="lt1"/>
          </a:bgClr>
        </a:pattFill>
        <a:ln>
          <a:noFill/>
        </a:ln>
        <a:effectLst/>
      </c:spPr>
    </c:plotArea>
    <c:legend>
      <c:legendPos val="r"/>
      <c:layout>
        <c:manualLayout>
          <c:xMode val="edge"/>
          <c:yMode val="edge"/>
          <c:x val="3.4255333467932012E-2"/>
          <c:y val="0.86088573605719176"/>
          <c:w val="0.95718184265428774"/>
          <c:h val="0.13882928072171841"/>
        </c:manualLayout>
      </c:layout>
      <c:spPr>
        <a:noFill/>
        <a:ln>
          <a:noFill/>
        </a:ln>
        <a:effectLst/>
      </c:spPr>
      <c:txPr>
        <a:bodyPr rot="0" spcFirstLastPara="1" vertOverflow="ellipsis" vert="horz" wrap="square" anchor="ctr" anchorCtr="1"/>
        <a:lstStyle/>
        <a:p>
          <a:pPr defTabSz="0">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2835086857231656"/>
          <c:y val="0.13045558659687725"/>
          <c:w val="0.8291584577032477"/>
          <c:h val="0.67633741698906635"/>
        </c:manualLayout>
      </c:layout>
      <c:lineChart>
        <c:grouping val="standard"/>
        <c:ser>
          <c:idx val="0"/>
          <c:order val="0"/>
          <c:spPr>
            <a:ln w="12700">
              <a:solidFill>
                <a:srgbClr val="FF0000"/>
              </a:solidFill>
            </a:ln>
          </c:spPr>
          <c:marker>
            <c:symbol val="none"/>
          </c:marker>
          <c:dLbls>
            <c:delete val="1"/>
          </c:dLbls>
          <c:cat>
            <c:strRef>
              <c:f>Sheet1!$G$6:$G$17</c:f>
              <c:strCache>
                <c:ptCount val="12"/>
                <c:pt idx="0">
                  <c:v>Janvier</c:v>
                </c:pt>
                <c:pt idx="1">
                  <c:v>Février</c:v>
                </c:pt>
                <c:pt idx="2">
                  <c:v>Mars</c:v>
                </c:pt>
                <c:pt idx="3">
                  <c:v>Avril</c:v>
                </c:pt>
                <c:pt idx="4">
                  <c:v>Mai</c:v>
                </c:pt>
                <c:pt idx="5">
                  <c:v>Juin</c:v>
                </c:pt>
                <c:pt idx="6">
                  <c:v>Juillet</c:v>
                </c:pt>
                <c:pt idx="7">
                  <c:v>Aout</c:v>
                </c:pt>
                <c:pt idx="8">
                  <c:v>Septembre</c:v>
                </c:pt>
                <c:pt idx="9">
                  <c:v>Octobre</c:v>
                </c:pt>
                <c:pt idx="10">
                  <c:v>Novembre </c:v>
                </c:pt>
                <c:pt idx="11">
                  <c:v>Décembre</c:v>
                </c:pt>
              </c:strCache>
            </c:strRef>
          </c:cat>
          <c:val>
            <c:numRef>
              <c:f>Sheet1!$H$6:$H$17</c:f>
              <c:numCache>
                <c:formatCode>General</c:formatCode>
                <c:ptCount val="12"/>
                <c:pt idx="0">
                  <c:v>8</c:v>
                </c:pt>
                <c:pt idx="1">
                  <c:v>17</c:v>
                </c:pt>
                <c:pt idx="2">
                  <c:v>25</c:v>
                </c:pt>
                <c:pt idx="3">
                  <c:v>33</c:v>
                </c:pt>
                <c:pt idx="4">
                  <c:v>42</c:v>
                </c:pt>
                <c:pt idx="5">
                  <c:v>50</c:v>
                </c:pt>
                <c:pt idx="6">
                  <c:v>58</c:v>
                </c:pt>
                <c:pt idx="7">
                  <c:v>67</c:v>
                </c:pt>
                <c:pt idx="8">
                  <c:v>75</c:v>
                </c:pt>
                <c:pt idx="9">
                  <c:v>83</c:v>
                </c:pt>
                <c:pt idx="10">
                  <c:v>92</c:v>
                </c:pt>
                <c:pt idx="11">
                  <c:v>100</c:v>
                </c:pt>
              </c:numCache>
            </c:numRef>
          </c:val>
          <c:extLst xmlns:c16r2="http://schemas.microsoft.com/office/drawing/2015/06/chart">
            <c:ext xmlns:c16="http://schemas.microsoft.com/office/drawing/2014/chart" uri="{C3380CC4-5D6E-409C-BE32-E72D297353CC}">
              <c16:uniqueId val="{00000000-C593-41CF-B68E-55723DC61576}"/>
            </c:ext>
          </c:extLst>
        </c:ser>
        <c:dLbls>
          <c:showVal val="1"/>
        </c:dLbls>
        <c:marker val="1"/>
        <c:axId val="124776832"/>
        <c:axId val="124778752"/>
      </c:lineChart>
      <c:catAx>
        <c:axId val="124776832"/>
        <c:scaling>
          <c:orientation val="minMax"/>
        </c:scaling>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a:lstStyle/>
              <a:p>
                <a:pPr>
                  <a:defRPr sz="800"/>
                </a:pPr>
                <a:r>
                  <a:rPr lang="en-US" sz="800"/>
                  <a:t>Mois</a:t>
                </a:r>
              </a:p>
            </c:rich>
          </c:tx>
          <c:layout>
            <c:manualLayout>
              <c:xMode val="edge"/>
              <c:yMode val="edge"/>
              <c:x val="0.91871605029914882"/>
              <c:y val="0.8610399792668596"/>
            </c:manualLayout>
          </c:layout>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fr-FR"/>
          </a:p>
        </c:txPr>
        <c:crossAx val="124778752"/>
        <c:crosses val="autoZero"/>
        <c:auto val="1"/>
        <c:lblAlgn val="ctr"/>
        <c:lblOffset val="100"/>
      </c:catAx>
      <c:valAx>
        <c:axId val="124778752"/>
        <c:scaling>
          <c:orientation val="minMax"/>
          <c:max val="100"/>
        </c:scaling>
        <c:axPos val="l"/>
        <c:majorGridlines>
          <c:spPr>
            <a:ln w="9525" cap="flat" cmpd="sng" algn="ctr">
              <a:solidFill>
                <a:schemeClr val="dk1">
                  <a:lumMod val="15000"/>
                  <a:lumOff val="85000"/>
                  <a:alpha val="54000"/>
                </a:schemeClr>
              </a:solidFill>
              <a:round/>
            </a:ln>
            <a:effectLst/>
          </c:spPr>
        </c:majorGridlines>
        <c:title>
          <c:tx>
            <c:rich>
              <a:bodyPr rot="0" vert="horz"/>
              <a:lstStyle/>
              <a:p>
                <a:pPr>
                  <a:defRPr sz="800"/>
                </a:pPr>
                <a:r>
                  <a:rPr lang="en-US" sz="800"/>
                  <a:t>Couverture cumulée (%)</a:t>
                </a:r>
              </a:p>
            </c:rich>
          </c:tx>
          <c:layout>
            <c:manualLayout>
              <c:xMode val="edge"/>
              <c:yMode val="edge"/>
              <c:x val="0"/>
              <c:y val="1.1542114411110643E-2"/>
            </c:manualLayout>
          </c:layout>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crossAx val="124776832"/>
        <c:crosses val="autoZero"/>
        <c:crossBetween val="between"/>
        <c:majorUnit val="5"/>
        <c:minorUnit val="2"/>
      </c:valAx>
      <c:spPr>
        <a:pattFill prst="ltDnDiag">
          <a:fgClr>
            <a:schemeClr val="dk1">
              <a:lumMod val="15000"/>
              <a:lumOff val="85000"/>
            </a:schemeClr>
          </a:fgClr>
          <a:bgClr>
            <a:schemeClr val="lt1"/>
          </a:bgClr>
        </a:pattFill>
        <a:ln>
          <a:no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00535-8E24-4175-A548-632A7B14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16150</Words>
  <Characters>88827</Characters>
  <Application>Microsoft Office Word</Application>
  <DocSecurity>0</DocSecurity>
  <Lines>740</Lines>
  <Paragraphs>209</Paragraphs>
  <ScaleCrop>false</ScaleCrop>
  <HeadingPairs>
    <vt:vector size="6" baseType="variant">
      <vt:variant>
        <vt:lpstr>Titre</vt:lpstr>
      </vt:variant>
      <vt:variant>
        <vt:i4>1</vt:i4>
      </vt:variant>
      <vt:variant>
        <vt:lpstr>Titres</vt:lpstr>
      </vt:variant>
      <vt:variant>
        <vt:i4>85</vt:i4>
      </vt:variant>
      <vt:variant>
        <vt:lpstr>Title</vt:lpstr>
      </vt:variant>
      <vt:variant>
        <vt:i4>1</vt:i4>
      </vt:variant>
    </vt:vector>
  </HeadingPairs>
  <TitlesOfParts>
    <vt:vector size="87" baseType="lpstr">
      <vt:lpstr/>
      <vt:lpstr>Table de matières</vt:lpstr>
      <vt:lpstr/>
      <vt:lpstr>Liste des Tableaux</vt:lpstr>
      <vt:lpstr/>
      <vt:lpstr>Liste des Figures</vt:lpstr>
      <vt:lpstr/>
      <vt:lpstr>Liste des Encadrés</vt:lpstr>
      <vt:lpstr/>
      <vt:lpstr>Avant-propos</vt:lpstr>
      <vt:lpstr>Remerciements</vt:lpstr>
      <vt:lpstr>Liste des acronymes et des abréviations</vt:lpstr>
      <vt:lpstr>Résumé</vt:lpstr>
      <vt:lpstr/>
      <vt:lpstr/>
      <vt:lpstr/>
      <vt:lpstr/>
      <vt:lpstr/>
      <vt:lpstr/>
      <vt:lpstr/>
      <vt:lpstr/>
      <vt:lpstr/>
      <vt:lpstr>CHAPITRE 1 : CONTEXTE ET PROFIL PAYS</vt:lpstr>
      <vt:lpstr>    .Contexte</vt:lpstr>
      <vt:lpstr>    Profil pays</vt:lpstr>
      <vt:lpstr>CHAPITRE 2 :APPROCHE METHODOLOGIQUE</vt:lpstr>
      <vt:lpstr>    Justification</vt:lpstr>
      <vt:lpstr>    . But, Objectif général et Objectifs spécifiques</vt:lpstr>
      <vt:lpstr>    . Processus d’élaboration du plan</vt:lpstr>
      <vt:lpstr>    . Collecte des données</vt:lpstr>
      <vt:lpstr>    . Analyse des données</vt:lpstr>
      <vt:lpstr/>
      <vt:lpstr/>
      <vt:lpstr/>
      <vt:lpstr/>
      <vt:lpstr/>
      <vt:lpstr/>
      <vt:lpstr/>
      <vt:lpstr/>
      <vt:lpstr/>
      <vt:lpstr/>
      <vt:lpstr/>
      <vt:lpstr>CHAPITRE 3 : ETAT DES LIEUX DE LA PRISE EN CHARGE DU VIH CHEZ L’ENFANT EN GUINEE</vt:lpstr>
      <vt:lpstr>    . Organisation du système de santé</vt:lpstr>
      <vt:lpstr>    Epidémiologie du VIH</vt:lpstr>
      <vt:lpstr>    .Réponse Pays au VIH pédiatrique</vt:lpstr>
      <vt:lpstr>        PTME</vt:lpstr>
      <vt:lpstr>        Dépistage et conseil du VIH</vt:lpstr>
      <vt:lpstr>        Initiation de la trithérapie antirétrovirale</vt:lpstr>
      <vt:lpstr>        Rétention aux soins</vt:lpstr>
      <vt:lpstr>    Analyse des goulots d’étranglement de la prise en charge pédiatrique du VIH</vt:lpstr>
      <vt:lpstr>CHAPITRE 4 : INTERVENTIONS STRATEGIQUES POUR L’ACCELERATION DE LA PRISE EN CHARG</vt:lpstr>
      <vt:lpstr>    Scénarii d’accélération (lente, modérée, rapide)</vt:lpstr>
      <vt:lpstr>    Théorie de changement</vt:lpstr>
      <vt:lpstr>    Interventions stratégiques</vt:lpstr>
      <vt:lpstr>        Renforcement du pilotage stratégique pour la PECP</vt:lpstr>
      <vt:lpstr>        Renforcement des capacités des services pour offrir des soins et services de pri</vt:lpstr>
      <vt:lpstr>        Renforcement de la mobilisation communautaire pour la prise en charge pédiatriqu</vt:lpstr>
      <vt:lpstr>CHAPITRE 5 :ROLES ET RESPONSABILITES DES ACTEURS DANS LA MISE EN ŒUVRE</vt:lpstr>
      <vt:lpstr>    Le PNPCSP et les Directions techniques du Ministère de la santé</vt:lpstr>
      <vt:lpstr>    Société civile</vt:lpstr>
      <vt:lpstr>    </vt:lpstr>
      <vt:lpstr>    Formations sanitaires publiques et privées</vt:lpstr>
      <vt:lpstr>    Prestataires de soins</vt:lpstr>
      <vt:lpstr>    Familles</vt:lpstr>
      <vt:lpstr>    Partenaires techniques et financiers bilatéraux et multilatéraux</vt:lpstr>
      <vt:lpstr/>
      <vt:lpstr/>
      <vt:lpstr/>
      <vt:lpstr/>
      <vt:lpstr/>
      <vt:lpstr/>
      <vt:lpstr/>
      <vt:lpstr/>
      <vt:lpstr/>
      <vt:lpstr/>
      <vt:lpstr>CHAPITRE 6 :SUIVI EVALUATION</vt:lpstr>
      <vt:lpstr>    Collecte des données et circuit d’information</vt:lpstr>
      <vt:lpstr>        Données à collecter</vt:lpstr>
      <vt:lpstr>        Responsabilités, types de rapports et délais par niveau du SNIS</vt:lpstr>
      <vt:lpstr>        Circuit d’information</vt:lpstr>
      <vt:lpstr>    Indicateurs de suivi évaluation</vt:lpstr>
      <vt:lpstr>    Mise en œuvre du suivi-évaluation</vt:lpstr>
      <vt:lpstr>CHAPITRE 7 : BUDGET</vt:lpstr>
      <vt:lpstr>    </vt:lpstr>
      <vt:lpstr>    Répartition des dépenses par axe et intervention</vt:lpstr>
      <vt:lpstr/>
    </vt:vector>
  </TitlesOfParts>
  <Company>Microsoft</Company>
  <LinksUpToDate>false</LinksUpToDate>
  <CharactersWithSpaces>104768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Daye</dc:creator>
  <cp:lastModifiedBy>Mafoudia</cp:lastModifiedBy>
  <cp:revision>8</cp:revision>
  <dcterms:created xsi:type="dcterms:W3CDTF">2018-08-08T12:45:00Z</dcterms:created>
  <dcterms:modified xsi:type="dcterms:W3CDTF">2018-08-09T11:54:00Z</dcterms:modified>
</cp:coreProperties>
</file>