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CF5D1" w14:textId="77777777" w:rsidR="00AC104D" w:rsidRPr="006F7C23" w:rsidRDefault="00AC104D" w:rsidP="00AC104D">
      <w:pPr>
        <w:jc w:val="center"/>
        <w:rPr>
          <w:b/>
          <w:sz w:val="28"/>
          <w:lang w:val="fr-BE"/>
        </w:rPr>
      </w:pPr>
      <w:r w:rsidRPr="006F7C23">
        <w:rPr>
          <w:b/>
          <w:sz w:val="28"/>
          <w:szCs w:val="28"/>
          <w:lang w:bidi="fr-FR"/>
        </w:rPr>
        <w:t>MINISTÈRE DE LA SANTÉ</w:t>
      </w:r>
    </w:p>
    <w:p w14:paraId="2F1F2712" w14:textId="77777777" w:rsidR="00AC104D" w:rsidRPr="006F7C23" w:rsidRDefault="00AC104D" w:rsidP="00AC104D">
      <w:pPr>
        <w:jc w:val="center"/>
        <w:rPr>
          <w:lang w:val="fr-BE"/>
        </w:rPr>
      </w:pPr>
      <w:r w:rsidRPr="006F7C23">
        <w:rPr>
          <w:lang w:bidi="fr-FR"/>
        </w:rPr>
        <w:t>Travail-Justice-Solidarité</w:t>
      </w:r>
    </w:p>
    <w:p w14:paraId="592AB6B4" w14:textId="27F3E1F8" w:rsidR="00AC104D" w:rsidRPr="00AC104D" w:rsidRDefault="00EF127C" w:rsidP="00EF127C">
      <w:pPr>
        <w:pStyle w:val="Titre"/>
        <w:tabs>
          <w:tab w:val="left" w:pos="1380"/>
        </w:tabs>
      </w:pPr>
      <w:r>
        <w:rPr>
          <w:lang w:bidi="fr-FR"/>
        </w:rPr>
        <w:tab/>
      </w:r>
    </w:p>
    <w:p w14:paraId="587EBF22" w14:textId="3B41733C" w:rsidR="00AC104D" w:rsidRPr="006F7C23" w:rsidRDefault="008E5DCF" w:rsidP="00AC104D">
      <w:pPr>
        <w:jc w:val="center"/>
        <w:rPr>
          <w:noProof/>
          <w:lang w:val="fr-BE" w:eastAsia="fr-FR"/>
        </w:rPr>
      </w:pPr>
      <w:r>
        <w:rPr>
          <w:noProof/>
          <w:lang w:val="fr-BE" w:eastAsia="fr-FR"/>
        </w:rPr>
        <w:drawing>
          <wp:inline distT="0" distB="0" distL="0" distR="0" wp14:anchorId="58EEA215" wp14:editId="7AD5161C">
            <wp:extent cx="914400" cy="1171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6570584001blob.jpg"/>
                    <pic:cNvPicPr/>
                  </pic:nvPicPr>
                  <pic:blipFill>
                    <a:blip r:embed="rId7">
                      <a:extLst>
                        <a:ext uri="{28A0092B-C50C-407E-A947-70E740481C1C}">
                          <a14:useLocalDpi xmlns:a14="http://schemas.microsoft.com/office/drawing/2010/main" val="0"/>
                        </a:ext>
                      </a:extLst>
                    </a:blip>
                    <a:stretch>
                      <a:fillRect/>
                    </a:stretch>
                  </pic:blipFill>
                  <pic:spPr>
                    <a:xfrm>
                      <a:off x="0" y="0"/>
                      <a:ext cx="914400" cy="1171575"/>
                    </a:xfrm>
                    <a:prstGeom prst="rect">
                      <a:avLst/>
                    </a:prstGeom>
                  </pic:spPr>
                </pic:pic>
              </a:graphicData>
            </a:graphic>
          </wp:inline>
        </w:drawing>
      </w:r>
    </w:p>
    <w:p w14:paraId="11774FE0" w14:textId="77777777" w:rsidR="00AC104D" w:rsidRPr="006F7C23" w:rsidRDefault="00AC104D" w:rsidP="00AC104D">
      <w:pPr>
        <w:rPr>
          <w:noProof/>
          <w:lang w:val="fr-BE" w:eastAsia="fr-FR"/>
        </w:rPr>
      </w:pPr>
    </w:p>
    <w:p w14:paraId="71220EE7" w14:textId="1E809217" w:rsidR="0031776F" w:rsidRPr="00AC104D" w:rsidRDefault="00AC104D" w:rsidP="00AC104D">
      <w:pPr>
        <w:jc w:val="center"/>
        <w:rPr>
          <w:b/>
          <w:noProof/>
          <w:sz w:val="32"/>
          <w:lang w:val="fr-BE" w:eastAsia="fr-FR"/>
        </w:rPr>
      </w:pPr>
      <w:r w:rsidRPr="006F7C23">
        <w:rPr>
          <w:b/>
          <w:noProof/>
          <w:sz w:val="32"/>
          <w:szCs w:val="32"/>
          <w:lang w:bidi="fr-FR"/>
        </w:rPr>
        <w:t xml:space="preserve">PROGRAMME NATIONAL DE </w:t>
      </w:r>
      <w:r w:rsidR="008E5DCF">
        <w:rPr>
          <w:b/>
          <w:noProof/>
          <w:sz w:val="32"/>
          <w:szCs w:val="32"/>
          <w:lang w:bidi="fr-FR"/>
        </w:rPr>
        <w:t xml:space="preserve">LUTTE CONTRE LE </w:t>
      </w:r>
      <w:r w:rsidRPr="006F7C23">
        <w:rPr>
          <w:b/>
          <w:noProof/>
          <w:sz w:val="32"/>
          <w:szCs w:val="32"/>
          <w:lang w:bidi="fr-FR"/>
        </w:rPr>
        <w:t>SIDA</w:t>
      </w:r>
      <w:r w:rsidR="008E5DCF">
        <w:rPr>
          <w:b/>
          <w:noProof/>
          <w:sz w:val="32"/>
          <w:szCs w:val="32"/>
          <w:lang w:bidi="fr-FR"/>
        </w:rPr>
        <w:t xml:space="preserve"> ET LES HEPATITES</w:t>
      </w:r>
    </w:p>
    <w:p w14:paraId="36A9EA80" w14:textId="77777777" w:rsidR="0031776F" w:rsidRPr="00AC104D" w:rsidRDefault="0031776F" w:rsidP="0031776F">
      <w:pPr>
        <w:jc w:val="center"/>
        <w:rPr>
          <w:b/>
          <w:sz w:val="48"/>
          <w:szCs w:val="48"/>
        </w:rPr>
      </w:pPr>
    </w:p>
    <w:p w14:paraId="6525F054" w14:textId="6459B0EC" w:rsidR="003377E5" w:rsidRPr="00204846" w:rsidRDefault="00FF50B1" w:rsidP="0031776F">
      <w:pPr>
        <w:jc w:val="center"/>
        <w:rPr>
          <w:b/>
          <w:sz w:val="48"/>
          <w:szCs w:val="48"/>
        </w:rPr>
      </w:pPr>
      <w:r w:rsidRPr="00A612E9">
        <w:rPr>
          <w:b/>
          <w:color w:val="4472C4" w:themeColor="accent5"/>
          <w:sz w:val="48"/>
          <w:szCs w:val="48"/>
          <w:lang w:bidi="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GUINEE : UNE STRATEGIE NATIONALE DIFFERENCIEE EN MATIERE DE CONSEIL ET DE DEPISTAGE DU VIH</w:t>
      </w:r>
      <w:r w:rsidR="0064741A">
        <w:rPr>
          <w:b/>
          <w:sz w:val="48"/>
          <w:szCs w:val="48"/>
          <w:lang w:bidi="fr-FR"/>
        </w:rPr>
        <w:t xml:space="preserve"> </w:t>
      </w:r>
    </w:p>
    <w:p w14:paraId="3BA5DD4C" w14:textId="798FE129" w:rsidR="00781532" w:rsidRDefault="00781532" w:rsidP="004504E6"/>
    <w:p w14:paraId="1DAE6A0A" w14:textId="72BB8BC3" w:rsidR="00781532" w:rsidRDefault="00781532" w:rsidP="004504E6"/>
    <w:p w14:paraId="1FEDBDF7" w14:textId="2B44CED8" w:rsidR="00781532" w:rsidRDefault="00781532" w:rsidP="004504E6"/>
    <w:p w14:paraId="336707B9" w14:textId="4793BB9C" w:rsidR="00781532" w:rsidRDefault="00781532" w:rsidP="004504E6"/>
    <w:p w14:paraId="6689ED61" w14:textId="0658738F" w:rsidR="00781532" w:rsidRDefault="00781532" w:rsidP="004504E6"/>
    <w:p w14:paraId="0A55EE46" w14:textId="08AE6FFF" w:rsidR="00781532" w:rsidRDefault="00781532" w:rsidP="004504E6"/>
    <w:p w14:paraId="270B4415" w14:textId="45C872A4" w:rsidR="00781532" w:rsidRDefault="00781532" w:rsidP="004504E6"/>
    <w:p w14:paraId="35E2CE6D" w14:textId="78793D51" w:rsidR="00781532" w:rsidRDefault="00781532" w:rsidP="004504E6"/>
    <w:p w14:paraId="5E323CAB" w14:textId="2675660A" w:rsidR="00781532" w:rsidRDefault="00781532" w:rsidP="004504E6"/>
    <w:p w14:paraId="00D84CF4" w14:textId="3C6DEC43" w:rsidR="00781532" w:rsidRPr="00F60F69" w:rsidRDefault="00781532" w:rsidP="004504E6">
      <w:r w:rsidRPr="00F60F69">
        <w:rPr>
          <w:lang w:bidi="fr-FR"/>
        </w:rPr>
        <w:t>Version 1</w:t>
      </w:r>
    </w:p>
    <w:p w14:paraId="1D691036" w14:textId="66CA3202" w:rsidR="004504E6" w:rsidRPr="00F60F69" w:rsidRDefault="00E9016C" w:rsidP="004504E6">
      <w:r w:rsidRPr="00F60F69">
        <w:rPr>
          <w:lang w:bidi="fr-FR"/>
        </w:rPr>
        <w:t>Date : 18 février 2018</w:t>
      </w:r>
    </w:p>
    <w:p w14:paraId="4E155889" w14:textId="77777777" w:rsidR="00AA0241" w:rsidRDefault="00AA0241" w:rsidP="00992023">
      <w:pPr>
        <w:pStyle w:val="Titre1"/>
      </w:pPr>
    </w:p>
    <w:p w14:paraId="69AF0355" w14:textId="455AF928" w:rsidR="005631B4" w:rsidRPr="00F60F69" w:rsidRDefault="005631B4" w:rsidP="00992023">
      <w:pPr>
        <w:pStyle w:val="Titre1"/>
      </w:pPr>
      <w:bookmarkStart w:id="0" w:name="_Toc8400000"/>
      <w:r w:rsidRPr="00F60F69">
        <w:rPr>
          <w:lang w:bidi="fr-FR"/>
        </w:rPr>
        <w:t>Remerciements</w:t>
      </w:r>
      <w:bookmarkEnd w:id="0"/>
    </w:p>
    <w:p w14:paraId="003B79AB" w14:textId="5D325494" w:rsidR="00FC5571" w:rsidRPr="00F52D9F" w:rsidRDefault="003B6776" w:rsidP="00E773AA">
      <w:pPr>
        <w:spacing w:line="240" w:lineRule="auto"/>
        <w:jc w:val="both"/>
      </w:pPr>
      <w:r w:rsidRPr="00F52D9F">
        <w:rPr>
          <w:lang w:bidi="fr-FR"/>
        </w:rPr>
        <w:t xml:space="preserve">En Guinée, la stratégie </w:t>
      </w:r>
      <w:r w:rsidR="008E5DCF">
        <w:rPr>
          <w:lang w:bidi="fr-FR"/>
        </w:rPr>
        <w:t xml:space="preserve">nationale </w:t>
      </w:r>
      <w:r w:rsidRPr="00F52D9F">
        <w:rPr>
          <w:lang w:bidi="fr-FR"/>
        </w:rPr>
        <w:t xml:space="preserve">et le plan de mise en œuvre relatifs au conseil et au dépistage différenciés du VIH sont le résultat d’un processus collaboratif qui a fait appel aux contributions et à l’expertise de nombreuses personnes issues de diverses institutions, telles que le Programme </w:t>
      </w:r>
      <w:r w:rsidR="008E5DCF">
        <w:rPr>
          <w:lang w:bidi="fr-FR"/>
        </w:rPr>
        <w:t>N</w:t>
      </w:r>
      <w:r w:rsidR="008E5DCF" w:rsidRPr="00F52D9F">
        <w:rPr>
          <w:lang w:bidi="fr-FR"/>
        </w:rPr>
        <w:t xml:space="preserve">ational </w:t>
      </w:r>
      <w:r w:rsidRPr="00F52D9F">
        <w:rPr>
          <w:lang w:bidi="fr-FR"/>
        </w:rPr>
        <w:t xml:space="preserve">de </w:t>
      </w:r>
      <w:r w:rsidR="008E5DCF">
        <w:rPr>
          <w:lang w:bidi="fr-FR"/>
        </w:rPr>
        <w:t>L</w:t>
      </w:r>
      <w:r w:rsidR="008E5DCF" w:rsidRPr="00F52D9F">
        <w:rPr>
          <w:lang w:bidi="fr-FR"/>
        </w:rPr>
        <w:t xml:space="preserve">utte </w:t>
      </w:r>
      <w:r w:rsidRPr="00F52D9F">
        <w:rPr>
          <w:lang w:bidi="fr-FR"/>
        </w:rPr>
        <w:t xml:space="preserve">contre le </w:t>
      </w:r>
      <w:r w:rsidR="008E5DCF">
        <w:rPr>
          <w:lang w:bidi="fr-FR"/>
        </w:rPr>
        <w:t>S</w:t>
      </w:r>
      <w:r w:rsidRPr="00F52D9F">
        <w:rPr>
          <w:lang w:bidi="fr-FR"/>
        </w:rPr>
        <w:t xml:space="preserve">ida et les </w:t>
      </w:r>
      <w:r w:rsidR="00B612BE">
        <w:rPr>
          <w:lang w:bidi="fr-FR"/>
        </w:rPr>
        <w:t>H</w:t>
      </w:r>
      <w:r w:rsidR="00B612BE" w:rsidRPr="00F52D9F">
        <w:rPr>
          <w:lang w:bidi="fr-FR"/>
        </w:rPr>
        <w:t xml:space="preserve">épatites </w:t>
      </w:r>
      <w:r w:rsidRPr="00F52D9F">
        <w:rPr>
          <w:lang w:bidi="fr-FR"/>
        </w:rPr>
        <w:t xml:space="preserve">(PNLSH), le Comité </w:t>
      </w:r>
      <w:r w:rsidR="00B612BE">
        <w:rPr>
          <w:lang w:bidi="fr-FR"/>
        </w:rPr>
        <w:t>N</w:t>
      </w:r>
      <w:r w:rsidR="00B612BE" w:rsidRPr="00F52D9F">
        <w:rPr>
          <w:lang w:bidi="fr-FR"/>
        </w:rPr>
        <w:t xml:space="preserve">ational </w:t>
      </w:r>
      <w:r w:rsidRPr="00F52D9F">
        <w:rPr>
          <w:lang w:bidi="fr-FR"/>
        </w:rPr>
        <w:t xml:space="preserve">de </w:t>
      </w:r>
      <w:r w:rsidR="00B612BE">
        <w:rPr>
          <w:lang w:bidi="fr-FR"/>
        </w:rPr>
        <w:t>L</w:t>
      </w:r>
      <w:r w:rsidRPr="00F52D9F">
        <w:rPr>
          <w:lang w:bidi="fr-FR"/>
        </w:rPr>
        <w:t xml:space="preserve">utte contre le </w:t>
      </w:r>
      <w:r w:rsidR="00B612BE">
        <w:rPr>
          <w:lang w:bidi="fr-FR"/>
        </w:rPr>
        <w:t>S</w:t>
      </w:r>
      <w:r w:rsidR="00B612BE" w:rsidRPr="00F52D9F">
        <w:rPr>
          <w:lang w:bidi="fr-FR"/>
        </w:rPr>
        <w:t xml:space="preserve">ida </w:t>
      </w:r>
      <w:r w:rsidRPr="00F52D9F">
        <w:rPr>
          <w:lang w:bidi="fr-FR"/>
        </w:rPr>
        <w:t xml:space="preserve">(CNLS), le Programme </w:t>
      </w:r>
      <w:r w:rsidR="00B612BE">
        <w:rPr>
          <w:lang w:bidi="fr-FR"/>
        </w:rPr>
        <w:t>N</w:t>
      </w:r>
      <w:r w:rsidR="00B612BE" w:rsidRPr="00F52D9F">
        <w:rPr>
          <w:lang w:bidi="fr-FR"/>
        </w:rPr>
        <w:t xml:space="preserve">ational </w:t>
      </w:r>
      <w:r w:rsidRPr="00F52D9F">
        <w:rPr>
          <w:lang w:bidi="fr-FR"/>
        </w:rPr>
        <w:t xml:space="preserve">de </w:t>
      </w:r>
      <w:r w:rsidR="00B612BE">
        <w:rPr>
          <w:lang w:bidi="fr-FR"/>
        </w:rPr>
        <w:t>L</w:t>
      </w:r>
      <w:r w:rsidRPr="00F52D9F">
        <w:rPr>
          <w:lang w:bidi="fr-FR"/>
        </w:rPr>
        <w:t xml:space="preserve">utte </w:t>
      </w:r>
      <w:r w:rsidR="00B612BE">
        <w:rPr>
          <w:lang w:bidi="fr-FR"/>
        </w:rPr>
        <w:t>A</w:t>
      </w:r>
      <w:r w:rsidRPr="00F52D9F">
        <w:rPr>
          <w:lang w:bidi="fr-FR"/>
        </w:rPr>
        <w:t>ntituberculeuse (PNLAT), l’</w:t>
      </w:r>
      <w:r w:rsidR="00B612BE">
        <w:rPr>
          <w:lang w:bidi="fr-FR"/>
        </w:rPr>
        <w:t>I</w:t>
      </w:r>
      <w:r w:rsidRPr="00F52D9F">
        <w:rPr>
          <w:lang w:bidi="fr-FR"/>
        </w:rPr>
        <w:t xml:space="preserve">nstance de </w:t>
      </w:r>
      <w:r w:rsidR="00B612BE">
        <w:rPr>
          <w:lang w:bidi="fr-FR"/>
        </w:rPr>
        <w:t>C</w:t>
      </w:r>
      <w:r w:rsidRPr="00F52D9F">
        <w:rPr>
          <w:lang w:bidi="fr-FR"/>
        </w:rPr>
        <w:t xml:space="preserve">oordination </w:t>
      </w:r>
      <w:r w:rsidR="00B612BE">
        <w:rPr>
          <w:lang w:bidi="fr-FR"/>
        </w:rPr>
        <w:t>N</w:t>
      </w:r>
      <w:r w:rsidRPr="00F52D9F">
        <w:rPr>
          <w:lang w:bidi="fr-FR"/>
        </w:rPr>
        <w:t xml:space="preserve">ationale (ICN), le Fonds mondial, </w:t>
      </w:r>
      <w:r w:rsidR="006B716D">
        <w:rPr>
          <w:lang w:bidi="fr-FR"/>
        </w:rPr>
        <w:t>le</w:t>
      </w:r>
      <w:r w:rsidR="006B716D" w:rsidRPr="006B716D">
        <w:t xml:space="preserve"> </w:t>
      </w:r>
      <w:r w:rsidR="006B716D" w:rsidRPr="006B716D">
        <w:rPr>
          <w:lang w:bidi="fr-FR"/>
        </w:rPr>
        <w:t xml:space="preserve">Programme </w:t>
      </w:r>
      <w:r w:rsidR="00B612BE">
        <w:rPr>
          <w:lang w:bidi="fr-FR"/>
        </w:rPr>
        <w:t>C</w:t>
      </w:r>
      <w:r w:rsidR="00B612BE" w:rsidRPr="006B716D">
        <w:rPr>
          <w:lang w:bidi="fr-FR"/>
        </w:rPr>
        <w:t xml:space="preserve">ommun </w:t>
      </w:r>
      <w:r w:rsidR="006B716D" w:rsidRPr="006B716D">
        <w:rPr>
          <w:lang w:bidi="fr-FR"/>
        </w:rPr>
        <w:t>des Nations Unies sur le VIH/sida</w:t>
      </w:r>
      <w:r w:rsidRPr="00F52D9F">
        <w:rPr>
          <w:lang w:bidi="fr-FR"/>
        </w:rPr>
        <w:t xml:space="preserve">, la Société </w:t>
      </w:r>
      <w:r w:rsidR="00B612BE">
        <w:rPr>
          <w:lang w:bidi="fr-FR"/>
        </w:rPr>
        <w:t>I</w:t>
      </w:r>
      <w:r w:rsidRPr="00F52D9F">
        <w:rPr>
          <w:lang w:bidi="fr-FR"/>
        </w:rPr>
        <w:t xml:space="preserve">nternationale du </w:t>
      </w:r>
      <w:r w:rsidR="00B612BE">
        <w:rPr>
          <w:lang w:bidi="fr-FR"/>
        </w:rPr>
        <w:t>S</w:t>
      </w:r>
      <w:r w:rsidR="00B612BE" w:rsidRPr="00F52D9F">
        <w:rPr>
          <w:lang w:bidi="fr-FR"/>
        </w:rPr>
        <w:t>ida</w:t>
      </w:r>
      <w:r w:rsidRPr="00F52D9F">
        <w:rPr>
          <w:lang w:bidi="fr-FR"/>
        </w:rPr>
        <w:t xml:space="preserve">, l’Organisation </w:t>
      </w:r>
      <w:r w:rsidR="00B612BE">
        <w:rPr>
          <w:lang w:bidi="fr-FR"/>
        </w:rPr>
        <w:t>M</w:t>
      </w:r>
      <w:r w:rsidR="00B612BE" w:rsidRPr="00F52D9F">
        <w:rPr>
          <w:lang w:bidi="fr-FR"/>
        </w:rPr>
        <w:t xml:space="preserve">ondiale </w:t>
      </w:r>
      <w:r w:rsidRPr="00F52D9F">
        <w:rPr>
          <w:lang w:bidi="fr-FR"/>
        </w:rPr>
        <w:t xml:space="preserve">de la Santé (OMS), le Fonds des Nations Unies pour la population (UNFPA), </w:t>
      </w:r>
      <w:r w:rsidR="00B612BE" w:rsidRPr="00F52D9F">
        <w:rPr>
          <w:lang w:bidi="fr-FR"/>
        </w:rPr>
        <w:t xml:space="preserve">le Fonds des Nations Unies </w:t>
      </w:r>
      <w:r w:rsidR="00B612BE">
        <w:rPr>
          <w:lang w:bidi="fr-FR"/>
        </w:rPr>
        <w:t xml:space="preserve">pour l’enfance (UNICEF), </w:t>
      </w:r>
      <w:r w:rsidRPr="00F52D9F">
        <w:rPr>
          <w:lang w:bidi="fr-FR"/>
        </w:rPr>
        <w:t xml:space="preserve">les </w:t>
      </w:r>
      <w:r w:rsidR="00B612BE">
        <w:rPr>
          <w:lang w:bidi="fr-FR"/>
        </w:rPr>
        <w:t>O</w:t>
      </w:r>
      <w:r w:rsidR="00B612BE" w:rsidRPr="00F52D9F">
        <w:rPr>
          <w:lang w:bidi="fr-FR"/>
        </w:rPr>
        <w:t xml:space="preserve">rganisations </w:t>
      </w:r>
      <w:r w:rsidR="00B612BE">
        <w:rPr>
          <w:lang w:bidi="fr-FR"/>
        </w:rPr>
        <w:t>N</w:t>
      </w:r>
      <w:r w:rsidR="00B612BE" w:rsidRPr="00F52D9F">
        <w:rPr>
          <w:lang w:bidi="fr-FR"/>
        </w:rPr>
        <w:t xml:space="preserve">on </w:t>
      </w:r>
      <w:r w:rsidR="00B612BE">
        <w:rPr>
          <w:lang w:bidi="fr-FR"/>
        </w:rPr>
        <w:t>G</w:t>
      </w:r>
      <w:r w:rsidR="00B612BE" w:rsidRPr="00F52D9F">
        <w:rPr>
          <w:lang w:bidi="fr-FR"/>
        </w:rPr>
        <w:t xml:space="preserve">ouvernementales </w:t>
      </w:r>
      <w:r w:rsidRPr="00F52D9F">
        <w:rPr>
          <w:lang w:bidi="fr-FR"/>
        </w:rPr>
        <w:t>Médecins Sans Frontières (MSF) Belgique, Fraternité Médicale Guinée (FMG), DREAM, Plan International</w:t>
      </w:r>
      <w:r w:rsidR="00B612BE">
        <w:rPr>
          <w:lang w:bidi="fr-FR"/>
        </w:rPr>
        <w:t xml:space="preserve"> Guinée</w:t>
      </w:r>
      <w:r w:rsidRPr="00F52D9F">
        <w:rPr>
          <w:lang w:bidi="fr-FR"/>
        </w:rPr>
        <w:t>, Population Services International (PSI), Solthis, Jhpiego et la Croix-Rouge française.</w:t>
      </w:r>
    </w:p>
    <w:p w14:paraId="63515F76" w14:textId="7B8FC35D" w:rsidR="00EE6978" w:rsidRPr="00BC60CB" w:rsidRDefault="00EE6978" w:rsidP="00E773AA">
      <w:pPr>
        <w:spacing w:line="240" w:lineRule="auto"/>
        <w:jc w:val="both"/>
      </w:pPr>
      <w:r w:rsidRPr="00BC60CB">
        <w:rPr>
          <w:lang w:bidi="fr-FR"/>
        </w:rPr>
        <w:t xml:space="preserve">Nous remercions particulièrement les membres du groupe de travail du « premier 90 », qui ont mis leur temps et leur expertise au service de l’élaboration de la présente stratégie et, plus spécialement, le </w:t>
      </w:r>
      <w:r w:rsidR="00B612BE">
        <w:rPr>
          <w:lang w:bidi="fr-FR"/>
        </w:rPr>
        <w:t>personnel du PNLSH</w:t>
      </w:r>
      <w:r w:rsidRPr="00BC60CB">
        <w:rPr>
          <w:lang w:bidi="fr-FR"/>
        </w:rPr>
        <w:t>. Nous remercions aussi chaleureusement les nombreuses personnes qui, sous différentes formes, ont consacré leur temps, leur énergie et leurs compétences à l’élaboration de la présente stratégie, notamment le</w:t>
      </w:r>
      <w:r w:rsidR="005A4C0A">
        <w:rPr>
          <w:lang w:bidi="fr-FR"/>
        </w:rPr>
        <w:t xml:space="preserve">s collèges de l’Equipe Interpays de l’OMS à Ouagadougou et de Genève, les collègues de l’Equipe Pays Fonds mondial ainsi que les consultants et experts qui ont accepté organiser, modérer, animer </w:t>
      </w:r>
      <w:bookmarkStart w:id="1" w:name="_GoBack"/>
      <w:bookmarkEnd w:id="1"/>
      <w:r w:rsidR="002E393C">
        <w:rPr>
          <w:lang w:bidi="fr-FR"/>
        </w:rPr>
        <w:t>l</w:t>
      </w:r>
      <w:r w:rsidRPr="00BC60CB">
        <w:rPr>
          <w:lang w:bidi="fr-FR"/>
        </w:rPr>
        <w:t xml:space="preserve">es ateliers et </w:t>
      </w:r>
      <w:r w:rsidR="002E393C">
        <w:rPr>
          <w:lang w:bidi="fr-FR"/>
        </w:rPr>
        <w:t xml:space="preserve">pour </w:t>
      </w:r>
      <w:r w:rsidRPr="00BC60CB">
        <w:rPr>
          <w:lang w:bidi="fr-FR"/>
        </w:rPr>
        <w:t xml:space="preserve">leur appui constant. </w:t>
      </w:r>
    </w:p>
    <w:p w14:paraId="52D2EEF6" w14:textId="5546B72D" w:rsidR="007A3CA0" w:rsidRPr="00BC60CB" w:rsidRDefault="007A3CA0" w:rsidP="00E773AA">
      <w:pPr>
        <w:spacing w:line="240" w:lineRule="auto"/>
        <w:jc w:val="both"/>
      </w:pPr>
      <w:r w:rsidRPr="00BC60CB">
        <w:rPr>
          <w:lang w:bidi="fr-FR"/>
        </w:rPr>
        <w:t>L’élaboration</w:t>
      </w:r>
      <w:r w:rsidR="002E393C">
        <w:rPr>
          <w:lang w:bidi="fr-FR"/>
        </w:rPr>
        <w:t>,</w:t>
      </w:r>
      <w:r w:rsidRPr="00BC60CB">
        <w:rPr>
          <w:lang w:bidi="fr-FR"/>
        </w:rPr>
        <w:t xml:space="preserve"> le déploiement de la stratégie et du plan de mise en œuvre relatifs au dépistage du VIH ont été rendus possibles grâce au soutien financier du Fonds mondial et à l’assistance technique de l’OMS.</w:t>
      </w:r>
    </w:p>
    <w:p w14:paraId="2D5313A0" w14:textId="4C97385C" w:rsidR="00E81977" w:rsidRDefault="00E81977" w:rsidP="0067541B">
      <w:pPr>
        <w:pStyle w:val="Sansinterligne"/>
        <w:jc w:val="both"/>
        <w:rPr>
          <w:rFonts w:cstheme="minorHAnsi"/>
        </w:rPr>
      </w:pPr>
    </w:p>
    <w:p w14:paraId="6059F4AA" w14:textId="5472167D" w:rsidR="00E81977" w:rsidRDefault="00E81977" w:rsidP="0067541B">
      <w:pPr>
        <w:pStyle w:val="Sansinterligne"/>
        <w:jc w:val="both"/>
        <w:rPr>
          <w:rFonts w:cstheme="minorHAnsi"/>
        </w:rPr>
      </w:pPr>
    </w:p>
    <w:p w14:paraId="37D5A71B" w14:textId="6A200247" w:rsidR="00E81977" w:rsidRDefault="00E81977" w:rsidP="0067541B">
      <w:pPr>
        <w:pStyle w:val="Sansinterligne"/>
        <w:jc w:val="both"/>
        <w:rPr>
          <w:rFonts w:cstheme="minorHAnsi"/>
        </w:rPr>
      </w:pPr>
    </w:p>
    <w:p w14:paraId="69044019" w14:textId="7CFD40B3" w:rsidR="00E81977" w:rsidRDefault="00E81977" w:rsidP="0067541B">
      <w:pPr>
        <w:pStyle w:val="Sansinterligne"/>
        <w:jc w:val="both"/>
        <w:rPr>
          <w:rFonts w:cstheme="minorHAnsi"/>
        </w:rPr>
      </w:pPr>
    </w:p>
    <w:p w14:paraId="5F491023" w14:textId="1DB37363" w:rsidR="00EC4A50" w:rsidRDefault="00EC4A50">
      <w:pPr>
        <w:rPr>
          <w:rFonts w:cstheme="minorHAnsi"/>
        </w:rPr>
      </w:pPr>
      <w:r>
        <w:rPr>
          <w:rFonts w:cstheme="minorHAnsi"/>
        </w:rPr>
        <w:br w:type="page"/>
      </w:r>
    </w:p>
    <w:p w14:paraId="5E142EE7" w14:textId="0B26BCCA" w:rsidR="00582C9E" w:rsidRDefault="005E6B82" w:rsidP="00FB13E3">
      <w:pPr>
        <w:jc w:val="center"/>
        <w:rPr>
          <w:b/>
          <w:sz w:val="28"/>
          <w:szCs w:val="28"/>
        </w:rPr>
      </w:pPr>
      <w:r w:rsidRPr="00EC5BF9">
        <w:rPr>
          <w:b/>
          <w:sz w:val="28"/>
          <w:szCs w:val="28"/>
          <w:lang w:bidi="fr-FR"/>
        </w:rPr>
        <w:lastRenderedPageBreak/>
        <w:t>Table des matières</w:t>
      </w:r>
    </w:p>
    <w:sdt>
      <w:sdtPr>
        <w:rPr>
          <w:rFonts w:asciiTheme="minorHAnsi" w:eastAsiaTheme="minorHAnsi" w:hAnsiTheme="minorHAnsi" w:cstheme="minorBidi"/>
          <w:b w:val="0"/>
          <w:sz w:val="22"/>
          <w:szCs w:val="22"/>
          <w:lang w:val="en-GB"/>
        </w:rPr>
        <w:id w:val="-538426333"/>
        <w:docPartObj>
          <w:docPartGallery w:val="Table of Contents"/>
          <w:docPartUnique/>
        </w:docPartObj>
      </w:sdtPr>
      <w:sdtEndPr>
        <w:rPr>
          <w:bCs/>
          <w:noProof/>
        </w:rPr>
      </w:sdtEndPr>
      <w:sdtContent>
        <w:p w14:paraId="5F07185C" w14:textId="65032A6F" w:rsidR="00FB13E3" w:rsidRDefault="00FB13E3">
          <w:pPr>
            <w:pStyle w:val="En-ttedetabledesmatires"/>
          </w:pPr>
          <w:r>
            <w:rPr>
              <w:lang w:val="fr-FR" w:bidi="fr-FR"/>
            </w:rPr>
            <w:t> </w:t>
          </w:r>
        </w:p>
        <w:p w14:paraId="11C83C22" w14:textId="41EA7F90" w:rsidR="008736C9" w:rsidRDefault="00FB13E3">
          <w:pPr>
            <w:pStyle w:val="TM1"/>
            <w:tabs>
              <w:tab w:val="right" w:leader="dot" w:pos="9016"/>
            </w:tabs>
            <w:rPr>
              <w:rFonts w:eastAsiaTheme="minorEastAsia"/>
              <w:noProof/>
              <w:lang w:eastAsia="fr-FR"/>
            </w:rPr>
          </w:pPr>
          <w:r>
            <w:rPr>
              <w:lang w:bidi="fr-FR"/>
            </w:rPr>
            <w:fldChar w:fldCharType="begin"/>
          </w:r>
          <w:r>
            <w:rPr>
              <w:lang w:bidi="fr-FR"/>
            </w:rPr>
            <w:instrText xml:space="preserve"> TOC \o "1-3" \h \z \u </w:instrText>
          </w:r>
          <w:r>
            <w:rPr>
              <w:lang w:bidi="fr-FR"/>
            </w:rPr>
            <w:fldChar w:fldCharType="separate"/>
          </w:r>
          <w:hyperlink w:anchor="_Toc8400000" w:history="1">
            <w:r w:rsidR="008736C9" w:rsidRPr="00286405">
              <w:rPr>
                <w:rStyle w:val="Lienhypertexte"/>
                <w:noProof/>
                <w:lang w:bidi="fr-FR"/>
              </w:rPr>
              <w:t>Remerciements</w:t>
            </w:r>
            <w:r w:rsidR="008736C9">
              <w:rPr>
                <w:noProof/>
                <w:webHidden/>
              </w:rPr>
              <w:tab/>
            </w:r>
            <w:r w:rsidR="008736C9">
              <w:rPr>
                <w:noProof/>
                <w:webHidden/>
              </w:rPr>
              <w:fldChar w:fldCharType="begin"/>
            </w:r>
            <w:r w:rsidR="008736C9">
              <w:rPr>
                <w:noProof/>
                <w:webHidden/>
              </w:rPr>
              <w:instrText xml:space="preserve"> PAGEREF _Toc8400000 \h </w:instrText>
            </w:r>
            <w:r w:rsidR="008736C9">
              <w:rPr>
                <w:noProof/>
                <w:webHidden/>
              </w:rPr>
            </w:r>
            <w:r w:rsidR="008736C9">
              <w:rPr>
                <w:noProof/>
                <w:webHidden/>
              </w:rPr>
              <w:fldChar w:fldCharType="separate"/>
            </w:r>
            <w:r w:rsidR="008736C9">
              <w:rPr>
                <w:noProof/>
                <w:webHidden/>
              </w:rPr>
              <w:t>2</w:t>
            </w:r>
            <w:r w:rsidR="008736C9">
              <w:rPr>
                <w:noProof/>
                <w:webHidden/>
              </w:rPr>
              <w:fldChar w:fldCharType="end"/>
            </w:r>
          </w:hyperlink>
        </w:p>
        <w:p w14:paraId="49B7A431" w14:textId="15A44994" w:rsidR="008736C9" w:rsidRDefault="000C02C7">
          <w:pPr>
            <w:pStyle w:val="TM1"/>
            <w:tabs>
              <w:tab w:val="right" w:leader="dot" w:pos="9016"/>
            </w:tabs>
            <w:rPr>
              <w:rFonts w:eastAsiaTheme="minorEastAsia"/>
              <w:noProof/>
              <w:lang w:eastAsia="fr-FR"/>
            </w:rPr>
          </w:pPr>
          <w:hyperlink w:anchor="_Toc8400001" w:history="1">
            <w:r w:rsidR="002E393C" w:rsidRPr="00286405">
              <w:rPr>
                <w:rStyle w:val="Lienhypertexte"/>
                <w:noProof/>
                <w:lang w:bidi="fr-FR"/>
              </w:rPr>
              <w:t>Glossaire</w:t>
            </w:r>
            <w:r w:rsidR="008736C9">
              <w:rPr>
                <w:noProof/>
                <w:webHidden/>
              </w:rPr>
              <w:tab/>
            </w:r>
            <w:r w:rsidR="008736C9">
              <w:rPr>
                <w:noProof/>
                <w:webHidden/>
              </w:rPr>
              <w:fldChar w:fldCharType="begin"/>
            </w:r>
            <w:r w:rsidR="008736C9">
              <w:rPr>
                <w:noProof/>
                <w:webHidden/>
              </w:rPr>
              <w:instrText xml:space="preserve"> PAGEREF _Toc8400001 \h </w:instrText>
            </w:r>
            <w:r w:rsidR="008736C9">
              <w:rPr>
                <w:noProof/>
                <w:webHidden/>
              </w:rPr>
            </w:r>
            <w:r w:rsidR="008736C9">
              <w:rPr>
                <w:noProof/>
                <w:webHidden/>
              </w:rPr>
              <w:fldChar w:fldCharType="separate"/>
            </w:r>
            <w:r w:rsidR="008736C9">
              <w:rPr>
                <w:noProof/>
                <w:webHidden/>
              </w:rPr>
              <w:t>7</w:t>
            </w:r>
            <w:r w:rsidR="008736C9">
              <w:rPr>
                <w:noProof/>
                <w:webHidden/>
              </w:rPr>
              <w:fldChar w:fldCharType="end"/>
            </w:r>
          </w:hyperlink>
        </w:p>
        <w:p w14:paraId="2522BC5A" w14:textId="6F2823CA" w:rsidR="008736C9" w:rsidRDefault="000C02C7">
          <w:pPr>
            <w:pStyle w:val="TM1"/>
            <w:tabs>
              <w:tab w:val="right" w:leader="dot" w:pos="9016"/>
            </w:tabs>
            <w:rPr>
              <w:rFonts w:eastAsiaTheme="minorEastAsia"/>
              <w:noProof/>
              <w:lang w:eastAsia="fr-FR"/>
            </w:rPr>
          </w:pPr>
          <w:hyperlink w:anchor="_Toc8400002" w:history="1">
            <w:r w:rsidR="008736C9" w:rsidRPr="00286405">
              <w:rPr>
                <w:rStyle w:val="Lienhypertexte"/>
                <w:noProof/>
                <w:lang w:bidi="fr-FR"/>
              </w:rPr>
              <w:t>1. Contexte</w:t>
            </w:r>
            <w:r w:rsidR="008736C9">
              <w:rPr>
                <w:noProof/>
                <w:webHidden/>
              </w:rPr>
              <w:tab/>
            </w:r>
            <w:r w:rsidR="008736C9">
              <w:rPr>
                <w:noProof/>
                <w:webHidden/>
              </w:rPr>
              <w:fldChar w:fldCharType="begin"/>
            </w:r>
            <w:r w:rsidR="008736C9">
              <w:rPr>
                <w:noProof/>
                <w:webHidden/>
              </w:rPr>
              <w:instrText xml:space="preserve"> PAGEREF _Toc8400002 \h </w:instrText>
            </w:r>
            <w:r w:rsidR="008736C9">
              <w:rPr>
                <w:noProof/>
                <w:webHidden/>
              </w:rPr>
            </w:r>
            <w:r w:rsidR="008736C9">
              <w:rPr>
                <w:noProof/>
                <w:webHidden/>
              </w:rPr>
              <w:fldChar w:fldCharType="separate"/>
            </w:r>
            <w:r w:rsidR="008736C9">
              <w:rPr>
                <w:noProof/>
                <w:webHidden/>
              </w:rPr>
              <w:t>11</w:t>
            </w:r>
            <w:r w:rsidR="008736C9">
              <w:rPr>
                <w:noProof/>
                <w:webHidden/>
              </w:rPr>
              <w:fldChar w:fldCharType="end"/>
            </w:r>
          </w:hyperlink>
        </w:p>
        <w:p w14:paraId="40A08649" w14:textId="5780F97C" w:rsidR="008736C9" w:rsidRDefault="000C02C7">
          <w:pPr>
            <w:pStyle w:val="TM2"/>
            <w:tabs>
              <w:tab w:val="right" w:leader="dot" w:pos="9016"/>
            </w:tabs>
            <w:rPr>
              <w:rFonts w:eastAsiaTheme="minorEastAsia"/>
              <w:noProof/>
              <w:lang w:eastAsia="fr-FR"/>
            </w:rPr>
          </w:pPr>
          <w:hyperlink w:anchor="_Toc8400003" w:history="1">
            <w:r w:rsidR="008736C9" w:rsidRPr="00286405">
              <w:rPr>
                <w:rStyle w:val="Lienhypertexte"/>
                <w:noProof/>
                <w:lang w:bidi="fr-FR"/>
              </w:rPr>
              <w:t>1.1 Introduction</w:t>
            </w:r>
            <w:r w:rsidR="008736C9">
              <w:rPr>
                <w:noProof/>
                <w:webHidden/>
              </w:rPr>
              <w:tab/>
            </w:r>
            <w:r w:rsidR="008736C9">
              <w:rPr>
                <w:noProof/>
                <w:webHidden/>
              </w:rPr>
              <w:fldChar w:fldCharType="begin"/>
            </w:r>
            <w:r w:rsidR="008736C9">
              <w:rPr>
                <w:noProof/>
                <w:webHidden/>
              </w:rPr>
              <w:instrText xml:space="preserve"> PAGEREF _Toc8400003 \h </w:instrText>
            </w:r>
            <w:r w:rsidR="008736C9">
              <w:rPr>
                <w:noProof/>
                <w:webHidden/>
              </w:rPr>
            </w:r>
            <w:r w:rsidR="008736C9">
              <w:rPr>
                <w:noProof/>
                <w:webHidden/>
              </w:rPr>
              <w:fldChar w:fldCharType="separate"/>
            </w:r>
            <w:r w:rsidR="008736C9">
              <w:rPr>
                <w:noProof/>
                <w:webHidden/>
              </w:rPr>
              <w:t>11</w:t>
            </w:r>
            <w:r w:rsidR="008736C9">
              <w:rPr>
                <w:noProof/>
                <w:webHidden/>
              </w:rPr>
              <w:fldChar w:fldCharType="end"/>
            </w:r>
          </w:hyperlink>
        </w:p>
        <w:p w14:paraId="694C8432" w14:textId="4ECCE601" w:rsidR="008736C9" w:rsidRDefault="000C02C7">
          <w:pPr>
            <w:pStyle w:val="TM2"/>
            <w:tabs>
              <w:tab w:val="right" w:leader="dot" w:pos="9016"/>
            </w:tabs>
            <w:rPr>
              <w:rFonts w:eastAsiaTheme="minorEastAsia"/>
              <w:noProof/>
              <w:lang w:eastAsia="fr-FR"/>
            </w:rPr>
          </w:pPr>
          <w:hyperlink w:anchor="_Toc8400004" w:history="1">
            <w:r w:rsidR="008736C9" w:rsidRPr="00286405">
              <w:rPr>
                <w:rStyle w:val="Lienhypertexte"/>
                <w:noProof/>
                <w:lang w:bidi="fr-FR"/>
              </w:rPr>
              <w:t>1.2 Objectif et champ d’application</w:t>
            </w:r>
            <w:r w:rsidR="008736C9">
              <w:rPr>
                <w:noProof/>
                <w:webHidden/>
              </w:rPr>
              <w:tab/>
            </w:r>
            <w:r w:rsidR="008736C9">
              <w:rPr>
                <w:noProof/>
                <w:webHidden/>
              </w:rPr>
              <w:fldChar w:fldCharType="begin"/>
            </w:r>
            <w:r w:rsidR="008736C9">
              <w:rPr>
                <w:noProof/>
                <w:webHidden/>
              </w:rPr>
              <w:instrText xml:space="preserve"> PAGEREF _Toc8400004 \h </w:instrText>
            </w:r>
            <w:r w:rsidR="008736C9">
              <w:rPr>
                <w:noProof/>
                <w:webHidden/>
              </w:rPr>
            </w:r>
            <w:r w:rsidR="008736C9">
              <w:rPr>
                <w:noProof/>
                <w:webHidden/>
              </w:rPr>
              <w:fldChar w:fldCharType="separate"/>
            </w:r>
            <w:r w:rsidR="008736C9">
              <w:rPr>
                <w:noProof/>
                <w:webHidden/>
              </w:rPr>
              <w:t>11</w:t>
            </w:r>
            <w:r w:rsidR="008736C9">
              <w:rPr>
                <w:noProof/>
                <w:webHidden/>
              </w:rPr>
              <w:fldChar w:fldCharType="end"/>
            </w:r>
          </w:hyperlink>
        </w:p>
        <w:p w14:paraId="37785EA9" w14:textId="49404A82" w:rsidR="008736C9" w:rsidRDefault="000C02C7">
          <w:pPr>
            <w:pStyle w:val="TM2"/>
            <w:tabs>
              <w:tab w:val="right" w:leader="dot" w:pos="9016"/>
            </w:tabs>
            <w:rPr>
              <w:rFonts w:eastAsiaTheme="minorEastAsia"/>
              <w:noProof/>
              <w:lang w:eastAsia="fr-FR"/>
            </w:rPr>
          </w:pPr>
          <w:hyperlink w:anchor="_Toc8400005" w:history="1">
            <w:r w:rsidR="008736C9" w:rsidRPr="00286405">
              <w:rPr>
                <w:rStyle w:val="Lienhypertexte"/>
                <w:rFonts w:eastAsia="BrandonText-Light"/>
                <w:noProof/>
                <w:lang w:bidi="fr-FR"/>
              </w:rPr>
              <w:t>1.3 Services différenciés de dépistage du VIH</w:t>
            </w:r>
            <w:r w:rsidR="008736C9">
              <w:rPr>
                <w:noProof/>
                <w:webHidden/>
              </w:rPr>
              <w:tab/>
            </w:r>
            <w:r w:rsidR="008736C9">
              <w:rPr>
                <w:noProof/>
                <w:webHidden/>
              </w:rPr>
              <w:fldChar w:fldCharType="begin"/>
            </w:r>
            <w:r w:rsidR="008736C9">
              <w:rPr>
                <w:noProof/>
                <w:webHidden/>
              </w:rPr>
              <w:instrText xml:space="preserve"> PAGEREF _Toc8400005 \h </w:instrText>
            </w:r>
            <w:r w:rsidR="008736C9">
              <w:rPr>
                <w:noProof/>
                <w:webHidden/>
              </w:rPr>
            </w:r>
            <w:r w:rsidR="008736C9">
              <w:rPr>
                <w:noProof/>
                <w:webHidden/>
              </w:rPr>
              <w:fldChar w:fldCharType="separate"/>
            </w:r>
            <w:r w:rsidR="008736C9">
              <w:rPr>
                <w:noProof/>
                <w:webHidden/>
              </w:rPr>
              <w:t>12</w:t>
            </w:r>
            <w:r w:rsidR="008736C9">
              <w:rPr>
                <w:noProof/>
                <w:webHidden/>
              </w:rPr>
              <w:fldChar w:fldCharType="end"/>
            </w:r>
          </w:hyperlink>
        </w:p>
        <w:p w14:paraId="1FD453D6" w14:textId="5AF50AED" w:rsidR="008736C9" w:rsidRDefault="000C02C7">
          <w:pPr>
            <w:pStyle w:val="TM1"/>
            <w:tabs>
              <w:tab w:val="right" w:leader="dot" w:pos="9016"/>
            </w:tabs>
            <w:rPr>
              <w:rFonts w:eastAsiaTheme="minorEastAsia"/>
              <w:noProof/>
              <w:lang w:eastAsia="fr-FR"/>
            </w:rPr>
          </w:pPr>
          <w:hyperlink w:anchor="_Toc8400006" w:history="1">
            <w:r w:rsidR="008736C9" w:rsidRPr="00286405">
              <w:rPr>
                <w:rStyle w:val="Lienhypertexte"/>
                <w:noProof/>
                <w:lang w:bidi="fr-FR"/>
              </w:rPr>
              <w:t>2. Approche</w:t>
            </w:r>
            <w:r w:rsidR="008736C9">
              <w:rPr>
                <w:noProof/>
                <w:webHidden/>
              </w:rPr>
              <w:tab/>
            </w:r>
            <w:r w:rsidR="008736C9">
              <w:rPr>
                <w:noProof/>
                <w:webHidden/>
              </w:rPr>
              <w:fldChar w:fldCharType="begin"/>
            </w:r>
            <w:r w:rsidR="008736C9">
              <w:rPr>
                <w:noProof/>
                <w:webHidden/>
              </w:rPr>
              <w:instrText xml:space="preserve"> PAGEREF _Toc8400006 \h </w:instrText>
            </w:r>
            <w:r w:rsidR="008736C9">
              <w:rPr>
                <w:noProof/>
                <w:webHidden/>
              </w:rPr>
            </w:r>
            <w:r w:rsidR="008736C9">
              <w:rPr>
                <w:noProof/>
                <w:webHidden/>
              </w:rPr>
              <w:fldChar w:fldCharType="separate"/>
            </w:r>
            <w:r w:rsidR="008736C9">
              <w:rPr>
                <w:noProof/>
                <w:webHidden/>
              </w:rPr>
              <w:t>14</w:t>
            </w:r>
            <w:r w:rsidR="008736C9">
              <w:rPr>
                <w:noProof/>
                <w:webHidden/>
              </w:rPr>
              <w:fldChar w:fldCharType="end"/>
            </w:r>
          </w:hyperlink>
        </w:p>
        <w:p w14:paraId="2FA0F56F" w14:textId="6B73385A" w:rsidR="008736C9" w:rsidRDefault="000C02C7">
          <w:pPr>
            <w:pStyle w:val="TM2"/>
            <w:tabs>
              <w:tab w:val="right" w:leader="dot" w:pos="9016"/>
            </w:tabs>
            <w:rPr>
              <w:rFonts w:eastAsiaTheme="minorEastAsia"/>
              <w:noProof/>
              <w:lang w:eastAsia="fr-FR"/>
            </w:rPr>
          </w:pPr>
          <w:hyperlink w:anchor="_Toc8400007" w:history="1">
            <w:r w:rsidR="008736C9" w:rsidRPr="00286405">
              <w:rPr>
                <w:rStyle w:val="Lienhypertexte"/>
                <w:noProof/>
                <w:lang w:bidi="fr-FR"/>
              </w:rPr>
              <w:t>2.1 Cadre</w:t>
            </w:r>
            <w:r w:rsidR="008736C9">
              <w:rPr>
                <w:noProof/>
                <w:webHidden/>
              </w:rPr>
              <w:tab/>
            </w:r>
            <w:r w:rsidR="008736C9">
              <w:rPr>
                <w:noProof/>
                <w:webHidden/>
              </w:rPr>
              <w:fldChar w:fldCharType="begin"/>
            </w:r>
            <w:r w:rsidR="008736C9">
              <w:rPr>
                <w:noProof/>
                <w:webHidden/>
              </w:rPr>
              <w:instrText xml:space="preserve"> PAGEREF _Toc8400007 \h </w:instrText>
            </w:r>
            <w:r w:rsidR="008736C9">
              <w:rPr>
                <w:noProof/>
                <w:webHidden/>
              </w:rPr>
            </w:r>
            <w:r w:rsidR="008736C9">
              <w:rPr>
                <w:noProof/>
                <w:webHidden/>
              </w:rPr>
              <w:fldChar w:fldCharType="separate"/>
            </w:r>
            <w:r w:rsidR="008736C9">
              <w:rPr>
                <w:noProof/>
                <w:webHidden/>
              </w:rPr>
              <w:t>14</w:t>
            </w:r>
            <w:r w:rsidR="008736C9">
              <w:rPr>
                <w:noProof/>
                <w:webHidden/>
              </w:rPr>
              <w:fldChar w:fldCharType="end"/>
            </w:r>
          </w:hyperlink>
        </w:p>
        <w:p w14:paraId="4CF4821C" w14:textId="540C3880" w:rsidR="008736C9" w:rsidRDefault="000C02C7">
          <w:pPr>
            <w:pStyle w:val="TM2"/>
            <w:tabs>
              <w:tab w:val="right" w:leader="dot" w:pos="9016"/>
            </w:tabs>
            <w:rPr>
              <w:rFonts w:eastAsiaTheme="minorEastAsia"/>
              <w:noProof/>
              <w:lang w:eastAsia="fr-FR"/>
            </w:rPr>
          </w:pPr>
          <w:hyperlink w:anchor="_Toc8400008" w:history="1">
            <w:r w:rsidR="008736C9" w:rsidRPr="00286405">
              <w:rPr>
                <w:rStyle w:val="Lienhypertexte"/>
                <w:noProof/>
                <w:lang w:bidi="fr-FR"/>
              </w:rPr>
              <w:t>2.2 Analyse de la situation</w:t>
            </w:r>
            <w:r w:rsidR="008736C9">
              <w:rPr>
                <w:noProof/>
                <w:webHidden/>
              </w:rPr>
              <w:tab/>
            </w:r>
            <w:r w:rsidR="008736C9">
              <w:rPr>
                <w:noProof/>
                <w:webHidden/>
              </w:rPr>
              <w:fldChar w:fldCharType="begin"/>
            </w:r>
            <w:r w:rsidR="008736C9">
              <w:rPr>
                <w:noProof/>
                <w:webHidden/>
              </w:rPr>
              <w:instrText xml:space="preserve"> PAGEREF _Toc8400008 \h </w:instrText>
            </w:r>
            <w:r w:rsidR="008736C9">
              <w:rPr>
                <w:noProof/>
                <w:webHidden/>
              </w:rPr>
            </w:r>
            <w:r w:rsidR="008736C9">
              <w:rPr>
                <w:noProof/>
                <w:webHidden/>
              </w:rPr>
              <w:fldChar w:fldCharType="separate"/>
            </w:r>
            <w:r w:rsidR="008736C9">
              <w:rPr>
                <w:noProof/>
                <w:webHidden/>
              </w:rPr>
              <w:t>14</w:t>
            </w:r>
            <w:r w:rsidR="008736C9">
              <w:rPr>
                <w:noProof/>
                <w:webHidden/>
              </w:rPr>
              <w:fldChar w:fldCharType="end"/>
            </w:r>
          </w:hyperlink>
        </w:p>
        <w:p w14:paraId="5B303D65" w14:textId="74E8CD89" w:rsidR="008736C9" w:rsidRDefault="000C02C7">
          <w:pPr>
            <w:pStyle w:val="TM3"/>
            <w:tabs>
              <w:tab w:val="right" w:leader="dot" w:pos="9016"/>
            </w:tabs>
            <w:rPr>
              <w:rFonts w:eastAsiaTheme="minorEastAsia"/>
              <w:noProof/>
              <w:lang w:eastAsia="fr-FR"/>
            </w:rPr>
          </w:pPr>
          <w:hyperlink w:anchor="_Toc8400009" w:history="1">
            <w:r w:rsidR="008736C9" w:rsidRPr="00286405">
              <w:rPr>
                <w:rStyle w:val="Lienhypertexte"/>
                <w:noProof/>
                <w:lang w:bidi="fr-FR"/>
              </w:rPr>
              <w:t>2.2.1 Analyse des enquêtes relatives au VIH réalisées auprès d’échantillons de population</w:t>
            </w:r>
            <w:r w:rsidR="008736C9">
              <w:rPr>
                <w:noProof/>
                <w:webHidden/>
              </w:rPr>
              <w:tab/>
            </w:r>
            <w:r w:rsidR="008736C9">
              <w:rPr>
                <w:noProof/>
                <w:webHidden/>
              </w:rPr>
              <w:fldChar w:fldCharType="begin"/>
            </w:r>
            <w:r w:rsidR="008736C9">
              <w:rPr>
                <w:noProof/>
                <w:webHidden/>
              </w:rPr>
              <w:instrText xml:space="preserve"> PAGEREF _Toc8400009 \h </w:instrText>
            </w:r>
            <w:r w:rsidR="008736C9">
              <w:rPr>
                <w:noProof/>
                <w:webHidden/>
              </w:rPr>
            </w:r>
            <w:r w:rsidR="008736C9">
              <w:rPr>
                <w:noProof/>
                <w:webHidden/>
              </w:rPr>
              <w:fldChar w:fldCharType="separate"/>
            </w:r>
            <w:r w:rsidR="008736C9">
              <w:rPr>
                <w:noProof/>
                <w:webHidden/>
              </w:rPr>
              <w:t>15</w:t>
            </w:r>
            <w:r w:rsidR="008736C9">
              <w:rPr>
                <w:noProof/>
                <w:webHidden/>
              </w:rPr>
              <w:fldChar w:fldCharType="end"/>
            </w:r>
          </w:hyperlink>
        </w:p>
        <w:p w14:paraId="64B021A2" w14:textId="6F10A0FD" w:rsidR="008736C9" w:rsidRDefault="000C02C7">
          <w:pPr>
            <w:pStyle w:val="TM3"/>
            <w:tabs>
              <w:tab w:val="right" w:leader="dot" w:pos="9016"/>
            </w:tabs>
            <w:rPr>
              <w:rFonts w:eastAsiaTheme="minorEastAsia"/>
              <w:noProof/>
              <w:lang w:eastAsia="fr-FR"/>
            </w:rPr>
          </w:pPr>
          <w:hyperlink w:anchor="_Toc8400010" w:history="1">
            <w:r w:rsidR="008736C9" w:rsidRPr="00286405">
              <w:rPr>
                <w:rStyle w:val="Lienhypertexte"/>
                <w:noProof/>
                <w:lang w:bidi="fr-FR"/>
              </w:rPr>
              <w:t>2.2.2 Analyses des données issues du programme national de lutte contre le VIH</w:t>
            </w:r>
            <w:r w:rsidR="008736C9">
              <w:rPr>
                <w:noProof/>
                <w:webHidden/>
              </w:rPr>
              <w:tab/>
            </w:r>
            <w:r w:rsidR="008736C9">
              <w:rPr>
                <w:noProof/>
                <w:webHidden/>
              </w:rPr>
              <w:fldChar w:fldCharType="begin"/>
            </w:r>
            <w:r w:rsidR="008736C9">
              <w:rPr>
                <w:noProof/>
                <w:webHidden/>
              </w:rPr>
              <w:instrText xml:space="preserve"> PAGEREF _Toc8400010 \h </w:instrText>
            </w:r>
            <w:r w:rsidR="008736C9">
              <w:rPr>
                <w:noProof/>
                <w:webHidden/>
              </w:rPr>
            </w:r>
            <w:r w:rsidR="008736C9">
              <w:rPr>
                <w:noProof/>
                <w:webHidden/>
              </w:rPr>
              <w:fldChar w:fldCharType="separate"/>
            </w:r>
            <w:r w:rsidR="008736C9">
              <w:rPr>
                <w:noProof/>
                <w:webHidden/>
              </w:rPr>
              <w:t>15</w:t>
            </w:r>
            <w:r w:rsidR="008736C9">
              <w:rPr>
                <w:noProof/>
                <w:webHidden/>
              </w:rPr>
              <w:fldChar w:fldCharType="end"/>
            </w:r>
          </w:hyperlink>
        </w:p>
        <w:p w14:paraId="54072ACD" w14:textId="7785D3BA" w:rsidR="008736C9" w:rsidRDefault="000C02C7">
          <w:pPr>
            <w:pStyle w:val="TM3"/>
            <w:tabs>
              <w:tab w:val="right" w:leader="dot" w:pos="9016"/>
            </w:tabs>
            <w:rPr>
              <w:rFonts w:eastAsiaTheme="minorEastAsia"/>
              <w:noProof/>
              <w:lang w:eastAsia="fr-FR"/>
            </w:rPr>
          </w:pPr>
          <w:hyperlink w:anchor="_Toc8400011" w:history="1">
            <w:r w:rsidR="008736C9" w:rsidRPr="00286405">
              <w:rPr>
                <w:rStyle w:val="Lienhypertexte"/>
                <w:noProof/>
                <w:lang w:bidi="fr-FR"/>
              </w:rPr>
              <w:t>2.2.3 Examen des politiques</w:t>
            </w:r>
            <w:r w:rsidR="008736C9">
              <w:rPr>
                <w:noProof/>
                <w:webHidden/>
              </w:rPr>
              <w:tab/>
            </w:r>
            <w:r w:rsidR="008736C9">
              <w:rPr>
                <w:noProof/>
                <w:webHidden/>
              </w:rPr>
              <w:fldChar w:fldCharType="begin"/>
            </w:r>
            <w:r w:rsidR="008736C9">
              <w:rPr>
                <w:noProof/>
                <w:webHidden/>
              </w:rPr>
              <w:instrText xml:space="preserve"> PAGEREF _Toc8400011 \h </w:instrText>
            </w:r>
            <w:r w:rsidR="008736C9">
              <w:rPr>
                <w:noProof/>
                <w:webHidden/>
              </w:rPr>
            </w:r>
            <w:r w:rsidR="008736C9">
              <w:rPr>
                <w:noProof/>
                <w:webHidden/>
              </w:rPr>
              <w:fldChar w:fldCharType="separate"/>
            </w:r>
            <w:r w:rsidR="008736C9">
              <w:rPr>
                <w:noProof/>
                <w:webHidden/>
              </w:rPr>
              <w:t>16</w:t>
            </w:r>
            <w:r w:rsidR="008736C9">
              <w:rPr>
                <w:noProof/>
                <w:webHidden/>
              </w:rPr>
              <w:fldChar w:fldCharType="end"/>
            </w:r>
          </w:hyperlink>
        </w:p>
        <w:p w14:paraId="3201EA57" w14:textId="4D450E6E" w:rsidR="008736C9" w:rsidRDefault="000C02C7">
          <w:pPr>
            <w:pStyle w:val="TM3"/>
            <w:tabs>
              <w:tab w:val="right" w:leader="dot" w:pos="9016"/>
            </w:tabs>
            <w:rPr>
              <w:rFonts w:eastAsiaTheme="minorEastAsia"/>
              <w:noProof/>
              <w:lang w:eastAsia="fr-FR"/>
            </w:rPr>
          </w:pPr>
          <w:hyperlink w:anchor="_Toc8400012" w:history="1">
            <w:r w:rsidR="008736C9" w:rsidRPr="00286405">
              <w:rPr>
                <w:rStyle w:val="Lienhypertexte"/>
                <w:noProof/>
                <w:lang w:bidi="fr-FR"/>
              </w:rPr>
              <w:t>2.2.4 Entretiens menés par les informateurs principaux</w:t>
            </w:r>
            <w:r w:rsidR="008736C9">
              <w:rPr>
                <w:noProof/>
                <w:webHidden/>
              </w:rPr>
              <w:tab/>
            </w:r>
            <w:r w:rsidR="008736C9">
              <w:rPr>
                <w:noProof/>
                <w:webHidden/>
              </w:rPr>
              <w:fldChar w:fldCharType="begin"/>
            </w:r>
            <w:r w:rsidR="008736C9">
              <w:rPr>
                <w:noProof/>
                <w:webHidden/>
              </w:rPr>
              <w:instrText xml:space="preserve"> PAGEREF _Toc8400012 \h </w:instrText>
            </w:r>
            <w:r w:rsidR="008736C9">
              <w:rPr>
                <w:noProof/>
                <w:webHidden/>
              </w:rPr>
            </w:r>
            <w:r w:rsidR="008736C9">
              <w:rPr>
                <w:noProof/>
                <w:webHidden/>
              </w:rPr>
              <w:fldChar w:fldCharType="separate"/>
            </w:r>
            <w:r w:rsidR="008736C9">
              <w:rPr>
                <w:noProof/>
                <w:webHidden/>
              </w:rPr>
              <w:t>16</w:t>
            </w:r>
            <w:r w:rsidR="008736C9">
              <w:rPr>
                <w:noProof/>
                <w:webHidden/>
              </w:rPr>
              <w:fldChar w:fldCharType="end"/>
            </w:r>
          </w:hyperlink>
        </w:p>
        <w:p w14:paraId="0E87ECB7" w14:textId="5DAC2274" w:rsidR="008736C9" w:rsidRDefault="000C02C7">
          <w:pPr>
            <w:pStyle w:val="TM3"/>
            <w:tabs>
              <w:tab w:val="right" w:leader="dot" w:pos="9016"/>
            </w:tabs>
            <w:rPr>
              <w:rFonts w:eastAsiaTheme="minorEastAsia"/>
              <w:noProof/>
              <w:lang w:eastAsia="fr-FR"/>
            </w:rPr>
          </w:pPr>
          <w:hyperlink w:anchor="_Toc8400013" w:history="1">
            <w:r w:rsidR="008736C9" w:rsidRPr="00286405">
              <w:rPr>
                <w:rStyle w:val="Lienhypertexte"/>
                <w:noProof/>
                <w:lang w:bidi="fr-FR"/>
              </w:rPr>
              <w:t>2.2.5 Consultation des parties prenantes</w:t>
            </w:r>
            <w:r w:rsidR="008736C9">
              <w:rPr>
                <w:noProof/>
                <w:webHidden/>
              </w:rPr>
              <w:tab/>
            </w:r>
            <w:r w:rsidR="008736C9">
              <w:rPr>
                <w:noProof/>
                <w:webHidden/>
              </w:rPr>
              <w:fldChar w:fldCharType="begin"/>
            </w:r>
            <w:r w:rsidR="008736C9">
              <w:rPr>
                <w:noProof/>
                <w:webHidden/>
              </w:rPr>
              <w:instrText xml:space="preserve"> PAGEREF _Toc8400013 \h </w:instrText>
            </w:r>
            <w:r w:rsidR="008736C9">
              <w:rPr>
                <w:noProof/>
                <w:webHidden/>
              </w:rPr>
            </w:r>
            <w:r w:rsidR="008736C9">
              <w:rPr>
                <w:noProof/>
                <w:webHidden/>
              </w:rPr>
              <w:fldChar w:fldCharType="separate"/>
            </w:r>
            <w:r w:rsidR="008736C9">
              <w:rPr>
                <w:noProof/>
                <w:webHidden/>
              </w:rPr>
              <w:t>17</w:t>
            </w:r>
            <w:r w:rsidR="008736C9">
              <w:rPr>
                <w:noProof/>
                <w:webHidden/>
              </w:rPr>
              <w:fldChar w:fldCharType="end"/>
            </w:r>
          </w:hyperlink>
        </w:p>
        <w:p w14:paraId="0F90EB8B" w14:textId="63C5FFB8" w:rsidR="008736C9" w:rsidRDefault="000C02C7">
          <w:pPr>
            <w:pStyle w:val="TM3"/>
            <w:tabs>
              <w:tab w:val="right" w:leader="dot" w:pos="9016"/>
            </w:tabs>
            <w:rPr>
              <w:rFonts w:eastAsiaTheme="minorEastAsia"/>
              <w:noProof/>
              <w:lang w:eastAsia="fr-FR"/>
            </w:rPr>
          </w:pPr>
          <w:hyperlink w:anchor="_Toc8400014" w:history="1">
            <w:r w:rsidR="008736C9" w:rsidRPr="00286405">
              <w:rPr>
                <w:rStyle w:val="Lienhypertexte"/>
                <w:noProof/>
                <w:lang w:bidi="fr-FR"/>
              </w:rPr>
              <w:t>2.2.6 Atelier régional</w:t>
            </w:r>
            <w:r w:rsidR="008736C9">
              <w:rPr>
                <w:noProof/>
                <w:webHidden/>
              </w:rPr>
              <w:tab/>
            </w:r>
            <w:r w:rsidR="008736C9">
              <w:rPr>
                <w:noProof/>
                <w:webHidden/>
              </w:rPr>
              <w:fldChar w:fldCharType="begin"/>
            </w:r>
            <w:r w:rsidR="008736C9">
              <w:rPr>
                <w:noProof/>
                <w:webHidden/>
              </w:rPr>
              <w:instrText xml:space="preserve"> PAGEREF _Toc8400014 \h </w:instrText>
            </w:r>
            <w:r w:rsidR="008736C9">
              <w:rPr>
                <w:noProof/>
                <w:webHidden/>
              </w:rPr>
            </w:r>
            <w:r w:rsidR="008736C9">
              <w:rPr>
                <w:noProof/>
                <w:webHidden/>
              </w:rPr>
              <w:fldChar w:fldCharType="separate"/>
            </w:r>
            <w:r w:rsidR="008736C9">
              <w:rPr>
                <w:noProof/>
                <w:webHidden/>
              </w:rPr>
              <w:t>17</w:t>
            </w:r>
            <w:r w:rsidR="008736C9">
              <w:rPr>
                <w:noProof/>
                <w:webHidden/>
              </w:rPr>
              <w:fldChar w:fldCharType="end"/>
            </w:r>
          </w:hyperlink>
        </w:p>
        <w:p w14:paraId="45A8FCC7" w14:textId="308BFCF4" w:rsidR="008736C9" w:rsidRDefault="000C02C7">
          <w:pPr>
            <w:pStyle w:val="TM3"/>
            <w:tabs>
              <w:tab w:val="right" w:leader="dot" w:pos="9016"/>
            </w:tabs>
            <w:rPr>
              <w:rFonts w:eastAsiaTheme="minorEastAsia"/>
              <w:noProof/>
              <w:lang w:eastAsia="fr-FR"/>
            </w:rPr>
          </w:pPr>
          <w:hyperlink w:anchor="_Toc8400015" w:history="1">
            <w:r w:rsidR="008736C9" w:rsidRPr="00286405">
              <w:rPr>
                <w:rStyle w:val="Lienhypertexte"/>
                <w:noProof/>
                <w:lang w:bidi="fr-FR"/>
              </w:rPr>
              <w:t>2.2.7 Groupe de travail du premier 90</w:t>
            </w:r>
            <w:r w:rsidR="008736C9">
              <w:rPr>
                <w:noProof/>
                <w:webHidden/>
              </w:rPr>
              <w:tab/>
            </w:r>
            <w:r w:rsidR="008736C9">
              <w:rPr>
                <w:noProof/>
                <w:webHidden/>
              </w:rPr>
              <w:fldChar w:fldCharType="begin"/>
            </w:r>
            <w:r w:rsidR="008736C9">
              <w:rPr>
                <w:noProof/>
                <w:webHidden/>
              </w:rPr>
              <w:instrText xml:space="preserve"> PAGEREF _Toc8400015 \h </w:instrText>
            </w:r>
            <w:r w:rsidR="008736C9">
              <w:rPr>
                <w:noProof/>
                <w:webHidden/>
              </w:rPr>
            </w:r>
            <w:r w:rsidR="008736C9">
              <w:rPr>
                <w:noProof/>
                <w:webHidden/>
              </w:rPr>
              <w:fldChar w:fldCharType="separate"/>
            </w:r>
            <w:r w:rsidR="008736C9">
              <w:rPr>
                <w:noProof/>
                <w:webHidden/>
              </w:rPr>
              <w:t>17</w:t>
            </w:r>
            <w:r w:rsidR="008736C9">
              <w:rPr>
                <w:noProof/>
                <w:webHidden/>
              </w:rPr>
              <w:fldChar w:fldCharType="end"/>
            </w:r>
          </w:hyperlink>
        </w:p>
        <w:p w14:paraId="7EF62A7E" w14:textId="0CB39871" w:rsidR="008736C9" w:rsidRDefault="000C02C7">
          <w:pPr>
            <w:pStyle w:val="TM1"/>
            <w:tabs>
              <w:tab w:val="right" w:leader="dot" w:pos="9016"/>
            </w:tabs>
            <w:rPr>
              <w:rFonts w:eastAsiaTheme="minorEastAsia"/>
              <w:noProof/>
              <w:lang w:eastAsia="fr-FR"/>
            </w:rPr>
          </w:pPr>
          <w:hyperlink w:anchor="_Toc8400016" w:history="1">
            <w:r w:rsidR="008736C9" w:rsidRPr="00286405">
              <w:rPr>
                <w:rStyle w:val="Lienhypertexte"/>
                <w:noProof/>
                <w:lang w:bidi="fr-FR"/>
              </w:rPr>
              <w:t>3. Principales caractéristiques des personnes vivant avec le VIH en Guinée</w:t>
            </w:r>
            <w:r w:rsidR="008736C9">
              <w:rPr>
                <w:noProof/>
                <w:webHidden/>
              </w:rPr>
              <w:tab/>
            </w:r>
            <w:r w:rsidR="008736C9">
              <w:rPr>
                <w:noProof/>
                <w:webHidden/>
              </w:rPr>
              <w:fldChar w:fldCharType="begin"/>
            </w:r>
            <w:r w:rsidR="008736C9">
              <w:rPr>
                <w:noProof/>
                <w:webHidden/>
              </w:rPr>
              <w:instrText xml:space="preserve"> PAGEREF _Toc8400016 \h </w:instrText>
            </w:r>
            <w:r w:rsidR="008736C9">
              <w:rPr>
                <w:noProof/>
                <w:webHidden/>
              </w:rPr>
            </w:r>
            <w:r w:rsidR="008736C9">
              <w:rPr>
                <w:noProof/>
                <w:webHidden/>
              </w:rPr>
              <w:fldChar w:fldCharType="separate"/>
            </w:r>
            <w:r w:rsidR="008736C9">
              <w:rPr>
                <w:noProof/>
                <w:webHidden/>
              </w:rPr>
              <w:t>19</w:t>
            </w:r>
            <w:r w:rsidR="008736C9">
              <w:rPr>
                <w:noProof/>
                <w:webHidden/>
              </w:rPr>
              <w:fldChar w:fldCharType="end"/>
            </w:r>
          </w:hyperlink>
        </w:p>
        <w:p w14:paraId="44C91990" w14:textId="4B59E703" w:rsidR="008736C9" w:rsidRDefault="000C02C7">
          <w:pPr>
            <w:pStyle w:val="TM2"/>
            <w:tabs>
              <w:tab w:val="right" w:leader="dot" w:pos="9016"/>
            </w:tabs>
            <w:rPr>
              <w:rFonts w:eastAsiaTheme="minorEastAsia"/>
              <w:noProof/>
              <w:lang w:eastAsia="fr-FR"/>
            </w:rPr>
          </w:pPr>
          <w:hyperlink w:anchor="_Toc8400017" w:history="1">
            <w:r w:rsidR="008736C9" w:rsidRPr="00286405">
              <w:rPr>
                <w:rStyle w:val="Lienhypertexte"/>
                <w:rFonts w:eastAsia="BrandonText-Light"/>
                <w:noProof/>
                <w:lang w:bidi="fr-FR"/>
              </w:rPr>
              <w:t>3.1 Répartition du VIH par sous-groupes de population</w:t>
            </w:r>
            <w:r w:rsidR="008736C9">
              <w:rPr>
                <w:noProof/>
                <w:webHidden/>
              </w:rPr>
              <w:tab/>
            </w:r>
            <w:r w:rsidR="008736C9">
              <w:rPr>
                <w:noProof/>
                <w:webHidden/>
              </w:rPr>
              <w:fldChar w:fldCharType="begin"/>
            </w:r>
            <w:r w:rsidR="008736C9">
              <w:rPr>
                <w:noProof/>
                <w:webHidden/>
              </w:rPr>
              <w:instrText xml:space="preserve"> PAGEREF _Toc8400017 \h </w:instrText>
            </w:r>
            <w:r w:rsidR="008736C9">
              <w:rPr>
                <w:noProof/>
                <w:webHidden/>
              </w:rPr>
            </w:r>
            <w:r w:rsidR="008736C9">
              <w:rPr>
                <w:noProof/>
                <w:webHidden/>
              </w:rPr>
              <w:fldChar w:fldCharType="separate"/>
            </w:r>
            <w:r w:rsidR="008736C9">
              <w:rPr>
                <w:noProof/>
                <w:webHidden/>
              </w:rPr>
              <w:t>19</w:t>
            </w:r>
            <w:r w:rsidR="008736C9">
              <w:rPr>
                <w:noProof/>
                <w:webHidden/>
              </w:rPr>
              <w:fldChar w:fldCharType="end"/>
            </w:r>
          </w:hyperlink>
        </w:p>
        <w:p w14:paraId="71E67177" w14:textId="6139510D" w:rsidR="008736C9" w:rsidRDefault="000C02C7">
          <w:pPr>
            <w:pStyle w:val="TM2"/>
            <w:tabs>
              <w:tab w:val="right" w:leader="dot" w:pos="9016"/>
            </w:tabs>
            <w:rPr>
              <w:rFonts w:eastAsiaTheme="minorEastAsia"/>
              <w:noProof/>
              <w:lang w:eastAsia="fr-FR"/>
            </w:rPr>
          </w:pPr>
          <w:hyperlink w:anchor="_Toc8400018" w:history="1">
            <w:r w:rsidR="008736C9" w:rsidRPr="00286405">
              <w:rPr>
                <w:rStyle w:val="Lienhypertexte"/>
                <w:noProof/>
                <w:lang w:bidi="fr-FR"/>
              </w:rPr>
              <w:t>3.2 Répartition des cas de VIH par âge, sexe et région</w:t>
            </w:r>
            <w:r w:rsidR="008736C9">
              <w:rPr>
                <w:noProof/>
                <w:webHidden/>
              </w:rPr>
              <w:tab/>
            </w:r>
            <w:r w:rsidR="008736C9">
              <w:rPr>
                <w:noProof/>
                <w:webHidden/>
              </w:rPr>
              <w:fldChar w:fldCharType="begin"/>
            </w:r>
            <w:r w:rsidR="008736C9">
              <w:rPr>
                <w:noProof/>
                <w:webHidden/>
              </w:rPr>
              <w:instrText xml:space="preserve"> PAGEREF _Toc8400018 \h </w:instrText>
            </w:r>
            <w:r w:rsidR="008736C9">
              <w:rPr>
                <w:noProof/>
                <w:webHidden/>
              </w:rPr>
            </w:r>
            <w:r w:rsidR="008736C9">
              <w:rPr>
                <w:noProof/>
                <w:webHidden/>
              </w:rPr>
              <w:fldChar w:fldCharType="separate"/>
            </w:r>
            <w:r w:rsidR="008736C9">
              <w:rPr>
                <w:noProof/>
                <w:webHidden/>
              </w:rPr>
              <w:t>20</w:t>
            </w:r>
            <w:r w:rsidR="008736C9">
              <w:rPr>
                <w:noProof/>
                <w:webHidden/>
              </w:rPr>
              <w:fldChar w:fldCharType="end"/>
            </w:r>
          </w:hyperlink>
        </w:p>
        <w:p w14:paraId="309BDF5D" w14:textId="40D8ECFC" w:rsidR="008736C9" w:rsidRDefault="000C02C7">
          <w:pPr>
            <w:pStyle w:val="TM2"/>
            <w:tabs>
              <w:tab w:val="right" w:leader="dot" w:pos="9016"/>
            </w:tabs>
            <w:rPr>
              <w:rFonts w:eastAsiaTheme="minorEastAsia"/>
              <w:noProof/>
              <w:lang w:eastAsia="fr-FR"/>
            </w:rPr>
          </w:pPr>
          <w:hyperlink w:anchor="_Toc8400019" w:history="1">
            <w:r w:rsidR="008736C9" w:rsidRPr="00286405">
              <w:rPr>
                <w:rStyle w:val="Lienhypertexte"/>
                <w:rFonts w:eastAsia="BrandonText-Light"/>
                <w:noProof/>
                <w:lang w:bidi="fr-FR"/>
              </w:rPr>
              <w:t>3.3 Connaissance du statut VIH</w:t>
            </w:r>
            <w:r w:rsidR="008736C9">
              <w:rPr>
                <w:noProof/>
                <w:webHidden/>
              </w:rPr>
              <w:tab/>
            </w:r>
            <w:r w:rsidR="008736C9">
              <w:rPr>
                <w:noProof/>
                <w:webHidden/>
              </w:rPr>
              <w:fldChar w:fldCharType="begin"/>
            </w:r>
            <w:r w:rsidR="008736C9">
              <w:rPr>
                <w:noProof/>
                <w:webHidden/>
              </w:rPr>
              <w:instrText xml:space="preserve"> PAGEREF _Toc8400019 \h </w:instrText>
            </w:r>
            <w:r w:rsidR="008736C9">
              <w:rPr>
                <w:noProof/>
                <w:webHidden/>
              </w:rPr>
            </w:r>
            <w:r w:rsidR="008736C9">
              <w:rPr>
                <w:noProof/>
                <w:webHidden/>
              </w:rPr>
              <w:fldChar w:fldCharType="separate"/>
            </w:r>
            <w:r w:rsidR="008736C9">
              <w:rPr>
                <w:noProof/>
                <w:webHidden/>
              </w:rPr>
              <w:t>22</w:t>
            </w:r>
            <w:r w:rsidR="008736C9">
              <w:rPr>
                <w:noProof/>
                <w:webHidden/>
              </w:rPr>
              <w:fldChar w:fldCharType="end"/>
            </w:r>
          </w:hyperlink>
        </w:p>
        <w:p w14:paraId="66D4B372" w14:textId="6877D0BE" w:rsidR="008736C9" w:rsidRDefault="000C02C7">
          <w:pPr>
            <w:pStyle w:val="TM2"/>
            <w:tabs>
              <w:tab w:val="right" w:leader="dot" w:pos="9016"/>
            </w:tabs>
            <w:rPr>
              <w:rFonts w:eastAsiaTheme="minorEastAsia"/>
              <w:noProof/>
              <w:lang w:eastAsia="fr-FR"/>
            </w:rPr>
          </w:pPr>
          <w:hyperlink w:anchor="_Toc8400020" w:history="1">
            <w:r w:rsidR="008736C9" w:rsidRPr="00286405">
              <w:rPr>
                <w:rStyle w:val="Lienhypertexte"/>
                <w:noProof/>
                <w:lang w:bidi="fr-FR"/>
              </w:rPr>
              <w:t>3.4 Bilan des populations devant être ciblées par les modèles de dépistage du VIH</w:t>
            </w:r>
            <w:r w:rsidR="008736C9">
              <w:rPr>
                <w:noProof/>
                <w:webHidden/>
              </w:rPr>
              <w:tab/>
            </w:r>
            <w:r w:rsidR="008736C9">
              <w:rPr>
                <w:noProof/>
                <w:webHidden/>
              </w:rPr>
              <w:fldChar w:fldCharType="begin"/>
            </w:r>
            <w:r w:rsidR="008736C9">
              <w:rPr>
                <w:noProof/>
                <w:webHidden/>
              </w:rPr>
              <w:instrText xml:space="preserve"> PAGEREF _Toc8400020 \h </w:instrText>
            </w:r>
            <w:r w:rsidR="008736C9">
              <w:rPr>
                <w:noProof/>
                <w:webHidden/>
              </w:rPr>
            </w:r>
            <w:r w:rsidR="008736C9">
              <w:rPr>
                <w:noProof/>
                <w:webHidden/>
              </w:rPr>
              <w:fldChar w:fldCharType="separate"/>
            </w:r>
            <w:r w:rsidR="008736C9">
              <w:rPr>
                <w:noProof/>
                <w:webHidden/>
              </w:rPr>
              <w:t>22</w:t>
            </w:r>
            <w:r w:rsidR="008736C9">
              <w:rPr>
                <w:noProof/>
                <w:webHidden/>
              </w:rPr>
              <w:fldChar w:fldCharType="end"/>
            </w:r>
          </w:hyperlink>
        </w:p>
        <w:p w14:paraId="08F51341" w14:textId="415BD1D6" w:rsidR="008736C9" w:rsidRDefault="000C02C7">
          <w:pPr>
            <w:pStyle w:val="TM1"/>
            <w:tabs>
              <w:tab w:val="right" w:leader="dot" w:pos="9016"/>
            </w:tabs>
            <w:rPr>
              <w:rFonts w:eastAsiaTheme="minorEastAsia"/>
              <w:noProof/>
              <w:lang w:eastAsia="fr-FR"/>
            </w:rPr>
          </w:pPr>
          <w:hyperlink w:anchor="_Toc8400021" w:history="1">
            <w:r w:rsidR="008736C9" w:rsidRPr="00286405">
              <w:rPr>
                <w:rStyle w:val="Lienhypertexte"/>
                <w:noProof/>
                <w:lang w:bidi="fr-FR"/>
              </w:rPr>
              <w:t>4. Analyses de rendement des stratégies de dépistage du VIH et couverture du programme national par celles-ci</w:t>
            </w:r>
            <w:r w:rsidR="008736C9">
              <w:rPr>
                <w:noProof/>
                <w:webHidden/>
              </w:rPr>
              <w:tab/>
            </w:r>
            <w:r w:rsidR="008736C9">
              <w:rPr>
                <w:noProof/>
                <w:webHidden/>
              </w:rPr>
              <w:fldChar w:fldCharType="begin"/>
            </w:r>
            <w:r w:rsidR="008736C9">
              <w:rPr>
                <w:noProof/>
                <w:webHidden/>
              </w:rPr>
              <w:instrText xml:space="preserve"> PAGEREF _Toc8400021 \h </w:instrText>
            </w:r>
            <w:r w:rsidR="008736C9">
              <w:rPr>
                <w:noProof/>
                <w:webHidden/>
              </w:rPr>
            </w:r>
            <w:r w:rsidR="008736C9">
              <w:rPr>
                <w:noProof/>
                <w:webHidden/>
              </w:rPr>
              <w:fldChar w:fldCharType="separate"/>
            </w:r>
            <w:r w:rsidR="008736C9">
              <w:rPr>
                <w:noProof/>
                <w:webHidden/>
              </w:rPr>
              <w:t>23</w:t>
            </w:r>
            <w:r w:rsidR="008736C9">
              <w:rPr>
                <w:noProof/>
                <w:webHidden/>
              </w:rPr>
              <w:fldChar w:fldCharType="end"/>
            </w:r>
          </w:hyperlink>
        </w:p>
        <w:p w14:paraId="3CF05B3D" w14:textId="14B6548F" w:rsidR="008736C9" w:rsidRDefault="000C02C7">
          <w:pPr>
            <w:pStyle w:val="TM2"/>
            <w:tabs>
              <w:tab w:val="right" w:leader="dot" w:pos="9016"/>
            </w:tabs>
            <w:rPr>
              <w:rFonts w:eastAsiaTheme="minorEastAsia"/>
              <w:noProof/>
              <w:lang w:eastAsia="fr-FR"/>
            </w:rPr>
          </w:pPr>
          <w:hyperlink w:anchor="_Toc8400022" w:history="1">
            <w:r w:rsidR="008736C9" w:rsidRPr="00286405">
              <w:rPr>
                <w:rStyle w:val="Lienhypertexte"/>
                <w:noProof/>
                <w:lang w:bidi="fr-FR"/>
              </w:rPr>
              <w:t>4.1 Approches de dépistage du VIH en Guinée</w:t>
            </w:r>
            <w:r w:rsidR="008736C9">
              <w:rPr>
                <w:noProof/>
                <w:webHidden/>
              </w:rPr>
              <w:tab/>
            </w:r>
            <w:r w:rsidR="008736C9">
              <w:rPr>
                <w:noProof/>
                <w:webHidden/>
              </w:rPr>
              <w:fldChar w:fldCharType="begin"/>
            </w:r>
            <w:r w:rsidR="008736C9">
              <w:rPr>
                <w:noProof/>
                <w:webHidden/>
              </w:rPr>
              <w:instrText xml:space="preserve"> PAGEREF _Toc8400022 \h </w:instrText>
            </w:r>
            <w:r w:rsidR="008736C9">
              <w:rPr>
                <w:noProof/>
                <w:webHidden/>
              </w:rPr>
            </w:r>
            <w:r w:rsidR="008736C9">
              <w:rPr>
                <w:noProof/>
                <w:webHidden/>
              </w:rPr>
              <w:fldChar w:fldCharType="separate"/>
            </w:r>
            <w:r w:rsidR="008736C9">
              <w:rPr>
                <w:noProof/>
                <w:webHidden/>
              </w:rPr>
              <w:t>23</w:t>
            </w:r>
            <w:r w:rsidR="008736C9">
              <w:rPr>
                <w:noProof/>
                <w:webHidden/>
              </w:rPr>
              <w:fldChar w:fldCharType="end"/>
            </w:r>
          </w:hyperlink>
        </w:p>
        <w:p w14:paraId="6BE8F698" w14:textId="296E650C" w:rsidR="008736C9" w:rsidRDefault="000C02C7">
          <w:pPr>
            <w:pStyle w:val="TM2"/>
            <w:tabs>
              <w:tab w:val="right" w:leader="dot" w:pos="9016"/>
            </w:tabs>
            <w:rPr>
              <w:rFonts w:eastAsiaTheme="minorEastAsia"/>
              <w:noProof/>
              <w:lang w:eastAsia="fr-FR"/>
            </w:rPr>
          </w:pPr>
          <w:hyperlink w:anchor="_Toc8400023" w:history="1">
            <w:r w:rsidR="008736C9" w:rsidRPr="00286405">
              <w:rPr>
                <w:rStyle w:val="Lienhypertexte"/>
                <w:noProof/>
                <w:lang w:bidi="fr-FR"/>
              </w:rPr>
              <w:t>4.2 Les stratégies de dépistage du VIH et leur rendement</w:t>
            </w:r>
            <w:r w:rsidR="008736C9">
              <w:rPr>
                <w:noProof/>
                <w:webHidden/>
              </w:rPr>
              <w:tab/>
            </w:r>
            <w:r w:rsidR="008736C9">
              <w:rPr>
                <w:noProof/>
                <w:webHidden/>
              </w:rPr>
              <w:fldChar w:fldCharType="begin"/>
            </w:r>
            <w:r w:rsidR="008736C9">
              <w:rPr>
                <w:noProof/>
                <w:webHidden/>
              </w:rPr>
              <w:instrText xml:space="preserve"> PAGEREF _Toc8400023 \h </w:instrText>
            </w:r>
            <w:r w:rsidR="008736C9">
              <w:rPr>
                <w:noProof/>
                <w:webHidden/>
              </w:rPr>
            </w:r>
            <w:r w:rsidR="008736C9">
              <w:rPr>
                <w:noProof/>
                <w:webHidden/>
              </w:rPr>
              <w:fldChar w:fldCharType="separate"/>
            </w:r>
            <w:r w:rsidR="008736C9">
              <w:rPr>
                <w:noProof/>
                <w:webHidden/>
              </w:rPr>
              <w:t>23</w:t>
            </w:r>
            <w:r w:rsidR="008736C9">
              <w:rPr>
                <w:noProof/>
                <w:webHidden/>
              </w:rPr>
              <w:fldChar w:fldCharType="end"/>
            </w:r>
          </w:hyperlink>
        </w:p>
        <w:p w14:paraId="63491157" w14:textId="14B1AF1E" w:rsidR="008736C9" w:rsidRDefault="000C02C7">
          <w:pPr>
            <w:pStyle w:val="TM2"/>
            <w:tabs>
              <w:tab w:val="right" w:leader="dot" w:pos="9016"/>
            </w:tabs>
            <w:rPr>
              <w:rFonts w:eastAsiaTheme="minorEastAsia"/>
              <w:noProof/>
              <w:lang w:eastAsia="fr-FR"/>
            </w:rPr>
          </w:pPr>
          <w:hyperlink w:anchor="_Toc8400024" w:history="1">
            <w:r w:rsidR="008736C9" w:rsidRPr="00286405">
              <w:rPr>
                <w:rStyle w:val="Lienhypertexte"/>
                <w:rFonts w:eastAsia="BrandonText-Light"/>
                <w:noProof/>
                <w:lang w:bidi="fr-FR"/>
              </w:rPr>
              <w:t>4.3 </w:t>
            </w:r>
            <w:r w:rsidR="008736C9" w:rsidRPr="00286405">
              <w:rPr>
                <w:rStyle w:val="Lienhypertexte"/>
                <w:noProof/>
                <w:lang w:bidi="fr-FR"/>
              </w:rPr>
              <w:t>Couverture des services de dépistage du VIH</w:t>
            </w:r>
            <w:r w:rsidR="008736C9">
              <w:rPr>
                <w:noProof/>
                <w:webHidden/>
              </w:rPr>
              <w:tab/>
            </w:r>
            <w:r w:rsidR="008736C9">
              <w:rPr>
                <w:noProof/>
                <w:webHidden/>
              </w:rPr>
              <w:fldChar w:fldCharType="begin"/>
            </w:r>
            <w:r w:rsidR="008736C9">
              <w:rPr>
                <w:noProof/>
                <w:webHidden/>
              </w:rPr>
              <w:instrText xml:space="preserve"> PAGEREF _Toc8400024 \h </w:instrText>
            </w:r>
            <w:r w:rsidR="008736C9">
              <w:rPr>
                <w:noProof/>
                <w:webHidden/>
              </w:rPr>
            </w:r>
            <w:r w:rsidR="008736C9">
              <w:rPr>
                <w:noProof/>
                <w:webHidden/>
              </w:rPr>
              <w:fldChar w:fldCharType="separate"/>
            </w:r>
            <w:r w:rsidR="008736C9">
              <w:rPr>
                <w:noProof/>
                <w:webHidden/>
              </w:rPr>
              <w:t>25</w:t>
            </w:r>
            <w:r w:rsidR="008736C9">
              <w:rPr>
                <w:noProof/>
                <w:webHidden/>
              </w:rPr>
              <w:fldChar w:fldCharType="end"/>
            </w:r>
          </w:hyperlink>
        </w:p>
        <w:p w14:paraId="052B14A5" w14:textId="4DCD540E" w:rsidR="008736C9" w:rsidRDefault="000C02C7">
          <w:pPr>
            <w:pStyle w:val="TM3"/>
            <w:tabs>
              <w:tab w:val="right" w:leader="dot" w:pos="9016"/>
            </w:tabs>
            <w:rPr>
              <w:rFonts w:eastAsiaTheme="minorEastAsia"/>
              <w:noProof/>
              <w:lang w:eastAsia="fr-FR"/>
            </w:rPr>
          </w:pPr>
          <w:hyperlink w:anchor="_Toc8400025" w:history="1">
            <w:r w:rsidR="008736C9" w:rsidRPr="00286405">
              <w:rPr>
                <w:rStyle w:val="Lienhypertexte"/>
                <w:noProof/>
                <w:lang w:bidi="fr-FR"/>
              </w:rPr>
              <w:t>4.3.1 Le CDIS à des fins de diagnostic</w:t>
            </w:r>
            <w:r w:rsidR="008736C9">
              <w:rPr>
                <w:noProof/>
                <w:webHidden/>
              </w:rPr>
              <w:tab/>
            </w:r>
            <w:r w:rsidR="008736C9">
              <w:rPr>
                <w:noProof/>
                <w:webHidden/>
              </w:rPr>
              <w:fldChar w:fldCharType="begin"/>
            </w:r>
            <w:r w:rsidR="008736C9">
              <w:rPr>
                <w:noProof/>
                <w:webHidden/>
              </w:rPr>
              <w:instrText xml:space="preserve"> PAGEREF _Toc8400025 \h </w:instrText>
            </w:r>
            <w:r w:rsidR="008736C9">
              <w:rPr>
                <w:noProof/>
                <w:webHidden/>
              </w:rPr>
            </w:r>
            <w:r w:rsidR="008736C9">
              <w:rPr>
                <w:noProof/>
                <w:webHidden/>
              </w:rPr>
              <w:fldChar w:fldCharType="separate"/>
            </w:r>
            <w:r w:rsidR="008736C9">
              <w:rPr>
                <w:noProof/>
                <w:webHidden/>
              </w:rPr>
              <w:t>25</w:t>
            </w:r>
            <w:r w:rsidR="008736C9">
              <w:rPr>
                <w:noProof/>
                <w:webHidden/>
              </w:rPr>
              <w:fldChar w:fldCharType="end"/>
            </w:r>
          </w:hyperlink>
        </w:p>
        <w:p w14:paraId="60C3AFD8" w14:textId="060ADA9B" w:rsidR="008736C9" w:rsidRDefault="000C02C7">
          <w:pPr>
            <w:pStyle w:val="TM3"/>
            <w:tabs>
              <w:tab w:val="right" w:leader="dot" w:pos="9016"/>
            </w:tabs>
            <w:rPr>
              <w:rFonts w:eastAsiaTheme="minorEastAsia"/>
              <w:noProof/>
              <w:lang w:eastAsia="fr-FR"/>
            </w:rPr>
          </w:pPr>
          <w:hyperlink w:anchor="_Toc8400026" w:history="1">
            <w:r w:rsidR="008736C9" w:rsidRPr="00286405">
              <w:rPr>
                <w:rStyle w:val="Lienhypertexte"/>
                <w:noProof/>
                <w:lang w:bidi="fr-FR"/>
              </w:rPr>
              <w:t>4.3.2. PTME</w:t>
            </w:r>
            <w:r w:rsidR="008736C9">
              <w:rPr>
                <w:noProof/>
                <w:webHidden/>
              </w:rPr>
              <w:tab/>
            </w:r>
            <w:r w:rsidR="008736C9">
              <w:rPr>
                <w:noProof/>
                <w:webHidden/>
              </w:rPr>
              <w:fldChar w:fldCharType="begin"/>
            </w:r>
            <w:r w:rsidR="008736C9">
              <w:rPr>
                <w:noProof/>
                <w:webHidden/>
              </w:rPr>
              <w:instrText xml:space="preserve"> PAGEREF _Toc8400026 \h </w:instrText>
            </w:r>
            <w:r w:rsidR="008736C9">
              <w:rPr>
                <w:noProof/>
                <w:webHidden/>
              </w:rPr>
            </w:r>
            <w:r w:rsidR="008736C9">
              <w:rPr>
                <w:noProof/>
                <w:webHidden/>
              </w:rPr>
              <w:fldChar w:fldCharType="separate"/>
            </w:r>
            <w:r w:rsidR="008736C9">
              <w:rPr>
                <w:noProof/>
                <w:webHidden/>
              </w:rPr>
              <w:t>26</w:t>
            </w:r>
            <w:r w:rsidR="008736C9">
              <w:rPr>
                <w:noProof/>
                <w:webHidden/>
              </w:rPr>
              <w:fldChar w:fldCharType="end"/>
            </w:r>
          </w:hyperlink>
        </w:p>
        <w:p w14:paraId="4E3DCA42" w14:textId="5634FBE8" w:rsidR="008736C9" w:rsidRDefault="000C02C7">
          <w:pPr>
            <w:pStyle w:val="TM3"/>
            <w:tabs>
              <w:tab w:val="right" w:leader="dot" w:pos="9016"/>
            </w:tabs>
            <w:rPr>
              <w:rFonts w:eastAsiaTheme="minorEastAsia"/>
              <w:noProof/>
              <w:lang w:eastAsia="fr-FR"/>
            </w:rPr>
          </w:pPr>
          <w:hyperlink w:anchor="_Toc8400027" w:history="1">
            <w:r w:rsidR="008736C9" w:rsidRPr="00286405">
              <w:rPr>
                <w:rStyle w:val="Lienhypertexte"/>
                <w:noProof/>
                <w:lang w:bidi="fr-FR"/>
              </w:rPr>
              <w:t>4.3.3 Dépistage du VIH chez les patients atteints de tuberculose</w:t>
            </w:r>
            <w:r w:rsidR="008736C9">
              <w:rPr>
                <w:noProof/>
                <w:webHidden/>
              </w:rPr>
              <w:tab/>
            </w:r>
            <w:r w:rsidR="008736C9">
              <w:rPr>
                <w:noProof/>
                <w:webHidden/>
              </w:rPr>
              <w:fldChar w:fldCharType="begin"/>
            </w:r>
            <w:r w:rsidR="008736C9">
              <w:rPr>
                <w:noProof/>
                <w:webHidden/>
              </w:rPr>
              <w:instrText xml:space="preserve"> PAGEREF _Toc8400027 \h </w:instrText>
            </w:r>
            <w:r w:rsidR="008736C9">
              <w:rPr>
                <w:noProof/>
                <w:webHidden/>
              </w:rPr>
            </w:r>
            <w:r w:rsidR="008736C9">
              <w:rPr>
                <w:noProof/>
                <w:webHidden/>
              </w:rPr>
              <w:fldChar w:fldCharType="separate"/>
            </w:r>
            <w:r w:rsidR="008736C9">
              <w:rPr>
                <w:noProof/>
                <w:webHidden/>
              </w:rPr>
              <w:t>29</w:t>
            </w:r>
            <w:r w:rsidR="008736C9">
              <w:rPr>
                <w:noProof/>
                <w:webHidden/>
              </w:rPr>
              <w:fldChar w:fldCharType="end"/>
            </w:r>
          </w:hyperlink>
        </w:p>
        <w:p w14:paraId="3385292F" w14:textId="72117F4F" w:rsidR="008736C9" w:rsidRDefault="000C02C7">
          <w:pPr>
            <w:pStyle w:val="TM3"/>
            <w:tabs>
              <w:tab w:val="right" w:leader="dot" w:pos="9016"/>
            </w:tabs>
            <w:rPr>
              <w:rFonts w:eastAsiaTheme="minorEastAsia"/>
              <w:noProof/>
              <w:lang w:eastAsia="fr-FR"/>
            </w:rPr>
          </w:pPr>
          <w:hyperlink w:anchor="_Toc8400028" w:history="1">
            <w:r w:rsidR="008736C9" w:rsidRPr="00286405">
              <w:rPr>
                <w:rStyle w:val="Lienhypertexte"/>
                <w:noProof/>
                <w:lang w:bidi="fr-FR"/>
              </w:rPr>
              <w:t>4.3.4 CDIS auprès des donneurs de sang</w:t>
            </w:r>
            <w:r w:rsidR="008736C9">
              <w:rPr>
                <w:noProof/>
                <w:webHidden/>
              </w:rPr>
              <w:tab/>
            </w:r>
            <w:r w:rsidR="008736C9">
              <w:rPr>
                <w:noProof/>
                <w:webHidden/>
              </w:rPr>
              <w:fldChar w:fldCharType="begin"/>
            </w:r>
            <w:r w:rsidR="008736C9">
              <w:rPr>
                <w:noProof/>
                <w:webHidden/>
              </w:rPr>
              <w:instrText xml:space="preserve"> PAGEREF _Toc8400028 \h </w:instrText>
            </w:r>
            <w:r w:rsidR="008736C9">
              <w:rPr>
                <w:noProof/>
                <w:webHidden/>
              </w:rPr>
            </w:r>
            <w:r w:rsidR="008736C9">
              <w:rPr>
                <w:noProof/>
                <w:webHidden/>
              </w:rPr>
              <w:fldChar w:fldCharType="separate"/>
            </w:r>
            <w:r w:rsidR="008736C9">
              <w:rPr>
                <w:noProof/>
                <w:webHidden/>
              </w:rPr>
              <w:t>31</w:t>
            </w:r>
            <w:r w:rsidR="008736C9">
              <w:rPr>
                <w:noProof/>
                <w:webHidden/>
              </w:rPr>
              <w:fldChar w:fldCharType="end"/>
            </w:r>
          </w:hyperlink>
        </w:p>
        <w:p w14:paraId="1689B66F" w14:textId="0F5AFFFF" w:rsidR="008736C9" w:rsidRDefault="000C02C7">
          <w:pPr>
            <w:pStyle w:val="TM3"/>
            <w:tabs>
              <w:tab w:val="right" w:leader="dot" w:pos="9016"/>
            </w:tabs>
            <w:rPr>
              <w:rFonts w:eastAsiaTheme="minorEastAsia"/>
              <w:noProof/>
              <w:lang w:eastAsia="fr-FR"/>
            </w:rPr>
          </w:pPr>
          <w:hyperlink w:anchor="_Toc8400029" w:history="1">
            <w:r w:rsidR="008736C9" w:rsidRPr="00286405">
              <w:rPr>
                <w:rStyle w:val="Lienhypertexte"/>
                <w:noProof/>
                <w:lang w:bidi="fr-FR"/>
              </w:rPr>
              <w:t>4.3.5 Le dépistage du VIH dans le contexte des interventions de planification familiale et des consultations relatives aux infections sexuellement transmissibles</w:t>
            </w:r>
            <w:r w:rsidR="008736C9">
              <w:rPr>
                <w:noProof/>
                <w:webHidden/>
              </w:rPr>
              <w:tab/>
            </w:r>
            <w:r w:rsidR="008736C9">
              <w:rPr>
                <w:noProof/>
                <w:webHidden/>
              </w:rPr>
              <w:fldChar w:fldCharType="begin"/>
            </w:r>
            <w:r w:rsidR="008736C9">
              <w:rPr>
                <w:noProof/>
                <w:webHidden/>
              </w:rPr>
              <w:instrText xml:space="preserve"> PAGEREF _Toc8400029 \h </w:instrText>
            </w:r>
            <w:r w:rsidR="008736C9">
              <w:rPr>
                <w:noProof/>
                <w:webHidden/>
              </w:rPr>
            </w:r>
            <w:r w:rsidR="008736C9">
              <w:rPr>
                <w:noProof/>
                <w:webHidden/>
              </w:rPr>
              <w:fldChar w:fldCharType="separate"/>
            </w:r>
            <w:r w:rsidR="008736C9">
              <w:rPr>
                <w:noProof/>
                <w:webHidden/>
              </w:rPr>
              <w:t>31</w:t>
            </w:r>
            <w:r w:rsidR="008736C9">
              <w:rPr>
                <w:noProof/>
                <w:webHidden/>
              </w:rPr>
              <w:fldChar w:fldCharType="end"/>
            </w:r>
          </w:hyperlink>
        </w:p>
        <w:p w14:paraId="3C28894E" w14:textId="19869453" w:rsidR="008736C9" w:rsidRDefault="000C02C7">
          <w:pPr>
            <w:pStyle w:val="TM3"/>
            <w:tabs>
              <w:tab w:val="right" w:leader="dot" w:pos="9016"/>
            </w:tabs>
            <w:rPr>
              <w:rFonts w:eastAsiaTheme="minorEastAsia"/>
              <w:noProof/>
              <w:lang w:eastAsia="fr-FR"/>
            </w:rPr>
          </w:pPr>
          <w:hyperlink w:anchor="_Toc8400030" w:history="1">
            <w:r w:rsidR="008736C9" w:rsidRPr="00286405">
              <w:rPr>
                <w:rStyle w:val="Lienhypertexte"/>
                <w:noProof/>
                <w:lang w:bidi="fr-FR"/>
              </w:rPr>
              <w:t>4.3.6 Populations clés et vulnérables</w:t>
            </w:r>
            <w:r w:rsidR="008736C9">
              <w:rPr>
                <w:noProof/>
                <w:webHidden/>
              </w:rPr>
              <w:tab/>
            </w:r>
            <w:r w:rsidR="008736C9">
              <w:rPr>
                <w:noProof/>
                <w:webHidden/>
              </w:rPr>
              <w:fldChar w:fldCharType="begin"/>
            </w:r>
            <w:r w:rsidR="008736C9">
              <w:rPr>
                <w:noProof/>
                <w:webHidden/>
              </w:rPr>
              <w:instrText xml:space="preserve"> PAGEREF _Toc8400030 \h </w:instrText>
            </w:r>
            <w:r w:rsidR="008736C9">
              <w:rPr>
                <w:noProof/>
                <w:webHidden/>
              </w:rPr>
            </w:r>
            <w:r w:rsidR="008736C9">
              <w:rPr>
                <w:noProof/>
                <w:webHidden/>
              </w:rPr>
              <w:fldChar w:fldCharType="separate"/>
            </w:r>
            <w:r w:rsidR="008736C9">
              <w:rPr>
                <w:noProof/>
                <w:webHidden/>
              </w:rPr>
              <w:t>31</w:t>
            </w:r>
            <w:r w:rsidR="008736C9">
              <w:rPr>
                <w:noProof/>
                <w:webHidden/>
              </w:rPr>
              <w:fldChar w:fldCharType="end"/>
            </w:r>
          </w:hyperlink>
        </w:p>
        <w:p w14:paraId="7A284C06" w14:textId="42580694" w:rsidR="008736C9" w:rsidRDefault="000C02C7">
          <w:pPr>
            <w:pStyle w:val="TM1"/>
            <w:tabs>
              <w:tab w:val="right" w:leader="dot" w:pos="9016"/>
            </w:tabs>
            <w:rPr>
              <w:rFonts w:eastAsiaTheme="minorEastAsia"/>
              <w:noProof/>
              <w:lang w:eastAsia="fr-FR"/>
            </w:rPr>
          </w:pPr>
          <w:hyperlink w:anchor="_Toc8400031" w:history="1">
            <w:r w:rsidR="008736C9" w:rsidRPr="00286405">
              <w:rPr>
                <w:rStyle w:val="Lienhypertexte"/>
                <w:noProof/>
                <w:lang w:bidi="fr-FR"/>
              </w:rPr>
              <w:t>5. Difficultés rencontrées par les stratégies de dépistage existantes</w:t>
            </w:r>
            <w:r w:rsidR="008736C9">
              <w:rPr>
                <w:noProof/>
                <w:webHidden/>
              </w:rPr>
              <w:tab/>
            </w:r>
            <w:r w:rsidR="008736C9">
              <w:rPr>
                <w:noProof/>
                <w:webHidden/>
              </w:rPr>
              <w:fldChar w:fldCharType="begin"/>
            </w:r>
            <w:r w:rsidR="008736C9">
              <w:rPr>
                <w:noProof/>
                <w:webHidden/>
              </w:rPr>
              <w:instrText xml:space="preserve"> PAGEREF _Toc8400031 \h </w:instrText>
            </w:r>
            <w:r w:rsidR="008736C9">
              <w:rPr>
                <w:noProof/>
                <w:webHidden/>
              </w:rPr>
            </w:r>
            <w:r w:rsidR="008736C9">
              <w:rPr>
                <w:noProof/>
                <w:webHidden/>
              </w:rPr>
              <w:fldChar w:fldCharType="separate"/>
            </w:r>
            <w:r w:rsidR="008736C9">
              <w:rPr>
                <w:noProof/>
                <w:webHidden/>
              </w:rPr>
              <w:t>33</w:t>
            </w:r>
            <w:r w:rsidR="008736C9">
              <w:rPr>
                <w:noProof/>
                <w:webHidden/>
              </w:rPr>
              <w:fldChar w:fldCharType="end"/>
            </w:r>
          </w:hyperlink>
        </w:p>
        <w:p w14:paraId="76F98873" w14:textId="75451D3C" w:rsidR="008736C9" w:rsidRDefault="000C02C7">
          <w:pPr>
            <w:pStyle w:val="TM1"/>
            <w:tabs>
              <w:tab w:val="right" w:leader="dot" w:pos="9016"/>
            </w:tabs>
            <w:rPr>
              <w:rFonts w:eastAsiaTheme="minorEastAsia"/>
              <w:noProof/>
              <w:lang w:eastAsia="fr-FR"/>
            </w:rPr>
          </w:pPr>
          <w:hyperlink w:anchor="_Toc8400032" w:history="1">
            <w:r w:rsidR="008736C9" w:rsidRPr="00286405">
              <w:rPr>
                <w:rStyle w:val="Lienhypertexte"/>
                <w:noProof/>
                <w:lang w:bidi="fr-FR"/>
              </w:rPr>
              <w:t>6. Analyse des politiques nationales relatives au dépistage du VIH</w:t>
            </w:r>
            <w:r w:rsidR="008736C9">
              <w:rPr>
                <w:noProof/>
                <w:webHidden/>
              </w:rPr>
              <w:tab/>
            </w:r>
            <w:r w:rsidR="008736C9">
              <w:rPr>
                <w:noProof/>
                <w:webHidden/>
              </w:rPr>
              <w:fldChar w:fldCharType="begin"/>
            </w:r>
            <w:r w:rsidR="008736C9">
              <w:rPr>
                <w:noProof/>
                <w:webHidden/>
              </w:rPr>
              <w:instrText xml:space="preserve"> PAGEREF _Toc8400032 \h </w:instrText>
            </w:r>
            <w:r w:rsidR="008736C9">
              <w:rPr>
                <w:noProof/>
                <w:webHidden/>
              </w:rPr>
            </w:r>
            <w:r w:rsidR="008736C9">
              <w:rPr>
                <w:noProof/>
                <w:webHidden/>
              </w:rPr>
              <w:fldChar w:fldCharType="separate"/>
            </w:r>
            <w:r w:rsidR="008736C9">
              <w:rPr>
                <w:noProof/>
                <w:webHidden/>
              </w:rPr>
              <w:t>38</w:t>
            </w:r>
            <w:r w:rsidR="008736C9">
              <w:rPr>
                <w:noProof/>
                <w:webHidden/>
              </w:rPr>
              <w:fldChar w:fldCharType="end"/>
            </w:r>
          </w:hyperlink>
        </w:p>
        <w:p w14:paraId="5DF490CC" w14:textId="5979C66C" w:rsidR="008736C9" w:rsidRDefault="000C02C7">
          <w:pPr>
            <w:pStyle w:val="TM1"/>
            <w:tabs>
              <w:tab w:val="right" w:leader="dot" w:pos="9016"/>
            </w:tabs>
            <w:rPr>
              <w:rFonts w:eastAsiaTheme="minorEastAsia"/>
              <w:noProof/>
              <w:lang w:eastAsia="fr-FR"/>
            </w:rPr>
          </w:pPr>
          <w:hyperlink w:anchor="_Toc8400033" w:history="1">
            <w:r w:rsidR="008736C9" w:rsidRPr="00286405">
              <w:rPr>
                <w:rStyle w:val="Lienhypertexte"/>
                <w:noProof/>
                <w:lang w:bidi="fr-FR"/>
              </w:rPr>
              <w:t>7. Principales recommandations concernant le dépistage du VIH en Guinée</w:t>
            </w:r>
            <w:r w:rsidR="008736C9">
              <w:rPr>
                <w:noProof/>
                <w:webHidden/>
              </w:rPr>
              <w:tab/>
            </w:r>
            <w:r w:rsidR="008736C9">
              <w:rPr>
                <w:noProof/>
                <w:webHidden/>
              </w:rPr>
              <w:fldChar w:fldCharType="begin"/>
            </w:r>
            <w:r w:rsidR="008736C9">
              <w:rPr>
                <w:noProof/>
                <w:webHidden/>
              </w:rPr>
              <w:instrText xml:space="preserve"> PAGEREF _Toc8400033 \h </w:instrText>
            </w:r>
            <w:r w:rsidR="008736C9">
              <w:rPr>
                <w:noProof/>
                <w:webHidden/>
              </w:rPr>
            </w:r>
            <w:r w:rsidR="008736C9">
              <w:rPr>
                <w:noProof/>
                <w:webHidden/>
              </w:rPr>
              <w:fldChar w:fldCharType="separate"/>
            </w:r>
            <w:r w:rsidR="008736C9">
              <w:rPr>
                <w:noProof/>
                <w:webHidden/>
              </w:rPr>
              <w:t>40</w:t>
            </w:r>
            <w:r w:rsidR="008736C9">
              <w:rPr>
                <w:noProof/>
                <w:webHidden/>
              </w:rPr>
              <w:fldChar w:fldCharType="end"/>
            </w:r>
          </w:hyperlink>
        </w:p>
        <w:p w14:paraId="0A63C70B" w14:textId="45648591" w:rsidR="008736C9" w:rsidRDefault="000C02C7">
          <w:pPr>
            <w:pStyle w:val="TM2"/>
            <w:tabs>
              <w:tab w:val="right" w:leader="dot" w:pos="9016"/>
            </w:tabs>
            <w:rPr>
              <w:rFonts w:eastAsiaTheme="minorEastAsia"/>
              <w:noProof/>
              <w:lang w:eastAsia="fr-FR"/>
            </w:rPr>
          </w:pPr>
          <w:hyperlink w:anchor="_Toc8400034" w:history="1">
            <w:r w:rsidR="008736C9" w:rsidRPr="00286405">
              <w:rPr>
                <w:rStyle w:val="Lienhypertexte"/>
                <w:noProof/>
                <w:lang w:bidi="fr-FR"/>
              </w:rPr>
              <w:t>7.1 Population globale</w:t>
            </w:r>
            <w:r w:rsidR="008736C9">
              <w:rPr>
                <w:noProof/>
                <w:webHidden/>
              </w:rPr>
              <w:tab/>
            </w:r>
            <w:r w:rsidR="008736C9">
              <w:rPr>
                <w:noProof/>
                <w:webHidden/>
              </w:rPr>
              <w:fldChar w:fldCharType="begin"/>
            </w:r>
            <w:r w:rsidR="008736C9">
              <w:rPr>
                <w:noProof/>
                <w:webHidden/>
              </w:rPr>
              <w:instrText xml:space="preserve"> PAGEREF _Toc8400034 \h </w:instrText>
            </w:r>
            <w:r w:rsidR="008736C9">
              <w:rPr>
                <w:noProof/>
                <w:webHidden/>
              </w:rPr>
            </w:r>
            <w:r w:rsidR="008736C9">
              <w:rPr>
                <w:noProof/>
                <w:webHidden/>
              </w:rPr>
              <w:fldChar w:fldCharType="separate"/>
            </w:r>
            <w:r w:rsidR="008736C9">
              <w:rPr>
                <w:noProof/>
                <w:webHidden/>
              </w:rPr>
              <w:t>40</w:t>
            </w:r>
            <w:r w:rsidR="008736C9">
              <w:rPr>
                <w:noProof/>
                <w:webHidden/>
              </w:rPr>
              <w:fldChar w:fldCharType="end"/>
            </w:r>
          </w:hyperlink>
        </w:p>
        <w:p w14:paraId="30D797CF" w14:textId="70D0B7C3" w:rsidR="008736C9" w:rsidRDefault="000C02C7">
          <w:pPr>
            <w:pStyle w:val="TM2"/>
            <w:tabs>
              <w:tab w:val="left" w:pos="880"/>
              <w:tab w:val="right" w:leader="dot" w:pos="9016"/>
            </w:tabs>
            <w:rPr>
              <w:rFonts w:eastAsiaTheme="minorEastAsia"/>
              <w:noProof/>
              <w:lang w:eastAsia="fr-FR"/>
            </w:rPr>
          </w:pPr>
          <w:hyperlink w:anchor="_Toc8400035" w:history="1">
            <w:r w:rsidR="008736C9" w:rsidRPr="00286405">
              <w:rPr>
                <w:rStyle w:val="Lienhypertexte"/>
                <w:noProof/>
              </w:rPr>
              <w:t>7.2</w:t>
            </w:r>
            <w:r w:rsidR="008736C9">
              <w:rPr>
                <w:rFonts w:eastAsiaTheme="minorEastAsia"/>
                <w:noProof/>
                <w:lang w:eastAsia="fr-FR"/>
              </w:rPr>
              <w:tab/>
            </w:r>
            <w:r w:rsidR="008736C9" w:rsidRPr="00286405">
              <w:rPr>
                <w:rStyle w:val="Lienhypertexte"/>
                <w:noProof/>
                <w:lang w:bidi="fr-FR"/>
              </w:rPr>
              <w:t>Femmes enceintes (et allaitantes)</w:t>
            </w:r>
            <w:r w:rsidR="008736C9">
              <w:rPr>
                <w:noProof/>
                <w:webHidden/>
              </w:rPr>
              <w:tab/>
            </w:r>
            <w:r w:rsidR="008736C9">
              <w:rPr>
                <w:noProof/>
                <w:webHidden/>
              </w:rPr>
              <w:fldChar w:fldCharType="begin"/>
            </w:r>
            <w:r w:rsidR="008736C9">
              <w:rPr>
                <w:noProof/>
                <w:webHidden/>
              </w:rPr>
              <w:instrText xml:space="preserve"> PAGEREF _Toc8400035 \h </w:instrText>
            </w:r>
            <w:r w:rsidR="008736C9">
              <w:rPr>
                <w:noProof/>
                <w:webHidden/>
              </w:rPr>
            </w:r>
            <w:r w:rsidR="008736C9">
              <w:rPr>
                <w:noProof/>
                <w:webHidden/>
              </w:rPr>
              <w:fldChar w:fldCharType="separate"/>
            </w:r>
            <w:r w:rsidR="008736C9">
              <w:rPr>
                <w:noProof/>
                <w:webHidden/>
              </w:rPr>
              <w:t>43</w:t>
            </w:r>
            <w:r w:rsidR="008736C9">
              <w:rPr>
                <w:noProof/>
                <w:webHidden/>
              </w:rPr>
              <w:fldChar w:fldCharType="end"/>
            </w:r>
          </w:hyperlink>
        </w:p>
        <w:p w14:paraId="59E7BD7C" w14:textId="1902B8FD" w:rsidR="008736C9" w:rsidRDefault="000C02C7">
          <w:pPr>
            <w:pStyle w:val="TM2"/>
            <w:tabs>
              <w:tab w:val="left" w:pos="880"/>
              <w:tab w:val="right" w:leader="dot" w:pos="9016"/>
            </w:tabs>
            <w:rPr>
              <w:rFonts w:eastAsiaTheme="minorEastAsia"/>
              <w:noProof/>
              <w:lang w:eastAsia="fr-FR"/>
            </w:rPr>
          </w:pPr>
          <w:hyperlink w:anchor="_Toc8400036" w:history="1">
            <w:r w:rsidR="008736C9" w:rsidRPr="00286405">
              <w:rPr>
                <w:rStyle w:val="Lienhypertexte"/>
                <w:noProof/>
              </w:rPr>
              <w:t>7.3</w:t>
            </w:r>
            <w:r w:rsidR="008736C9">
              <w:rPr>
                <w:rFonts w:eastAsiaTheme="minorEastAsia"/>
                <w:noProof/>
                <w:lang w:eastAsia="fr-FR"/>
              </w:rPr>
              <w:tab/>
            </w:r>
            <w:r w:rsidR="008736C9" w:rsidRPr="00286405">
              <w:rPr>
                <w:rStyle w:val="Lienhypertexte"/>
                <w:noProof/>
                <w:lang w:bidi="fr-FR"/>
              </w:rPr>
              <w:t>Enfants et adolescents</w:t>
            </w:r>
            <w:r w:rsidR="008736C9">
              <w:rPr>
                <w:noProof/>
                <w:webHidden/>
              </w:rPr>
              <w:tab/>
            </w:r>
            <w:r w:rsidR="008736C9">
              <w:rPr>
                <w:noProof/>
                <w:webHidden/>
              </w:rPr>
              <w:fldChar w:fldCharType="begin"/>
            </w:r>
            <w:r w:rsidR="008736C9">
              <w:rPr>
                <w:noProof/>
                <w:webHidden/>
              </w:rPr>
              <w:instrText xml:space="preserve"> PAGEREF _Toc8400036 \h </w:instrText>
            </w:r>
            <w:r w:rsidR="008736C9">
              <w:rPr>
                <w:noProof/>
                <w:webHidden/>
              </w:rPr>
            </w:r>
            <w:r w:rsidR="008736C9">
              <w:rPr>
                <w:noProof/>
                <w:webHidden/>
              </w:rPr>
              <w:fldChar w:fldCharType="separate"/>
            </w:r>
            <w:r w:rsidR="008736C9">
              <w:rPr>
                <w:noProof/>
                <w:webHidden/>
              </w:rPr>
              <w:t>45</w:t>
            </w:r>
            <w:r w:rsidR="008736C9">
              <w:rPr>
                <w:noProof/>
                <w:webHidden/>
              </w:rPr>
              <w:fldChar w:fldCharType="end"/>
            </w:r>
          </w:hyperlink>
        </w:p>
        <w:p w14:paraId="2A5D1D5B" w14:textId="18134B8F" w:rsidR="008736C9" w:rsidRDefault="000C02C7">
          <w:pPr>
            <w:pStyle w:val="TM2"/>
            <w:tabs>
              <w:tab w:val="left" w:pos="880"/>
              <w:tab w:val="right" w:leader="dot" w:pos="9016"/>
            </w:tabs>
            <w:rPr>
              <w:rFonts w:eastAsiaTheme="minorEastAsia"/>
              <w:noProof/>
              <w:lang w:eastAsia="fr-FR"/>
            </w:rPr>
          </w:pPr>
          <w:hyperlink w:anchor="_Toc8400037" w:history="1">
            <w:r w:rsidR="008736C9" w:rsidRPr="00286405">
              <w:rPr>
                <w:rStyle w:val="Lienhypertexte"/>
                <w:noProof/>
              </w:rPr>
              <w:t>7.4</w:t>
            </w:r>
            <w:r w:rsidR="008736C9">
              <w:rPr>
                <w:rFonts w:eastAsiaTheme="minorEastAsia"/>
                <w:noProof/>
                <w:lang w:eastAsia="fr-FR"/>
              </w:rPr>
              <w:tab/>
            </w:r>
            <w:r w:rsidR="008736C9" w:rsidRPr="00286405">
              <w:rPr>
                <w:rStyle w:val="Lienhypertexte"/>
                <w:noProof/>
                <w:lang w:bidi="fr-FR"/>
              </w:rPr>
              <w:t>Populations clés et vulnérables</w:t>
            </w:r>
            <w:r w:rsidR="008736C9">
              <w:rPr>
                <w:noProof/>
                <w:webHidden/>
              </w:rPr>
              <w:tab/>
            </w:r>
            <w:r w:rsidR="008736C9">
              <w:rPr>
                <w:noProof/>
                <w:webHidden/>
              </w:rPr>
              <w:fldChar w:fldCharType="begin"/>
            </w:r>
            <w:r w:rsidR="008736C9">
              <w:rPr>
                <w:noProof/>
                <w:webHidden/>
              </w:rPr>
              <w:instrText xml:space="preserve"> PAGEREF _Toc8400037 \h </w:instrText>
            </w:r>
            <w:r w:rsidR="008736C9">
              <w:rPr>
                <w:noProof/>
                <w:webHidden/>
              </w:rPr>
            </w:r>
            <w:r w:rsidR="008736C9">
              <w:rPr>
                <w:noProof/>
                <w:webHidden/>
              </w:rPr>
              <w:fldChar w:fldCharType="separate"/>
            </w:r>
            <w:r w:rsidR="008736C9">
              <w:rPr>
                <w:noProof/>
                <w:webHidden/>
              </w:rPr>
              <w:t>48</w:t>
            </w:r>
            <w:r w:rsidR="008736C9">
              <w:rPr>
                <w:noProof/>
                <w:webHidden/>
              </w:rPr>
              <w:fldChar w:fldCharType="end"/>
            </w:r>
          </w:hyperlink>
        </w:p>
        <w:p w14:paraId="513C07B2" w14:textId="27C774C3" w:rsidR="008736C9" w:rsidRDefault="000C02C7">
          <w:pPr>
            <w:pStyle w:val="TM2"/>
            <w:tabs>
              <w:tab w:val="right" w:leader="dot" w:pos="9016"/>
            </w:tabs>
            <w:rPr>
              <w:rFonts w:eastAsiaTheme="minorEastAsia"/>
              <w:noProof/>
              <w:lang w:eastAsia="fr-FR"/>
            </w:rPr>
          </w:pPr>
          <w:hyperlink w:anchor="_Toc8400038" w:history="1">
            <w:r w:rsidR="008736C9" w:rsidRPr="00286405">
              <w:rPr>
                <w:rStyle w:val="Lienhypertexte"/>
                <w:noProof/>
                <w:lang w:bidi="fr-FR"/>
              </w:rPr>
              <w:t>Notification aux partenaires et dépistage des proches d’un cas de référence</w:t>
            </w:r>
            <w:r w:rsidR="008736C9">
              <w:rPr>
                <w:noProof/>
                <w:webHidden/>
              </w:rPr>
              <w:tab/>
            </w:r>
            <w:r w:rsidR="008736C9">
              <w:rPr>
                <w:noProof/>
                <w:webHidden/>
              </w:rPr>
              <w:fldChar w:fldCharType="begin"/>
            </w:r>
            <w:r w:rsidR="008736C9">
              <w:rPr>
                <w:noProof/>
                <w:webHidden/>
              </w:rPr>
              <w:instrText xml:space="preserve"> PAGEREF _Toc8400038 \h </w:instrText>
            </w:r>
            <w:r w:rsidR="008736C9">
              <w:rPr>
                <w:noProof/>
                <w:webHidden/>
              </w:rPr>
            </w:r>
            <w:r w:rsidR="008736C9">
              <w:rPr>
                <w:noProof/>
                <w:webHidden/>
              </w:rPr>
              <w:fldChar w:fldCharType="separate"/>
            </w:r>
            <w:r w:rsidR="008736C9">
              <w:rPr>
                <w:noProof/>
                <w:webHidden/>
              </w:rPr>
              <w:t>49</w:t>
            </w:r>
            <w:r w:rsidR="008736C9">
              <w:rPr>
                <w:noProof/>
                <w:webHidden/>
              </w:rPr>
              <w:fldChar w:fldCharType="end"/>
            </w:r>
          </w:hyperlink>
        </w:p>
        <w:p w14:paraId="07001720" w14:textId="15EEB7AF" w:rsidR="008736C9" w:rsidRDefault="000C02C7">
          <w:pPr>
            <w:pStyle w:val="TM1"/>
            <w:tabs>
              <w:tab w:val="right" w:leader="dot" w:pos="9016"/>
            </w:tabs>
            <w:rPr>
              <w:rFonts w:eastAsiaTheme="minorEastAsia"/>
              <w:noProof/>
              <w:lang w:eastAsia="fr-FR"/>
            </w:rPr>
          </w:pPr>
          <w:hyperlink w:anchor="_Toc8400039" w:history="1">
            <w:r w:rsidR="008736C9" w:rsidRPr="00286405">
              <w:rPr>
                <w:rStyle w:val="Lienhypertexte"/>
                <w:noProof/>
                <w:lang w:bidi="fr-FR"/>
              </w:rPr>
              <w:t>8. Cibles en matière de dépistage du VIH</w:t>
            </w:r>
            <w:r w:rsidR="008736C9">
              <w:rPr>
                <w:noProof/>
                <w:webHidden/>
              </w:rPr>
              <w:tab/>
            </w:r>
            <w:r w:rsidR="008736C9">
              <w:rPr>
                <w:noProof/>
                <w:webHidden/>
              </w:rPr>
              <w:fldChar w:fldCharType="begin"/>
            </w:r>
            <w:r w:rsidR="008736C9">
              <w:rPr>
                <w:noProof/>
                <w:webHidden/>
              </w:rPr>
              <w:instrText xml:space="preserve"> PAGEREF _Toc8400039 \h </w:instrText>
            </w:r>
            <w:r w:rsidR="008736C9">
              <w:rPr>
                <w:noProof/>
                <w:webHidden/>
              </w:rPr>
            </w:r>
            <w:r w:rsidR="008736C9">
              <w:rPr>
                <w:noProof/>
                <w:webHidden/>
              </w:rPr>
              <w:fldChar w:fldCharType="separate"/>
            </w:r>
            <w:r w:rsidR="008736C9">
              <w:rPr>
                <w:noProof/>
                <w:webHidden/>
              </w:rPr>
              <w:t>51</w:t>
            </w:r>
            <w:r w:rsidR="008736C9">
              <w:rPr>
                <w:noProof/>
                <w:webHidden/>
              </w:rPr>
              <w:fldChar w:fldCharType="end"/>
            </w:r>
          </w:hyperlink>
        </w:p>
        <w:p w14:paraId="2E3E57BE" w14:textId="691CD29A" w:rsidR="00FB13E3" w:rsidRDefault="00FB13E3">
          <w:r>
            <w:rPr>
              <w:b/>
              <w:noProof/>
              <w:lang w:bidi="fr-FR"/>
            </w:rPr>
            <w:fldChar w:fldCharType="end"/>
          </w:r>
        </w:p>
      </w:sdtContent>
    </w:sdt>
    <w:p w14:paraId="0D5C9D91" w14:textId="77777777" w:rsidR="00376A08" w:rsidRDefault="00376A08" w:rsidP="005E6B82">
      <w:pPr>
        <w:jc w:val="center"/>
        <w:rPr>
          <w:b/>
          <w:sz w:val="28"/>
          <w:szCs w:val="28"/>
        </w:rPr>
      </w:pPr>
    </w:p>
    <w:p w14:paraId="5BC089A2" w14:textId="77777777" w:rsidR="00376A08" w:rsidRDefault="00376A08" w:rsidP="005E6B82">
      <w:pPr>
        <w:jc w:val="center"/>
        <w:rPr>
          <w:b/>
          <w:sz w:val="28"/>
          <w:szCs w:val="28"/>
        </w:rPr>
      </w:pPr>
    </w:p>
    <w:p w14:paraId="195FFDC6" w14:textId="77777777" w:rsidR="00376A08" w:rsidRDefault="00376A08" w:rsidP="005E6B82">
      <w:pPr>
        <w:jc w:val="center"/>
        <w:rPr>
          <w:b/>
          <w:sz w:val="28"/>
          <w:szCs w:val="28"/>
        </w:rPr>
      </w:pPr>
    </w:p>
    <w:p w14:paraId="001A3D55" w14:textId="77777777" w:rsidR="00376A08" w:rsidRDefault="00376A08" w:rsidP="005E6B82">
      <w:pPr>
        <w:jc w:val="center"/>
        <w:rPr>
          <w:b/>
          <w:sz w:val="28"/>
          <w:szCs w:val="28"/>
        </w:rPr>
      </w:pPr>
    </w:p>
    <w:p w14:paraId="6F01F733" w14:textId="77777777" w:rsidR="00376A08" w:rsidRDefault="00376A08" w:rsidP="005E6B82">
      <w:pPr>
        <w:jc w:val="center"/>
        <w:rPr>
          <w:b/>
          <w:sz w:val="28"/>
          <w:szCs w:val="28"/>
        </w:rPr>
      </w:pPr>
    </w:p>
    <w:p w14:paraId="5434D06D" w14:textId="77777777" w:rsidR="00376A08" w:rsidRDefault="00376A08" w:rsidP="005E6B82">
      <w:pPr>
        <w:jc w:val="center"/>
        <w:rPr>
          <w:b/>
          <w:sz w:val="28"/>
          <w:szCs w:val="28"/>
        </w:rPr>
      </w:pPr>
    </w:p>
    <w:p w14:paraId="22EE21A6" w14:textId="77777777" w:rsidR="00376A08" w:rsidRDefault="00376A08" w:rsidP="005E6B82">
      <w:pPr>
        <w:jc w:val="center"/>
        <w:rPr>
          <w:b/>
          <w:sz w:val="28"/>
          <w:szCs w:val="28"/>
        </w:rPr>
      </w:pPr>
    </w:p>
    <w:p w14:paraId="19654BFA" w14:textId="77777777" w:rsidR="00376A08" w:rsidRDefault="00376A08" w:rsidP="005E6B82">
      <w:pPr>
        <w:jc w:val="center"/>
        <w:rPr>
          <w:b/>
          <w:sz w:val="28"/>
          <w:szCs w:val="28"/>
        </w:rPr>
      </w:pPr>
    </w:p>
    <w:p w14:paraId="61BF3230" w14:textId="77777777" w:rsidR="00376A08" w:rsidRDefault="00376A08" w:rsidP="005E6B82">
      <w:pPr>
        <w:jc w:val="center"/>
        <w:rPr>
          <w:b/>
          <w:sz w:val="28"/>
          <w:szCs w:val="28"/>
        </w:rPr>
      </w:pPr>
    </w:p>
    <w:p w14:paraId="3776DDD9" w14:textId="77777777" w:rsidR="00376A08" w:rsidRDefault="00376A08" w:rsidP="005E6B82">
      <w:pPr>
        <w:jc w:val="center"/>
        <w:rPr>
          <w:b/>
          <w:sz w:val="28"/>
          <w:szCs w:val="28"/>
        </w:rPr>
      </w:pPr>
    </w:p>
    <w:p w14:paraId="160ED299" w14:textId="77777777" w:rsidR="00376A08" w:rsidRDefault="00376A08" w:rsidP="005E6B82">
      <w:pPr>
        <w:jc w:val="center"/>
        <w:rPr>
          <w:b/>
          <w:sz w:val="28"/>
          <w:szCs w:val="28"/>
        </w:rPr>
      </w:pPr>
    </w:p>
    <w:p w14:paraId="0F0A3390" w14:textId="77777777" w:rsidR="00376A08" w:rsidRDefault="00376A08" w:rsidP="005E6B82">
      <w:pPr>
        <w:jc w:val="center"/>
        <w:rPr>
          <w:b/>
          <w:sz w:val="28"/>
          <w:szCs w:val="28"/>
        </w:rPr>
      </w:pPr>
    </w:p>
    <w:p w14:paraId="18449BD3" w14:textId="77777777" w:rsidR="00376A08" w:rsidRDefault="00376A08" w:rsidP="005E6B82">
      <w:pPr>
        <w:jc w:val="center"/>
        <w:rPr>
          <w:b/>
          <w:sz w:val="28"/>
          <w:szCs w:val="28"/>
        </w:rPr>
      </w:pPr>
    </w:p>
    <w:p w14:paraId="5463A732" w14:textId="77777777" w:rsidR="00376A08" w:rsidRDefault="00376A08" w:rsidP="005E6B82">
      <w:pPr>
        <w:jc w:val="center"/>
        <w:rPr>
          <w:b/>
          <w:sz w:val="28"/>
          <w:szCs w:val="28"/>
        </w:rPr>
      </w:pPr>
    </w:p>
    <w:p w14:paraId="6F6B403C" w14:textId="77777777" w:rsidR="00376A08" w:rsidRDefault="00376A08" w:rsidP="005E6B82">
      <w:pPr>
        <w:jc w:val="center"/>
        <w:rPr>
          <w:b/>
          <w:sz w:val="28"/>
          <w:szCs w:val="28"/>
        </w:rPr>
      </w:pPr>
    </w:p>
    <w:p w14:paraId="45C20967" w14:textId="5CFD7130" w:rsidR="008736C9" w:rsidRDefault="008736C9">
      <w:pPr>
        <w:rPr>
          <w:b/>
          <w:sz w:val="28"/>
          <w:szCs w:val="28"/>
        </w:rPr>
      </w:pPr>
      <w:r>
        <w:rPr>
          <w:b/>
          <w:sz w:val="28"/>
          <w:szCs w:val="28"/>
        </w:rPr>
        <w:br w:type="page"/>
      </w:r>
    </w:p>
    <w:p w14:paraId="63CAB369" w14:textId="77777777" w:rsidR="00376A08" w:rsidRDefault="00376A08" w:rsidP="00376A08">
      <w:pPr>
        <w:jc w:val="center"/>
        <w:rPr>
          <w:b/>
          <w:sz w:val="28"/>
          <w:szCs w:val="28"/>
        </w:rPr>
      </w:pPr>
      <w:r w:rsidRPr="00B556BA">
        <w:rPr>
          <w:b/>
          <w:sz w:val="28"/>
          <w:szCs w:val="28"/>
          <w:lang w:bidi="fr-FR"/>
        </w:rPr>
        <w:lastRenderedPageBreak/>
        <w:t>Liste des tableaux et des figures</w:t>
      </w:r>
    </w:p>
    <w:p w14:paraId="42228BBE" w14:textId="6627B742" w:rsidR="00376A08" w:rsidRDefault="00376A08" w:rsidP="005E6B82">
      <w:pPr>
        <w:jc w:val="center"/>
        <w:rPr>
          <w:b/>
          <w:sz w:val="28"/>
          <w:szCs w:val="28"/>
        </w:rPr>
      </w:pPr>
    </w:p>
    <w:p w14:paraId="18A0B4F6" w14:textId="6DC5739B" w:rsidR="00376A08" w:rsidRDefault="00376A08" w:rsidP="005E6B82">
      <w:pPr>
        <w:jc w:val="center"/>
        <w:rPr>
          <w:b/>
          <w:sz w:val="28"/>
          <w:szCs w:val="28"/>
        </w:rPr>
      </w:pPr>
    </w:p>
    <w:p w14:paraId="4AF0F9A5" w14:textId="0843DE3B" w:rsidR="00376A08" w:rsidRDefault="00376A08" w:rsidP="005E6B82">
      <w:pPr>
        <w:jc w:val="center"/>
        <w:rPr>
          <w:b/>
          <w:sz w:val="28"/>
          <w:szCs w:val="28"/>
        </w:rPr>
      </w:pPr>
    </w:p>
    <w:p w14:paraId="2EB13EEC" w14:textId="0833A80D" w:rsidR="00376A08" w:rsidRDefault="00376A08" w:rsidP="005E6B82">
      <w:pPr>
        <w:jc w:val="center"/>
        <w:rPr>
          <w:b/>
          <w:sz w:val="28"/>
          <w:szCs w:val="28"/>
        </w:rPr>
      </w:pPr>
    </w:p>
    <w:p w14:paraId="40C2B34B" w14:textId="3FEA965E" w:rsidR="00376A08" w:rsidRDefault="00376A08" w:rsidP="005E6B82">
      <w:pPr>
        <w:jc w:val="center"/>
        <w:rPr>
          <w:b/>
          <w:sz w:val="28"/>
          <w:szCs w:val="28"/>
        </w:rPr>
      </w:pPr>
    </w:p>
    <w:p w14:paraId="25975A6F" w14:textId="50359453" w:rsidR="00376A08" w:rsidRDefault="00376A08" w:rsidP="005E6B82">
      <w:pPr>
        <w:jc w:val="center"/>
        <w:rPr>
          <w:b/>
          <w:sz w:val="28"/>
          <w:szCs w:val="28"/>
        </w:rPr>
      </w:pPr>
    </w:p>
    <w:p w14:paraId="32880CB8" w14:textId="1F24E20E" w:rsidR="00376A08" w:rsidRDefault="00376A08" w:rsidP="005E6B82">
      <w:pPr>
        <w:jc w:val="center"/>
        <w:rPr>
          <w:b/>
          <w:sz w:val="28"/>
          <w:szCs w:val="28"/>
        </w:rPr>
      </w:pPr>
    </w:p>
    <w:p w14:paraId="6500FC5D" w14:textId="412DCD6B" w:rsidR="00376A08" w:rsidRDefault="00376A08" w:rsidP="005E6B82">
      <w:pPr>
        <w:jc w:val="center"/>
        <w:rPr>
          <w:b/>
          <w:sz w:val="28"/>
          <w:szCs w:val="28"/>
        </w:rPr>
      </w:pPr>
    </w:p>
    <w:p w14:paraId="152E5472" w14:textId="388B02B5" w:rsidR="00376A08" w:rsidRDefault="00376A08" w:rsidP="005E6B82">
      <w:pPr>
        <w:jc w:val="center"/>
        <w:rPr>
          <w:b/>
          <w:sz w:val="28"/>
          <w:szCs w:val="28"/>
        </w:rPr>
      </w:pPr>
    </w:p>
    <w:p w14:paraId="47F3A834" w14:textId="005E7E0B" w:rsidR="00376A08" w:rsidRDefault="00376A08" w:rsidP="005E6B82">
      <w:pPr>
        <w:jc w:val="center"/>
        <w:rPr>
          <w:b/>
          <w:sz w:val="28"/>
          <w:szCs w:val="28"/>
        </w:rPr>
      </w:pPr>
    </w:p>
    <w:p w14:paraId="441611FC" w14:textId="79AEBF69" w:rsidR="00376A08" w:rsidRDefault="00376A08" w:rsidP="005E6B82">
      <w:pPr>
        <w:jc w:val="center"/>
        <w:rPr>
          <w:b/>
          <w:sz w:val="28"/>
          <w:szCs w:val="28"/>
        </w:rPr>
      </w:pPr>
    </w:p>
    <w:p w14:paraId="3FF2171B" w14:textId="55F2D817" w:rsidR="00376A08" w:rsidRDefault="00376A08" w:rsidP="005E6B82">
      <w:pPr>
        <w:jc w:val="center"/>
        <w:rPr>
          <w:b/>
          <w:sz w:val="28"/>
          <w:szCs w:val="28"/>
        </w:rPr>
      </w:pPr>
    </w:p>
    <w:p w14:paraId="6058D08E" w14:textId="77777777" w:rsidR="00425378" w:rsidRDefault="00425378" w:rsidP="005E6B82">
      <w:pPr>
        <w:jc w:val="center"/>
        <w:rPr>
          <w:b/>
          <w:sz w:val="28"/>
          <w:szCs w:val="28"/>
        </w:rPr>
      </w:pPr>
    </w:p>
    <w:p w14:paraId="2125744B" w14:textId="05FAB4FF" w:rsidR="00376A08" w:rsidRDefault="00376A08" w:rsidP="005E6B82">
      <w:pPr>
        <w:jc w:val="center"/>
        <w:rPr>
          <w:b/>
          <w:sz w:val="28"/>
          <w:szCs w:val="28"/>
        </w:rPr>
      </w:pPr>
    </w:p>
    <w:p w14:paraId="7DFE554D" w14:textId="26DA6F91" w:rsidR="00376A08" w:rsidRDefault="00376A08" w:rsidP="005E6B82">
      <w:pPr>
        <w:jc w:val="center"/>
        <w:rPr>
          <w:b/>
          <w:sz w:val="28"/>
          <w:szCs w:val="28"/>
        </w:rPr>
      </w:pPr>
    </w:p>
    <w:p w14:paraId="1BC7D9DB" w14:textId="77777777" w:rsidR="008736C9" w:rsidRDefault="008736C9">
      <w:pPr>
        <w:rPr>
          <w:b/>
          <w:sz w:val="28"/>
          <w:szCs w:val="28"/>
          <w:lang w:bidi="fr-FR"/>
        </w:rPr>
      </w:pPr>
      <w:r>
        <w:rPr>
          <w:b/>
          <w:sz w:val="28"/>
          <w:szCs w:val="28"/>
          <w:lang w:bidi="fr-FR"/>
        </w:rPr>
        <w:br w:type="page"/>
      </w:r>
    </w:p>
    <w:p w14:paraId="48FC5621" w14:textId="08180015" w:rsidR="005E6B82" w:rsidRPr="00B556BA" w:rsidRDefault="00582C9E" w:rsidP="005E6B82">
      <w:pPr>
        <w:jc w:val="center"/>
        <w:rPr>
          <w:b/>
          <w:sz w:val="28"/>
          <w:szCs w:val="28"/>
        </w:rPr>
      </w:pPr>
      <w:r w:rsidRPr="00A612E9">
        <w:rPr>
          <w:b/>
          <w:sz w:val="28"/>
          <w:szCs w:val="28"/>
          <w:highlight w:val="yellow"/>
          <w:lang w:bidi="fr-FR"/>
        </w:rPr>
        <w:lastRenderedPageBreak/>
        <w:t>Liste des acronymes</w:t>
      </w:r>
    </w:p>
    <w:tbl>
      <w:tblPr>
        <w:tblStyle w:val="Grilledutableau"/>
        <w:tblW w:w="0" w:type="auto"/>
        <w:tblLook w:val="04A0" w:firstRow="1" w:lastRow="0" w:firstColumn="1" w:lastColumn="0" w:noHBand="0" w:noVBand="1"/>
      </w:tblPr>
      <w:tblGrid>
        <w:gridCol w:w="1551"/>
        <w:gridCol w:w="7465"/>
      </w:tblGrid>
      <w:tr w:rsidR="005E6B82" w14:paraId="47DA4978" w14:textId="77777777" w:rsidTr="00263BBC">
        <w:tc>
          <w:tcPr>
            <w:tcW w:w="1551" w:type="dxa"/>
          </w:tcPr>
          <w:p w14:paraId="13810FE6" w14:textId="77777777" w:rsidR="005E6B82" w:rsidRDefault="005E6B82" w:rsidP="00263BBC">
            <w:r>
              <w:rPr>
                <w:lang w:bidi="fr-FR"/>
              </w:rPr>
              <w:t>APS</w:t>
            </w:r>
          </w:p>
        </w:tc>
        <w:tc>
          <w:tcPr>
            <w:tcW w:w="7465" w:type="dxa"/>
          </w:tcPr>
          <w:p w14:paraId="594BB136" w14:textId="77777777" w:rsidR="005E6B82" w:rsidRDefault="005E6B82" w:rsidP="00263BBC">
            <w:r>
              <w:rPr>
                <w:lang w:bidi="fr-FR"/>
              </w:rPr>
              <w:t>Agent psychosocial</w:t>
            </w:r>
          </w:p>
        </w:tc>
      </w:tr>
      <w:tr w:rsidR="005E6B82" w14:paraId="197CE9B2" w14:textId="77777777" w:rsidTr="00263BBC">
        <w:tc>
          <w:tcPr>
            <w:tcW w:w="1551" w:type="dxa"/>
          </w:tcPr>
          <w:p w14:paraId="1C416D2B" w14:textId="77777777" w:rsidR="005E6B82" w:rsidRDefault="005E6B82" w:rsidP="00263BBC">
            <w:r>
              <w:rPr>
                <w:lang w:bidi="fr-FR"/>
              </w:rPr>
              <w:t>ARV</w:t>
            </w:r>
          </w:p>
        </w:tc>
        <w:tc>
          <w:tcPr>
            <w:tcW w:w="7465" w:type="dxa"/>
          </w:tcPr>
          <w:p w14:paraId="1505C5AB" w14:textId="77777777" w:rsidR="005E6B82" w:rsidRDefault="005E6B82" w:rsidP="00263BBC">
            <w:r>
              <w:rPr>
                <w:lang w:bidi="fr-FR"/>
              </w:rPr>
              <w:t>Antirétroviral/antirétroviraux</w:t>
            </w:r>
          </w:p>
        </w:tc>
      </w:tr>
      <w:tr w:rsidR="005E6B82" w:rsidRPr="0064741A" w14:paraId="5E958860" w14:textId="77777777" w:rsidTr="00263BBC">
        <w:tc>
          <w:tcPr>
            <w:tcW w:w="1551" w:type="dxa"/>
          </w:tcPr>
          <w:p w14:paraId="681E0A75" w14:textId="77777777" w:rsidR="005E6B82" w:rsidRDefault="005E6B82" w:rsidP="00263BBC">
            <w:r>
              <w:rPr>
                <w:lang w:bidi="fr-FR"/>
              </w:rPr>
              <w:t>BSD</w:t>
            </w:r>
          </w:p>
        </w:tc>
        <w:tc>
          <w:tcPr>
            <w:tcW w:w="7465" w:type="dxa"/>
          </w:tcPr>
          <w:p w14:paraId="63841E91" w14:textId="77777777" w:rsidR="005E6B82" w:rsidRDefault="005E6B82" w:rsidP="00263BBC">
            <w:r w:rsidRPr="00BA0A60">
              <w:rPr>
                <w:lang w:bidi="fr-FR"/>
              </w:rPr>
              <w:t>Bureau de Stratégie et de Développement</w:t>
            </w:r>
          </w:p>
        </w:tc>
      </w:tr>
      <w:tr w:rsidR="005E6B82" w:rsidRPr="0064741A" w14:paraId="03C1B5B2" w14:textId="77777777" w:rsidTr="00263BBC">
        <w:tc>
          <w:tcPr>
            <w:tcW w:w="1551" w:type="dxa"/>
          </w:tcPr>
          <w:p w14:paraId="299DB3B4" w14:textId="77777777" w:rsidR="005E6B82" w:rsidRDefault="005E6B82" w:rsidP="00263BBC">
            <w:r>
              <w:rPr>
                <w:lang w:bidi="fr-FR"/>
              </w:rPr>
              <w:t>CCC</w:t>
            </w:r>
          </w:p>
        </w:tc>
        <w:tc>
          <w:tcPr>
            <w:tcW w:w="7465" w:type="dxa"/>
          </w:tcPr>
          <w:p w14:paraId="2203B84A" w14:textId="77777777" w:rsidR="005E6B82" w:rsidRDefault="005E6B82" w:rsidP="00263BBC">
            <w:r>
              <w:rPr>
                <w:lang w:bidi="fr-FR"/>
              </w:rPr>
              <w:t>Communication pour le changement du comportement</w:t>
            </w:r>
          </w:p>
        </w:tc>
      </w:tr>
      <w:tr w:rsidR="005E6B82" w:rsidRPr="0064741A" w14:paraId="248A1BB6" w14:textId="77777777" w:rsidTr="00263BBC">
        <w:tc>
          <w:tcPr>
            <w:tcW w:w="1551" w:type="dxa"/>
          </w:tcPr>
          <w:p w14:paraId="396413BA" w14:textId="77777777" w:rsidR="005E6B82" w:rsidRDefault="005E6B82" w:rsidP="00263BBC">
            <w:r>
              <w:rPr>
                <w:lang w:bidi="fr-FR"/>
              </w:rPr>
              <w:t>CDT</w:t>
            </w:r>
          </w:p>
        </w:tc>
        <w:tc>
          <w:tcPr>
            <w:tcW w:w="7465" w:type="dxa"/>
          </w:tcPr>
          <w:p w14:paraId="4F55AAE6" w14:textId="77777777" w:rsidR="005E6B82" w:rsidRDefault="005E6B82" w:rsidP="00263BBC">
            <w:r>
              <w:rPr>
                <w:lang w:bidi="fr-FR"/>
              </w:rPr>
              <w:t>Centre de dépistage et de traitement de la tuberculose</w:t>
            </w:r>
          </w:p>
        </w:tc>
      </w:tr>
      <w:tr w:rsidR="005E6B82" w14:paraId="125C4B15" w14:textId="77777777" w:rsidTr="00263BBC">
        <w:tc>
          <w:tcPr>
            <w:tcW w:w="1551" w:type="dxa"/>
          </w:tcPr>
          <w:p w14:paraId="6155ED02" w14:textId="77777777" w:rsidR="005E6B82" w:rsidRDefault="005E6B82" w:rsidP="00263BBC">
            <w:r>
              <w:rPr>
                <w:lang w:bidi="fr-FR"/>
              </w:rPr>
              <w:t>CDV</w:t>
            </w:r>
          </w:p>
        </w:tc>
        <w:tc>
          <w:tcPr>
            <w:tcW w:w="7465" w:type="dxa"/>
          </w:tcPr>
          <w:p w14:paraId="3872420A" w14:textId="77777777" w:rsidR="005E6B82" w:rsidRDefault="005E6B82" w:rsidP="00263BBC">
            <w:r>
              <w:rPr>
                <w:lang w:bidi="fr-FR"/>
              </w:rPr>
              <w:t>Conseil et dépistage volontaires</w:t>
            </w:r>
          </w:p>
        </w:tc>
      </w:tr>
      <w:tr w:rsidR="005E6B82" w14:paraId="5A894E54" w14:textId="77777777" w:rsidTr="00263BBC">
        <w:tc>
          <w:tcPr>
            <w:tcW w:w="1551" w:type="dxa"/>
          </w:tcPr>
          <w:p w14:paraId="79B9291C" w14:textId="77777777" w:rsidR="005E6B82" w:rsidRDefault="005E6B82" w:rsidP="00263BBC">
            <w:r>
              <w:rPr>
                <w:lang w:bidi="fr-FR"/>
              </w:rPr>
              <w:t>CMC</w:t>
            </w:r>
          </w:p>
        </w:tc>
        <w:tc>
          <w:tcPr>
            <w:tcW w:w="7465" w:type="dxa"/>
          </w:tcPr>
          <w:p w14:paraId="4F6B181F" w14:textId="77777777" w:rsidR="005E6B82" w:rsidRDefault="005E6B82" w:rsidP="00263BBC">
            <w:r>
              <w:rPr>
                <w:lang w:bidi="fr-FR"/>
              </w:rPr>
              <w:t>Centre médical communal</w:t>
            </w:r>
          </w:p>
        </w:tc>
      </w:tr>
      <w:tr w:rsidR="005E6B82" w:rsidRPr="0064741A" w14:paraId="6EBEBDF7" w14:textId="77777777" w:rsidTr="00263BBC">
        <w:tc>
          <w:tcPr>
            <w:tcW w:w="1551" w:type="dxa"/>
          </w:tcPr>
          <w:p w14:paraId="608ECA06" w14:textId="77777777" w:rsidR="005E6B82" w:rsidRDefault="005E6B82" w:rsidP="00263BBC">
            <w:r>
              <w:rPr>
                <w:lang w:bidi="fr-FR"/>
              </w:rPr>
              <w:t>CNLS</w:t>
            </w:r>
          </w:p>
        </w:tc>
        <w:tc>
          <w:tcPr>
            <w:tcW w:w="7465" w:type="dxa"/>
          </w:tcPr>
          <w:p w14:paraId="60E93C64" w14:textId="77777777" w:rsidR="005E6B82" w:rsidRDefault="005E6B82" w:rsidP="00263BBC">
            <w:r>
              <w:rPr>
                <w:lang w:bidi="fr-FR"/>
              </w:rPr>
              <w:t>Comité national de lutte contre le sida</w:t>
            </w:r>
          </w:p>
        </w:tc>
      </w:tr>
      <w:tr w:rsidR="005E6B82" w:rsidRPr="0064741A" w14:paraId="63A41989" w14:textId="77777777" w:rsidTr="00263BBC">
        <w:tc>
          <w:tcPr>
            <w:tcW w:w="1551" w:type="dxa"/>
          </w:tcPr>
          <w:p w14:paraId="268A8D51" w14:textId="77777777" w:rsidR="005E6B82" w:rsidRDefault="005E6B82" w:rsidP="00263BBC">
            <w:r>
              <w:rPr>
                <w:lang w:bidi="fr-FR"/>
              </w:rPr>
              <w:t>CNTS</w:t>
            </w:r>
          </w:p>
        </w:tc>
        <w:tc>
          <w:tcPr>
            <w:tcW w:w="7465" w:type="dxa"/>
          </w:tcPr>
          <w:p w14:paraId="2C5C1526" w14:textId="77777777" w:rsidR="005E6B82" w:rsidRDefault="005E6B82" w:rsidP="00263BBC">
            <w:r w:rsidRPr="005B778C">
              <w:rPr>
                <w:lang w:bidi="fr-FR"/>
              </w:rPr>
              <w:t>Centre national de transfusion sanguine</w:t>
            </w:r>
          </w:p>
        </w:tc>
      </w:tr>
      <w:tr w:rsidR="005E6B82" w14:paraId="4A3E1F1E" w14:textId="77777777" w:rsidTr="00263BBC">
        <w:tc>
          <w:tcPr>
            <w:tcW w:w="1551" w:type="dxa"/>
          </w:tcPr>
          <w:p w14:paraId="29748898" w14:textId="77777777" w:rsidR="005E6B82" w:rsidRDefault="005E6B82" w:rsidP="00263BBC">
            <w:r>
              <w:rPr>
                <w:lang w:bidi="fr-FR"/>
              </w:rPr>
              <w:t>CPN</w:t>
            </w:r>
          </w:p>
        </w:tc>
        <w:tc>
          <w:tcPr>
            <w:tcW w:w="7465" w:type="dxa"/>
          </w:tcPr>
          <w:p w14:paraId="76A8F14D" w14:textId="77777777" w:rsidR="005E6B82" w:rsidRDefault="005E6B82" w:rsidP="00263BBC">
            <w:r>
              <w:rPr>
                <w:lang w:bidi="fr-FR"/>
              </w:rPr>
              <w:t>Consultations prénatales</w:t>
            </w:r>
          </w:p>
        </w:tc>
      </w:tr>
      <w:tr w:rsidR="005E6B82" w14:paraId="4D7576DD" w14:textId="77777777" w:rsidTr="00263BBC">
        <w:tc>
          <w:tcPr>
            <w:tcW w:w="1551" w:type="dxa"/>
          </w:tcPr>
          <w:p w14:paraId="4C3C9D63" w14:textId="77777777" w:rsidR="005E6B82" w:rsidRDefault="005E6B82" w:rsidP="00263BBC">
            <w:r>
              <w:rPr>
                <w:lang w:bidi="fr-FR"/>
              </w:rPr>
              <w:t>CS</w:t>
            </w:r>
          </w:p>
        </w:tc>
        <w:tc>
          <w:tcPr>
            <w:tcW w:w="7465" w:type="dxa"/>
          </w:tcPr>
          <w:p w14:paraId="4C6EB07D" w14:textId="77777777" w:rsidR="005E6B82" w:rsidRDefault="005E6B82" w:rsidP="00263BBC">
            <w:r>
              <w:rPr>
                <w:lang w:bidi="fr-FR"/>
              </w:rPr>
              <w:t>Centre de santé</w:t>
            </w:r>
          </w:p>
        </w:tc>
      </w:tr>
      <w:tr w:rsidR="005E6B82" w:rsidRPr="0045797B" w14:paraId="0416AEEC" w14:textId="77777777" w:rsidTr="00263BBC">
        <w:tc>
          <w:tcPr>
            <w:tcW w:w="1551" w:type="dxa"/>
          </w:tcPr>
          <w:p w14:paraId="2E5DD2C1" w14:textId="77777777" w:rsidR="005E6B82" w:rsidRDefault="005E6B82" w:rsidP="00263BBC">
            <w:r w:rsidRPr="00BA0A60">
              <w:rPr>
                <w:lang w:bidi="fr-FR"/>
              </w:rPr>
              <w:t>DHIS2</w:t>
            </w:r>
          </w:p>
        </w:tc>
        <w:tc>
          <w:tcPr>
            <w:tcW w:w="7465" w:type="dxa"/>
          </w:tcPr>
          <w:p w14:paraId="606B011D" w14:textId="77777777" w:rsidR="005E6B82" w:rsidRPr="008E5DCF" w:rsidRDefault="005E6B82" w:rsidP="00263BBC">
            <w:pPr>
              <w:rPr>
                <w:lang w:val="fr-CH"/>
              </w:rPr>
            </w:pPr>
            <w:r w:rsidRPr="00BA0A60">
              <w:rPr>
                <w:lang w:bidi="fr-FR"/>
              </w:rPr>
              <w:t>District Health Information System (système d’information sanitaire de district) – version 2</w:t>
            </w:r>
          </w:p>
        </w:tc>
      </w:tr>
      <w:tr w:rsidR="005E6B82" w:rsidRPr="0064741A" w14:paraId="2340EDFE" w14:textId="77777777" w:rsidTr="00263BBC">
        <w:tc>
          <w:tcPr>
            <w:tcW w:w="1551" w:type="dxa"/>
          </w:tcPr>
          <w:p w14:paraId="75415119" w14:textId="77777777" w:rsidR="005E6B82" w:rsidRPr="00BA0A60" w:rsidRDefault="005E6B82" w:rsidP="00263BBC">
            <w:r>
              <w:rPr>
                <w:lang w:bidi="fr-FR"/>
              </w:rPr>
              <w:t>EDS</w:t>
            </w:r>
          </w:p>
        </w:tc>
        <w:tc>
          <w:tcPr>
            <w:tcW w:w="7465" w:type="dxa"/>
          </w:tcPr>
          <w:p w14:paraId="65D12337" w14:textId="77777777" w:rsidR="005E6B82" w:rsidRPr="005B778C" w:rsidRDefault="005E6B82" w:rsidP="00263BBC">
            <w:r>
              <w:rPr>
                <w:lang w:bidi="fr-FR"/>
              </w:rPr>
              <w:t>Enquête démographique et de santé</w:t>
            </w:r>
          </w:p>
        </w:tc>
      </w:tr>
      <w:tr w:rsidR="005E6B82" w:rsidRPr="0064741A" w14:paraId="531DAA0D" w14:textId="77777777" w:rsidTr="00263BBC">
        <w:tc>
          <w:tcPr>
            <w:tcW w:w="1551" w:type="dxa"/>
          </w:tcPr>
          <w:p w14:paraId="0CF6EA2A" w14:textId="77777777" w:rsidR="005E6B82" w:rsidRDefault="005E6B82" w:rsidP="00263BBC">
            <w:r w:rsidRPr="00381A61">
              <w:rPr>
                <w:lang w:bidi="fr-FR"/>
              </w:rPr>
              <w:t>ENSS</w:t>
            </w:r>
          </w:p>
        </w:tc>
        <w:tc>
          <w:tcPr>
            <w:tcW w:w="7465" w:type="dxa"/>
          </w:tcPr>
          <w:p w14:paraId="77820C45" w14:textId="77777777" w:rsidR="005E6B82" w:rsidRDefault="005E6B82" w:rsidP="00263BBC">
            <w:r>
              <w:rPr>
                <w:lang w:bidi="fr-FR"/>
              </w:rPr>
              <w:t>Enquête nationale de surveillance sentinelle</w:t>
            </w:r>
          </w:p>
        </w:tc>
      </w:tr>
      <w:tr w:rsidR="005E6B82" w:rsidRPr="0064741A" w14:paraId="12041B03" w14:textId="77777777" w:rsidTr="00263BBC">
        <w:tc>
          <w:tcPr>
            <w:tcW w:w="1551" w:type="dxa"/>
          </w:tcPr>
          <w:p w14:paraId="34119FA5" w14:textId="77777777" w:rsidR="005E6B82" w:rsidRDefault="005E6B82" w:rsidP="00263BBC">
            <w:r>
              <w:rPr>
                <w:lang w:bidi="fr-FR"/>
              </w:rPr>
              <w:t>ESCOMB</w:t>
            </w:r>
          </w:p>
        </w:tc>
        <w:tc>
          <w:tcPr>
            <w:tcW w:w="7465" w:type="dxa"/>
          </w:tcPr>
          <w:p w14:paraId="23265E80" w14:textId="77777777" w:rsidR="005E6B82" w:rsidRDefault="005E6B82" w:rsidP="00263BBC">
            <w:r>
              <w:rPr>
                <w:lang w:bidi="fr-FR"/>
              </w:rPr>
              <w:t>Enquête de surveillance comportementale et biologique</w:t>
            </w:r>
          </w:p>
        </w:tc>
      </w:tr>
      <w:tr w:rsidR="005E6B82" w:rsidRPr="005B778C" w14:paraId="674246FC" w14:textId="77777777" w:rsidTr="00263BBC">
        <w:tc>
          <w:tcPr>
            <w:tcW w:w="1551" w:type="dxa"/>
          </w:tcPr>
          <w:p w14:paraId="428CF2A5" w14:textId="0ED7FEBF" w:rsidR="005E6B82" w:rsidRDefault="005E6B82" w:rsidP="00263BBC">
            <w:r>
              <w:rPr>
                <w:lang w:bidi="fr-FR"/>
              </w:rPr>
              <w:t>IC</w:t>
            </w:r>
            <w:r w:rsidR="00326A59">
              <w:rPr>
                <w:lang w:bidi="fr-FR"/>
              </w:rPr>
              <w:t> </w:t>
            </w:r>
            <w:r>
              <w:rPr>
                <w:lang w:bidi="fr-FR"/>
              </w:rPr>
              <w:t>95</w:t>
            </w:r>
            <w:r w:rsidR="00326A59">
              <w:rPr>
                <w:lang w:bidi="fr-FR"/>
              </w:rPr>
              <w:t> </w:t>
            </w:r>
            <w:r>
              <w:rPr>
                <w:lang w:bidi="fr-FR"/>
              </w:rPr>
              <w:t>%</w:t>
            </w:r>
          </w:p>
        </w:tc>
        <w:tc>
          <w:tcPr>
            <w:tcW w:w="7465" w:type="dxa"/>
          </w:tcPr>
          <w:p w14:paraId="34457264" w14:textId="77777777" w:rsidR="005E6B82" w:rsidRDefault="005E6B82" w:rsidP="00263BBC">
            <w:r>
              <w:rPr>
                <w:lang w:bidi="fr-FR"/>
              </w:rPr>
              <w:t>Intervalle de confiance à 95 %</w:t>
            </w:r>
          </w:p>
        </w:tc>
      </w:tr>
      <w:tr w:rsidR="005E6B82" w:rsidRPr="00BA0A60" w14:paraId="302B96E5" w14:textId="77777777" w:rsidTr="00263BBC">
        <w:tc>
          <w:tcPr>
            <w:tcW w:w="1551" w:type="dxa"/>
          </w:tcPr>
          <w:p w14:paraId="74AA1785" w14:textId="77777777" w:rsidR="005E6B82" w:rsidRPr="00BA0A60" w:rsidRDefault="005E6B82" w:rsidP="00263BBC">
            <w:pPr>
              <w:rPr>
                <w:lang w:val="en-GB"/>
              </w:rPr>
            </w:pPr>
            <w:r>
              <w:rPr>
                <w:lang w:bidi="fr-FR"/>
              </w:rPr>
              <w:t>IEC</w:t>
            </w:r>
          </w:p>
        </w:tc>
        <w:tc>
          <w:tcPr>
            <w:tcW w:w="7465" w:type="dxa"/>
          </w:tcPr>
          <w:p w14:paraId="3C5551B0" w14:textId="77777777" w:rsidR="005E6B82" w:rsidRPr="00BA0A60" w:rsidRDefault="005E6B82" w:rsidP="00263BBC">
            <w:pPr>
              <w:rPr>
                <w:lang w:val="en-GB"/>
              </w:rPr>
            </w:pPr>
            <w:r>
              <w:rPr>
                <w:lang w:bidi="fr-FR"/>
              </w:rPr>
              <w:t>Information, éducation et communication</w:t>
            </w:r>
          </w:p>
        </w:tc>
      </w:tr>
      <w:tr w:rsidR="005E6B82" w:rsidRPr="0064741A" w14:paraId="70258A7F" w14:textId="77777777" w:rsidTr="00263BBC">
        <w:tc>
          <w:tcPr>
            <w:tcW w:w="1551" w:type="dxa"/>
          </w:tcPr>
          <w:p w14:paraId="13488D63" w14:textId="77777777" w:rsidR="005E6B82" w:rsidRDefault="005E6B82" w:rsidP="00263BBC">
            <w:pPr>
              <w:rPr>
                <w:lang w:val="en-GB"/>
              </w:rPr>
            </w:pPr>
            <w:r>
              <w:rPr>
                <w:lang w:bidi="fr-FR"/>
              </w:rPr>
              <w:t>INS</w:t>
            </w:r>
          </w:p>
        </w:tc>
        <w:tc>
          <w:tcPr>
            <w:tcW w:w="7465" w:type="dxa"/>
          </w:tcPr>
          <w:p w14:paraId="6164B94C" w14:textId="77777777" w:rsidR="005E6B82" w:rsidRPr="00B875AC" w:rsidRDefault="005E6B82" w:rsidP="00263BBC">
            <w:r w:rsidRPr="00B875AC">
              <w:rPr>
                <w:lang w:bidi="fr-FR"/>
              </w:rPr>
              <w:t>Institut national de la statistique</w:t>
            </w:r>
          </w:p>
        </w:tc>
      </w:tr>
      <w:tr w:rsidR="005E6B82" w:rsidRPr="0064741A" w14:paraId="23CEC0E2" w14:textId="77777777" w:rsidTr="00263BBC">
        <w:tc>
          <w:tcPr>
            <w:tcW w:w="1551" w:type="dxa"/>
          </w:tcPr>
          <w:p w14:paraId="6B3F2DEF" w14:textId="77777777" w:rsidR="005E6B82" w:rsidRDefault="005E6B82" w:rsidP="00263BBC">
            <w:pPr>
              <w:rPr>
                <w:lang w:val="en-GB"/>
              </w:rPr>
            </w:pPr>
            <w:r>
              <w:rPr>
                <w:lang w:bidi="fr-FR"/>
              </w:rPr>
              <w:t>INSP</w:t>
            </w:r>
          </w:p>
        </w:tc>
        <w:tc>
          <w:tcPr>
            <w:tcW w:w="7465" w:type="dxa"/>
          </w:tcPr>
          <w:p w14:paraId="71D21724" w14:textId="77777777" w:rsidR="005E6B82" w:rsidRPr="006F1973" w:rsidRDefault="005E6B82" w:rsidP="00263BBC">
            <w:r w:rsidRPr="006F1973">
              <w:rPr>
                <w:lang w:bidi="fr-FR"/>
              </w:rPr>
              <w:t>Institut national de santé publique</w:t>
            </w:r>
          </w:p>
        </w:tc>
      </w:tr>
      <w:tr w:rsidR="005E6B82" w14:paraId="73702884" w14:textId="77777777" w:rsidTr="00263BBC">
        <w:tc>
          <w:tcPr>
            <w:tcW w:w="1551" w:type="dxa"/>
          </w:tcPr>
          <w:p w14:paraId="4DCA5ADE" w14:textId="77777777" w:rsidR="005E6B82" w:rsidRDefault="005E6B82" w:rsidP="00263BBC">
            <w:r>
              <w:rPr>
                <w:lang w:bidi="fr-FR"/>
              </w:rPr>
              <w:t>IST</w:t>
            </w:r>
          </w:p>
        </w:tc>
        <w:tc>
          <w:tcPr>
            <w:tcW w:w="7465" w:type="dxa"/>
          </w:tcPr>
          <w:p w14:paraId="670CDC66" w14:textId="77777777" w:rsidR="005E6B82" w:rsidRDefault="005E6B82" w:rsidP="00263BBC">
            <w:r>
              <w:rPr>
                <w:lang w:bidi="fr-FR"/>
              </w:rPr>
              <w:t>Infection sexuellement transmissible</w:t>
            </w:r>
          </w:p>
        </w:tc>
      </w:tr>
      <w:tr w:rsidR="005E6B82" w14:paraId="0DB2936C" w14:textId="77777777" w:rsidTr="00263BBC">
        <w:tc>
          <w:tcPr>
            <w:tcW w:w="1551" w:type="dxa"/>
          </w:tcPr>
          <w:p w14:paraId="30CF4CA3" w14:textId="77777777" w:rsidR="005E6B82" w:rsidRDefault="005E6B82" w:rsidP="00263BBC">
            <w:r>
              <w:rPr>
                <w:lang w:bidi="fr-FR"/>
              </w:rPr>
              <w:t>FMG</w:t>
            </w:r>
          </w:p>
        </w:tc>
        <w:tc>
          <w:tcPr>
            <w:tcW w:w="7465" w:type="dxa"/>
          </w:tcPr>
          <w:p w14:paraId="1BBBC649" w14:textId="77777777" w:rsidR="005E6B82" w:rsidRDefault="005E6B82" w:rsidP="00263BBC">
            <w:r w:rsidRPr="00BA0A60">
              <w:rPr>
                <w:lang w:bidi="fr-FR"/>
              </w:rPr>
              <w:t>Fraternité Médicale Guinée</w:t>
            </w:r>
          </w:p>
        </w:tc>
      </w:tr>
      <w:tr w:rsidR="005E6B82" w:rsidRPr="0064741A" w14:paraId="2490416F" w14:textId="77777777" w:rsidTr="00263BBC">
        <w:tc>
          <w:tcPr>
            <w:tcW w:w="1551" w:type="dxa"/>
          </w:tcPr>
          <w:p w14:paraId="16CE52DB" w14:textId="77777777" w:rsidR="005E6B82" w:rsidRDefault="005E6B82" w:rsidP="00263BBC">
            <w:r>
              <w:rPr>
                <w:lang w:bidi="fr-FR"/>
              </w:rPr>
              <w:t>HFU</w:t>
            </w:r>
          </w:p>
        </w:tc>
        <w:tc>
          <w:tcPr>
            <w:tcW w:w="7465" w:type="dxa"/>
          </w:tcPr>
          <w:p w14:paraId="044D4D04" w14:textId="77777777" w:rsidR="005E6B82" w:rsidRPr="00BA0A60" w:rsidRDefault="005E6B82" w:rsidP="00263BBC">
            <w:r>
              <w:rPr>
                <w:lang w:bidi="fr-FR"/>
              </w:rPr>
              <w:t>Hommes et femmes en uniforme</w:t>
            </w:r>
          </w:p>
        </w:tc>
      </w:tr>
      <w:tr w:rsidR="005E6B82" w:rsidRPr="0064741A" w14:paraId="48E7BD15" w14:textId="77777777" w:rsidTr="00263BBC">
        <w:tc>
          <w:tcPr>
            <w:tcW w:w="1551" w:type="dxa"/>
          </w:tcPr>
          <w:p w14:paraId="4D2B14E4" w14:textId="77777777" w:rsidR="005E6B82" w:rsidRDefault="005E6B82" w:rsidP="00263BBC">
            <w:r>
              <w:rPr>
                <w:lang w:bidi="fr-FR"/>
              </w:rPr>
              <w:t>HSH</w:t>
            </w:r>
          </w:p>
        </w:tc>
        <w:tc>
          <w:tcPr>
            <w:tcW w:w="7465" w:type="dxa"/>
          </w:tcPr>
          <w:p w14:paraId="08CD594E" w14:textId="77777777" w:rsidR="005E6B82" w:rsidRDefault="005E6B82" w:rsidP="00263BBC">
            <w:r>
              <w:rPr>
                <w:lang w:bidi="fr-FR"/>
              </w:rPr>
              <w:t>Hommes ayant des rapports sexuels avec des hommes</w:t>
            </w:r>
          </w:p>
        </w:tc>
      </w:tr>
      <w:tr w:rsidR="005E6B82" w:rsidRPr="0064741A" w14:paraId="1A84335F" w14:textId="77777777" w:rsidTr="00263BBC">
        <w:tc>
          <w:tcPr>
            <w:tcW w:w="1551" w:type="dxa"/>
          </w:tcPr>
          <w:p w14:paraId="7D4DADDC" w14:textId="77777777" w:rsidR="005E6B82" w:rsidRDefault="005E6B82" w:rsidP="00263BBC">
            <w:r>
              <w:rPr>
                <w:lang w:bidi="fr-FR"/>
              </w:rPr>
              <w:t>MICS</w:t>
            </w:r>
          </w:p>
        </w:tc>
        <w:tc>
          <w:tcPr>
            <w:tcW w:w="7465" w:type="dxa"/>
          </w:tcPr>
          <w:p w14:paraId="2813CBF5" w14:textId="77777777" w:rsidR="005E6B82" w:rsidRPr="008337FB" w:rsidRDefault="005E6B82" w:rsidP="00263BBC">
            <w:r w:rsidRPr="008337FB">
              <w:rPr>
                <w:lang w:bidi="fr-FR"/>
              </w:rPr>
              <w:t>Multiple Indicator Cluster Survey (Enquête en grappes à indicateurs multiples)</w:t>
            </w:r>
          </w:p>
        </w:tc>
      </w:tr>
      <w:tr w:rsidR="005E6B82" w14:paraId="42E47DC5" w14:textId="77777777" w:rsidTr="00263BBC">
        <w:tc>
          <w:tcPr>
            <w:tcW w:w="1551" w:type="dxa"/>
          </w:tcPr>
          <w:p w14:paraId="5CB39448" w14:textId="77777777" w:rsidR="005E6B82" w:rsidRDefault="005E6B82" w:rsidP="00263BBC">
            <w:r>
              <w:rPr>
                <w:lang w:bidi="fr-FR"/>
              </w:rPr>
              <w:t>MSF</w:t>
            </w:r>
          </w:p>
        </w:tc>
        <w:tc>
          <w:tcPr>
            <w:tcW w:w="7465" w:type="dxa"/>
          </w:tcPr>
          <w:p w14:paraId="704C8703" w14:textId="77777777" w:rsidR="005E6B82" w:rsidRDefault="005E6B82" w:rsidP="00263BBC">
            <w:r>
              <w:rPr>
                <w:lang w:bidi="fr-FR"/>
              </w:rPr>
              <w:t>Médecins Sans Frontières</w:t>
            </w:r>
          </w:p>
        </w:tc>
      </w:tr>
      <w:tr w:rsidR="005E6B82" w:rsidRPr="0064741A" w14:paraId="2C0919A6" w14:textId="77777777" w:rsidTr="00263BBC">
        <w:tc>
          <w:tcPr>
            <w:tcW w:w="1551" w:type="dxa"/>
          </w:tcPr>
          <w:p w14:paraId="52B9B5D3" w14:textId="77777777" w:rsidR="005E6B82" w:rsidRDefault="005E6B82" w:rsidP="00263BBC">
            <w:r>
              <w:rPr>
                <w:lang w:bidi="fr-FR"/>
              </w:rPr>
              <w:t>OMS</w:t>
            </w:r>
          </w:p>
        </w:tc>
        <w:tc>
          <w:tcPr>
            <w:tcW w:w="7465" w:type="dxa"/>
          </w:tcPr>
          <w:p w14:paraId="39812F87" w14:textId="77777777" w:rsidR="005E6B82" w:rsidRPr="005B778C" w:rsidRDefault="005E6B82" w:rsidP="00263BBC">
            <w:r>
              <w:rPr>
                <w:lang w:bidi="fr-FR"/>
              </w:rPr>
              <w:t>Organisation mondiale de la Santé</w:t>
            </w:r>
          </w:p>
        </w:tc>
      </w:tr>
      <w:tr w:rsidR="005E6B82" w14:paraId="5E260C90" w14:textId="77777777" w:rsidTr="00263BBC">
        <w:tc>
          <w:tcPr>
            <w:tcW w:w="1551" w:type="dxa"/>
          </w:tcPr>
          <w:p w14:paraId="7429B358" w14:textId="77777777" w:rsidR="005E6B82" w:rsidRDefault="005E6B82" w:rsidP="00263BBC">
            <w:r>
              <w:rPr>
                <w:lang w:bidi="fr-FR"/>
              </w:rPr>
              <w:t>ONG</w:t>
            </w:r>
          </w:p>
        </w:tc>
        <w:tc>
          <w:tcPr>
            <w:tcW w:w="7465" w:type="dxa"/>
          </w:tcPr>
          <w:p w14:paraId="7ED22017" w14:textId="77777777" w:rsidR="005E6B82" w:rsidRDefault="005E6B82" w:rsidP="00263BBC">
            <w:r>
              <w:rPr>
                <w:lang w:bidi="fr-FR"/>
              </w:rPr>
              <w:t>Organisation non gouvernementale</w:t>
            </w:r>
          </w:p>
        </w:tc>
      </w:tr>
      <w:tr w:rsidR="005E6B82" w:rsidRPr="0064741A" w14:paraId="51B5AA36" w14:textId="77777777" w:rsidTr="00263BBC">
        <w:tc>
          <w:tcPr>
            <w:tcW w:w="1551" w:type="dxa"/>
          </w:tcPr>
          <w:p w14:paraId="74BCD40A" w14:textId="77777777" w:rsidR="005E6B82" w:rsidRDefault="005E6B82" w:rsidP="00263BBC">
            <w:r>
              <w:rPr>
                <w:lang w:bidi="fr-FR"/>
              </w:rPr>
              <w:t>ONUSIDA</w:t>
            </w:r>
          </w:p>
        </w:tc>
        <w:tc>
          <w:tcPr>
            <w:tcW w:w="7465" w:type="dxa"/>
          </w:tcPr>
          <w:p w14:paraId="0B1F7AC6" w14:textId="77777777" w:rsidR="005E6B82" w:rsidRPr="003427B8" w:rsidRDefault="005E6B82" w:rsidP="00263BBC">
            <w:r w:rsidRPr="003427B8">
              <w:rPr>
                <w:lang w:bidi="fr-FR"/>
              </w:rPr>
              <w:t>Programme commun des Nations Unies sur le VIH/sida</w:t>
            </w:r>
          </w:p>
        </w:tc>
      </w:tr>
      <w:tr w:rsidR="005E6B82" w14:paraId="3D6CDF2B" w14:textId="77777777" w:rsidTr="00263BBC">
        <w:tc>
          <w:tcPr>
            <w:tcW w:w="1551" w:type="dxa"/>
          </w:tcPr>
          <w:p w14:paraId="414FC0DE" w14:textId="77777777" w:rsidR="005E6B82" w:rsidRDefault="005E6B82" w:rsidP="00263BBC">
            <w:r>
              <w:rPr>
                <w:lang w:bidi="fr-FR"/>
              </w:rPr>
              <w:t>PEC</w:t>
            </w:r>
          </w:p>
        </w:tc>
        <w:tc>
          <w:tcPr>
            <w:tcW w:w="7465" w:type="dxa"/>
          </w:tcPr>
          <w:p w14:paraId="2BA6EA07" w14:textId="77777777" w:rsidR="005E6B82" w:rsidRDefault="005E6B82" w:rsidP="00263BBC">
            <w:r>
              <w:rPr>
                <w:lang w:bidi="fr-FR"/>
              </w:rPr>
              <w:t>Prise en charge</w:t>
            </w:r>
          </w:p>
        </w:tc>
      </w:tr>
      <w:tr w:rsidR="005E6B82" w:rsidRPr="0064741A" w14:paraId="29F5CC93" w14:textId="77777777" w:rsidTr="00263BBC">
        <w:tc>
          <w:tcPr>
            <w:tcW w:w="1551" w:type="dxa"/>
          </w:tcPr>
          <w:p w14:paraId="14BA392F" w14:textId="77777777" w:rsidR="005E6B82" w:rsidRDefault="005E6B82" w:rsidP="00263BBC">
            <w:r>
              <w:rPr>
                <w:lang w:bidi="fr-FR"/>
              </w:rPr>
              <w:t>PNDS</w:t>
            </w:r>
          </w:p>
        </w:tc>
        <w:tc>
          <w:tcPr>
            <w:tcW w:w="7465" w:type="dxa"/>
          </w:tcPr>
          <w:p w14:paraId="47307B44" w14:textId="77777777" w:rsidR="005E6B82" w:rsidRDefault="005E6B82" w:rsidP="00263BBC">
            <w:r>
              <w:rPr>
                <w:lang w:bidi="fr-FR"/>
              </w:rPr>
              <w:t>Plan national de développement sanitaire</w:t>
            </w:r>
          </w:p>
        </w:tc>
      </w:tr>
      <w:tr w:rsidR="005E6B82" w:rsidRPr="0064741A" w14:paraId="583706D1" w14:textId="77777777" w:rsidTr="00263BBC">
        <w:tc>
          <w:tcPr>
            <w:tcW w:w="1551" w:type="dxa"/>
          </w:tcPr>
          <w:p w14:paraId="55B5FA51" w14:textId="77777777" w:rsidR="005E6B82" w:rsidRDefault="005E6B82" w:rsidP="00263BBC">
            <w:r>
              <w:rPr>
                <w:lang w:bidi="fr-FR"/>
              </w:rPr>
              <w:t>PNLAT</w:t>
            </w:r>
          </w:p>
        </w:tc>
        <w:tc>
          <w:tcPr>
            <w:tcW w:w="7465" w:type="dxa"/>
          </w:tcPr>
          <w:p w14:paraId="4150EA3D" w14:textId="77777777" w:rsidR="005E6B82" w:rsidRDefault="005E6B82" w:rsidP="00263BBC">
            <w:r>
              <w:rPr>
                <w:lang w:bidi="fr-FR"/>
              </w:rPr>
              <w:t>Programme national de lutte antituberculeuse</w:t>
            </w:r>
          </w:p>
        </w:tc>
      </w:tr>
      <w:tr w:rsidR="005E6B82" w:rsidRPr="0064741A" w14:paraId="3360BE0E" w14:textId="77777777" w:rsidTr="00263BBC">
        <w:tc>
          <w:tcPr>
            <w:tcW w:w="1551" w:type="dxa"/>
          </w:tcPr>
          <w:p w14:paraId="520D65E7" w14:textId="77777777" w:rsidR="005E6B82" w:rsidRDefault="005E6B82" w:rsidP="00263BBC">
            <w:r>
              <w:rPr>
                <w:lang w:bidi="fr-FR"/>
              </w:rPr>
              <w:t>PNLSH</w:t>
            </w:r>
          </w:p>
        </w:tc>
        <w:tc>
          <w:tcPr>
            <w:tcW w:w="7465" w:type="dxa"/>
          </w:tcPr>
          <w:p w14:paraId="670B30EC" w14:textId="77777777" w:rsidR="005E6B82" w:rsidRDefault="005E6B82" w:rsidP="00263BBC">
            <w:r>
              <w:rPr>
                <w:lang w:bidi="fr-FR"/>
              </w:rPr>
              <w:t>Programme national de lutte contre le sida et les hépatites</w:t>
            </w:r>
          </w:p>
        </w:tc>
      </w:tr>
      <w:tr w:rsidR="005E6B82" w14:paraId="3992564D" w14:textId="77777777" w:rsidTr="00263BBC">
        <w:tc>
          <w:tcPr>
            <w:tcW w:w="1551" w:type="dxa"/>
          </w:tcPr>
          <w:p w14:paraId="2167DD47" w14:textId="77777777" w:rsidR="005E6B82" w:rsidRDefault="005E6B82" w:rsidP="00263BBC">
            <w:r>
              <w:rPr>
                <w:lang w:bidi="fr-FR"/>
              </w:rPr>
              <w:t>PS</w:t>
            </w:r>
          </w:p>
        </w:tc>
        <w:tc>
          <w:tcPr>
            <w:tcW w:w="7465" w:type="dxa"/>
          </w:tcPr>
          <w:p w14:paraId="28A0BD7E" w14:textId="4B92B3E1" w:rsidR="005E6B82" w:rsidRDefault="005E6B82" w:rsidP="00263BBC">
            <w:r>
              <w:rPr>
                <w:lang w:bidi="fr-FR"/>
              </w:rPr>
              <w:t>Professionnel</w:t>
            </w:r>
            <w:r w:rsidR="008736C9">
              <w:rPr>
                <w:lang w:bidi="fr-FR"/>
              </w:rPr>
              <w:t>(</w:t>
            </w:r>
            <w:r>
              <w:rPr>
                <w:lang w:bidi="fr-FR"/>
              </w:rPr>
              <w:t>le</w:t>
            </w:r>
            <w:r w:rsidR="008736C9">
              <w:rPr>
                <w:lang w:bidi="fr-FR"/>
              </w:rPr>
              <w:t>)</w:t>
            </w:r>
            <w:r>
              <w:rPr>
                <w:lang w:bidi="fr-FR"/>
              </w:rPr>
              <w:t xml:space="preserve"> du sexe</w:t>
            </w:r>
          </w:p>
        </w:tc>
      </w:tr>
      <w:tr w:rsidR="005E6B82" w:rsidRPr="0064741A" w14:paraId="281B03F1" w14:textId="77777777" w:rsidTr="00263BBC">
        <w:tc>
          <w:tcPr>
            <w:tcW w:w="1551" w:type="dxa"/>
          </w:tcPr>
          <w:p w14:paraId="3E05A569" w14:textId="77777777" w:rsidR="005E6B82" w:rsidRDefault="005E6B82" w:rsidP="00263BBC">
            <w:r>
              <w:rPr>
                <w:lang w:bidi="fr-FR"/>
              </w:rPr>
              <w:t>PTME</w:t>
            </w:r>
          </w:p>
        </w:tc>
        <w:tc>
          <w:tcPr>
            <w:tcW w:w="7465" w:type="dxa"/>
          </w:tcPr>
          <w:p w14:paraId="79A77406" w14:textId="77777777" w:rsidR="005E6B82" w:rsidRDefault="005E6B82" w:rsidP="00263BBC">
            <w:r>
              <w:rPr>
                <w:lang w:bidi="fr-FR"/>
              </w:rPr>
              <w:t>Prévention de la transmission mère-enfant</w:t>
            </w:r>
          </w:p>
        </w:tc>
      </w:tr>
      <w:tr w:rsidR="005E6B82" w:rsidRPr="0064741A" w14:paraId="383A77F8" w14:textId="77777777" w:rsidTr="00263BBC">
        <w:tc>
          <w:tcPr>
            <w:tcW w:w="1551" w:type="dxa"/>
          </w:tcPr>
          <w:p w14:paraId="2F72EE79" w14:textId="77777777" w:rsidR="005E6B82" w:rsidRDefault="005E6B82" w:rsidP="00263BBC">
            <w:r>
              <w:rPr>
                <w:lang w:bidi="fr-FR"/>
              </w:rPr>
              <w:t>PVVIH</w:t>
            </w:r>
          </w:p>
        </w:tc>
        <w:tc>
          <w:tcPr>
            <w:tcW w:w="7465" w:type="dxa"/>
          </w:tcPr>
          <w:p w14:paraId="67335B17" w14:textId="77777777" w:rsidR="005E6B82" w:rsidRDefault="005E6B82" w:rsidP="00263BBC">
            <w:r>
              <w:rPr>
                <w:lang w:bidi="fr-FR"/>
              </w:rPr>
              <w:t>Personnes vivant avec le VIH</w:t>
            </w:r>
          </w:p>
        </w:tc>
      </w:tr>
      <w:tr w:rsidR="005E6B82" w14:paraId="7B3E6170" w14:textId="77777777" w:rsidTr="00263BBC">
        <w:tc>
          <w:tcPr>
            <w:tcW w:w="1551" w:type="dxa"/>
          </w:tcPr>
          <w:p w14:paraId="36192D2D" w14:textId="77777777" w:rsidR="005E6B82" w:rsidRDefault="005E6B82" w:rsidP="00263BBC">
            <w:r>
              <w:rPr>
                <w:lang w:bidi="fr-FR"/>
              </w:rPr>
              <w:t>S&amp;E</w:t>
            </w:r>
          </w:p>
        </w:tc>
        <w:tc>
          <w:tcPr>
            <w:tcW w:w="7465" w:type="dxa"/>
          </w:tcPr>
          <w:p w14:paraId="7EE6E725" w14:textId="77777777" w:rsidR="005E6B82" w:rsidRDefault="005E6B82" w:rsidP="00263BBC">
            <w:r>
              <w:rPr>
                <w:lang w:bidi="fr-FR"/>
              </w:rPr>
              <w:t>Suivi et évaluation</w:t>
            </w:r>
          </w:p>
        </w:tc>
      </w:tr>
      <w:tr w:rsidR="005E6B82" w:rsidRPr="0064741A" w14:paraId="6BBBAB4F" w14:textId="77777777" w:rsidTr="00263BBC">
        <w:tc>
          <w:tcPr>
            <w:tcW w:w="1551" w:type="dxa"/>
          </w:tcPr>
          <w:p w14:paraId="232CEE37" w14:textId="77777777" w:rsidR="005E6B82" w:rsidRDefault="005E6B82" w:rsidP="00263BBC">
            <w:r>
              <w:rPr>
                <w:lang w:bidi="fr-FR"/>
              </w:rPr>
              <w:t>SARA</w:t>
            </w:r>
          </w:p>
        </w:tc>
        <w:tc>
          <w:tcPr>
            <w:tcW w:w="7465" w:type="dxa"/>
          </w:tcPr>
          <w:p w14:paraId="0DBB7672" w14:textId="77777777" w:rsidR="005E6B82" w:rsidRDefault="005E6B82" w:rsidP="00263BBC">
            <w:r>
              <w:rPr>
                <w:lang w:bidi="fr-FR"/>
              </w:rPr>
              <w:t xml:space="preserve">Service </w:t>
            </w:r>
            <w:proofErr w:type="spellStart"/>
            <w:r>
              <w:rPr>
                <w:lang w:bidi="fr-FR"/>
              </w:rPr>
              <w:t>Availability</w:t>
            </w:r>
            <w:proofErr w:type="spellEnd"/>
            <w:r>
              <w:rPr>
                <w:lang w:bidi="fr-FR"/>
              </w:rPr>
              <w:t xml:space="preserve"> and </w:t>
            </w:r>
            <w:proofErr w:type="spellStart"/>
            <w:r>
              <w:rPr>
                <w:lang w:bidi="fr-FR"/>
              </w:rPr>
              <w:t>Readiness</w:t>
            </w:r>
            <w:proofErr w:type="spellEnd"/>
            <w:r>
              <w:rPr>
                <w:lang w:bidi="fr-FR"/>
              </w:rPr>
              <w:t xml:space="preserve"> </w:t>
            </w:r>
            <w:proofErr w:type="spellStart"/>
            <w:r>
              <w:rPr>
                <w:lang w:bidi="fr-FR"/>
              </w:rPr>
              <w:t>Assessment</w:t>
            </w:r>
            <w:proofErr w:type="spellEnd"/>
            <w:r>
              <w:rPr>
                <w:lang w:bidi="fr-FR"/>
              </w:rPr>
              <w:t xml:space="preserve"> (Enquête de disponibilité et de capacité opérationnelle des services de santé)</w:t>
            </w:r>
          </w:p>
        </w:tc>
      </w:tr>
      <w:tr w:rsidR="005E6B82" w:rsidRPr="0064741A" w14:paraId="0BBEF9E4" w14:textId="77777777" w:rsidTr="00263BBC">
        <w:tc>
          <w:tcPr>
            <w:tcW w:w="1551" w:type="dxa"/>
          </w:tcPr>
          <w:p w14:paraId="19A7E2DF" w14:textId="77777777" w:rsidR="005E6B82" w:rsidRDefault="005E6B82" w:rsidP="00263BBC">
            <w:r>
              <w:rPr>
                <w:lang w:bidi="fr-FR"/>
              </w:rPr>
              <w:t>SE/CNLS</w:t>
            </w:r>
          </w:p>
        </w:tc>
        <w:tc>
          <w:tcPr>
            <w:tcW w:w="7465" w:type="dxa"/>
          </w:tcPr>
          <w:p w14:paraId="58B75183" w14:textId="77777777" w:rsidR="005E6B82" w:rsidRDefault="005E6B82" w:rsidP="00263BBC">
            <w:r>
              <w:rPr>
                <w:lang w:bidi="fr-FR"/>
              </w:rPr>
              <w:t>Secrétariat exécutif du Comité national de lutte contre le sida</w:t>
            </w:r>
          </w:p>
        </w:tc>
      </w:tr>
      <w:tr w:rsidR="005E6B82" w14:paraId="719CB4FE" w14:textId="77777777" w:rsidTr="00263BBC">
        <w:tc>
          <w:tcPr>
            <w:tcW w:w="1551" w:type="dxa"/>
          </w:tcPr>
          <w:p w14:paraId="38855780" w14:textId="77777777" w:rsidR="005E6B82" w:rsidRDefault="005E6B82" w:rsidP="00263BBC">
            <w:r>
              <w:rPr>
                <w:lang w:bidi="fr-FR"/>
              </w:rPr>
              <w:t>Sida</w:t>
            </w:r>
          </w:p>
        </w:tc>
        <w:tc>
          <w:tcPr>
            <w:tcW w:w="7465" w:type="dxa"/>
          </w:tcPr>
          <w:p w14:paraId="6E7AA1C3" w14:textId="412660F6" w:rsidR="005E6B82" w:rsidRDefault="005E6B82" w:rsidP="00263BBC">
            <w:r>
              <w:rPr>
                <w:lang w:bidi="fr-FR"/>
              </w:rPr>
              <w:t>Syndrome d</w:t>
            </w:r>
            <w:r w:rsidR="001044C9">
              <w:rPr>
                <w:lang w:bidi="fr-FR"/>
              </w:rPr>
              <w:t>’</w:t>
            </w:r>
            <w:r>
              <w:rPr>
                <w:lang w:bidi="fr-FR"/>
              </w:rPr>
              <w:t>immunodéficience acquise</w:t>
            </w:r>
          </w:p>
        </w:tc>
      </w:tr>
      <w:tr w:rsidR="005E6B82" w14:paraId="4BA348BD" w14:textId="77777777" w:rsidTr="00263BBC">
        <w:tc>
          <w:tcPr>
            <w:tcW w:w="1551" w:type="dxa"/>
          </w:tcPr>
          <w:p w14:paraId="23D8578E" w14:textId="77777777" w:rsidR="005E6B82" w:rsidRDefault="005E6B82" w:rsidP="00263BBC">
            <w:r>
              <w:rPr>
                <w:lang w:bidi="fr-FR"/>
              </w:rPr>
              <w:t>TAR</w:t>
            </w:r>
          </w:p>
        </w:tc>
        <w:tc>
          <w:tcPr>
            <w:tcW w:w="7465" w:type="dxa"/>
          </w:tcPr>
          <w:p w14:paraId="3DA3AFFD" w14:textId="77777777" w:rsidR="005E6B82" w:rsidRDefault="005E6B82" w:rsidP="00263BBC">
            <w:r>
              <w:rPr>
                <w:lang w:bidi="fr-FR"/>
              </w:rPr>
              <w:t>Traitement antirétroviral</w:t>
            </w:r>
          </w:p>
        </w:tc>
      </w:tr>
      <w:tr w:rsidR="005E6B82" w14:paraId="03A55770" w14:textId="77777777" w:rsidTr="00263BBC">
        <w:tc>
          <w:tcPr>
            <w:tcW w:w="1551" w:type="dxa"/>
          </w:tcPr>
          <w:p w14:paraId="522A4D9B" w14:textId="77777777" w:rsidR="005E6B82" w:rsidRDefault="005E6B82" w:rsidP="00263BBC">
            <w:r>
              <w:rPr>
                <w:lang w:bidi="fr-FR"/>
              </w:rPr>
              <w:t>UD</w:t>
            </w:r>
          </w:p>
        </w:tc>
        <w:tc>
          <w:tcPr>
            <w:tcW w:w="7465" w:type="dxa"/>
          </w:tcPr>
          <w:p w14:paraId="3BF01012" w14:textId="0FAE510A" w:rsidR="005E6B82" w:rsidRDefault="005E6B82" w:rsidP="00263BBC">
            <w:r>
              <w:rPr>
                <w:lang w:bidi="fr-FR"/>
              </w:rPr>
              <w:t>Usager</w:t>
            </w:r>
            <w:r w:rsidR="000F4E38">
              <w:rPr>
                <w:lang w:bidi="fr-FR"/>
              </w:rPr>
              <w:t>/ère</w:t>
            </w:r>
            <w:r>
              <w:rPr>
                <w:lang w:bidi="fr-FR"/>
              </w:rPr>
              <w:t xml:space="preserve"> de drogues</w:t>
            </w:r>
          </w:p>
        </w:tc>
      </w:tr>
      <w:tr w:rsidR="005E6B82" w:rsidRPr="0045797B" w14:paraId="6EDA242F" w14:textId="77777777" w:rsidTr="00263BBC">
        <w:tc>
          <w:tcPr>
            <w:tcW w:w="1551" w:type="dxa"/>
          </w:tcPr>
          <w:p w14:paraId="79180F71" w14:textId="77777777" w:rsidR="005E6B82" w:rsidRDefault="005E6B82" w:rsidP="00263BBC">
            <w:r>
              <w:rPr>
                <w:lang w:bidi="fr-FR"/>
              </w:rPr>
              <w:t>USAID</w:t>
            </w:r>
          </w:p>
        </w:tc>
        <w:tc>
          <w:tcPr>
            <w:tcW w:w="7465" w:type="dxa"/>
          </w:tcPr>
          <w:p w14:paraId="2B156540" w14:textId="77777777" w:rsidR="005E6B82" w:rsidRPr="00FA1812" w:rsidRDefault="005E6B82" w:rsidP="00263BBC">
            <w:r w:rsidRPr="00120054">
              <w:rPr>
                <w:lang w:bidi="fr-FR"/>
              </w:rPr>
              <w:t xml:space="preserve">United States Agency for International </w:t>
            </w:r>
            <w:proofErr w:type="spellStart"/>
            <w:r w:rsidRPr="00120054">
              <w:rPr>
                <w:lang w:bidi="fr-FR"/>
              </w:rPr>
              <w:t>Development</w:t>
            </w:r>
            <w:proofErr w:type="spellEnd"/>
            <w:r w:rsidRPr="00120054">
              <w:rPr>
                <w:lang w:bidi="fr-FR"/>
              </w:rPr>
              <w:t xml:space="preserve"> (Agence des États-Unis pour le développement international)</w:t>
            </w:r>
          </w:p>
        </w:tc>
      </w:tr>
      <w:tr w:rsidR="005E6B82" w14:paraId="74656377" w14:textId="77777777" w:rsidTr="00263BBC">
        <w:tc>
          <w:tcPr>
            <w:tcW w:w="1551" w:type="dxa"/>
          </w:tcPr>
          <w:p w14:paraId="41AB1A68" w14:textId="77777777" w:rsidR="005E6B82" w:rsidRDefault="005E6B82" w:rsidP="00263BBC">
            <w:r>
              <w:rPr>
                <w:lang w:bidi="fr-FR"/>
              </w:rPr>
              <w:t>VIH</w:t>
            </w:r>
          </w:p>
        </w:tc>
        <w:tc>
          <w:tcPr>
            <w:tcW w:w="7465" w:type="dxa"/>
          </w:tcPr>
          <w:p w14:paraId="5C20E105" w14:textId="77777777" w:rsidR="005E6B82" w:rsidRDefault="005E6B82" w:rsidP="00263BBC">
            <w:r>
              <w:rPr>
                <w:lang w:bidi="fr-FR"/>
              </w:rPr>
              <w:t>Virus de l’immunodéficience humaine</w:t>
            </w:r>
          </w:p>
        </w:tc>
      </w:tr>
    </w:tbl>
    <w:p w14:paraId="70A5C696" w14:textId="77777777" w:rsidR="005E6B82" w:rsidRDefault="005E6B82" w:rsidP="005E6B82"/>
    <w:p w14:paraId="31A6CBB7" w14:textId="33F1008C" w:rsidR="005E6B82" w:rsidRPr="00A612E9" w:rsidRDefault="00C24B8A" w:rsidP="00A612E9">
      <w:pPr>
        <w:rPr>
          <w:sz w:val="28"/>
          <w:szCs w:val="28"/>
          <w:lang w:bidi="fr-FR"/>
        </w:rPr>
      </w:pPr>
      <w:bookmarkStart w:id="2" w:name="_Toc8400001"/>
      <w:r w:rsidRPr="00C24B8A">
        <w:rPr>
          <w:b/>
          <w:sz w:val="28"/>
          <w:szCs w:val="28"/>
          <w:lang w:bidi="fr-FR"/>
        </w:rPr>
        <w:lastRenderedPageBreak/>
        <w:t>Glossaire</w:t>
      </w:r>
      <w:bookmarkEnd w:id="2"/>
    </w:p>
    <w:p w14:paraId="66E1F9A1" w14:textId="77777777" w:rsidR="005E6B82" w:rsidRPr="000D2019" w:rsidRDefault="005E6B82" w:rsidP="005E6B82">
      <w:pPr>
        <w:pStyle w:val="Sansinterligne"/>
        <w:rPr>
          <w:b/>
          <w:i/>
        </w:rPr>
      </w:pPr>
    </w:p>
    <w:p w14:paraId="76C8E4B3" w14:textId="0CC0A65E" w:rsidR="000F4E38" w:rsidRPr="000F4E38" w:rsidRDefault="000F4E38" w:rsidP="000F4E38">
      <w:pPr>
        <w:pStyle w:val="Sansinterligne"/>
        <w:jc w:val="both"/>
      </w:pPr>
      <w:r>
        <w:rPr>
          <w:b/>
          <w:lang w:bidi="fr-FR"/>
        </w:rPr>
        <w:t>Auto</w:t>
      </w:r>
      <w:r w:rsidR="000223F4">
        <w:rPr>
          <w:b/>
          <w:lang w:bidi="fr-FR"/>
        </w:rPr>
        <w:t>-</w:t>
      </w:r>
      <w:r>
        <w:rPr>
          <w:b/>
          <w:lang w:bidi="fr-FR"/>
        </w:rPr>
        <w:t>dépistage du VIH :</w:t>
      </w:r>
      <w:r>
        <w:rPr>
          <w:lang w:bidi="fr-FR"/>
        </w:rPr>
        <w:t xml:space="preserve"> </w:t>
      </w:r>
      <w:r w:rsidR="009A0222">
        <w:rPr>
          <w:lang w:bidi="fr-FR"/>
        </w:rPr>
        <w:t>p</w:t>
      </w:r>
      <w:r>
        <w:rPr>
          <w:lang w:bidi="fr-FR"/>
        </w:rPr>
        <w:t>rocessus dans lequel un individu souhaitant savoir s’il est porteur du VIH prélève un échantillon de sang, effectue un test de dépistage et en interprète lui-même le résultat, souvent en privé. L’</w:t>
      </w:r>
      <w:r w:rsidR="000223F4">
        <w:rPr>
          <w:lang w:bidi="fr-FR"/>
        </w:rPr>
        <w:t>auto-dépistage</w:t>
      </w:r>
      <w:r>
        <w:rPr>
          <w:lang w:bidi="fr-FR"/>
        </w:rPr>
        <w:t xml:space="preserve"> du VIH constitue un test préalable au dépistage et ne fournit pas de diagnostic définitif. Cette méthode ne peut en aucun cas se substituer au dépistage et au test de confirmation effectué d’après l’algorithme de dépistage validé au niveau national. Un test d’auto</w:t>
      </w:r>
      <w:r w:rsidR="000223F4">
        <w:rPr>
          <w:lang w:bidi="fr-FR"/>
        </w:rPr>
        <w:t>-</w:t>
      </w:r>
      <w:r>
        <w:rPr>
          <w:lang w:bidi="fr-FR"/>
        </w:rPr>
        <w:t>dépistage réactif (positif) doit toujours être suivi d’un dépistage complémentaire réalisé par un prestataire qualifié, conformément à l’algorithme de dépistage validé au niveau national.</w:t>
      </w:r>
    </w:p>
    <w:p w14:paraId="0ED7D7AC" w14:textId="77777777" w:rsidR="000F4E38" w:rsidRDefault="000F4E38" w:rsidP="005E6B82">
      <w:pPr>
        <w:pStyle w:val="Sansinterligne"/>
        <w:jc w:val="both"/>
        <w:rPr>
          <w:b/>
          <w:lang w:bidi="fr-FR"/>
        </w:rPr>
      </w:pPr>
    </w:p>
    <w:p w14:paraId="063280A4" w14:textId="0975D865" w:rsidR="005E6B82" w:rsidRDefault="005E6B82" w:rsidP="005E6B82">
      <w:pPr>
        <w:pStyle w:val="Sansinterligne"/>
        <w:jc w:val="both"/>
      </w:pPr>
      <w:r w:rsidRPr="000D2019">
        <w:rPr>
          <w:b/>
          <w:lang w:bidi="fr-FR"/>
        </w:rPr>
        <w:t>Dépistage des proches d’un cas de référence/dépistage indicateur :</w:t>
      </w:r>
      <w:r w:rsidRPr="000D2019">
        <w:rPr>
          <w:lang w:bidi="fr-FR"/>
        </w:rPr>
        <w:t xml:space="preserve"> </w:t>
      </w:r>
      <w:r w:rsidR="000223F4">
        <w:rPr>
          <w:lang w:bidi="fr-FR"/>
        </w:rPr>
        <w:t xml:space="preserve">en anglais </w:t>
      </w:r>
      <w:r w:rsidR="008375F0">
        <w:rPr>
          <w:lang w:bidi="fr-FR"/>
        </w:rPr>
        <w:t>« </w:t>
      </w:r>
      <w:r w:rsidR="008375F0" w:rsidRPr="00A612E9">
        <w:rPr>
          <w:lang w:bidi="fr-FR"/>
        </w:rPr>
        <w:t xml:space="preserve">Index </w:t>
      </w:r>
      <w:proofErr w:type="spellStart"/>
      <w:r w:rsidR="008375F0" w:rsidRPr="00A612E9">
        <w:rPr>
          <w:lang w:bidi="fr-FR"/>
        </w:rPr>
        <w:t>testing</w:t>
      </w:r>
      <w:proofErr w:type="spellEnd"/>
      <w:r w:rsidR="008375F0">
        <w:rPr>
          <w:lang w:bidi="fr-FR"/>
        </w:rPr>
        <w:t> » est un</w:t>
      </w:r>
      <w:r w:rsidR="008375F0" w:rsidRPr="008375F0">
        <w:rPr>
          <w:lang w:bidi="fr-FR"/>
        </w:rPr>
        <w:t xml:space="preserve"> </w:t>
      </w:r>
      <w:r w:rsidR="009A0222">
        <w:rPr>
          <w:lang w:bidi="fr-FR"/>
        </w:rPr>
        <w:t>m</w:t>
      </w:r>
      <w:r w:rsidRPr="000D2019">
        <w:rPr>
          <w:lang w:bidi="fr-FR"/>
        </w:rPr>
        <w:t>odèle de dépistage du VIH dans lequel les partenaires sexuels et les membres de la famille (y compris les coépouses et les enfants) des personnes ayant reçu un diagnostic de séropositivité se voient proposer des services de dépistage du VIH. Les personnes séropositives ont la possibilité de dresser volontairement la liste de leurs partenaires sexuels et des membres de leur famille auxquels doivent être proposés des services de dépistage du VIH.</w:t>
      </w:r>
    </w:p>
    <w:p w14:paraId="45934489" w14:textId="77777777" w:rsidR="005E6B82" w:rsidRDefault="005E6B82" w:rsidP="005E6B82">
      <w:pPr>
        <w:pStyle w:val="Sansinterligne"/>
        <w:jc w:val="both"/>
        <w:rPr>
          <w:b/>
        </w:rPr>
      </w:pPr>
    </w:p>
    <w:p w14:paraId="3DB9038D" w14:textId="7C741EB1" w:rsidR="005E6B82" w:rsidRDefault="005E6B82" w:rsidP="005E6B82">
      <w:pPr>
        <w:pStyle w:val="Sansinterligne"/>
        <w:jc w:val="both"/>
        <w:rPr>
          <w:lang w:bidi="fr-FR"/>
        </w:rPr>
      </w:pPr>
      <w:r>
        <w:rPr>
          <w:b/>
          <w:lang w:bidi="fr-FR"/>
        </w:rPr>
        <w:t xml:space="preserve">Mise en relation : </w:t>
      </w:r>
      <w:r w:rsidR="009A0222">
        <w:rPr>
          <w:lang w:bidi="fr-FR"/>
        </w:rPr>
        <w:t>p</w:t>
      </w:r>
      <w:r>
        <w:rPr>
          <w:lang w:bidi="fr-FR"/>
        </w:rPr>
        <w:t xml:space="preserve">rocessus d’accompagnement des personnes par des services de prévention, de traitement et de soins après un dépistage du VIH, en fonction de leur statut. Dans le cas de personnes vivant avec le VIH, la formule désigne la période qui débute par l’annonce du diagnostic de séropositivité et s’achève par l’initiation du traitement, l’accompagnement et l’orientation vers d’autres services de santé. </w:t>
      </w:r>
    </w:p>
    <w:p w14:paraId="7589E287" w14:textId="45C45864" w:rsidR="000F4E38" w:rsidRDefault="000F4E38" w:rsidP="005E6B82">
      <w:pPr>
        <w:pStyle w:val="Sansinterligne"/>
        <w:jc w:val="both"/>
        <w:rPr>
          <w:lang w:bidi="fr-FR"/>
        </w:rPr>
      </w:pPr>
    </w:p>
    <w:p w14:paraId="7C7C3D9D" w14:textId="26D183B8" w:rsidR="000F4E38" w:rsidRPr="000D2019" w:rsidRDefault="000F4E38" w:rsidP="000F4E38">
      <w:pPr>
        <w:pStyle w:val="Sansinterligne"/>
        <w:jc w:val="both"/>
      </w:pPr>
      <w:r>
        <w:rPr>
          <w:b/>
          <w:lang w:bidi="fr-FR"/>
        </w:rPr>
        <w:t>Notification assistée des partenaires :</w:t>
      </w:r>
      <w:r>
        <w:rPr>
          <w:lang w:bidi="fr-FR"/>
        </w:rPr>
        <w:t xml:space="preserve"> </w:t>
      </w:r>
      <w:r w:rsidR="009A0222">
        <w:rPr>
          <w:lang w:bidi="fr-FR"/>
        </w:rPr>
        <w:t>p</w:t>
      </w:r>
      <w:r>
        <w:rPr>
          <w:lang w:bidi="fr-FR"/>
        </w:rPr>
        <w:t>rocessus volontaire dans lequel les prestataires de services de dépistage du VIH interrogent les personnes ayant reçu un diagnostic de séropositivité sur leurs partenaires sexuels et, avec le consentement de celles-ci, proposent à ces partenaires un dépistage volontaire du VIH. La notification des partenaires est réalisée selon une approche passive ou assistée.</w:t>
      </w:r>
    </w:p>
    <w:p w14:paraId="7DCA1282" w14:textId="77777777" w:rsidR="005E6B82" w:rsidRDefault="005E6B82" w:rsidP="005E6B82">
      <w:pPr>
        <w:pStyle w:val="Sansinterligne"/>
        <w:jc w:val="both"/>
        <w:rPr>
          <w:b/>
        </w:rPr>
      </w:pPr>
    </w:p>
    <w:p w14:paraId="4C3500B5" w14:textId="5C2F581A" w:rsidR="005E6B82" w:rsidRPr="000D2019" w:rsidRDefault="005E6B82" w:rsidP="005E6B82">
      <w:pPr>
        <w:pStyle w:val="Sansinterligne"/>
        <w:jc w:val="both"/>
        <w:rPr>
          <w:rFonts w:cs="Arial"/>
        </w:rPr>
      </w:pPr>
      <w:r>
        <w:rPr>
          <w:b/>
          <w:lang w:bidi="fr-FR"/>
        </w:rPr>
        <w:t>Populations clés :</w:t>
      </w:r>
      <w:r>
        <w:rPr>
          <w:lang w:bidi="fr-FR"/>
        </w:rPr>
        <w:t xml:space="preserve"> </w:t>
      </w:r>
      <w:r w:rsidR="009A0222">
        <w:rPr>
          <w:lang w:bidi="fr-FR"/>
        </w:rPr>
        <w:t>g</w:t>
      </w:r>
      <w:r>
        <w:rPr>
          <w:lang w:bidi="fr-FR"/>
        </w:rPr>
        <w:t xml:space="preserve">roupes définis qui, en raison de comportements spécifiques à hauts risques, sont davantage susceptibles de contracter ou de transmettre le VIH, indépendamment du type d’épidémie ou du contexte local. Les problèmes juridiques et sociaux liés à ces comportements peuvent accroître leur vulnérabilité à la contamination par le VIH et leurs difficultés ultérieures d’accès aux services de soins. </w:t>
      </w:r>
      <w:r w:rsidRPr="000D2019">
        <w:rPr>
          <w:rFonts w:cs="Arial"/>
          <w:lang w:bidi="fr-FR"/>
        </w:rPr>
        <w:t>En Guinée, les hommes ayant des relations sexuelles avec des hommes et les professionnel(le)s du sexe font partie des populations clés reconnues.</w:t>
      </w:r>
    </w:p>
    <w:p w14:paraId="286906C8" w14:textId="77777777" w:rsidR="005E6B82" w:rsidRDefault="005E6B82" w:rsidP="005E6B82">
      <w:pPr>
        <w:pStyle w:val="Sansinterligne"/>
        <w:jc w:val="both"/>
        <w:rPr>
          <w:b/>
        </w:rPr>
      </w:pPr>
    </w:p>
    <w:p w14:paraId="6035F721" w14:textId="03D6FA33" w:rsidR="005E6B82" w:rsidRDefault="005E6B82" w:rsidP="005E6B82">
      <w:pPr>
        <w:pStyle w:val="Sansinterligne"/>
        <w:jc w:val="both"/>
        <w:rPr>
          <w:rFonts w:cs="Arial"/>
        </w:rPr>
      </w:pPr>
      <w:r>
        <w:rPr>
          <w:b/>
          <w:lang w:bidi="fr-FR"/>
        </w:rPr>
        <w:t xml:space="preserve">Populations vulnérables : </w:t>
      </w:r>
      <w:r>
        <w:rPr>
          <w:lang w:bidi="fr-FR"/>
        </w:rPr>
        <w:t xml:space="preserve">groupes de personnes particulièrement vulnérables à l’infection à VIH dans certaines situations ou certains contextes, et susceptibles d’avoir un accès plus limité aux services liés au VIH. </w:t>
      </w:r>
      <w:r w:rsidRPr="000D2019">
        <w:rPr>
          <w:rFonts w:cs="Arial"/>
          <w:lang w:bidi="fr-FR"/>
        </w:rPr>
        <w:t>En Guinée, les populations vulnérables désignent souvent les hommes et les femmes en uniforme, les détenus/-</w:t>
      </w:r>
      <w:proofErr w:type="spellStart"/>
      <w:r w:rsidRPr="000D2019">
        <w:rPr>
          <w:rFonts w:cs="Arial"/>
          <w:lang w:bidi="fr-FR"/>
        </w:rPr>
        <w:t>ues</w:t>
      </w:r>
      <w:proofErr w:type="spellEnd"/>
      <w:r w:rsidRPr="000D2019">
        <w:rPr>
          <w:rFonts w:cs="Arial"/>
          <w:lang w:bidi="fr-FR"/>
        </w:rPr>
        <w:t>, les ouvriers/-</w:t>
      </w:r>
      <w:proofErr w:type="spellStart"/>
      <w:r w:rsidRPr="000D2019">
        <w:rPr>
          <w:rFonts w:cs="Arial"/>
          <w:lang w:bidi="fr-FR"/>
        </w:rPr>
        <w:t>ières</w:t>
      </w:r>
      <w:proofErr w:type="spellEnd"/>
      <w:r w:rsidRPr="000D2019">
        <w:rPr>
          <w:rFonts w:cs="Arial"/>
          <w:lang w:bidi="fr-FR"/>
        </w:rPr>
        <w:t xml:space="preserve"> des mines, les personnes travaillant </w:t>
      </w:r>
      <w:r w:rsidR="008375F0">
        <w:rPr>
          <w:rFonts w:cs="Arial"/>
          <w:lang w:bidi="fr-FR"/>
        </w:rPr>
        <w:t>dans</w:t>
      </w:r>
      <w:r w:rsidR="008375F0" w:rsidRPr="000D2019">
        <w:rPr>
          <w:rFonts w:cs="Arial"/>
          <w:lang w:bidi="fr-FR"/>
        </w:rPr>
        <w:t xml:space="preserve"> </w:t>
      </w:r>
      <w:r w:rsidRPr="000D2019">
        <w:rPr>
          <w:rFonts w:cs="Arial"/>
          <w:lang w:bidi="fr-FR"/>
        </w:rPr>
        <w:t>les marchés, les pêcheurs</w:t>
      </w:r>
      <w:r w:rsidR="00C24B8A">
        <w:rPr>
          <w:rFonts w:cs="Arial"/>
          <w:lang w:bidi="fr-FR"/>
        </w:rPr>
        <w:t>, les mareyeuses</w:t>
      </w:r>
      <w:r w:rsidRPr="000D2019">
        <w:rPr>
          <w:rFonts w:cs="Arial"/>
          <w:lang w:bidi="fr-FR"/>
        </w:rPr>
        <w:t>, les conducteurs routiers et conductrices routières longue distance, les populations frontalières et les orphelins.</w:t>
      </w:r>
    </w:p>
    <w:p w14:paraId="79F5D5A3" w14:textId="77777777" w:rsidR="000F4E38" w:rsidRDefault="000F4E38" w:rsidP="000F4E38">
      <w:pPr>
        <w:pStyle w:val="Sansinterligne"/>
        <w:jc w:val="both"/>
      </w:pPr>
    </w:p>
    <w:p w14:paraId="6C1F55BD" w14:textId="4454CDCB" w:rsidR="00EC4A50" w:rsidRDefault="000F4E38" w:rsidP="009A0222">
      <w:pPr>
        <w:pStyle w:val="Sansinterligne"/>
        <w:jc w:val="both"/>
        <w:rPr>
          <w:lang w:bidi="fr-FR"/>
        </w:rPr>
      </w:pPr>
      <w:r w:rsidRPr="008C3ADC">
        <w:rPr>
          <w:b/>
          <w:lang w:bidi="fr-FR"/>
        </w:rPr>
        <w:t xml:space="preserve">Services adaptés : </w:t>
      </w:r>
      <w:r w:rsidR="009A0222">
        <w:rPr>
          <w:lang w:bidi="fr-FR"/>
        </w:rPr>
        <w:t>s</w:t>
      </w:r>
      <w:r w:rsidRPr="008C3ADC">
        <w:rPr>
          <w:lang w:bidi="fr-FR"/>
        </w:rPr>
        <w:t>tructures de santé publique fournissant des services de santé adaptés à des populations clés, notamment le dépistage et le traitement du VIH.</w:t>
      </w:r>
    </w:p>
    <w:p w14:paraId="0467D06C" w14:textId="77777777" w:rsidR="00EC4A50" w:rsidRDefault="00EC4A50">
      <w:pPr>
        <w:rPr>
          <w:lang w:bidi="fr-FR"/>
        </w:rPr>
      </w:pPr>
      <w:r>
        <w:rPr>
          <w:lang w:bidi="fr-FR"/>
        </w:rPr>
        <w:br w:type="page"/>
      </w:r>
    </w:p>
    <w:p w14:paraId="4EC3B071" w14:textId="77777777" w:rsidR="00A51938" w:rsidRPr="009A0222" w:rsidRDefault="00A51938" w:rsidP="009A0222">
      <w:pPr>
        <w:pStyle w:val="Sansinterligne"/>
        <w:jc w:val="both"/>
        <w:rPr>
          <w:b/>
        </w:rPr>
      </w:pPr>
    </w:p>
    <w:p w14:paraId="7EFA3D13" w14:textId="77777777" w:rsidR="00973575" w:rsidRPr="00C1741F" w:rsidRDefault="00973575" w:rsidP="00A612E9">
      <w:pPr>
        <w:rPr>
          <w:b/>
          <w:sz w:val="28"/>
          <w:szCs w:val="28"/>
        </w:rPr>
      </w:pPr>
      <w:r w:rsidRPr="00C1741F">
        <w:rPr>
          <w:b/>
          <w:sz w:val="28"/>
          <w:szCs w:val="28"/>
          <w:lang w:bidi="fr-FR"/>
        </w:rPr>
        <w:t>Résumé analytique</w:t>
      </w:r>
    </w:p>
    <w:p w14:paraId="1F6CD220" w14:textId="14B86192" w:rsidR="00B50426" w:rsidRDefault="00210909" w:rsidP="00B50426">
      <w:pPr>
        <w:jc w:val="both"/>
      </w:pPr>
      <w:r>
        <w:rPr>
          <w:lang w:bidi="fr-FR"/>
        </w:rPr>
        <w:t>En 2018, on dénombrait environ 132 000 personnes vivant avec le VIH (PVVIH) en Guinée, dont un peu plus de 10 500 enfants âgés de 0 à 14 ans. La prévalence du VIH chez les adultes était estimée à 1,5 % – avec un taux supérieur dans les zones urbaines – parmi les femmes en âge de procréer, les hommes âgés, les populations clés (professionnel(le)s du sexe et hommes ayant des relations sexuelles avec des hommes) et les populations vulnérables, notamment les hommes et les femmes en uniforme, les populations mobiles et les ouvriers/-</w:t>
      </w:r>
      <w:proofErr w:type="spellStart"/>
      <w:r>
        <w:rPr>
          <w:lang w:bidi="fr-FR"/>
        </w:rPr>
        <w:t>ières</w:t>
      </w:r>
      <w:proofErr w:type="spellEnd"/>
      <w:r>
        <w:rPr>
          <w:lang w:bidi="fr-FR"/>
        </w:rPr>
        <w:t xml:space="preserve"> des mines. </w:t>
      </w:r>
    </w:p>
    <w:p w14:paraId="2040BF92" w14:textId="3641BFB4" w:rsidR="009C52B9" w:rsidRDefault="00C24B8A" w:rsidP="00A236E4">
      <w:pPr>
        <w:jc w:val="both"/>
      </w:pPr>
      <w:r>
        <w:rPr>
          <w:lang w:bidi="fr-FR"/>
        </w:rPr>
        <w:t>P</w:t>
      </w:r>
      <w:r w:rsidR="00343AE9">
        <w:rPr>
          <w:lang w:bidi="fr-FR"/>
        </w:rPr>
        <w:t xml:space="preserve">armi les PVVIH en Guinée, près de 50 % des adultes ignoraient </w:t>
      </w:r>
      <w:r>
        <w:rPr>
          <w:lang w:bidi="fr-FR"/>
        </w:rPr>
        <w:t xml:space="preserve">en 2017 </w:t>
      </w:r>
      <w:r w:rsidR="00343AE9">
        <w:rPr>
          <w:lang w:bidi="fr-FR"/>
        </w:rPr>
        <w:t>leur statut, 80 % des enfants n’avaient pas reçu de diagnostic et environ 56 % des femmes enceintes n’avaient bénéficié d’aucun test de dépistage dans le cadre des soins prénata</w:t>
      </w:r>
      <w:r w:rsidR="00234F5B">
        <w:rPr>
          <w:lang w:bidi="fr-FR"/>
        </w:rPr>
        <w:t>ux</w:t>
      </w:r>
      <w:r w:rsidR="00343AE9">
        <w:rPr>
          <w:lang w:bidi="fr-FR"/>
        </w:rPr>
        <w:t>. Afin d’accélérer les progrès vers la réalisation de l’objectif du premier 90, une approche différenciée de la prestation de</w:t>
      </w:r>
      <w:r w:rsidR="00234F5B">
        <w:rPr>
          <w:lang w:bidi="fr-FR"/>
        </w:rPr>
        <w:t>s</w:t>
      </w:r>
      <w:r w:rsidR="00343AE9">
        <w:rPr>
          <w:lang w:bidi="fr-FR"/>
        </w:rPr>
        <w:t xml:space="preserve"> services ciblant le dépistage des PVVIH n’ayant pas reçu de diagnostic est indispensable. Les analyses des données épidémiologiques et programmatiques indiquent que les cas de VIH non diagnostiqués sont susceptibles d’être concentrés dans les zones urbaines situées en dehors de Conakry, au sein de la population générale, notamment parmi les clients et les partenaires (et les membres de leur famille) des professionnel(le)s du sexe et des hommes ayant des relations sexuelles avec des hommes, </w:t>
      </w:r>
      <w:r w:rsidR="00234F5B">
        <w:rPr>
          <w:lang w:bidi="fr-FR"/>
        </w:rPr>
        <w:t xml:space="preserve">ainsi que </w:t>
      </w:r>
      <w:r w:rsidR="00343AE9">
        <w:rPr>
          <w:lang w:bidi="fr-FR"/>
        </w:rPr>
        <w:t xml:space="preserve">parmi les autres populations vulnérables et leurs partenaires.  </w:t>
      </w:r>
    </w:p>
    <w:p w14:paraId="13EDE8F3" w14:textId="13642B12" w:rsidR="003268B7" w:rsidRDefault="00E669E1" w:rsidP="00F524B5">
      <w:pPr>
        <w:jc w:val="both"/>
      </w:pPr>
      <w:r>
        <w:rPr>
          <w:lang w:bidi="fr-FR"/>
        </w:rPr>
        <w:t xml:space="preserve">L’estimation du nombre et de la proportion des individus ayant reçu un diagnostic selon la modalité de dépistage utilisée permet de comprendre la contribution de chaque approche en matière de stratégie différenciée de dépistage du VIH. Ces analyses révèlent que plus de 95 % des cas diagnostiqués en 2017 ont été recensés au moyen de stratégies de dépistage du VIH </w:t>
      </w:r>
      <w:r w:rsidR="00234F5B">
        <w:rPr>
          <w:lang w:bidi="fr-FR"/>
        </w:rPr>
        <w:t>dans les structures sanitaires</w:t>
      </w:r>
      <w:r>
        <w:rPr>
          <w:lang w:bidi="fr-FR"/>
        </w:rPr>
        <w:t xml:space="preserve">, telles que le dépistage et le conseil à l’initiative du prestataire (DCIP), notamment pour les patients atteints de tuberculose et les femmes enceintes lors des consultations prénatales. Toutefois, des analyses plus approfondies des données programmatiques signalent une faible couverture au regard du nombre de structures de santé publique proposant le DCIP (33 % d’entre elles proposant le dépistage du VIH aux femmes enceintes et 10 % le DCIP aux autres patients), ainsi qu’un recours sous-optimal au dépistage dans les établissements où celui-ci peut être pratiqué. En outre, malgré des politiques nationales explicites en matière de DCIP à l’intention des patients porteurs d’une infection sexuellement transmissible, des femmes se rendant aux consultations de planification familiale et des donneurs de sang, </w:t>
      </w:r>
      <w:r w:rsidRPr="00A612E9">
        <w:rPr>
          <w:highlight w:val="yellow"/>
          <w:lang w:bidi="fr-FR"/>
        </w:rPr>
        <w:t>ces services sont rarement mis en œuvre dans les établissements de santé</w:t>
      </w:r>
      <w:r>
        <w:rPr>
          <w:lang w:bidi="fr-FR"/>
        </w:rPr>
        <w:t xml:space="preserve">. La proposition systématique de la notification volontaire assistée du partenaire, accompagnée du dépistage des membres de la famille, aux personnes séropositives est susceptible de produire de bons résultats en Guinée, sous la forme de nouveaux diagnostics d’infection à VIH. Cependant, à l’heure actuelle, elle n’est pratiquée que sporadiquement dans le cadre des services de prévention de la transmission mère-enfant (PTME), et très rarement dans l’ensemble des autres services de dépistage du VIH. Solidement appuyé, le dépistage des populations clés et vulnérables est mis en œuvre dans les services adaptés et dans les unités mobiles, mais présente une couverture et des rendements variables. </w:t>
      </w:r>
    </w:p>
    <w:p w14:paraId="78FA9AEC" w14:textId="77777777" w:rsidR="008A78A5" w:rsidRDefault="00EC656A" w:rsidP="00117FDE">
      <w:pPr>
        <w:jc w:val="both"/>
        <w:rPr>
          <w:lang w:bidi="fr-FR"/>
        </w:rPr>
      </w:pPr>
      <w:r>
        <w:rPr>
          <w:lang w:bidi="fr-FR"/>
        </w:rPr>
        <w:t xml:space="preserve">Les informateurs principaux consultés indiquent que plusieurs obstacles doivent être surmontés pour améliorer la mise en œuvre, le rendement et la qualité des stratégies de dépistage du VIH en établissement. Parmi ces obstacles figurent le manque d’agents formés au conseil et au dépistage du VIH, l’insuffisance de l’encadrement et du soutien du personnel qualifié, les ruptures de stock des trousses de dépistage et la stigmatisation généralisée liée au VIH, laquelle dissuade les patients de recourir aux services de dépistage et de notification du partenaire. </w:t>
      </w:r>
    </w:p>
    <w:p w14:paraId="7872893D" w14:textId="5E3DA24F" w:rsidR="000F1132" w:rsidRDefault="00EC656A" w:rsidP="00117FDE">
      <w:pPr>
        <w:jc w:val="both"/>
      </w:pPr>
      <w:r>
        <w:rPr>
          <w:lang w:bidi="fr-FR"/>
        </w:rPr>
        <w:lastRenderedPageBreak/>
        <w:t>Afin de réduire le risque de résultats sérologiques faussement positifs, l’algorithme de dépistage du VIH doit être révisé avec effet immédiat pour s’aligner sur les recommandations de l’OMS relatives aux contextes</w:t>
      </w:r>
      <w:r w:rsidR="00AF16EB">
        <w:rPr>
          <w:lang w:bidi="fr-FR"/>
        </w:rPr>
        <w:t xml:space="preserve"> des pays</w:t>
      </w:r>
      <w:r>
        <w:rPr>
          <w:lang w:bidi="fr-FR"/>
        </w:rPr>
        <w:t xml:space="preserve"> à faible prévalence. En outre, un test de dépistage complémentaire doit systématiquement être proposé à tous les patients ayant reçu un diagnostic de séropositivité avant de débuter un traitement antirétroviral (TAR).  </w:t>
      </w:r>
    </w:p>
    <w:p w14:paraId="12E70A06" w14:textId="786298ED" w:rsidR="00ED04C4" w:rsidRDefault="00401EFF" w:rsidP="00ED04C4">
      <w:pPr>
        <w:jc w:val="both"/>
      </w:pPr>
      <w:r>
        <w:rPr>
          <w:lang w:bidi="fr-FR"/>
        </w:rPr>
        <w:t xml:space="preserve">Les analyses soulignent six axes prioritaires à considérer afin que les services de dépistage du VIH puissent atteindre plus facilement les cas de séropositivité non diagnostiqués, et cinq domaines thématiques transversaux qui doivent être abordés afin d’améliorer la mise en œuvre et la qualité de ces services </w:t>
      </w:r>
      <w:r w:rsidRPr="00A612E9">
        <w:rPr>
          <w:highlight w:val="yellow"/>
          <w:lang w:bidi="fr-FR"/>
        </w:rPr>
        <w:t>dans ce contexte</w:t>
      </w:r>
      <w:r>
        <w:rPr>
          <w:lang w:bidi="fr-FR"/>
        </w:rPr>
        <w:t>. Les domaines suivants doivent être privilégiés en milieu urbain, dans les régions en dehors de Conakry, où la couverture des services liés au VIH est la plus faible :</w:t>
      </w:r>
    </w:p>
    <w:p w14:paraId="1AB38900" w14:textId="77777777" w:rsidR="000947F3" w:rsidRDefault="000947F3" w:rsidP="007F5E3E">
      <w:pPr>
        <w:jc w:val="both"/>
      </w:pPr>
    </w:p>
    <w:p w14:paraId="785EB9CB" w14:textId="6FBBC76C" w:rsidR="006B5820" w:rsidRDefault="006B5820" w:rsidP="00CC3578">
      <w:pPr>
        <w:jc w:val="both"/>
        <w:rPr>
          <w:b/>
        </w:rPr>
      </w:pPr>
      <w:r>
        <w:rPr>
          <w:b/>
          <w:lang w:bidi="fr-FR"/>
        </w:rPr>
        <w:t>Amélioration de la prestation de services</w:t>
      </w:r>
    </w:p>
    <w:p w14:paraId="07D328BC" w14:textId="77777777" w:rsidR="00CC3578" w:rsidRPr="00DD75C8" w:rsidRDefault="001F4110" w:rsidP="00333122">
      <w:pPr>
        <w:jc w:val="both"/>
      </w:pPr>
      <w:r w:rsidRPr="00DD75C8">
        <w:rPr>
          <w:lang w:bidi="fr-FR"/>
        </w:rPr>
        <w:t xml:space="preserve">Les stratégies s’appuyant sur les établissements, présentant de bons résultats mais une couverture sous-optimale, doivent être renforcées. </w:t>
      </w:r>
    </w:p>
    <w:p w14:paraId="0990F724" w14:textId="62F2E77A" w:rsidR="005E116C" w:rsidRDefault="005E116C" w:rsidP="00B43D4E">
      <w:pPr>
        <w:pStyle w:val="Paragraphedeliste"/>
        <w:numPr>
          <w:ilvl w:val="0"/>
          <w:numId w:val="11"/>
        </w:numPr>
        <w:jc w:val="both"/>
      </w:pPr>
      <w:r w:rsidRPr="00DD75C8">
        <w:rPr>
          <w:lang w:bidi="fr-FR"/>
        </w:rPr>
        <w:t xml:space="preserve">Le conseil et le dépistage à l’initiative du prestataire doivent être systématiquement proposés par l’ensemble des centres de santé aux patients atteints de tuberculose, aux patients porteurs d’une infection sexuellement transmissible ou à ceux présentant des signes et des symptômes de contamination par le VIH. Tous les patients hospitalisés ou se présentant aux urgences doivent faire un test de dépistage du VIH. Toute personne se rendant à une consultation de planification familiale doit systématiquement se voir proposer un test de dépistage du VIH. </w:t>
      </w:r>
    </w:p>
    <w:p w14:paraId="189D3B1E" w14:textId="77777777" w:rsidR="00200409" w:rsidRPr="0061218A" w:rsidRDefault="00200409" w:rsidP="00200409">
      <w:pPr>
        <w:pStyle w:val="Paragraphedeliste"/>
        <w:ind w:left="360"/>
        <w:jc w:val="both"/>
        <w:rPr>
          <w:sz w:val="10"/>
          <w:szCs w:val="10"/>
        </w:rPr>
      </w:pPr>
    </w:p>
    <w:p w14:paraId="7228D141" w14:textId="04D4FA61" w:rsidR="00903642" w:rsidRDefault="00200409" w:rsidP="00903642">
      <w:pPr>
        <w:pStyle w:val="Paragraphedeliste"/>
        <w:numPr>
          <w:ilvl w:val="0"/>
          <w:numId w:val="11"/>
        </w:numPr>
        <w:jc w:val="both"/>
      </w:pPr>
      <w:r>
        <w:rPr>
          <w:lang w:bidi="fr-FR"/>
        </w:rPr>
        <w:t>Le DCIP doit être systématiquement proposé à tous les enfants présentant des signes de malnutrition. Un dépistage familial doit être proposé dans le cas d’un diagnostic de séropositivité, et l’auto</w:t>
      </w:r>
      <w:r w:rsidR="00AF16EB">
        <w:rPr>
          <w:lang w:bidi="fr-FR"/>
        </w:rPr>
        <w:t>-</w:t>
      </w:r>
      <w:r>
        <w:rPr>
          <w:lang w:bidi="fr-FR"/>
        </w:rPr>
        <w:t xml:space="preserve">dépistage introduit progressivement dans certaines zones urbaines solidement appuyées. Un dépistage de rattrapage doit être proposé à tous les enfants nés d’une mère séropositive au VIH lorsque ceux-ci n’ont pas bénéficié d’un diagnostic précoce </w:t>
      </w:r>
      <w:r w:rsidR="00AF16EB">
        <w:rPr>
          <w:lang w:bidi="fr-FR"/>
        </w:rPr>
        <w:t xml:space="preserve">avant </w:t>
      </w:r>
      <w:r>
        <w:rPr>
          <w:lang w:bidi="fr-FR"/>
        </w:rPr>
        <w:t>l’âge de 18 mois.</w:t>
      </w:r>
    </w:p>
    <w:p w14:paraId="323CA983" w14:textId="77777777" w:rsidR="00903642" w:rsidRPr="00903642" w:rsidRDefault="00903642" w:rsidP="00903642">
      <w:pPr>
        <w:pStyle w:val="Paragraphedeliste"/>
        <w:rPr>
          <w:sz w:val="10"/>
          <w:szCs w:val="10"/>
        </w:rPr>
      </w:pPr>
    </w:p>
    <w:p w14:paraId="7B1466C5" w14:textId="0CB6B48B" w:rsidR="00903642" w:rsidRPr="00903642" w:rsidRDefault="002B154F" w:rsidP="00903642">
      <w:pPr>
        <w:pStyle w:val="Paragraphedeliste"/>
        <w:numPr>
          <w:ilvl w:val="0"/>
          <w:numId w:val="11"/>
        </w:numPr>
        <w:jc w:val="both"/>
      </w:pPr>
      <w:r>
        <w:rPr>
          <w:lang w:bidi="fr-FR"/>
        </w:rPr>
        <w:t xml:space="preserve">La prestation de services de dépistage du VIH aux femmes dans le cadre des soins </w:t>
      </w:r>
      <w:r w:rsidR="00AF16EB">
        <w:rPr>
          <w:lang w:bidi="fr-FR"/>
        </w:rPr>
        <w:t xml:space="preserve">prénataux </w:t>
      </w:r>
      <w:r>
        <w:rPr>
          <w:lang w:bidi="fr-FR"/>
        </w:rPr>
        <w:t>doit être systématisée dans les cliniques pratiquant la PTME ; la priorité à plus long terme est de systématiquement proposer un test de dépistage lors des soins prénata</w:t>
      </w:r>
      <w:r w:rsidR="006B2D04">
        <w:rPr>
          <w:lang w:bidi="fr-FR"/>
        </w:rPr>
        <w:t>ux</w:t>
      </w:r>
      <w:r>
        <w:rPr>
          <w:lang w:bidi="fr-FR"/>
        </w:rPr>
        <w:t xml:space="preserve"> à toutes les femmes enceintes n’ayant pas déjà reçu un diagnostic de séropositivité au VIH.  </w:t>
      </w:r>
    </w:p>
    <w:p w14:paraId="14D00E95" w14:textId="77777777" w:rsidR="00903642" w:rsidRPr="00903642" w:rsidRDefault="00903642" w:rsidP="00903642">
      <w:pPr>
        <w:pStyle w:val="Paragraphedeliste"/>
        <w:ind w:left="360"/>
        <w:jc w:val="both"/>
        <w:rPr>
          <w:sz w:val="10"/>
          <w:szCs w:val="10"/>
        </w:rPr>
      </w:pPr>
    </w:p>
    <w:p w14:paraId="27BF8C2B" w14:textId="2E0423E1" w:rsidR="007766A2" w:rsidRPr="00DD75C8" w:rsidRDefault="00F06BE1" w:rsidP="009F535B">
      <w:pPr>
        <w:pStyle w:val="Paragraphedeliste"/>
        <w:numPr>
          <w:ilvl w:val="0"/>
          <w:numId w:val="11"/>
        </w:numPr>
        <w:jc w:val="both"/>
      </w:pPr>
      <w:r>
        <w:rPr>
          <w:lang w:bidi="fr-FR"/>
        </w:rPr>
        <w:t>La notification volontaire assistée du partenaire et le dépistage du VIH chez les partenaires et les membres de la famille des cas de référence doivent être systématiquement proposés à toutes les personnes ayant reçu un diagnostic de séropositivité et à tous les patients sous traitement antirétroviral. Afin d’accroître le dépistage des partenaires, des trousses d’auto</w:t>
      </w:r>
      <w:r w:rsidR="006B2D04">
        <w:rPr>
          <w:lang w:bidi="fr-FR"/>
        </w:rPr>
        <w:t>-</w:t>
      </w:r>
      <w:r>
        <w:rPr>
          <w:lang w:bidi="fr-FR"/>
        </w:rPr>
        <w:t>dépistage peuvent progressivement être mises à disposition des femmes séropositives dans les structures ayant une forte activité et des moyens suffisants.</w:t>
      </w:r>
    </w:p>
    <w:p w14:paraId="7C7CCE12" w14:textId="77777777" w:rsidR="004F48C3" w:rsidRPr="00391CB0" w:rsidRDefault="004F48C3" w:rsidP="004F48C3">
      <w:pPr>
        <w:pStyle w:val="Paragraphedeliste"/>
        <w:ind w:left="360"/>
        <w:jc w:val="both"/>
        <w:rPr>
          <w:sz w:val="8"/>
          <w:szCs w:val="8"/>
        </w:rPr>
      </w:pPr>
    </w:p>
    <w:p w14:paraId="6CFD20B8" w14:textId="6FE13A43" w:rsidR="00B32552" w:rsidRPr="00DD75C8" w:rsidRDefault="00210BF6" w:rsidP="00B43D4E">
      <w:pPr>
        <w:pStyle w:val="Paragraphedeliste"/>
        <w:numPr>
          <w:ilvl w:val="0"/>
          <w:numId w:val="11"/>
        </w:numPr>
        <w:jc w:val="both"/>
      </w:pPr>
      <w:r w:rsidRPr="00DD75C8">
        <w:rPr>
          <w:lang w:bidi="fr-FR"/>
        </w:rPr>
        <w:t>Les services adaptés doivent continuer à répondre aux besoins des populations clés dans les zones à forte fréquentation, et introduire progressivement l’auto</w:t>
      </w:r>
      <w:r w:rsidR="006B2D04">
        <w:rPr>
          <w:lang w:bidi="fr-FR"/>
        </w:rPr>
        <w:t>-</w:t>
      </w:r>
      <w:r w:rsidRPr="00DD75C8">
        <w:rPr>
          <w:lang w:bidi="fr-FR"/>
        </w:rPr>
        <w:t xml:space="preserve">dépistage afin d’augmenter le nombre de diagnostics au sein des populations clés ainsi que chez leurs clients et autres partenaires. </w:t>
      </w:r>
    </w:p>
    <w:p w14:paraId="57A82D4E" w14:textId="1F4BA6BA" w:rsidR="00CC6069" w:rsidRPr="000343A4" w:rsidRDefault="000343A4" w:rsidP="00CC6069">
      <w:pPr>
        <w:jc w:val="both"/>
      </w:pPr>
      <w:r w:rsidRPr="000343A4">
        <w:rPr>
          <w:lang w:bidi="fr-FR"/>
        </w:rPr>
        <w:t>Approches communautaires</w:t>
      </w:r>
    </w:p>
    <w:p w14:paraId="6373BBEC" w14:textId="5F13B88D" w:rsidR="009517C8" w:rsidRDefault="00A23032" w:rsidP="00301996">
      <w:pPr>
        <w:pStyle w:val="Paragraphedeliste"/>
        <w:numPr>
          <w:ilvl w:val="0"/>
          <w:numId w:val="11"/>
        </w:numPr>
        <w:jc w:val="both"/>
      </w:pPr>
      <w:r w:rsidRPr="004C1348">
        <w:rPr>
          <w:lang w:bidi="fr-FR"/>
        </w:rPr>
        <w:t xml:space="preserve">Il convient de mettre en place des campagnes de dépistage du VIH à l’aide d’unités mobiles et autres structures provisoires afin d’atteindre les populations clés, les populations vulnérables et </w:t>
      </w:r>
      <w:r w:rsidRPr="004C1348">
        <w:rPr>
          <w:lang w:bidi="fr-FR"/>
        </w:rPr>
        <w:lastRenderedPageBreak/>
        <w:t>leur entourage. Des analyses de rendement du dépistage régulières devront guider le choix des endroits où ces unités et structures seront mises sur pied. Il est inutile de mener des campagnes à faible rendement.</w:t>
      </w:r>
    </w:p>
    <w:p w14:paraId="42B13BEA" w14:textId="0577B24D" w:rsidR="00FA3746" w:rsidRDefault="00FA3746" w:rsidP="0043069B">
      <w:pPr>
        <w:pStyle w:val="Paragraphedeliste"/>
        <w:ind w:left="0"/>
        <w:jc w:val="both"/>
        <w:rPr>
          <w:b/>
          <w:sz w:val="8"/>
          <w:szCs w:val="8"/>
        </w:rPr>
      </w:pPr>
    </w:p>
    <w:p w14:paraId="5BFFE08E" w14:textId="77777777" w:rsidR="00E16891" w:rsidRPr="00ED70C6" w:rsidRDefault="00E16891" w:rsidP="0043069B">
      <w:pPr>
        <w:pStyle w:val="Paragraphedeliste"/>
        <w:ind w:left="0"/>
        <w:jc w:val="both"/>
        <w:rPr>
          <w:b/>
          <w:sz w:val="8"/>
          <w:szCs w:val="8"/>
        </w:rPr>
      </w:pPr>
    </w:p>
    <w:p w14:paraId="4248B597" w14:textId="0360E867" w:rsidR="000B54D5" w:rsidRPr="005B6AB3" w:rsidRDefault="00B62582" w:rsidP="0043069B">
      <w:pPr>
        <w:pStyle w:val="Paragraphedeliste"/>
        <w:ind w:left="0"/>
        <w:jc w:val="both"/>
        <w:rPr>
          <w:b/>
        </w:rPr>
      </w:pPr>
      <w:r>
        <w:rPr>
          <w:b/>
          <w:lang w:bidi="fr-FR"/>
        </w:rPr>
        <w:t>Sensibilisation au dépistage et établissement de liens avec les soins</w:t>
      </w:r>
    </w:p>
    <w:p w14:paraId="50ECAA2E" w14:textId="1C8D6C70" w:rsidR="00E946A7" w:rsidRPr="00E946A7" w:rsidRDefault="00EF7F96" w:rsidP="00E946A7">
      <w:pPr>
        <w:pStyle w:val="Paragraphedeliste"/>
        <w:spacing w:line="240" w:lineRule="auto"/>
        <w:ind w:left="0"/>
        <w:jc w:val="both"/>
      </w:pPr>
      <w:r>
        <w:rPr>
          <w:lang w:bidi="fr-FR"/>
        </w:rPr>
        <w:t xml:space="preserve">Les actions de mobilisation communautaire doivent être axées sur l’augmentation du recours aux </w:t>
      </w:r>
      <w:r w:rsidR="006B2D04">
        <w:rPr>
          <w:lang w:bidi="fr-FR"/>
        </w:rPr>
        <w:t xml:space="preserve">soins </w:t>
      </w:r>
      <w:r w:rsidR="009E4E2C">
        <w:rPr>
          <w:lang w:bidi="fr-FR"/>
        </w:rPr>
        <w:t>prénataux chez</w:t>
      </w:r>
      <w:r>
        <w:rPr>
          <w:lang w:bidi="fr-FR"/>
        </w:rPr>
        <w:t xml:space="preserve"> les femmes enceintes, et ce, en coordonnant les initiatives existantes en matière de santé maternelle avec les agents de santé communautaires bénévoles. Les réseaux de PVVIH, les agents psychosociaux nouvellement formés et les réseaux de pairs existants pour les populations clés doivent contribuer à encourager le dépistage au sein des populations clés et vulnérables et de leur entourage, et des proches des cas de référence. Les efforts déployés pour établir le lien entre les patients ayant reçu un diagnostic et le traitement contre le VIH doivent être plus explicites dans la plupart des stratégies de dépistage. Ces efforts doivent en outre s’accompagner de recommandations, de responsabilités et de protocoles clairement définis, en particulier dans les modèles de dépistage communautaire. </w:t>
      </w:r>
    </w:p>
    <w:p w14:paraId="3C7CACE8" w14:textId="733CD29E" w:rsidR="007D7D4F" w:rsidRDefault="003820BF" w:rsidP="00F1181A">
      <w:pPr>
        <w:pStyle w:val="Default"/>
        <w:jc w:val="both"/>
        <w:rPr>
          <w:rFonts w:asciiTheme="minorHAnsi" w:hAnsiTheme="minorHAnsi" w:cstheme="minorBidi"/>
          <w:color w:val="auto"/>
          <w:sz w:val="22"/>
          <w:szCs w:val="22"/>
        </w:rPr>
      </w:pPr>
      <w:r w:rsidRPr="00B1374B">
        <w:rPr>
          <w:rFonts w:asciiTheme="minorHAnsi" w:hAnsiTheme="minorHAnsi" w:cstheme="minorBidi"/>
          <w:b/>
          <w:color w:val="auto"/>
          <w:sz w:val="22"/>
          <w:szCs w:val="22"/>
          <w:lang w:bidi="fr-FR"/>
        </w:rPr>
        <w:t xml:space="preserve">Parmi les domaines stratégiques privilégiés pour améliorer la mise en œuvre </w:t>
      </w:r>
      <w:r w:rsidRPr="00B1374B">
        <w:rPr>
          <w:rFonts w:asciiTheme="minorHAnsi" w:hAnsiTheme="minorHAnsi" w:cstheme="minorBidi"/>
          <w:color w:val="auto"/>
          <w:sz w:val="22"/>
          <w:szCs w:val="22"/>
          <w:lang w:bidi="fr-FR"/>
        </w:rPr>
        <w:t xml:space="preserve">de ces approches de dépistage du VIH prioritaires figurent i) la coordination et la gouvernance ; ii) les ressources humaines ; iii) l’assurance de la qualité ; iv) les questions relatives à la chaîne d'approvisionnement ; et v) le suivi et l’évaluation. Le plan de mise en œuvre du dépistage du VIH figurant dans les annexes de la présente stratégie décrit les objectifs spécifiques liés à chaque domaine thématique et les actions permettant de les réaliser. </w:t>
      </w:r>
    </w:p>
    <w:p w14:paraId="46EF5078" w14:textId="5821D95A" w:rsidR="001E5E14" w:rsidRDefault="001E5E14" w:rsidP="00F1181A">
      <w:pPr>
        <w:pStyle w:val="Default"/>
        <w:jc w:val="both"/>
        <w:rPr>
          <w:rFonts w:asciiTheme="minorHAnsi" w:hAnsiTheme="minorHAnsi" w:cstheme="minorBidi"/>
          <w:b/>
          <w:color w:val="auto"/>
          <w:sz w:val="22"/>
          <w:szCs w:val="22"/>
        </w:rPr>
      </w:pPr>
    </w:p>
    <w:p w14:paraId="62CA40B7" w14:textId="0B1411EA" w:rsidR="00BE262E" w:rsidRDefault="0061218A" w:rsidP="00F1181A">
      <w:pPr>
        <w:pStyle w:val="Default"/>
        <w:jc w:val="both"/>
        <w:rPr>
          <w:sz w:val="22"/>
          <w:szCs w:val="22"/>
          <w:lang w:bidi="fr-FR"/>
        </w:rPr>
      </w:pPr>
      <w:r w:rsidRPr="0061218A">
        <w:rPr>
          <w:rFonts w:asciiTheme="minorHAnsi" w:hAnsiTheme="minorHAnsi" w:cstheme="minorBidi"/>
          <w:b/>
          <w:color w:val="auto"/>
          <w:sz w:val="22"/>
          <w:szCs w:val="22"/>
          <w:lang w:bidi="fr-FR"/>
        </w:rPr>
        <w:t>Objectif</w:t>
      </w:r>
      <w:r w:rsidR="009A0222">
        <w:rPr>
          <w:rFonts w:asciiTheme="minorHAnsi" w:hAnsiTheme="minorHAnsi" w:cstheme="minorBidi"/>
          <w:b/>
          <w:color w:val="auto"/>
          <w:sz w:val="22"/>
          <w:szCs w:val="22"/>
          <w:lang w:bidi="fr-FR"/>
        </w:rPr>
        <w:t> </w:t>
      </w:r>
      <w:r>
        <w:rPr>
          <w:rFonts w:asciiTheme="minorHAnsi" w:hAnsiTheme="minorHAnsi" w:cstheme="minorBidi"/>
          <w:color w:val="auto"/>
          <w:sz w:val="22"/>
          <w:szCs w:val="22"/>
          <w:lang w:bidi="fr-FR"/>
        </w:rPr>
        <w:t xml:space="preserve">: </w:t>
      </w:r>
      <w:r w:rsidR="009A0222">
        <w:rPr>
          <w:rFonts w:asciiTheme="minorHAnsi" w:hAnsiTheme="minorHAnsi" w:cstheme="minorBidi"/>
          <w:color w:val="auto"/>
          <w:sz w:val="22"/>
          <w:szCs w:val="22"/>
          <w:lang w:bidi="fr-FR"/>
        </w:rPr>
        <w:t>l</w:t>
      </w:r>
      <w:r>
        <w:rPr>
          <w:rFonts w:asciiTheme="minorHAnsi" w:hAnsiTheme="minorHAnsi" w:cstheme="minorBidi"/>
          <w:color w:val="auto"/>
          <w:sz w:val="22"/>
          <w:szCs w:val="22"/>
          <w:lang w:bidi="fr-FR"/>
        </w:rPr>
        <w:t>a mise en œuvre de la présente stratégie de dépistage du VIH</w:t>
      </w:r>
      <w:r w:rsidR="00726ED6">
        <w:rPr>
          <w:sz w:val="22"/>
          <w:szCs w:val="22"/>
          <w:lang w:bidi="fr-FR"/>
        </w:rPr>
        <w:t xml:space="preserve"> permettrait à 75 % des PVVIH de connaître leur statut d’ici à fin 2020. Des cibles de dépistage spécifiques à chaque stratégie sont définies pour 2019 et 2020.</w:t>
      </w:r>
    </w:p>
    <w:p w14:paraId="1BFFF1F0" w14:textId="77777777" w:rsidR="00BE262E" w:rsidRDefault="00BE262E">
      <w:pPr>
        <w:rPr>
          <w:rFonts w:ascii="Calibri" w:hAnsi="Calibri" w:cs="Calibri"/>
          <w:color w:val="000000"/>
          <w:lang w:bidi="fr-FR"/>
        </w:rPr>
      </w:pPr>
      <w:r>
        <w:rPr>
          <w:lang w:bidi="fr-FR"/>
        </w:rPr>
        <w:br w:type="page"/>
      </w:r>
    </w:p>
    <w:p w14:paraId="7E92B15A" w14:textId="44DE2F02" w:rsidR="00043F0D" w:rsidRDefault="001C5022" w:rsidP="00043F0D">
      <w:pPr>
        <w:pStyle w:val="Titre1"/>
      </w:pPr>
      <w:bookmarkStart w:id="3" w:name="_Toc8400002"/>
      <w:r>
        <w:rPr>
          <w:lang w:bidi="fr-FR"/>
        </w:rPr>
        <w:lastRenderedPageBreak/>
        <w:t>1. Contexte</w:t>
      </w:r>
      <w:bookmarkEnd w:id="3"/>
    </w:p>
    <w:p w14:paraId="5D272EC0" w14:textId="77777777" w:rsidR="00C930A0" w:rsidRDefault="00C930A0" w:rsidP="00C25774">
      <w:pPr>
        <w:pStyle w:val="Titre2"/>
      </w:pPr>
    </w:p>
    <w:p w14:paraId="5CAAD223" w14:textId="5451B204" w:rsidR="0010185B" w:rsidRDefault="00043F0D" w:rsidP="00C25774">
      <w:pPr>
        <w:pStyle w:val="Titre2"/>
      </w:pPr>
      <w:bookmarkStart w:id="4" w:name="_Toc8400003"/>
      <w:r>
        <w:rPr>
          <w:lang w:bidi="fr-FR"/>
        </w:rPr>
        <w:t>1.1 Introduction</w:t>
      </w:r>
      <w:bookmarkEnd w:id="4"/>
    </w:p>
    <w:p w14:paraId="77E75C0E" w14:textId="7B868E29" w:rsidR="008D287C" w:rsidRDefault="008D287C" w:rsidP="00824AB2">
      <w:pPr>
        <w:pStyle w:val="Sansinterligne"/>
        <w:jc w:val="both"/>
      </w:pPr>
    </w:p>
    <w:p w14:paraId="27723AAB" w14:textId="7BBF72A3" w:rsidR="00783645" w:rsidRDefault="00B011B8" w:rsidP="00783645">
      <w:pPr>
        <w:pStyle w:val="Sansinterligne"/>
        <w:jc w:val="both"/>
      </w:pPr>
      <w:r w:rsidRPr="00377146">
        <w:rPr>
          <w:lang w:bidi="fr-FR"/>
        </w:rPr>
        <w:t>En 2018, on dénombrait près de 132 000 personnes vivant avec le VIH (PVVIH) en Guinée, dont un peu plus de 10 000 enfants âgés de 0 à 14 ans, soit un taux de prévalence de 1,5 % chez les adultes (Spectrum, 2018). Comme d’autres pays d’Afrique de l’Ouest, la Guinée s’est efforcée de progresser suffisamment dans le déploiement des soins et des traitements contre le VIH afin d’atteindre les cibles 90-90-90 d</w:t>
      </w:r>
      <w:r w:rsidR="006B716D">
        <w:rPr>
          <w:lang w:bidi="fr-FR"/>
        </w:rPr>
        <w:t xml:space="preserve">u </w:t>
      </w:r>
      <w:r w:rsidR="006B716D" w:rsidRPr="006B716D">
        <w:rPr>
          <w:lang w:bidi="fr-FR"/>
        </w:rPr>
        <w:t>Programme commun des Nations Unies sur le VIH/sida</w:t>
      </w:r>
      <w:r w:rsidR="006B716D">
        <w:rPr>
          <w:lang w:bidi="fr-FR"/>
        </w:rPr>
        <w:t xml:space="preserve"> (</w:t>
      </w:r>
      <w:r w:rsidRPr="00377146">
        <w:rPr>
          <w:lang w:bidi="fr-FR"/>
        </w:rPr>
        <w:t>ONUSIDA</w:t>
      </w:r>
      <w:r w:rsidR="006B716D">
        <w:rPr>
          <w:lang w:bidi="fr-FR"/>
        </w:rPr>
        <w:t>)</w:t>
      </w:r>
      <w:r w:rsidRPr="00377146">
        <w:rPr>
          <w:lang w:bidi="fr-FR"/>
        </w:rPr>
        <w:t xml:space="preserve"> d’ici à 2020. En 2018, on estimait que 41 % des personnes vivant avec le VIH recevaient un traitement antirétroviral. La région de Conakry bénéficiait alors d’une couverture sensiblement supérieure que partout ailleurs dans le pays.</w:t>
      </w:r>
    </w:p>
    <w:p w14:paraId="2FDDEE02" w14:textId="77777777" w:rsidR="00783645" w:rsidRDefault="00783645" w:rsidP="00783645">
      <w:pPr>
        <w:pStyle w:val="Sansinterligne"/>
        <w:jc w:val="both"/>
      </w:pPr>
    </w:p>
    <w:p w14:paraId="562A0FFE" w14:textId="2A9C3FB0" w:rsidR="007C1691" w:rsidRDefault="007C1691" w:rsidP="00783645">
      <w:pPr>
        <w:pStyle w:val="Sansinterligne"/>
        <w:jc w:val="both"/>
      </w:pPr>
      <w:r>
        <w:rPr>
          <w:lang w:bidi="fr-FR"/>
        </w:rPr>
        <w:t xml:space="preserve">Au cours des cinq dernières années, les stratégies de dépistage du VIH au sein de la communauté ou en établissement </w:t>
      </w:r>
      <w:r w:rsidR="00712F26">
        <w:rPr>
          <w:lang w:bidi="fr-FR"/>
        </w:rPr>
        <w:t xml:space="preserve">de soins </w:t>
      </w:r>
      <w:r>
        <w:rPr>
          <w:lang w:bidi="fr-FR"/>
        </w:rPr>
        <w:t xml:space="preserve">ont principalement été axées sur les populations clés et vulnérables, les femmes enceintes et les patients atteints de tuberculose, ce qui a entraîné une augmentation de la proportion de PVVIH ayant connaissance de leur statut. Cependant, la fragilité du système de santé, la stigmatisation généralisée liée au VIH et les effets durables de l’épidémie d’Ebola sur l’utilisation des services de santé ont entravé la progression vers l’objectif du premier 90. Ces facteurs sont en partie responsables du fait qu’à la fin de 2017, seuls </w:t>
      </w:r>
      <w:r w:rsidR="00BA56B8" w:rsidRPr="008859B7">
        <w:rPr>
          <w:highlight w:val="yellow"/>
          <w:lang w:bidi="fr-FR"/>
        </w:rPr>
        <w:t>50 %</w:t>
      </w:r>
      <w:r>
        <w:rPr>
          <w:lang w:bidi="fr-FR"/>
        </w:rPr>
        <w:t xml:space="preserve"> des adultes vivant avec le VIH avaient connaissance de leur statut.</w:t>
      </w:r>
    </w:p>
    <w:p w14:paraId="301F1817" w14:textId="77777777" w:rsidR="00783645" w:rsidRDefault="00783645" w:rsidP="00FB3B1A">
      <w:pPr>
        <w:pStyle w:val="Sansinterligne"/>
        <w:jc w:val="both"/>
      </w:pPr>
    </w:p>
    <w:p w14:paraId="6E04B1DC" w14:textId="64F743DC" w:rsidR="003D59A6" w:rsidRDefault="00936BED" w:rsidP="00FB3B1A">
      <w:pPr>
        <w:pStyle w:val="Sansinterligne"/>
        <w:jc w:val="both"/>
      </w:pPr>
      <w:r>
        <w:rPr>
          <w:lang w:bidi="fr-FR"/>
        </w:rPr>
        <w:t xml:space="preserve">Cette année-là, un « plan de rattrapage » de 18 mois a été lancé en Afrique de l’Ouest, en vue d’augmenter la proportion de diagnostics et de mises sous traitement et de parvenir à une inhibition de la réplication virale chez les PVVIH. De même que de récentes analyses de l’épidémie de VIH en Guinée, ce plan révèle qu’une stratégie différenciée de dépistage du VIH est nécessaire afin de hiérarchiser les modèles visant à accroître le taux de diagnostic chez les personnes vivant avec le VIH, et à les mettre en relation avec les services de soins et de traitement. L’élaboration d’une stratégie différenciée de dépistage du VIH en Guinée est également essentielle dans le sens où elle permet de garantir que les procédures opérationnelles permanentes et les protocoles sont conformes aux recommandations les plus récentes de l’OMS sur le dépistage du VIH dans les pays dotés d’un taux de prévalence inférieur à 5 %.  </w:t>
      </w:r>
    </w:p>
    <w:p w14:paraId="180E403E" w14:textId="77531DBF" w:rsidR="0032709C" w:rsidRDefault="0032709C" w:rsidP="00022143">
      <w:pPr>
        <w:pStyle w:val="Default"/>
        <w:jc w:val="both"/>
        <w:rPr>
          <w:sz w:val="21"/>
          <w:szCs w:val="21"/>
        </w:rPr>
      </w:pPr>
    </w:p>
    <w:p w14:paraId="502F54AB" w14:textId="5C25629B" w:rsidR="0032709C" w:rsidRDefault="0032709C" w:rsidP="0032709C">
      <w:pPr>
        <w:pStyle w:val="Titre2"/>
      </w:pPr>
      <w:bookmarkStart w:id="5" w:name="_Toc8400004"/>
      <w:r>
        <w:rPr>
          <w:lang w:bidi="fr-FR"/>
        </w:rPr>
        <w:t>1.2 Objectif et champ d’application</w:t>
      </w:r>
      <w:bookmarkEnd w:id="5"/>
    </w:p>
    <w:p w14:paraId="6E7051C1" w14:textId="77777777" w:rsidR="0032709C" w:rsidRDefault="0032709C" w:rsidP="0032709C">
      <w:pPr>
        <w:pStyle w:val="Default"/>
        <w:ind w:left="360"/>
        <w:jc w:val="both"/>
        <w:rPr>
          <w:sz w:val="21"/>
          <w:szCs w:val="21"/>
        </w:rPr>
      </w:pPr>
    </w:p>
    <w:p w14:paraId="0FF7392D" w14:textId="2F6D4135" w:rsidR="000350D9" w:rsidRPr="00F5267A" w:rsidRDefault="001028E2" w:rsidP="000350D9">
      <w:pPr>
        <w:pStyle w:val="Default"/>
        <w:jc w:val="both"/>
        <w:rPr>
          <w:sz w:val="22"/>
          <w:szCs w:val="22"/>
        </w:rPr>
      </w:pPr>
      <w:r>
        <w:rPr>
          <w:sz w:val="22"/>
          <w:szCs w:val="22"/>
          <w:lang w:bidi="fr-FR"/>
        </w:rPr>
        <w:t xml:space="preserve">La présente stratégie nationale de dépistage du VIH décrit les domaines prioritaires pour les activités de dépistage en Guinée. Pour ce faire, elle se fonde sur des analyses de l’épidémie de VIH, sur les résultats concluants produits par différentes approches du dépistage et sur des évaluations de faisabilité visant à améliorer la couverture des services. </w:t>
      </w:r>
    </w:p>
    <w:p w14:paraId="1A592D6B" w14:textId="77777777" w:rsidR="000350D9" w:rsidRDefault="000350D9" w:rsidP="000350D9">
      <w:pPr>
        <w:pStyle w:val="Default"/>
        <w:jc w:val="both"/>
        <w:rPr>
          <w:sz w:val="22"/>
          <w:szCs w:val="22"/>
        </w:rPr>
      </w:pPr>
    </w:p>
    <w:p w14:paraId="470027A4" w14:textId="2A9AB9B0" w:rsidR="005365A3" w:rsidRDefault="000350D9" w:rsidP="0098336A">
      <w:pPr>
        <w:pStyle w:val="Default"/>
        <w:jc w:val="both"/>
        <w:rPr>
          <w:sz w:val="22"/>
          <w:szCs w:val="22"/>
        </w:rPr>
      </w:pPr>
      <w:r w:rsidRPr="00F5267A">
        <w:rPr>
          <w:sz w:val="22"/>
          <w:szCs w:val="22"/>
          <w:lang w:bidi="fr-FR"/>
        </w:rPr>
        <w:t xml:space="preserve">Le principal objectif de la stratégie différenciée de dépistage du VIH est de définir une combinaison optimale des modèles de dépistage en vue d’accroître la proportion de PVVIH connaissant leur statut en Guinée. </w:t>
      </w:r>
    </w:p>
    <w:p w14:paraId="7FE15E0B" w14:textId="77777777" w:rsidR="000F4984" w:rsidRDefault="000F4984" w:rsidP="00022143">
      <w:pPr>
        <w:pStyle w:val="Default"/>
        <w:jc w:val="both"/>
        <w:rPr>
          <w:sz w:val="22"/>
          <w:szCs w:val="22"/>
        </w:rPr>
      </w:pPr>
    </w:p>
    <w:p w14:paraId="7CA61ED2" w14:textId="1FEC217F" w:rsidR="003D4E99" w:rsidRDefault="00022143" w:rsidP="00C52C75">
      <w:pPr>
        <w:pStyle w:val="Default"/>
        <w:jc w:val="both"/>
        <w:rPr>
          <w:sz w:val="22"/>
          <w:szCs w:val="22"/>
        </w:rPr>
      </w:pPr>
      <w:r w:rsidRPr="00F5267A">
        <w:rPr>
          <w:sz w:val="22"/>
          <w:szCs w:val="22"/>
          <w:lang w:bidi="fr-FR"/>
        </w:rPr>
        <w:t xml:space="preserve">Le plan de mise en œuvre détaille les cibles de dépistage du VIH à viser pour chaque modèle, afin que cette proportion atteigne 75 % d’ici à fin 2020.  </w:t>
      </w:r>
    </w:p>
    <w:p w14:paraId="12ADCF38" w14:textId="77777777" w:rsidR="003D4E99" w:rsidRDefault="003D4E99" w:rsidP="00C52C75">
      <w:pPr>
        <w:pStyle w:val="Default"/>
        <w:jc w:val="both"/>
        <w:rPr>
          <w:sz w:val="22"/>
          <w:szCs w:val="22"/>
        </w:rPr>
      </w:pPr>
    </w:p>
    <w:p w14:paraId="503FE7FA" w14:textId="46E6789C" w:rsidR="00EB52C1" w:rsidRDefault="00C52C75" w:rsidP="00C52C75">
      <w:pPr>
        <w:pStyle w:val="Default"/>
        <w:jc w:val="both"/>
        <w:rPr>
          <w:rFonts w:asciiTheme="minorHAnsi" w:hAnsiTheme="minorHAnsi" w:cstheme="minorBidi"/>
          <w:color w:val="auto"/>
          <w:sz w:val="22"/>
          <w:szCs w:val="22"/>
        </w:rPr>
      </w:pPr>
      <w:r w:rsidRPr="00C52C75">
        <w:rPr>
          <w:rFonts w:asciiTheme="minorHAnsi" w:hAnsiTheme="minorHAnsi" w:cstheme="minorBidi"/>
          <w:color w:val="auto"/>
          <w:sz w:val="22"/>
          <w:szCs w:val="22"/>
          <w:lang w:bidi="fr-FR"/>
        </w:rPr>
        <w:t xml:space="preserve">Cinq domaines stratégiques privilégiés permettant d’atteindre ces cibles de dépistage et d’améliorer la qualité des services de dépistage fournis sont présentés : i) la coordination et la gouvernance ; ii) les ressources humaines ; iii) l’assurance de la qualité ; iv) les questions relatives à la chaîne </w:t>
      </w:r>
      <w:r w:rsidRPr="00C52C75">
        <w:rPr>
          <w:rFonts w:asciiTheme="minorHAnsi" w:hAnsiTheme="minorHAnsi" w:cstheme="minorBidi"/>
          <w:color w:val="auto"/>
          <w:sz w:val="22"/>
          <w:szCs w:val="22"/>
          <w:lang w:bidi="fr-FR"/>
        </w:rPr>
        <w:lastRenderedPageBreak/>
        <w:t>d'approvisionnement ; et v) le suivi et l’évaluation. Des objectifs spécifiques liés à chaque thématique et les actions requises pour les réaliser d’ici à 2020 sont également définis.</w:t>
      </w:r>
    </w:p>
    <w:p w14:paraId="4E9D38F8" w14:textId="77777777" w:rsidR="007D0CCC" w:rsidRPr="007D0CCC" w:rsidRDefault="007D0CCC" w:rsidP="007D0CCC"/>
    <w:p w14:paraId="73AE1B06" w14:textId="5D11F50F" w:rsidR="00BD7DF3" w:rsidRDefault="009C4E00" w:rsidP="00BD7DF3">
      <w:pPr>
        <w:pStyle w:val="Titre2"/>
        <w:rPr>
          <w:rFonts w:eastAsia="BrandonText-Light"/>
        </w:rPr>
      </w:pPr>
      <w:bookmarkStart w:id="6" w:name="_Toc8400005"/>
      <w:r>
        <w:rPr>
          <w:rFonts w:eastAsia="BrandonText-Light"/>
          <w:lang w:bidi="fr-FR"/>
        </w:rPr>
        <w:t>1.3 Services différenciés de dépistage du VIH</w:t>
      </w:r>
      <w:bookmarkEnd w:id="6"/>
    </w:p>
    <w:p w14:paraId="4EC21F2C" w14:textId="77777777" w:rsidR="00D746ED" w:rsidRDefault="00D746ED" w:rsidP="00E222BD">
      <w:pPr>
        <w:autoSpaceDE w:val="0"/>
        <w:autoSpaceDN w:val="0"/>
        <w:adjustRightInd w:val="0"/>
        <w:spacing w:after="0" w:line="240" w:lineRule="auto"/>
        <w:jc w:val="both"/>
        <w:rPr>
          <w:rFonts w:ascii="Calibri" w:eastAsia="BrandonText-Light" w:hAnsi="Calibri" w:cs="Calibri"/>
        </w:rPr>
      </w:pPr>
    </w:p>
    <w:p w14:paraId="2ACB86EB" w14:textId="6D7BE3F0" w:rsidR="00BD7DF3" w:rsidRPr="00EB6B28" w:rsidRDefault="00BD7DF3" w:rsidP="00E222BD">
      <w:pPr>
        <w:autoSpaceDE w:val="0"/>
        <w:autoSpaceDN w:val="0"/>
        <w:adjustRightInd w:val="0"/>
        <w:spacing w:after="0" w:line="240" w:lineRule="auto"/>
        <w:jc w:val="both"/>
        <w:rPr>
          <w:rFonts w:ascii="Calibri" w:eastAsia="BrandonText-Light" w:hAnsi="Calibri" w:cs="Calibri"/>
        </w:rPr>
      </w:pPr>
      <w:r w:rsidRPr="00EB6B28">
        <w:rPr>
          <w:rFonts w:ascii="Calibri" w:eastAsia="BrandonText-Light" w:hAnsi="Calibri" w:cs="Calibri"/>
          <w:lang w:bidi="fr-FR"/>
        </w:rPr>
        <w:t xml:space="preserve">La prestation de services différenciés est une approche centrée sur le patient, laquelle simplifie et adapte les services liés au VIH dans la cascade de soins. Cette approche reflète les préférences et les attentes de différents groupes de PVVIH et réduit une charge inutilement supportée par le système de santé en minimisant le dépistage des individus présentant un faible risque d’être contaminés par le VIH </w:t>
      </w:r>
      <w:r w:rsidR="0083189F" w:rsidRPr="0083189F">
        <w:rPr>
          <w:rFonts w:ascii="Calibri" w:eastAsia="BrandonText-Light" w:hAnsi="Calibri" w:cs="Calibri"/>
          <w:highlight w:val="yellow"/>
          <w:lang w:bidi="fr-FR"/>
        </w:rPr>
        <w:t>[R]</w:t>
      </w:r>
      <w:r w:rsidRPr="00EB6B28">
        <w:rPr>
          <w:rFonts w:ascii="Calibri" w:eastAsia="BrandonText-Light" w:hAnsi="Calibri" w:cs="Calibri"/>
          <w:lang w:bidi="fr-FR"/>
        </w:rPr>
        <w:t>.</w:t>
      </w:r>
    </w:p>
    <w:p w14:paraId="5D039E9E" w14:textId="77777777" w:rsidR="00BD7DF3" w:rsidRPr="00EB6B28" w:rsidRDefault="00BD7DF3" w:rsidP="00E222BD">
      <w:pPr>
        <w:autoSpaceDE w:val="0"/>
        <w:autoSpaceDN w:val="0"/>
        <w:adjustRightInd w:val="0"/>
        <w:spacing w:after="0" w:line="240" w:lineRule="auto"/>
        <w:jc w:val="both"/>
        <w:rPr>
          <w:rFonts w:ascii="Calibri" w:eastAsia="BrandonText-Light" w:hAnsi="Calibri" w:cs="Calibri"/>
        </w:rPr>
      </w:pPr>
    </w:p>
    <w:p w14:paraId="7153DDEE" w14:textId="2D3FDB0F" w:rsidR="004361B2" w:rsidRPr="00EB6B28" w:rsidRDefault="00BD7DF3" w:rsidP="008836AA">
      <w:pPr>
        <w:autoSpaceDE w:val="0"/>
        <w:autoSpaceDN w:val="0"/>
        <w:adjustRightInd w:val="0"/>
        <w:spacing w:after="0" w:line="240" w:lineRule="auto"/>
        <w:jc w:val="both"/>
        <w:rPr>
          <w:rFonts w:ascii="Calibri" w:hAnsi="Calibri" w:cs="Calibri"/>
        </w:rPr>
      </w:pPr>
      <w:r w:rsidRPr="00EB6B28">
        <w:rPr>
          <w:rFonts w:ascii="Calibri" w:eastAsia="BrandonText-Light" w:hAnsi="Calibri" w:cs="Calibri"/>
          <w:lang w:bidi="fr-FR"/>
        </w:rPr>
        <w:t>Les besoins des patients constituent l’élément central de l’adaptation de la prestation de services. Dans le contexte du dépistage du VIH, l’objectif est donc de privilégier les stratégies de dépistage les plus susceptibles d’atteindre les PVVIH n’ayant pas encore connaissance de leur statut, et de faciliter l’établissement de liens</w:t>
      </w:r>
      <w:r w:rsidRPr="00EB6B28">
        <w:rPr>
          <w:rFonts w:ascii="Calibri" w:eastAsia="BrandonText-Light" w:hAnsi="Calibri" w:cs="Calibri"/>
          <w:b/>
          <w:lang w:bidi="fr-FR"/>
        </w:rPr>
        <w:t xml:space="preserve"> </w:t>
      </w:r>
      <w:r w:rsidRPr="00EB6B28">
        <w:rPr>
          <w:rFonts w:ascii="Calibri" w:eastAsia="BrandonText-Light" w:hAnsi="Calibri" w:cs="Calibri"/>
          <w:lang w:bidi="fr-FR"/>
        </w:rPr>
        <w:t xml:space="preserve">avec les services de soins ou de prévention. Il est ainsi primordial de définir les populations spécifiques nécessitant des services de dépistage, leurs besoins cliniques et le contexte local (figure 1.1). </w:t>
      </w:r>
    </w:p>
    <w:p w14:paraId="57E5C1AE" w14:textId="6618E7B8" w:rsidR="008836AA" w:rsidRDefault="008836AA" w:rsidP="008836AA">
      <w:pPr>
        <w:spacing w:after="0" w:line="276" w:lineRule="auto"/>
        <w:rPr>
          <w:rFonts w:ascii="Calibri" w:hAnsi="Calibri" w:cs="Calibri"/>
        </w:rPr>
      </w:pPr>
    </w:p>
    <w:p w14:paraId="74524C08" w14:textId="6278555D" w:rsidR="00DF00F4" w:rsidRPr="00912C3E" w:rsidRDefault="008836AA" w:rsidP="001826F8">
      <w:pPr>
        <w:pStyle w:val="Titre4"/>
      </w:pPr>
      <w:r w:rsidRPr="00912C3E">
        <w:rPr>
          <w:lang w:bidi="fr-FR"/>
        </w:rPr>
        <w:t>Figure 1.1 : Les trois composantes du dépistage différencié du VIH</w:t>
      </w:r>
    </w:p>
    <w:p w14:paraId="71E466E5" w14:textId="6FFD824B" w:rsidR="008836AA" w:rsidRPr="00A73039" w:rsidRDefault="008836AA" w:rsidP="008836AA">
      <w:pPr>
        <w:spacing w:after="0" w:line="276" w:lineRule="auto"/>
        <w:rPr>
          <w:rFonts w:ascii="Calibri" w:hAnsi="Calibri" w:cs="Calibri"/>
        </w:rPr>
      </w:pPr>
    </w:p>
    <w:p w14:paraId="0272A8E9" w14:textId="5829E250" w:rsidR="002442CB" w:rsidRPr="00A73039" w:rsidRDefault="002442CB" w:rsidP="002442CB">
      <w:pPr>
        <w:spacing w:after="0" w:line="276" w:lineRule="auto"/>
        <w:jc w:val="both"/>
        <w:rPr>
          <w:rFonts w:ascii="Calibri" w:hAnsi="Calibri" w:cs="Calibri"/>
        </w:rPr>
      </w:pPr>
    </w:p>
    <w:p w14:paraId="5023D35B" w14:textId="59DBF0D3" w:rsidR="002442CB" w:rsidRDefault="005B41CD" w:rsidP="002442CB">
      <w:pPr>
        <w:spacing w:after="0" w:line="276" w:lineRule="auto"/>
        <w:jc w:val="both"/>
        <w:rPr>
          <w:rFonts w:ascii="Calibri" w:hAnsi="Calibri" w:cs="Calibri"/>
        </w:rPr>
      </w:pPr>
      <w:r w:rsidRPr="00DF00F4">
        <w:rPr>
          <w:rFonts w:ascii="Calibri" w:eastAsia="BrandonText-Light" w:hAnsi="Calibri" w:cs="Calibri"/>
          <w:noProof/>
          <w:lang w:bidi="fr-FR"/>
        </w:rPr>
        <mc:AlternateContent>
          <mc:Choice Requires="wps">
            <w:drawing>
              <wp:anchor distT="45720" distB="45720" distL="114300" distR="114300" simplePos="0" relativeHeight="251632128" behindDoc="0" locked="0" layoutInCell="1" allowOverlap="1" wp14:anchorId="5B6DFAE5" wp14:editId="22551C95">
                <wp:simplePos x="0" y="0"/>
                <wp:positionH relativeFrom="margin">
                  <wp:posOffset>3714750</wp:posOffset>
                </wp:positionH>
                <wp:positionV relativeFrom="paragraph">
                  <wp:posOffset>156210</wp:posOffset>
                </wp:positionV>
                <wp:extent cx="200660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404620"/>
                        </a:xfrm>
                        <a:prstGeom prst="rect">
                          <a:avLst/>
                        </a:prstGeom>
                        <a:solidFill>
                          <a:srgbClr val="FFFFFF"/>
                        </a:solidFill>
                        <a:ln w="9525">
                          <a:noFill/>
                          <a:miter lim="800000"/>
                          <a:headEnd/>
                          <a:tailEnd/>
                        </a:ln>
                      </wps:spPr>
                      <wps:txbx>
                        <w:txbxContent>
                          <w:p w14:paraId="1249C23F" w14:textId="2DF01AB4" w:rsidR="00A612E9" w:rsidRPr="00EB6B28" w:rsidRDefault="00A612E9" w:rsidP="00040B3B">
                            <w:pPr>
                              <w:autoSpaceDE w:val="0"/>
                              <w:autoSpaceDN w:val="0"/>
                              <w:adjustRightInd w:val="0"/>
                              <w:spacing w:after="0" w:line="240" w:lineRule="auto"/>
                              <w:jc w:val="both"/>
                              <w:rPr>
                                <w:rFonts w:ascii="Calibri" w:hAnsi="Calibri" w:cs="Calibri"/>
                              </w:rPr>
                            </w:pPr>
                            <w:r>
                              <w:rPr>
                                <w:rFonts w:ascii="Calibri" w:eastAsia="Calibri" w:hAnsi="Calibri" w:cs="Calibri"/>
                                <w:lang w:bidi="fr-FR"/>
                              </w:rPr>
                              <w:t>La section 3 offre une définition des populations spécifiques et des caractéristiques cliniques des PVVIH prises en compte pour la différenciation des services liés au VIH en Guinée conformément à ce cadre.</w:t>
                            </w:r>
                          </w:p>
                          <w:p w14:paraId="0405A69D" w14:textId="11DF3919" w:rsidR="00A612E9" w:rsidRDefault="00A612E9" w:rsidP="00040B3B">
                            <w:pPr>
                              <w:jc w:val="both"/>
                            </w:pPr>
                          </w:p>
                          <w:p w14:paraId="3B9E1FEA" w14:textId="5781AD0F" w:rsidR="00A612E9" w:rsidRDefault="00A612E9" w:rsidP="00040B3B">
                            <w:pPr>
                              <w:jc w:val="both"/>
                            </w:pPr>
                            <w:r>
                              <w:rPr>
                                <w:lang w:bidi="fr-FR"/>
                              </w:rPr>
                              <w:t xml:space="preserve">Contexte : En Guinée, le taux de prévalence du VIH chez les adultes est inférieur à 5 %. Les procédures et les méthodes de dépistage du VIH doivent s’aligner sur les recommandations de l’OMS relatives au dépistage dans les pays dotés d’une faible prévalence du VIH.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DFAE5" id="_x0000_t202" coordsize="21600,21600" o:spt="202" path="m,l,21600r21600,l21600,xe">
                <v:stroke joinstyle="miter"/>
                <v:path gradientshapeok="t" o:connecttype="rect"/>
              </v:shapetype>
              <v:shape id="Text Box 2" o:spid="_x0000_s1026" type="#_x0000_t202" style="position:absolute;left:0;text-align:left;margin-left:292.5pt;margin-top:12.3pt;width:158pt;height:110.6pt;z-index:25163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xuHw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" stroked="f">
                <v:textbox style="mso-fit-shape-to-text:t">
                  <w:txbxContent>
                    <w:p w14:paraId="1249C23F" w14:textId="2DF01AB4" w:rsidR="00A612E9" w:rsidRPr="00EB6B28" w:rsidRDefault="00A612E9" w:rsidP="00040B3B">
                      <w:pPr>
                        <w:autoSpaceDE w:val="0"/>
                        <w:autoSpaceDN w:val="0"/>
                        <w:adjustRightInd w:val="0"/>
                        <w:spacing w:after="0" w:line="240" w:lineRule="auto"/>
                        <w:jc w:val="both"/>
                        <w:rPr>
                          <w:rFonts w:ascii="Calibri" w:hAnsi="Calibri" w:cs="Calibri"/>
                        </w:rPr>
                      </w:pPr>
                      <w:r>
                        <w:rPr>
                          <w:rFonts w:ascii="Calibri" w:eastAsia="Calibri" w:hAnsi="Calibri" w:cs="Calibri"/>
                          <w:lang w:bidi="fr-FR"/>
                        </w:rPr>
                        <w:t>La section 3 offre une définition des populations spécifiques et des caractéristiques cliniques des PVVIH prises en compte pour la différenciation des services liés au VIH en Guinée conformément à ce cadre.</w:t>
                      </w:r>
                    </w:p>
                    <w:p w14:paraId="0405A69D" w14:textId="11DF3919" w:rsidR="00A612E9" w:rsidRDefault="00A612E9" w:rsidP="00040B3B">
                      <w:pPr>
                        <w:jc w:val="both"/>
                      </w:pPr>
                    </w:p>
                    <w:p w14:paraId="3B9E1FEA" w14:textId="5781AD0F" w:rsidR="00A612E9" w:rsidRDefault="00A612E9" w:rsidP="00040B3B">
                      <w:pPr>
                        <w:jc w:val="both"/>
                      </w:pPr>
                      <w:r>
                        <w:rPr>
                          <w:lang w:bidi="fr-FR"/>
                        </w:rPr>
                        <w:t xml:space="preserve">Contexte : En Guinée, le taux de prévalence du VIH chez les adultes est inférieur à 5 %. Les procédures et les méthodes de dépistage du VIH doivent s’aligner sur les recommandations de l’OMS relatives au dépistage dans les pays dotés d’une faible prévalence du VIH. </w:t>
                      </w:r>
                    </w:p>
                  </w:txbxContent>
                </v:textbox>
                <w10:wrap type="square" anchorx="margin"/>
              </v:shape>
            </w:pict>
          </mc:Fallback>
        </mc:AlternateContent>
      </w:r>
      <w:r w:rsidR="00E05B4A">
        <w:rPr>
          <w:noProof/>
          <w:lang w:bidi="fr-FR"/>
        </w:rPr>
        <w:drawing>
          <wp:inline distT="0" distB="0" distL="0" distR="0" wp14:anchorId="212BDEEC" wp14:editId="4B19D2F1">
            <wp:extent cx="3276600" cy="31488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3572" cy="3155518"/>
                    </a:xfrm>
                    <a:prstGeom prst="rect">
                      <a:avLst/>
                    </a:prstGeom>
                  </pic:spPr>
                </pic:pic>
              </a:graphicData>
            </a:graphic>
          </wp:inline>
        </w:drawing>
      </w:r>
    </w:p>
    <w:p w14:paraId="0DA37423" w14:textId="44DDB9E3" w:rsidR="00993CB2" w:rsidRDefault="00993CB2" w:rsidP="005B630D">
      <w:pPr>
        <w:spacing w:after="0"/>
        <w:jc w:val="both"/>
        <w:rPr>
          <w:rFonts w:ascii="Calibri" w:eastAsia="BrandonText-Light" w:hAnsi="Calibri" w:cs="Calibri"/>
        </w:rPr>
      </w:pPr>
    </w:p>
    <w:p w14:paraId="46847182" w14:textId="77777777" w:rsidR="005B41CD" w:rsidRDefault="005B41CD" w:rsidP="005B630D">
      <w:pPr>
        <w:spacing w:after="0"/>
        <w:jc w:val="both"/>
        <w:rPr>
          <w:rFonts w:ascii="Calibri" w:eastAsia="BrandonText-Light" w:hAnsi="Calibri" w:cs="Calibri"/>
        </w:rPr>
      </w:pPr>
    </w:p>
    <w:p w14:paraId="3089093D" w14:textId="77777777" w:rsidR="00BE262E" w:rsidRDefault="00BE262E" w:rsidP="005B630D">
      <w:pPr>
        <w:spacing w:after="0"/>
        <w:jc w:val="both"/>
        <w:rPr>
          <w:rFonts w:ascii="Calibri" w:eastAsia="BrandonText-Light" w:hAnsi="Calibri" w:cs="Calibri"/>
          <w:lang w:bidi="fr-FR"/>
        </w:rPr>
      </w:pPr>
    </w:p>
    <w:p w14:paraId="2F3B3F61" w14:textId="77777777" w:rsidR="00BE262E" w:rsidRDefault="00BE262E" w:rsidP="005B630D">
      <w:pPr>
        <w:spacing w:after="0"/>
        <w:jc w:val="both"/>
        <w:rPr>
          <w:rFonts w:ascii="Calibri" w:eastAsia="BrandonText-Light" w:hAnsi="Calibri" w:cs="Calibri"/>
          <w:lang w:bidi="fr-FR"/>
        </w:rPr>
      </w:pPr>
    </w:p>
    <w:p w14:paraId="67CBBD27" w14:textId="1434234F" w:rsidR="00CF2F36" w:rsidRDefault="00937DB5" w:rsidP="005B630D">
      <w:pPr>
        <w:spacing w:after="0"/>
        <w:jc w:val="both"/>
        <w:rPr>
          <w:rFonts w:ascii="Calibri" w:eastAsia="BrandonText-Light" w:hAnsi="Calibri" w:cs="Calibri"/>
        </w:rPr>
      </w:pPr>
      <w:r>
        <w:rPr>
          <w:rFonts w:ascii="Calibri" w:eastAsia="BrandonText-Light" w:hAnsi="Calibri" w:cs="Calibri"/>
          <w:lang w:bidi="fr-FR"/>
        </w:rPr>
        <w:t xml:space="preserve">Il convient de déterminer la combinaison appropriée des stratégies de dépistage afin de répondre aux besoins en la matière des différents sous-groupes de PVVIH. Il est essentiel d’effectuer des analyses afin de savoir si des occasions d’optimiser la couverture des différentes approches de dépistage du VIH chez les populations cibles ont été manquées. Afin de garantir cette optimisation, il est utile de se pencher sur les questions suivantes pour chacune de ces approches : </w:t>
      </w:r>
    </w:p>
    <w:p w14:paraId="663360FE" w14:textId="77777777" w:rsidR="00CF2F36" w:rsidRDefault="00CF2F36" w:rsidP="005B630D">
      <w:pPr>
        <w:spacing w:after="0"/>
        <w:jc w:val="both"/>
        <w:rPr>
          <w:rFonts w:ascii="Calibri" w:eastAsia="BrandonText-Light" w:hAnsi="Calibri" w:cs="Calibri"/>
        </w:rPr>
      </w:pPr>
    </w:p>
    <w:p w14:paraId="7D8E45B9" w14:textId="77777777" w:rsidR="00CF2F36" w:rsidRPr="00CE1A7C" w:rsidRDefault="00B04506" w:rsidP="00CE1A7C">
      <w:pPr>
        <w:spacing w:after="0" w:line="360" w:lineRule="auto"/>
        <w:ind w:left="1440"/>
        <w:jc w:val="both"/>
        <w:rPr>
          <w:rFonts w:ascii="Calibri" w:eastAsia="BrandonText-Light" w:hAnsi="Calibri" w:cs="Calibri"/>
          <w:sz w:val="26"/>
          <w:szCs w:val="26"/>
        </w:rPr>
      </w:pPr>
      <w:r w:rsidRPr="00CE1A7C">
        <w:rPr>
          <w:rFonts w:ascii="Calibri" w:eastAsia="BrandonText-Light" w:hAnsi="Calibri" w:cs="Calibri"/>
          <w:b/>
          <w:sz w:val="26"/>
          <w:szCs w:val="26"/>
          <w:lang w:bidi="fr-FR"/>
        </w:rPr>
        <w:lastRenderedPageBreak/>
        <w:t xml:space="preserve">Quand </w:t>
      </w:r>
      <w:r w:rsidRPr="00CE1A7C">
        <w:rPr>
          <w:rFonts w:ascii="Calibri" w:eastAsia="BrandonText-Light" w:hAnsi="Calibri" w:cs="Calibri"/>
          <w:sz w:val="26"/>
          <w:szCs w:val="26"/>
          <w:lang w:bidi="fr-FR"/>
        </w:rPr>
        <w:t xml:space="preserve">le dépistage est-il proposé ? </w:t>
      </w:r>
    </w:p>
    <w:p w14:paraId="5C759EC7" w14:textId="77777777" w:rsidR="00CF2F36" w:rsidRPr="00CE1A7C" w:rsidRDefault="00B04506" w:rsidP="00CE1A7C">
      <w:pPr>
        <w:spacing w:after="0" w:line="360" w:lineRule="auto"/>
        <w:ind w:left="1440"/>
        <w:jc w:val="both"/>
        <w:rPr>
          <w:rFonts w:ascii="Calibri" w:eastAsia="BrandonText-Light" w:hAnsi="Calibri" w:cs="Calibri"/>
          <w:b/>
          <w:sz w:val="26"/>
          <w:szCs w:val="26"/>
        </w:rPr>
      </w:pPr>
      <w:r w:rsidRPr="00CE1A7C">
        <w:rPr>
          <w:rFonts w:ascii="Calibri" w:eastAsia="BrandonText-Light" w:hAnsi="Calibri" w:cs="Calibri"/>
          <w:b/>
          <w:sz w:val="26"/>
          <w:szCs w:val="26"/>
          <w:lang w:bidi="fr-FR"/>
        </w:rPr>
        <w:t xml:space="preserve">Où </w:t>
      </w:r>
      <w:r w:rsidRPr="00CE1A7C">
        <w:rPr>
          <w:rFonts w:ascii="Calibri" w:eastAsia="BrandonText-Light" w:hAnsi="Calibri" w:cs="Calibri"/>
          <w:sz w:val="26"/>
          <w:szCs w:val="26"/>
          <w:lang w:bidi="fr-FR"/>
        </w:rPr>
        <w:t xml:space="preserve">le dépistage est-il proposé ? </w:t>
      </w:r>
    </w:p>
    <w:p w14:paraId="3AC9A51C" w14:textId="77777777" w:rsidR="00CF2F36" w:rsidRPr="00CE1A7C" w:rsidRDefault="00B04506" w:rsidP="00CE1A7C">
      <w:pPr>
        <w:spacing w:after="0" w:line="360" w:lineRule="auto"/>
        <w:ind w:left="1440"/>
        <w:jc w:val="both"/>
        <w:rPr>
          <w:rFonts w:ascii="Calibri" w:eastAsia="BrandonText-Light" w:hAnsi="Calibri" w:cs="Calibri"/>
          <w:sz w:val="26"/>
          <w:szCs w:val="26"/>
        </w:rPr>
      </w:pPr>
      <w:r w:rsidRPr="00CE1A7C">
        <w:rPr>
          <w:rFonts w:ascii="Calibri" w:eastAsia="BrandonText-Light" w:hAnsi="Calibri" w:cs="Calibri"/>
          <w:b/>
          <w:sz w:val="26"/>
          <w:szCs w:val="26"/>
          <w:lang w:bidi="fr-FR"/>
        </w:rPr>
        <w:t xml:space="preserve">Qui </w:t>
      </w:r>
      <w:r w:rsidRPr="00CE1A7C">
        <w:rPr>
          <w:rFonts w:ascii="Calibri" w:eastAsia="BrandonText-Light" w:hAnsi="Calibri" w:cs="Calibri"/>
          <w:sz w:val="26"/>
          <w:szCs w:val="26"/>
          <w:lang w:bidi="fr-FR"/>
        </w:rPr>
        <w:t xml:space="preserve">propose le dépistage ? </w:t>
      </w:r>
    </w:p>
    <w:p w14:paraId="0D9EBB24" w14:textId="3C08238D" w:rsidR="00937DB5" w:rsidRPr="00CE1A7C" w:rsidRDefault="00B04506" w:rsidP="00CE1A7C">
      <w:pPr>
        <w:spacing w:after="0" w:line="360" w:lineRule="auto"/>
        <w:ind w:left="1440"/>
        <w:jc w:val="both"/>
        <w:rPr>
          <w:rFonts w:ascii="Calibri" w:eastAsia="BrandonText-Light" w:hAnsi="Calibri" w:cs="Calibri"/>
          <w:sz w:val="26"/>
          <w:szCs w:val="26"/>
        </w:rPr>
      </w:pPr>
      <w:r w:rsidRPr="00CE1A7C">
        <w:rPr>
          <w:rFonts w:ascii="Calibri" w:eastAsia="BrandonText-Light" w:hAnsi="Calibri" w:cs="Calibri"/>
          <w:b/>
          <w:sz w:val="26"/>
          <w:szCs w:val="26"/>
          <w:lang w:bidi="fr-FR"/>
        </w:rPr>
        <w:t xml:space="preserve">Que </w:t>
      </w:r>
      <w:r w:rsidRPr="00CE1A7C">
        <w:rPr>
          <w:rFonts w:ascii="Calibri" w:eastAsia="BrandonText-Light" w:hAnsi="Calibri" w:cs="Calibri"/>
          <w:sz w:val="26"/>
          <w:szCs w:val="26"/>
          <w:lang w:bidi="fr-FR"/>
        </w:rPr>
        <w:t xml:space="preserve">comprend le service ? </w:t>
      </w:r>
    </w:p>
    <w:p w14:paraId="70A39867" w14:textId="173E6C64" w:rsidR="00BD7DF3" w:rsidRPr="00EB500A" w:rsidRDefault="00BD7DF3" w:rsidP="00BD7DF3">
      <w:pPr>
        <w:spacing w:after="0"/>
        <w:jc w:val="both"/>
        <w:rPr>
          <w:rFonts w:ascii="Calibri" w:hAnsi="Calibri" w:cs="Calibri"/>
          <w:sz w:val="21"/>
          <w:szCs w:val="21"/>
        </w:rPr>
      </w:pPr>
    </w:p>
    <w:p w14:paraId="4C4B89DD" w14:textId="4443A6F5" w:rsidR="00BD7DF3" w:rsidRPr="00FA1812" w:rsidRDefault="00983823" w:rsidP="007D18F2">
      <w:pPr>
        <w:spacing w:after="0"/>
        <w:jc w:val="both"/>
        <w:rPr>
          <w:rFonts w:ascii="Calibri" w:eastAsia="Gotham Narrow Book" w:hAnsi="Calibri" w:cs="Calibri"/>
        </w:rPr>
      </w:pPr>
      <w:r w:rsidRPr="005C3EE4">
        <w:rPr>
          <w:rFonts w:ascii="Calibri" w:eastAsia="Calibri" w:hAnsi="Calibri" w:cs="Calibri"/>
          <w:lang w:bidi="fr-FR"/>
        </w:rPr>
        <w:t>Les stratégies de dépistage du VIH doivent également examiner les actions de mobilisation qui peuvent encourager les personnes vivant avec le VIH à effectuer un test de dépistage. Enfin, il est important d’avoir conscience du fait que les approches ciblées en matière de dépistage du VIH pour identifier les PVVIH doivent en outre intégrer des stratégies visant à faciliter l’établissement de liens avec le traitement. L’échec de la mise en lien des PVVIH ayant reçu un diagnostic avec le traitement compromet les avantages qu’offre le dépistage du VIH pour les individus et la santé publique, et génère des insuffisances dans les systèmes de santé. Le tableau 1.1 récapitule les éléments nécessaires à l’élaboration d’une stratégie différenciée de dépistage du VIH.</w:t>
      </w:r>
    </w:p>
    <w:p w14:paraId="38C02E62" w14:textId="42AB6358" w:rsidR="00A22A1E" w:rsidRPr="00FA1812" w:rsidRDefault="00A22A1E" w:rsidP="007D18F2">
      <w:pPr>
        <w:spacing w:after="0"/>
        <w:jc w:val="both"/>
        <w:rPr>
          <w:rFonts w:ascii="Calibri" w:eastAsia="Gotham Narrow Book" w:hAnsi="Calibri" w:cs="Calibri"/>
        </w:rPr>
      </w:pPr>
    </w:p>
    <w:p w14:paraId="0210C751" w14:textId="7C26B28E" w:rsidR="001D11B6" w:rsidRPr="00FA1812" w:rsidRDefault="001D11B6" w:rsidP="007D18F2">
      <w:pPr>
        <w:spacing w:after="0"/>
        <w:jc w:val="both"/>
        <w:rPr>
          <w:rFonts w:ascii="Calibri" w:eastAsia="Gotham Narrow Book" w:hAnsi="Calibri" w:cs="Calibri"/>
        </w:rPr>
      </w:pPr>
    </w:p>
    <w:p w14:paraId="3F1597F1" w14:textId="3BA3FBFB" w:rsidR="00A22A1E" w:rsidRPr="006A013C" w:rsidRDefault="00A22A1E" w:rsidP="001826F8">
      <w:pPr>
        <w:pStyle w:val="Titre4"/>
      </w:pPr>
      <w:r>
        <w:rPr>
          <w:rFonts w:eastAsia="Gotham Narrow Book"/>
          <w:lang w:bidi="fr-FR"/>
        </w:rPr>
        <w:t xml:space="preserve">Tableau 1.1 : Éléments et composantes d’une stratégie différenciée de dépistage du VIH </w:t>
      </w:r>
    </w:p>
    <w:p w14:paraId="6A482D5D" w14:textId="10B9947B" w:rsidR="00BD7DF3" w:rsidRPr="00EB500A" w:rsidRDefault="00BD7DF3" w:rsidP="00BD7DF3">
      <w:pPr>
        <w:rPr>
          <w:rFonts w:ascii="Calibri" w:hAnsi="Calibri" w:cs="Calibri"/>
          <w:sz w:val="21"/>
          <w:szCs w:val="21"/>
        </w:rPr>
      </w:pPr>
    </w:p>
    <w:p w14:paraId="4260C014" w14:textId="72454CF2" w:rsidR="000C5134" w:rsidRDefault="00302EB1" w:rsidP="00A85473">
      <w:pPr>
        <w:pStyle w:val="Default"/>
        <w:rPr>
          <w:sz w:val="21"/>
          <w:szCs w:val="21"/>
        </w:rPr>
      </w:pPr>
      <w:r>
        <w:rPr>
          <w:noProof/>
          <w:lang w:bidi="fr-FR"/>
        </w:rPr>
        <w:drawing>
          <wp:inline distT="0" distB="0" distL="0" distR="0" wp14:anchorId="2D5E9A21" wp14:editId="5E485679">
            <wp:extent cx="5731510" cy="32594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59455"/>
                    </a:xfrm>
                    <a:prstGeom prst="rect">
                      <a:avLst/>
                    </a:prstGeom>
                  </pic:spPr>
                </pic:pic>
              </a:graphicData>
            </a:graphic>
          </wp:inline>
        </w:drawing>
      </w:r>
    </w:p>
    <w:p w14:paraId="79BA5CDE" w14:textId="6BF20C7F" w:rsidR="00022143" w:rsidRDefault="00022143" w:rsidP="00BD7DF3">
      <w:pPr>
        <w:rPr>
          <w:rFonts w:ascii="Calibri" w:hAnsi="Calibri" w:cs="Calibri"/>
          <w:sz w:val="21"/>
          <w:szCs w:val="21"/>
        </w:rPr>
      </w:pPr>
    </w:p>
    <w:p w14:paraId="384C206B" w14:textId="523F9C11" w:rsidR="005D6D00" w:rsidRDefault="00A46E6C" w:rsidP="00BE262E">
      <w:pPr>
        <w:jc w:val="both"/>
        <w:rPr>
          <w:rFonts w:ascii="Calibri" w:eastAsia="Calibri" w:hAnsi="Calibri" w:cs="Calibri"/>
          <w:lang w:bidi="fr-FR"/>
        </w:rPr>
      </w:pPr>
      <w:r>
        <w:rPr>
          <w:rFonts w:ascii="Calibri" w:eastAsia="Calibri" w:hAnsi="Calibri" w:cs="Calibri"/>
          <w:lang w:bidi="fr-FR"/>
        </w:rPr>
        <w:t>La stratégie différenciée de dépistage du VIH en Guinée est présentée à l’aide de ces briques afin de distinguer les composantes clés de chaque approche de dépistage en fonction des populations spécifiques ciblées.</w:t>
      </w:r>
    </w:p>
    <w:p w14:paraId="6D531C34" w14:textId="77777777" w:rsidR="005D6D00" w:rsidRDefault="005D6D00">
      <w:pPr>
        <w:rPr>
          <w:rFonts w:ascii="Calibri" w:eastAsia="Calibri" w:hAnsi="Calibri" w:cs="Calibri"/>
          <w:lang w:bidi="fr-FR"/>
        </w:rPr>
      </w:pPr>
      <w:r>
        <w:rPr>
          <w:rFonts w:ascii="Calibri" w:eastAsia="Calibri" w:hAnsi="Calibri" w:cs="Calibri"/>
          <w:lang w:bidi="fr-FR"/>
        </w:rPr>
        <w:br w:type="page"/>
      </w:r>
    </w:p>
    <w:p w14:paraId="0CFB7AE6" w14:textId="092E59B4" w:rsidR="00537E2F" w:rsidRPr="00553EC0" w:rsidRDefault="00F11325" w:rsidP="00553EC0">
      <w:pPr>
        <w:pStyle w:val="Titre1"/>
      </w:pPr>
      <w:bookmarkStart w:id="7" w:name="_Toc8400006"/>
      <w:r w:rsidRPr="00553EC0">
        <w:rPr>
          <w:lang w:bidi="fr-FR"/>
        </w:rPr>
        <w:lastRenderedPageBreak/>
        <w:t>2. Approche</w:t>
      </w:r>
      <w:bookmarkEnd w:id="7"/>
      <w:r w:rsidRPr="00553EC0">
        <w:rPr>
          <w:lang w:bidi="fr-FR"/>
        </w:rPr>
        <w:t xml:space="preserve"> </w:t>
      </w:r>
    </w:p>
    <w:p w14:paraId="26A6838D" w14:textId="7C60670B" w:rsidR="00CF162E" w:rsidRDefault="00CF162E" w:rsidP="00CF162E">
      <w:pPr>
        <w:pStyle w:val="Default"/>
        <w:rPr>
          <w:sz w:val="21"/>
          <w:szCs w:val="21"/>
        </w:rPr>
      </w:pPr>
    </w:p>
    <w:p w14:paraId="1DDF0728" w14:textId="67131B2F" w:rsidR="00932D48" w:rsidRPr="0094173A" w:rsidRDefault="00106AA8" w:rsidP="0094173A">
      <w:pPr>
        <w:pStyle w:val="Default"/>
        <w:jc w:val="both"/>
        <w:rPr>
          <w:sz w:val="22"/>
          <w:szCs w:val="22"/>
        </w:rPr>
      </w:pPr>
      <w:r w:rsidRPr="0094173A">
        <w:rPr>
          <w:sz w:val="22"/>
          <w:szCs w:val="22"/>
          <w:lang w:bidi="fr-FR"/>
        </w:rPr>
        <w:t>Le processus d’élaboration de la stratégie différenciée de dépistage du VIH et de son plan de mise en œuvre pour la période 2019-2022 s’est déroulé d’octobre 2018 à mars 2019. Les documents ont été validés lors d’un atelier national organisé en avril 2019, auquel ont participé des représentants du ministère de la Santé et du Programme national de lutte contre le sida et les hépatites, ainsi que des acteurs clés du dépistage du VIH en Guinée.</w:t>
      </w:r>
    </w:p>
    <w:p w14:paraId="5DCC48A3" w14:textId="276BCC16" w:rsidR="000B0DA6" w:rsidRDefault="000B0DA6" w:rsidP="00A043D3">
      <w:pPr>
        <w:autoSpaceDE w:val="0"/>
        <w:autoSpaceDN w:val="0"/>
        <w:adjustRightInd w:val="0"/>
        <w:spacing w:after="0" w:line="240" w:lineRule="auto"/>
        <w:rPr>
          <w:rFonts w:ascii="MyriadPro-Bold" w:hAnsi="MyriadPro-Bold" w:cs="MyriadPro-Bold"/>
          <w:b/>
          <w:bCs/>
          <w:color w:val="000000"/>
          <w:sz w:val="24"/>
          <w:szCs w:val="24"/>
        </w:rPr>
      </w:pPr>
    </w:p>
    <w:p w14:paraId="41746325" w14:textId="4F79A1D9" w:rsidR="00932D48" w:rsidRPr="0004204D" w:rsidRDefault="00376A08" w:rsidP="0004204D">
      <w:pPr>
        <w:pStyle w:val="Titre2"/>
      </w:pPr>
      <w:bookmarkStart w:id="8" w:name="_Toc8400007"/>
      <w:r>
        <w:rPr>
          <w:lang w:bidi="fr-FR"/>
        </w:rPr>
        <w:t>2.1 Cadre</w:t>
      </w:r>
      <w:bookmarkEnd w:id="8"/>
      <w:r>
        <w:rPr>
          <w:lang w:bidi="fr-FR"/>
        </w:rPr>
        <w:t xml:space="preserve"> </w:t>
      </w:r>
    </w:p>
    <w:p w14:paraId="6D811DB7" w14:textId="23C127DF" w:rsidR="00932D48" w:rsidRPr="008D3DAF" w:rsidRDefault="00BD25ED" w:rsidP="00107E26">
      <w:pPr>
        <w:autoSpaceDE w:val="0"/>
        <w:autoSpaceDN w:val="0"/>
        <w:adjustRightInd w:val="0"/>
        <w:spacing w:after="0" w:line="240" w:lineRule="auto"/>
        <w:jc w:val="both"/>
        <w:rPr>
          <w:rFonts w:ascii="MyriadPro-Bold" w:hAnsi="MyriadPro-Bold" w:cs="MyriadPro-Bold"/>
          <w:b/>
          <w:bCs/>
          <w:color w:val="000000"/>
        </w:rPr>
      </w:pPr>
      <w:r w:rsidRPr="008D3DAF">
        <w:rPr>
          <w:lang w:bidi="fr-FR"/>
        </w:rPr>
        <w:t xml:space="preserve">Le processus d’élaboration de la stratégie différenciée de dépistage du VIH a été guidé par les recommandations de la Société internationale du sida </w:t>
      </w:r>
      <w:r w:rsidR="00F41EB3" w:rsidRPr="001B3808">
        <w:rPr>
          <w:highlight w:val="yellow"/>
          <w:lang w:bidi="fr-FR"/>
        </w:rPr>
        <w:t>[R]</w:t>
      </w:r>
      <w:r w:rsidRPr="008D3DAF">
        <w:rPr>
          <w:lang w:bidi="fr-FR"/>
        </w:rPr>
        <w:t xml:space="preserve">, comportant six étapes décrites dans la figure 2.1 ci-dessous. </w:t>
      </w:r>
    </w:p>
    <w:p w14:paraId="6255E129" w14:textId="27AE72AF" w:rsidR="000D284B" w:rsidRDefault="000D284B" w:rsidP="00EA6AB8">
      <w:pPr>
        <w:pStyle w:val="Titre2"/>
      </w:pPr>
    </w:p>
    <w:p w14:paraId="6A726390" w14:textId="57409C61" w:rsidR="0068594B" w:rsidRPr="0068594B" w:rsidRDefault="0068594B" w:rsidP="00D17D2D">
      <w:pPr>
        <w:pStyle w:val="Titre4"/>
      </w:pPr>
      <w:r>
        <w:rPr>
          <w:lang w:bidi="fr-FR"/>
        </w:rPr>
        <w:t xml:space="preserve">Figure 2.1 : Cadre d’élaboration d’une stratégie différenciée de dépistage du VIH </w:t>
      </w:r>
    </w:p>
    <w:p w14:paraId="22E2BB03" w14:textId="7FF1AC5D" w:rsidR="005C7B05" w:rsidRDefault="00674B36" w:rsidP="00E3024D">
      <w:pPr>
        <w:jc w:val="center"/>
      </w:pPr>
      <w:r>
        <w:rPr>
          <w:noProof/>
          <w:lang w:bidi="fr-FR"/>
        </w:rPr>
        <w:drawing>
          <wp:inline distT="0" distB="0" distL="0" distR="0" wp14:anchorId="6F00D048" wp14:editId="19AB1390">
            <wp:extent cx="3965312" cy="425394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5312" cy="4253948"/>
                    </a:xfrm>
                    <a:prstGeom prst="rect">
                      <a:avLst/>
                    </a:prstGeom>
                  </pic:spPr>
                </pic:pic>
              </a:graphicData>
            </a:graphic>
          </wp:inline>
        </w:drawing>
      </w:r>
    </w:p>
    <w:p w14:paraId="6D1F0B0E" w14:textId="57BA0981" w:rsidR="00E353F1" w:rsidRDefault="00E353F1" w:rsidP="00992DE7"/>
    <w:p w14:paraId="3CBFE5F1" w14:textId="04B857DE" w:rsidR="00994EB2" w:rsidRDefault="00376A08" w:rsidP="0068594B">
      <w:pPr>
        <w:pStyle w:val="Titre2"/>
      </w:pPr>
      <w:bookmarkStart w:id="9" w:name="_Toc8400008"/>
      <w:r>
        <w:rPr>
          <w:lang w:bidi="fr-FR"/>
        </w:rPr>
        <w:t>2.2 Analyse de la situation</w:t>
      </w:r>
      <w:bookmarkEnd w:id="9"/>
    </w:p>
    <w:p w14:paraId="678BDA24" w14:textId="77777777" w:rsidR="00992DE7" w:rsidRPr="00992DE7" w:rsidRDefault="00992DE7" w:rsidP="00992DE7">
      <w:pPr>
        <w:jc w:val="both"/>
        <w:rPr>
          <w:sz w:val="4"/>
          <w:szCs w:val="4"/>
        </w:rPr>
      </w:pPr>
    </w:p>
    <w:p w14:paraId="641A5FB6" w14:textId="05033819" w:rsidR="00992DE7" w:rsidRDefault="00992DE7" w:rsidP="00992DE7">
      <w:pPr>
        <w:jc w:val="both"/>
      </w:pPr>
      <w:r>
        <w:rPr>
          <w:lang w:bidi="fr-FR"/>
        </w:rPr>
        <w:t xml:space="preserve">L’analyse de la situation est centrée sur quatre principales sources de données et d’informations (figure 2.2), et vise à i) définir les caractéristiques de la population dont les besoins en matière de dépistage du VIH ne sont pas satisfaits ; ii) repérer les stratégies de dépistage efficaces ; iii) identifier les lacunes existant sur le plan politique ; et iv) distinguer les difficultés empêchant une couverture optimale des différentes stratégies de dépistage. </w:t>
      </w:r>
    </w:p>
    <w:p w14:paraId="3E180F35" w14:textId="6526772A" w:rsidR="00E353F1" w:rsidRPr="0068594B" w:rsidRDefault="00E353F1" w:rsidP="00E353F1">
      <w:pPr>
        <w:pStyle w:val="Titre4"/>
      </w:pPr>
      <w:r>
        <w:rPr>
          <w:lang w:bidi="fr-FR"/>
        </w:rPr>
        <w:lastRenderedPageBreak/>
        <w:t xml:space="preserve">Figure 2.1 : Cadre d’élaboration d’une stratégie différenciée de dépistage du VIH </w:t>
      </w:r>
    </w:p>
    <w:p w14:paraId="3C6CBCFB" w14:textId="7EA710DC" w:rsidR="00E353F1" w:rsidRDefault="00E353F1" w:rsidP="00994EB2"/>
    <w:p w14:paraId="34999311" w14:textId="24BF6157" w:rsidR="00994EB2" w:rsidRPr="00994EB2" w:rsidRDefault="00994EB2" w:rsidP="00994EB2">
      <w:r w:rsidRPr="00994EB2">
        <w:rPr>
          <w:noProof/>
          <w:lang w:bidi="fr-FR"/>
        </w:rPr>
        <w:drawing>
          <wp:inline distT="0" distB="0" distL="0" distR="0" wp14:anchorId="45AAEB7A" wp14:editId="4EF4480A">
            <wp:extent cx="3665015" cy="2051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7369" cy="2063560"/>
                    </a:xfrm>
                    <a:prstGeom prst="rect">
                      <a:avLst/>
                    </a:prstGeom>
                    <a:noFill/>
                    <a:ln>
                      <a:noFill/>
                    </a:ln>
                  </pic:spPr>
                </pic:pic>
              </a:graphicData>
            </a:graphic>
          </wp:inline>
        </w:drawing>
      </w:r>
    </w:p>
    <w:p w14:paraId="45D37FF6" w14:textId="77777777" w:rsidR="00CB0935" w:rsidRDefault="00CB0935" w:rsidP="0068594B">
      <w:pPr>
        <w:pStyle w:val="Titre2"/>
      </w:pPr>
    </w:p>
    <w:p w14:paraId="0A2BD15C" w14:textId="1BDB1013" w:rsidR="0024029D" w:rsidRDefault="00EF127C" w:rsidP="00EF127C">
      <w:pPr>
        <w:pStyle w:val="Titre3"/>
      </w:pPr>
      <w:bookmarkStart w:id="10" w:name="_Toc8400009"/>
      <w:r>
        <w:rPr>
          <w:lang w:bidi="fr-FR"/>
        </w:rPr>
        <w:t>2.2.1 Analyse des enquêtes relatives au VIH réalisées auprès d’échantillons de population</w:t>
      </w:r>
      <w:bookmarkEnd w:id="10"/>
      <w:r>
        <w:rPr>
          <w:lang w:bidi="fr-FR"/>
        </w:rPr>
        <w:t xml:space="preserve"> </w:t>
      </w:r>
    </w:p>
    <w:p w14:paraId="4E0B74E9" w14:textId="77777777" w:rsidR="0024029D" w:rsidRDefault="0024029D" w:rsidP="0024029D">
      <w:pPr>
        <w:autoSpaceDE w:val="0"/>
        <w:autoSpaceDN w:val="0"/>
        <w:adjustRightInd w:val="0"/>
        <w:spacing w:after="0" w:line="240" w:lineRule="auto"/>
        <w:jc w:val="both"/>
      </w:pPr>
      <w:r w:rsidRPr="00AA2312">
        <w:rPr>
          <w:lang w:bidi="fr-FR"/>
        </w:rPr>
        <w:t xml:space="preserve">Des enquêtes réalisées auprès de populations représentatives sur le plan national – dont des enquêtes démographiques et de santé et des enquêtes de surveillance comportementale et biologique des IST/VIH/SIDA (ESCOMB) – ont fourni des données qui ont été analysées. Ces données concernaient notamment le statut VIH, le dépistage du VIH, les connaissances en matière de VIH et/ou la stigmatisation liée au VIH. Spectrum a également communiqué des estimations relatives à la prévalence du VIH, pour les années où cela était possible. </w:t>
      </w:r>
    </w:p>
    <w:p w14:paraId="2890FB38" w14:textId="77777777" w:rsidR="0024029D" w:rsidRDefault="0024029D" w:rsidP="0024029D">
      <w:pPr>
        <w:autoSpaceDE w:val="0"/>
        <w:autoSpaceDN w:val="0"/>
        <w:adjustRightInd w:val="0"/>
        <w:spacing w:after="0" w:line="240" w:lineRule="auto"/>
        <w:jc w:val="both"/>
      </w:pPr>
    </w:p>
    <w:p w14:paraId="5D024E63" w14:textId="39835E0A" w:rsidR="0024029D" w:rsidRDefault="0024029D" w:rsidP="0024029D">
      <w:pPr>
        <w:autoSpaceDE w:val="0"/>
        <w:autoSpaceDN w:val="0"/>
        <w:adjustRightInd w:val="0"/>
        <w:spacing w:after="0" w:line="240" w:lineRule="auto"/>
        <w:jc w:val="both"/>
      </w:pPr>
      <w:r>
        <w:rPr>
          <w:lang w:bidi="fr-FR"/>
        </w:rPr>
        <w:t>La prévalence du VIH par sexe, âge, région et type de population (dans la mesure du possible), y compris parmi les populations clés et vulnérables, a été illustrée par un graphique. Afin de mieux comprendre les besoins de la population en matière de dépistage du VIH, on a privilégié la répartition de l’ensemble des PVVIH en fonction de leurs principales caractéristiques, plutôt que celle de la prévalence du VIH. Spectrum a fourni des estimations du nombre total d’adultes et d’enfants vivant avec le VIH en 2017 et en 2018. La répartition des PVVIH adultes par âge et par sexe a été représentée par un graphique, au moyen d’une multiplication des estimations de la prévalence par la taille de la population pour chaque catégorie d’âge. La répartition des PVVIH par région a été effectuée à l’aide de méthodes décrites dans une analyse de l’épidémie de VIH et de la couverture du programme de lutte contre le virus réalisée en 2019[R]. Le nombre de PVVIH parmi les populations clés et vulnérables a été estimé à partir de données issues de la collecte 2017 d</w:t>
      </w:r>
      <w:r w:rsidR="006813EC">
        <w:rPr>
          <w:lang w:bidi="fr-FR"/>
        </w:rPr>
        <w:t xml:space="preserve">es </w:t>
      </w:r>
      <w:r>
        <w:rPr>
          <w:lang w:bidi="fr-FR"/>
        </w:rPr>
        <w:t xml:space="preserve">ESCOMB. </w:t>
      </w:r>
    </w:p>
    <w:p w14:paraId="3C860AE6" w14:textId="77777777" w:rsidR="0024029D" w:rsidRPr="003C15FE" w:rsidRDefault="0024029D" w:rsidP="0024029D">
      <w:pPr>
        <w:pStyle w:val="Default"/>
        <w:jc w:val="both"/>
        <w:rPr>
          <w:sz w:val="22"/>
          <w:szCs w:val="22"/>
        </w:rPr>
      </w:pPr>
    </w:p>
    <w:p w14:paraId="5D7D1888" w14:textId="2E349C0D" w:rsidR="004833C1" w:rsidRDefault="00EF127C" w:rsidP="00EF127C">
      <w:pPr>
        <w:pStyle w:val="Titre3"/>
        <w:rPr>
          <w:sz w:val="22"/>
          <w:szCs w:val="22"/>
        </w:rPr>
      </w:pPr>
      <w:bookmarkStart w:id="11" w:name="_Toc8400010"/>
      <w:r>
        <w:rPr>
          <w:lang w:bidi="fr-FR"/>
        </w:rPr>
        <w:t>2.2.2 Analyses des données issues du programme national de lutte contre le VIH</w:t>
      </w:r>
      <w:bookmarkEnd w:id="11"/>
      <w:r w:rsidR="004833C1" w:rsidRPr="00AA2312">
        <w:rPr>
          <w:sz w:val="22"/>
          <w:szCs w:val="22"/>
          <w:lang w:bidi="fr-FR"/>
        </w:rPr>
        <w:t xml:space="preserve"> </w:t>
      </w:r>
    </w:p>
    <w:p w14:paraId="7B781447" w14:textId="24149096" w:rsidR="0095052D" w:rsidRPr="0082444F" w:rsidRDefault="0024029D" w:rsidP="000419DA">
      <w:pPr>
        <w:pStyle w:val="Sansinterligne"/>
        <w:jc w:val="both"/>
      </w:pPr>
      <w:r w:rsidRPr="00AA2312">
        <w:rPr>
          <w:lang w:bidi="fr-FR"/>
        </w:rPr>
        <w:t>Les données issues du programme national de lutte contre le VIH pour la période 2016-2018 ont été utilisées pour estimer le nombre annuel de tests de dépistage réalisés par sexe, région et modèle de dépistage existant. Dans la mesure du possible, ces estimations ont été classées selon le résultat des tests. L’année la plus récente pour laquelle des données complètes ont pu être obtenues est 2017. Lorsque les bases de données du programme national et les rapports nationaux présentaient des incohérences, les chiffres communiqués dans les rapports nationaux annuels ont été utilisés. Le rapport 2019 de la revue épidémiologique et programmatique et de l’analyse des cascades en Guinée a été consulté pour évaluer la prévalence du VIH et la couverture du dépistage [R].</w:t>
      </w:r>
    </w:p>
    <w:p w14:paraId="18DE427D" w14:textId="0F02DDF1" w:rsidR="00C30618" w:rsidRPr="0082444F" w:rsidRDefault="00C30618" w:rsidP="00C30618">
      <w:pPr>
        <w:pStyle w:val="Default"/>
        <w:jc w:val="both"/>
        <w:rPr>
          <w:sz w:val="22"/>
          <w:szCs w:val="22"/>
        </w:rPr>
      </w:pPr>
    </w:p>
    <w:p w14:paraId="21A97387" w14:textId="6A4BD794" w:rsidR="00C30618" w:rsidRDefault="00C30618" w:rsidP="00C30618">
      <w:pPr>
        <w:pStyle w:val="Default"/>
        <w:jc w:val="both"/>
        <w:rPr>
          <w:sz w:val="22"/>
          <w:szCs w:val="22"/>
          <w:lang w:bidi="fr-FR"/>
        </w:rPr>
      </w:pPr>
      <w:r w:rsidRPr="006A553F">
        <w:rPr>
          <w:sz w:val="22"/>
          <w:szCs w:val="22"/>
          <w:lang w:bidi="fr-FR"/>
        </w:rPr>
        <w:t xml:space="preserve">Des estimations classées par sexe relatives à la proportion de PVVIH ayant connaissance de leur statut (le « premier 90 ») ont été publiées fin 2017 (l’année la plus récente pour laquelle une estimation était possible). Dans le cadre de l’évaluation de l’indicateur du « premier 90 » et afin d’estimer le taux d’établissement de liens avec les soins, le nombre total d’initiations de traitements antirétroviraux </w:t>
      </w:r>
      <w:r w:rsidRPr="006A553F">
        <w:rPr>
          <w:sz w:val="22"/>
          <w:szCs w:val="22"/>
          <w:lang w:bidi="fr-FR"/>
        </w:rPr>
        <w:lastRenderedPageBreak/>
        <w:t xml:space="preserve">chez les adultes réalisées cette même année a été soustrait du nombre total de nouveaux diagnostics de contamination par le VIH établis par les services de dépistage (en tenant compte des hypothèses relatives aux taux de répétition des tests chez les personnes séropositives). Le complément du taux a alors été appliqué au nombre total d’adultes supposés être en cours de traitement antirétroviral afin d’évaluer le nombre de personnes ayant connaissance de leur statut. Ce chiffre a ensuite été exprimé sous forme de fraction du nombre total d’adultes vivant avec le VIH pour établir la proportion estimée des personnes ayant connaissance de leur statut. </w:t>
      </w:r>
    </w:p>
    <w:p w14:paraId="7A9A43DF" w14:textId="77777777" w:rsidR="0077780A" w:rsidRPr="006A553F" w:rsidRDefault="0077780A" w:rsidP="00C30618">
      <w:pPr>
        <w:pStyle w:val="Default"/>
        <w:jc w:val="both"/>
        <w:rPr>
          <w:sz w:val="22"/>
          <w:szCs w:val="22"/>
        </w:rPr>
      </w:pPr>
    </w:p>
    <w:p w14:paraId="31B33A94" w14:textId="10A04A29" w:rsidR="00C30618" w:rsidRPr="000846E4" w:rsidRDefault="00495F66" w:rsidP="00C30618">
      <w:pPr>
        <w:pStyle w:val="Default"/>
        <w:jc w:val="both"/>
        <w:rPr>
          <w:sz w:val="22"/>
          <w:szCs w:val="22"/>
        </w:rPr>
      </w:pPr>
      <w:r>
        <w:rPr>
          <w:sz w:val="22"/>
          <w:szCs w:val="22"/>
          <w:lang w:bidi="fr-FR"/>
        </w:rPr>
        <w:t>Des révisions de cette évaluation de l’objectif du premier 90 devraient être prochainement disponibles au terme des travaux de modélisation en cours cette année, appliquant le modèle « Shiny90 ». Elles devront être intégrées dans les révisions des cibles relatives à la couverture du dépistage et dans les estimations des trousses de dépistage nécessaires à la mise en œuvre de la stratégie différenciée de dépistage du VIH.</w:t>
      </w:r>
    </w:p>
    <w:p w14:paraId="43DB1CE7" w14:textId="77777777" w:rsidR="00C30618" w:rsidRDefault="00C30618" w:rsidP="00C30618">
      <w:pPr>
        <w:pStyle w:val="Default"/>
        <w:jc w:val="both"/>
        <w:rPr>
          <w:sz w:val="21"/>
          <w:szCs w:val="21"/>
        </w:rPr>
      </w:pPr>
    </w:p>
    <w:p w14:paraId="47F09B4A" w14:textId="67E02884" w:rsidR="00C30618" w:rsidRDefault="00C30618" w:rsidP="00C30618">
      <w:pPr>
        <w:pStyle w:val="Default"/>
        <w:jc w:val="both"/>
        <w:rPr>
          <w:sz w:val="22"/>
          <w:szCs w:val="22"/>
        </w:rPr>
      </w:pPr>
      <w:r w:rsidRPr="000B5460">
        <w:rPr>
          <w:sz w:val="22"/>
          <w:szCs w:val="22"/>
          <w:lang w:bidi="fr-FR"/>
        </w:rPr>
        <w:t xml:space="preserve">Pour chaque approche du dépistage actuellement adoptée en Guinée, des analyses de rendement ont été réalisées afin de renseigner le nombre et la proportion de personnes ayant reçu un diagnostic de séropositivité parmi celles qui ont été dépistées. Une analyse détaillée de l’ensemble des approches a été publiée en 2017, pour permettre l’estimation des trousses de dépistage nécessaires dans le plan de mise en œuvre. Les tendances relatives aux conseil et dépistage volontaires (CDV), au DCIP et au dépistage dans le cadre de la PTME ont également été examinées sur une durée de trois ans afin de déterminer l’efficacité de ces approches. </w:t>
      </w:r>
    </w:p>
    <w:p w14:paraId="6C699779" w14:textId="77777777" w:rsidR="00C30618" w:rsidRPr="00C30618" w:rsidRDefault="00C30618" w:rsidP="00C30618"/>
    <w:p w14:paraId="7D7CDCA4" w14:textId="5CD2A94B" w:rsidR="0068594B" w:rsidRPr="0004204D" w:rsidRDefault="00EF127C" w:rsidP="00EF127C">
      <w:pPr>
        <w:pStyle w:val="Titre3"/>
      </w:pPr>
      <w:bookmarkStart w:id="12" w:name="_Toc8400011"/>
      <w:r>
        <w:rPr>
          <w:lang w:bidi="fr-FR"/>
        </w:rPr>
        <w:t>2.2.3 Examen des politiques</w:t>
      </w:r>
      <w:bookmarkEnd w:id="12"/>
    </w:p>
    <w:p w14:paraId="3A297BCF" w14:textId="2002D00A" w:rsidR="0068594B" w:rsidRPr="00B557EF" w:rsidRDefault="0068594B" w:rsidP="0068594B">
      <w:pPr>
        <w:pStyle w:val="Sansinterligne"/>
        <w:jc w:val="both"/>
      </w:pPr>
      <w:r w:rsidRPr="00B557EF">
        <w:rPr>
          <w:lang w:bidi="fr-FR"/>
        </w:rPr>
        <w:t xml:space="preserve">Des documents afférents à la prestation de services de dépistage du VIH en Guinée ont été étudiés, notamment les plans stratégiques et les budgets nationaux relatifs au VIH, les lignes directrices de l’OMS et de la Société internationale du sida, et les rapports publiés par le PNLSH, les bailleurs de fonds et les organisations non gouvernementales. </w:t>
      </w:r>
    </w:p>
    <w:p w14:paraId="647F9455" w14:textId="77777777" w:rsidR="0068594B" w:rsidRPr="00B557EF" w:rsidRDefault="0068594B" w:rsidP="0068594B">
      <w:pPr>
        <w:pStyle w:val="Sansinterligne"/>
        <w:jc w:val="both"/>
      </w:pPr>
    </w:p>
    <w:p w14:paraId="0D6A5C72" w14:textId="5EBB87BF" w:rsidR="0068594B" w:rsidRPr="00B557EF" w:rsidRDefault="0068594B" w:rsidP="0068594B">
      <w:pPr>
        <w:autoSpaceDE w:val="0"/>
        <w:autoSpaceDN w:val="0"/>
        <w:adjustRightInd w:val="0"/>
        <w:spacing w:after="0" w:line="240" w:lineRule="auto"/>
        <w:jc w:val="both"/>
        <w:rPr>
          <w:rFonts w:eastAsia="BrandonText-Light" w:cstheme="minorHAnsi"/>
        </w:rPr>
      </w:pPr>
      <w:r w:rsidRPr="00B557EF">
        <w:rPr>
          <w:rFonts w:eastAsia="BrandonText-Light" w:cstheme="minorHAnsi"/>
          <w:lang w:bidi="fr-FR"/>
        </w:rPr>
        <w:t xml:space="preserve">En outre, un examen des politiques a été entrepris afin de comparer les politiques en matière de dépistage du VIH existant au niveau national et les recommandations de l’OMS relatives au dépistage dans les contextes à faible prévalence du VIH. Les politiques ont été évaluées en regard des quatre éléments du cadre de dépistage différencié du VIH (« quand », « où », « qui », « quoi »), en vue d’identifier les lacunes pouvant entraver la mobilisation, le dépistage et l’établissement de liens avec les soins. D’autres politiques liées au dépistage du VIH (au-delà des spécificités du dépistage différencié) ont été étudiées, notamment celles précisant l’âge du consentement, ainsi que les barrières juridiques susceptibles d’empêcher l’accès au dépistage des populations spécifiques. </w:t>
      </w:r>
    </w:p>
    <w:p w14:paraId="17F17C82" w14:textId="77777777" w:rsidR="00994EB2" w:rsidRDefault="00994EB2" w:rsidP="00400DD3">
      <w:pPr>
        <w:pStyle w:val="Titre2"/>
      </w:pPr>
    </w:p>
    <w:p w14:paraId="4DEE6923" w14:textId="4C214878" w:rsidR="00A22CEE" w:rsidRDefault="0019719E" w:rsidP="00EF127C">
      <w:pPr>
        <w:pStyle w:val="Titre3"/>
      </w:pPr>
      <w:bookmarkStart w:id="13" w:name="_Toc8400012"/>
      <w:r>
        <w:rPr>
          <w:lang w:bidi="fr-FR"/>
        </w:rPr>
        <w:t>2.2.4 Entretiens menés par les informateurs principaux</w:t>
      </w:r>
      <w:bookmarkEnd w:id="13"/>
    </w:p>
    <w:p w14:paraId="1362685E" w14:textId="4215BC4A" w:rsidR="00E4481C" w:rsidRPr="00CC27BF" w:rsidRDefault="00A22CEE" w:rsidP="005117EA">
      <w:pPr>
        <w:pStyle w:val="Default"/>
        <w:jc w:val="both"/>
        <w:rPr>
          <w:sz w:val="22"/>
          <w:szCs w:val="22"/>
        </w:rPr>
      </w:pPr>
      <w:r w:rsidRPr="00CC27BF">
        <w:rPr>
          <w:sz w:val="22"/>
          <w:szCs w:val="22"/>
          <w:lang w:bidi="fr-FR"/>
        </w:rPr>
        <w:t xml:space="preserve">Entre octobre 2018 et mars 2019, les informateurs principaux se sont entretenus avec des responsables du PNLSH, des partenaires d'exécution, des représentants d’organisations non gouvernementales et d’organismes des Nations Unies, des bailleurs de fonds et des agents de santé. Les discussions ont porté sur les politiques, les stratégies et les pratiques actuelles en matière de dépistage du VIH, les facteurs favorables à leur mise en œuvre et les obstacles à celle-ci. Ont également été abordées la perception des besoins de différentes populations en matière de dépistage du VIH, les possibilités d’optimiser les activités existantes ou d’introduire de nouvelles approches, et d’autres recommandations éventuelles sur la nouvelle stratégie de dépistage du VIH. Les informateurs ont posé des questions relatives aux forces, aux faiblesses, aux possibilités et aux menaces liées à la mise en œuvre de chaque modèle de dépistage. Ils ont également eu des échanges informels avec des personnes participant à l’élaboration de stratégies de dépistage du VIH dans d’autres pays de la </w:t>
      </w:r>
      <w:r w:rsidRPr="00CC27BF">
        <w:rPr>
          <w:sz w:val="22"/>
          <w:szCs w:val="22"/>
          <w:lang w:bidi="fr-FR"/>
        </w:rPr>
        <w:lastRenderedPageBreak/>
        <w:t>région, afin d’examiner les approches et les outils possibles et de prendre en compte les enseignements tirés.</w:t>
      </w:r>
    </w:p>
    <w:p w14:paraId="4B78016C" w14:textId="77777777" w:rsidR="00624AC6" w:rsidRDefault="00624AC6" w:rsidP="00624AC6">
      <w:pPr>
        <w:pStyle w:val="Titre2"/>
      </w:pPr>
    </w:p>
    <w:p w14:paraId="2E9127FC" w14:textId="78F6C4EA" w:rsidR="00A35054" w:rsidRPr="00624AC6" w:rsidRDefault="0019719E" w:rsidP="00A252B0">
      <w:pPr>
        <w:pStyle w:val="Titre3"/>
      </w:pPr>
      <w:bookmarkStart w:id="14" w:name="_Toc8400013"/>
      <w:r>
        <w:rPr>
          <w:lang w:bidi="fr-FR"/>
        </w:rPr>
        <w:t>2.2.5 Consultation des parties prenantes</w:t>
      </w:r>
      <w:bookmarkEnd w:id="14"/>
    </w:p>
    <w:p w14:paraId="63E8C01B" w14:textId="1E1D00B9" w:rsidR="001B2C0E" w:rsidRPr="0013519E" w:rsidRDefault="00A35054" w:rsidP="00101FA8">
      <w:pPr>
        <w:autoSpaceDE w:val="0"/>
        <w:autoSpaceDN w:val="0"/>
        <w:adjustRightInd w:val="0"/>
        <w:spacing w:after="0" w:line="240" w:lineRule="auto"/>
        <w:jc w:val="both"/>
        <w:rPr>
          <w:rFonts w:cstheme="minorHAnsi"/>
          <w:color w:val="000000"/>
        </w:rPr>
      </w:pPr>
      <w:r w:rsidRPr="0013519E">
        <w:rPr>
          <w:rFonts w:cstheme="minorHAnsi"/>
          <w:color w:val="000000"/>
          <w:lang w:bidi="fr-FR"/>
        </w:rPr>
        <w:t xml:space="preserve">En février 2019, 45 parties prenantes, représentant des organisations concernées par les services de dépistage du VIH, ont participé à une réunion de consultation qui s’est déroulée sur une journée à Conakry. Ces participants comptaient : des membres du personnel responsable du PNLSH et du PNLAT, des agents de santé du </w:t>
      </w:r>
      <w:r w:rsidR="00941C91" w:rsidRPr="005B778C">
        <w:rPr>
          <w:lang w:bidi="fr-FR"/>
        </w:rPr>
        <w:t>Centre national de transfusion sanguine</w:t>
      </w:r>
      <w:r w:rsidRPr="0013519E">
        <w:rPr>
          <w:rFonts w:cstheme="minorHAnsi"/>
          <w:color w:val="000000"/>
          <w:lang w:bidi="fr-FR"/>
        </w:rPr>
        <w:t>, des représentants d’organisations de la société civile (réseaux de PVVIH, pairs éducateurs issus des populations clés), des bailleurs de fonds (FM, AFD), des organisations non gouvernementales engagées dans la prestation de services liés au VIH et des représentants d’organisations des Nations Unies (OMS, ONUSIDA, UNFPA, UNICEF).</w:t>
      </w:r>
    </w:p>
    <w:p w14:paraId="77F1DEB8" w14:textId="17E69952" w:rsidR="00A52713" w:rsidRDefault="00A52713" w:rsidP="00A35054">
      <w:pPr>
        <w:autoSpaceDE w:val="0"/>
        <w:autoSpaceDN w:val="0"/>
        <w:adjustRightInd w:val="0"/>
        <w:spacing w:after="0" w:line="240" w:lineRule="auto"/>
        <w:rPr>
          <w:rFonts w:cstheme="minorHAnsi"/>
          <w:color w:val="000000"/>
        </w:rPr>
      </w:pPr>
    </w:p>
    <w:p w14:paraId="5BCA16C3" w14:textId="6FB40D09" w:rsidR="00994BF1" w:rsidRPr="00DC3F5C" w:rsidRDefault="00062349" w:rsidP="00A35054">
      <w:pPr>
        <w:autoSpaceDE w:val="0"/>
        <w:autoSpaceDN w:val="0"/>
        <w:adjustRightInd w:val="0"/>
        <w:spacing w:after="0" w:line="240" w:lineRule="auto"/>
        <w:rPr>
          <w:rFonts w:cstheme="minorHAnsi"/>
          <w:color w:val="000000"/>
        </w:rPr>
      </w:pPr>
      <w:r w:rsidRPr="00DC3F5C">
        <w:rPr>
          <w:rFonts w:cstheme="minorHAnsi"/>
          <w:color w:val="000000"/>
          <w:lang w:bidi="fr-FR"/>
        </w:rPr>
        <w:t>Les objectifs de cette consultation étaient les suivants :</w:t>
      </w:r>
    </w:p>
    <w:p w14:paraId="04105A21" w14:textId="7C52408E" w:rsidR="002E2E47" w:rsidRPr="00DC3F5C" w:rsidRDefault="00A527D7"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évoquer</w:t>
      </w:r>
      <w:proofErr w:type="gramEnd"/>
      <w:r w:rsidRPr="00DC3F5C">
        <w:rPr>
          <w:rFonts w:cstheme="minorHAnsi"/>
          <w:color w:val="000000"/>
          <w:lang w:bidi="fr-FR"/>
        </w:rPr>
        <w:t xml:space="preserve"> les conclusions préliminaires de l’étude documentaire et de l’analyse des données du programme national, et générer un consensus autour des groupes de population à cibler prioritairement dans le cadre de la nouvelle stratégie de dépistage du VIH ;</w:t>
      </w:r>
    </w:p>
    <w:p w14:paraId="4BF149D6" w14:textId="77777777" w:rsidR="00DA4E29" w:rsidRPr="00DC3F5C" w:rsidRDefault="006807C4"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examiner</w:t>
      </w:r>
      <w:proofErr w:type="gramEnd"/>
      <w:r w:rsidRPr="00DC3F5C">
        <w:rPr>
          <w:rFonts w:cstheme="minorHAnsi"/>
          <w:color w:val="000000"/>
          <w:lang w:bidi="fr-FR"/>
        </w:rPr>
        <w:t xml:space="preserve"> les expériences vécues et les difficultés rencontrées avec les stratégies de dépistage au sein de la communauté et en établissement et avec celles actuellement à l’essai (</w:t>
      </w:r>
      <w:proofErr w:type="spellStart"/>
      <w:r w:rsidRPr="00DC3F5C">
        <w:rPr>
          <w:rFonts w:cstheme="minorHAnsi"/>
          <w:color w:val="000000"/>
          <w:lang w:bidi="fr-FR"/>
        </w:rPr>
        <w:t>autodépistage</w:t>
      </w:r>
      <w:proofErr w:type="spellEnd"/>
      <w:r w:rsidRPr="00DC3F5C">
        <w:rPr>
          <w:rFonts w:cstheme="minorHAnsi"/>
          <w:color w:val="000000"/>
          <w:lang w:bidi="fr-FR"/>
        </w:rPr>
        <w:t>) ;</w:t>
      </w:r>
    </w:p>
    <w:p w14:paraId="3462A9DD" w14:textId="0AF1CBB2" w:rsidR="006807C4" w:rsidRPr="00DC3F5C" w:rsidRDefault="00DA4E29"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adapter</w:t>
      </w:r>
      <w:proofErr w:type="gramEnd"/>
      <w:r w:rsidRPr="00DC3F5C">
        <w:rPr>
          <w:rFonts w:cstheme="minorHAnsi"/>
          <w:color w:val="000000"/>
          <w:lang w:bidi="fr-FR"/>
        </w:rPr>
        <w:t xml:space="preserve"> les stratégies de dépistage du VIH aux besoins réels de la population ; </w:t>
      </w:r>
    </w:p>
    <w:p w14:paraId="03A040C4" w14:textId="4F633179" w:rsidR="001F28A1" w:rsidRPr="00DC3F5C" w:rsidRDefault="001F28A1"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analyser</w:t>
      </w:r>
      <w:proofErr w:type="gramEnd"/>
      <w:r w:rsidRPr="00DC3F5C">
        <w:rPr>
          <w:rFonts w:cstheme="minorHAnsi"/>
          <w:color w:val="000000"/>
          <w:lang w:bidi="fr-FR"/>
        </w:rPr>
        <w:t xml:space="preserve"> collectivement les forces, les faiblesses, les possibilités et les menaces liées aux modèles de dépistage recensés afin de les intégrer dans la stratégie de dépistage du VIH ;</w:t>
      </w:r>
    </w:p>
    <w:p w14:paraId="334CB689" w14:textId="2B8ACA83" w:rsidR="00BC4E3E" w:rsidRPr="00DC3F5C" w:rsidRDefault="00E14FE2"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définir</w:t>
      </w:r>
      <w:proofErr w:type="gramEnd"/>
      <w:r w:rsidRPr="00DC3F5C">
        <w:rPr>
          <w:rFonts w:cstheme="minorHAnsi"/>
          <w:color w:val="000000"/>
          <w:lang w:bidi="fr-FR"/>
        </w:rPr>
        <w:t xml:space="preserve"> le calendrier, le principal objectif et les principes fondamentaux de la nouvelle stratégie différenciée de dépistage du VIH ;</w:t>
      </w:r>
    </w:p>
    <w:p w14:paraId="0A67C0A7" w14:textId="6EF34142" w:rsidR="002E2E47" w:rsidRPr="00DC3F5C" w:rsidRDefault="00BC4E3E"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revoir</w:t>
      </w:r>
      <w:proofErr w:type="gramEnd"/>
      <w:r w:rsidRPr="00DC3F5C">
        <w:rPr>
          <w:rFonts w:cstheme="minorHAnsi"/>
          <w:color w:val="000000"/>
          <w:lang w:bidi="fr-FR"/>
        </w:rPr>
        <w:t xml:space="preserve"> les méthodes de calcul de la valeur de référence fixée pour le premier 90, et convenir d’objectifs provisoires pour la stratégie de dépistage du VIH et les plans opérationnels connexes ; et</w:t>
      </w:r>
    </w:p>
    <w:p w14:paraId="3244FCF9" w14:textId="280886EE" w:rsidR="001F28A1" w:rsidRPr="00DC3F5C" w:rsidRDefault="006954E4" w:rsidP="00B43D4E">
      <w:pPr>
        <w:pStyle w:val="Paragraphedeliste"/>
        <w:numPr>
          <w:ilvl w:val="0"/>
          <w:numId w:val="1"/>
        </w:numPr>
        <w:autoSpaceDE w:val="0"/>
        <w:autoSpaceDN w:val="0"/>
        <w:adjustRightInd w:val="0"/>
        <w:spacing w:after="0" w:line="240" w:lineRule="auto"/>
        <w:jc w:val="both"/>
        <w:rPr>
          <w:rFonts w:cstheme="minorHAnsi"/>
          <w:color w:val="000000"/>
        </w:rPr>
      </w:pPr>
      <w:proofErr w:type="gramStart"/>
      <w:r w:rsidRPr="00DC3F5C">
        <w:rPr>
          <w:rFonts w:cstheme="minorHAnsi"/>
          <w:color w:val="000000"/>
          <w:lang w:bidi="fr-FR"/>
        </w:rPr>
        <w:t>déterminer</w:t>
      </w:r>
      <w:proofErr w:type="gramEnd"/>
      <w:r w:rsidRPr="00DC3F5C">
        <w:rPr>
          <w:rFonts w:cstheme="minorHAnsi"/>
          <w:color w:val="000000"/>
          <w:lang w:bidi="fr-FR"/>
        </w:rPr>
        <w:t xml:space="preserve"> les étapes nécessaires à l’application de la stratégie différenciée de dépistage du VIH au niveau régional et recenser les parties prenantes à impliquer dans ce processus.</w:t>
      </w:r>
    </w:p>
    <w:p w14:paraId="6320C61C" w14:textId="43857AD8" w:rsidR="001F28A1" w:rsidRDefault="001F28A1" w:rsidP="001F28A1">
      <w:pPr>
        <w:autoSpaceDE w:val="0"/>
        <w:autoSpaceDN w:val="0"/>
        <w:adjustRightInd w:val="0"/>
        <w:spacing w:after="0" w:line="240" w:lineRule="auto"/>
        <w:rPr>
          <w:rFonts w:ascii="MyriadPro-Regular" w:hAnsi="MyriadPro-Regular" w:cs="MyriadPro-Regular"/>
          <w:color w:val="000000"/>
          <w:sz w:val="20"/>
          <w:szCs w:val="20"/>
        </w:rPr>
      </w:pPr>
    </w:p>
    <w:p w14:paraId="0868A380" w14:textId="50EE1151" w:rsidR="003771C4" w:rsidRPr="00A043D3" w:rsidRDefault="0019719E" w:rsidP="00A252B0">
      <w:pPr>
        <w:pStyle w:val="Titre3"/>
      </w:pPr>
      <w:bookmarkStart w:id="15" w:name="_Toc8400014"/>
      <w:r>
        <w:rPr>
          <w:lang w:bidi="fr-FR"/>
        </w:rPr>
        <w:t>2.2.6 Atelier régional</w:t>
      </w:r>
      <w:bookmarkEnd w:id="15"/>
    </w:p>
    <w:p w14:paraId="1C6736DD" w14:textId="405C466C" w:rsidR="00924923" w:rsidRDefault="006D7668" w:rsidP="006431BC">
      <w:pPr>
        <w:autoSpaceDE w:val="0"/>
        <w:autoSpaceDN w:val="0"/>
        <w:adjustRightInd w:val="0"/>
        <w:spacing w:after="0" w:line="240" w:lineRule="auto"/>
        <w:jc w:val="both"/>
        <w:rPr>
          <w:rFonts w:cstheme="minorHAnsi"/>
          <w:color w:val="000000"/>
        </w:rPr>
      </w:pPr>
      <w:r w:rsidRPr="001A2374">
        <w:rPr>
          <w:rFonts w:cstheme="minorHAnsi"/>
          <w:color w:val="000000"/>
          <w:lang w:bidi="fr-FR"/>
        </w:rPr>
        <w:t>Un atelier de deux jours a ensuite été organisé dans la région de Kindia en mars 2019, réunissant des participants originaires des huit régions de la Guinée. Ses objectifs spécifiques étaient les suivants :</w:t>
      </w:r>
    </w:p>
    <w:p w14:paraId="2F067893" w14:textId="77777777" w:rsidR="006431BC" w:rsidRPr="006431BC" w:rsidRDefault="006431BC" w:rsidP="006431BC">
      <w:pPr>
        <w:autoSpaceDE w:val="0"/>
        <w:autoSpaceDN w:val="0"/>
        <w:adjustRightInd w:val="0"/>
        <w:spacing w:after="0" w:line="240" w:lineRule="auto"/>
        <w:jc w:val="both"/>
        <w:rPr>
          <w:rFonts w:cstheme="minorHAnsi"/>
          <w:color w:val="000000"/>
        </w:rPr>
      </w:pPr>
    </w:p>
    <w:p w14:paraId="1FE01FFF" w14:textId="77777777" w:rsidR="00DB7E3B" w:rsidRPr="00AA1E42" w:rsidRDefault="00DB7E3B" w:rsidP="00AA1E42">
      <w:pPr>
        <w:pStyle w:val="Paragraphedeliste"/>
        <w:numPr>
          <w:ilvl w:val="0"/>
          <w:numId w:val="30"/>
        </w:numPr>
        <w:autoSpaceDE w:val="0"/>
        <w:autoSpaceDN w:val="0"/>
        <w:adjustRightInd w:val="0"/>
        <w:spacing w:after="0" w:line="240" w:lineRule="auto"/>
        <w:jc w:val="both"/>
        <w:rPr>
          <w:rFonts w:cstheme="minorHAnsi"/>
          <w:color w:val="000000"/>
          <w:lang w:val="fr-BE"/>
        </w:rPr>
      </w:pPr>
      <w:proofErr w:type="gramStart"/>
      <w:r w:rsidRPr="00AA1E42">
        <w:rPr>
          <w:rFonts w:cstheme="minorHAnsi"/>
          <w:color w:val="000000"/>
          <w:lang w:bidi="fr-FR"/>
        </w:rPr>
        <w:t>recenser</w:t>
      </w:r>
      <w:proofErr w:type="gramEnd"/>
      <w:r w:rsidRPr="00AA1E42">
        <w:rPr>
          <w:rFonts w:cstheme="minorHAnsi"/>
          <w:color w:val="000000"/>
          <w:lang w:bidi="fr-FR"/>
        </w:rPr>
        <w:t xml:space="preserve"> avec les acteurs régionaux les besoins de dépistage au niveau régional, dans le cadre d’une réflexion plurielle, afin d’aboutir à l’élaboration d’un document national de stratégie différenciée de dépistage ;</w:t>
      </w:r>
    </w:p>
    <w:p w14:paraId="74383FC4" w14:textId="77777777" w:rsidR="00DB7E3B" w:rsidRPr="00AA1E42" w:rsidRDefault="00DB7E3B" w:rsidP="00AA1E42">
      <w:pPr>
        <w:pStyle w:val="Paragraphedeliste"/>
        <w:numPr>
          <w:ilvl w:val="0"/>
          <w:numId w:val="30"/>
        </w:numPr>
        <w:autoSpaceDE w:val="0"/>
        <w:autoSpaceDN w:val="0"/>
        <w:adjustRightInd w:val="0"/>
        <w:spacing w:after="0" w:line="240" w:lineRule="auto"/>
        <w:jc w:val="both"/>
        <w:rPr>
          <w:rFonts w:cstheme="minorHAnsi"/>
          <w:color w:val="000000"/>
          <w:lang w:val="fr-BE"/>
        </w:rPr>
      </w:pPr>
      <w:proofErr w:type="gramStart"/>
      <w:r w:rsidRPr="00AA1E42">
        <w:rPr>
          <w:rFonts w:cstheme="minorHAnsi"/>
          <w:color w:val="000000"/>
          <w:lang w:bidi="fr-FR"/>
        </w:rPr>
        <w:t>procéder</w:t>
      </w:r>
      <w:proofErr w:type="gramEnd"/>
      <w:r w:rsidRPr="00AA1E42">
        <w:rPr>
          <w:rFonts w:cstheme="minorHAnsi"/>
          <w:color w:val="000000"/>
          <w:lang w:bidi="fr-FR"/>
        </w:rPr>
        <w:t xml:space="preserve"> à une analyse des différentes stratégies de dépistage mises en œuvre au niveau régional, afin de retenir les approches permettant de toucher le plus de personnes vivant avec le VIH, en fonction des données épidémiologiques régionales ; </w:t>
      </w:r>
    </w:p>
    <w:p w14:paraId="2CF34302" w14:textId="19D9FF2F" w:rsidR="00DB7E3B" w:rsidRDefault="00DB7E3B" w:rsidP="00AA1E42">
      <w:pPr>
        <w:pStyle w:val="Paragraphedeliste"/>
        <w:numPr>
          <w:ilvl w:val="0"/>
          <w:numId w:val="30"/>
        </w:numPr>
        <w:autoSpaceDE w:val="0"/>
        <w:autoSpaceDN w:val="0"/>
        <w:adjustRightInd w:val="0"/>
        <w:spacing w:after="0" w:line="240" w:lineRule="auto"/>
        <w:jc w:val="both"/>
        <w:rPr>
          <w:rFonts w:cstheme="minorHAnsi"/>
          <w:color w:val="000000"/>
          <w:lang w:val="fr-BE"/>
        </w:rPr>
      </w:pPr>
      <w:proofErr w:type="gramStart"/>
      <w:r w:rsidRPr="00AA1E42">
        <w:rPr>
          <w:rFonts w:cstheme="minorHAnsi"/>
          <w:color w:val="000000"/>
          <w:lang w:bidi="fr-FR"/>
        </w:rPr>
        <w:t>dresser</w:t>
      </w:r>
      <w:proofErr w:type="gramEnd"/>
      <w:r w:rsidRPr="00AA1E42">
        <w:rPr>
          <w:rFonts w:cstheme="minorHAnsi"/>
          <w:color w:val="000000"/>
          <w:lang w:bidi="fr-FR"/>
        </w:rPr>
        <w:t xml:space="preserve"> un état des lieux (analyse exhaustive des acquis, des insuffisances et des difficultés) des activités de dépistage du VIH en Guinée ; et </w:t>
      </w:r>
    </w:p>
    <w:p w14:paraId="10FED049" w14:textId="7CAEE813" w:rsidR="00DB7E3B" w:rsidRPr="00FE0731" w:rsidRDefault="00AA1E42" w:rsidP="00DB7E3B">
      <w:pPr>
        <w:pStyle w:val="Paragraphedeliste"/>
        <w:numPr>
          <w:ilvl w:val="0"/>
          <w:numId w:val="30"/>
        </w:numPr>
        <w:autoSpaceDE w:val="0"/>
        <w:autoSpaceDN w:val="0"/>
        <w:adjustRightInd w:val="0"/>
        <w:spacing w:after="0" w:line="240" w:lineRule="auto"/>
        <w:jc w:val="both"/>
        <w:rPr>
          <w:rFonts w:cstheme="minorHAnsi"/>
          <w:color w:val="000000"/>
        </w:rPr>
      </w:pPr>
      <w:proofErr w:type="gramStart"/>
      <w:r w:rsidRPr="001A2374">
        <w:rPr>
          <w:rFonts w:cstheme="minorHAnsi"/>
          <w:color w:val="000000"/>
          <w:lang w:bidi="fr-FR"/>
        </w:rPr>
        <w:t>établir</w:t>
      </w:r>
      <w:proofErr w:type="gramEnd"/>
      <w:r w:rsidRPr="001A2374">
        <w:rPr>
          <w:rFonts w:cstheme="minorHAnsi"/>
          <w:color w:val="000000"/>
          <w:lang w:bidi="fr-FR"/>
        </w:rPr>
        <w:t xml:space="preserve"> des plans d’action provisoires au niveau régional en vue de la mise en œuvre de la stratégie de dépistage du VIH.</w:t>
      </w:r>
    </w:p>
    <w:p w14:paraId="76B3B82E" w14:textId="75CBCF77" w:rsidR="00DB7E3B" w:rsidRPr="001556F8" w:rsidRDefault="00DB7E3B" w:rsidP="00DB7E3B">
      <w:pPr>
        <w:rPr>
          <w:sz w:val="4"/>
          <w:szCs w:val="4"/>
        </w:rPr>
      </w:pPr>
    </w:p>
    <w:p w14:paraId="58405CA9" w14:textId="77777777" w:rsidR="00C30618" w:rsidRDefault="00C30618" w:rsidP="00796D02">
      <w:pPr>
        <w:pStyle w:val="Titre2"/>
      </w:pPr>
    </w:p>
    <w:p w14:paraId="4DC667B5" w14:textId="724D0F58" w:rsidR="00A043D3" w:rsidRPr="00A043D3" w:rsidRDefault="0019719E" w:rsidP="006F0456">
      <w:pPr>
        <w:pStyle w:val="Titre3"/>
      </w:pPr>
      <w:bookmarkStart w:id="16" w:name="_Toc8400015"/>
      <w:r>
        <w:rPr>
          <w:lang w:bidi="fr-FR"/>
        </w:rPr>
        <w:t>2.2.7 Groupe de travail du premier 90</w:t>
      </w:r>
      <w:bookmarkEnd w:id="16"/>
    </w:p>
    <w:p w14:paraId="462B4224" w14:textId="285ADA66" w:rsidR="0077780A" w:rsidRDefault="0029340A" w:rsidP="00072D40">
      <w:pPr>
        <w:autoSpaceDE w:val="0"/>
        <w:autoSpaceDN w:val="0"/>
        <w:adjustRightInd w:val="0"/>
        <w:spacing w:after="0" w:line="240" w:lineRule="auto"/>
        <w:jc w:val="both"/>
        <w:rPr>
          <w:rFonts w:cstheme="minorHAnsi"/>
          <w:color w:val="000000"/>
          <w:lang w:bidi="fr-FR"/>
        </w:rPr>
      </w:pPr>
      <w:r w:rsidRPr="00556A79">
        <w:rPr>
          <w:rFonts w:cstheme="minorHAnsi"/>
          <w:color w:val="000000"/>
          <w:lang w:bidi="fr-FR"/>
        </w:rPr>
        <w:t xml:space="preserve">Fin 2018, un groupe de travail du « premier 90 » a été constitué, mobilisant des représentants de la société civile, d’organisations non gouvernementales et d’organisations des Nations Unies, ainsi que le secteur public. Coordonné par le PNLSH, le groupe a organisé des réunions mensuelles visant à </w:t>
      </w:r>
      <w:r w:rsidRPr="00556A79">
        <w:rPr>
          <w:rFonts w:cstheme="minorHAnsi"/>
          <w:color w:val="000000"/>
          <w:lang w:bidi="fr-FR"/>
        </w:rPr>
        <w:lastRenderedPageBreak/>
        <w:t>partager les informations, les outils et les ressources et à émettre des observations sur les avant-projets de la stratégie de dépistage du VIH.</w:t>
      </w:r>
    </w:p>
    <w:p w14:paraId="40794802" w14:textId="77777777" w:rsidR="0077780A" w:rsidRDefault="0077780A">
      <w:pPr>
        <w:rPr>
          <w:rFonts w:cstheme="minorHAnsi"/>
          <w:color w:val="000000"/>
          <w:lang w:bidi="fr-FR"/>
        </w:rPr>
      </w:pPr>
      <w:r>
        <w:rPr>
          <w:rFonts w:cstheme="minorHAnsi"/>
          <w:color w:val="000000"/>
          <w:lang w:bidi="fr-FR"/>
        </w:rPr>
        <w:br w:type="page"/>
      </w:r>
    </w:p>
    <w:p w14:paraId="3B4C5366" w14:textId="3490A89A" w:rsidR="00D32AA5" w:rsidRPr="00553EC0" w:rsidRDefault="00D32AA5" w:rsidP="00D32AA5">
      <w:pPr>
        <w:pStyle w:val="Titre1"/>
      </w:pPr>
      <w:bookmarkStart w:id="17" w:name="_Toc8400016"/>
      <w:r>
        <w:rPr>
          <w:lang w:bidi="fr-FR"/>
        </w:rPr>
        <w:lastRenderedPageBreak/>
        <w:t>3. Principales caractéristiques des personnes vivant avec le VIH en Guinée</w:t>
      </w:r>
      <w:bookmarkEnd w:id="17"/>
      <w:r>
        <w:rPr>
          <w:lang w:bidi="fr-FR"/>
        </w:rPr>
        <w:t xml:space="preserve"> </w:t>
      </w:r>
    </w:p>
    <w:p w14:paraId="2C742CB4" w14:textId="77777777" w:rsidR="00D32AA5" w:rsidRPr="00C30618" w:rsidRDefault="00D32AA5" w:rsidP="00C30618"/>
    <w:p w14:paraId="3FD968D6" w14:textId="5ABB84F6" w:rsidR="004C645E" w:rsidRDefault="00F11573" w:rsidP="005F3A79">
      <w:pPr>
        <w:pStyle w:val="Titre2"/>
        <w:rPr>
          <w:rFonts w:eastAsia="BrandonText-Light"/>
        </w:rPr>
      </w:pPr>
      <w:bookmarkStart w:id="18" w:name="_Toc8400017"/>
      <w:r>
        <w:rPr>
          <w:rFonts w:eastAsia="BrandonText-Light"/>
          <w:lang w:bidi="fr-FR"/>
        </w:rPr>
        <w:t>3.1 Répartition du VIH par sous-groupes de population</w:t>
      </w:r>
      <w:bookmarkEnd w:id="18"/>
    </w:p>
    <w:p w14:paraId="75FC97C8" w14:textId="2DBECAE4" w:rsidR="00A31CEC" w:rsidRDefault="00055518" w:rsidP="00BA72D6">
      <w:pPr>
        <w:jc w:val="both"/>
        <w:rPr>
          <w:rFonts w:cs="Times New Roman"/>
        </w:rPr>
      </w:pPr>
      <w:r>
        <w:rPr>
          <w:rFonts w:cs="Times New Roman"/>
          <w:lang w:bidi="fr-FR"/>
        </w:rPr>
        <w:t xml:space="preserve">La Guinée possède un faible taux de prévalence du VIH chez les adultes âgés de 15 à 49 ans. Ce taux était estimé à 1,5 % en 2018, soit en légère baisse par rapport à 2012 (1,7 %). D’après des projections réalisées à partir des chiffres de 2019, Spectrum estime à </w:t>
      </w:r>
      <w:r w:rsidR="0093051D" w:rsidRPr="00B83223">
        <w:rPr>
          <w:lang w:bidi="fr-FR"/>
        </w:rPr>
        <w:t>132 182</w:t>
      </w:r>
      <w:r w:rsidR="00316412" w:rsidRPr="00B83223">
        <w:rPr>
          <w:rFonts w:cs="Times New Roman"/>
          <w:lang w:bidi="fr-FR"/>
        </w:rPr>
        <w:t xml:space="preserve"> le nombre de personnes vivant avec le VIH en Guinée en 2018, dont </w:t>
      </w:r>
      <w:r w:rsidR="0093051D" w:rsidRPr="00B83223">
        <w:rPr>
          <w:lang w:bidi="fr-FR"/>
        </w:rPr>
        <w:t>10 657 </w:t>
      </w:r>
      <w:r w:rsidR="0008235F">
        <w:rPr>
          <w:rFonts w:cs="Times New Roman"/>
          <w:lang w:bidi="fr-FR"/>
        </w:rPr>
        <w:t xml:space="preserve">enfants âgés de 0 à 14 ans, </w:t>
      </w:r>
      <w:r w:rsidR="0093051D" w:rsidRPr="00B83223">
        <w:rPr>
          <w:lang w:bidi="fr-FR"/>
        </w:rPr>
        <w:t>72 989 femmes âgées de 15 ans et plus et 48 536 hommes âgés de 15 ans et plus [R]</w:t>
      </w:r>
      <w:r w:rsidR="00316412" w:rsidRPr="00B83223">
        <w:rPr>
          <w:rFonts w:cs="Times New Roman"/>
          <w:lang w:bidi="fr-FR"/>
        </w:rPr>
        <w:t xml:space="preserve">. </w:t>
      </w:r>
    </w:p>
    <w:p w14:paraId="3FB83413" w14:textId="5636E618" w:rsidR="00AD4A1D" w:rsidRDefault="00AD4A1D" w:rsidP="00AD4A1D">
      <w:pPr>
        <w:jc w:val="both"/>
      </w:pPr>
      <w:r>
        <w:rPr>
          <w:lang w:bidi="fr-FR"/>
        </w:rPr>
        <w:t xml:space="preserve">Entre 2005 et 2017, </w:t>
      </w:r>
      <w:r w:rsidR="00B13464">
        <w:rPr>
          <w:rFonts w:cs="Times New Roman"/>
          <w:lang w:bidi="fr-FR"/>
        </w:rPr>
        <w:t xml:space="preserve">l’incidence du VIH a diminué, passant de 0,97 à 0,66 nouvelles infections annuelles pour 1 000 personnes. Des estimations issues d’une étude de modélisation indiquent que la transmission hétérosexuelle au sein de couples stables représentait environ 20 % des nouveaux cas de VIH, les autres survenant chez </w:t>
      </w:r>
      <w:proofErr w:type="gramStart"/>
      <w:r w:rsidR="00B13464">
        <w:rPr>
          <w:rFonts w:cs="Times New Roman"/>
          <w:lang w:bidi="fr-FR"/>
        </w:rPr>
        <w:t>les professionnel</w:t>
      </w:r>
      <w:proofErr w:type="gramEnd"/>
      <w:r w:rsidR="00B13464">
        <w:rPr>
          <w:rFonts w:cs="Times New Roman"/>
          <w:lang w:bidi="fr-FR"/>
        </w:rPr>
        <w:t xml:space="preserve">(le)s du sexe, leurs clients et les partenaires de leurs clients, ainsi que chez les hommes ayant des relations sexuelles avec des hommes et leurs partenaires [r]. </w:t>
      </w:r>
    </w:p>
    <w:p w14:paraId="197ADB95" w14:textId="77EC27A9" w:rsidR="00E076AE" w:rsidRPr="00920B8E" w:rsidRDefault="001D0D44" w:rsidP="006224AA">
      <w:pPr>
        <w:jc w:val="both"/>
        <w:rPr>
          <w:b/>
          <w:sz w:val="20"/>
          <w:szCs w:val="20"/>
        </w:rPr>
      </w:pPr>
      <w:r>
        <w:rPr>
          <w:rFonts w:cs="Times New Roman"/>
          <w:lang w:bidi="fr-FR"/>
        </w:rPr>
        <w:t xml:space="preserve">Les populations clés enregistrent des taux de prévalence du VIH sensiblement supérieurs par rapport à la population globale. Les données fournies par </w:t>
      </w:r>
      <w:r w:rsidR="006813EC">
        <w:rPr>
          <w:rFonts w:cs="Times New Roman"/>
          <w:lang w:bidi="fr-FR"/>
        </w:rPr>
        <w:t xml:space="preserve">les </w:t>
      </w:r>
      <w:r>
        <w:rPr>
          <w:rFonts w:cs="Times New Roman"/>
          <w:lang w:bidi="fr-FR"/>
        </w:rPr>
        <w:t xml:space="preserve">ESCOMB pour 2017 indiquent une prévalence de </w:t>
      </w:r>
      <w:r w:rsidR="00920B8E" w:rsidRPr="006252AE">
        <w:rPr>
          <w:lang w:bidi="fr-FR"/>
        </w:rPr>
        <w:t>10,7</w:t>
      </w:r>
      <w:r w:rsidR="0021164E" w:rsidRPr="006252AE">
        <w:rPr>
          <w:rFonts w:cs="Times New Roman"/>
          <w:lang w:bidi="fr-FR"/>
        </w:rPr>
        <w:t> % chez les professionnelles du sexe et de 11,4 % chez les hommes ayant des relations sexuelles avec des hommes, sachant que ces taux peuvent être surévalués ou sous-évalués en raison des biais inhérents aux mesures de la prévalence du VIH induits lors des enquêtes relatives aux populations clés. Les taux de prévalence au sein des autres populations définies comme vulnérables à l’infection à VIH dans le contexte guinéen sont estimés à 2,3 % (détenus/-</w:t>
      </w:r>
      <w:proofErr w:type="spellStart"/>
      <w:r w:rsidR="0021164E" w:rsidRPr="006252AE">
        <w:rPr>
          <w:rFonts w:cs="Times New Roman"/>
          <w:lang w:bidi="fr-FR"/>
        </w:rPr>
        <w:t>ues</w:t>
      </w:r>
      <w:proofErr w:type="spellEnd"/>
      <w:r w:rsidR="0021164E" w:rsidRPr="006252AE">
        <w:rPr>
          <w:rFonts w:cs="Times New Roman"/>
          <w:lang w:bidi="fr-FR"/>
        </w:rPr>
        <w:t>), 3,5 % (hommes et femmes en uniforme), 2,3 % (conducteurs routiers et conductrices routières), 3,9 % (pêcheurs/-</w:t>
      </w:r>
      <w:proofErr w:type="spellStart"/>
      <w:r w:rsidR="0021164E" w:rsidRPr="006252AE">
        <w:rPr>
          <w:rFonts w:cs="Times New Roman"/>
          <w:lang w:bidi="fr-FR"/>
        </w:rPr>
        <w:t>euses</w:t>
      </w:r>
      <w:proofErr w:type="spellEnd"/>
      <w:r w:rsidR="0021164E" w:rsidRPr="006252AE">
        <w:rPr>
          <w:rFonts w:cs="Times New Roman"/>
          <w:lang w:bidi="fr-FR"/>
        </w:rPr>
        <w:t>) et 1,4 % (ouvriers/-</w:t>
      </w:r>
      <w:proofErr w:type="spellStart"/>
      <w:r w:rsidR="0021164E" w:rsidRPr="006252AE">
        <w:rPr>
          <w:rFonts w:cs="Times New Roman"/>
          <w:lang w:bidi="fr-FR"/>
        </w:rPr>
        <w:t>ières</w:t>
      </w:r>
      <w:proofErr w:type="spellEnd"/>
      <w:r w:rsidR="0021164E" w:rsidRPr="006252AE">
        <w:rPr>
          <w:rFonts w:cs="Times New Roman"/>
          <w:lang w:bidi="fr-FR"/>
        </w:rPr>
        <w:t xml:space="preserve">). D’après des estimations de la taille de la population réalisées par </w:t>
      </w:r>
      <w:r w:rsidR="006813EC">
        <w:rPr>
          <w:rFonts w:cs="Times New Roman"/>
          <w:lang w:bidi="fr-FR"/>
        </w:rPr>
        <w:t xml:space="preserve">les </w:t>
      </w:r>
      <w:r w:rsidR="0021164E" w:rsidRPr="006252AE">
        <w:rPr>
          <w:rFonts w:cs="Times New Roman"/>
          <w:lang w:bidi="fr-FR"/>
        </w:rPr>
        <w:t xml:space="preserve">ESCOMB en 2017, près d’un quart des PVVIH appartiennent aux populations clés ou vulnérables, tandis que les trois quarts des cas (définis comme extérieurs à ces populations clés et vulnérables) sont diagnostiqués au sein de la population globale (figure 3.1). </w:t>
      </w:r>
    </w:p>
    <w:p w14:paraId="1E5D00E1" w14:textId="31D0FE86" w:rsidR="001B250F" w:rsidRDefault="007A3856" w:rsidP="00D91998">
      <w:pPr>
        <w:pStyle w:val="Titre4"/>
      </w:pPr>
      <w:r>
        <w:rPr>
          <w:lang w:bidi="fr-FR"/>
        </w:rPr>
        <w:t>Figure 3.1 : Répartition des personnes vivant avec le VIH en Guinée, par sous-groupes de population</w:t>
      </w:r>
    </w:p>
    <w:p w14:paraId="0CC907C6" w14:textId="3F3F7111" w:rsidR="00B921E1" w:rsidRDefault="008365C5" w:rsidP="00C30618">
      <w:pPr>
        <w:jc w:val="center"/>
        <w:rPr>
          <w:rFonts w:cs="Times New Roman"/>
          <w:b/>
        </w:rPr>
      </w:pPr>
      <w:r>
        <w:rPr>
          <w:rFonts w:cs="Times New Roman"/>
          <w:b/>
          <w:noProof/>
          <w:lang w:bidi="fr-FR"/>
        </w:rPr>
        <mc:AlternateContent>
          <mc:Choice Requires="wps">
            <w:drawing>
              <wp:anchor distT="0" distB="0" distL="114300" distR="114300" simplePos="0" relativeHeight="251653632" behindDoc="0" locked="0" layoutInCell="1" allowOverlap="1" wp14:anchorId="7FE161B4" wp14:editId="169C9517">
                <wp:simplePos x="0" y="0"/>
                <wp:positionH relativeFrom="column">
                  <wp:posOffset>3347306</wp:posOffset>
                </wp:positionH>
                <wp:positionV relativeFrom="paragraph">
                  <wp:posOffset>2389891</wp:posOffset>
                </wp:positionV>
                <wp:extent cx="1612872" cy="261979"/>
                <wp:effectExtent l="0" t="0" r="6985" b="5080"/>
                <wp:wrapNone/>
                <wp:docPr id="22" name="Text Box 22"/>
                <wp:cNvGraphicFramePr/>
                <a:graphic xmlns:a="http://schemas.openxmlformats.org/drawingml/2006/main">
                  <a:graphicData uri="http://schemas.microsoft.com/office/word/2010/wordprocessingShape">
                    <wps:wsp>
                      <wps:cNvSpPr txBox="1"/>
                      <wps:spPr>
                        <a:xfrm>
                          <a:off x="0" y="0"/>
                          <a:ext cx="1612872" cy="261979"/>
                        </a:xfrm>
                        <a:prstGeom prst="rect">
                          <a:avLst/>
                        </a:prstGeom>
                        <a:solidFill>
                          <a:schemeClr val="lt1"/>
                        </a:solidFill>
                        <a:ln w="6350">
                          <a:noFill/>
                        </a:ln>
                      </wps:spPr>
                      <wps:txbx>
                        <w:txbxContent>
                          <w:p w14:paraId="31485099" w14:textId="45AB6600" w:rsidR="00A612E9" w:rsidRPr="008365C5" w:rsidRDefault="00A612E9">
                            <w:pPr>
                              <w:rPr>
                                <w:sz w:val="14"/>
                                <w:szCs w:val="14"/>
                              </w:rPr>
                            </w:pPr>
                            <w:r w:rsidRPr="008365C5">
                              <w:rPr>
                                <w:sz w:val="14"/>
                                <w:szCs w:val="14"/>
                                <w:lang w:bidi="fr-FR"/>
                              </w:rPr>
                              <w:t>Source : Spectrum et</w:t>
                            </w:r>
                            <w:r>
                              <w:rPr>
                                <w:lang w:bidi="fr-FR"/>
                              </w:rPr>
                              <w:t> </w:t>
                            </w:r>
                            <w:r w:rsidRPr="008365C5">
                              <w:rPr>
                                <w:sz w:val="14"/>
                                <w:szCs w:val="14"/>
                                <w:lang w:bidi="fr-FR"/>
                              </w:rPr>
                              <w:t>Escomb,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61B4" id="Text Box 22" o:spid="_x0000_s1027" type="#_x0000_t202" style="position:absolute;left:0;text-align:left;margin-left:263.55pt;margin-top:188.2pt;width:127pt;height:2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" fillcolor="white [3201]" stroked="f" strokeweight=".5pt">
                <v:textbox>
                  <w:txbxContent>
                    <w:p w14:paraId="31485099" w14:textId="45AB6600" w:rsidR="00A612E9" w:rsidRPr="008365C5" w:rsidRDefault="00A612E9">
                      <w:pPr>
                        <w:rPr>
                          <w:sz w:val="14"/>
                          <w:szCs w:val="14"/>
                        </w:rPr>
                      </w:pPr>
                      <w:r w:rsidRPr="008365C5">
                        <w:rPr>
                          <w:sz w:val="14"/>
                          <w:szCs w:val="14"/>
                          <w:lang w:bidi="fr-FR"/>
                        </w:rPr>
                        <w:t>Source : Spectrum et</w:t>
                      </w:r>
                      <w:r>
                        <w:rPr>
                          <w:lang w:bidi="fr-FR"/>
                        </w:rPr>
                        <w:t> </w:t>
                      </w:r>
                      <w:r w:rsidRPr="008365C5">
                        <w:rPr>
                          <w:sz w:val="14"/>
                          <w:szCs w:val="14"/>
                          <w:lang w:bidi="fr-FR"/>
                        </w:rPr>
                        <w:t>Escomb, 2017</w:t>
                      </w:r>
                    </w:p>
                  </w:txbxContent>
                </v:textbox>
              </v:shape>
            </w:pict>
          </mc:Fallback>
        </mc:AlternateContent>
      </w:r>
      <w:r w:rsidR="007076C3">
        <w:rPr>
          <w:rFonts w:cs="Times New Roman"/>
          <w:b/>
          <w:noProof/>
          <w:lang w:bidi="fr-FR"/>
        </w:rPr>
        <mc:AlternateContent>
          <mc:Choice Requires="wps">
            <w:drawing>
              <wp:anchor distT="0" distB="0" distL="114300" distR="114300" simplePos="0" relativeHeight="251637248" behindDoc="0" locked="0" layoutInCell="1" allowOverlap="1" wp14:anchorId="0309760F" wp14:editId="7A70AC3B">
                <wp:simplePos x="0" y="0"/>
                <wp:positionH relativeFrom="column">
                  <wp:posOffset>3840480</wp:posOffset>
                </wp:positionH>
                <wp:positionV relativeFrom="paragraph">
                  <wp:posOffset>204470</wp:posOffset>
                </wp:positionV>
                <wp:extent cx="826936" cy="49298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826936" cy="492980"/>
                        </a:xfrm>
                        <a:prstGeom prst="rect">
                          <a:avLst/>
                        </a:prstGeom>
                        <a:solidFill>
                          <a:schemeClr val="lt1"/>
                        </a:solidFill>
                        <a:ln w="6350">
                          <a:noFill/>
                        </a:ln>
                      </wps:spPr>
                      <wps:txbx>
                        <w:txbxContent>
                          <w:p w14:paraId="22670B66" w14:textId="4132579C" w:rsidR="00A612E9" w:rsidRDefault="00A612E9">
                            <w:r>
                              <w:rPr>
                                <w:lang w:bidi="fr-FR"/>
                              </w:rPr>
                              <w:t>n = </w:t>
                            </w:r>
                            <w:r w:rsidRPr="00F7728D">
                              <w:rPr>
                                <w:sz w:val="20"/>
                                <w:szCs w:val="20"/>
                                <w:lang w:bidi="fr-FR"/>
                              </w:rPr>
                              <w:t>109 050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9760F" id="Text Box 14" o:spid="_x0000_s1028" type="#_x0000_t202" style="position:absolute;left:0;text-align:left;margin-left:302.4pt;margin-top:16.1pt;width:65.1pt;height:3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" fillcolor="white [3201]" stroked="f" strokeweight=".5pt">
                <v:textbox>
                  <w:txbxContent>
                    <w:p w14:paraId="22670B66" w14:textId="4132579C" w:rsidR="00A612E9" w:rsidRDefault="00A612E9">
                      <w:r>
                        <w:rPr>
                          <w:lang w:bidi="fr-FR"/>
                        </w:rPr>
                        <w:t>n = </w:t>
                      </w:r>
                      <w:r w:rsidRPr="00F7728D">
                        <w:rPr>
                          <w:sz w:val="20"/>
                          <w:szCs w:val="20"/>
                          <w:lang w:bidi="fr-FR"/>
                        </w:rPr>
                        <w:t>109 050</w:t>
                      </w:r>
                    </w:p>
                  </w:txbxContent>
                </v:textbox>
              </v:shape>
            </w:pict>
          </mc:Fallback>
        </mc:AlternateContent>
      </w:r>
      <w:r w:rsidR="00D15522" w:rsidRPr="00D15522">
        <w:rPr>
          <w:rFonts w:cs="Times New Roman"/>
          <w:b/>
          <w:noProof/>
          <w:lang w:bidi="fr-FR"/>
        </w:rPr>
        <w:drawing>
          <wp:inline distT="0" distB="0" distL="0" distR="0" wp14:anchorId="7E6AE534" wp14:editId="4F12448B">
            <wp:extent cx="4301656" cy="2676979"/>
            <wp:effectExtent l="0" t="0" r="381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4301656" cy="2676979"/>
                    </a:xfrm>
                    <a:prstGeom prst="rect">
                      <a:avLst/>
                    </a:prstGeom>
                  </pic:spPr>
                </pic:pic>
              </a:graphicData>
            </a:graphic>
          </wp:inline>
        </w:drawing>
      </w:r>
    </w:p>
    <w:p w14:paraId="14F368EE" w14:textId="6241B5FD" w:rsidR="00E45089" w:rsidRDefault="00E45089" w:rsidP="00E45089"/>
    <w:p w14:paraId="60D645DE" w14:textId="4640D338" w:rsidR="0038523F" w:rsidRPr="0038523F" w:rsidRDefault="0020085D" w:rsidP="002220A2">
      <w:pPr>
        <w:pStyle w:val="Titre2"/>
      </w:pPr>
      <w:bookmarkStart w:id="19" w:name="_Toc8400018"/>
      <w:r>
        <w:rPr>
          <w:lang w:bidi="fr-FR"/>
        </w:rPr>
        <w:lastRenderedPageBreak/>
        <w:t>3.2 Répartition des cas de VIH par âge, sexe et région</w:t>
      </w:r>
      <w:bookmarkEnd w:id="19"/>
    </w:p>
    <w:p w14:paraId="7410DA2D" w14:textId="0BDA2E31" w:rsidR="000125CD" w:rsidRDefault="00805BE1" w:rsidP="00D81513">
      <w:pPr>
        <w:jc w:val="both"/>
      </w:pPr>
      <w:r>
        <w:rPr>
          <w:lang w:bidi="fr-FR"/>
        </w:rPr>
        <w:t xml:space="preserve">Les estimations de Spectrum relatives à la prévalence du VIH par sexe en 2016 indiquent un taux de 1,9 % chez les femmes et de 1,1 % chez les hommes (individus âgés de 15 à 49 ans). L’enquête démographique et de santé réalisée en 2018 estime le taux de prévalence du VIH chez les hommes de 1,3 % et de 1,6 % chez les femmes (individus âgés de 15 à 49 ans), celles-ci présentant habituellement un pic plus précoce et plus élevé. Elle révèle également une légère baisse de la prévalence chez les femmes par rapport à la précédente enquête de 2012 (figure 3.2). </w:t>
      </w:r>
    </w:p>
    <w:p w14:paraId="3B627256" w14:textId="6AB526E0" w:rsidR="0075128C" w:rsidRDefault="00DF681D" w:rsidP="0075128C">
      <w:pPr>
        <w:pStyle w:val="Titre4"/>
      </w:pPr>
      <w:r w:rsidRPr="000125CD">
        <w:rPr>
          <w:noProof/>
          <w:lang w:bidi="fr-FR"/>
        </w:rPr>
        <w:drawing>
          <wp:anchor distT="0" distB="0" distL="114300" distR="114300" simplePos="0" relativeHeight="251633152" behindDoc="0" locked="0" layoutInCell="1" allowOverlap="1" wp14:anchorId="164E6719" wp14:editId="32D0BB83">
            <wp:simplePos x="0" y="0"/>
            <wp:positionH relativeFrom="margin">
              <wp:align>left</wp:align>
            </wp:positionH>
            <wp:positionV relativeFrom="paragraph">
              <wp:posOffset>244032</wp:posOffset>
            </wp:positionV>
            <wp:extent cx="2892425" cy="1927860"/>
            <wp:effectExtent l="0" t="0" r="3175" b="15240"/>
            <wp:wrapSquare wrapText="bothSides"/>
            <wp:docPr id="244" name="Grafiek 244">
              <a:extLst xmlns:a="http://schemas.openxmlformats.org/drawingml/2006/main">
                <a:ext uri="{FF2B5EF4-FFF2-40B4-BE49-F238E27FC236}">
                  <a16:creationId xmlns:a16="http://schemas.microsoft.com/office/drawing/2014/main" id="{C74A7E20-D8E8-41DE-BA4A-1C4E578DC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125CD">
        <w:rPr>
          <w:noProof/>
        </w:rPr>
        <w:drawing>
          <wp:anchor distT="0" distB="0" distL="114300" distR="114300" simplePos="0" relativeHeight="251634176" behindDoc="0" locked="0" layoutInCell="1" allowOverlap="1" wp14:anchorId="220E6CB0" wp14:editId="315D82D0">
            <wp:simplePos x="0" y="0"/>
            <wp:positionH relativeFrom="margin">
              <wp:posOffset>2931160</wp:posOffset>
            </wp:positionH>
            <wp:positionV relativeFrom="paragraph">
              <wp:posOffset>241935</wp:posOffset>
            </wp:positionV>
            <wp:extent cx="2994660" cy="1927860"/>
            <wp:effectExtent l="0" t="0" r="15240" b="15240"/>
            <wp:wrapSquare wrapText="bothSides"/>
            <wp:docPr id="251" name="Grafiek 251">
              <a:extLst xmlns:a="http://schemas.openxmlformats.org/drawingml/2006/main">
                <a:ext uri="{FF2B5EF4-FFF2-40B4-BE49-F238E27FC236}">
                  <a16:creationId xmlns:a16="http://schemas.microsoft.com/office/drawing/2014/main" id="{BD6E03ED-573D-4FC7-BA19-7D5419932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5128C">
        <w:t xml:space="preserve">Figure 3.2 : Prévalence du VIH par sexe et par âge d’après des enquêtes démographiques et de </w:t>
      </w:r>
      <w:proofErr w:type="gramStart"/>
      <w:r w:rsidR="0075128C">
        <w:t>santé successives</w:t>
      </w:r>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681D" w:rsidRPr="001B07C6" w14:paraId="317866A6" w14:textId="77777777" w:rsidTr="00712A0D">
        <w:tc>
          <w:tcPr>
            <w:tcW w:w="9016" w:type="dxa"/>
          </w:tcPr>
          <w:p w14:paraId="7F9519AD" w14:textId="7301476C" w:rsidR="00DF681D" w:rsidRDefault="00DF681D" w:rsidP="00DF681D">
            <w:pPr>
              <w:jc w:val="both"/>
              <w:rPr>
                <w:sz w:val="14"/>
                <w:szCs w:val="14"/>
              </w:rPr>
            </w:pPr>
            <w:r w:rsidRPr="005361C5">
              <w:rPr>
                <w:sz w:val="14"/>
                <w:szCs w:val="14"/>
                <w:lang w:bidi="fr-FR"/>
              </w:rPr>
              <w:t xml:space="preserve">Source : </w:t>
            </w:r>
            <w:r w:rsidR="004461F2">
              <w:rPr>
                <w:sz w:val="14"/>
                <w:szCs w:val="14"/>
                <w:lang w:bidi="fr-FR"/>
              </w:rPr>
              <w:t>R</w:t>
            </w:r>
            <w:r w:rsidRPr="005361C5">
              <w:rPr>
                <w:sz w:val="14"/>
                <w:szCs w:val="14"/>
                <w:lang w:bidi="fr-FR"/>
              </w:rPr>
              <w:t>evue épidémiologique et programmatique, et analyse des cascades en Guinée : rapport préliminaire</w:t>
            </w:r>
          </w:p>
          <w:p w14:paraId="193E0413" w14:textId="77777777" w:rsidR="00712A0D" w:rsidRDefault="00712A0D" w:rsidP="00DF681D">
            <w:pPr>
              <w:jc w:val="both"/>
              <w:rPr>
                <w:sz w:val="14"/>
                <w:szCs w:val="14"/>
              </w:rPr>
            </w:pPr>
          </w:p>
          <w:p w14:paraId="021D19EE" w14:textId="3CF4DFE4" w:rsidR="00712A0D" w:rsidRPr="00DF681D" w:rsidRDefault="00712A0D" w:rsidP="00DF681D">
            <w:pPr>
              <w:jc w:val="both"/>
              <w:rPr>
                <w:sz w:val="14"/>
                <w:szCs w:val="14"/>
              </w:rPr>
            </w:pPr>
          </w:p>
        </w:tc>
      </w:tr>
    </w:tbl>
    <w:p w14:paraId="6F996899" w14:textId="57A8BF10" w:rsidR="00CA6940" w:rsidRDefault="00FB7560" w:rsidP="00D81513">
      <w:pPr>
        <w:jc w:val="both"/>
      </w:pPr>
      <w:r>
        <w:rPr>
          <w:lang w:bidi="fr-FR"/>
        </w:rPr>
        <w:t>Le nombre des PVVIH a été calculé par approximation pour chaque tranche d’âge et par sexe, en appliquant le taux de prévalence du VIH estimé en 2018 à la population estimée dans chaque tranche d’âge. La part de la population représentée par les jeunes, plus importante, a donné lieu à un nombre relativement élevé de jeunes femmes vivant avec le VIH (figure 3.3).</w:t>
      </w:r>
    </w:p>
    <w:p w14:paraId="5B586686" w14:textId="77777777" w:rsidR="00A46ADD" w:rsidRDefault="00A46ADD" w:rsidP="00640AAB">
      <w:pPr>
        <w:pStyle w:val="Titre4"/>
        <w:rPr>
          <w:rFonts w:asciiTheme="minorHAnsi" w:eastAsiaTheme="minorHAnsi" w:hAnsiTheme="minorHAnsi" w:cstheme="minorBidi"/>
          <w:i w:val="0"/>
          <w:iCs w:val="0"/>
        </w:rPr>
      </w:pPr>
    </w:p>
    <w:p w14:paraId="36E1E8BC" w14:textId="3AF81C09" w:rsidR="00640AAB" w:rsidRDefault="00640AAB" w:rsidP="00640AAB">
      <w:pPr>
        <w:pStyle w:val="Titre4"/>
      </w:pPr>
      <w:r>
        <w:rPr>
          <w:lang w:bidi="fr-FR"/>
        </w:rPr>
        <w:t>Figure 3.3 : Estimation du nombre de PVVIH en 2018, par sexe et par âge</w:t>
      </w:r>
    </w:p>
    <w:p w14:paraId="478A2C41" w14:textId="68C6406E" w:rsidR="00AC10C2" w:rsidRDefault="00AC10C2" w:rsidP="00C30618">
      <w:pPr>
        <w:jc w:val="center"/>
      </w:pPr>
      <w:r w:rsidRPr="00AC10C2">
        <w:rPr>
          <w:noProof/>
          <w:lang w:bidi="fr-FR"/>
        </w:rPr>
        <w:drawing>
          <wp:inline distT="0" distB="0" distL="0" distR="0" wp14:anchorId="4C0406AE" wp14:editId="63220134">
            <wp:extent cx="4375150" cy="242401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2284" cy="2427968"/>
                    </a:xfrm>
                    <a:prstGeom prst="rect">
                      <a:avLst/>
                    </a:prstGeom>
                    <a:noFill/>
                    <a:ln>
                      <a:noFill/>
                    </a:ln>
                  </pic:spPr>
                </pic:pic>
              </a:graphicData>
            </a:graphic>
          </wp:inline>
        </w:drawing>
      </w:r>
    </w:p>
    <w:p w14:paraId="75A51B4D" w14:textId="3E1406AA" w:rsidR="008C0EA2" w:rsidRPr="007E0A83" w:rsidRDefault="008C0EA2" w:rsidP="008C0EA2">
      <w:pPr>
        <w:jc w:val="both"/>
        <w:rPr>
          <w:sz w:val="14"/>
          <w:szCs w:val="14"/>
        </w:rPr>
      </w:pPr>
      <w:r w:rsidRPr="007E0A83">
        <w:rPr>
          <w:sz w:val="14"/>
          <w:szCs w:val="14"/>
          <w:lang w:bidi="fr-FR"/>
        </w:rPr>
        <w:t>Source : Enquête démographique et de santé, 2018</w:t>
      </w:r>
    </w:p>
    <w:p w14:paraId="4B76CEE7" w14:textId="77777777" w:rsidR="00790E28" w:rsidRDefault="00790E28" w:rsidP="00D81513">
      <w:pPr>
        <w:jc w:val="both"/>
      </w:pPr>
    </w:p>
    <w:p w14:paraId="5E6B04F2" w14:textId="3AC8FBF6" w:rsidR="00B31CC1" w:rsidRDefault="00790E28" w:rsidP="00D81513">
      <w:pPr>
        <w:jc w:val="both"/>
      </w:pPr>
      <w:r>
        <w:rPr>
          <w:lang w:bidi="fr-FR"/>
        </w:rPr>
        <w:t xml:space="preserve">Des analyses des données issues des enquêtes démographiques et de santé de 2005, 2012 et 2018, présentées dans l’étude épidémiologique de 2018 relative à la Guinée, indiquent une plus forte </w:t>
      </w:r>
      <w:r>
        <w:rPr>
          <w:lang w:bidi="fr-FR"/>
        </w:rPr>
        <w:lastRenderedPageBreak/>
        <w:t xml:space="preserve">prévalence du VIH dans les zones urbaines parmi les femmes, et non parmi les hommes (R). L’étude en a conclu que la prévalence du VIH était probablement plus élevée dans la région de Conakry que dans les autres régions, ce qui s’explique sans doute en partie par son urbanisation relativement plus importante.  </w:t>
      </w:r>
    </w:p>
    <w:p w14:paraId="51A7B371" w14:textId="07329E66" w:rsidR="00556B66" w:rsidRDefault="00D53542" w:rsidP="00D81513">
      <w:pPr>
        <w:jc w:val="both"/>
      </w:pPr>
      <w:r>
        <w:rPr>
          <w:lang w:bidi="fr-FR"/>
        </w:rPr>
        <w:t>La répartition des PVVIH par région est illustrée par la figure 3.4, d’après les données issues de l’étude épidémiologique de 2018 (R). Le nombre total de cas par région varie entre 9 116 à Mamou et 38 741 à Conakry. Plus de la moitié des cas sont enregistrés dans les régions de N’</w:t>
      </w:r>
      <w:proofErr w:type="spellStart"/>
      <w:r>
        <w:rPr>
          <w:lang w:bidi="fr-FR"/>
        </w:rPr>
        <w:t>Zerekore</w:t>
      </w:r>
      <w:proofErr w:type="spellEnd"/>
      <w:r>
        <w:rPr>
          <w:lang w:bidi="fr-FR"/>
        </w:rPr>
        <w:t>, Conakry et Kankan.</w:t>
      </w:r>
    </w:p>
    <w:p w14:paraId="16961DDC" w14:textId="01C16E72" w:rsidR="00001674" w:rsidRPr="00001674" w:rsidRDefault="00001674" w:rsidP="00001674">
      <w:pPr>
        <w:pStyle w:val="Titre4"/>
      </w:pPr>
      <w:r>
        <w:rPr>
          <w:lang w:bidi="fr-FR"/>
        </w:rPr>
        <w:t>Figure 3.4 : Estimation du nombre de PVVIH en 2017, par région</w:t>
      </w:r>
    </w:p>
    <w:p w14:paraId="543AF272" w14:textId="24EB0194" w:rsidR="009E5B3F" w:rsidRDefault="00FE2EA8" w:rsidP="00F23B9F">
      <w:pPr>
        <w:jc w:val="center"/>
        <w:rPr>
          <w:noProof/>
          <w:lang w:eastAsia="fr-FR"/>
        </w:rPr>
      </w:pPr>
      <w:r>
        <w:rPr>
          <w:noProof/>
          <w:lang w:bidi="fr-FR"/>
        </w:rPr>
        <mc:AlternateContent>
          <mc:Choice Requires="wps">
            <w:drawing>
              <wp:anchor distT="0" distB="0" distL="114300" distR="114300" simplePos="0" relativeHeight="251638272" behindDoc="0" locked="0" layoutInCell="1" allowOverlap="1" wp14:anchorId="15F85C06" wp14:editId="7A064771">
                <wp:simplePos x="0" y="0"/>
                <wp:positionH relativeFrom="column">
                  <wp:posOffset>4047214</wp:posOffset>
                </wp:positionH>
                <wp:positionV relativeFrom="paragraph">
                  <wp:posOffset>157811</wp:posOffset>
                </wp:positionV>
                <wp:extent cx="1005012" cy="698500"/>
                <wp:effectExtent l="0" t="0" r="5080" b="6350"/>
                <wp:wrapNone/>
                <wp:docPr id="20" name="Text Box 20"/>
                <wp:cNvGraphicFramePr/>
                <a:graphic xmlns:a="http://schemas.openxmlformats.org/drawingml/2006/main">
                  <a:graphicData uri="http://schemas.microsoft.com/office/word/2010/wordprocessingShape">
                    <wps:wsp>
                      <wps:cNvSpPr txBox="1"/>
                      <wps:spPr>
                        <a:xfrm>
                          <a:off x="0" y="0"/>
                          <a:ext cx="1005012" cy="698500"/>
                        </a:xfrm>
                        <a:prstGeom prst="rect">
                          <a:avLst/>
                        </a:prstGeom>
                        <a:solidFill>
                          <a:schemeClr val="lt1"/>
                        </a:solidFill>
                        <a:ln w="6350">
                          <a:noFill/>
                        </a:ln>
                      </wps:spPr>
                      <wps:txbx>
                        <w:txbxContent>
                          <w:p w14:paraId="102BD2DF" w14:textId="30BAFDF2" w:rsidR="00A612E9" w:rsidRDefault="00A612E9">
                            <w:r>
                              <w:rPr>
                                <w:rFonts w:ascii="Calibri" w:eastAsia="Calibri" w:hAnsi="Calibri" w:cs="Calibri"/>
                                <w:lang w:bidi="fr-FR"/>
                              </w:rPr>
                              <w:t>N = 129 140*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85C06" id="Text Box 20" o:spid="_x0000_s1029" type="#_x0000_t202" style="position:absolute;left:0;text-align:left;margin-left:318.7pt;margin-top:12.45pt;width:79.15pt;height:5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" fillcolor="white [3201]" stroked="f" strokeweight=".5pt">
                <v:textbox>
                  <w:txbxContent>
                    <w:p w14:paraId="102BD2DF" w14:textId="30BAFDF2" w:rsidR="00A612E9" w:rsidRDefault="00A612E9">
                      <w:r>
                        <w:rPr>
                          <w:rFonts w:ascii="Calibri" w:eastAsia="Calibri" w:hAnsi="Calibri" w:cs="Calibri"/>
                          <w:lang w:bidi="fr-FR"/>
                        </w:rPr>
                        <w:t>N = 129 140*</w:t>
                      </w:r>
                    </w:p>
                  </w:txbxContent>
                </v:textbox>
              </v:shape>
            </w:pict>
          </mc:Fallback>
        </mc:AlternateContent>
      </w:r>
      <w:r w:rsidR="005C1625" w:rsidRPr="005C1625">
        <w:rPr>
          <w:noProof/>
          <w:lang w:bidi="fr-FR"/>
        </w:rPr>
        <w:drawing>
          <wp:inline distT="0" distB="0" distL="0" distR="0" wp14:anchorId="492AD2F7" wp14:editId="691A326C">
            <wp:extent cx="4661883" cy="2793205"/>
            <wp:effectExtent l="0" t="0" r="5715"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680035" cy="2804081"/>
                    </a:xfrm>
                    <a:prstGeom prst="rect">
                      <a:avLst/>
                    </a:prstGeom>
                  </pic:spPr>
                </pic:pic>
              </a:graphicData>
            </a:graphic>
          </wp:inline>
        </w:drawing>
      </w:r>
    </w:p>
    <w:p w14:paraId="66A84489" w14:textId="5DEFA69F" w:rsidR="000D19D5" w:rsidRPr="000E6BF0" w:rsidRDefault="000D19D5" w:rsidP="0002676E">
      <w:pPr>
        <w:rPr>
          <w:i/>
          <w:noProof/>
          <w:sz w:val="18"/>
          <w:szCs w:val="18"/>
          <w:lang w:eastAsia="fr-FR"/>
        </w:rPr>
      </w:pPr>
      <w:r w:rsidRPr="000D19D5">
        <w:rPr>
          <w:noProof/>
          <w:lang w:bidi="fr-FR"/>
        </w:rPr>
        <w:t>* </w:t>
      </w:r>
      <w:r w:rsidRPr="00FD14EA">
        <w:rPr>
          <w:noProof/>
          <w:sz w:val="18"/>
          <w:szCs w:val="18"/>
          <w:lang w:bidi="fr-FR"/>
        </w:rPr>
        <w:t>Il est à noter que le nombre total de PVVIH en 2017 englobe à la fois les adultes et les enfants</w:t>
      </w:r>
      <w:r w:rsidR="004461F2">
        <w:rPr>
          <w:noProof/>
          <w:sz w:val="18"/>
          <w:szCs w:val="18"/>
          <w:lang w:bidi="fr-FR"/>
        </w:rPr>
        <w:t>.</w:t>
      </w:r>
    </w:p>
    <w:p w14:paraId="5C58A1BC" w14:textId="286DE38A" w:rsidR="00C0183B" w:rsidRPr="00AB6C4F" w:rsidRDefault="00C0183B" w:rsidP="00AB6C4F">
      <w:pPr>
        <w:rPr>
          <w:rFonts w:asciiTheme="majorHAnsi" w:eastAsia="BrandonText-Light" w:hAnsiTheme="majorHAnsi" w:cstheme="majorBidi"/>
          <w:b/>
          <w:sz w:val="26"/>
          <w:szCs w:val="26"/>
        </w:rPr>
      </w:pPr>
    </w:p>
    <w:p w14:paraId="31816C8A" w14:textId="3DDC9568" w:rsidR="00844F19" w:rsidRDefault="00012F00" w:rsidP="00844F19">
      <w:pPr>
        <w:pStyle w:val="Titre2"/>
        <w:rPr>
          <w:rFonts w:eastAsia="BrandonText-Light"/>
        </w:rPr>
      </w:pPr>
      <w:bookmarkStart w:id="20" w:name="_Toc8400019"/>
      <w:r>
        <w:rPr>
          <w:rFonts w:eastAsia="BrandonText-Light"/>
          <w:lang w:bidi="fr-FR"/>
        </w:rPr>
        <w:t>3.3 Connaissance du statut VIH</w:t>
      </w:r>
      <w:bookmarkEnd w:id="20"/>
    </w:p>
    <w:p w14:paraId="7958665E" w14:textId="718747A3" w:rsidR="003720C3" w:rsidRDefault="007964D6" w:rsidP="007C6CD8">
      <w:pPr>
        <w:jc w:val="both"/>
      </w:pPr>
      <w:r w:rsidRPr="00341F5A">
        <w:rPr>
          <w:lang w:bidi="fr-FR"/>
        </w:rPr>
        <w:t>Il est important de connaître la proportion des PVVIH ayant connaissance de leur statut (objectif du « premier 90 »), afin d’orienter la stratégie différenciée de dépistage du VIH et de définir les futurs objectifs afférents. Cependant, ces statistiques sont difficiles à établir et à interpréter. En utilisant les méthodes rudimentaires décrites dans la section 2, on estime que 50 % des adultes vivant avec le VIH en Guinée connaissent leur statut, cette proportion étant supérieure chez les femmes (58 %) par rapport aux hommes (34 %) (figure 3.5).</w:t>
      </w:r>
    </w:p>
    <w:p w14:paraId="21A26E21" w14:textId="38AB0A09" w:rsidR="00017716" w:rsidRPr="00001674" w:rsidRDefault="00017716" w:rsidP="00017716">
      <w:pPr>
        <w:pStyle w:val="Titre4"/>
      </w:pPr>
      <w:r>
        <w:rPr>
          <w:lang w:bidi="fr-FR"/>
        </w:rPr>
        <w:lastRenderedPageBreak/>
        <w:t>Figure 3.5 : Proportion de PVVIH ayant connaissance de leur statut en 2017, par sexe</w:t>
      </w:r>
    </w:p>
    <w:p w14:paraId="0C7876E3" w14:textId="138A970B" w:rsidR="00F30770" w:rsidRDefault="00834FBF" w:rsidP="00535F15">
      <w:pPr>
        <w:jc w:val="center"/>
      </w:pPr>
      <w:r w:rsidRPr="009610AD">
        <w:rPr>
          <w:noProof/>
          <w:lang w:bidi="fr-FR"/>
        </w:rPr>
        <mc:AlternateContent>
          <mc:Choice Requires="wps">
            <w:drawing>
              <wp:anchor distT="0" distB="0" distL="114300" distR="114300" simplePos="0" relativeHeight="251639296" behindDoc="0" locked="0" layoutInCell="1" allowOverlap="1" wp14:anchorId="184B0AB1" wp14:editId="4A99F1E7">
                <wp:simplePos x="0" y="0"/>
                <wp:positionH relativeFrom="column">
                  <wp:posOffset>2471088</wp:posOffset>
                </wp:positionH>
                <wp:positionV relativeFrom="paragraph">
                  <wp:posOffset>5274034</wp:posOffset>
                </wp:positionV>
                <wp:extent cx="757538" cy="452566"/>
                <wp:effectExtent l="0" t="0" r="0" b="5080"/>
                <wp:wrapNone/>
                <wp:docPr id="31" name="TextBox 5"/>
                <wp:cNvGraphicFramePr/>
                <a:graphic xmlns:a="http://schemas.openxmlformats.org/drawingml/2006/main">
                  <a:graphicData uri="http://schemas.microsoft.com/office/word/2010/wordprocessingShape">
                    <wps:wsp>
                      <wps:cNvSpPr txBox="1"/>
                      <wps:spPr>
                        <a:xfrm>
                          <a:off x="0" y="0"/>
                          <a:ext cx="757538" cy="4525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2EFBB0" w14:textId="77777777" w:rsidR="00A612E9" w:rsidRPr="00C21E1D" w:rsidRDefault="00A612E9" w:rsidP="009610AD">
                            <w:pPr>
                              <w:pStyle w:val="NormalWeb"/>
                              <w:spacing w:before="0" w:beforeAutospacing="0" w:after="0" w:afterAutospacing="0"/>
                              <w:rPr>
                                <w:sz w:val="30"/>
                                <w:szCs w:val="30"/>
                              </w:rPr>
                            </w:pPr>
                            <w:r w:rsidRPr="00C21E1D">
                              <w:rPr>
                                <w:rFonts w:asciiTheme="minorHAnsi" w:eastAsia="Calibri" w:hAnsi="Calibri" w:cstheme="minorBidi"/>
                                <w:b/>
                                <w:color w:val="000000" w:themeColor="dark1"/>
                                <w:kern w:val="24"/>
                                <w:sz w:val="30"/>
                                <w:szCs w:val="30"/>
                                <w:lang w:bidi="fr-FR"/>
                              </w:rPr>
                              <w:t>34 %</w:t>
                            </w:r>
                          </w:p>
                        </w:txbxContent>
                      </wps:txbx>
                      <wps:bodyPr wrap="square" rtlCol="0" anchor="t"/>
                    </wps:wsp>
                  </a:graphicData>
                </a:graphic>
                <wp14:sizeRelH relativeFrom="margin">
                  <wp14:pctWidth>0</wp14:pctWidth>
                </wp14:sizeRelH>
                <wp14:sizeRelV relativeFrom="margin">
                  <wp14:pctHeight>0</wp14:pctHeight>
                </wp14:sizeRelV>
              </wp:anchor>
            </w:drawing>
          </mc:Choice>
          <mc:Fallback>
            <w:pict>
              <v:shape w14:anchorId="184B0AB1" id="TextBox 5" o:spid="_x0000_s1030" type="#_x0000_t202" style="position:absolute;left:0;text-align:left;margin-left:194.55pt;margin-top:415.3pt;width:59.65pt;height:3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" filled="f" stroked="f">
                <v:textbox>
                  <w:txbxContent>
                    <w:p w14:paraId="572EFBB0" w14:textId="77777777" w:rsidR="00A612E9" w:rsidRPr="00C21E1D" w:rsidRDefault="00A612E9" w:rsidP="009610AD">
                      <w:pPr>
                        <w:pStyle w:val="NormalWeb"/>
                        <w:spacing w:before="0" w:beforeAutospacing="0" w:after="0" w:afterAutospacing="0"/>
                        <w:rPr>
                          <w:sz w:val="30"/>
                          <w:szCs w:val="30"/>
                        </w:rPr>
                      </w:pPr>
                      <w:r w:rsidRPr="00C21E1D">
                        <w:rPr>
                          <w:rFonts w:asciiTheme="minorHAnsi" w:eastAsia="Calibri" w:hAnsi="Calibri" w:cstheme="minorBidi"/>
                          <w:b/>
                          <w:color w:val="000000" w:themeColor="dark1"/>
                          <w:kern w:val="24"/>
                          <w:sz w:val="30"/>
                          <w:szCs w:val="30"/>
                          <w:lang w:bidi="fr-FR"/>
                        </w:rPr>
                        <w:t>34 %</w:t>
                      </w:r>
                    </w:p>
                  </w:txbxContent>
                </v:textbox>
              </v:shape>
            </w:pict>
          </mc:Fallback>
        </mc:AlternateContent>
      </w:r>
      <w:r w:rsidRPr="009610AD">
        <w:rPr>
          <w:noProof/>
          <w:lang w:bidi="fr-FR"/>
        </w:rPr>
        <mc:AlternateContent>
          <mc:Choice Requires="wps">
            <w:drawing>
              <wp:anchor distT="0" distB="0" distL="114300" distR="114300" simplePos="0" relativeHeight="251642368" behindDoc="0" locked="0" layoutInCell="1" allowOverlap="1" wp14:anchorId="5924E6FA" wp14:editId="06007228">
                <wp:simplePos x="0" y="0"/>
                <wp:positionH relativeFrom="column">
                  <wp:posOffset>1397331</wp:posOffset>
                </wp:positionH>
                <wp:positionV relativeFrom="paragraph">
                  <wp:posOffset>5283917</wp:posOffset>
                </wp:positionV>
                <wp:extent cx="757538" cy="452566"/>
                <wp:effectExtent l="0" t="0" r="0" b="5080"/>
                <wp:wrapNone/>
                <wp:docPr id="225" name="TextBox 5"/>
                <wp:cNvGraphicFramePr/>
                <a:graphic xmlns:a="http://schemas.openxmlformats.org/drawingml/2006/main">
                  <a:graphicData uri="http://schemas.microsoft.com/office/word/2010/wordprocessingShape">
                    <wps:wsp>
                      <wps:cNvSpPr txBox="1"/>
                      <wps:spPr>
                        <a:xfrm>
                          <a:off x="0" y="0"/>
                          <a:ext cx="757538" cy="4525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79F3F1" w14:textId="77777777" w:rsidR="00A612E9" w:rsidRPr="009610AD" w:rsidRDefault="00A612E9" w:rsidP="009610AD">
                            <w:pPr>
                              <w:pStyle w:val="NormalWeb"/>
                              <w:spacing w:before="0" w:beforeAutospacing="0" w:after="0" w:afterAutospacing="0"/>
                              <w:rPr>
                                <w:sz w:val="30"/>
                                <w:szCs w:val="30"/>
                              </w:rPr>
                            </w:pPr>
                            <w:r w:rsidRPr="009610AD">
                              <w:rPr>
                                <w:rFonts w:asciiTheme="minorHAnsi" w:eastAsia="Calibri" w:hAnsi="Calibri" w:cstheme="minorBidi"/>
                                <w:b/>
                                <w:color w:val="000000" w:themeColor="dark1"/>
                                <w:kern w:val="24"/>
                                <w:sz w:val="30"/>
                                <w:szCs w:val="30"/>
                                <w:lang w:bidi="fr-FR"/>
                              </w:rPr>
                              <w:t>34 %</w:t>
                            </w:r>
                          </w:p>
                        </w:txbxContent>
                      </wps:txbx>
                      <wps:bodyPr wrap="square" rtlCol="0" anchor="t"/>
                    </wps:wsp>
                  </a:graphicData>
                </a:graphic>
                <wp14:sizeRelH relativeFrom="margin">
                  <wp14:pctWidth>0</wp14:pctWidth>
                </wp14:sizeRelH>
                <wp14:sizeRelV relativeFrom="margin">
                  <wp14:pctHeight>0</wp14:pctHeight>
                </wp14:sizeRelV>
              </wp:anchor>
            </w:drawing>
          </mc:Choice>
          <mc:Fallback>
            <w:pict>
              <v:shape w14:anchorId="5924E6FA" id="_x0000_s1031" type="#_x0000_t202" style="position:absolute;left:0;text-align:left;margin-left:110.05pt;margin-top:416.05pt;width:59.65pt;height:35.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" filled="f" stroked="f">
                <v:textbox>
                  <w:txbxContent>
                    <w:p w14:paraId="2579F3F1" w14:textId="77777777" w:rsidR="00A612E9" w:rsidRPr="009610AD" w:rsidRDefault="00A612E9" w:rsidP="009610AD">
                      <w:pPr>
                        <w:pStyle w:val="NormalWeb"/>
                        <w:spacing w:before="0" w:beforeAutospacing="0" w:after="0" w:afterAutospacing="0"/>
                        <w:rPr>
                          <w:sz w:val="30"/>
                          <w:szCs w:val="30"/>
                        </w:rPr>
                      </w:pPr>
                      <w:r w:rsidRPr="009610AD">
                        <w:rPr>
                          <w:rFonts w:asciiTheme="minorHAnsi" w:eastAsia="Calibri" w:hAnsi="Calibri" w:cstheme="minorBidi"/>
                          <w:b/>
                          <w:color w:val="000000" w:themeColor="dark1"/>
                          <w:kern w:val="24"/>
                          <w:sz w:val="30"/>
                          <w:szCs w:val="30"/>
                          <w:lang w:bidi="fr-FR"/>
                        </w:rPr>
                        <w:t>34 %</w:t>
                      </w:r>
                    </w:p>
                  </w:txbxContent>
                </v:textbox>
              </v:shape>
            </w:pict>
          </mc:Fallback>
        </mc:AlternateContent>
      </w:r>
      <w:r w:rsidRPr="009610AD">
        <w:rPr>
          <w:noProof/>
          <w:lang w:bidi="fr-FR"/>
        </w:rPr>
        <mc:AlternateContent>
          <mc:Choice Requires="wps">
            <w:drawing>
              <wp:anchor distT="0" distB="0" distL="114300" distR="114300" simplePos="0" relativeHeight="251640320" behindDoc="0" locked="0" layoutInCell="1" allowOverlap="1" wp14:anchorId="3BDF3F70" wp14:editId="11B325B1">
                <wp:simplePos x="0" y="0"/>
                <wp:positionH relativeFrom="column">
                  <wp:posOffset>3572510</wp:posOffset>
                </wp:positionH>
                <wp:positionV relativeFrom="paragraph">
                  <wp:posOffset>5278175</wp:posOffset>
                </wp:positionV>
                <wp:extent cx="846489" cy="447416"/>
                <wp:effectExtent l="0" t="0" r="0" b="0"/>
                <wp:wrapNone/>
                <wp:docPr id="224" name="TextBox 6"/>
                <wp:cNvGraphicFramePr/>
                <a:graphic xmlns:a="http://schemas.openxmlformats.org/drawingml/2006/main">
                  <a:graphicData uri="http://schemas.microsoft.com/office/word/2010/wordprocessingShape">
                    <wps:wsp>
                      <wps:cNvSpPr txBox="1"/>
                      <wps:spPr>
                        <a:xfrm>
                          <a:off x="0" y="0"/>
                          <a:ext cx="846489" cy="44741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7A73DE" w14:textId="77777777" w:rsidR="00A612E9" w:rsidRPr="00834FBF" w:rsidRDefault="00A612E9" w:rsidP="009610AD">
                            <w:pPr>
                              <w:pStyle w:val="NormalWeb"/>
                              <w:spacing w:before="0" w:beforeAutospacing="0" w:after="0" w:afterAutospacing="0"/>
                              <w:rPr>
                                <w:sz w:val="30"/>
                                <w:szCs w:val="30"/>
                              </w:rPr>
                            </w:pPr>
                            <w:r w:rsidRPr="00834FBF">
                              <w:rPr>
                                <w:rFonts w:asciiTheme="minorHAnsi" w:eastAsia="Calibri" w:hAnsi="Calibri" w:cstheme="minorBidi"/>
                                <w:b/>
                                <w:color w:val="000000" w:themeColor="dark1"/>
                                <w:kern w:val="24"/>
                                <w:sz w:val="30"/>
                                <w:szCs w:val="30"/>
                                <w:lang w:bidi="fr-FR"/>
                              </w:rPr>
                              <w:t>56 %</w:t>
                            </w:r>
                          </w:p>
                        </w:txbxContent>
                      </wps:txbx>
                      <wps:bodyPr wrap="square" rtlCol="0" anchor="t"/>
                    </wps:wsp>
                  </a:graphicData>
                </a:graphic>
                <wp14:sizeRelH relativeFrom="margin">
                  <wp14:pctWidth>0</wp14:pctWidth>
                </wp14:sizeRelH>
                <wp14:sizeRelV relativeFrom="margin">
                  <wp14:pctHeight>0</wp14:pctHeight>
                </wp14:sizeRelV>
              </wp:anchor>
            </w:drawing>
          </mc:Choice>
          <mc:Fallback>
            <w:pict>
              <v:shape w14:anchorId="3BDF3F70" id="TextBox 6" o:spid="_x0000_s1032" type="#_x0000_t202" style="position:absolute;left:0;text-align:left;margin-left:281.3pt;margin-top:415.6pt;width:66.65pt;height:3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" filled="f" stroked="f">
                <v:textbox>
                  <w:txbxContent>
                    <w:p w14:paraId="407A73DE" w14:textId="77777777" w:rsidR="00A612E9" w:rsidRPr="00834FBF" w:rsidRDefault="00A612E9" w:rsidP="009610AD">
                      <w:pPr>
                        <w:pStyle w:val="NormalWeb"/>
                        <w:spacing w:before="0" w:beforeAutospacing="0" w:after="0" w:afterAutospacing="0"/>
                        <w:rPr>
                          <w:sz w:val="30"/>
                          <w:szCs w:val="30"/>
                        </w:rPr>
                      </w:pPr>
                      <w:r w:rsidRPr="00834FBF">
                        <w:rPr>
                          <w:rFonts w:asciiTheme="minorHAnsi" w:eastAsia="Calibri" w:hAnsi="Calibri" w:cstheme="minorBidi"/>
                          <w:b/>
                          <w:color w:val="000000" w:themeColor="dark1"/>
                          <w:kern w:val="24"/>
                          <w:sz w:val="30"/>
                          <w:szCs w:val="30"/>
                          <w:lang w:bidi="fr-FR"/>
                        </w:rPr>
                        <w:t>56 %</w:t>
                      </w:r>
                    </w:p>
                  </w:txbxContent>
                </v:textbox>
              </v:shape>
            </w:pict>
          </mc:Fallback>
        </mc:AlternateContent>
      </w:r>
      <w:r w:rsidRPr="009610AD">
        <w:rPr>
          <w:noProof/>
          <w:lang w:bidi="fr-FR"/>
        </w:rPr>
        <mc:AlternateContent>
          <mc:Choice Requires="wps">
            <w:drawing>
              <wp:anchor distT="0" distB="0" distL="114300" distR="114300" simplePos="0" relativeHeight="251641344" behindDoc="0" locked="0" layoutInCell="1" allowOverlap="1" wp14:anchorId="2E664D1B" wp14:editId="7A4D4634">
                <wp:simplePos x="0" y="0"/>
                <wp:positionH relativeFrom="column">
                  <wp:posOffset>4681275</wp:posOffset>
                </wp:positionH>
                <wp:positionV relativeFrom="paragraph">
                  <wp:posOffset>5215448</wp:posOffset>
                </wp:positionV>
                <wp:extent cx="706537" cy="357316"/>
                <wp:effectExtent l="0" t="0" r="0" b="5080"/>
                <wp:wrapNone/>
                <wp:docPr id="21" name="TextBox 7"/>
                <wp:cNvGraphicFramePr/>
                <a:graphic xmlns:a="http://schemas.openxmlformats.org/drawingml/2006/main">
                  <a:graphicData uri="http://schemas.microsoft.com/office/word/2010/wordprocessingShape">
                    <wps:wsp>
                      <wps:cNvSpPr txBox="1"/>
                      <wps:spPr>
                        <a:xfrm>
                          <a:off x="0" y="0"/>
                          <a:ext cx="706537" cy="35731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BBD8D3" w14:textId="77777777" w:rsidR="00A612E9" w:rsidRPr="00834FBF" w:rsidRDefault="00A612E9" w:rsidP="009610AD">
                            <w:pPr>
                              <w:pStyle w:val="NormalWeb"/>
                              <w:spacing w:before="0" w:beforeAutospacing="0" w:after="0" w:afterAutospacing="0"/>
                              <w:rPr>
                                <w:sz w:val="32"/>
                                <w:szCs w:val="32"/>
                              </w:rPr>
                            </w:pPr>
                            <w:r w:rsidRPr="00834FBF">
                              <w:rPr>
                                <w:rFonts w:asciiTheme="minorHAnsi" w:eastAsia="Calibri" w:hAnsi="Calibri" w:cstheme="minorBidi"/>
                                <w:b/>
                                <w:color w:val="000000" w:themeColor="dark1"/>
                                <w:kern w:val="24"/>
                                <w:sz w:val="32"/>
                                <w:szCs w:val="32"/>
                                <w:lang w:bidi="fr-FR"/>
                              </w:rPr>
                              <w:t>40 %</w:t>
                            </w:r>
                          </w:p>
                        </w:txbxContent>
                      </wps:txbx>
                      <wps:bodyPr wrap="square" rtlCol="0" anchor="t"/>
                    </wps:wsp>
                  </a:graphicData>
                </a:graphic>
                <wp14:sizeRelH relativeFrom="margin">
                  <wp14:pctWidth>0</wp14:pctWidth>
                </wp14:sizeRelH>
                <wp14:sizeRelV relativeFrom="margin">
                  <wp14:pctHeight>0</wp14:pctHeight>
                </wp14:sizeRelV>
              </wp:anchor>
            </w:drawing>
          </mc:Choice>
          <mc:Fallback>
            <w:pict>
              <v:shape w14:anchorId="2E664D1B" id="TextBox 7" o:spid="_x0000_s1033" type="#_x0000_t202" style="position:absolute;left:0;text-align:left;margin-left:368.6pt;margin-top:410.65pt;width:55.65pt;height:2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" filled="f" stroked="f">
                <v:textbox>
                  <w:txbxContent>
                    <w:p w14:paraId="34BBD8D3" w14:textId="77777777" w:rsidR="00A612E9" w:rsidRPr="00834FBF" w:rsidRDefault="00A612E9" w:rsidP="009610AD">
                      <w:pPr>
                        <w:pStyle w:val="NormalWeb"/>
                        <w:spacing w:before="0" w:beforeAutospacing="0" w:after="0" w:afterAutospacing="0"/>
                        <w:rPr>
                          <w:sz w:val="32"/>
                          <w:szCs w:val="32"/>
                        </w:rPr>
                      </w:pPr>
                      <w:r w:rsidRPr="00834FBF">
                        <w:rPr>
                          <w:rFonts w:asciiTheme="minorHAnsi" w:eastAsia="Calibri" w:hAnsi="Calibri" w:cstheme="minorBidi"/>
                          <w:b/>
                          <w:color w:val="000000" w:themeColor="dark1"/>
                          <w:kern w:val="24"/>
                          <w:sz w:val="32"/>
                          <w:szCs w:val="32"/>
                          <w:lang w:bidi="fr-FR"/>
                        </w:rPr>
                        <w:t>40 %</w:t>
                      </w:r>
                    </w:p>
                  </w:txbxContent>
                </v:textbox>
              </v:shape>
            </w:pict>
          </mc:Fallback>
        </mc:AlternateContent>
      </w:r>
      <w:r w:rsidRPr="00C30618">
        <w:rPr>
          <w:noProof/>
          <w:lang w:bidi="fr-FR"/>
        </w:rPr>
        <w:drawing>
          <wp:inline distT="0" distB="0" distL="0" distR="0" wp14:anchorId="1C5F79B6" wp14:editId="29EB2577">
            <wp:extent cx="4817078" cy="2527300"/>
            <wp:effectExtent l="0" t="0" r="3175"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21403B" w14:textId="77777777" w:rsidR="00535F15" w:rsidRDefault="00535F15" w:rsidP="00AE05CB">
      <w:pPr>
        <w:jc w:val="both"/>
      </w:pPr>
    </w:p>
    <w:p w14:paraId="00C05295" w14:textId="33B4A6E1" w:rsidR="00D85F97" w:rsidRPr="007C61A1" w:rsidRDefault="00C10D04" w:rsidP="00023AD4">
      <w:pPr>
        <w:pStyle w:val="Titre2"/>
      </w:pPr>
      <w:bookmarkStart w:id="21" w:name="_Toc8400020"/>
      <w:r>
        <w:rPr>
          <w:lang w:bidi="fr-FR"/>
        </w:rPr>
        <w:t>3.4 Bilan des populations devant être ciblées par les modèles de dépistage du VIH</w:t>
      </w:r>
      <w:bookmarkEnd w:id="21"/>
      <w:r>
        <w:rPr>
          <w:lang w:bidi="fr-FR"/>
        </w:rPr>
        <w:t xml:space="preserve"> </w:t>
      </w:r>
    </w:p>
    <w:p w14:paraId="6D2CD7BF" w14:textId="77777777" w:rsidR="00D85F97" w:rsidRPr="0032288B" w:rsidRDefault="00D85F97" w:rsidP="00D85F97">
      <w:pPr>
        <w:jc w:val="both"/>
        <w:rPr>
          <w:sz w:val="4"/>
          <w:szCs w:val="4"/>
        </w:rPr>
      </w:pPr>
    </w:p>
    <w:p w14:paraId="6C5DAE60" w14:textId="77777777" w:rsidR="00D85F97" w:rsidRDefault="00D85F97" w:rsidP="00D85F97">
      <w:pPr>
        <w:jc w:val="both"/>
      </w:pPr>
      <w:r>
        <w:rPr>
          <w:lang w:bidi="fr-FR"/>
        </w:rPr>
        <w:t>À partir des analyses réalisées, les populations suivantes ont été désignées comme cibles prioritaires pour les services de dépistage différencié du VIH en Guinée :</w:t>
      </w:r>
    </w:p>
    <w:p w14:paraId="60F78525" w14:textId="77777777" w:rsidR="00D85F97" w:rsidRDefault="00D85F97" w:rsidP="00D85F97">
      <w:pPr>
        <w:jc w:val="both"/>
      </w:pPr>
      <w:r>
        <w:rPr>
          <w:noProof/>
          <w:lang w:bidi="fr-FR"/>
        </w:rPr>
        <mc:AlternateContent>
          <mc:Choice Requires="wps">
            <w:drawing>
              <wp:anchor distT="45720" distB="45720" distL="114300" distR="114300" simplePos="0" relativeHeight="251648512" behindDoc="0" locked="0" layoutInCell="1" allowOverlap="1" wp14:anchorId="57813D81" wp14:editId="618E8B2B">
                <wp:simplePos x="0" y="0"/>
                <wp:positionH relativeFrom="margin">
                  <wp:align>left</wp:align>
                </wp:positionH>
                <wp:positionV relativeFrom="paragraph">
                  <wp:posOffset>177800</wp:posOffset>
                </wp:positionV>
                <wp:extent cx="5232400" cy="2743200"/>
                <wp:effectExtent l="0" t="0" r="254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743200"/>
                        </a:xfrm>
                        <a:prstGeom prst="rect">
                          <a:avLst/>
                        </a:prstGeom>
                        <a:solidFill>
                          <a:srgbClr val="FFFFFF"/>
                        </a:solidFill>
                        <a:ln w="9525">
                          <a:solidFill>
                            <a:srgbClr val="000000"/>
                          </a:solidFill>
                          <a:miter lim="800000"/>
                          <a:headEnd/>
                          <a:tailEnd/>
                        </a:ln>
                      </wps:spPr>
                      <wps:txbx>
                        <w:txbxContent>
                          <w:p w14:paraId="73647CD9" w14:textId="77777777" w:rsidR="00A612E9" w:rsidRDefault="00A612E9" w:rsidP="00D85F97">
                            <w:pPr>
                              <w:pStyle w:val="Paragraphedeliste"/>
                              <w:numPr>
                                <w:ilvl w:val="0"/>
                                <w:numId w:val="31"/>
                              </w:numPr>
                            </w:pPr>
                            <w:r>
                              <w:rPr>
                                <w:lang w:bidi="fr-FR"/>
                              </w:rPr>
                              <w:t xml:space="preserve">Les hommes et les femmes au sein de la population globale, en particulier dans les zones urbaines </w:t>
                            </w:r>
                          </w:p>
                          <w:p w14:paraId="711683C5" w14:textId="77777777" w:rsidR="00A612E9" w:rsidRDefault="00A612E9" w:rsidP="00D85F97">
                            <w:pPr>
                              <w:pStyle w:val="Paragraphedeliste"/>
                              <w:numPr>
                                <w:ilvl w:val="0"/>
                                <w:numId w:val="31"/>
                              </w:numPr>
                            </w:pPr>
                            <w:r>
                              <w:rPr>
                                <w:lang w:bidi="fr-FR"/>
                              </w:rPr>
                              <w:t>Les femmes enceintes et qui allaitent</w:t>
                            </w:r>
                          </w:p>
                          <w:p w14:paraId="07CA0EFC" w14:textId="77777777" w:rsidR="00A612E9" w:rsidRDefault="00A612E9" w:rsidP="00D85F97">
                            <w:pPr>
                              <w:pStyle w:val="Paragraphedeliste"/>
                              <w:numPr>
                                <w:ilvl w:val="0"/>
                                <w:numId w:val="31"/>
                              </w:numPr>
                            </w:pPr>
                            <w:r>
                              <w:rPr>
                                <w:lang w:bidi="fr-FR"/>
                              </w:rPr>
                              <w:t>Les jeunes femmes sexuellement actives dans les zones urbaines ou les régions à plus forte prévalence</w:t>
                            </w:r>
                          </w:p>
                          <w:p w14:paraId="6DAD9B1B" w14:textId="77777777" w:rsidR="00A612E9" w:rsidRDefault="00A612E9" w:rsidP="00D85F97">
                            <w:pPr>
                              <w:pStyle w:val="Paragraphedeliste"/>
                              <w:numPr>
                                <w:ilvl w:val="0"/>
                                <w:numId w:val="31"/>
                              </w:numPr>
                            </w:pPr>
                            <w:r>
                              <w:rPr>
                                <w:lang w:bidi="fr-FR"/>
                              </w:rPr>
                              <w:t>Les professionnel(le)s du sexe, leurs clients et leur entourage élargi (compagnes/compagnons, partenaires, etc.)</w:t>
                            </w:r>
                          </w:p>
                          <w:p w14:paraId="3824588A" w14:textId="77777777" w:rsidR="00A612E9" w:rsidRDefault="00A612E9" w:rsidP="00D85F97">
                            <w:pPr>
                              <w:pStyle w:val="Paragraphedeliste"/>
                              <w:numPr>
                                <w:ilvl w:val="0"/>
                                <w:numId w:val="31"/>
                              </w:numPr>
                            </w:pPr>
                            <w:r>
                              <w:rPr>
                                <w:lang w:bidi="fr-FR"/>
                              </w:rPr>
                              <w:t>Les hommes ayant des relations sexuelles avec des hommes, leurs partenaires sexuels hommes et femmes (y compris épouses et coépouses)</w:t>
                            </w:r>
                          </w:p>
                          <w:p w14:paraId="6565782D" w14:textId="424ABD61" w:rsidR="00A612E9" w:rsidRDefault="00A612E9" w:rsidP="00D85F97">
                            <w:pPr>
                              <w:pStyle w:val="Paragraphedeliste"/>
                              <w:numPr>
                                <w:ilvl w:val="0"/>
                                <w:numId w:val="31"/>
                              </w:numPr>
                            </w:pPr>
                            <w:r>
                              <w:rPr>
                                <w:lang w:bidi="fr-FR"/>
                              </w:rPr>
                              <w:t>Les hommes et les femmes exerçant des professions susceptibles d’accroître leur vulnérabilité à l’infection à VIH, notamment les ouvriers/-ières des mines, les pêcheurs/-euses, les vendeurs/-euses, les conducteurs routiers et conductrices routières et les militaires, ainsi que leurs partenaires</w:t>
                            </w:r>
                          </w:p>
                          <w:p w14:paraId="48500316" w14:textId="1DB67BCD" w:rsidR="00A612E9" w:rsidRDefault="00A612E9" w:rsidP="00D85F97">
                            <w:pPr>
                              <w:pStyle w:val="Paragraphedeliste"/>
                              <w:numPr>
                                <w:ilvl w:val="0"/>
                                <w:numId w:val="31"/>
                              </w:numPr>
                            </w:pPr>
                            <w:r>
                              <w:rPr>
                                <w:lang w:bidi="fr-FR"/>
                              </w:rPr>
                              <w:t>Les enfants nés de mère séropositive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3D81" id="_x0000_s1034" type="#_x0000_t202" style="position:absolute;left:0;text-align:left;margin-left:0;margin-top:14pt;width:412pt;height:3in;z-index:251648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">
                <v:textbox>
                  <w:txbxContent>
                    <w:p w14:paraId="73647CD9" w14:textId="77777777" w:rsidR="00A612E9" w:rsidRDefault="00A612E9" w:rsidP="00D85F97">
                      <w:pPr>
                        <w:pStyle w:val="Paragraphedeliste"/>
                        <w:numPr>
                          <w:ilvl w:val="0"/>
                          <w:numId w:val="31"/>
                        </w:numPr>
                      </w:pPr>
                      <w:r>
                        <w:rPr>
                          <w:lang w:bidi="fr-FR"/>
                        </w:rPr>
                        <w:t xml:space="preserve">Les hommes et les femmes au sein de la population globale, en particulier dans les zones urbaines </w:t>
                      </w:r>
                    </w:p>
                    <w:p w14:paraId="711683C5" w14:textId="77777777" w:rsidR="00A612E9" w:rsidRDefault="00A612E9" w:rsidP="00D85F97">
                      <w:pPr>
                        <w:pStyle w:val="Paragraphedeliste"/>
                        <w:numPr>
                          <w:ilvl w:val="0"/>
                          <w:numId w:val="31"/>
                        </w:numPr>
                      </w:pPr>
                      <w:r>
                        <w:rPr>
                          <w:lang w:bidi="fr-FR"/>
                        </w:rPr>
                        <w:t>Les femmes enceintes et qui allaitent</w:t>
                      </w:r>
                    </w:p>
                    <w:p w14:paraId="07CA0EFC" w14:textId="77777777" w:rsidR="00A612E9" w:rsidRDefault="00A612E9" w:rsidP="00D85F97">
                      <w:pPr>
                        <w:pStyle w:val="Paragraphedeliste"/>
                        <w:numPr>
                          <w:ilvl w:val="0"/>
                          <w:numId w:val="31"/>
                        </w:numPr>
                      </w:pPr>
                      <w:r>
                        <w:rPr>
                          <w:lang w:bidi="fr-FR"/>
                        </w:rPr>
                        <w:t>Les jeunes femmes sexuellement actives dans les zones urbaines ou les régions à plus forte prévalence</w:t>
                      </w:r>
                    </w:p>
                    <w:p w14:paraId="6DAD9B1B" w14:textId="77777777" w:rsidR="00A612E9" w:rsidRDefault="00A612E9" w:rsidP="00D85F97">
                      <w:pPr>
                        <w:pStyle w:val="Paragraphedeliste"/>
                        <w:numPr>
                          <w:ilvl w:val="0"/>
                          <w:numId w:val="31"/>
                        </w:numPr>
                      </w:pPr>
                      <w:r>
                        <w:rPr>
                          <w:lang w:bidi="fr-FR"/>
                        </w:rPr>
                        <w:t>Les professionnel(le)s du sexe, leurs clients et leur entourage élargi (compagnes/compagnons, partenaires, etc.)</w:t>
                      </w:r>
                    </w:p>
                    <w:p w14:paraId="3824588A" w14:textId="77777777" w:rsidR="00A612E9" w:rsidRDefault="00A612E9" w:rsidP="00D85F97">
                      <w:pPr>
                        <w:pStyle w:val="Paragraphedeliste"/>
                        <w:numPr>
                          <w:ilvl w:val="0"/>
                          <w:numId w:val="31"/>
                        </w:numPr>
                      </w:pPr>
                      <w:r>
                        <w:rPr>
                          <w:lang w:bidi="fr-FR"/>
                        </w:rPr>
                        <w:t>Les hommes ayant des relations sexuelles avec des hommes, leurs partenaires sexuels hommes et femmes (y compris épouses et coépouses)</w:t>
                      </w:r>
                    </w:p>
                    <w:p w14:paraId="6565782D" w14:textId="424ABD61" w:rsidR="00A612E9" w:rsidRDefault="00A612E9" w:rsidP="00D85F97">
                      <w:pPr>
                        <w:pStyle w:val="Paragraphedeliste"/>
                        <w:numPr>
                          <w:ilvl w:val="0"/>
                          <w:numId w:val="31"/>
                        </w:numPr>
                      </w:pPr>
                      <w:r>
                        <w:rPr>
                          <w:lang w:bidi="fr-FR"/>
                        </w:rPr>
                        <w:t>Les hommes et les femmes exerçant des professions susceptibles d’accroître leur vulnérabilité à l’infection à VIH, notamment les ouvriers/-ières des mines, les pêcheurs/-euses, les vendeurs/-euses, les conducteurs routiers et conductrices routières et les militaires, ainsi que leurs partenaires</w:t>
                      </w:r>
                    </w:p>
                    <w:p w14:paraId="48500316" w14:textId="1DB67BCD" w:rsidR="00A612E9" w:rsidRDefault="00A612E9" w:rsidP="00D85F97">
                      <w:pPr>
                        <w:pStyle w:val="Paragraphedeliste"/>
                        <w:numPr>
                          <w:ilvl w:val="0"/>
                          <w:numId w:val="31"/>
                        </w:numPr>
                      </w:pPr>
                      <w:r>
                        <w:rPr>
                          <w:lang w:bidi="fr-FR"/>
                        </w:rPr>
                        <w:t>Les enfants nés de mère séropositive</w:t>
                      </w:r>
                    </w:p>
                  </w:txbxContent>
                </v:textbox>
                <w10:wrap type="square" anchorx="margin"/>
              </v:shape>
            </w:pict>
          </mc:Fallback>
        </mc:AlternateContent>
      </w:r>
    </w:p>
    <w:p w14:paraId="12BBC86B" w14:textId="77777777" w:rsidR="00D85F97" w:rsidRDefault="00D85F97" w:rsidP="00D85F97">
      <w:pPr>
        <w:jc w:val="both"/>
      </w:pPr>
    </w:p>
    <w:p w14:paraId="49045A88" w14:textId="77777777" w:rsidR="00D85F97" w:rsidRDefault="00D85F97" w:rsidP="00D85F97">
      <w:pPr>
        <w:jc w:val="both"/>
      </w:pPr>
    </w:p>
    <w:p w14:paraId="4711ECF2" w14:textId="77777777" w:rsidR="00D85F97" w:rsidRDefault="00D85F97" w:rsidP="00D85F97">
      <w:pPr>
        <w:jc w:val="both"/>
      </w:pPr>
    </w:p>
    <w:p w14:paraId="15BBDC14" w14:textId="77777777" w:rsidR="00D85F97" w:rsidRDefault="00D85F97" w:rsidP="00D85F97">
      <w:pPr>
        <w:jc w:val="both"/>
      </w:pPr>
    </w:p>
    <w:p w14:paraId="62F6AEC6" w14:textId="77777777" w:rsidR="00D85F97" w:rsidRDefault="00D85F97" w:rsidP="00D85F97">
      <w:pPr>
        <w:jc w:val="both"/>
      </w:pPr>
    </w:p>
    <w:p w14:paraId="2C9BD505" w14:textId="77777777" w:rsidR="00D85F97" w:rsidRDefault="00D85F97" w:rsidP="00D85F97">
      <w:pPr>
        <w:jc w:val="both"/>
      </w:pPr>
    </w:p>
    <w:p w14:paraId="7147FAA7" w14:textId="77777777" w:rsidR="00D85F97" w:rsidRDefault="00D85F97" w:rsidP="00D85F97"/>
    <w:p w14:paraId="7167D0B3" w14:textId="77777777" w:rsidR="00D85F97" w:rsidRDefault="00D85F97" w:rsidP="00D85F97"/>
    <w:p w14:paraId="36BE62EE" w14:textId="77777777" w:rsidR="00D85F97" w:rsidRDefault="00D85F97" w:rsidP="00D85F97"/>
    <w:p w14:paraId="40E620B3" w14:textId="17C13E8C" w:rsidR="00D85F97" w:rsidRDefault="00D85F97" w:rsidP="00D85F97"/>
    <w:p w14:paraId="6B8951DB" w14:textId="1ABEE74C" w:rsidR="005D6D00" w:rsidRDefault="005D6D00">
      <w:r>
        <w:br w:type="page"/>
      </w:r>
    </w:p>
    <w:p w14:paraId="4EAA503B" w14:textId="144D249E" w:rsidR="00F81EB5" w:rsidRDefault="008C6D51" w:rsidP="008C6D51">
      <w:pPr>
        <w:pStyle w:val="Titre1"/>
      </w:pPr>
      <w:bookmarkStart w:id="22" w:name="_Toc8400021"/>
      <w:r>
        <w:rPr>
          <w:lang w:bidi="fr-FR"/>
        </w:rPr>
        <w:lastRenderedPageBreak/>
        <w:t>4. Analyses de rendement des stratégies de dépistage du VIH et couverture du programme national par celles-ci</w:t>
      </w:r>
      <w:bookmarkEnd w:id="22"/>
    </w:p>
    <w:p w14:paraId="6E8288BA" w14:textId="77777777" w:rsidR="00F52BFB" w:rsidRPr="00F52BFB" w:rsidRDefault="00F52BFB" w:rsidP="00F52BFB">
      <w:pPr>
        <w:rPr>
          <w:sz w:val="4"/>
          <w:szCs w:val="4"/>
        </w:rPr>
      </w:pPr>
    </w:p>
    <w:p w14:paraId="14F13BB1" w14:textId="28E26D10" w:rsidR="00083221" w:rsidRDefault="0026285C" w:rsidP="00083221">
      <w:pPr>
        <w:pStyle w:val="Titre2"/>
      </w:pPr>
      <w:bookmarkStart w:id="23" w:name="_Toc8400022"/>
      <w:r>
        <w:rPr>
          <w:lang w:bidi="fr-FR"/>
        </w:rPr>
        <w:t>4.1 Approches de dépistage du VIH en Guinée</w:t>
      </w:r>
      <w:bookmarkEnd w:id="23"/>
      <w:r>
        <w:rPr>
          <w:lang w:bidi="fr-FR"/>
        </w:rPr>
        <w:t xml:space="preserve"> </w:t>
      </w:r>
    </w:p>
    <w:p w14:paraId="70AA7176" w14:textId="41917FE8" w:rsidR="0072375F" w:rsidRDefault="00920A7E" w:rsidP="002E161F">
      <w:pPr>
        <w:jc w:val="both"/>
      </w:pPr>
      <w:r>
        <w:rPr>
          <w:lang w:bidi="fr-FR"/>
        </w:rPr>
        <w:t>Le tableau 4.1 illustre les stratégies de dépistage du VIH définies dans les documents de politique nationale et/ou mises en œuvre dans les établissements de santé selon des modèles en établissement ou au sein de la communauté, en précisant les groupes de population ciblés. La majorité des stratégies sont mises en œuvre par l’intermédiaire des établissements de santé et, à l’exception des CDV, la plupart des approches de dépistage du VIH ciblent les sous-groupes de population dotés de caractéristiques cliniques spécifiques. Des organisations non gouvernementales appuient la mise en œuvre de plusieurs stratégies de dépistage du VIH, notamment chez les patients atteints de tuberculose, dans le cadre du programme de PTME et parmi les populations clés. Les approches communautaires sont limitées aux unités mobiles de dépistage du VIH et aux campagnes menées dans les zones fréquentées par des populations vulnérables (ports, marchés, etc.). L’</w:t>
      </w:r>
      <w:proofErr w:type="spellStart"/>
      <w:r>
        <w:rPr>
          <w:lang w:bidi="fr-FR"/>
        </w:rPr>
        <w:t>autodépistage</w:t>
      </w:r>
      <w:proofErr w:type="spellEnd"/>
      <w:r>
        <w:rPr>
          <w:lang w:bidi="fr-FR"/>
        </w:rPr>
        <w:t xml:space="preserve"> est actuellement mis à l’essai par MSF Belgique dans une clinique de Conakry. Des tests sont remis aux femmes ayant reçu un diagnostic de séropositivité dans le cadre des </w:t>
      </w:r>
      <w:r w:rsidR="006B2D04">
        <w:rPr>
          <w:lang w:bidi="fr-FR"/>
        </w:rPr>
        <w:t xml:space="preserve">soins </w:t>
      </w:r>
      <w:proofErr w:type="gramStart"/>
      <w:r w:rsidR="006B2D04">
        <w:rPr>
          <w:lang w:bidi="fr-FR"/>
        </w:rPr>
        <w:t xml:space="preserve">prénataux </w:t>
      </w:r>
      <w:r>
        <w:rPr>
          <w:lang w:bidi="fr-FR"/>
        </w:rPr>
        <w:t xml:space="preserve"> et</w:t>
      </w:r>
      <w:proofErr w:type="gramEnd"/>
      <w:r>
        <w:rPr>
          <w:lang w:bidi="fr-FR"/>
        </w:rPr>
        <w:t xml:space="preserve"> désireuses de fournir une trousse d’</w:t>
      </w:r>
      <w:proofErr w:type="spellStart"/>
      <w:r>
        <w:rPr>
          <w:lang w:bidi="fr-FR"/>
        </w:rPr>
        <w:t>autodépistage</w:t>
      </w:r>
      <w:proofErr w:type="spellEnd"/>
      <w:r>
        <w:rPr>
          <w:lang w:bidi="fr-FR"/>
        </w:rPr>
        <w:t xml:space="preserve"> à leur partenaire. La plupart des autres modèles de dépistage sont soit sous-optimaux en matière de couverture, soit rarement mis en œuvre. </w:t>
      </w:r>
    </w:p>
    <w:p w14:paraId="04F2560D" w14:textId="77294BB7" w:rsidR="00E435FD" w:rsidRPr="00E435FD" w:rsidRDefault="00127C8A" w:rsidP="008B4AE7">
      <w:pPr>
        <w:pStyle w:val="Titre4"/>
      </w:pPr>
      <w:r w:rsidRPr="00DE053D">
        <w:rPr>
          <w:lang w:bidi="fr-FR"/>
        </w:rPr>
        <w:t>Tableau 4.1 : Les approches de dépistage du VIH et les populations ciblées</w:t>
      </w:r>
    </w:p>
    <w:p w14:paraId="471EA4CB" w14:textId="6836E2FC" w:rsidR="00127C8A" w:rsidRDefault="00E435FD" w:rsidP="009F1A68">
      <w:r w:rsidRPr="00E435FD">
        <w:rPr>
          <w:noProof/>
          <w:lang w:bidi="fr-FR"/>
        </w:rPr>
        <w:drawing>
          <wp:anchor distT="0" distB="0" distL="114300" distR="114300" simplePos="0" relativeHeight="251635200" behindDoc="0" locked="0" layoutInCell="1" allowOverlap="1" wp14:anchorId="4F65E169" wp14:editId="1CAEC4F4">
            <wp:simplePos x="0" y="0"/>
            <wp:positionH relativeFrom="margin">
              <wp:align>right</wp:align>
            </wp:positionH>
            <wp:positionV relativeFrom="paragraph">
              <wp:posOffset>33793</wp:posOffset>
            </wp:positionV>
            <wp:extent cx="5731510" cy="1620520"/>
            <wp:effectExtent l="0" t="0" r="254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5731510" cy="1620520"/>
                    </a:xfrm>
                    <a:prstGeom prst="rect">
                      <a:avLst/>
                    </a:prstGeom>
                  </pic:spPr>
                </pic:pic>
              </a:graphicData>
            </a:graphic>
          </wp:anchor>
        </w:drawing>
      </w:r>
    </w:p>
    <w:p w14:paraId="57BF9808" w14:textId="027DAA47" w:rsidR="00E435FD" w:rsidRDefault="00E435FD" w:rsidP="009F1A68"/>
    <w:p w14:paraId="1464E5C8" w14:textId="280BCFFF" w:rsidR="00E435FD" w:rsidRDefault="00E435FD" w:rsidP="00E435FD"/>
    <w:p w14:paraId="137E81A8" w14:textId="21E77B70" w:rsidR="00E435FD" w:rsidRDefault="00E435FD" w:rsidP="00E435FD"/>
    <w:p w14:paraId="7E14BCE2" w14:textId="3CB3D19B" w:rsidR="00E435FD" w:rsidRPr="00E435FD" w:rsidRDefault="00E435FD" w:rsidP="00E435FD"/>
    <w:p w14:paraId="577F01F0" w14:textId="7397389E" w:rsidR="00E435FD" w:rsidRDefault="00E435FD" w:rsidP="00E435FD"/>
    <w:p w14:paraId="2D2F044B" w14:textId="52AA2BFC" w:rsidR="00E435FD" w:rsidRPr="00E435FD" w:rsidRDefault="00E435FD" w:rsidP="00E435FD">
      <w:r w:rsidRPr="00E435FD">
        <w:rPr>
          <w:noProof/>
          <w:lang w:bidi="fr-FR"/>
        </w:rPr>
        <w:drawing>
          <wp:anchor distT="0" distB="0" distL="114300" distR="114300" simplePos="0" relativeHeight="251636224" behindDoc="0" locked="0" layoutInCell="1" allowOverlap="1" wp14:anchorId="4310F62D" wp14:editId="3F4F470E">
            <wp:simplePos x="0" y="0"/>
            <wp:positionH relativeFrom="margin">
              <wp:align>left</wp:align>
            </wp:positionH>
            <wp:positionV relativeFrom="paragraph">
              <wp:posOffset>165846</wp:posOffset>
            </wp:positionV>
            <wp:extent cx="1563399" cy="532737"/>
            <wp:effectExtent l="0" t="0" r="0" b="127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1563399" cy="532737"/>
                    </a:xfrm>
                    <a:prstGeom prst="rect">
                      <a:avLst/>
                    </a:prstGeom>
                  </pic:spPr>
                </pic:pic>
              </a:graphicData>
            </a:graphic>
            <wp14:sizeRelH relativeFrom="margin">
              <wp14:pctWidth>0</wp14:pctWidth>
            </wp14:sizeRelH>
            <wp14:sizeRelV relativeFrom="margin">
              <wp14:pctHeight>0</wp14:pctHeight>
            </wp14:sizeRelV>
          </wp:anchor>
        </w:drawing>
      </w:r>
    </w:p>
    <w:p w14:paraId="0B49EB74" w14:textId="5F9ADA00" w:rsidR="00127C8A" w:rsidRDefault="00127C8A" w:rsidP="004F38A6">
      <w:pPr>
        <w:pStyle w:val="Titre2"/>
      </w:pPr>
    </w:p>
    <w:p w14:paraId="583D0201" w14:textId="29FA7F54" w:rsidR="00127C8A" w:rsidRDefault="00127C8A" w:rsidP="004F38A6">
      <w:pPr>
        <w:pStyle w:val="Titre2"/>
      </w:pPr>
    </w:p>
    <w:p w14:paraId="09F38A84" w14:textId="77777777" w:rsidR="003F7DCA" w:rsidRPr="003F7DCA" w:rsidRDefault="003F7DCA" w:rsidP="003F7DCA"/>
    <w:p w14:paraId="35E5BE54" w14:textId="44DB01BF" w:rsidR="004F38A6" w:rsidRDefault="002059DD" w:rsidP="004F38A6">
      <w:pPr>
        <w:pStyle w:val="Titre2"/>
      </w:pPr>
      <w:bookmarkStart w:id="24" w:name="_Toc8400023"/>
      <w:r>
        <w:rPr>
          <w:lang w:bidi="fr-FR"/>
        </w:rPr>
        <w:t>4.2 Les stratégies de dépistage du VIH et leur rendement</w:t>
      </w:r>
      <w:bookmarkEnd w:id="24"/>
    </w:p>
    <w:p w14:paraId="49C37382" w14:textId="0BEAABC1" w:rsidR="004F38A6" w:rsidRDefault="002D7F87" w:rsidP="003A4B3B">
      <w:pPr>
        <w:jc w:val="both"/>
      </w:pPr>
      <w:r>
        <w:rPr>
          <w:lang w:bidi="fr-FR"/>
        </w:rPr>
        <w:t xml:space="preserve">La proportion de tests de dépistage du VIH aboutissant à un diagnostic positif varie en fonction de l’approche adoptée. Des données issues du programme national en 2017 indiquent que le rendement du dépistage du VIH en fonction des différents modèles actuellement disponibles peut varier de moins de 2 % à 34 %. Il est impossible d’évaluer le rendement de certaines stratégies en l’absence de données ventilées (concernant par exemple le dépistage du VIH chez les patients hospitalisés) et lorsqu’il n’existe pas de données pour des modèles adoptés dans les politiques nationales de dépistage, mais non mis en œuvre à ce jour (comme le conseil et le dépistage à l’intention des donneurs de sang et des personnes se rendant aux consultations de planification familiale). </w:t>
      </w:r>
    </w:p>
    <w:p w14:paraId="60BA7F68" w14:textId="04A7B83B" w:rsidR="00D4767C" w:rsidRDefault="00D4767C" w:rsidP="003A4B3B">
      <w:pPr>
        <w:jc w:val="both"/>
      </w:pPr>
    </w:p>
    <w:p w14:paraId="271DB651" w14:textId="030BDADE" w:rsidR="00D4767C" w:rsidRDefault="00D4767C" w:rsidP="0007366E">
      <w:pPr>
        <w:pStyle w:val="Titre4"/>
      </w:pPr>
      <w:r>
        <w:rPr>
          <w:lang w:bidi="fr-FR"/>
        </w:rPr>
        <w:lastRenderedPageBreak/>
        <w:t xml:space="preserve">Figure 4.1 : Rendement des approches de dépistage du VIH communautaire ou mises en œuvre dans les structures de santé en Guinée (2017) </w:t>
      </w:r>
    </w:p>
    <w:p w14:paraId="5AC73806" w14:textId="18AFE257" w:rsidR="00E435FD" w:rsidRDefault="0032288B" w:rsidP="00AC104D">
      <w:pPr>
        <w:jc w:val="center"/>
      </w:pPr>
      <w:r w:rsidRPr="008B7729">
        <w:rPr>
          <w:noProof/>
          <w:sz w:val="26"/>
          <w:szCs w:val="26"/>
          <w:lang w:bidi="fr-FR"/>
        </w:rPr>
        <w:drawing>
          <wp:inline distT="0" distB="0" distL="0" distR="0" wp14:anchorId="2BEC27D8" wp14:editId="18689DF2">
            <wp:extent cx="4922626"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3649" cy="2372288"/>
                    </a:xfrm>
                    <a:prstGeom prst="rect">
                      <a:avLst/>
                    </a:prstGeom>
                    <a:noFill/>
                    <a:ln>
                      <a:noFill/>
                    </a:ln>
                  </pic:spPr>
                </pic:pic>
              </a:graphicData>
            </a:graphic>
          </wp:inline>
        </w:drawing>
      </w:r>
    </w:p>
    <w:p w14:paraId="541977A9" w14:textId="71932292" w:rsidR="00397CD3" w:rsidRPr="00FA1812" w:rsidRDefault="00397CD3" w:rsidP="004F38A6">
      <w:pPr>
        <w:jc w:val="both"/>
        <w:rPr>
          <w:rFonts w:ascii="Calibri" w:hAnsi="Calibri"/>
          <w:i/>
          <w:sz w:val="14"/>
          <w:szCs w:val="14"/>
          <w:lang w:val="en-GB"/>
        </w:rPr>
      </w:pPr>
      <w:proofErr w:type="gramStart"/>
      <w:r w:rsidRPr="00FA1812">
        <w:rPr>
          <w:rFonts w:ascii="Calibri" w:eastAsia="Calibri" w:hAnsi="Calibri" w:cs="Calibri"/>
          <w:i/>
          <w:sz w:val="14"/>
          <w:szCs w:val="14"/>
          <w:lang w:val="en-GB" w:bidi="fr-FR"/>
        </w:rPr>
        <w:t>Source :</w:t>
      </w:r>
      <w:proofErr w:type="gramEnd"/>
      <w:r w:rsidRPr="00FA1812">
        <w:rPr>
          <w:rFonts w:ascii="Calibri" w:eastAsia="Calibri" w:hAnsi="Calibri" w:cs="Calibri"/>
          <w:i/>
          <w:sz w:val="14"/>
          <w:szCs w:val="14"/>
          <w:lang w:val="en-GB" w:bidi="fr-FR"/>
        </w:rPr>
        <w:t xml:space="preserve"> PNLSH, Plan International, MSF, FMG, Solthis</w:t>
      </w:r>
    </w:p>
    <w:p w14:paraId="7E27010B" w14:textId="016B8F79" w:rsidR="00B268BD" w:rsidRDefault="00B268BD" w:rsidP="004F38A6">
      <w:pPr>
        <w:jc w:val="both"/>
        <w:rPr>
          <w:rFonts w:ascii="Calibri" w:hAnsi="Calibri"/>
        </w:rPr>
      </w:pPr>
      <w:r>
        <w:rPr>
          <w:rFonts w:ascii="Calibri" w:eastAsia="Calibri" w:hAnsi="Calibri" w:cs="Calibri"/>
          <w:lang w:bidi="fr-FR"/>
        </w:rPr>
        <w:t>Certaines approches, notamment les CDV et le conseil et le dépistage à l’initiative du soignant (CDIS), ont révélé des variations régionales en matière de nombre total de tests réalisés et rendement obtenu (figure 4.2). En ce qui concerne le CDIS, la région de Conakry a enregistré le plus grand nombre de tests et le plus important rendement de dépistage, bien que des taux élevés (&gt; 15 %) aient été observés dans chaque région.</w:t>
      </w:r>
    </w:p>
    <w:p w14:paraId="6C472CBA" w14:textId="487FC8E6" w:rsidR="00995732" w:rsidRDefault="00EF1B29" w:rsidP="00995732">
      <w:pPr>
        <w:pStyle w:val="Titre4"/>
      </w:pPr>
      <w:r>
        <w:rPr>
          <w:lang w:bidi="fr-FR"/>
        </w:rPr>
        <w:t xml:space="preserve">Figure 4.2 : Tests de dépistage réalisés et rendements obtenus dans le cadre du CDIS et des CDV en 2017, par région </w:t>
      </w:r>
    </w:p>
    <w:p w14:paraId="3F3C5809" w14:textId="77777777" w:rsidR="00F369D8" w:rsidRDefault="00F369D8" w:rsidP="00995732">
      <w:pPr>
        <w:pStyle w:val="Titre4"/>
        <w:jc w:val="center"/>
        <w:rPr>
          <w:rFonts w:ascii="Calibri" w:hAnsi="Calibri"/>
        </w:rPr>
      </w:pPr>
    </w:p>
    <w:p w14:paraId="1C7F260C" w14:textId="230787F7" w:rsidR="00B268BD" w:rsidRDefault="005A07E9" w:rsidP="00995732">
      <w:pPr>
        <w:pStyle w:val="Titre4"/>
        <w:jc w:val="center"/>
        <w:rPr>
          <w:rFonts w:ascii="Calibri" w:hAnsi="Calibri"/>
        </w:rPr>
      </w:pPr>
      <w:r w:rsidRPr="005A07E9">
        <w:rPr>
          <w:rFonts w:ascii="Calibri" w:eastAsia="Calibri" w:hAnsi="Calibri" w:cs="Calibri"/>
          <w:noProof/>
          <w:lang w:bidi="fr-FR"/>
        </w:rPr>
        <w:drawing>
          <wp:inline distT="0" distB="0" distL="0" distR="0" wp14:anchorId="174BA4DD" wp14:editId="52CE0B8C">
            <wp:extent cx="4380913" cy="2650603"/>
            <wp:effectExtent l="0" t="0" r="635" b="1651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44BECD" w14:textId="1E38C141" w:rsidR="006B2F60" w:rsidRDefault="006B2F60" w:rsidP="004F38A6">
      <w:pPr>
        <w:jc w:val="both"/>
        <w:rPr>
          <w:rFonts w:ascii="Calibri" w:hAnsi="Calibri"/>
        </w:rPr>
      </w:pPr>
    </w:p>
    <w:p w14:paraId="3F8628B2" w14:textId="3381178E" w:rsidR="00CF35C9" w:rsidRDefault="006116F8" w:rsidP="004F38A6">
      <w:pPr>
        <w:jc w:val="both"/>
        <w:rPr>
          <w:rFonts w:ascii="Calibri" w:hAnsi="Calibri"/>
        </w:rPr>
      </w:pPr>
      <w:r>
        <w:rPr>
          <w:rFonts w:ascii="Calibri" w:eastAsia="Calibri" w:hAnsi="Calibri" w:cs="Calibri"/>
          <w:lang w:bidi="fr-FR"/>
        </w:rPr>
        <w:t xml:space="preserve">En matière d’augmentation de la proportion de PVVIH ayant connaissance de leur statut, l’efficacité des différentes approches de dépistage du VIH dépend du nombre de personnes que chacune d’entre elles permet d’atteindre, et de la proportion de diagnostics de séropositivité qu’elle représente. La figure 4.3a illustre la répartition du nombre total de tests de dépistage du VIH réalisés en 2017, par modèle de dépistage (n = 332 593). Près des deux tiers des tests ont été effectués chez des femmes enceintes, dans le cadre des </w:t>
      </w:r>
      <w:r w:rsidR="006B2D04">
        <w:rPr>
          <w:rFonts w:ascii="Calibri" w:eastAsia="Calibri" w:hAnsi="Calibri" w:cs="Calibri"/>
          <w:lang w:bidi="fr-FR"/>
        </w:rPr>
        <w:t xml:space="preserve">soins </w:t>
      </w:r>
      <w:proofErr w:type="gramStart"/>
      <w:r w:rsidR="006B2D04">
        <w:rPr>
          <w:rFonts w:ascii="Calibri" w:eastAsia="Calibri" w:hAnsi="Calibri" w:cs="Calibri"/>
          <w:lang w:bidi="fr-FR"/>
        </w:rPr>
        <w:t xml:space="preserve">prénataux </w:t>
      </w:r>
      <w:r>
        <w:rPr>
          <w:rFonts w:ascii="Calibri" w:eastAsia="Calibri" w:hAnsi="Calibri" w:cs="Calibri"/>
          <w:lang w:bidi="fr-FR"/>
        </w:rPr>
        <w:t xml:space="preserve"> et</w:t>
      </w:r>
      <w:proofErr w:type="gramEnd"/>
      <w:r>
        <w:rPr>
          <w:rFonts w:ascii="Calibri" w:eastAsia="Calibri" w:hAnsi="Calibri" w:cs="Calibri"/>
          <w:lang w:bidi="fr-FR"/>
        </w:rPr>
        <w:t xml:space="preserve"> du programme de PTME. Le dépistage du VIH en </w:t>
      </w:r>
      <w:r>
        <w:rPr>
          <w:rFonts w:ascii="Calibri" w:eastAsia="Calibri" w:hAnsi="Calibri" w:cs="Calibri"/>
          <w:lang w:bidi="fr-FR"/>
        </w:rPr>
        <w:lastRenderedPageBreak/>
        <w:t xml:space="preserve">établissement a représenté plus de 95 % des tests, contre moins de 5 % pour les modèles de dépistage au sein de la communauté. </w:t>
      </w:r>
    </w:p>
    <w:p w14:paraId="496A4DBD" w14:textId="48DECE28" w:rsidR="00B268BD" w:rsidRDefault="00D51696" w:rsidP="00CB7605">
      <w:pPr>
        <w:pStyle w:val="Titre4"/>
        <w:spacing w:line="240" w:lineRule="auto"/>
      </w:pPr>
      <w:r>
        <w:rPr>
          <w:noProof/>
          <w:lang w:bidi="fr-FR"/>
        </w:rPr>
        <mc:AlternateContent>
          <mc:Choice Requires="wps">
            <w:drawing>
              <wp:anchor distT="0" distB="0" distL="114300" distR="114300" simplePos="0" relativeHeight="251656704" behindDoc="0" locked="0" layoutInCell="1" allowOverlap="1" wp14:anchorId="3323ADFF" wp14:editId="005C7D52">
                <wp:simplePos x="0" y="0"/>
                <wp:positionH relativeFrom="column">
                  <wp:posOffset>5370653</wp:posOffset>
                </wp:positionH>
                <wp:positionV relativeFrom="paragraph">
                  <wp:posOffset>434051</wp:posOffset>
                </wp:positionV>
                <wp:extent cx="838506" cy="1631950"/>
                <wp:effectExtent l="0" t="0" r="19050" b="25400"/>
                <wp:wrapNone/>
                <wp:docPr id="231" name="Rectangle 231"/>
                <wp:cNvGraphicFramePr/>
                <a:graphic xmlns:a="http://schemas.openxmlformats.org/drawingml/2006/main">
                  <a:graphicData uri="http://schemas.microsoft.com/office/word/2010/wordprocessingShape">
                    <wps:wsp>
                      <wps:cNvSpPr/>
                      <wps:spPr>
                        <a:xfrm>
                          <a:off x="0" y="0"/>
                          <a:ext cx="838506" cy="163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B43E5" id="Rectangle 231" o:spid="_x0000_s1026" style="position:absolute;margin-left:422.9pt;margin-top:34.2pt;width:66pt;height:128.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" fillcolor="white [3212]" strokecolor="white [3212]" strokeweight="1pt"/>
            </w:pict>
          </mc:Fallback>
        </mc:AlternateContent>
      </w:r>
      <w:r w:rsidRPr="00E42E84">
        <w:rPr>
          <w:noProof/>
          <w:sz w:val="4"/>
          <w:szCs w:val="4"/>
          <w:lang w:bidi="fr-FR"/>
        </w:rPr>
        <w:drawing>
          <wp:anchor distT="0" distB="0" distL="114300" distR="114300" simplePos="0" relativeHeight="251654656" behindDoc="0" locked="0" layoutInCell="1" allowOverlap="1" wp14:anchorId="0FF2734A" wp14:editId="2BA2B245">
            <wp:simplePos x="0" y="0"/>
            <wp:positionH relativeFrom="margin">
              <wp:posOffset>2817479</wp:posOffset>
            </wp:positionH>
            <wp:positionV relativeFrom="paragraph">
              <wp:posOffset>424252</wp:posOffset>
            </wp:positionV>
            <wp:extent cx="3338195" cy="2083435"/>
            <wp:effectExtent l="0" t="0" r="0" b="0"/>
            <wp:wrapNone/>
            <wp:docPr id="2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Grp="1" noChangeAspect="1"/>
                    </pic:cNvPicPr>
                  </pic:nvPicPr>
                  <pic:blipFill>
                    <a:blip r:embed="rId22"/>
                    <a:stretch>
                      <a:fillRect/>
                    </a:stretch>
                  </pic:blipFill>
                  <pic:spPr>
                    <a:xfrm>
                      <a:off x="0" y="0"/>
                      <a:ext cx="3338195" cy="2083435"/>
                    </a:xfrm>
                    <a:prstGeom prst="rect">
                      <a:avLst/>
                    </a:prstGeom>
                  </pic:spPr>
                </pic:pic>
              </a:graphicData>
            </a:graphic>
            <wp14:sizeRelH relativeFrom="margin">
              <wp14:pctWidth>0</wp14:pctWidth>
            </wp14:sizeRelH>
            <wp14:sizeRelV relativeFrom="margin">
              <wp14:pctHeight>0</wp14:pctHeight>
            </wp14:sizeRelV>
          </wp:anchor>
        </w:drawing>
      </w:r>
      <w:r w:rsidRPr="00E42E84">
        <w:rPr>
          <w:noProof/>
          <w:sz w:val="4"/>
          <w:szCs w:val="4"/>
          <w:lang w:bidi="fr-FR"/>
        </w:rPr>
        <w:drawing>
          <wp:anchor distT="0" distB="0" distL="114300" distR="114300" simplePos="0" relativeHeight="251655680" behindDoc="0" locked="0" layoutInCell="1" allowOverlap="1" wp14:anchorId="67E5E6C7" wp14:editId="3106F371">
            <wp:simplePos x="0" y="0"/>
            <wp:positionH relativeFrom="margin">
              <wp:posOffset>-184801</wp:posOffset>
            </wp:positionH>
            <wp:positionV relativeFrom="paragraph">
              <wp:posOffset>415001</wp:posOffset>
            </wp:positionV>
            <wp:extent cx="3359982" cy="2100805"/>
            <wp:effectExtent l="0" t="0" r="0" b="0"/>
            <wp:wrapNone/>
            <wp:docPr id="22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Grp="1" noChangeAspect="1"/>
                    </pic:cNvPicPr>
                  </pic:nvPicPr>
                  <pic:blipFill>
                    <a:blip r:embed="rId23"/>
                    <a:stretch>
                      <a:fillRect/>
                    </a:stretch>
                  </pic:blipFill>
                  <pic:spPr>
                    <a:xfrm>
                      <a:off x="0" y="0"/>
                      <a:ext cx="3359982" cy="2100805"/>
                    </a:xfrm>
                    <a:prstGeom prst="rect">
                      <a:avLst/>
                    </a:prstGeom>
                  </pic:spPr>
                </pic:pic>
              </a:graphicData>
            </a:graphic>
            <wp14:sizeRelH relativeFrom="margin">
              <wp14:pctWidth>0</wp14:pctWidth>
            </wp14:sizeRelH>
            <wp14:sizeRelV relativeFrom="margin">
              <wp14:pctHeight>0</wp14:pctHeight>
            </wp14:sizeRelV>
          </wp:anchor>
        </w:drawing>
      </w:r>
      <w:r w:rsidR="00CA6F21">
        <w:rPr>
          <w:lang w:bidi="fr-FR"/>
        </w:rPr>
        <w:t>Figure 4.3 : Répartition du nombre total de tests réalisés (a) et du nombre de diagnostics établis (b), par approche de prestation de services (2017)</w:t>
      </w:r>
    </w:p>
    <w:tbl>
      <w:tblPr>
        <w:tblStyle w:val="Grilledutableau"/>
        <w:tblW w:w="0" w:type="auto"/>
        <w:tblInd w:w="562" w:type="dxa"/>
        <w:tblLook w:val="04A0" w:firstRow="1" w:lastRow="0" w:firstColumn="1" w:lastColumn="0" w:noHBand="0" w:noVBand="1"/>
      </w:tblPr>
      <w:tblGrid>
        <w:gridCol w:w="3946"/>
        <w:gridCol w:w="4508"/>
      </w:tblGrid>
      <w:tr w:rsidR="00C33FAA" w14:paraId="73593B98" w14:textId="77777777" w:rsidTr="00C33FAA">
        <w:tc>
          <w:tcPr>
            <w:tcW w:w="3946" w:type="dxa"/>
            <w:tcBorders>
              <w:top w:val="nil"/>
              <w:left w:val="nil"/>
              <w:bottom w:val="nil"/>
              <w:right w:val="nil"/>
            </w:tcBorders>
          </w:tcPr>
          <w:p w14:paraId="4BDA79F4" w14:textId="39891630" w:rsidR="00C33FAA" w:rsidRPr="00FA1812" w:rsidRDefault="00C33FAA" w:rsidP="00741361">
            <w:r>
              <w:rPr>
                <w:lang w:bidi="fr-FR"/>
              </w:rPr>
              <w:t> </w:t>
            </w:r>
          </w:p>
        </w:tc>
        <w:tc>
          <w:tcPr>
            <w:tcW w:w="4508" w:type="dxa"/>
            <w:tcBorders>
              <w:top w:val="nil"/>
              <w:left w:val="nil"/>
              <w:bottom w:val="nil"/>
              <w:right w:val="nil"/>
            </w:tcBorders>
          </w:tcPr>
          <w:p w14:paraId="178563FA" w14:textId="62366B17" w:rsidR="00C33FAA" w:rsidRPr="00FA1812" w:rsidRDefault="00C33FAA" w:rsidP="00741361"/>
        </w:tc>
      </w:tr>
    </w:tbl>
    <w:p w14:paraId="4A862A6F" w14:textId="5A5915CE" w:rsidR="00741361" w:rsidRDefault="003432B4" w:rsidP="00741361">
      <w:r>
        <w:rPr>
          <w:noProof/>
          <w:lang w:bidi="fr-FR"/>
        </w:rPr>
        <mc:AlternateContent>
          <mc:Choice Requires="wps">
            <w:drawing>
              <wp:anchor distT="0" distB="0" distL="114300" distR="114300" simplePos="0" relativeHeight="251657728" behindDoc="0" locked="0" layoutInCell="1" allowOverlap="1" wp14:anchorId="1BCBA64D" wp14:editId="063F320F">
                <wp:simplePos x="0" y="0"/>
                <wp:positionH relativeFrom="column">
                  <wp:posOffset>3287210</wp:posOffset>
                </wp:positionH>
                <wp:positionV relativeFrom="paragraph">
                  <wp:posOffset>14839</wp:posOffset>
                </wp:positionV>
                <wp:extent cx="185195" cy="347072"/>
                <wp:effectExtent l="0" t="0" r="5715" b="0"/>
                <wp:wrapNone/>
                <wp:docPr id="235" name="Text Box 235"/>
                <wp:cNvGraphicFramePr/>
                <a:graphic xmlns:a="http://schemas.openxmlformats.org/drawingml/2006/main">
                  <a:graphicData uri="http://schemas.microsoft.com/office/word/2010/wordprocessingShape">
                    <wps:wsp>
                      <wps:cNvSpPr txBox="1"/>
                      <wps:spPr>
                        <a:xfrm>
                          <a:off x="0" y="0"/>
                          <a:ext cx="185195" cy="347072"/>
                        </a:xfrm>
                        <a:prstGeom prst="rect">
                          <a:avLst/>
                        </a:prstGeom>
                        <a:solidFill>
                          <a:schemeClr val="lt1"/>
                        </a:solidFill>
                        <a:ln w="6350">
                          <a:noFill/>
                        </a:ln>
                      </wps:spPr>
                      <wps:txbx>
                        <w:txbxContent>
                          <w:p w14:paraId="3A0C7EEB" w14:textId="31BBD3DF" w:rsidR="00A612E9" w:rsidRDefault="00A612E9">
                            <w:r>
                              <w:rPr>
                                <w:lang w:bidi="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A64D" id="Text Box 235" o:spid="_x0000_s1035" type="#_x0000_t202" style="position:absolute;margin-left:258.85pt;margin-top:1.15pt;width:14.6pt;height:2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" fillcolor="white [3201]" stroked="f" strokeweight=".5pt">
                <v:textbox>
                  <w:txbxContent>
                    <w:p w14:paraId="3A0C7EEB" w14:textId="31BBD3DF" w:rsidR="00A612E9" w:rsidRDefault="00A612E9">
                      <w:r>
                        <w:rPr>
                          <w:lang w:bidi="fr-FR"/>
                        </w:rPr>
                        <w:t>b</w:t>
                      </w:r>
                    </w:p>
                  </w:txbxContent>
                </v:textbox>
              </v:shape>
            </w:pict>
          </mc:Fallback>
        </mc:AlternateContent>
      </w:r>
      <w:r>
        <w:rPr>
          <w:noProof/>
          <w:lang w:bidi="fr-FR"/>
        </w:rPr>
        <mc:AlternateContent>
          <mc:Choice Requires="wps">
            <w:drawing>
              <wp:anchor distT="0" distB="0" distL="114300" distR="114300" simplePos="0" relativeHeight="251658752" behindDoc="0" locked="0" layoutInCell="1" allowOverlap="1" wp14:anchorId="2AF4001F" wp14:editId="76E2514F">
                <wp:simplePos x="0" y="0"/>
                <wp:positionH relativeFrom="column">
                  <wp:posOffset>-22860</wp:posOffset>
                </wp:positionH>
                <wp:positionV relativeFrom="paragraph">
                  <wp:posOffset>-3810</wp:posOffset>
                </wp:positionV>
                <wp:extent cx="242570" cy="318135"/>
                <wp:effectExtent l="0" t="0" r="5080" b="5715"/>
                <wp:wrapNone/>
                <wp:docPr id="237" name="Text Box 237"/>
                <wp:cNvGraphicFramePr/>
                <a:graphic xmlns:a="http://schemas.openxmlformats.org/drawingml/2006/main">
                  <a:graphicData uri="http://schemas.microsoft.com/office/word/2010/wordprocessingShape">
                    <wps:wsp>
                      <wps:cNvSpPr txBox="1"/>
                      <wps:spPr>
                        <a:xfrm>
                          <a:off x="0" y="0"/>
                          <a:ext cx="242570" cy="318135"/>
                        </a:xfrm>
                        <a:prstGeom prst="rect">
                          <a:avLst/>
                        </a:prstGeom>
                        <a:solidFill>
                          <a:schemeClr val="lt1"/>
                        </a:solidFill>
                        <a:ln w="6350">
                          <a:noFill/>
                        </a:ln>
                      </wps:spPr>
                      <wps:txbx>
                        <w:txbxContent>
                          <w:p w14:paraId="60B46F4A" w14:textId="79A34D50" w:rsidR="00A612E9" w:rsidRDefault="00A612E9" w:rsidP="003432B4">
                            <w:r>
                              <w:rPr>
                                <w:lang w:bidi="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4001F" id="Text Box 237" o:spid="_x0000_s1036" type="#_x0000_t202" style="position:absolute;margin-left:-1.8pt;margin-top:-.3pt;width:19.1pt;height:25.0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" fillcolor="white [3201]" stroked="f" strokeweight=".5pt">
                <v:textbox>
                  <w:txbxContent>
                    <w:p w14:paraId="60B46F4A" w14:textId="79A34D50" w:rsidR="00A612E9" w:rsidRDefault="00A612E9" w:rsidP="003432B4">
                      <w:r>
                        <w:rPr>
                          <w:lang w:bidi="fr-FR"/>
                        </w:rPr>
                        <w:t>a</w:t>
                      </w: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1904"/>
        <w:gridCol w:w="3492"/>
      </w:tblGrid>
      <w:tr w:rsidR="00741361" w14:paraId="5E7B1444" w14:textId="55805145" w:rsidTr="00741361">
        <w:tc>
          <w:tcPr>
            <w:tcW w:w="3620" w:type="dxa"/>
          </w:tcPr>
          <w:p w14:paraId="399B1D2F" w14:textId="11C50562" w:rsidR="00741361" w:rsidRPr="00FA1812" w:rsidRDefault="00741361" w:rsidP="00741361">
            <w:pPr>
              <w:jc w:val="center"/>
            </w:pPr>
          </w:p>
          <w:p w14:paraId="18DEE205" w14:textId="77777777" w:rsidR="00741361" w:rsidRPr="00FA1812" w:rsidRDefault="00741361" w:rsidP="00741361"/>
          <w:p w14:paraId="5082C644" w14:textId="3A0625A4" w:rsidR="00741361" w:rsidRPr="00FA1812" w:rsidRDefault="00741361" w:rsidP="00741361"/>
        </w:tc>
        <w:tc>
          <w:tcPr>
            <w:tcW w:w="1904" w:type="dxa"/>
          </w:tcPr>
          <w:p w14:paraId="43FD10D2" w14:textId="1361182A" w:rsidR="00741361" w:rsidRPr="00FA1812" w:rsidRDefault="00741361" w:rsidP="00741361"/>
        </w:tc>
        <w:tc>
          <w:tcPr>
            <w:tcW w:w="3492" w:type="dxa"/>
          </w:tcPr>
          <w:p w14:paraId="36BAA8FF" w14:textId="52EC1039" w:rsidR="00741361" w:rsidRPr="00FA1812" w:rsidRDefault="00741361" w:rsidP="00741361"/>
        </w:tc>
      </w:tr>
    </w:tbl>
    <w:p w14:paraId="42C1AB4F" w14:textId="4BC270A1" w:rsidR="00741361" w:rsidRDefault="00741361" w:rsidP="00741361"/>
    <w:p w14:paraId="08F650F2" w14:textId="04EF8FAB" w:rsidR="00741361" w:rsidRDefault="00741361" w:rsidP="00741361"/>
    <w:p w14:paraId="3C5EA562" w14:textId="44DBB43D" w:rsidR="00741361" w:rsidRPr="00741361" w:rsidRDefault="0026410A" w:rsidP="00741361">
      <w:r>
        <w:rPr>
          <w:noProof/>
          <w:lang w:bidi="fr-FR"/>
        </w:rPr>
        <mc:AlternateContent>
          <mc:Choice Requires="wps">
            <w:drawing>
              <wp:anchor distT="0" distB="0" distL="114300" distR="114300" simplePos="0" relativeHeight="251660800" behindDoc="0" locked="0" layoutInCell="1" allowOverlap="1" wp14:anchorId="1FB8AC9A" wp14:editId="2A7D3669">
                <wp:simplePos x="0" y="0"/>
                <wp:positionH relativeFrom="column">
                  <wp:posOffset>2233913</wp:posOffset>
                </wp:positionH>
                <wp:positionV relativeFrom="paragraph">
                  <wp:posOffset>249507</wp:posOffset>
                </wp:positionV>
                <wp:extent cx="856527" cy="318135"/>
                <wp:effectExtent l="0" t="0" r="1270" b="5715"/>
                <wp:wrapNone/>
                <wp:docPr id="240" name="Text Box 240"/>
                <wp:cNvGraphicFramePr/>
                <a:graphic xmlns:a="http://schemas.openxmlformats.org/drawingml/2006/main">
                  <a:graphicData uri="http://schemas.microsoft.com/office/word/2010/wordprocessingShape">
                    <wps:wsp>
                      <wps:cNvSpPr txBox="1"/>
                      <wps:spPr>
                        <a:xfrm>
                          <a:off x="0" y="0"/>
                          <a:ext cx="856527" cy="318135"/>
                        </a:xfrm>
                        <a:prstGeom prst="rect">
                          <a:avLst/>
                        </a:prstGeom>
                        <a:solidFill>
                          <a:schemeClr val="lt1"/>
                        </a:solidFill>
                        <a:ln w="6350">
                          <a:noFill/>
                        </a:ln>
                      </wps:spPr>
                      <wps:txbx>
                        <w:txbxContent>
                          <w:p w14:paraId="1669B7E2" w14:textId="5095CC25" w:rsidR="00A612E9" w:rsidRPr="00F16A19" w:rsidRDefault="00A612E9" w:rsidP="0026410A">
                            <w:pPr>
                              <w:rPr>
                                <w:b/>
                                <w:sz w:val="14"/>
                                <w:szCs w:val="14"/>
                              </w:rPr>
                            </w:pPr>
                            <w:r w:rsidRPr="00F16A19">
                              <w:rPr>
                                <w:b/>
                                <w:sz w:val="14"/>
                                <w:szCs w:val="14"/>
                                <w:lang w:bidi="fr-FR"/>
                              </w:rPr>
                              <w:t>n = </w:t>
                            </w:r>
                            <w:r w:rsidRPr="00F16A19">
                              <w:rPr>
                                <w:rFonts w:ascii="Calibri" w:eastAsia="Calibri" w:hAnsi="Calibri" w:cs="Calibri"/>
                                <w:b/>
                                <w:sz w:val="14"/>
                                <w:szCs w:val="14"/>
                                <w:lang w:bidi="fr-FR"/>
                              </w:rPr>
                              <w:t>332 593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8AC9A" id="Text Box 240" o:spid="_x0000_s1037" type="#_x0000_t202" style="position:absolute;margin-left:175.9pt;margin-top:19.65pt;width:67.45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" fillcolor="white [3201]" stroked="f" strokeweight=".5pt">
                <v:textbox>
                  <w:txbxContent>
                    <w:p w14:paraId="1669B7E2" w14:textId="5095CC25" w:rsidR="00A612E9" w:rsidRPr="00F16A19" w:rsidRDefault="00A612E9" w:rsidP="0026410A">
                      <w:pPr>
                        <w:rPr>
                          <w:b/>
                          <w:sz w:val="14"/>
                          <w:szCs w:val="14"/>
                        </w:rPr>
                      </w:pPr>
                      <w:r w:rsidRPr="00F16A19">
                        <w:rPr>
                          <w:b/>
                          <w:sz w:val="14"/>
                          <w:szCs w:val="14"/>
                          <w:lang w:bidi="fr-FR"/>
                        </w:rPr>
                        <w:t>n = </w:t>
                      </w:r>
                      <w:r w:rsidRPr="00F16A19">
                        <w:rPr>
                          <w:rFonts w:ascii="Calibri" w:eastAsia="Calibri" w:hAnsi="Calibri" w:cs="Calibri"/>
                          <w:b/>
                          <w:sz w:val="14"/>
                          <w:szCs w:val="14"/>
                          <w:lang w:bidi="fr-FR"/>
                        </w:rPr>
                        <w:t>332 593</w:t>
                      </w:r>
                    </w:p>
                  </w:txbxContent>
                </v:textbox>
              </v:shape>
            </w:pict>
          </mc:Fallback>
        </mc:AlternateContent>
      </w:r>
    </w:p>
    <w:p w14:paraId="79E82F6E" w14:textId="3B9E68AB" w:rsidR="001D3E31" w:rsidRDefault="00BB4648" w:rsidP="001D3E31">
      <w:pPr>
        <w:rPr>
          <w:sz w:val="4"/>
          <w:szCs w:val="4"/>
        </w:rPr>
      </w:pPr>
      <w:r>
        <w:rPr>
          <w:noProof/>
          <w:lang w:bidi="fr-FR"/>
        </w:rPr>
        <mc:AlternateContent>
          <mc:Choice Requires="wps">
            <w:drawing>
              <wp:anchor distT="0" distB="0" distL="114300" distR="114300" simplePos="0" relativeHeight="251661824" behindDoc="0" locked="0" layoutInCell="1" allowOverlap="1" wp14:anchorId="44413F97" wp14:editId="15655DA7">
                <wp:simplePos x="0" y="0"/>
                <wp:positionH relativeFrom="column">
                  <wp:posOffset>5144947</wp:posOffset>
                </wp:positionH>
                <wp:positionV relativeFrom="paragraph">
                  <wp:posOffset>4267</wp:posOffset>
                </wp:positionV>
                <wp:extent cx="855980" cy="268661"/>
                <wp:effectExtent l="0" t="0" r="1270" b="0"/>
                <wp:wrapNone/>
                <wp:docPr id="242" name="Text Box 242"/>
                <wp:cNvGraphicFramePr/>
                <a:graphic xmlns:a="http://schemas.openxmlformats.org/drawingml/2006/main">
                  <a:graphicData uri="http://schemas.microsoft.com/office/word/2010/wordprocessingShape">
                    <wps:wsp>
                      <wps:cNvSpPr txBox="1"/>
                      <wps:spPr>
                        <a:xfrm>
                          <a:off x="0" y="0"/>
                          <a:ext cx="855980" cy="268661"/>
                        </a:xfrm>
                        <a:prstGeom prst="rect">
                          <a:avLst/>
                        </a:prstGeom>
                        <a:solidFill>
                          <a:schemeClr val="lt1"/>
                        </a:solidFill>
                        <a:ln w="6350">
                          <a:noFill/>
                        </a:ln>
                      </wps:spPr>
                      <wps:txbx>
                        <w:txbxContent>
                          <w:p w14:paraId="710CF35C" w14:textId="06E2F61E" w:rsidR="00A612E9" w:rsidRPr="00F16A19" w:rsidRDefault="00A612E9" w:rsidP="00812C78">
                            <w:pPr>
                              <w:rPr>
                                <w:b/>
                                <w:sz w:val="14"/>
                                <w:szCs w:val="14"/>
                              </w:rPr>
                            </w:pPr>
                            <w:r w:rsidRPr="00F16A19">
                              <w:rPr>
                                <w:b/>
                                <w:sz w:val="14"/>
                                <w:szCs w:val="14"/>
                                <w:lang w:bidi="fr-FR"/>
                              </w:rPr>
                              <w:t>n = </w:t>
                            </w:r>
                            <w:r w:rsidRPr="00F16A19">
                              <w:rPr>
                                <w:rFonts w:ascii="Calibri" w:eastAsia="Calibri" w:hAnsi="Calibri" w:cs="Calibri"/>
                                <w:b/>
                                <w:sz w:val="14"/>
                                <w:szCs w:val="14"/>
                                <w:lang w:bidi="fr-FR"/>
                              </w:rPr>
                              <w:t>17 881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13F97" id="Text Box 242" o:spid="_x0000_s1038" type="#_x0000_t202" style="position:absolute;margin-left:405.1pt;margin-top:.35pt;width:67.4pt;height:2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" fillcolor="white [3201]" stroked="f" strokeweight=".5pt">
                <v:textbox>
                  <w:txbxContent>
                    <w:p w14:paraId="710CF35C" w14:textId="06E2F61E" w:rsidR="00A612E9" w:rsidRPr="00F16A19" w:rsidRDefault="00A612E9" w:rsidP="00812C78">
                      <w:pPr>
                        <w:rPr>
                          <w:b/>
                          <w:sz w:val="14"/>
                          <w:szCs w:val="14"/>
                        </w:rPr>
                      </w:pPr>
                      <w:r w:rsidRPr="00F16A19">
                        <w:rPr>
                          <w:b/>
                          <w:sz w:val="14"/>
                          <w:szCs w:val="14"/>
                          <w:lang w:bidi="fr-FR"/>
                        </w:rPr>
                        <w:t>n = </w:t>
                      </w:r>
                      <w:r w:rsidRPr="00F16A19">
                        <w:rPr>
                          <w:rFonts w:ascii="Calibri" w:eastAsia="Calibri" w:hAnsi="Calibri" w:cs="Calibri"/>
                          <w:b/>
                          <w:sz w:val="14"/>
                          <w:szCs w:val="14"/>
                          <w:lang w:bidi="fr-FR"/>
                        </w:rPr>
                        <w:t>17 881</w:t>
                      </w:r>
                    </w:p>
                  </w:txbxContent>
                </v:textbox>
              </v:shape>
            </w:pict>
          </mc:Fallback>
        </mc:AlternateContent>
      </w:r>
      <w:r w:rsidR="00A905FB">
        <w:rPr>
          <w:noProof/>
          <w:lang w:bidi="fr-FR"/>
        </w:rPr>
        <mc:AlternateContent>
          <mc:Choice Requires="wps">
            <w:drawing>
              <wp:anchor distT="0" distB="0" distL="114300" distR="114300" simplePos="0" relativeHeight="251659776" behindDoc="0" locked="0" layoutInCell="1" allowOverlap="1" wp14:anchorId="48CE2490" wp14:editId="623638A9">
                <wp:simplePos x="0" y="0"/>
                <wp:positionH relativeFrom="column">
                  <wp:posOffset>-86810</wp:posOffset>
                </wp:positionH>
                <wp:positionV relativeFrom="paragraph">
                  <wp:posOffset>89543</wp:posOffset>
                </wp:positionV>
                <wp:extent cx="3356658" cy="318135"/>
                <wp:effectExtent l="0" t="0" r="0" b="5715"/>
                <wp:wrapNone/>
                <wp:docPr id="238" name="Text Box 238"/>
                <wp:cNvGraphicFramePr/>
                <a:graphic xmlns:a="http://schemas.openxmlformats.org/drawingml/2006/main">
                  <a:graphicData uri="http://schemas.microsoft.com/office/word/2010/wordprocessingShape">
                    <wps:wsp>
                      <wps:cNvSpPr txBox="1"/>
                      <wps:spPr>
                        <a:xfrm>
                          <a:off x="0" y="0"/>
                          <a:ext cx="3356658" cy="318135"/>
                        </a:xfrm>
                        <a:prstGeom prst="rect">
                          <a:avLst/>
                        </a:prstGeom>
                        <a:solidFill>
                          <a:schemeClr val="lt1"/>
                        </a:solidFill>
                        <a:ln w="6350">
                          <a:noFill/>
                        </a:ln>
                      </wps:spPr>
                      <wps:txbx>
                        <w:txbxContent>
                          <w:p w14:paraId="7A468F59" w14:textId="1888BE63" w:rsidR="00A612E9" w:rsidRPr="00FA1812" w:rsidRDefault="00A612E9" w:rsidP="00A905FB">
                            <w:pPr>
                              <w:rPr>
                                <w:sz w:val="14"/>
                                <w:szCs w:val="14"/>
                                <w:lang w:val="en-GB"/>
                              </w:rPr>
                            </w:pPr>
                            <w:r w:rsidRPr="00FA1812">
                              <w:rPr>
                                <w:sz w:val="14"/>
                                <w:szCs w:val="14"/>
                                <w:lang w:val="en-GB" w:bidi="fr-FR"/>
                              </w:rPr>
                              <w:t>Source : PNLSH, Plan International, FMG, Solthis, MSF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2490" id="Text Box 238" o:spid="_x0000_s1039" type="#_x0000_t202" style="position:absolute;margin-left:-6.85pt;margin-top:7.05pt;width:264.3pt;height:2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" fillcolor="white [3201]" stroked="f" strokeweight=".5pt">
                <v:textbox>
                  <w:txbxContent>
                    <w:p w14:paraId="7A468F59" w14:textId="1888BE63" w:rsidR="00A612E9" w:rsidRPr="00FA1812" w:rsidRDefault="00A612E9" w:rsidP="00A905FB">
                      <w:pPr>
                        <w:rPr>
                          <w:sz w:val="14"/>
                          <w:szCs w:val="14"/>
                          <w:lang w:val="en-GB"/>
                        </w:rPr>
                      </w:pPr>
                      <w:r w:rsidRPr="00FA1812">
                        <w:rPr>
                          <w:sz w:val="14"/>
                          <w:szCs w:val="14"/>
                          <w:lang w:val="en-GB" w:bidi="fr-FR"/>
                        </w:rPr>
                        <w:t>Source : PNLSH, Plan International, FMG, Solthis, MSF</w:t>
                      </w:r>
                    </w:p>
                  </w:txbxContent>
                </v:textbox>
              </v:shape>
            </w:pict>
          </mc:Fallback>
        </mc:AlternateContent>
      </w:r>
    </w:p>
    <w:p w14:paraId="6061EDA7" w14:textId="532AD34F" w:rsidR="00E42E84" w:rsidRDefault="00E42E84" w:rsidP="001D3E31">
      <w:pPr>
        <w:rPr>
          <w:sz w:val="4"/>
          <w:szCs w:val="4"/>
        </w:rPr>
      </w:pPr>
    </w:p>
    <w:p w14:paraId="11E5DAFD" w14:textId="55E950DE" w:rsidR="006205F5" w:rsidRDefault="006205F5" w:rsidP="00D51696">
      <w:pPr>
        <w:rPr>
          <w:rFonts w:ascii="Calibri" w:hAnsi="Calibri"/>
        </w:rPr>
      </w:pPr>
    </w:p>
    <w:p w14:paraId="0E5BC240" w14:textId="6EB97387" w:rsidR="00395205" w:rsidRDefault="003F15CC" w:rsidP="00395205">
      <w:pPr>
        <w:jc w:val="both"/>
        <w:rPr>
          <w:rFonts w:ascii="Calibri" w:hAnsi="Calibri"/>
        </w:rPr>
      </w:pPr>
      <w:r>
        <w:rPr>
          <w:rFonts w:ascii="Calibri" w:eastAsia="Calibri" w:hAnsi="Calibri" w:cs="Calibri"/>
          <w:lang w:bidi="fr-FR"/>
        </w:rPr>
        <w:t xml:space="preserve">La figure 4.3b illustre la répartition des approches adoptées pour les 17 881 diagnostics de séropositivité établis (avec communication des résultats au patient) en 2017. Bien que le DCIP (hors </w:t>
      </w:r>
      <w:r w:rsidR="006B2D04">
        <w:rPr>
          <w:rFonts w:ascii="Calibri" w:eastAsia="Calibri" w:hAnsi="Calibri" w:cs="Calibri"/>
          <w:lang w:bidi="fr-FR"/>
        </w:rPr>
        <w:t xml:space="preserve">soins </w:t>
      </w:r>
      <w:proofErr w:type="gramStart"/>
      <w:r w:rsidR="006B2D04">
        <w:rPr>
          <w:rFonts w:ascii="Calibri" w:eastAsia="Calibri" w:hAnsi="Calibri" w:cs="Calibri"/>
          <w:lang w:bidi="fr-FR"/>
        </w:rPr>
        <w:t xml:space="preserve">prénataux </w:t>
      </w:r>
      <w:r>
        <w:rPr>
          <w:rFonts w:ascii="Calibri" w:eastAsia="Calibri" w:hAnsi="Calibri" w:cs="Calibri"/>
          <w:lang w:bidi="fr-FR"/>
        </w:rPr>
        <w:t>)</w:t>
      </w:r>
      <w:proofErr w:type="gramEnd"/>
      <w:r>
        <w:rPr>
          <w:rFonts w:ascii="Calibri" w:eastAsia="Calibri" w:hAnsi="Calibri" w:cs="Calibri"/>
          <w:lang w:bidi="fr-FR"/>
        </w:rPr>
        <w:t xml:space="preserve"> n’ait représenté que 12 % des tests réalisés, il correspond à 46 % des diagnostics établis</w:t>
      </w:r>
      <w:r w:rsidR="00326A59">
        <w:rPr>
          <w:rFonts w:ascii="Calibri" w:eastAsia="Calibri" w:hAnsi="Calibri" w:cs="Calibri"/>
          <w:lang w:bidi="fr-FR"/>
        </w:rPr>
        <w:t xml:space="preserve"> </w:t>
      </w:r>
      <w:r w:rsidR="00891B2A" w:rsidRPr="00017F2F">
        <w:rPr>
          <w:rFonts w:ascii="Calibri" w:eastAsia="Calibri" w:hAnsi="Calibri" w:cs="Calibri"/>
          <w:highlight w:val="yellow"/>
          <w:lang w:bidi="fr-FR"/>
        </w:rPr>
        <w:t>(n =)</w:t>
      </w:r>
      <w:r>
        <w:rPr>
          <w:rFonts w:ascii="Calibri" w:eastAsia="Calibri" w:hAnsi="Calibri" w:cs="Calibri"/>
          <w:lang w:bidi="fr-FR"/>
        </w:rPr>
        <w:t xml:space="preserve">. Le dépistage des femmes enceintes dans le cadre des </w:t>
      </w:r>
      <w:r w:rsidR="006B2D04">
        <w:rPr>
          <w:rFonts w:ascii="Calibri" w:eastAsia="Calibri" w:hAnsi="Calibri" w:cs="Calibri"/>
          <w:lang w:bidi="fr-FR"/>
        </w:rPr>
        <w:t xml:space="preserve">soins </w:t>
      </w:r>
      <w:proofErr w:type="gramStart"/>
      <w:r w:rsidR="006B2D04">
        <w:rPr>
          <w:rFonts w:ascii="Calibri" w:eastAsia="Calibri" w:hAnsi="Calibri" w:cs="Calibri"/>
          <w:lang w:bidi="fr-FR"/>
        </w:rPr>
        <w:t xml:space="preserve">prénataux </w:t>
      </w:r>
      <w:r>
        <w:rPr>
          <w:rFonts w:ascii="Calibri" w:eastAsia="Calibri" w:hAnsi="Calibri" w:cs="Calibri"/>
          <w:lang w:bidi="fr-FR"/>
        </w:rPr>
        <w:t xml:space="preserve"> a</w:t>
      </w:r>
      <w:proofErr w:type="gramEnd"/>
      <w:r>
        <w:rPr>
          <w:rFonts w:ascii="Calibri" w:eastAsia="Calibri" w:hAnsi="Calibri" w:cs="Calibri"/>
          <w:lang w:bidi="fr-FR"/>
        </w:rPr>
        <w:t xml:space="preserve"> représenté 16 % des diagnostics</w:t>
      </w:r>
      <w:r w:rsidR="00326A59">
        <w:rPr>
          <w:rFonts w:ascii="Calibri" w:eastAsia="Calibri" w:hAnsi="Calibri" w:cs="Calibri"/>
          <w:lang w:bidi="fr-FR"/>
        </w:rPr>
        <w:t xml:space="preserve"> </w:t>
      </w:r>
      <w:r w:rsidR="00A43BF5" w:rsidRPr="00655C31">
        <w:rPr>
          <w:rFonts w:ascii="Calibri" w:eastAsia="Calibri" w:hAnsi="Calibri" w:cs="Calibri"/>
          <w:highlight w:val="yellow"/>
          <w:lang w:bidi="fr-FR"/>
        </w:rPr>
        <w:t>(n =)</w:t>
      </w:r>
      <w:r>
        <w:rPr>
          <w:rFonts w:ascii="Calibri" w:eastAsia="Calibri" w:hAnsi="Calibri" w:cs="Calibri"/>
          <w:lang w:bidi="fr-FR"/>
        </w:rPr>
        <w:t xml:space="preserve">. </w:t>
      </w:r>
      <w:r w:rsidR="00395205">
        <w:rPr>
          <w:rFonts w:ascii="Calibri" w:eastAsia="Calibri" w:hAnsi="Calibri" w:cs="Calibri"/>
          <w:lang w:bidi="fr-FR"/>
        </w:rPr>
        <w:t xml:space="preserve">Le dépistage chez les patients atteints de tuberculose a représenté 3 % des tests réalisés et 16 % des diagnostics établis </w:t>
      </w:r>
      <w:r w:rsidR="00395205" w:rsidRPr="00655C31">
        <w:rPr>
          <w:rFonts w:ascii="Calibri" w:eastAsia="Calibri" w:hAnsi="Calibri" w:cs="Calibri"/>
          <w:highlight w:val="yellow"/>
          <w:lang w:bidi="fr-FR"/>
        </w:rPr>
        <w:t>(n =)</w:t>
      </w:r>
      <w:r w:rsidR="00395205">
        <w:rPr>
          <w:rFonts w:ascii="Calibri" w:eastAsia="Calibri" w:hAnsi="Calibri" w:cs="Calibri"/>
          <w:lang w:bidi="fr-FR"/>
        </w:rPr>
        <w:t xml:space="preserve">. </w:t>
      </w:r>
    </w:p>
    <w:p w14:paraId="7137DC8D" w14:textId="77777777" w:rsidR="00395205" w:rsidRDefault="00395205" w:rsidP="00395205">
      <w:pPr>
        <w:jc w:val="both"/>
        <w:rPr>
          <w:rFonts w:ascii="Calibri" w:hAnsi="Calibri"/>
        </w:rPr>
      </w:pPr>
      <w:r>
        <w:rPr>
          <w:rFonts w:ascii="Calibri" w:eastAsia="Calibri" w:hAnsi="Calibri" w:cs="Calibri"/>
          <w:lang w:bidi="fr-FR"/>
        </w:rPr>
        <w:t xml:space="preserve">Les approches communautaires ciblant les populations clés et vulnérables ont représenté environ 4 % des tests réalisés et 3 % de l’ensemble des diagnostics établis en 2017. </w:t>
      </w:r>
    </w:p>
    <w:p w14:paraId="0714FC1F" w14:textId="77777777" w:rsidR="00395205" w:rsidRDefault="00395205" w:rsidP="00395205">
      <w:pPr>
        <w:pStyle w:val="Titre2"/>
        <w:rPr>
          <w:rFonts w:eastAsia="BrandonText-Light"/>
        </w:rPr>
      </w:pPr>
    </w:p>
    <w:p w14:paraId="4B18DE25" w14:textId="77777777" w:rsidR="00395205" w:rsidRPr="00C92FDB" w:rsidRDefault="00395205" w:rsidP="00395205">
      <w:pPr>
        <w:pStyle w:val="Titre2"/>
      </w:pPr>
      <w:bookmarkStart w:id="25" w:name="_Toc8400024"/>
      <w:r>
        <w:rPr>
          <w:rFonts w:eastAsia="BrandonText-Light"/>
          <w:lang w:bidi="fr-FR"/>
        </w:rPr>
        <w:t>4.3 </w:t>
      </w:r>
      <w:r>
        <w:rPr>
          <w:lang w:bidi="fr-FR"/>
        </w:rPr>
        <w:t>Couverture des services de dépistage du VIH</w:t>
      </w:r>
      <w:bookmarkEnd w:id="25"/>
    </w:p>
    <w:p w14:paraId="140F03B7" w14:textId="77777777" w:rsidR="00395205" w:rsidRPr="002A07D3" w:rsidRDefault="00395205" w:rsidP="00395205">
      <w:pPr>
        <w:jc w:val="both"/>
        <w:rPr>
          <w:sz w:val="4"/>
          <w:szCs w:val="4"/>
        </w:rPr>
      </w:pPr>
    </w:p>
    <w:p w14:paraId="1F0E47E4" w14:textId="77777777" w:rsidR="00395205" w:rsidRDefault="00395205" w:rsidP="00395205">
      <w:pPr>
        <w:jc w:val="both"/>
      </w:pPr>
      <w:r>
        <w:rPr>
          <w:lang w:bidi="fr-FR"/>
        </w:rPr>
        <w:t xml:space="preserve">Considérées conjointement avec les analyses de rendement du dépistage, les estimations de la proportion des établissements de santé proposant des services de dépistage du VIH peuvent mettre en lumière les priorités à respecter pour le déploiement des approches existantes.  </w:t>
      </w:r>
    </w:p>
    <w:p w14:paraId="01E8C974" w14:textId="77777777" w:rsidR="00395205" w:rsidRDefault="00395205" w:rsidP="00395205">
      <w:pPr>
        <w:jc w:val="both"/>
      </w:pPr>
      <w:r>
        <w:rPr>
          <w:lang w:bidi="fr-FR"/>
        </w:rPr>
        <w:t>D’après le Plan national de développement sanitaire 2015-2024 (PNDS), le pays compte 1 383 structures de santé publique (410 centres de santé et 925 postes). Le rapport de 2017 du CNLS recense 24 structures parapubliques et 371 structures de santé privées (dont 35 de type confessionnel ou associatif) supplémentaires. [R] L’enquête SARA 2017, qui englobait les établissements privés, a comptabilisé un total de 2 263 structures de santé.</w:t>
      </w:r>
    </w:p>
    <w:p w14:paraId="5A850F87" w14:textId="77777777" w:rsidR="00395205" w:rsidRPr="00761655" w:rsidRDefault="00395205" w:rsidP="00395205">
      <w:pPr>
        <w:pStyle w:val="Titre3"/>
      </w:pPr>
      <w:bookmarkStart w:id="26" w:name="_Toc8400025"/>
      <w:r>
        <w:rPr>
          <w:lang w:bidi="fr-FR"/>
        </w:rPr>
        <w:t>4.3.1 Le CDIS à des fins de diagnostic</w:t>
      </w:r>
      <w:bookmarkEnd w:id="26"/>
    </w:p>
    <w:p w14:paraId="3DB18437" w14:textId="77777777" w:rsidR="00395205" w:rsidRPr="00762CA6" w:rsidRDefault="00395205" w:rsidP="00395205">
      <w:pPr>
        <w:jc w:val="both"/>
      </w:pPr>
      <w:r w:rsidRPr="00762CA6">
        <w:rPr>
          <w:lang w:bidi="fr-FR"/>
        </w:rPr>
        <w:t xml:space="preserve">Fin 2017, 149 structures de santé publique, dont 128 (86 %) répertoriées dans la base de données issue des rapports nationaux, fournissaient des services de CDIS et/ou de CDV. Parmi elles, 89 (60 %) ont transmis au PNLSH des données relatives au dépistage du VIH. </w:t>
      </w:r>
      <w:r w:rsidRPr="00762CA6">
        <w:rPr>
          <w:b/>
          <w:lang w:bidi="fr-FR"/>
        </w:rPr>
        <w:t>Ces chiffres signifient qu’environ 6,4 % de l’ensemble des structures de santé publique (soit 22 % des centres de santé) offrent des prestations de dépistage du VIH faisant l’objet d’un suivi</w:t>
      </w:r>
      <w:r w:rsidRPr="00762CA6">
        <w:rPr>
          <w:lang w:bidi="fr-FR"/>
        </w:rPr>
        <w:t xml:space="preserve"> (figure 4.4). Sur les 2 263</w:t>
      </w:r>
      <w:r>
        <w:rPr>
          <w:lang w:bidi="fr-FR"/>
        </w:rPr>
        <w:t> </w:t>
      </w:r>
      <w:r w:rsidRPr="00762CA6">
        <w:rPr>
          <w:lang w:bidi="fr-FR"/>
        </w:rPr>
        <w:t xml:space="preserve">structures de santé existantes, l’enquête SARA en a recensé 477 (soit 21 %) dotées des moyens nécessaires pour proposer des services de conseil et de dépistage du VIH. </w:t>
      </w:r>
    </w:p>
    <w:p w14:paraId="5E29F81D" w14:textId="77777777" w:rsidR="00395205" w:rsidRPr="00DD48D1" w:rsidRDefault="00395205" w:rsidP="00395205">
      <w:pPr>
        <w:jc w:val="both"/>
      </w:pPr>
      <w:r>
        <w:rPr>
          <w:lang w:bidi="fr-FR"/>
        </w:rPr>
        <w:lastRenderedPageBreak/>
        <w:t xml:space="preserve">En ce qui concerne les services de CDIS auprès des PVVIH, d’importantes disparités régionales se font jour (tableau 4.2). En 2017, </w:t>
      </w:r>
      <w:r>
        <w:rPr>
          <w:b/>
          <w:lang w:bidi="fr-FR"/>
        </w:rPr>
        <w:t>51 % de l’ensemble des tests de dépistage ont été réalisés dans la région de Conakry</w:t>
      </w:r>
      <w:r>
        <w:rPr>
          <w:lang w:bidi="fr-FR"/>
        </w:rPr>
        <w:t xml:space="preserve">, ce qui représente 28 tests pour 1 000 habitants et 1,9 tests par PVVIH [R]. Pour toutes les autres régions, la proportion de tests effectués varie de 3 % (Mamou) à 11 % (Kindia), soit respectivement de 4 à 6 tests pour 1 000 habitants, et de 0,3 (Labé) à 0,7 tests (Kindia) par PVVIH. </w:t>
      </w:r>
      <w:r>
        <w:rPr>
          <w:b/>
          <w:lang w:bidi="fr-FR"/>
        </w:rPr>
        <w:t>L’ensemble des régions hors Conakry doivent renforcer leur offre de services en matière de CDIS.</w:t>
      </w:r>
    </w:p>
    <w:p w14:paraId="0B204AFA" w14:textId="77777777" w:rsidR="00395205" w:rsidRPr="00DD48D1" w:rsidRDefault="00395205" w:rsidP="00395205">
      <w:pPr>
        <w:jc w:val="both"/>
      </w:pPr>
    </w:p>
    <w:p w14:paraId="70E91582" w14:textId="77777777" w:rsidR="00395205" w:rsidRPr="00AC104D" w:rsidRDefault="00395205" w:rsidP="00395205">
      <w:pPr>
        <w:pStyle w:val="Titre4"/>
      </w:pPr>
      <w:r w:rsidRPr="00AC104D">
        <w:rPr>
          <w:lang w:bidi="fr-FR"/>
        </w:rPr>
        <w:t xml:space="preserve">Tableau 4.2 : Nombre de tests effectués en 2017, par région </w:t>
      </w:r>
    </w:p>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1062"/>
        <w:gridCol w:w="1062"/>
        <w:gridCol w:w="2075"/>
        <w:gridCol w:w="1599"/>
      </w:tblGrid>
      <w:tr w:rsidR="00395205" w:rsidRPr="005C6078" w14:paraId="29A82630" w14:textId="77777777" w:rsidTr="00941C91">
        <w:trPr>
          <w:trHeight w:val="288"/>
        </w:trPr>
        <w:tc>
          <w:tcPr>
            <w:tcW w:w="2976" w:type="dxa"/>
            <w:shd w:val="clear" w:color="auto" w:fill="auto"/>
            <w:noWrap/>
            <w:vAlign w:val="bottom"/>
          </w:tcPr>
          <w:p w14:paraId="38EB2160" w14:textId="77777777" w:rsidR="00395205" w:rsidRPr="00D93055" w:rsidRDefault="00395205" w:rsidP="00941C91">
            <w:pPr>
              <w:spacing w:after="0" w:line="240" w:lineRule="auto"/>
              <w:rPr>
                <w:rFonts w:ascii="Calibri" w:eastAsia="Times New Roman" w:hAnsi="Calibri" w:cs="Calibri"/>
                <w:color w:val="000000"/>
                <w:lang w:val="fr-BE" w:eastAsia="nl-BE"/>
              </w:rPr>
            </w:pPr>
          </w:p>
        </w:tc>
        <w:tc>
          <w:tcPr>
            <w:tcW w:w="1062" w:type="dxa"/>
            <w:shd w:val="clear" w:color="auto" w:fill="auto"/>
            <w:noWrap/>
            <w:vAlign w:val="bottom"/>
          </w:tcPr>
          <w:p w14:paraId="2F6C312C" w14:textId="77777777" w:rsidR="00395205" w:rsidRPr="00D93055" w:rsidRDefault="00395205" w:rsidP="00941C91">
            <w:pPr>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Tests</w:t>
            </w:r>
          </w:p>
        </w:tc>
        <w:tc>
          <w:tcPr>
            <w:tcW w:w="1062" w:type="dxa"/>
            <w:shd w:val="clear" w:color="auto" w:fill="auto"/>
            <w:noWrap/>
            <w:vAlign w:val="bottom"/>
          </w:tcPr>
          <w:p w14:paraId="64A741E5" w14:textId="77777777" w:rsidR="00395205" w:rsidRPr="00D93055" w:rsidRDefault="00395205" w:rsidP="00941C91">
            <w:pPr>
              <w:spacing w:after="0" w:line="240" w:lineRule="auto"/>
              <w:jc w:val="right"/>
              <w:rPr>
                <w:rFonts w:ascii="Calibri" w:eastAsia="Times New Roman" w:hAnsi="Calibri" w:cs="Calibri"/>
                <w:color w:val="000000"/>
                <w:lang w:val="fr-BE" w:eastAsia="nl-BE"/>
              </w:rPr>
            </w:pPr>
            <w:r w:rsidRPr="005C6078">
              <w:rPr>
                <w:rFonts w:ascii="Calibri" w:eastAsia="Times New Roman" w:hAnsi="Calibri" w:cs="Calibri"/>
                <w:color w:val="000000"/>
                <w:lang w:bidi="fr-FR"/>
              </w:rPr>
              <w:t>%</w:t>
            </w:r>
          </w:p>
        </w:tc>
        <w:tc>
          <w:tcPr>
            <w:tcW w:w="1837" w:type="dxa"/>
          </w:tcPr>
          <w:p w14:paraId="7F97D105" w14:textId="77777777" w:rsidR="00395205" w:rsidRPr="005C6078" w:rsidRDefault="00395205" w:rsidP="00941C91">
            <w:pPr>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Tests/1 000 habitants</w:t>
            </w:r>
          </w:p>
        </w:tc>
        <w:tc>
          <w:tcPr>
            <w:tcW w:w="1837" w:type="dxa"/>
          </w:tcPr>
          <w:p w14:paraId="7E3A9D0E" w14:textId="77777777" w:rsidR="00395205" w:rsidRPr="005C6078" w:rsidRDefault="00395205" w:rsidP="00941C91">
            <w:pPr>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Tests/PVVIH</w:t>
            </w:r>
          </w:p>
        </w:tc>
      </w:tr>
      <w:tr w:rsidR="00395205" w:rsidRPr="005C6078" w14:paraId="6A29CC69" w14:textId="77777777" w:rsidTr="00941C91">
        <w:trPr>
          <w:trHeight w:val="288"/>
        </w:trPr>
        <w:tc>
          <w:tcPr>
            <w:tcW w:w="2976" w:type="dxa"/>
            <w:shd w:val="clear" w:color="auto" w:fill="auto"/>
            <w:noWrap/>
            <w:vAlign w:val="bottom"/>
          </w:tcPr>
          <w:p w14:paraId="32CDBBE8"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Conakry</w:t>
            </w:r>
          </w:p>
        </w:tc>
        <w:tc>
          <w:tcPr>
            <w:tcW w:w="1062" w:type="dxa"/>
            <w:shd w:val="clear" w:color="auto" w:fill="auto"/>
            <w:noWrap/>
            <w:vAlign w:val="bottom"/>
          </w:tcPr>
          <w:p w14:paraId="19AE7D2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53 060</w:t>
            </w:r>
          </w:p>
        </w:tc>
        <w:tc>
          <w:tcPr>
            <w:tcW w:w="1062" w:type="dxa"/>
            <w:shd w:val="clear" w:color="auto" w:fill="auto"/>
            <w:noWrap/>
            <w:vAlign w:val="bottom"/>
          </w:tcPr>
          <w:p w14:paraId="56046B7B"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51</w:t>
            </w:r>
          </w:p>
        </w:tc>
        <w:tc>
          <w:tcPr>
            <w:tcW w:w="1837" w:type="dxa"/>
            <w:vAlign w:val="bottom"/>
          </w:tcPr>
          <w:p w14:paraId="029C228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28</w:t>
            </w:r>
          </w:p>
        </w:tc>
        <w:tc>
          <w:tcPr>
            <w:tcW w:w="1837" w:type="dxa"/>
            <w:vAlign w:val="bottom"/>
          </w:tcPr>
          <w:p w14:paraId="3AE47A0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1,9</w:t>
            </w:r>
          </w:p>
        </w:tc>
      </w:tr>
      <w:tr w:rsidR="00395205" w:rsidRPr="005C6078" w14:paraId="3D80C785" w14:textId="77777777" w:rsidTr="00941C91">
        <w:trPr>
          <w:trHeight w:val="288"/>
        </w:trPr>
        <w:tc>
          <w:tcPr>
            <w:tcW w:w="2976" w:type="dxa"/>
            <w:shd w:val="clear" w:color="auto" w:fill="auto"/>
            <w:noWrap/>
            <w:vAlign w:val="bottom"/>
            <w:hideMark/>
          </w:tcPr>
          <w:p w14:paraId="6093CAA2"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Kindia</w:t>
            </w:r>
          </w:p>
        </w:tc>
        <w:tc>
          <w:tcPr>
            <w:tcW w:w="1062" w:type="dxa"/>
            <w:shd w:val="clear" w:color="auto" w:fill="auto"/>
            <w:noWrap/>
            <w:vAlign w:val="bottom"/>
            <w:hideMark/>
          </w:tcPr>
          <w:p w14:paraId="20D197AC"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11 068</w:t>
            </w:r>
          </w:p>
        </w:tc>
        <w:tc>
          <w:tcPr>
            <w:tcW w:w="1062" w:type="dxa"/>
            <w:shd w:val="clear" w:color="auto" w:fill="auto"/>
            <w:noWrap/>
            <w:vAlign w:val="bottom"/>
            <w:hideMark/>
          </w:tcPr>
          <w:p w14:paraId="23B46DC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11</w:t>
            </w:r>
          </w:p>
        </w:tc>
        <w:tc>
          <w:tcPr>
            <w:tcW w:w="1837" w:type="dxa"/>
            <w:vAlign w:val="bottom"/>
          </w:tcPr>
          <w:p w14:paraId="5BE3A83B"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6</w:t>
            </w:r>
          </w:p>
        </w:tc>
        <w:tc>
          <w:tcPr>
            <w:tcW w:w="1837" w:type="dxa"/>
            <w:vAlign w:val="bottom"/>
          </w:tcPr>
          <w:p w14:paraId="47B9C9D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0,7</w:t>
            </w:r>
          </w:p>
        </w:tc>
      </w:tr>
      <w:tr w:rsidR="00395205" w:rsidRPr="005C6078" w14:paraId="31E42207" w14:textId="77777777" w:rsidTr="00941C91">
        <w:trPr>
          <w:trHeight w:val="288"/>
        </w:trPr>
        <w:tc>
          <w:tcPr>
            <w:tcW w:w="2976" w:type="dxa"/>
            <w:shd w:val="clear" w:color="auto" w:fill="auto"/>
            <w:noWrap/>
            <w:vAlign w:val="bottom"/>
            <w:hideMark/>
          </w:tcPr>
          <w:p w14:paraId="10731CAD"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Boké</w:t>
            </w:r>
          </w:p>
        </w:tc>
        <w:tc>
          <w:tcPr>
            <w:tcW w:w="1062" w:type="dxa"/>
            <w:shd w:val="clear" w:color="auto" w:fill="auto"/>
            <w:noWrap/>
            <w:vAlign w:val="bottom"/>
            <w:hideMark/>
          </w:tcPr>
          <w:p w14:paraId="2B1FC6C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6 094</w:t>
            </w:r>
          </w:p>
        </w:tc>
        <w:tc>
          <w:tcPr>
            <w:tcW w:w="1062" w:type="dxa"/>
            <w:shd w:val="clear" w:color="auto" w:fill="auto"/>
            <w:noWrap/>
            <w:vAlign w:val="bottom"/>
            <w:hideMark/>
          </w:tcPr>
          <w:p w14:paraId="7D19A76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6</w:t>
            </w:r>
          </w:p>
        </w:tc>
        <w:tc>
          <w:tcPr>
            <w:tcW w:w="1837" w:type="dxa"/>
            <w:vAlign w:val="bottom"/>
          </w:tcPr>
          <w:p w14:paraId="5C37A52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w:t>
            </w:r>
          </w:p>
        </w:tc>
        <w:tc>
          <w:tcPr>
            <w:tcW w:w="1837" w:type="dxa"/>
            <w:vAlign w:val="bottom"/>
          </w:tcPr>
          <w:p w14:paraId="5DC6E24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0,4</w:t>
            </w:r>
          </w:p>
        </w:tc>
      </w:tr>
      <w:tr w:rsidR="00395205" w:rsidRPr="005C6078" w14:paraId="466A1E1C" w14:textId="77777777" w:rsidTr="00941C91">
        <w:trPr>
          <w:trHeight w:val="288"/>
        </w:trPr>
        <w:tc>
          <w:tcPr>
            <w:tcW w:w="2976" w:type="dxa"/>
            <w:shd w:val="clear" w:color="auto" w:fill="auto"/>
            <w:noWrap/>
            <w:vAlign w:val="bottom"/>
            <w:hideMark/>
          </w:tcPr>
          <w:p w14:paraId="17FA24A9"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Mamou</w:t>
            </w:r>
          </w:p>
        </w:tc>
        <w:tc>
          <w:tcPr>
            <w:tcW w:w="1062" w:type="dxa"/>
            <w:shd w:val="clear" w:color="auto" w:fill="auto"/>
            <w:noWrap/>
            <w:vAlign w:val="bottom"/>
            <w:hideMark/>
          </w:tcPr>
          <w:p w14:paraId="725D311F"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3 198</w:t>
            </w:r>
          </w:p>
        </w:tc>
        <w:tc>
          <w:tcPr>
            <w:tcW w:w="1062" w:type="dxa"/>
            <w:shd w:val="clear" w:color="auto" w:fill="auto"/>
            <w:noWrap/>
            <w:vAlign w:val="bottom"/>
            <w:hideMark/>
          </w:tcPr>
          <w:p w14:paraId="7C32684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w:t>
            </w:r>
          </w:p>
        </w:tc>
        <w:tc>
          <w:tcPr>
            <w:tcW w:w="1837" w:type="dxa"/>
            <w:vAlign w:val="bottom"/>
          </w:tcPr>
          <w:p w14:paraId="34D7229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w:t>
            </w:r>
          </w:p>
        </w:tc>
        <w:tc>
          <w:tcPr>
            <w:tcW w:w="1837" w:type="dxa"/>
            <w:vAlign w:val="bottom"/>
          </w:tcPr>
          <w:p w14:paraId="3C55E620"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0,5</w:t>
            </w:r>
          </w:p>
        </w:tc>
      </w:tr>
      <w:tr w:rsidR="00395205" w:rsidRPr="005C6078" w14:paraId="4F024833" w14:textId="77777777" w:rsidTr="00941C91">
        <w:trPr>
          <w:trHeight w:val="288"/>
        </w:trPr>
        <w:tc>
          <w:tcPr>
            <w:tcW w:w="2976" w:type="dxa"/>
            <w:shd w:val="clear" w:color="auto" w:fill="auto"/>
            <w:noWrap/>
            <w:vAlign w:val="bottom"/>
            <w:hideMark/>
          </w:tcPr>
          <w:p w14:paraId="7011F2C2"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Labé</w:t>
            </w:r>
          </w:p>
        </w:tc>
        <w:tc>
          <w:tcPr>
            <w:tcW w:w="1062" w:type="dxa"/>
            <w:shd w:val="clear" w:color="auto" w:fill="auto"/>
            <w:noWrap/>
            <w:vAlign w:val="bottom"/>
            <w:hideMark/>
          </w:tcPr>
          <w:p w14:paraId="7B9AED77"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4 459</w:t>
            </w:r>
          </w:p>
        </w:tc>
        <w:tc>
          <w:tcPr>
            <w:tcW w:w="1062" w:type="dxa"/>
            <w:shd w:val="clear" w:color="auto" w:fill="auto"/>
            <w:noWrap/>
            <w:vAlign w:val="bottom"/>
            <w:hideMark/>
          </w:tcPr>
          <w:p w14:paraId="0194EB2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w:t>
            </w:r>
          </w:p>
        </w:tc>
        <w:tc>
          <w:tcPr>
            <w:tcW w:w="1837" w:type="dxa"/>
            <w:vAlign w:val="bottom"/>
          </w:tcPr>
          <w:p w14:paraId="490D6FC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w:t>
            </w:r>
          </w:p>
        </w:tc>
        <w:tc>
          <w:tcPr>
            <w:tcW w:w="1837" w:type="dxa"/>
            <w:vAlign w:val="bottom"/>
          </w:tcPr>
          <w:p w14:paraId="238561B6"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0,3</w:t>
            </w:r>
          </w:p>
        </w:tc>
      </w:tr>
      <w:tr w:rsidR="00395205" w:rsidRPr="005C6078" w14:paraId="16B0AB6E" w14:textId="77777777" w:rsidTr="00941C91">
        <w:trPr>
          <w:trHeight w:val="288"/>
        </w:trPr>
        <w:tc>
          <w:tcPr>
            <w:tcW w:w="2976" w:type="dxa"/>
            <w:shd w:val="clear" w:color="auto" w:fill="auto"/>
            <w:noWrap/>
            <w:vAlign w:val="bottom"/>
            <w:hideMark/>
          </w:tcPr>
          <w:p w14:paraId="2598B880"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Kankan</w:t>
            </w:r>
          </w:p>
        </w:tc>
        <w:tc>
          <w:tcPr>
            <w:tcW w:w="1062" w:type="dxa"/>
            <w:shd w:val="clear" w:color="auto" w:fill="auto"/>
            <w:noWrap/>
            <w:vAlign w:val="bottom"/>
            <w:hideMark/>
          </w:tcPr>
          <w:p w14:paraId="6EEAD68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11 676</w:t>
            </w:r>
          </w:p>
        </w:tc>
        <w:tc>
          <w:tcPr>
            <w:tcW w:w="1062" w:type="dxa"/>
            <w:shd w:val="clear" w:color="auto" w:fill="auto"/>
            <w:noWrap/>
            <w:vAlign w:val="bottom"/>
            <w:hideMark/>
          </w:tcPr>
          <w:p w14:paraId="4234AC3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11</w:t>
            </w:r>
          </w:p>
        </w:tc>
        <w:tc>
          <w:tcPr>
            <w:tcW w:w="1837" w:type="dxa"/>
            <w:vAlign w:val="bottom"/>
          </w:tcPr>
          <w:p w14:paraId="79BFBC9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w:t>
            </w:r>
          </w:p>
        </w:tc>
        <w:tc>
          <w:tcPr>
            <w:tcW w:w="1837" w:type="dxa"/>
            <w:vAlign w:val="bottom"/>
          </w:tcPr>
          <w:p w14:paraId="4BB26A9B"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0,6</w:t>
            </w:r>
          </w:p>
        </w:tc>
      </w:tr>
      <w:tr w:rsidR="00395205" w:rsidRPr="005C6078" w14:paraId="31D69DC5" w14:textId="77777777" w:rsidTr="00941C91">
        <w:trPr>
          <w:trHeight w:val="288"/>
        </w:trPr>
        <w:tc>
          <w:tcPr>
            <w:tcW w:w="2976" w:type="dxa"/>
            <w:shd w:val="clear" w:color="auto" w:fill="auto"/>
            <w:noWrap/>
            <w:vAlign w:val="bottom"/>
            <w:hideMark/>
          </w:tcPr>
          <w:p w14:paraId="12AD5CC0"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Faranah</w:t>
            </w:r>
          </w:p>
        </w:tc>
        <w:tc>
          <w:tcPr>
            <w:tcW w:w="1062" w:type="dxa"/>
            <w:shd w:val="clear" w:color="auto" w:fill="auto"/>
            <w:noWrap/>
            <w:vAlign w:val="bottom"/>
            <w:hideMark/>
          </w:tcPr>
          <w:p w14:paraId="1FCBF7A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4 909</w:t>
            </w:r>
          </w:p>
        </w:tc>
        <w:tc>
          <w:tcPr>
            <w:tcW w:w="1062" w:type="dxa"/>
            <w:shd w:val="clear" w:color="auto" w:fill="auto"/>
            <w:noWrap/>
            <w:vAlign w:val="bottom"/>
            <w:hideMark/>
          </w:tcPr>
          <w:p w14:paraId="6EE8D3ED"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w:t>
            </w:r>
          </w:p>
        </w:tc>
        <w:tc>
          <w:tcPr>
            <w:tcW w:w="1837" w:type="dxa"/>
            <w:vAlign w:val="bottom"/>
          </w:tcPr>
          <w:p w14:paraId="75171A8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w:t>
            </w:r>
          </w:p>
        </w:tc>
        <w:tc>
          <w:tcPr>
            <w:tcW w:w="1837" w:type="dxa"/>
            <w:vAlign w:val="bottom"/>
          </w:tcPr>
          <w:p w14:paraId="126117B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0,5</w:t>
            </w:r>
          </w:p>
        </w:tc>
      </w:tr>
      <w:tr w:rsidR="00395205" w:rsidRPr="005C6078" w14:paraId="73C93215" w14:textId="77777777" w:rsidTr="00941C91">
        <w:trPr>
          <w:trHeight w:val="288"/>
        </w:trPr>
        <w:tc>
          <w:tcPr>
            <w:tcW w:w="2976" w:type="dxa"/>
            <w:shd w:val="clear" w:color="auto" w:fill="auto"/>
            <w:noWrap/>
            <w:vAlign w:val="bottom"/>
            <w:hideMark/>
          </w:tcPr>
          <w:p w14:paraId="116F5873" w14:textId="77777777" w:rsidR="00395205" w:rsidRPr="00D93055" w:rsidRDefault="00395205" w:rsidP="00941C91">
            <w:pPr>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N’Zérékoré</w:t>
            </w:r>
          </w:p>
        </w:tc>
        <w:tc>
          <w:tcPr>
            <w:tcW w:w="1062" w:type="dxa"/>
            <w:shd w:val="clear" w:color="auto" w:fill="auto"/>
            <w:noWrap/>
            <w:vAlign w:val="bottom"/>
            <w:hideMark/>
          </w:tcPr>
          <w:p w14:paraId="77A0EAFF"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9 461</w:t>
            </w:r>
          </w:p>
        </w:tc>
        <w:tc>
          <w:tcPr>
            <w:tcW w:w="1062" w:type="dxa"/>
            <w:shd w:val="clear" w:color="auto" w:fill="auto"/>
            <w:noWrap/>
            <w:vAlign w:val="bottom"/>
            <w:hideMark/>
          </w:tcPr>
          <w:p w14:paraId="736433D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w:t>
            </w:r>
          </w:p>
        </w:tc>
        <w:tc>
          <w:tcPr>
            <w:tcW w:w="1837" w:type="dxa"/>
            <w:vAlign w:val="bottom"/>
          </w:tcPr>
          <w:p w14:paraId="6624CA7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w:t>
            </w:r>
          </w:p>
        </w:tc>
        <w:tc>
          <w:tcPr>
            <w:tcW w:w="1837" w:type="dxa"/>
            <w:vAlign w:val="bottom"/>
          </w:tcPr>
          <w:p w14:paraId="2C773216"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0,5</w:t>
            </w:r>
          </w:p>
        </w:tc>
      </w:tr>
      <w:tr w:rsidR="00395205" w:rsidRPr="00C80D70" w14:paraId="6874BE18" w14:textId="77777777" w:rsidTr="00941C91">
        <w:trPr>
          <w:trHeight w:val="288"/>
        </w:trPr>
        <w:tc>
          <w:tcPr>
            <w:tcW w:w="2976" w:type="dxa"/>
            <w:shd w:val="clear" w:color="auto" w:fill="auto"/>
            <w:noWrap/>
            <w:vAlign w:val="bottom"/>
            <w:hideMark/>
          </w:tcPr>
          <w:p w14:paraId="08934366" w14:textId="77777777" w:rsidR="00395205" w:rsidRPr="00C80D70" w:rsidRDefault="00395205" w:rsidP="00941C91">
            <w:pPr>
              <w:spacing w:after="0" w:line="240" w:lineRule="auto"/>
              <w:rPr>
                <w:rFonts w:ascii="Calibri" w:eastAsia="Times New Roman" w:hAnsi="Calibri" w:cs="Calibri"/>
                <w:b/>
                <w:color w:val="000000"/>
                <w:lang w:val="fr-BE" w:eastAsia="nl-BE"/>
              </w:rPr>
            </w:pPr>
            <w:r w:rsidRPr="00C80D70">
              <w:rPr>
                <w:rFonts w:ascii="Calibri" w:eastAsia="Times New Roman" w:hAnsi="Calibri" w:cs="Calibri"/>
                <w:b/>
                <w:color w:val="000000"/>
                <w:lang w:bidi="fr-FR"/>
              </w:rPr>
              <w:t>Total</w:t>
            </w:r>
          </w:p>
        </w:tc>
        <w:tc>
          <w:tcPr>
            <w:tcW w:w="1062" w:type="dxa"/>
            <w:shd w:val="clear" w:color="auto" w:fill="auto"/>
            <w:noWrap/>
            <w:vAlign w:val="bottom"/>
            <w:hideMark/>
          </w:tcPr>
          <w:p w14:paraId="148D4599" w14:textId="77777777" w:rsidR="00395205" w:rsidRPr="00C80D70" w:rsidRDefault="00395205" w:rsidP="00941C91">
            <w:pPr>
              <w:spacing w:after="0" w:line="240" w:lineRule="auto"/>
              <w:jc w:val="right"/>
              <w:rPr>
                <w:rFonts w:ascii="Calibri" w:hAnsi="Calibri" w:cs="Calibri"/>
                <w:b/>
                <w:color w:val="000000"/>
              </w:rPr>
            </w:pPr>
            <w:r w:rsidRPr="00C80D70">
              <w:rPr>
                <w:rFonts w:ascii="Calibri" w:eastAsia="Calibri" w:hAnsi="Calibri" w:cs="Calibri"/>
                <w:b/>
                <w:color w:val="000000"/>
                <w:lang w:bidi="fr-FR"/>
              </w:rPr>
              <w:t>103 925</w:t>
            </w:r>
          </w:p>
        </w:tc>
        <w:tc>
          <w:tcPr>
            <w:tcW w:w="1062" w:type="dxa"/>
            <w:shd w:val="clear" w:color="auto" w:fill="auto"/>
            <w:noWrap/>
            <w:vAlign w:val="bottom"/>
          </w:tcPr>
          <w:p w14:paraId="0AB3B223" w14:textId="77777777" w:rsidR="00395205" w:rsidRPr="00C80D70" w:rsidRDefault="00395205" w:rsidP="00941C91">
            <w:pPr>
              <w:spacing w:after="0" w:line="240" w:lineRule="auto"/>
              <w:jc w:val="right"/>
              <w:rPr>
                <w:rFonts w:ascii="Calibri" w:hAnsi="Calibri" w:cs="Calibri"/>
                <w:b/>
                <w:color w:val="000000"/>
              </w:rPr>
            </w:pPr>
          </w:p>
        </w:tc>
        <w:tc>
          <w:tcPr>
            <w:tcW w:w="1837" w:type="dxa"/>
            <w:vAlign w:val="bottom"/>
          </w:tcPr>
          <w:p w14:paraId="2AC59AFE" w14:textId="77777777" w:rsidR="00395205" w:rsidRPr="00C80D70" w:rsidRDefault="00395205" w:rsidP="00941C91">
            <w:pPr>
              <w:spacing w:after="0" w:line="240" w:lineRule="auto"/>
              <w:jc w:val="right"/>
              <w:rPr>
                <w:rFonts w:ascii="Calibri" w:hAnsi="Calibri" w:cs="Calibri"/>
                <w:b/>
                <w:color w:val="000000"/>
              </w:rPr>
            </w:pPr>
            <w:r w:rsidRPr="00C80D70">
              <w:rPr>
                <w:rFonts w:ascii="Calibri" w:eastAsia="Calibri" w:hAnsi="Calibri" w:cs="Calibri"/>
                <w:b/>
                <w:color w:val="000000"/>
                <w:lang w:bidi="fr-FR"/>
              </w:rPr>
              <w:t>9</w:t>
            </w:r>
          </w:p>
        </w:tc>
        <w:tc>
          <w:tcPr>
            <w:tcW w:w="1837" w:type="dxa"/>
            <w:vAlign w:val="bottom"/>
          </w:tcPr>
          <w:p w14:paraId="79D7D78A" w14:textId="77777777" w:rsidR="00395205" w:rsidRPr="00C80D70" w:rsidRDefault="00395205" w:rsidP="00941C91">
            <w:pPr>
              <w:spacing w:after="0" w:line="240" w:lineRule="auto"/>
              <w:jc w:val="right"/>
              <w:rPr>
                <w:rFonts w:ascii="Calibri" w:hAnsi="Calibri" w:cs="Calibri"/>
                <w:b/>
                <w:color w:val="000000"/>
              </w:rPr>
            </w:pPr>
            <w:r w:rsidRPr="00C80D70">
              <w:rPr>
                <w:rFonts w:ascii="Calibri" w:eastAsia="Calibri" w:hAnsi="Calibri" w:cs="Calibri"/>
                <w:b/>
                <w:color w:val="000000"/>
                <w:lang w:bidi="fr-FR"/>
              </w:rPr>
              <w:t>0,8</w:t>
            </w:r>
          </w:p>
        </w:tc>
      </w:tr>
    </w:tbl>
    <w:p w14:paraId="61AD8D63" w14:textId="77777777" w:rsidR="00395205" w:rsidRPr="001D0298" w:rsidRDefault="00395205" w:rsidP="00395205">
      <w:pPr>
        <w:jc w:val="both"/>
        <w:rPr>
          <w:sz w:val="14"/>
          <w:szCs w:val="14"/>
        </w:rPr>
      </w:pPr>
      <w:r w:rsidRPr="001D0298">
        <w:rPr>
          <w:sz w:val="14"/>
          <w:szCs w:val="14"/>
          <w:lang w:bidi="fr-FR"/>
        </w:rPr>
        <w:t>Source : Revue épidémiologique et programmatique, et analyse de cascades en Guinée : Rapport préliminaire (Lafort, Y., 2017)</w:t>
      </w:r>
    </w:p>
    <w:p w14:paraId="5A15F3AB" w14:textId="77777777" w:rsidR="00395205" w:rsidRDefault="00395205" w:rsidP="00395205">
      <w:pPr>
        <w:jc w:val="both"/>
      </w:pPr>
    </w:p>
    <w:p w14:paraId="1731C5C2" w14:textId="77777777" w:rsidR="00395205" w:rsidRPr="007B538D" w:rsidRDefault="00395205" w:rsidP="00395205">
      <w:pPr>
        <w:pStyle w:val="Titre4"/>
      </w:pPr>
      <w:r w:rsidRPr="007B538D">
        <w:rPr>
          <w:lang w:bidi="fr-FR"/>
        </w:rPr>
        <w:t>Figure 4.4 Structures de santé publique proposant des services de dépistage du VIH dans le cadre du CDIS, de la PTME et aux patients atteints de tuberculose</w:t>
      </w:r>
    </w:p>
    <w:p w14:paraId="6B7C66C3" w14:textId="77777777" w:rsidR="00395205" w:rsidRPr="00550950" w:rsidRDefault="00395205" w:rsidP="00395205">
      <w:pPr>
        <w:jc w:val="center"/>
      </w:pPr>
      <w:r w:rsidRPr="00492ED8">
        <w:rPr>
          <w:noProof/>
          <w:lang w:bidi="fr-FR"/>
        </w:rPr>
        <w:drawing>
          <wp:inline distT="0" distB="0" distL="0" distR="0" wp14:anchorId="4E31F342" wp14:editId="6D4E0AF5">
            <wp:extent cx="4958557" cy="33554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9827" cy="3363076"/>
                    </a:xfrm>
                    <a:prstGeom prst="rect">
                      <a:avLst/>
                    </a:prstGeom>
                    <a:noFill/>
                    <a:ln>
                      <a:noFill/>
                    </a:ln>
                  </pic:spPr>
                </pic:pic>
              </a:graphicData>
            </a:graphic>
          </wp:inline>
        </w:drawing>
      </w:r>
    </w:p>
    <w:p w14:paraId="1E7F2507" w14:textId="77777777" w:rsidR="00395205" w:rsidRDefault="00395205" w:rsidP="00395205">
      <w:pPr>
        <w:pStyle w:val="Titre3"/>
      </w:pPr>
      <w:bookmarkStart w:id="27" w:name="_Toc8400026"/>
      <w:r w:rsidRPr="003872AB">
        <w:rPr>
          <w:lang w:bidi="fr-FR"/>
        </w:rPr>
        <w:t>4.3.2. PTME</w:t>
      </w:r>
      <w:bookmarkEnd w:id="27"/>
    </w:p>
    <w:p w14:paraId="0EBC3D76" w14:textId="77777777" w:rsidR="00395205" w:rsidRPr="00E6716B" w:rsidRDefault="00395205" w:rsidP="00395205">
      <w:r>
        <w:rPr>
          <w:lang w:bidi="fr-FR"/>
        </w:rPr>
        <w:t>Une analyse de la cascade de soins dans le cadre de la PTME révèle de nombreux points faibles auxquels il convient de remédier afin d’optimiser la couverture et l’incidence de ces services.</w:t>
      </w:r>
    </w:p>
    <w:p w14:paraId="668E8905" w14:textId="5B91E3AC" w:rsidR="00395205" w:rsidRDefault="00395205" w:rsidP="00395205">
      <w:pPr>
        <w:jc w:val="both"/>
        <w:rPr>
          <w:rFonts w:ascii="Calibri" w:hAnsi="Calibri"/>
        </w:rPr>
      </w:pPr>
      <w:r>
        <w:rPr>
          <w:rFonts w:ascii="Calibri" w:eastAsia="Calibri" w:hAnsi="Calibri" w:cs="Calibri"/>
          <w:lang w:bidi="fr-FR"/>
        </w:rPr>
        <w:lastRenderedPageBreak/>
        <w:t xml:space="preserve">En 2017, d’après des estimations réalisées par Spectrum, le nombre de femmes enceintes vivant avec le VIH a été évalué à 6 900. Au moins 84 % d’entre elles auraient bénéficié de </w:t>
      </w:r>
      <w:r w:rsidR="006B2D04">
        <w:rPr>
          <w:rFonts w:ascii="Calibri" w:eastAsia="Calibri" w:hAnsi="Calibri" w:cs="Calibri"/>
          <w:lang w:bidi="fr-FR"/>
        </w:rPr>
        <w:t xml:space="preserve">soins </w:t>
      </w:r>
      <w:proofErr w:type="gramStart"/>
      <w:r w:rsidR="006B2D04">
        <w:rPr>
          <w:rFonts w:ascii="Calibri" w:eastAsia="Calibri" w:hAnsi="Calibri" w:cs="Calibri"/>
          <w:lang w:bidi="fr-FR"/>
        </w:rPr>
        <w:t xml:space="preserve">prénataux </w:t>
      </w:r>
      <w:r>
        <w:rPr>
          <w:rFonts w:ascii="Calibri" w:eastAsia="Calibri" w:hAnsi="Calibri" w:cs="Calibri"/>
          <w:lang w:bidi="fr-FR"/>
        </w:rPr>
        <w:t xml:space="preserve"> durant</w:t>
      </w:r>
      <w:proofErr w:type="gramEnd"/>
      <w:r>
        <w:rPr>
          <w:rFonts w:ascii="Calibri" w:eastAsia="Calibri" w:hAnsi="Calibri" w:cs="Calibri"/>
          <w:lang w:bidi="fr-FR"/>
        </w:rPr>
        <w:t xml:space="preserve"> leur grossesse, et 71 % d’un dépistage du VIH dans ce contexte.</w:t>
      </w:r>
      <w:r>
        <w:rPr>
          <w:rFonts w:ascii="Calibri" w:eastAsia="Calibri" w:hAnsi="Calibri" w:cs="Calibri"/>
          <w:b/>
          <w:lang w:bidi="fr-FR"/>
        </w:rPr>
        <w:t xml:space="preserve"> </w:t>
      </w:r>
      <w:r>
        <w:rPr>
          <w:rFonts w:ascii="Calibri" w:eastAsia="Calibri" w:hAnsi="Calibri" w:cs="Calibri"/>
          <w:lang w:bidi="fr-FR"/>
        </w:rPr>
        <w:t xml:space="preserve">Toutefois, parmi les 4 900 femmes enceintes vivant avec le VIH ayant fréquenté un établissement offrant des services de PTME, seules 63 % (soit 3 087) ont effectivement passé un test de dépistage. </w:t>
      </w:r>
    </w:p>
    <w:p w14:paraId="052B64A7" w14:textId="77777777" w:rsidR="00395205" w:rsidRDefault="00395205" w:rsidP="00395205">
      <w:pPr>
        <w:jc w:val="both"/>
        <w:rPr>
          <w:rFonts w:ascii="Calibri" w:hAnsi="Calibri"/>
        </w:rPr>
      </w:pPr>
      <w:r w:rsidRPr="00A37628">
        <w:rPr>
          <w:rFonts w:ascii="Calibri" w:eastAsia="Calibri" w:hAnsi="Calibri" w:cs="Calibri"/>
          <w:lang w:bidi="fr-FR"/>
        </w:rPr>
        <w:t>En d’autres termes, en 2017 :</w:t>
      </w:r>
    </w:p>
    <w:p w14:paraId="6CC11A5B" w14:textId="06D83167" w:rsidR="00395205" w:rsidRPr="00C45AE3" w:rsidRDefault="00395205" w:rsidP="00395205">
      <w:pPr>
        <w:spacing w:after="0"/>
        <w:jc w:val="both"/>
        <w:rPr>
          <w:rFonts w:ascii="Calibri" w:hAnsi="Calibri"/>
        </w:rPr>
      </w:pPr>
      <w:proofErr w:type="gramStart"/>
      <w:r w:rsidRPr="00C45AE3">
        <w:rPr>
          <w:rFonts w:ascii="Calibri" w:eastAsia="Calibri" w:hAnsi="Calibri" w:cs="Calibri"/>
          <w:lang w:bidi="fr-FR"/>
        </w:rPr>
        <w:t>environ</w:t>
      </w:r>
      <w:proofErr w:type="gramEnd"/>
      <w:r w:rsidRPr="00C45AE3">
        <w:rPr>
          <w:rFonts w:ascii="Calibri" w:eastAsia="Calibri" w:hAnsi="Calibri" w:cs="Calibri"/>
          <w:lang w:bidi="fr-FR"/>
        </w:rPr>
        <w:t xml:space="preserve"> 1 104 femmes enceintes infectées par le VIH n’ont pas bénéficié de </w:t>
      </w:r>
      <w:r w:rsidR="006B2D04">
        <w:rPr>
          <w:rFonts w:ascii="Calibri" w:eastAsia="Calibri" w:hAnsi="Calibri" w:cs="Calibri"/>
          <w:lang w:bidi="fr-FR"/>
        </w:rPr>
        <w:t xml:space="preserve">soins prénataux </w:t>
      </w:r>
      <w:r w:rsidRPr="00C45AE3">
        <w:rPr>
          <w:rFonts w:ascii="Calibri" w:eastAsia="Calibri" w:hAnsi="Calibri" w:cs="Calibri"/>
          <w:lang w:bidi="fr-FR"/>
        </w:rPr>
        <w:t> ;</w:t>
      </w:r>
    </w:p>
    <w:p w14:paraId="471CFE08" w14:textId="2EEBEFD2" w:rsidR="00395205" w:rsidRPr="00C45AE3" w:rsidRDefault="00395205" w:rsidP="00395205">
      <w:pPr>
        <w:spacing w:after="0"/>
        <w:jc w:val="both"/>
        <w:rPr>
          <w:rFonts w:ascii="Calibri" w:hAnsi="Calibri"/>
        </w:rPr>
      </w:pPr>
      <w:proofErr w:type="gramStart"/>
      <w:r w:rsidRPr="00C45AE3">
        <w:rPr>
          <w:rFonts w:ascii="Calibri" w:eastAsia="Calibri" w:hAnsi="Calibri" w:cs="Calibri"/>
          <w:lang w:bidi="fr-FR"/>
        </w:rPr>
        <w:t>environ</w:t>
      </w:r>
      <w:proofErr w:type="gramEnd"/>
      <w:r w:rsidRPr="00C45AE3">
        <w:rPr>
          <w:rFonts w:ascii="Calibri" w:eastAsia="Calibri" w:hAnsi="Calibri" w:cs="Calibri"/>
          <w:lang w:bidi="fr-FR"/>
        </w:rPr>
        <w:t xml:space="preserve"> 897 femmes enceintes infectées par le VIH ont bénéficié de </w:t>
      </w:r>
      <w:r w:rsidR="006B2D04">
        <w:rPr>
          <w:rFonts w:ascii="Calibri" w:eastAsia="Calibri" w:hAnsi="Calibri" w:cs="Calibri"/>
          <w:lang w:bidi="fr-FR"/>
        </w:rPr>
        <w:t xml:space="preserve">soins prénataux </w:t>
      </w:r>
      <w:r w:rsidRPr="00C45AE3">
        <w:rPr>
          <w:rFonts w:ascii="Calibri" w:eastAsia="Calibri" w:hAnsi="Calibri" w:cs="Calibri"/>
          <w:lang w:bidi="fr-FR"/>
        </w:rPr>
        <w:t xml:space="preserve"> sans qu’on ne leur propose un dépistage du VIH ;</w:t>
      </w:r>
    </w:p>
    <w:p w14:paraId="3E4A652E" w14:textId="77777777" w:rsidR="00395205" w:rsidRPr="00C45AE3" w:rsidRDefault="00395205" w:rsidP="00395205">
      <w:pPr>
        <w:jc w:val="both"/>
        <w:rPr>
          <w:rFonts w:ascii="Calibri" w:hAnsi="Calibri"/>
        </w:rPr>
      </w:pPr>
      <w:proofErr w:type="gramStart"/>
      <w:r w:rsidRPr="00C45AE3">
        <w:rPr>
          <w:rFonts w:ascii="Calibri" w:eastAsia="Calibri" w:hAnsi="Calibri" w:cs="Calibri"/>
          <w:lang w:bidi="fr-FR"/>
        </w:rPr>
        <w:t>environ</w:t>
      </w:r>
      <w:proofErr w:type="gramEnd"/>
      <w:r w:rsidRPr="00C45AE3">
        <w:rPr>
          <w:rFonts w:ascii="Calibri" w:eastAsia="Calibri" w:hAnsi="Calibri" w:cs="Calibri"/>
          <w:lang w:bidi="fr-FR"/>
        </w:rPr>
        <w:t xml:space="preserve"> 1 794 femmes se sont rendues dans une structure offrant des services de PTME, mais n’ont pas bénéficié d’un test de dépistage. </w:t>
      </w:r>
    </w:p>
    <w:p w14:paraId="47185B3F" w14:textId="77777777" w:rsidR="00395205" w:rsidRDefault="00395205" w:rsidP="00395205">
      <w:pPr>
        <w:pStyle w:val="Titre4"/>
      </w:pPr>
      <w:r>
        <w:rPr>
          <w:lang w:bidi="fr-FR"/>
        </w:rPr>
        <w:t xml:space="preserve">Figure 4.5 : Cascade des soins dans le cadre de la PTME en Guinée (2017) </w:t>
      </w:r>
    </w:p>
    <w:p w14:paraId="0C7148F2" w14:textId="77777777" w:rsidR="00395205" w:rsidRDefault="00395205" w:rsidP="00395205">
      <w:pPr>
        <w:jc w:val="center"/>
        <w:rPr>
          <w:rFonts w:ascii="Calibri" w:hAnsi="Calibri"/>
        </w:rPr>
      </w:pPr>
      <w:r>
        <w:rPr>
          <w:noProof/>
          <w:lang w:bidi="fr-FR"/>
        </w:rPr>
        <mc:AlternateContent>
          <mc:Choice Requires="wps">
            <w:drawing>
              <wp:anchor distT="0" distB="0" distL="114300" distR="114300" simplePos="0" relativeHeight="251682304" behindDoc="0" locked="0" layoutInCell="1" allowOverlap="1" wp14:anchorId="66074CFE" wp14:editId="41218D02">
                <wp:simplePos x="0" y="0"/>
                <wp:positionH relativeFrom="column">
                  <wp:posOffset>1296204</wp:posOffset>
                </wp:positionH>
                <wp:positionV relativeFrom="paragraph">
                  <wp:posOffset>4445</wp:posOffset>
                </wp:positionV>
                <wp:extent cx="480060" cy="150471"/>
                <wp:effectExtent l="0" t="0" r="0" b="2540"/>
                <wp:wrapNone/>
                <wp:docPr id="192" name="Text Box 192"/>
                <wp:cNvGraphicFramePr/>
                <a:graphic xmlns:a="http://schemas.openxmlformats.org/drawingml/2006/main">
                  <a:graphicData uri="http://schemas.microsoft.com/office/word/2010/wordprocessingShape">
                    <wps:wsp>
                      <wps:cNvSpPr txBox="1"/>
                      <wps:spPr>
                        <a:xfrm>
                          <a:off x="0" y="0"/>
                          <a:ext cx="480060" cy="150471"/>
                        </a:xfrm>
                        <a:prstGeom prst="rect">
                          <a:avLst/>
                        </a:prstGeom>
                        <a:solidFill>
                          <a:schemeClr val="lt1"/>
                        </a:solidFill>
                        <a:ln w="6350">
                          <a:noFill/>
                        </a:ln>
                      </wps:spPr>
                      <wps:txbx>
                        <w:txbxContent>
                          <w:p w14:paraId="27FE06FC" w14:textId="77777777" w:rsidR="00A612E9" w:rsidRPr="00091DE3" w:rsidRDefault="00A612E9" w:rsidP="00395205">
                            <w:pPr>
                              <w:rPr>
                                <w:sz w:val="8"/>
                                <w:szCs w:val="8"/>
                              </w:rPr>
                            </w:pPr>
                            <w:r w:rsidRPr="00091DE3">
                              <w:rPr>
                                <w:sz w:val="8"/>
                                <w:szCs w:val="8"/>
                                <w:lang w:bidi="fr-FR"/>
                              </w:rPr>
                              <w:t>N = 6 900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4CFE" id="Text Box 192" o:spid="_x0000_s1040" type="#_x0000_t202" style="position:absolute;left:0;text-align:left;margin-left:102.05pt;margin-top:.35pt;width:37.8pt;height:11.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" fillcolor="white [3201]" stroked="f" strokeweight=".5pt">
                <v:textbox>
                  <w:txbxContent>
                    <w:p w14:paraId="27FE06FC" w14:textId="77777777" w:rsidR="00A612E9" w:rsidRPr="00091DE3" w:rsidRDefault="00A612E9" w:rsidP="00395205">
                      <w:pPr>
                        <w:rPr>
                          <w:sz w:val="8"/>
                          <w:szCs w:val="8"/>
                        </w:rPr>
                      </w:pPr>
                      <w:r w:rsidRPr="00091DE3">
                        <w:rPr>
                          <w:sz w:val="8"/>
                          <w:szCs w:val="8"/>
                          <w:lang w:bidi="fr-FR"/>
                        </w:rPr>
                        <w:t>N = 6 900</w:t>
                      </w:r>
                    </w:p>
                  </w:txbxContent>
                </v:textbox>
              </v:shape>
            </w:pict>
          </mc:Fallback>
        </mc:AlternateContent>
      </w:r>
      <w:r>
        <w:rPr>
          <w:noProof/>
          <w:lang w:bidi="fr-FR"/>
        </w:rPr>
        <w:drawing>
          <wp:inline distT="0" distB="0" distL="0" distR="0" wp14:anchorId="3F2B4C4F" wp14:editId="7B1B5095">
            <wp:extent cx="4206240" cy="2372521"/>
            <wp:effectExtent l="0" t="0" r="3810" b="8890"/>
            <wp:docPr id="254" name="Grafiek 238">
              <a:extLst xmlns:a="http://schemas.openxmlformats.org/drawingml/2006/main">
                <a:ext uri="{FF2B5EF4-FFF2-40B4-BE49-F238E27FC236}">
                  <a16:creationId xmlns:a16="http://schemas.microsoft.com/office/drawing/2014/main" id="{712B75A5-CA22-4077-9E8B-78BC1BE19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082335" w14:textId="77777777" w:rsidR="00395205" w:rsidRPr="001D0298" w:rsidRDefault="00395205" w:rsidP="00395205">
      <w:pPr>
        <w:jc w:val="both"/>
        <w:rPr>
          <w:sz w:val="14"/>
          <w:szCs w:val="14"/>
        </w:rPr>
      </w:pPr>
      <w:r w:rsidRPr="001D0298">
        <w:rPr>
          <w:sz w:val="14"/>
          <w:szCs w:val="14"/>
          <w:lang w:bidi="fr-FR"/>
        </w:rPr>
        <w:t>Source : Revue épidémiologique et programmatique, et analyse de cascades en Guinée : Rapport préliminaire (Lafort, Y., 2017)</w:t>
      </w:r>
    </w:p>
    <w:p w14:paraId="603BAA67" w14:textId="77777777" w:rsidR="00395205" w:rsidRDefault="00395205" w:rsidP="00395205">
      <w:pPr>
        <w:jc w:val="center"/>
        <w:rPr>
          <w:rFonts w:ascii="Calibri" w:hAnsi="Calibri"/>
        </w:rPr>
      </w:pPr>
    </w:p>
    <w:p w14:paraId="6C051EE3" w14:textId="77777777" w:rsidR="00395205" w:rsidRDefault="00395205" w:rsidP="00395205">
      <w:pPr>
        <w:jc w:val="both"/>
        <w:rPr>
          <w:rFonts w:ascii="Calibri" w:hAnsi="Calibri"/>
        </w:rPr>
      </w:pPr>
      <w:r w:rsidRPr="00B625CE">
        <w:rPr>
          <w:rFonts w:ascii="Calibri" w:eastAsia="Calibri" w:hAnsi="Calibri" w:cs="Calibri"/>
          <w:b/>
          <w:lang w:bidi="fr-FR"/>
        </w:rPr>
        <w:t xml:space="preserve">Ces données révèlent que l’optimisation de l’offre de dépistage du VIH et du recours à celui-ci dans les structures existantes doit être une priorité, </w:t>
      </w:r>
      <w:r w:rsidRPr="00B625CE">
        <w:rPr>
          <w:rFonts w:ascii="Calibri" w:eastAsia="Calibri" w:hAnsi="Calibri" w:cs="Calibri"/>
          <w:lang w:bidi="fr-FR"/>
        </w:rPr>
        <w:t xml:space="preserve">et est susceptible d’accroître la couverture de dépistage du VIH de 45 % à 70 % au maximum. </w:t>
      </w:r>
    </w:p>
    <w:p w14:paraId="1B7ED2C5" w14:textId="77777777" w:rsidR="00395205" w:rsidRDefault="00395205" w:rsidP="00395205">
      <w:pPr>
        <w:jc w:val="both"/>
        <w:rPr>
          <w:rFonts w:ascii="Calibri" w:hAnsi="Calibri"/>
        </w:rPr>
      </w:pPr>
      <w:r>
        <w:rPr>
          <w:rFonts w:ascii="Calibri" w:eastAsia="Calibri" w:hAnsi="Calibri" w:cs="Calibri"/>
          <w:lang w:bidi="fr-FR"/>
        </w:rPr>
        <w:t xml:space="preserve">La deuxième priorité doit être l’augmentation de l’offre de dépistage du VIH dans l’ensemble des dispensaires prénatals. Adoptées conjointement, ces deux approches permettraient d’établir jusqu’à près de </w:t>
      </w:r>
      <w:r w:rsidRPr="00406EA8">
        <w:rPr>
          <w:b/>
          <w:lang w:bidi="fr-FR"/>
        </w:rPr>
        <w:t>2 700 nouveaux diagnostics</w:t>
      </w:r>
      <w:r w:rsidRPr="00406EA8">
        <w:rPr>
          <w:lang w:bidi="fr-FR"/>
        </w:rPr>
        <w:t xml:space="preserve"> annuels chez les </w:t>
      </w:r>
      <w:r>
        <w:rPr>
          <w:rFonts w:ascii="Calibri" w:eastAsia="Calibri" w:hAnsi="Calibri" w:cs="Calibri"/>
          <w:lang w:bidi="fr-FR"/>
        </w:rPr>
        <w:t>femmes enceintes infectées par le VIH, d’après les rendements actuels.</w:t>
      </w:r>
    </w:p>
    <w:p w14:paraId="6B687D0C" w14:textId="2C5C15FE" w:rsidR="00395205" w:rsidRDefault="00395205" w:rsidP="00395205">
      <w:pPr>
        <w:jc w:val="both"/>
        <w:rPr>
          <w:rFonts w:ascii="Calibri" w:hAnsi="Calibri"/>
        </w:rPr>
      </w:pPr>
      <w:r>
        <w:rPr>
          <w:rFonts w:ascii="Calibri" w:eastAsia="Calibri" w:hAnsi="Calibri" w:cs="Calibri"/>
          <w:lang w:bidi="fr-FR"/>
        </w:rPr>
        <w:t xml:space="preserve">Des analyses de la cascade de la PTME par région indiquent les endroits où il convient de concentrer les efforts de renforcement des services. Au niveau régional, l’écart le plus important entre le nombre de femmes ayant bénéficié de </w:t>
      </w:r>
      <w:r w:rsidR="006B2D04">
        <w:rPr>
          <w:rFonts w:ascii="Calibri" w:eastAsia="Calibri" w:hAnsi="Calibri" w:cs="Calibri"/>
          <w:lang w:bidi="fr-FR"/>
        </w:rPr>
        <w:t xml:space="preserve">soins </w:t>
      </w:r>
      <w:proofErr w:type="gramStart"/>
      <w:r w:rsidR="006B2D04">
        <w:rPr>
          <w:rFonts w:ascii="Calibri" w:eastAsia="Calibri" w:hAnsi="Calibri" w:cs="Calibri"/>
          <w:lang w:bidi="fr-FR"/>
        </w:rPr>
        <w:t xml:space="preserve">prénataux </w:t>
      </w:r>
      <w:r>
        <w:rPr>
          <w:rFonts w:ascii="Calibri" w:eastAsia="Calibri" w:hAnsi="Calibri" w:cs="Calibri"/>
          <w:lang w:bidi="fr-FR"/>
        </w:rPr>
        <w:t xml:space="preserve"> durant</w:t>
      </w:r>
      <w:proofErr w:type="gramEnd"/>
      <w:r>
        <w:rPr>
          <w:rFonts w:ascii="Calibri" w:eastAsia="Calibri" w:hAnsi="Calibri" w:cs="Calibri"/>
          <w:lang w:bidi="fr-FR"/>
        </w:rPr>
        <w:t xml:space="preserve"> leur grossesse et le nombre de celles ayant passé un test de dépistage a été observé à Kankan, où, en 2018, seules 33 % (35 390 sur 107 589) des femmes enceintes ont bénéficié d’un test dans le cadre d’une consultation prénatale, 72 000 n’ayant donc pas été dépistées (figure 4.5). </w:t>
      </w:r>
      <w:r>
        <w:rPr>
          <w:rFonts w:ascii="Calibri" w:eastAsia="Calibri" w:hAnsi="Calibri" w:cs="Calibri"/>
          <w:b/>
          <w:lang w:bidi="fr-FR"/>
        </w:rPr>
        <w:t>Des initiatives visant à améliorer le dépistage du VIH dans les services de PTME existants peuvent être axées sur la région de Kankan</w:t>
      </w:r>
      <w:r>
        <w:rPr>
          <w:rFonts w:ascii="Calibri" w:eastAsia="Calibri" w:hAnsi="Calibri" w:cs="Calibri"/>
          <w:lang w:bidi="fr-FR"/>
        </w:rPr>
        <w:t>, dans l’attente d’autres résultats issus des évaluations relatives à la PTME qui auront lieu en 2019.</w:t>
      </w:r>
    </w:p>
    <w:p w14:paraId="22921904" w14:textId="77777777" w:rsidR="00395205" w:rsidRDefault="00395205" w:rsidP="00395205">
      <w:pPr>
        <w:jc w:val="both"/>
      </w:pPr>
      <w:r>
        <w:rPr>
          <w:lang w:bidi="fr-FR"/>
        </w:rPr>
        <w:lastRenderedPageBreak/>
        <w:t>En outre, les actions menées afin d’étendre la couverture du dépistage du VIH dans le cadre des soins prénatals au-delà des services de PTME existants doivent s’appuyer sur les données régionales. Ces dernières mettent en lumière des disparités en matière de couverture du dépistage par ces services au regard du nombre d’habitants.</w:t>
      </w:r>
    </w:p>
    <w:p w14:paraId="59D67868" w14:textId="77777777" w:rsidR="00395205" w:rsidRDefault="00395205" w:rsidP="00395205">
      <w:pPr>
        <w:jc w:val="both"/>
        <w:rPr>
          <w:rFonts w:ascii="Calibri" w:hAnsi="Calibri"/>
        </w:rPr>
      </w:pPr>
      <w:r w:rsidRPr="00D9752F">
        <w:rPr>
          <w:lang w:bidi="fr-FR"/>
        </w:rPr>
        <w:t xml:space="preserve">En 2018, on dénombrait 446 services de PTME au sein des établissements de santé publique, soit une couverture de 32 % (figure 4.4). Parmi ces services, 415 (93 %) ont communiqué des données au premier semestre, et 706 structures (soit environ 51 % de l’ensemble des établissements de santé publique) ont été répertoriées comme susceptibles d’offrir des services de PTME. Officiellement, aucune structure de santé n’a proposé de dépistage du VIH aux femmes enceintes sans l’assortir d’une proposition de </w:t>
      </w:r>
      <w:r w:rsidRPr="00DB5178">
        <w:rPr>
          <w:lang w:bidi="fr-FR"/>
        </w:rPr>
        <w:t>traitement antirétroviral</w:t>
      </w:r>
      <w:r w:rsidRPr="00D9752F">
        <w:rPr>
          <w:lang w:bidi="fr-FR"/>
        </w:rPr>
        <w:t xml:space="preserve"> jusqu’aux 18 mois de l’enfant. </w:t>
      </w:r>
    </w:p>
    <w:p w14:paraId="13D61257" w14:textId="77777777" w:rsidR="00395205" w:rsidRDefault="00395205" w:rsidP="00395205">
      <w:pPr>
        <w:pStyle w:val="Titre4"/>
      </w:pPr>
      <w:r>
        <w:rPr>
          <w:lang w:bidi="fr-FR"/>
        </w:rPr>
        <w:t xml:space="preserve">Figure 4.6 : Cascade de la PTME en Guinée, par région (2018) </w:t>
      </w:r>
    </w:p>
    <w:p w14:paraId="168A3DF1" w14:textId="77777777" w:rsidR="00395205" w:rsidRDefault="00395205" w:rsidP="00395205">
      <w:pPr>
        <w:jc w:val="center"/>
        <w:rPr>
          <w:rFonts w:ascii="Calibri" w:hAnsi="Calibri"/>
        </w:rPr>
      </w:pPr>
      <w:r w:rsidRPr="001D69E2">
        <w:rPr>
          <w:rFonts w:ascii="Calibri" w:eastAsia="Calibri" w:hAnsi="Calibri" w:cs="Calibri"/>
          <w:noProof/>
          <w:lang w:bidi="fr-FR"/>
        </w:rPr>
        <w:drawing>
          <wp:inline distT="0" distB="0" distL="0" distR="0" wp14:anchorId="61EF54D2" wp14:editId="3595DD52">
            <wp:extent cx="5287617" cy="2862470"/>
            <wp:effectExtent l="0" t="0" r="0" b="0"/>
            <wp:docPr id="19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0968" cy="2864284"/>
                    </a:xfrm>
                    <a:prstGeom prst="rect">
                      <a:avLst/>
                    </a:prstGeom>
                    <a:noFill/>
                    <a:ln>
                      <a:noFill/>
                    </a:ln>
                  </pic:spPr>
                </pic:pic>
              </a:graphicData>
            </a:graphic>
          </wp:inline>
        </w:drawing>
      </w:r>
    </w:p>
    <w:p w14:paraId="50771214" w14:textId="77777777" w:rsidR="00395205" w:rsidRPr="00821944" w:rsidRDefault="00395205" w:rsidP="00395205">
      <w:pPr>
        <w:jc w:val="both"/>
        <w:rPr>
          <w:rFonts w:ascii="Calibri" w:hAnsi="Calibri"/>
        </w:rPr>
      </w:pPr>
    </w:p>
    <w:p w14:paraId="02FD66B5" w14:textId="77777777" w:rsidR="00395205" w:rsidRPr="00FF125A" w:rsidRDefault="00395205" w:rsidP="00395205">
      <w:pPr>
        <w:jc w:val="both"/>
      </w:pPr>
      <w:r>
        <w:rPr>
          <w:lang w:bidi="fr-FR"/>
        </w:rPr>
        <w:t xml:space="preserve">La région de N’Zérékoré a enregistré la plus forte proportion de services de PTME (23 %), la plus faible se trouvant dans les régions de Conakry et de Faranah (7 %). La répartition de ces services varie de 1,7 établissement pour 100 000 habitants à Conakry, à 5,6 établissements pour 100 000 habitants à Labé. Ces analyses révèlent que les régions de Kankan, Kindia et Conakry sont relativement bien couvertes, tandis que </w:t>
      </w:r>
      <w:r>
        <w:rPr>
          <w:b/>
          <w:lang w:bidi="fr-FR"/>
        </w:rPr>
        <w:t>Faranah et Mamou doivent faire l’objet d’efforts appuyés pour développer les services de PTME.</w:t>
      </w:r>
    </w:p>
    <w:p w14:paraId="4E59CE46" w14:textId="77777777" w:rsidR="00395205" w:rsidRDefault="00395205" w:rsidP="00395205">
      <w:pPr>
        <w:jc w:val="both"/>
      </w:pPr>
      <w:r w:rsidRPr="00262046">
        <w:rPr>
          <w:lang w:bidi="fr-FR"/>
        </w:rPr>
        <w:t xml:space="preserve">Un fort taux d’établissement de liens avec </w:t>
      </w:r>
      <w:r>
        <w:rPr>
          <w:lang w:bidi="fr-FR"/>
        </w:rPr>
        <w:t xml:space="preserve">le </w:t>
      </w:r>
      <w:r w:rsidRPr="00DB5178">
        <w:rPr>
          <w:lang w:bidi="fr-FR"/>
        </w:rPr>
        <w:t>traitement antirétroviral</w:t>
      </w:r>
      <w:r w:rsidRPr="00262046">
        <w:rPr>
          <w:lang w:bidi="fr-FR"/>
        </w:rPr>
        <w:t xml:space="preserve"> (89 %) a été observé dans les services de PTME. En 2017, le nombre de début</w:t>
      </w:r>
      <w:r>
        <w:rPr>
          <w:lang w:bidi="fr-FR"/>
        </w:rPr>
        <w:t>s</w:t>
      </w:r>
      <w:r w:rsidRPr="00262046">
        <w:rPr>
          <w:lang w:bidi="fr-FR"/>
        </w:rPr>
        <w:t xml:space="preserve"> de </w:t>
      </w:r>
      <w:r>
        <w:rPr>
          <w:lang w:bidi="fr-FR"/>
        </w:rPr>
        <w:t>traitements</w:t>
      </w:r>
      <w:r w:rsidRPr="00262046">
        <w:rPr>
          <w:lang w:bidi="fr-FR"/>
        </w:rPr>
        <w:t xml:space="preserve"> antirétrovira</w:t>
      </w:r>
      <w:r>
        <w:rPr>
          <w:lang w:bidi="fr-FR"/>
        </w:rPr>
        <w:t>ux</w:t>
      </w:r>
      <w:r w:rsidRPr="00262046">
        <w:rPr>
          <w:lang w:bidi="fr-FR"/>
        </w:rPr>
        <w:t xml:space="preserve"> (3 017) correspondait à 40 % des 6 900 femmes vivant avec le VIH cette </w:t>
      </w:r>
      <w:proofErr w:type="spellStart"/>
      <w:r w:rsidRPr="00262046">
        <w:rPr>
          <w:lang w:bidi="fr-FR"/>
        </w:rPr>
        <w:t>année là</w:t>
      </w:r>
      <w:proofErr w:type="spellEnd"/>
      <w:r w:rsidRPr="00262046">
        <w:rPr>
          <w:lang w:bidi="fr-FR"/>
        </w:rPr>
        <w:t>, selon les estimations.</w:t>
      </w:r>
    </w:p>
    <w:p w14:paraId="664B26D3" w14:textId="77777777" w:rsidR="00395205" w:rsidRPr="00E1124E" w:rsidRDefault="00395205" w:rsidP="00395205">
      <w:pPr>
        <w:pStyle w:val="Titre4"/>
      </w:pPr>
      <w:r w:rsidRPr="00E1124E">
        <w:rPr>
          <w:lang w:bidi="fr-FR"/>
        </w:rPr>
        <w:lastRenderedPageBreak/>
        <w:t>Tableau 4.3 : Nombre de femmes enceintes testées et traitements PTME initiés en 2017, par région</w:t>
      </w:r>
    </w:p>
    <w:tbl>
      <w:tblPr>
        <w:tblW w:w="10264"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993"/>
        <w:gridCol w:w="567"/>
        <w:gridCol w:w="1527"/>
        <w:gridCol w:w="928"/>
        <w:gridCol w:w="1354"/>
        <w:gridCol w:w="1224"/>
        <w:gridCol w:w="364"/>
        <w:gridCol w:w="1750"/>
      </w:tblGrid>
      <w:tr w:rsidR="00395205" w:rsidRPr="005C6078" w14:paraId="2A239AE2" w14:textId="77777777" w:rsidTr="00941C91">
        <w:trPr>
          <w:trHeight w:val="288"/>
        </w:trPr>
        <w:tc>
          <w:tcPr>
            <w:tcW w:w="1557" w:type="dxa"/>
            <w:shd w:val="clear" w:color="auto" w:fill="auto"/>
            <w:noWrap/>
            <w:vAlign w:val="bottom"/>
          </w:tcPr>
          <w:p w14:paraId="6C1D63DC" w14:textId="77777777" w:rsidR="00395205" w:rsidRPr="00D93055" w:rsidRDefault="00395205" w:rsidP="00941C91">
            <w:pPr>
              <w:keepNext/>
              <w:spacing w:after="0" w:line="240" w:lineRule="auto"/>
              <w:rPr>
                <w:rFonts w:ascii="Calibri" w:eastAsia="Times New Roman" w:hAnsi="Calibri" w:cs="Calibri"/>
                <w:color w:val="000000"/>
                <w:lang w:val="fr-BE" w:eastAsia="nl-BE"/>
              </w:rPr>
            </w:pPr>
          </w:p>
        </w:tc>
        <w:tc>
          <w:tcPr>
            <w:tcW w:w="993" w:type="dxa"/>
            <w:shd w:val="clear" w:color="auto" w:fill="auto"/>
            <w:noWrap/>
            <w:vAlign w:val="bottom"/>
          </w:tcPr>
          <w:p w14:paraId="3E8CEEC0" w14:textId="77777777" w:rsidR="00395205" w:rsidRPr="00D93055" w:rsidRDefault="00395205" w:rsidP="00941C91">
            <w:pPr>
              <w:keepNext/>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Testées</w:t>
            </w:r>
          </w:p>
        </w:tc>
        <w:tc>
          <w:tcPr>
            <w:tcW w:w="567" w:type="dxa"/>
            <w:shd w:val="clear" w:color="auto" w:fill="auto"/>
            <w:noWrap/>
            <w:vAlign w:val="bottom"/>
          </w:tcPr>
          <w:p w14:paraId="3FB01118" w14:textId="77777777" w:rsidR="00395205" w:rsidRPr="00D93055" w:rsidRDefault="00395205" w:rsidP="00941C91">
            <w:pPr>
              <w:keepNext/>
              <w:spacing w:after="0" w:line="240" w:lineRule="auto"/>
              <w:jc w:val="right"/>
              <w:rPr>
                <w:rFonts w:ascii="Calibri" w:eastAsia="Times New Roman" w:hAnsi="Calibri" w:cs="Calibri"/>
                <w:color w:val="000000"/>
                <w:lang w:val="fr-BE" w:eastAsia="nl-BE"/>
              </w:rPr>
            </w:pPr>
            <w:r w:rsidRPr="005C6078">
              <w:rPr>
                <w:rFonts w:ascii="Calibri" w:eastAsia="Times New Roman" w:hAnsi="Calibri" w:cs="Calibri"/>
                <w:color w:val="000000"/>
                <w:lang w:bidi="fr-FR"/>
              </w:rPr>
              <w:t>%</w:t>
            </w:r>
          </w:p>
        </w:tc>
        <w:tc>
          <w:tcPr>
            <w:tcW w:w="1527" w:type="dxa"/>
            <w:vAlign w:val="bottom"/>
          </w:tcPr>
          <w:p w14:paraId="608C9B49" w14:textId="77777777" w:rsidR="00395205" w:rsidRDefault="00395205" w:rsidP="00941C91">
            <w:pPr>
              <w:keepNext/>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Testées/</w:t>
            </w:r>
          </w:p>
          <w:p w14:paraId="0D2E29FF" w14:textId="77777777" w:rsidR="00395205" w:rsidRPr="005C6078" w:rsidRDefault="00395205" w:rsidP="00941C91">
            <w:pPr>
              <w:keepNext/>
              <w:spacing w:after="0" w:line="240" w:lineRule="auto"/>
              <w:jc w:val="right"/>
              <w:rPr>
                <w:rFonts w:ascii="Calibri" w:eastAsia="Times New Roman" w:hAnsi="Calibri" w:cs="Calibri"/>
                <w:color w:val="000000"/>
                <w:lang w:val="fr-BE" w:eastAsia="nl-BE"/>
              </w:rPr>
            </w:pPr>
            <w:r w:rsidRPr="005C6078">
              <w:rPr>
                <w:rFonts w:ascii="Calibri" w:eastAsia="Times New Roman" w:hAnsi="Calibri" w:cs="Calibri"/>
                <w:color w:val="000000"/>
                <w:lang w:bidi="fr-FR"/>
              </w:rPr>
              <w:t>1 000 habitants</w:t>
            </w:r>
          </w:p>
        </w:tc>
        <w:tc>
          <w:tcPr>
            <w:tcW w:w="928" w:type="dxa"/>
            <w:vAlign w:val="bottom"/>
          </w:tcPr>
          <w:p w14:paraId="3F0DD362" w14:textId="77777777" w:rsidR="00395205" w:rsidRDefault="00395205" w:rsidP="00941C91">
            <w:pPr>
              <w:keepNext/>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Testées positives</w:t>
            </w:r>
          </w:p>
        </w:tc>
        <w:tc>
          <w:tcPr>
            <w:tcW w:w="1354" w:type="dxa"/>
            <w:vAlign w:val="bottom"/>
          </w:tcPr>
          <w:p w14:paraId="107335D7" w14:textId="77777777" w:rsidR="00395205" w:rsidRDefault="00395205" w:rsidP="00941C91">
            <w:pPr>
              <w:keepNext/>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Taux de séropositivité (%)</w:t>
            </w:r>
          </w:p>
        </w:tc>
        <w:tc>
          <w:tcPr>
            <w:tcW w:w="1224" w:type="dxa"/>
            <w:vAlign w:val="bottom"/>
          </w:tcPr>
          <w:p w14:paraId="2EE5276A" w14:textId="77777777" w:rsidR="00395205" w:rsidRPr="00D93055" w:rsidRDefault="00395205" w:rsidP="00941C91">
            <w:pPr>
              <w:keepNext/>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Traitements PTME initiés</w:t>
            </w:r>
          </w:p>
        </w:tc>
        <w:tc>
          <w:tcPr>
            <w:tcW w:w="364" w:type="dxa"/>
            <w:vAlign w:val="bottom"/>
          </w:tcPr>
          <w:p w14:paraId="2825CABA" w14:textId="77777777" w:rsidR="00395205" w:rsidRPr="00D93055" w:rsidRDefault="00395205" w:rsidP="00941C91">
            <w:pPr>
              <w:keepNext/>
              <w:spacing w:after="0" w:line="240" w:lineRule="auto"/>
              <w:jc w:val="right"/>
              <w:rPr>
                <w:rFonts w:ascii="Calibri" w:eastAsia="Times New Roman" w:hAnsi="Calibri" w:cs="Calibri"/>
                <w:color w:val="000000"/>
                <w:lang w:val="fr-BE" w:eastAsia="nl-BE"/>
              </w:rPr>
            </w:pPr>
            <w:r w:rsidRPr="005C6078">
              <w:rPr>
                <w:rFonts w:ascii="Calibri" w:eastAsia="Times New Roman" w:hAnsi="Calibri" w:cs="Calibri"/>
                <w:color w:val="000000"/>
                <w:lang w:bidi="fr-FR"/>
              </w:rPr>
              <w:t>%</w:t>
            </w:r>
          </w:p>
        </w:tc>
        <w:tc>
          <w:tcPr>
            <w:tcW w:w="1750" w:type="dxa"/>
            <w:vAlign w:val="bottom"/>
          </w:tcPr>
          <w:p w14:paraId="4CDF0468" w14:textId="77777777" w:rsidR="00395205" w:rsidRDefault="00395205" w:rsidP="00941C91">
            <w:pPr>
              <w:keepNext/>
              <w:spacing w:after="0" w:line="240" w:lineRule="auto"/>
              <w:jc w:val="right"/>
              <w:rPr>
                <w:rFonts w:ascii="Calibri" w:eastAsia="Times New Roman" w:hAnsi="Calibri" w:cs="Calibri"/>
                <w:color w:val="000000"/>
                <w:lang w:val="fr-BE" w:eastAsia="nl-BE"/>
              </w:rPr>
            </w:pPr>
            <w:r>
              <w:rPr>
                <w:rFonts w:ascii="Calibri" w:eastAsia="Times New Roman" w:hAnsi="Calibri" w:cs="Calibri"/>
                <w:color w:val="000000"/>
                <w:lang w:bidi="fr-FR"/>
              </w:rPr>
              <w:t>PTME/</w:t>
            </w:r>
          </w:p>
          <w:p w14:paraId="22B8E486" w14:textId="77777777" w:rsidR="00395205" w:rsidRPr="005C6078" w:rsidRDefault="00395205" w:rsidP="00941C91">
            <w:pPr>
              <w:keepNext/>
              <w:spacing w:after="0" w:line="240" w:lineRule="auto"/>
              <w:jc w:val="right"/>
              <w:rPr>
                <w:rFonts w:ascii="Calibri" w:eastAsia="Times New Roman" w:hAnsi="Calibri" w:cs="Calibri"/>
                <w:color w:val="000000"/>
                <w:lang w:val="fr-BE" w:eastAsia="nl-BE"/>
              </w:rPr>
            </w:pPr>
            <w:r w:rsidRPr="005C6078">
              <w:rPr>
                <w:rFonts w:ascii="Calibri" w:eastAsia="Times New Roman" w:hAnsi="Calibri" w:cs="Calibri"/>
                <w:color w:val="000000"/>
                <w:lang w:bidi="fr-FR"/>
              </w:rPr>
              <w:t>100 000 habitants</w:t>
            </w:r>
          </w:p>
        </w:tc>
      </w:tr>
      <w:tr w:rsidR="00395205" w:rsidRPr="005C6078" w14:paraId="27CF6637" w14:textId="77777777" w:rsidTr="00941C91">
        <w:trPr>
          <w:trHeight w:val="288"/>
        </w:trPr>
        <w:tc>
          <w:tcPr>
            <w:tcW w:w="1557" w:type="dxa"/>
            <w:shd w:val="clear" w:color="auto" w:fill="auto"/>
            <w:noWrap/>
            <w:vAlign w:val="bottom"/>
          </w:tcPr>
          <w:p w14:paraId="32F99E67"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Conakry</w:t>
            </w:r>
          </w:p>
        </w:tc>
        <w:tc>
          <w:tcPr>
            <w:tcW w:w="993" w:type="dxa"/>
            <w:shd w:val="clear" w:color="auto" w:fill="auto"/>
            <w:noWrap/>
            <w:vAlign w:val="bottom"/>
          </w:tcPr>
          <w:p w14:paraId="2D3EA82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39 042</w:t>
            </w:r>
          </w:p>
        </w:tc>
        <w:tc>
          <w:tcPr>
            <w:tcW w:w="567" w:type="dxa"/>
            <w:shd w:val="clear" w:color="auto" w:fill="auto"/>
            <w:noWrap/>
            <w:vAlign w:val="bottom"/>
          </w:tcPr>
          <w:p w14:paraId="57C534EF"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17</w:t>
            </w:r>
          </w:p>
        </w:tc>
        <w:tc>
          <w:tcPr>
            <w:tcW w:w="1527" w:type="dxa"/>
            <w:vAlign w:val="bottom"/>
          </w:tcPr>
          <w:p w14:paraId="438C961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21</w:t>
            </w:r>
          </w:p>
        </w:tc>
        <w:tc>
          <w:tcPr>
            <w:tcW w:w="928" w:type="dxa"/>
            <w:vAlign w:val="bottom"/>
          </w:tcPr>
          <w:p w14:paraId="036674A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917</w:t>
            </w:r>
          </w:p>
        </w:tc>
        <w:tc>
          <w:tcPr>
            <w:tcW w:w="1354" w:type="dxa"/>
            <w:vAlign w:val="bottom"/>
          </w:tcPr>
          <w:p w14:paraId="0C95058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2,3</w:t>
            </w:r>
          </w:p>
        </w:tc>
        <w:tc>
          <w:tcPr>
            <w:tcW w:w="1224" w:type="dxa"/>
            <w:vAlign w:val="bottom"/>
          </w:tcPr>
          <w:p w14:paraId="4C01D8FE"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764</w:t>
            </w:r>
          </w:p>
        </w:tc>
        <w:tc>
          <w:tcPr>
            <w:tcW w:w="364" w:type="dxa"/>
            <w:vAlign w:val="bottom"/>
          </w:tcPr>
          <w:p w14:paraId="7DEE770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28</w:t>
            </w:r>
          </w:p>
        </w:tc>
        <w:tc>
          <w:tcPr>
            <w:tcW w:w="1750" w:type="dxa"/>
            <w:vAlign w:val="bottom"/>
          </w:tcPr>
          <w:p w14:paraId="4058C020"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41</w:t>
            </w:r>
          </w:p>
        </w:tc>
      </w:tr>
      <w:tr w:rsidR="00395205" w:rsidRPr="005C6078" w14:paraId="1C5A0482" w14:textId="77777777" w:rsidTr="00941C91">
        <w:trPr>
          <w:trHeight w:val="288"/>
        </w:trPr>
        <w:tc>
          <w:tcPr>
            <w:tcW w:w="1557" w:type="dxa"/>
            <w:shd w:val="clear" w:color="auto" w:fill="auto"/>
            <w:noWrap/>
            <w:vAlign w:val="bottom"/>
            <w:hideMark/>
          </w:tcPr>
          <w:p w14:paraId="5A91169C"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Kindia</w:t>
            </w:r>
          </w:p>
        </w:tc>
        <w:tc>
          <w:tcPr>
            <w:tcW w:w="993" w:type="dxa"/>
            <w:shd w:val="clear" w:color="auto" w:fill="auto"/>
            <w:noWrap/>
            <w:vAlign w:val="bottom"/>
          </w:tcPr>
          <w:p w14:paraId="0B1D353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37 125</w:t>
            </w:r>
          </w:p>
        </w:tc>
        <w:tc>
          <w:tcPr>
            <w:tcW w:w="567" w:type="dxa"/>
            <w:shd w:val="clear" w:color="auto" w:fill="auto"/>
            <w:noWrap/>
            <w:vAlign w:val="bottom"/>
          </w:tcPr>
          <w:p w14:paraId="7A8F50F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17</w:t>
            </w:r>
          </w:p>
        </w:tc>
        <w:tc>
          <w:tcPr>
            <w:tcW w:w="1527" w:type="dxa"/>
            <w:vAlign w:val="bottom"/>
          </w:tcPr>
          <w:p w14:paraId="67216F8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21</w:t>
            </w:r>
          </w:p>
        </w:tc>
        <w:tc>
          <w:tcPr>
            <w:tcW w:w="928" w:type="dxa"/>
            <w:vAlign w:val="bottom"/>
          </w:tcPr>
          <w:p w14:paraId="08C0E55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454</w:t>
            </w:r>
          </w:p>
        </w:tc>
        <w:tc>
          <w:tcPr>
            <w:tcW w:w="1354" w:type="dxa"/>
            <w:vAlign w:val="bottom"/>
          </w:tcPr>
          <w:p w14:paraId="6B2A024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1,2</w:t>
            </w:r>
          </w:p>
        </w:tc>
        <w:tc>
          <w:tcPr>
            <w:tcW w:w="1224" w:type="dxa"/>
            <w:vAlign w:val="bottom"/>
          </w:tcPr>
          <w:p w14:paraId="45A6644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410</w:t>
            </w:r>
          </w:p>
        </w:tc>
        <w:tc>
          <w:tcPr>
            <w:tcW w:w="364" w:type="dxa"/>
            <w:vAlign w:val="bottom"/>
          </w:tcPr>
          <w:p w14:paraId="1B624686"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15</w:t>
            </w:r>
          </w:p>
        </w:tc>
        <w:tc>
          <w:tcPr>
            <w:tcW w:w="1750" w:type="dxa"/>
            <w:vAlign w:val="bottom"/>
          </w:tcPr>
          <w:p w14:paraId="24383BC7"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23</w:t>
            </w:r>
          </w:p>
        </w:tc>
      </w:tr>
      <w:tr w:rsidR="00395205" w:rsidRPr="005C6078" w14:paraId="2C272E86" w14:textId="77777777" w:rsidTr="00941C91">
        <w:trPr>
          <w:trHeight w:val="288"/>
        </w:trPr>
        <w:tc>
          <w:tcPr>
            <w:tcW w:w="1557" w:type="dxa"/>
            <w:shd w:val="clear" w:color="auto" w:fill="auto"/>
            <w:noWrap/>
            <w:vAlign w:val="bottom"/>
            <w:hideMark/>
          </w:tcPr>
          <w:p w14:paraId="446BA014"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Boké</w:t>
            </w:r>
          </w:p>
        </w:tc>
        <w:tc>
          <w:tcPr>
            <w:tcW w:w="993" w:type="dxa"/>
            <w:shd w:val="clear" w:color="auto" w:fill="auto"/>
            <w:noWrap/>
            <w:vAlign w:val="bottom"/>
          </w:tcPr>
          <w:p w14:paraId="6FE90996"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21 631</w:t>
            </w:r>
          </w:p>
        </w:tc>
        <w:tc>
          <w:tcPr>
            <w:tcW w:w="567" w:type="dxa"/>
            <w:shd w:val="clear" w:color="auto" w:fill="auto"/>
            <w:noWrap/>
            <w:vAlign w:val="bottom"/>
          </w:tcPr>
          <w:p w14:paraId="5A21B607"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10</w:t>
            </w:r>
          </w:p>
        </w:tc>
        <w:tc>
          <w:tcPr>
            <w:tcW w:w="1527" w:type="dxa"/>
            <w:vAlign w:val="bottom"/>
          </w:tcPr>
          <w:p w14:paraId="5A51122B"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18</w:t>
            </w:r>
          </w:p>
        </w:tc>
        <w:tc>
          <w:tcPr>
            <w:tcW w:w="928" w:type="dxa"/>
            <w:vAlign w:val="bottom"/>
          </w:tcPr>
          <w:p w14:paraId="7332DD7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397</w:t>
            </w:r>
          </w:p>
        </w:tc>
        <w:tc>
          <w:tcPr>
            <w:tcW w:w="1354" w:type="dxa"/>
            <w:vAlign w:val="bottom"/>
          </w:tcPr>
          <w:p w14:paraId="016773B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1,8</w:t>
            </w:r>
          </w:p>
        </w:tc>
        <w:tc>
          <w:tcPr>
            <w:tcW w:w="1224" w:type="dxa"/>
            <w:vAlign w:val="bottom"/>
          </w:tcPr>
          <w:p w14:paraId="78CE86E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308</w:t>
            </w:r>
          </w:p>
        </w:tc>
        <w:tc>
          <w:tcPr>
            <w:tcW w:w="364" w:type="dxa"/>
            <w:vAlign w:val="bottom"/>
          </w:tcPr>
          <w:p w14:paraId="2619FC7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11</w:t>
            </w:r>
          </w:p>
        </w:tc>
        <w:tc>
          <w:tcPr>
            <w:tcW w:w="1750" w:type="dxa"/>
            <w:vAlign w:val="bottom"/>
          </w:tcPr>
          <w:p w14:paraId="4DF787F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25</w:t>
            </w:r>
          </w:p>
        </w:tc>
      </w:tr>
      <w:tr w:rsidR="00395205" w:rsidRPr="005C6078" w14:paraId="45F8B17F" w14:textId="77777777" w:rsidTr="00941C91">
        <w:trPr>
          <w:trHeight w:val="288"/>
        </w:trPr>
        <w:tc>
          <w:tcPr>
            <w:tcW w:w="1557" w:type="dxa"/>
            <w:shd w:val="clear" w:color="auto" w:fill="auto"/>
            <w:noWrap/>
            <w:vAlign w:val="bottom"/>
            <w:hideMark/>
          </w:tcPr>
          <w:p w14:paraId="76309BD3"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Mamou</w:t>
            </w:r>
          </w:p>
        </w:tc>
        <w:tc>
          <w:tcPr>
            <w:tcW w:w="993" w:type="dxa"/>
            <w:shd w:val="clear" w:color="auto" w:fill="auto"/>
            <w:noWrap/>
            <w:vAlign w:val="bottom"/>
          </w:tcPr>
          <w:p w14:paraId="41D6E2FE"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10 572</w:t>
            </w:r>
          </w:p>
        </w:tc>
        <w:tc>
          <w:tcPr>
            <w:tcW w:w="567" w:type="dxa"/>
            <w:shd w:val="clear" w:color="auto" w:fill="auto"/>
            <w:noWrap/>
            <w:vAlign w:val="bottom"/>
          </w:tcPr>
          <w:p w14:paraId="6BCEEF21"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5</w:t>
            </w:r>
          </w:p>
        </w:tc>
        <w:tc>
          <w:tcPr>
            <w:tcW w:w="1527" w:type="dxa"/>
            <w:vAlign w:val="bottom"/>
          </w:tcPr>
          <w:p w14:paraId="7CB8C26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13</w:t>
            </w:r>
          </w:p>
        </w:tc>
        <w:tc>
          <w:tcPr>
            <w:tcW w:w="928" w:type="dxa"/>
            <w:vAlign w:val="bottom"/>
          </w:tcPr>
          <w:p w14:paraId="57075F6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134</w:t>
            </w:r>
          </w:p>
        </w:tc>
        <w:tc>
          <w:tcPr>
            <w:tcW w:w="1354" w:type="dxa"/>
            <w:vAlign w:val="bottom"/>
          </w:tcPr>
          <w:p w14:paraId="50E3FF3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1,3</w:t>
            </w:r>
          </w:p>
        </w:tc>
        <w:tc>
          <w:tcPr>
            <w:tcW w:w="1224" w:type="dxa"/>
            <w:vAlign w:val="bottom"/>
          </w:tcPr>
          <w:p w14:paraId="55C279B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120</w:t>
            </w:r>
          </w:p>
        </w:tc>
        <w:tc>
          <w:tcPr>
            <w:tcW w:w="364" w:type="dxa"/>
            <w:vAlign w:val="bottom"/>
          </w:tcPr>
          <w:p w14:paraId="20C3EC5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w:t>
            </w:r>
          </w:p>
        </w:tc>
        <w:tc>
          <w:tcPr>
            <w:tcW w:w="1750" w:type="dxa"/>
            <w:vAlign w:val="bottom"/>
          </w:tcPr>
          <w:p w14:paraId="174ED2C6"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15</w:t>
            </w:r>
          </w:p>
        </w:tc>
      </w:tr>
      <w:tr w:rsidR="00395205" w:rsidRPr="005C6078" w14:paraId="5AE7B814" w14:textId="77777777" w:rsidTr="00941C91">
        <w:trPr>
          <w:trHeight w:val="288"/>
        </w:trPr>
        <w:tc>
          <w:tcPr>
            <w:tcW w:w="1557" w:type="dxa"/>
            <w:shd w:val="clear" w:color="auto" w:fill="auto"/>
            <w:noWrap/>
            <w:vAlign w:val="bottom"/>
            <w:hideMark/>
          </w:tcPr>
          <w:p w14:paraId="70BE3E7C"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Labé</w:t>
            </w:r>
          </w:p>
        </w:tc>
        <w:tc>
          <w:tcPr>
            <w:tcW w:w="993" w:type="dxa"/>
            <w:shd w:val="clear" w:color="auto" w:fill="auto"/>
            <w:noWrap/>
            <w:vAlign w:val="bottom"/>
          </w:tcPr>
          <w:p w14:paraId="4D7003B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33 895</w:t>
            </w:r>
          </w:p>
        </w:tc>
        <w:tc>
          <w:tcPr>
            <w:tcW w:w="567" w:type="dxa"/>
            <w:shd w:val="clear" w:color="auto" w:fill="auto"/>
            <w:noWrap/>
            <w:vAlign w:val="bottom"/>
          </w:tcPr>
          <w:p w14:paraId="5D4BA09B"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15</w:t>
            </w:r>
          </w:p>
        </w:tc>
        <w:tc>
          <w:tcPr>
            <w:tcW w:w="1527" w:type="dxa"/>
            <w:vAlign w:val="bottom"/>
          </w:tcPr>
          <w:p w14:paraId="395D3054"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30</w:t>
            </w:r>
          </w:p>
        </w:tc>
        <w:tc>
          <w:tcPr>
            <w:tcW w:w="928" w:type="dxa"/>
            <w:vAlign w:val="bottom"/>
          </w:tcPr>
          <w:p w14:paraId="4713CE1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259</w:t>
            </w:r>
          </w:p>
        </w:tc>
        <w:tc>
          <w:tcPr>
            <w:tcW w:w="1354" w:type="dxa"/>
            <w:vAlign w:val="bottom"/>
          </w:tcPr>
          <w:p w14:paraId="5DD5744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0,8</w:t>
            </w:r>
          </w:p>
        </w:tc>
        <w:tc>
          <w:tcPr>
            <w:tcW w:w="1224" w:type="dxa"/>
            <w:vAlign w:val="bottom"/>
          </w:tcPr>
          <w:p w14:paraId="60DAF600"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250</w:t>
            </w:r>
          </w:p>
        </w:tc>
        <w:tc>
          <w:tcPr>
            <w:tcW w:w="364" w:type="dxa"/>
            <w:vAlign w:val="bottom"/>
          </w:tcPr>
          <w:p w14:paraId="4B1C43E7"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w:t>
            </w:r>
          </w:p>
        </w:tc>
        <w:tc>
          <w:tcPr>
            <w:tcW w:w="1750" w:type="dxa"/>
            <w:vAlign w:val="bottom"/>
          </w:tcPr>
          <w:p w14:paraId="1665CFF5"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22</w:t>
            </w:r>
          </w:p>
        </w:tc>
      </w:tr>
      <w:tr w:rsidR="00395205" w:rsidRPr="005C6078" w14:paraId="4A5B108A" w14:textId="77777777" w:rsidTr="00941C91">
        <w:trPr>
          <w:trHeight w:val="288"/>
        </w:trPr>
        <w:tc>
          <w:tcPr>
            <w:tcW w:w="1557" w:type="dxa"/>
            <w:shd w:val="clear" w:color="auto" w:fill="auto"/>
            <w:noWrap/>
            <w:vAlign w:val="bottom"/>
            <w:hideMark/>
          </w:tcPr>
          <w:p w14:paraId="068DBB73"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Kankan</w:t>
            </w:r>
          </w:p>
        </w:tc>
        <w:tc>
          <w:tcPr>
            <w:tcW w:w="993" w:type="dxa"/>
            <w:shd w:val="clear" w:color="auto" w:fill="auto"/>
            <w:noWrap/>
            <w:vAlign w:val="bottom"/>
          </w:tcPr>
          <w:p w14:paraId="065CD8A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35 780</w:t>
            </w:r>
          </w:p>
        </w:tc>
        <w:tc>
          <w:tcPr>
            <w:tcW w:w="567" w:type="dxa"/>
            <w:shd w:val="clear" w:color="auto" w:fill="auto"/>
            <w:noWrap/>
            <w:vAlign w:val="bottom"/>
          </w:tcPr>
          <w:p w14:paraId="32EF9EFC"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16</w:t>
            </w:r>
          </w:p>
        </w:tc>
        <w:tc>
          <w:tcPr>
            <w:tcW w:w="1527" w:type="dxa"/>
            <w:vAlign w:val="bottom"/>
          </w:tcPr>
          <w:p w14:paraId="2DB3051C"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16</w:t>
            </w:r>
          </w:p>
        </w:tc>
        <w:tc>
          <w:tcPr>
            <w:tcW w:w="928" w:type="dxa"/>
            <w:vAlign w:val="bottom"/>
          </w:tcPr>
          <w:p w14:paraId="47D7DBA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396</w:t>
            </w:r>
          </w:p>
        </w:tc>
        <w:tc>
          <w:tcPr>
            <w:tcW w:w="1354" w:type="dxa"/>
            <w:vAlign w:val="bottom"/>
          </w:tcPr>
          <w:p w14:paraId="3F12D017"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1,1</w:t>
            </w:r>
          </w:p>
        </w:tc>
        <w:tc>
          <w:tcPr>
            <w:tcW w:w="1224" w:type="dxa"/>
            <w:vAlign w:val="bottom"/>
          </w:tcPr>
          <w:p w14:paraId="4FC5D93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362</w:t>
            </w:r>
          </w:p>
        </w:tc>
        <w:tc>
          <w:tcPr>
            <w:tcW w:w="364" w:type="dxa"/>
            <w:vAlign w:val="bottom"/>
          </w:tcPr>
          <w:p w14:paraId="742A410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13</w:t>
            </w:r>
          </w:p>
        </w:tc>
        <w:tc>
          <w:tcPr>
            <w:tcW w:w="1750" w:type="dxa"/>
            <w:vAlign w:val="bottom"/>
          </w:tcPr>
          <w:p w14:paraId="140CCE82"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16</w:t>
            </w:r>
          </w:p>
        </w:tc>
      </w:tr>
      <w:tr w:rsidR="00395205" w:rsidRPr="005C6078" w14:paraId="602983F2" w14:textId="77777777" w:rsidTr="00941C91">
        <w:trPr>
          <w:trHeight w:val="288"/>
        </w:trPr>
        <w:tc>
          <w:tcPr>
            <w:tcW w:w="1557" w:type="dxa"/>
            <w:shd w:val="clear" w:color="auto" w:fill="auto"/>
            <w:noWrap/>
            <w:vAlign w:val="bottom"/>
            <w:hideMark/>
          </w:tcPr>
          <w:p w14:paraId="22966AA2"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Faranah</w:t>
            </w:r>
          </w:p>
        </w:tc>
        <w:tc>
          <w:tcPr>
            <w:tcW w:w="993" w:type="dxa"/>
            <w:shd w:val="clear" w:color="auto" w:fill="auto"/>
            <w:noWrap/>
            <w:vAlign w:val="bottom"/>
          </w:tcPr>
          <w:p w14:paraId="7F857CEC"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7 434</w:t>
            </w:r>
          </w:p>
        </w:tc>
        <w:tc>
          <w:tcPr>
            <w:tcW w:w="567" w:type="dxa"/>
            <w:shd w:val="clear" w:color="auto" w:fill="auto"/>
            <w:noWrap/>
            <w:vAlign w:val="bottom"/>
          </w:tcPr>
          <w:p w14:paraId="3F167327"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w:t>
            </w:r>
          </w:p>
        </w:tc>
        <w:tc>
          <w:tcPr>
            <w:tcW w:w="1527" w:type="dxa"/>
            <w:vAlign w:val="bottom"/>
          </w:tcPr>
          <w:p w14:paraId="5B4C7E1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7</w:t>
            </w:r>
          </w:p>
        </w:tc>
        <w:tc>
          <w:tcPr>
            <w:tcW w:w="928" w:type="dxa"/>
            <w:vAlign w:val="bottom"/>
          </w:tcPr>
          <w:p w14:paraId="208E8A9B"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93</w:t>
            </w:r>
          </w:p>
        </w:tc>
        <w:tc>
          <w:tcPr>
            <w:tcW w:w="1354" w:type="dxa"/>
            <w:vAlign w:val="bottom"/>
          </w:tcPr>
          <w:p w14:paraId="17682A0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1,3</w:t>
            </w:r>
          </w:p>
        </w:tc>
        <w:tc>
          <w:tcPr>
            <w:tcW w:w="1224" w:type="dxa"/>
            <w:vAlign w:val="bottom"/>
          </w:tcPr>
          <w:p w14:paraId="1220766E"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93</w:t>
            </w:r>
          </w:p>
        </w:tc>
        <w:tc>
          <w:tcPr>
            <w:tcW w:w="364" w:type="dxa"/>
            <w:vAlign w:val="bottom"/>
          </w:tcPr>
          <w:p w14:paraId="026C1C6D"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w:t>
            </w:r>
          </w:p>
        </w:tc>
        <w:tc>
          <w:tcPr>
            <w:tcW w:w="1750" w:type="dxa"/>
            <w:vAlign w:val="bottom"/>
          </w:tcPr>
          <w:p w14:paraId="088B397F"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9</w:t>
            </w:r>
          </w:p>
        </w:tc>
      </w:tr>
      <w:tr w:rsidR="00395205" w:rsidRPr="005C6078" w14:paraId="4EC065CB" w14:textId="77777777" w:rsidTr="00941C91">
        <w:trPr>
          <w:trHeight w:val="288"/>
        </w:trPr>
        <w:tc>
          <w:tcPr>
            <w:tcW w:w="1557" w:type="dxa"/>
            <w:shd w:val="clear" w:color="auto" w:fill="auto"/>
            <w:noWrap/>
            <w:vAlign w:val="bottom"/>
            <w:hideMark/>
          </w:tcPr>
          <w:p w14:paraId="33B7BE56" w14:textId="77777777" w:rsidR="00395205" w:rsidRPr="00D93055" w:rsidRDefault="00395205" w:rsidP="00941C91">
            <w:pPr>
              <w:keepNext/>
              <w:spacing w:after="0" w:line="240" w:lineRule="auto"/>
              <w:rPr>
                <w:rFonts w:ascii="Calibri" w:eastAsia="Times New Roman" w:hAnsi="Calibri" w:cs="Calibri"/>
                <w:color w:val="000000"/>
                <w:lang w:val="fr-BE" w:eastAsia="nl-BE"/>
              </w:rPr>
            </w:pPr>
            <w:r w:rsidRPr="00D93055">
              <w:rPr>
                <w:rFonts w:ascii="Calibri" w:eastAsia="Times New Roman" w:hAnsi="Calibri" w:cs="Calibri"/>
                <w:color w:val="000000"/>
                <w:lang w:bidi="fr-FR"/>
              </w:rPr>
              <w:t>N’Zérékoré</w:t>
            </w:r>
          </w:p>
        </w:tc>
        <w:tc>
          <w:tcPr>
            <w:tcW w:w="993" w:type="dxa"/>
            <w:shd w:val="clear" w:color="auto" w:fill="auto"/>
            <w:noWrap/>
            <w:vAlign w:val="bottom"/>
          </w:tcPr>
          <w:p w14:paraId="2B0DB539"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39 333</w:t>
            </w:r>
          </w:p>
        </w:tc>
        <w:tc>
          <w:tcPr>
            <w:tcW w:w="567" w:type="dxa"/>
            <w:shd w:val="clear" w:color="auto" w:fill="auto"/>
            <w:noWrap/>
            <w:vAlign w:val="bottom"/>
          </w:tcPr>
          <w:p w14:paraId="47EE063A"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17</w:t>
            </w:r>
          </w:p>
        </w:tc>
        <w:tc>
          <w:tcPr>
            <w:tcW w:w="1527" w:type="dxa"/>
            <w:vAlign w:val="bottom"/>
          </w:tcPr>
          <w:p w14:paraId="1171B398"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22</w:t>
            </w:r>
          </w:p>
        </w:tc>
        <w:tc>
          <w:tcPr>
            <w:tcW w:w="928" w:type="dxa"/>
            <w:vAlign w:val="bottom"/>
          </w:tcPr>
          <w:p w14:paraId="52037D7F"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460</w:t>
            </w:r>
          </w:p>
        </w:tc>
        <w:tc>
          <w:tcPr>
            <w:tcW w:w="1354" w:type="dxa"/>
            <w:vAlign w:val="bottom"/>
          </w:tcPr>
          <w:p w14:paraId="6AF26293"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1,2</w:t>
            </w:r>
          </w:p>
        </w:tc>
        <w:tc>
          <w:tcPr>
            <w:tcW w:w="1224" w:type="dxa"/>
            <w:vAlign w:val="bottom"/>
          </w:tcPr>
          <w:p w14:paraId="6FBCA1C0"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450</w:t>
            </w:r>
          </w:p>
        </w:tc>
        <w:tc>
          <w:tcPr>
            <w:tcW w:w="364" w:type="dxa"/>
            <w:vAlign w:val="bottom"/>
          </w:tcPr>
          <w:p w14:paraId="329648CC"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16</w:t>
            </w:r>
          </w:p>
        </w:tc>
        <w:tc>
          <w:tcPr>
            <w:tcW w:w="1750" w:type="dxa"/>
            <w:vAlign w:val="bottom"/>
          </w:tcPr>
          <w:p w14:paraId="4A73924D" w14:textId="77777777" w:rsidR="00395205" w:rsidRDefault="00395205" w:rsidP="00941C91">
            <w:pPr>
              <w:spacing w:after="0" w:line="240" w:lineRule="auto"/>
              <w:jc w:val="right"/>
              <w:rPr>
                <w:rFonts w:ascii="Calibri" w:hAnsi="Calibri" w:cs="Calibri"/>
                <w:color w:val="000000"/>
              </w:rPr>
            </w:pPr>
            <w:r>
              <w:rPr>
                <w:rFonts w:ascii="Calibri" w:eastAsia="Calibri" w:hAnsi="Calibri" w:cs="Calibri"/>
                <w:color w:val="000000"/>
                <w:lang w:bidi="fr-FR"/>
              </w:rPr>
              <w:t>25</w:t>
            </w:r>
          </w:p>
        </w:tc>
      </w:tr>
      <w:tr w:rsidR="00395205" w:rsidRPr="00277597" w14:paraId="52D6917E" w14:textId="77777777" w:rsidTr="00941C91">
        <w:trPr>
          <w:trHeight w:val="288"/>
        </w:trPr>
        <w:tc>
          <w:tcPr>
            <w:tcW w:w="1557" w:type="dxa"/>
            <w:shd w:val="clear" w:color="auto" w:fill="auto"/>
            <w:noWrap/>
            <w:vAlign w:val="bottom"/>
            <w:hideMark/>
          </w:tcPr>
          <w:p w14:paraId="460E0412" w14:textId="77777777" w:rsidR="00395205" w:rsidRPr="00277597" w:rsidRDefault="00395205" w:rsidP="00941C91">
            <w:pPr>
              <w:spacing w:after="0" w:line="240" w:lineRule="auto"/>
              <w:rPr>
                <w:rFonts w:ascii="Calibri" w:eastAsia="Times New Roman" w:hAnsi="Calibri" w:cs="Calibri"/>
                <w:b/>
                <w:color w:val="000000"/>
                <w:lang w:val="fr-BE" w:eastAsia="nl-BE"/>
              </w:rPr>
            </w:pPr>
            <w:r w:rsidRPr="00277597">
              <w:rPr>
                <w:rFonts w:ascii="Calibri" w:eastAsia="Times New Roman" w:hAnsi="Calibri" w:cs="Calibri"/>
                <w:b/>
                <w:color w:val="000000"/>
                <w:lang w:bidi="fr-FR"/>
              </w:rPr>
              <w:t>Total</w:t>
            </w:r>
          </w:p>
        </w:tc>
        <w:tc>
          <w:tcPr>
            <w:tcW w:w="993" w:type="dxa"/>
            <w:shd w:val="clear" w:color="auto" w:fill="auto"/>
            <w:noWrap/>
            <w:vAlign w:val="bottom"/>
          </w:tcPr>
          <w:p w14:paraId="22BF12E3" w14:textId="77777777" w:rsidR="00395205" w:rsidRPr="00277597" w:rsidRDefault="00395205" w:rsidP="00941C91">
            <w:pPr>
              <w:spacing w:after="0" w:line="240" w:lineRule="auto"/>
              <w:jc w:val="right"/>
              <w:rPr>
                <w:rFonts w:ascii="Calibri" w:hAnsi="Calibri" w:cs="Calibri"/>
                <w:b/>
                <w:color w:val="000000"/>
              </w:rPr>
            </w:pPr>
            <w:r w:rsidRPr="00277597">
              <w:rPr>
                <w:rFonts w:ascii="Calibri" w:eastAsia="Calibri" w:hAnsi="Calibri" w:cs="Calibri"/>
                <w:b/>
                <w:color w:val="000000"/>
                <w:lang w:bidi="fr-FR"/>
              </w:rPr>
              <w:t>224 812</w:t>
            </w:r>
          </w:p>
        </w:tc>
        <w:tc>
          <w:tcPr>
            <w:tcW w:w="567" w:type="dxa"/>
            <w:shd w:val="clear" w:color="auto" w:fill="auto"/>
            <w:noWrap/>
            <w:vAlign w:val="bottom"/>
          </w:tcPr>
          <w:p w14:paraId="17445AF8" w14:textId="77777777" w:rsidR="00395205" w:rsidRPr="00277597" w:rsidRDefault="00395205" w:rsidP="00941C91">
            <w:pPr>
              <w:spacing w:after="0" w:line="240" w:lineRule="auto"/>
              <w:jc w:val="right"/>
              <w:rPr>
                <w:rFonts w:ascii="Calibri" w:hAnsi="Calibri" w:cs="Calibri"/>
                <w:b/>
                <w:color w:val="000000"/>
              </w:rPr>
            </w:pPr>
          </w:p>
        </w:tc>
        <w:tc>
          <w:tcPr>
            <w:tcW w:w="1527" w:type="dxa"/>
            <w:vAlign w:val="bottom"/>
          </w:tcPr>
          <w:p w14:paraId="3462A107" w14:textId="77777777" w:rsidR="00395205" w:rsidRPr="00277597" w:rsidRDefault="00395205" w:rsidP="00941C91">
            <w:pPr>
              <w:spacing w:after="0" w:line="240" w:lineRule="auto"/>
              <w:jc w:val="right"/>
              <w:rPr>
                <w:rFonts w:ascii="Calibri" w:hAnsi="Calibri" w:cs="Calibri"/>
                <w:b/>
                <w:color w:val="000000"/>
              </w:rPr>
            </w:pPr>
            <w:r w:rsidRPr="00277597">
              <w:rPr>
                <w:rFonts w:ascii="Calibri" w:eastAsia="Calibri" w:hAnsi="Calibri" w:cs="Calibri"/>
                <w:b/>
                <w:color w:val="000000"/>
                <w:lang w:bidi="fr-FR"/>
              </w:rPr>
              <w:t>19</w:t>
            </w:r>
          </w:p>
        </w:tc>
        <w:tc>
          <w:tcPr>
            <w:tcW w:w="928" w:type="dxa"/>
            <w:vAlign w:val="bottom"/>
          </w:tcPr>
          <w:p w14:paraId="46C86794" w14:textId="77777777" w:rsidR="00395205" w:rsidRPr="00277597" w:rsidRDefault="00395205" w:rsidP="00941C91">
            <w:pPr>
              <w:spacing w:after="0" w:line="240" w:lineRule="auto"/>
              <w:jc w:val="right"/>
              <w:rPr>
                <w:rFonts w:ascii="Calibri" w:hAnsi="Calibri" w:cs="Calibri"/>
                <w:b/>
                <w:color w:val="000000"/>
              </w:rPr>
            </w:pPr>
            <w:r w:rsidRPr="00277597">
              <w:rPr>
                <w:rFonts w:ascii="Calibri" w:eastAsia="Calibri" w:hAnsi="Calibri" w:cs="Calibri"/>
                <w:b/>
                <w:color w:val="000000"/>
                <w:lang w:bidi="fr-FR"/>
              </w:rPr>
              <w:t>3 110</w:t>
            </w:r>
          </w:p>
        </w:tc>
        <w:tc>
          <w:tcPr>
            <w:tcW w:w="1354" w:type="dxa"/>
            <w:vAlign w:val="bottom"/>
          </w:tcPr>
          <w:p w14:paraId="113A7109" w14:textId="77777777" w:rsidR="00395205" w:rsidRPr="00277597" w:rsidRDefault="00395205" w:rsidP="00941C91">
            <w:pPr>
              <w:spacing w:after="0" w:line="240" w:lineRule="auto"/>
              <w:jc w:val="right"/>
              <w:rPr>
                <w:rFonts w:ascii="Calibri" w:hAnsi="Calibri" w:cs="Calibri"/>
                <w:b/>
                <w:color w:val="000000"/>
              </w:rPr>
            </w:pPr>
            <w:r w:rsidRPr="00277597">
              <w:rPr>
                <w:rFonts w:ascii="Calibri" w:eastAsia="Calibri" w:hAnsi="Calibri" w:cs="Calibri"/>
                <w:b/>
                <w:color w:val="000000"/>
                <w:lang w:bidi="fr-FR"/>
              </w:rPr>
              <w:t>1,4</w:t>
            </w:r>
          </w:p>
        </w:tc>
        <w:tc>
          <w:tcPr>
            <w:tcW w:w="1224" w:type="dxa"/>
            <w:vAlign w:val="bottom"/>
          </w:tcPr>
          <w:p w14:paraId="0A0F18B3" w14:textId="77777777" w:rsidR="00395205" w:rsidRPr="00277597" w:rsidRDefault="00395205" w:rsidP="00941C91">
            <w:pPr>
              <w:spacing w:after="0" w:line="240" w:lineRule="auto"/>
              <w:jc w:val="right"/>
              <w:rPr>
                <w:rFonts w:ascii="Calibri" w:hAnsi="Calibri" w:cs="Calibri"/>
                <w:b/>
                <w:color w:val="000000"/>
              </w:rPr>
            </w:pPr>
            <w:r w:rsidRPr="00277597">
              <w:rPr>
                <w:rFonts w:ascii="Calibri" w:eastAsia="Calibri" w:hAnsi="Calibri" w:cs="Calibri"/>
                <w:b/>
                <w:color w:val="000000"/>
                <w:lang w:bidi="fr-FR"/>
              </w:rPr>
              <w:t>2 757</w:t>
            </w:r>
          </w:p>
        </w:tc>
        <w:tc>
          <w:tcPr>
            <w:tcW w:w="364" w:type="dxa"/>
            <w:vAlign w:val="bottom"/>
          </w:tcPr>
          <w:p w14:paraId="003347E0" w14:textId="77777777" w:rsidR="00395205" w:rsidRPr="00277597" w:rsidRDefault="00395205" w:rsidP="00941C91">
            <w:pPr>
              <w:spacing w:after="0" w:line="240" w:lineRule="auto"/>
              <w:jc w:val="right"/>
              <w:rPr>
                <w:rFonts w:ascii="Calibri" w:hAnsi="Calibri" w:cs="Calibri"/>
                <w:b/>
                <w:color w:val="000000"/>
              </w:rPr>
            </w:pPr>
          </w:p>
        </w:tc>
        <w:tc>
          <w:tcPr>
            <w:tcW w:w="1750" w:type="dxa"/>
            <w:vAlign w:val="bottom"/>
          </w:tcPr>
          <w:p w14:paraId="4A58FC5E" w14:textId="77777777" w:rsidR="00395205" w:rsidRPr="00277597" w:rsidRDefault="00395205" w:rsidP="00941C91">
            <w:pPr>
              <w:spacing w:after="0" w:line="240" w:lineRule="auto"/>
              <w:jc w:val="right"/>
              <w:rPr>
                <w:rFonts w:ascii="Calibri" w:hAnsi="Calibri" w:cs="Calibri"/>
                <w:b/>
                <w:color w:val="000000"/>
              </w:rPr>
            </w:pPr>
            <w:r w:rsidRPr="00277597">
              <w:rPr>
                <w:rFonts w:ascii="Calibri" w:eastAsia="Calibri" w:hAnsi="Calibri" w:cs="Calibri"/>
                <w:b/>
                <w:color w:val="000000"/>
                <w:lang w:bidi="fr-FR"/>
              </w:rPr>
              <w:t>23</w:t>
            </w:r>
          </w:p>
        </w:tc>
      </w:tr>
    </w:tbl>
    <w:p w14:paraId="0C9873DB" w14:textId="77777777" w:rsidR="00395205" w:rsidRPr="001D0298" w:rsidRDefault="00395205" w:rsidP="00395205">
      <w:pPr>
        <w:jc w:val="both"/>
        <w:rPr>
          <w:sz w:val="14"/>
          <w:szCs w:val="14"/>
        </w:rPr>
      </w:pPr>
      <w:r w:rsidRPr="001D0298">
        <w:rPr>
          <w:sz w:val="14"/>
          <w:szCs w:val="14"/>
          <w:lang w:bidi="fr-FR"/>
        </w:rPr>
        <w:t>Source : Revue épidémiologique et programmatique, et analyse de cascades en Guinée : Rapport préliminaire (Lafort, Y., 2017)</w:t>
      </w:r>
    </w:p>
    <w:p w14:paraId="4FA14D4F" w14:textId="77777777" w:rsidR="00395205" w:rsidRPr="00286083" w:rsidRDefault="00395205" w:rsidP="00395205">
      <w:r w:rsidRPr="00675511">
        <w:rPr>
          <w:b/>
          <w:i/>
          <w:lang w:bidi="fr-FR"/>
        </w:rPr>
        <w:t xml:space="preserve">D’après les estimations de la couverture du dépistage du VIH chez les nouveau-nés, </w:t>
      </w:r>
      <w:r w:rsidRPr="00675511">
        <w:rPr>
          <w:lang w:bidi="fr-FR"/>
        </w:rPr>
        <w:t>environ 6 555</w:t>
      </w:r>
      <w:r>
        <w:rPr>
          <w:lang w:bidi="fr-FR"/>
        </w:rPr>
        <w:t> </w:t>
      </w:r>
      <w:r w:rsidRPr="00675511">
        <w:rPr>
          <w:lang w:bidi="fr-FR"/>
        </w:rPr>
        <w:t>enfants sont nés de mères séropositives en 2017, dont 2 044 ont eu accès à un service de PTME. Le nombre d’enfants testés à l’âge de 18 mois était de 618, soit 31 % des enfants exposés nés de mères ayant eu accès à un service de PTME, et 9 % de l’ensemble des enfants exposés testés à 18 mois.</w:t>
      </w:r>
    </w:p>
    <w:p w14:paraId="7A1FA4BD" w14:textId="77777777" w:rsidR="00395205" w:rsidRDefault="00395205" w:rsidP="00395205">
      <w:pPr>
        <w:keepNext/>
        <w:spacing w:after="0" w:line="240" w:lineRule="auto"/>
        <w:jc w:val="center"/>
        <w:rPr>
          <w:i/>
          <w:sz w:val="20"/>
        </w:rPr>
      </w:pPr>
      <w:r w:rsidRPr="0018791B">
        <w:rPr>
          <w:i/>
          <w:sz w:val="20"/>
          <w:szCs w:val="20"/>
          <w:lang w:bidi="fr-FR"/>
        </w:rPr>
        <w:t>Figure </w:t>
      </w:r>
      <w:r w:rsidRPr="0018791B">
        <w:rPr>
          <w:i/>
          <w:sz w:val="20"/>
          <w:szCs w:val="20"/>
          <w:lang w:bidi="fr-FR"/>
        </w:rPr>
        <w:fldChar w:fldCharType="begin"/>
      </w:r>
      <w:r w:rsidRPr="0018791B">
        <w:rPr>
          <w:i/>
          <w:sz w:val="20"/>
          <w:szCs w:val="20"/>
          <w:lang w:bidi="fr-FR"/>
        </w:rPr>
        <w:instrText xml:space="preserve"> SEQ Figure \* ARABIC </w:instrText>
      </w:r>
      <w:r w:rsidRPr="0018791B">
        <w:rPr>
          <w:i/>
          <w:sz w:val="20"/>
          <w:szCs w:val="20"/>
          <w:lang w:bidi="fr-FR"/>
        </w:rPr>
        <w:fldChar w:fldCharType="separate"/>
      </w:r>
      <w:r>
        <w:rPr>
          <w:i/>
          <w:noProof/>
          <w:sz w:val="20"/>
          <w:szCs w:val="20"/>
          <w:lang w:bidi="fr-FR"/>
        </w:rPr>
        <w:t>33</w:t>
      </w:r>
      <w:r w:rsidRPr="0018791B">
        <w:rPr>
          <w:i/>
          <w:sz w:val="20"/>
          <w:szCs w:val="20"/>
          <w:lang w:bidi="fr-FR"/>
        </w:rPr>
        <w:fldChar w:fldCharType="end"/>
      </w:r>
      <w:r w:rsidRPr="0018791B">
        <w:rPr>
          <w:i/>
          <w:sz w:val="20"/>
          <w:szCs w:val="20"/>
          <w:lang w:bidi="fr-FR"/>
        </w:rPr>
        <w:t> :</w:t>
      </w:r>
      <w:r w:rsidRPr="0018791B">
        <w:rPr>
          <w:i/>
          <w:sz w:val="16"/>
          <w:szCs w:val="16"/>
          <w:lang w:bidi="fr-FR"/>
        </w:rPr>
        <w:t xml:space="preserve"> </w:t>
      </w:r>
      <w:r w:rsidRPr="0018791B">
        <w:rPr>
          <w:i/>
          <w:sz w:val="20"/>
          <w:szCs w:val="20"/>
          <w:lang w:bidi="fr-FR"/>
        </w:rPr>
        <w:t>Cascade des enfants exposés, 2017</w:t>
      </w:r>
    </w:p>
    <w:p w14:paraId="2AFFED15" w14:textId="77777777" w:rsidR="00395205" w:rsidRDefault="00395205" w:rsidP="00395205">
      <w:pPr>
        <w:jc w:val="center"/>
      </w:pPr>
      <w:r>
        <w:rPr>
          <w:noProof/>
          <w:lang w:bidi="fr-FR"/>
        </w:rPr>
        <w:drawing>
          <wp:inline distT="0" distB="0" distL="0" distR="0" wp14:anchorId="5158753E" wp14:editId="4996BF4A">
            <wp:extent cx="3909060" cy="2278380"/>
            <wp:effectExtent l="0" t="0" r="15240" b="7620"/>
            <wp:docPr id="250" name="Grafiek 250">
              <a:extLst xmlns:a="http://schemas.openxmlformats.org/drawingml/2006/main">
                <a:ext uri="{FF2B5EF4-FFF2-40B4-BE49-F238E27FC236}">
                  <a16:creationId xmlns:a16="http://schemas.microsoft.com/office/drawing/2014/main" id="{D8AD3D1F-CF3D-4D5B-9EFD-31E1F5F44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371360" w14:textId="77777777" w:rsidR="00395205" w:rsidRDefault="00395205" w:rsidP="00395205">
      <w:pPr>
        <w:jc w:val="both"/>
      </w:pPr>
    </w:p>
    <w:p w14:paraId="56EF0E0F" w14:textId="77777777" w:rsidR="00395205" w:rsidRPr="00881B02" w:rsidRDefault="00395205" w:rsidP="00395205">
      <w:pPr>
        <w:pStyle w:val="Titre3"/>
      </w:pPr>
      <w:bookmarkStart w:id="28" w:name="_Toc8400027"/>
      <w:r>
        <w:rPr>
          <w:lang w:bidi="fr-FR"/>
        </w:rPr>
        <w:t>4.3.3 Dépistage du VIH chez les patients atteints de tuberculose</w:t>
      </w:r>
      <w:bookmarkEnd w:id="28"/>
    </w:p>
    <w:p w14:paraId="2BFB3A87" w14:textId="77777777" w:rsidR="00395205" w:rsidRDefault="00395205" w:rsidP="00395205">
      <w:pPr>
        <w:jc w:val="both"/>
      </w:pPr>
      <w:r w:rsidRPr="002124C4">
        <w:rPr>
          <w:lang w:bidi="fr-FR"/>
        </w:rPr>
        <w:t xml:space="preserve">Chez les patients atteints de tuberculose, le dépistage du VIH s’appuyant sur les établissements existants produit des rendements élevés, et remporte une adhésion relativement importante là où il est proposé, à l’exception de trois régions (N’Zérékoré, Boké et Kindia), où celle-ci est restée inférieure à 75 % en 2018 (figure 4.7). </w:t>
      </w:r>
    </w:p>
    <w:p w14:paraId="60012827" w14:textId="77777777" w:rsidR="00395205" w:rsidRPr="00BE6747" w:rsidRDefault="00395205" w:rsidP="00395205">
      <w:pPr>
        <w:pStyle w:val="Titre4"/>
      </w:pPr>
      <w:r w:rsidRPr="00BE6747">
        <w:rPr>
          <w:lang w:bidi="fr-FR"/>
        </w:rPr>
        <w:lastRenderedPageBreak/>
        <w:t>Figure 4.7 : Taux de dépistage et taux de séropositivité chez les patients atteints de tuberculose en 2018, par région</w:t>
      </w:r>
    </w:p>
    <w:p w14:paraId="276E5B94" w14:textId="77777777" w:rsidR="00395205" w:rsidRPr="00B42628" w:rsidRDefault="00395205" w:rsidP="00395205">
      <w:pPr>
        <w:jc w:val="center"/>
      </w:pPr>
      <w:r w:rsidRPr="002B2300">
        <w:rPr>
          <w:noProof/>
          <w:lang w:bidi="fr-FR"/>
        </w:rPr>
        <w:drawing>
          <wp:inline distT="0" distB="0" distL="0" distR="0" wp14:anchorId="373545B6" wp14:editId="11C02A11">
            <wp:extent cx="5136075" cy="270344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0390" cy="2710978"/>
                    </a:xfrm>
                    <a:prstGeom prst="rect">
                      <a:avLst/>
                    </a:prstGeom>
                    <a:noFill/>
                    <a:ln>
                      <a:noFill/>
                    </a:ln>
                  </pic:spPr>
                </pic:pic>
              </a:graphicData>
            </a:graphic>
          </wp:inline>
        </w:drawing>
      </w:r>
    </w:p>
    <w:p w14:paraId="4FBBF676" w14:textId="77777777" w:rsidR="00395205" w:rsidRDefault="00395205" w:rsidP="00395205">
      <w:pPr>
        <w:jc w:val="both"/>
      </w:pPr>
      <w:r>
        <w:rPr>
          <w:lang w:bidi="fr-FR"/>
        </w:rPr>
        <w:t>Cependant, sur les 58 centres de traitement de la tuberculose existant en Guinée fin 2018, seuls 38 (66 %) proposent le dépistage du VIH et 28 (48 %) un</w:t>
      </w:r>
      <w:r w:rsidRPr="00DB5178">
        <w:t xml:space="preserve"> </w:t>
      </w:r>
      <w:r w:rsidRPr="00DB5178">
        <w:rPr>
          <w:lang w:bidi="fr-FR"/>
        </w:rPr>
        <w:t>traitement antirétroviral</w:t>
      </w:r>
      <w:r>
        <w:rPr>
          <w:lang w:bidi="fr-FR"/>
        </w:rPr>
        <w:t xml:space="preserve"> (figure 4.8).</w:t>
      </w:r>
    </w:p>
    <w:p w14:paraId="78EAE175" w14:textId="77777777" w:rsidR="00395205" w:rsidRPr="000A2A10" w:rsidRDefault="00395205" w:rsidP="00395205">
      <w:pPr>
        <w:pStyle w:val="Titre4"/>
      </w:pPr>
      <w:r w:rsidRPr="00BE6747">
        <w:rPr>
          <w:lang w:bidi="fr-FR"/>
        </w:rPr>
        <w:t>Figure 4.8 : Taux de dépistage et taux de séropositivité chez les patients atteints de tuberculose en 2018, par région</w:t>
      </w:r>
    </w:p>
    <w:p w14:paraId="65D8487A" w14:textId="77777777" w:rsidR="00395205" w:rsidRPr="00B42628" w:rsidRDefault="00395205" w:rsidP="00395205">
      <w:pPr>
        <w:jc w:val="center"/>
      </w:pPr>
      <w:r w:rsidRPr="00C06745">
        <w:rPr>
          <w:rFonts w:ascii="Georgia" w:eastAsia="Georgia" w:hAnsi="Georgia" w:cs="Georgia"/>
          <w:noProof/>
          <w:lang w:bidi="fr-FR"/>
        </w:rPr>
        <w:drawing>
          <wp:inline distT="0" distB="0" distL="0" distR="0" wp14:anchorId="141A8494" wp14:editId="585CD04C">
            <wp:extent cx="5176299" cy="2369489"/>
            <wp:effectExtent l="0" t="0" r="5715" b="12065"/>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615DA4" w14:textId="77777777" w:rsidR="00395205" w:rsidRPr="00E3570F" w:rsidRDefault="00395205" w:rsidP="00395205">
      <w:pPr>
        <w:pStyle w:val="Paragraphedeliste"/>
        <w:numPr>
          <w:ilvl w:val="0"/>
          <w:numId w:val="40"/>
        </w:numPr>
        <w:jc w:val="both"/>
      </w:pPr>
      <w:r w:rsidRPr="00E3570F">
        <w:rPr>
          <w:lang w:bidi="fr-FR"/>
        </w:rPr>
        <w:t xml:space="preserve">Ces données soulignent la nécessité d’appuyer les services de dépistage du VIH existant dans les centres de traitement de la tuberculose, particulièrement ceux situés dans les régions de N’Zérékoré, Boké et Kindia. </w:t>
      </w:r>
    </w:p>
    <w:p w14:paraId="735236F0" w14:textId="77777777" w:rsidR="00395205" w:rsidRDefault="00395205" w:rsidP="00395205">
      <w:pPr>
        <w:pStyle w:val="Paragraphedeliste"/>
        <w:numPr>
          <w:ilvl w:val="0"/>
          <w:numId w:val="40"/>
        </w:numPr>
        <w:jc w:val="both"/>
      </w:pPr>
      <w:r w:rsidRPr="00E3570F">
        <w:rPr>
          <w:lang w:bidi="fr-FR"/>
        </w:rPr>
        <w:t xml:space="preserve">Il est urgent de mettre en place des services de dépistage du VIH dans les centres qui n’en disposent pas actuellement (soit 20 sur 58), et de proposer l’accès </w:t>
      </w:r>
      <w:r>
        <w:rPr>
          <w:lang w:bidi="fr-FR"/>
        </w:rPr>
        <w:t>à un</w:t>
      </w:r>
      <w:r w:rsidRPr="00DB5178">
        <w:t xml:space="preserve"> </w:t>
      </w:r>
      <w:r w:rsidRPr="00DB5178">
        <w:rPr>
          <w:lang w:bidi="fr-FR"/>
        </w:rPr>
        <w:t>traitement antirétroviral</w:t>
      </w:r>
      <w:r w:rsidRPr="00E3570F">
        <w:rPr>
          <w:lang w:bidi="fr-FR"/>
        </w:rPr>
        <w:t xml:space="preserve"> dans l’ensemble de ces centres, prioritairement dans ceux enregistrant au moins 250 consultations par an.</w:t>
      </w:r>
    </w:p>
    <w:p w14:paraId="341297A4" w14:textId="77777777" w:rsidR="00395205" w:rsidRDefault="00395205" w:rsidP="00395205">
      <w:pPr>
        <w:jc w:val="both"/>
      </w:pPr>
      <w:r w:rsidRPr="00BB4CD0">
        <w:rPr>
          <w:b/>
          <w:lang w:bidi="fr-FR"/>
        </w:rPr>
        <w:t xml:space="preserve">L’augmentation des taux de dépistage du VIH chez les patients déclarés atteints de tuberculose de 83 à 100 % permettrait d’établir 600 nouveaux diagnostics annuels de séropositivité, </w:t>
      </w:r>
      <w:r w:rsidRPr="00BB4CD0">
        <w:rPr>
          <w:lang w:bidi="fr-FR"/>
        </w:rPr>
        <w:t>dans l’hypothèse où le taux national moyen de cas d’infection à VIH détectés au moyen du dépistage de patients atteints de tuberculose (24 %) a été atteint parmi les 17 % de patients déclarés atteints de tuberculose n’ayant pas été testés en 2017.</w:t>
      </w:r>
    </w:p>
    <w:p w14:paraId="48502B32" w14:textId="77777777" w:rsidR="00395205" w:rsidRPr="0079635B" w:rsidRDefault="00395205" w:rsidP="00395205">
      <w:pPr>
        <w:pStyle w:val="Titre3"/>
      </w:pPr>
      <w:bookmarkStart w:id="29" w:name="_Toc8400028"/>
      <w:r>
        <w:rPr>
          <w:lang w:bidi="fr-FR"/>
        </w:rPr>
        <w:lastRenderedPageBreak/>
        <w:t>4.3.4 CDIS auprès des donneurs de sang</w:t>
      </w:r>
      <w:bookmarkEnd w:id="29"/>
    </w:p>
    <w:p w14:paraId="4695F4FB" w14:textId="77777777" w:rsidR="00395205" w:rsidRPr="00563717" w:rsidRDefault="00395205" w:rsidP="00395205">
      <w:pPr>
        <w:jc w:val="both"/>
      </w:pPr>
      <w:r w:rsidRPr="00DB0E99">
        <w:rPr>
          <w:lang w:bidi="fr-FR"/>
        </w:rPr>
        <w:t>La Guinée possède un centre national, quatre centres régionaux (Kankan, Labé, Boké et N’Zérékoré) et 34 unités hospitalières de transfusion sanguine.</w:t>
      </w:r>
    </w:p>
    <w:p w14:paraId="01E41688" w14:textId="77777777" w:rsidR="00395205" w:rsidRDefault="00395205" w:rsidP="00395205">
      <w:pPr>
        <w:jc w:val="both"/>
      </w:pPr>
      <w:r w:rsidRPr="003257A5">
        <w:rPr>
          <w:lang w:bidi="fr-FR"/>
        </w:rPr>
        <w:t xml:space="preserve">Les données de 2015 indiquent que 39 292 dons de sang ont été recueillis et soumis à des tests de dépistage du VIH, dont 3,5 % se sont révélés positifs (au premier test). En 2017, le nombre de dons a avoisiné les 50 000 et les tests de dépistage (premiers tests) ont produit des résultats identiques. Les résultats des tests ne sont pas communiqués aux donneurs, auxquels on ne propose pas non plus de CDIS sur place, en fonction des résultats du dépistage. Ceux dont le test est positif sont incités à poursuivre le dépistage ou à effectuer un bilan de santé dans un autre établissement, mais ces données ne sont pas consignées et la proportion de personnes observant les recommandations émises reste inconnue.  </w:t>
      </w:r>
    </w:p>
    <w:p w14:paraId="26410E9D" w14:textId="77777777" w:rsidR="00395205" w:rsidRDefault="00395205" w:rsidP="00395205">
      <w:pPr>
        <w:jc w:val="both"/>
      </w:pPr>
      <w:r>
        <w:rPr>
          <w:lang w:bidi="fr-FR"/>
        </w:rPr>
        <w:t>Les services de transfusion sanguine ont un devoir de protection non seulement envers les donneurs de sang, mais aussi envers les transfusés. Ils doivent confirmer aux donneurs les résultats préliminaires du test de dépistage du VIH, leur fournir des informations, des conseils et un accompagnement pour leur permettre de faire face à cette situation, et les orienter vers un traitement [</w:t>
      </w:r>
      <w:r w:rsidRPr="0006433F">
        <w:rPr>
          <w:highlight w:val="yellow"/>
          <w:lang w:bidi="fr-FR"/>
        </w:rPr>
        <w:t>R]</w:t>
      </w:r>
      <w:r>
        <w:rPr>
          <w:lang w:bidi="fr-FR"/>
        </w:rPr>
        <w:t xml:space="preserve">. Le CDIS accompagné d’une orientation des patients doit être proposé à tous les donneurs diagnostiqués séropositifs dans l’ensemble des centres de transfusion sanguine. La mise en place systématique du CDIS auprès des donneurs de sang est susceptible d’accroître le nombre de cas diagnostiqués dans les établissements où une orientation des patients vers un </w:t>
      </w:r>
      <w:r w:rsidRPr="00DB5178">
        <w:rPr>
          <w:lang w:bidi="fr-FR"/>
        </w:rPr>
        <w:t>traitement antirétroviral</w:t>
      </w:r>
      <w:r>
        <w:rPr>
          <w:lang w:bidi="fr-FR"/>
        </w:rPr>
        <w:t xml:space="preserve"> est réalisable sur place. </w:t>
      </w:r>
    </w:p>
    <w:p w14:paraId="28DA6126" w14:textId="77777777" w:rsidR="00395205" w:rsidRPr="009A2813" w:rsidRDefault="00395205" w:rsidP="00395205">
      <w:pPr>
        <w:jc w:val="both"/>
        <w:rPr>
          <w:b/>
        </w:rPr>
      </w:pPr>
      <w:r w:rsidRPr="009A2813">
        <w:rPr>
          <w:b/>
          <w:lang w:bidi="fr-FR"/>
        </w:rPr>
        <w:t xml:space="preserve">Si 80 % des donneurs de sang testés séropositifs étaient informés des résultats et bénéficiaient de services de CDIS, près de 1 400 diagnostics supplémentaires pourraient être établis chaque année, </w:t>
      </w:r>
      <w:r w:rsidRPr="009A2813">
        <w:rPr>
          <w:lang w:bidi="fr-FR"/>
        </w:rPr>
        <w:t>dans l’hypothèse d’un rendement des dépistages de 3,5 % et de 50 000</w:t>
      </w:r>
      <w:r>
        <w:rPr>
          <w:lang w:bidi="fr-FR"/>
        </w:rPr>
        <w:t> </w:t>
      </w:r>
      <w:r w:rsidRPr="009A2813">
        <w:rPr>
          <w:lang w:bidi="fr-FR"/>
        </w:rPr>
        <w:t>dons de sang par an.</w:t>
      </w:r>
    </w:p>
    <w:p w14:paraId="5CCDBD8E" w14:textId="77777777" w:rsidR="00395205" w:rsidRPr="00A73039" w:rsidRDefault="00395205" w:rsidP="00395205">
      <w:pPr>
        <w:pStyle w:val="Titre3"/>
      </w:pPr>
      <w:bookmarkStart w:id="30" w:name="_Toc8400029"/>
      <w:r>
        <w:rPr>
          <w:lang w:bidi="fr-FR"/>
        </w:rPr>
        <w:t>4.3.5 Le dépistage du VIH dans le contexte des interventions de planification familiale et des consultations relatives aux infections sexuellement transmissibles</w:t>
      </w:r>
      <w:bookmarkEnd w:id="30"/>
    </w:p>
    <w:p w14:paraId="5BEDC6C1" w14:textId="77777777" w:rsidR="00395205" w:rsidRPr="000A7D76" w:rsidRDefault="00395205" w:rsidP="00395205">
      <w:pPr>
        <w:jc w:val="both"/>
      </w:pPr>
      <w:r>
        <w:rPr>
          <w:lang w:bidi="fr-FR"/>
        </w:rPr>
        <w:t>Les politiques nationales précisent que le dépistage du VIH doit systématiquement être proposé aux patients présentant des symptômes d’infections sexuellement transmissibles (IST) ou fréquentant des centres de traitement des IST, ainsi qu’aux femmes se rendant aux consultations de planification familiale. Or, en pratique, cela est rarement le cas.</w:t>
      </w:r>
    </w:p>
    <w:p w14:paraId="4BEEAF9B" w14:textId="77777777" w:rsidR="00395205" w:rsidRPr="00DC454F" w:rsidRDefault="00395205" w:rsidP="00395205">
      <w:pPr>
        <w:jc w:val="both"/>
        <w:rPr>
          <w:rFonts w:ascii="Calibri" w:hAnsi="Calibri"/>
        </w:rPr>
      </w:pPr>
      <w:r w:rsidRPr="000A7D76">
        <w:rPr>
          <w:rFonts w:ascii="Calibri" w:eastAsia="Calibri" w:hAnsi="Calibri" w:cs="Calibri"/>
          <w:lang w:bidi="fr-FR"/>
        </w:rPr>
        <w:t>Il n’existe aucune donnée sur la proportion de consultations relatives à la planification familiale ou aux IST lors desquelles un dépistage du VIH a été proposé. Les informations obtenues auprès des parties prenantes révèlent que celui-ci est rarement proposé lors des consultations de planification familiale, mais l’est davantage lorsque les patients présentent des symptômes d’IST, en fonction des trousses de dépistage disponibles.</w:t>
      </w:r>
    </w:p>
    <w:p w14:paraId="1ED3B0D1" w14:textId="77777777" w:rsidR="00395205" w:rsidRDefault="00395205" w:rsidP="00395205">
      <w:pPr>
        <w:pStyle w:val="Titre3"/>
      </w:pPr>
      <w:bookmarkStart w:id="31" w:name="_Toc8400030"/>
      <w:r>
        <w:rPr>
          <w:lang w:bidi="fr-FR"/>
        </w:rPr>
        <w:t>4.3.6 Populations clés et vulnérables</w:t>
      </w:r>
      <w:bookmarkEnd w:id="31"/>
    </w:p>
    <w:p w14:paraId="3A32FDCB" w14:textId="77777777" w:rsidR="00395205" w:rsidRDefault="00395205" w:rsidP="00395205">
      <w:pPr>
        <w:jc w:val="both"/>
      </w:pPr>
      <w:r>
        <w:rPr>
          <w:lang w:bidi="fr-FR"/>
        </w:rPr>
        <w:t xml:space="preserve">Les données issues de l’ESCOMB 2017 indiquent que le taux de dépistage du VIH est relativement élevé parmi les populations clés et vulnérables, à l’exception des détenus (figure 3.6). Cependant, il existe probablement un fort taux de chevauchement entre les membres des populations clés acceptant d’être recensés dans les enquêtes et ceux souhaitant bénéficier de services spécifiquement axés sur leurs besoins. </w:t>
      </w:r>
    </w:p>
    <w:p w14:paraId="513F339B" w14:textId="77777777" w:rsidR="00395205" w:rsidRPr="00AE5541" w:rsidRDefault="00395205" w:rsidP="00395205">
      <w:pPr>
        <w:pStyle w:val="Titre4"/>
        <w:rPr>
          <w:sz w:val="4"/>
          <w:szCs w:val="4"/>
        </w:rPr>
      </w:pPr>
    </w:p>
    <w:p w14:paraId="00AB9981" w14:textId="77777777" w:rsidR="00395205" w:rsidRDefault="00395205" w:rsidP="00395205">
      <w:pPr>
        <w:pStyle w:val="Titre4"/>
      </w:pPr>
      <w:r>
        <w:rPr>
          <w:lang w:bidi="fr-FR"/>
        </w:rPr>
        <w:t>Figure 4.9 : Proportion de populations clés et vulnérables ayant connaissance de leur statut VIH en 2017, par sexe</w:t>
      </w:r>
    </w:p>
    <w:p w14:paraId="522C9552" w14:textId="77777777" w:rsidR="00395205" w:rsidRDefault="00395205" w:rsidP="00395205">
      <w:pPr>
        <w:jc w:val="center"/>
      </w:pPr>
      <w:r w:rsidRPr="00555454">
        <w:rPr>
          <w:noProof/>
          <w:lang w:bidi="fr-FR"/>
        </w:rPr>
        <w:drawing>
          <wp:inline distT="0" distB="0" distL="0" distR="0" wp14:anchorId="7BAFC5BA" wp14:editId="214173C6">
            <wp:extent cx="4679950" cy="2772044"/>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642" cy="2783708"/>
                    </a:xfrm>
                    <a:prstGeom prst="rect">
                      <a:avLst/>
                    </a:prstGeom>
                    <a:noFill/>
                    <a:ln>
                      <a:noFill/>
                    </a:ln>
                  </pic:spPr>
                </pic:pic>
              </a:graphicData>
            </a:graphic>
          </wp:inline>
        </w:drawing>
      </w:r>
    </w:p>
    <w:p w14:paraId="1369521F" w14:textId="77777777" w:rsidR="00395205" w:rsidRDefault="00395205" w:rsidP="00395205">
      <w:pPr>
        <w:jc w:val="both"/>
      </w:pPr>
      <w:r>
        <w:rPr>
          <w:lang w:bidi="fr-FR"/>
        </w:rPr>
        <w:t>En raison du faible nombre de personnes appartenant aux populations clés (celles acceptant d’être recensées comme telles) et de l’excellente couverture des programmes existants, un phénomène de saturation (faibles rendements) est plus susceptible d’apparaître au sein de ces populations.</w:t>
      </w:r>
    </w:p>
    <w:p w14:paraId="4A801A58" w14:textId="77777777" w:rsidR="00395205" w:rsidRDefault="00395205" w:rsidP="00395205">
      <w:pPr>
        <w:jc w:val="both"/>
        <w:rPr>
          <w:lang w:bidi="fr-FR"/>
        </w:rPr>
      </w:pPr>
      <w:r>
        <w:rPr>
          <w:lang w:bidi="fr-FR"/>
        </w:rPr>
        <w:t xml:space="preserve">Si le dépistage de l’ensemble des partenaires sexuels, des coépouses et des enfants des membres des populations clés et vulnérables diagnostiqués séropositifs devrait produire des rendements élevés, sa mise en œuvre est toutefois très limitée. </w:t>
      </w:r>
    </w:p>
    <w:p w14:paraId="2F7F8CD1" w14:textId="77777777" w:rsidR="00395205" w:rsidRDefault="00395205" w:rsidP="00395205">
      <w:pPr>
        <w:rPr>
          <w:lang w:bidi="fr-FR"/>
        </w:rPr>
      </w:pPr>
      <w:r>
        <w:rPr>
          <w:lang w:bidi="fr-FR"/>
        </w:rPr>
        <w:br w:type="page"/>
      </w:r>
    </w:p>
    <w:p w14:paraId="4B4A0884" w14:textId="77777777" w:rsidR="00395205" w:rsidRDefault="00395205" w:rsidP="00395205">
      <w:pPr>
        <w:pStyle w:val="Titre1"/>
      </w:pPr>
      <w:bookmarkStart w:id="32" w:name="_Toc8400031"/>
      <w:r>
        <w:rPr>
          <w:lang w:bidi="fr-FR"/>
        </w:rPr>
        <w:lastRenderedPageBreak/>
        <w:t>5. Difficultés rencontrées par les stratégies de dépistage existantes</w:t>
      </w:r>
      <w:bookmarkEnd w:id="32"/>
    </w:p>
    <w:p w14:paraId="72357A94" w14:textId="77777777" w:rsidR="00395205" w:rsidRPr="00222A3D" w:rsidRDefault="00395205" w:rsidP="00395205">
      <w:pPr>
        <w:jc w:val="both"/>
        <w:rPr>
          <w:sz w:val="4"/>
          <w:szCs w:val="4"/>
        </w:rPr>
      </w:pPr>
    </w:p>
    <w:p w14:paraId="08AC7CAD" w14:textId="77777777" w:rsidR="00395205" w:rsidRDefault="00395205" w:rsidP="00395205">
      <w:pPr>
        <w:jc w:val="both"/>
        <w:rPr>
          <w:rFonts w:ascii="Calibri" w:hAnsi="Calibri"/>
        </w:rPr>
      </w:pPr>
      <w:r w:rsidRPr="00E52D42">
        <w:rPr>
          <w:rFonts w:ascii="Calibri" w:eastAsia="Calibri" w:hAnsi="Calibri" w:cs="Calibri"/>
          <w:lang w:bidi="fr-FR"/>
        </w:rPr>
        <w:t xml:space="preserve">Une analyse des points forts, points faibles, possibilités offertes et risques entraînés (analyse SWOT) a été réalisée à partir des informations recueillies lors d’entretiens avec les parties prenantes, afin de connaître les principaux facteurs au sein des systèmes de santé perçus comme des entraves à la progression vers l’objectif du « premier 90 ». Une synthèse des résultats est présentée dans le tableau 5.1. </w:t>
      </w:r>
    </w:p>
    <w:p w14:paraId="5C37A488" w14:textId="77777777" w:rsidR="00395205" w:rsidRDefault="00395205" w:rsidP="00395205">
      <w:pPr>
        <w:jc w:val="both"/>
        <w:rPr>
          <w:rFonts w:ascii="Calibri" w:hAnsi="Calibri"/>
        </w:rPr>
      </w:pPr>
      <w:r>
        <w:rPr>
          <w:rFonts w:ascii="Calibri" w:eastAsia="Calibri" w:hAnsi="Calibri" w:cs="Calibri"/>
          <w:lang w:bidi="fr-FR"/>
        </w:rPr>
        <w:t xml:space="preserve">L’une des conclusions essentielles de l’analyse est que les conditions financières et de gouvernance sont globalement favorables à la réalisation de progrès vers l’objectif du « premier 90 ». Il est possible de traiter les nouvelles priorités définies en matière de dépistage du VIH en reprogrammant le budget du Fonds mondial et en l’alignant sur le PNLSH et ses principaux bénéficiaires au milieu de 2019. </w:t>
      </w:r>
    </w:p>
    <w:p w14:paraId="5DAFCB46" w14:textId="77777777" w:rsidR="00395205" w:rsidRDefault="00395205" w:rsidP="00395205">
      <w:pPr>
        <w:jc w:val="both"/>
        <w:rPr>
          <w:rFonts w:ascii="Calibri" w:hAnsi="Calibri"/>
        </w:rPr>
      </w:pPr>
      <w:r>
        <w:rPr>
          <w:rFonts w:ascii="Calibri" w:eastAsia="Calibri" w:hAnsi="Calibri" w:cs="Calibri"/>
          <w:lang w:bidi="fr-FR"/>
        </w:rPr>
        <w:t xml:space="preserve">En matière de ressources humaines, le potentiel du nouveau cadre d’agents de santé (agents psychosociaux ou APS) non professionnels a été souligné comme élément propice à la réalisation du « premier 90 ». Les agents psychosociaux sont formés et encadrés par la Croix-Rouge afin d’effectuer des tests de dépistage du VIH, d’apporter un soutien psychosocial avant et après le test, et de procéder à la notification volontaire assistée des partenaires ainsi qu’au dépistage des proches d’un cas de référence à domicile ou dans un établissement spécialisé. </w:t>
      </w:r>
    </w:p>
    <w:p w14:paraId="3C161C6A" w14:textId="77777777" w:rsidR="00395205" w:rsidRDefault="00395205" w:rsidP="00395205">
      <w:pPr>
        <w:jc w:val="both"/>
        <w:rPr>
          <w:rFonts w:ascii="Calibri" w:hAnsi="Calibri"/>
        </w:rPr>
      </w:pPr>
      <w:r>
        <w:rPr>
          <w:rFonts w:ascii="Calibri" w:eastAsia="Calibri" w:hAnsi="Calibri" w:cs="Calibri"/>
          <w:lang w:bidi="fr-FR"/>
        </w:rPr>
        <w:t xml:space="preserve">Si les agents psychosociaux peuvent contribuer à combler les lacunes en matière de ressources humaines observées dans le cadre du dépistage du VIH, le nombre total de personnes disponibles en 2019-2020 sera probablement très insuffisant pour doter chaque établissement de santé publique d’un agent psychosocial. </w:t>
      </w:r>
      <w:r>
        <w:rPr>
          <w:rFonts w:ascii="Calibri" w:eastAsia="Calibri" w:hAnsi="Calibri" w:cs="Calibri"/>
          <w:b/>
          <w:lang w:bidi="fr-FR"/>
        </w:rPr>
        <w:t xml:space="preserve">Le renforcement du recrutement, de la formation et de l’encadrement des agents psychosociaux en 2019 et 2020 doit être une priorité absolue. </w:t>
      </w:r>
    </w:p>
    <w:p w14:paraId="374CDC22" w14:textId="77777777" w:rsidR="00395205" w:rsidRDefault="00395205" w:rsidP="00395205">
      <w:pPr>
        <w:jc w:val="both"/>
        <w:rPr>
          <w:rFonts w:ascii="Calibri" w:hAnsi="Calibri"/>
        </w:rPr>
      </w:pPr>
      <w:r>
        <w:rPr>
          <w:rFonts w:ascii="Calibri" w:eastAsia="Calibri" w:hAnsi="Calibri" w:cs="Calibri"/>
          <w:lang w:bidi="fr-FR"/>
        </w:rPr>
        <w:t xml:space="preserve">Si les systèmes existants de suivi et d’évaluation (S&amp;E) du dépistage du VIH constituent une base solide pour surveiller les progrès réalisés vers l’objectif du « premier 90 », des efforts doivent être déployés afin de garantir qu’un plus grand nombre de structures proposant des services de CDIS transmettent leurs données relatives au dépistage du VIH et que celles-ci soient ventilées par service (hospitalisations, planification familiale [PF], consultations relatives aux IST), du moins dans les établissements effectuant de nombreux tests par an.  </w:t>
      </w:r>
    </w:p>
    <w:p w14:paraId="1AA5E516" w14:textId="77777777" w:rsidR="00395205" w:rsidRDefault="00395205" w:rsidP="00395205">
      <w:pPr>
        <w:pStyle w:val="Titre4"/>
      </w:pPr>
      <w:r>
        <w:rPr>
          <w:lang w:bidi="fr-FR"/>
        </w:rPr>
        <w:lastRenderedPageBreak/>
        <w:t>Tableau 5.1 : Synthèse de l’analyse SWOT des facteurs entravant les progrès vers l’objectif du « premier 90 »</w:t>
      </w:r>
    </w:p>
    <w:p w14:paraId="69524393" w14:textId="77777777" w:rsidR="00395205" w:rsidRPr="00222A3D" w:rsidRDefault="00395205" w:rsidP="00395205">
      <w:pPr>
        <w:jc w:val="both"/>
        <w:rPr>
          <w:rFonts w:ascii="Calibri" w:hAnsi="Calibri"/>
        </w:rPr>
      </w:pPr>
      <w:r w:rsidRPr="007E209C">
        <w:rPr>
          <w:noProof/>
          <w:lang w:bidi="fr-FR"/>
        </w:rPr>
        <w:drawing>
          <wp:inline distT="0" distB="0" distL="0" distR="0" wp14:anchorId="67032880" wp14:editId="7F35B1D4">
            <wp:extent cx="5454595" cy="4109992"/>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5788" cy="4110891"/>
                    </a:xfrm>
                    <a:prstGeom prst="rect">
                      <a:avLst/>
                    </a:prstGeom>
                    <a:noFill/>
                    <a:ln>
                      <a:noFill/>
                    </a:ln>
                  </pic:spPr>
                </pic:pic>
              </a:graphicData>
            </a:graphic>
          </wp:inline>
        </w:drawing>
      </w:r>
    </w:p>
    <w:p w14:paraId="13F73C4A" w14:textId="77777777" w:rsidR="00395205" w:rsidRPr="0013084F" w:rsidRDefault="00395205" w:rsidP="00395205">
      <w:pPr>
        <w:jc w:val="both"/>
        <w:rPr>
          <w:rFonts w:ascii="Calibri" w:hAnsi="Calibri"/>
        </w:rPr>
      </w:pPr>
      <w:r>
        <w:rPr>
          <w:rFonts w:ascii="Calibri" w:eastAsia="Calibri" w:hAnsi="Calibri" w:cs="Calibri"/>
          <w:lang w:bidi="fr-FR"/>
        </w:rPr>
        <w:t>Par ailleurs, lors de l’atelier de consultation des parties prenantes, une série d’analyses SWOT a été réalisée afin de mieux comprendre les principales difficultés liées à la mise en œuvre de stratégies efficaces de dépistage du VIH. Les tableaux 5.2 à 5.4 ci-dessous synthétisent les principales conclusions de ces analyses.</w:t>
      </w:r>
    </w:p>
    <w:p w14:paraId="0ED0AD37" w14:textId="77777777" w:rsidR="00395205" w:rsidRDefault="00395205" w:rsidP="00395205">
      <w:pPr>
        <w:jc w:val="both"/>
      </w:pPr>
      <w:r>
        <w:rPr>
          <w:lang w:bidi="fr-FR"/>
        </w:rPr>
        <w:t xml:space="preserve">En ce qui concerne les </w:t>
      </w:r>
      <w:r>
        <w:rPr>
          <w:u w:val="single"/>
          <w:lang w:bidi="fr-FR"/>
        </w:rPr>
        <w:t>services de CDIS</w:t>
      </w:r>
      <w:r>
        <w:rPr>
          <w:lang w:bidi="fr-FR"/>
        </w:rPr>
        <w:t xml:space="preserve"> destinés à l’ensemble de la population, les recommandations essentielles issues de l’analyse sont la nécessité </w:t>
      </w:r>
      <w:r>
        <w:rPr>
          <w:b/>
          <w:lang w:bidi="fr-FR"/>
        </w:rPr>
        <w:t>d’actualiser les protocoles et les procédures nationaux en matière de CDIS</w:t>
      </w:r>
      <w:r>
        <w:rPr>
          <w:lang w:bidi="fr-FR"/>
        </w:rPr>
        <w:t xml:space="preserve">, afin que </w:t>
      </w:r>
      <w:r>
        <w:rPr>
          <w:b/>
          <w:lang w:bidi="fr-FR"/>
        </w:rPr>
        <w:t>davantage de structures offrent cette prestation</w:t>
      </w:r>
      <w:r>
        <w:rPr>
          <w:lang w:bidi="fr-FR"/>
        </w:rPr>
        <w:t xml:space="preserve"> – en tenant compte des études cartographiques en cours – et de veiller à ce que </w:t>
      </w:r>
      <w:r>
        <w:rPr>
          <w:b/>
          <w:lang w:bidi="fr-FR"/>
        </w:rPr>
        <w:t>ces services soient systématiquement proposés aux populations hautement prioritaires</w:t>
      </w:r>
      <w:r>
        <w:rPr>
          <w:lang w:bidi="fr-FR"/>
        </w:rPr>
        <w:t xml:space="preserve">. Le dépistage du VIH chez </w:t>
      </w:r>
      <w:r>
        <w:rPr>
          <w:b/>
          <w:lang w:bidi="fr-FR"/>
        </w:rPr>
        <w:t>les patients hospitalisés</w:t>
      </w:r>
      <w:r>
        <w:rPr>
          <w:lang w:bidi="fr-FR"/>
        </w:rPr>
        <w:t xml:space="preserve"> ou se présentant </w:t>
      </w:r>
      <w:r>
        <w:rPr>
          <w:b/>
          <w:lang w:bidi="fr-FR"/>
        </w:rPr>
        <w:t>aux urgences</w:t>
      </w:r>
      <w:r>
        <w:rPr>
          <w:lang w:bidi="fr-FR"/>
        </w:rPr>
        <w:t xml:space="preserve"> est prévu dans la politique nationale, mais n’est pas systématiquement mis en œuvre et apparaît donc comme une occasion manquée de détecter et de traiter des cas de séropositivité. </w:t>
      </w:r>
      <w:r>
        <w:rPr>
          <w:b/>
          <w:lang w:bidi="fr-FR"/>
        </w:rPr>
        <w:t xml:space="preserve">Les outils d’aide à la prise de décisions </w:t>
      </w:r>
      <w:r>
        <w:rPr>
          <w:lang w:bidi="fr-FR"/>
        </w:rPr>
        <w:t>dont disposent les agents de santé pour repérer les patients auxquels ils doivent proposer un dépistage du VIH ne sont pas systématiquement utilisés.</w:t>
      </w:r>
    </w:p>
    <w:p w14:paraId="7691D1A5" w14:textId="77777777" w:rsidR="00395205" w:rsidRDefault="00395205" w:rsidP="00395205">
      <w:pPr>
        <w:jc w:val="both"/>
      </w:pPr>
      <w:r w:rsidRPr="00D0283D">
        <w:rPr>
          <w:b/>
          <w:lang w:bidi="fr-FR"/>
        </w:rPr>
        <w:t xml:space="preserve">La notification assistée aux partenaires et le dépistage des proches des cas de référence </w:t>
      </w:r>
      <w:r w:rsidRPr="00D0283D">
        <w:rPr>
          <w:lang w:bidi="fr-FR"/>
        </w:rPr>
        <w:t>ne sont pas explicitement mentionnés dans les directives nationales ni répertoriés parmi les outils courants de collecte de données. Les parties prenantes signalent qu’ils sont rarement mis en place. Il est probable que les membres de la famille de la plupart des patients suivant un</w:t>
      </w:r>
      <w:r w:rsidRPr="00DB5178">
        <w:t xml:space="preserve"> </w:t>
      </w:r>
      <w:r w:rsidRPr="00DB5178">
        <w:rPr>
          <w:lang w:bidi="fr-FR"/>
        </w:rPr>
        <w:t>traitement antirétroviral</w:t>
      </w:r>
      <w:r>
        <w:rPr>
          <w:lang w:bidi="fr-FR"/>
        </w:rPr>
        <w:t xml:space="preserve"> </w:t>
      </w:r>
      <w:r w:rsidRPr="00D0283D">
        <w:rPr>
          <w:lang w:bidi="fr-FR"/>
        </w:rPr>
        <w:t>ne se sont pas vu proposer de dépistage du VIH.</w:t>
      </w:r>
    </w:p>
    <w:p w14:paraId="5324AFC2" w14:textId="77777777" w:rsidR="00395205" w:rsidRDefault="00395205" w:rsidP="00395205">
      <w:pPr>
        <w:pStyle w:val="Titre4"/>
        <w:rPr>
          <w:rFonts w:ascii="Calibri" w:hAnsi="Calibri"/>
          <w:sz w:val="28"/>
          <w:szCs w:val="28"/>
        </w:rPr>
      </w:pPr>
      <w:r>
        <w:rPr>
          <w:lang w:bidi="fr-FR"/>
        </w:rPr>
        <w:lastRenderedPageBreak/>
        <w:t xml:space="preserve">Tableau 5.2 : Synthèse de l’analyse SWOT des facteurs entravant la mise en œuvre du CDIS </w:t>
      </w:r>
    </w:p>
    <w:p w14:paraId="41779964" w14:textId="77777777" w:rsidR="00395205" w:rsidRDefault="00395205" w:rsidP="00395205">
      <w:pPr>
        <w:jc w:val="both"/>
        <w:rPr>
          <w:rFonts w:ascii="Calibri" w:hAnsi="Calibri"/>
          <w:sz w:val="28"/>
          <w:szCs w:val="28"/>
        </w:rPr>
      </w:pPr>
      <w:r w:rsidRPr="00E865D2">
        <w:rPr>
          <w:noProof/>
          <w:lang w:bidi="fr-FR"/>
        </w:rPr>
        <w:drawing>
          <wp:inline distT="0" distB="0" distL="0" distR="0" wp14:anchorId="49F41178" wp14:editId="334F0163">
            <wp:extent cx="5731510" cy="5011069"/>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5011069"/>
                    </a:xfrm>
                    <a:prstGeom prst="rect">
                      <a:avLst/>
                    </a:prstGeom>
                    <a:noFill/>
                    <a:ln>
                      <a:noFill/>
                    </a:ln>
                  </pic:spPr>
                </pic:pic>
              </a:graphicData>
            </a:graphic>
          </wp:inline>
        </w:drawing>
      </w:r>
    </w:p>
    <w:p w14:paraId="24446B18" w14:textId="77777777" w:rsidR="00395205" w:rsidRDefault="00395205" w:rsidP="00395205">
      <w:pPr>
        <w:jc w:val="both"/>
        <w:rPr>
          <w:rFonts w:ascii="Calibri" w:hAnsi="Calibri"/>
          <w:sz w:val="28"/>
          <w:szCs w:val="28"/>
        </w:rPr>
      </w:pPr>
    </w:p>
    <w:p w14:paraId="6FCD426B" w14:textId="77777777" w:rsidR="00395205" w:rsidRDefault="00395205" w:rsidP="00395205">
      <w:pPr>
        <w:jc w:val="both"/>
        <w:rPr>
          <w:rFonts w:ascii="Calibri" w:hAnsi="Calibri"/>
          <w:sz w:val="28"/>
          <w:szCs w:val="28"/>
        </w:rPr>
      </w:pPr>
    </w:p>
    <w:p w14:paraId="307A06BF" w14:textId="77777777" w:rsidR="00395205" w:rsidRPr="002C22AF" w:rsidRDefault="00395205" w:rsidP="00395205">
      <w:pPr>
        <w:jc w:val="both"/>
        <w:rPr>
          <w:rFonts w:ascii="Calibri" w:hAnsi="Calibri"/>
          <w:u w:val="single"/>
        </w:rPr>
      </w:pPr>
      <w:r w:rsidRPr="002C22AF">
        <w:rPr>
          <w:rFonts w:ascii="Calibri" w:eastAsia="Calibri" w:hAnsi="Calibri" w:cs="Calibri"/>
          <w:u w:val="single"/>
          <w:lang w:bidi="fr-FR"/>
        </w:rPr>
        <w:t xml:space="preserve">Services de dépistage du VIH pour les femmes enceintes dans le cadre des soins prénatals </w:t>
      </w:r>
    </w:p>
    <w:p w14:paraId="54619B3C" w14:textId="77777777" w:rsidR="00395205" w:rsidRPr="007D7615" w:rsidRDefault="00395205" w:rsidP="00395205">
      <w:pPr>
        <w:jc w:val="both"/>
        <w:rPr>
          <w:rFonts w:ascii="Calibri" w:hAnsi="Calibri"/>
        </w:rPr>
      </w:pPr>
      <w:r>
        <w:rPr>
          <w:rFonts w:ascii="Calibri" w:eastAsia="Calibri" w:hAnsi="Calibri" w:cs="Calibri"/>
          <w:lang w:bidi="fr-FR"/>
        </w:rPr>
        <w:t>Plusieurs points forts relatifs au programme de PTME ont été soulignés, notamment la cohérence de la stratégie nationale, la coordination entre le programme et ses partenaires et la solide implantation de la PTME dans la région. Des fonds supplémentaires de l’Agence des États-Unis pour le développement international peuvent être mobilisés dans certaines régions pour des projets relatifs à la santé maternelle, afin d’étendre la portée du dépistage du VIH dans le cadre des soins prénatals.</w:t>
      </w:r>
    </w:p>
    <w:p w14:paraId="3F8D426F" w14:textId="77777777" w:rsidR="00395205" w:rsidRDefault="00395205" w:rsidP="00395205">
      <w:pPr>
        <w:jc w:val="both"/>
        <w:rPr>
          <w:rFonts w:ascii="Calibri" w:hAnsi="Calibri"/>
        </w:rPr>
      </w:pPr>
      <w:r w:rsidRPr="007D7615">
        <w:rPr>
          <w:rFonts w:ascii="Calibri" w:eastAsia="Calibri" w:hAnsi="Calibri" w:cs="Calibri"/>
          <w:lang w:bidi="fr-FR"/>
        </w:rPr>
        <w:t>Parmi les principaux obstacles à une prestation optimale des services de PTME figurent la faible motivation du personnel, l’encadrement insuffisant des agents de santé communautaires et les fréquentes ruptures de stock dans certaines structures. La stigmatisation généralisée du VIH freine le recours au dépistage dans les services de PTME où il est proposé. Les difficultés liées à la divulgation et à la notification aux partenaires nuisent au dépistage des proches des cas de référence. Les évaluations en cours des services de PTME doivent aboutir à des recommandations spécifiques à chaque site afin d’augmenter le recours au dépistage du VIH.</w:t>
      </w:r>
    </w:p>
    <w:p w14:paraId="293A7CE9" w14:textId="77777777" w:rsidR="00395205" w:rsidRPr="00E65B19" w:rsidRDefault="00395205" w:rsidP="00395205">
      <w:pPr>
        <w:jc w:val="both"/>
        <w:rPr>
          <w:color w:val="000000"/>
        </w:rPr>
      </w:pPr>
      <w:r>
        <w:rPr>
          <w:lang w:bidi="fr-FR"/>
        </w:rPr>
        <w:lastRenderedPageBreak/>
        <w:t>La notification volontaire assistée aux partenaires n’est pas systématiquement proposée aux femmes testées séropositives lors d’une consultation prénatale. Inversement, elle est parfois proposée aux femmes testées séronégatives dans le même contexte. Chez les partenaires qui ont passé un test de dépistage du VIH, le rendement est extrêmement variable et la qualité des données limitée. La politique nationale doit s’aligner sur la ferme recommandation de l’OMS selon laquelle la notification volontaire assistée aux partenaires doit systématiquement être proposée dans le cadre d’une prestation globale de dépistage et de soins. Le dépistage des coépouses et de tous les enfants doit lui aussi être systématiquement proposé dans le cas d’un diagnostic de séropositivité.</w:t>
      </w:r>
    </w:p>
    <w:p w14:paraId="43D6AF4A" w14:textId="77777777" w:rsidR="00395205" w:rsidRPr="001532A5" w:rsidRDefault="00395205" w:rsidP="00395205">
      <w:pPr>
        <w:jc w:val="both"/>
        <w:rPr>
          <w:color w:val="000000"/>
        </w:rPr>
      </w:pPr>
      <w:r>
        <w:rPr>
          <w:lang w:bidi="fr-FR"/>
        </w:rPr>
        <w:t>Les données issues du programme pilote de fourniture de tests d’</w:t>
      </w:r>
      <w:proofErr w:type="spellStart"/>
      <w:r>
        <w:rPr>
          <w:lang w:bidi="fr-FR"/>
        </w:rPr>
        <w:t>autodépistage</w:t>
      </w:r>
      <w:proofErr w:type="spellEnd"/>
      <w:r>
        <w:rPr>
          <w:lang w:bidi="fr-FR"/>
        </w:rPr>
        <w:t xml:space="preserve"> pour les partenaires des femmes enceintes séropositives révèlent une faible adhésion mais un rendement élevé. Un déploiement progressif de cette pratique dans certaines structures de PTME fréquentées par un grand nombre de femmes enceintes séropositives est recommandé, dès lors que MSF peut aider à sa mise en œuvre, conformément aux recommandations de l’OMS.</w:t>
      </w:r>
    </w:p>
    <w:p w14:paraId="1E0F9003" w14:textId="77777777" w:rsidR="00395205" w:rsidRDefault="00395205" w:rsidP="00395205">
      <w:pPr>
        <w:jc w:val="both"/>
        <w:rPr>
          <w:lang w:bidi="fr-FR"/>
        </w:rPr>
      </w:pPr>
      <w:r>
        <w:rPr>
          <w:lang w:bidi="fr-FR"/>
        </w:rPr>
        <w:t xml:space="preserve">Un solide appui des partenaires d’exécution et un système rigoureux de suivi et d’évaluation fonctionnant de manière satisfaisante font partie des facteurs favorables au programme de PTME. En outre, la Guinée dispose de fonds importants pour la santé maternelle et infantile, offrant un potentiel d’optimisation des services, ainsi que d’agents de santé communautaires déjà mobilisés pour inciter les femmes à accoucher dans des établissements de santé. </w:t>
      </w:r>
    </w:p>
    <w:p w14:paraId="56148CAB" w14:textId="77777777" w:rsidR="00395205" w:rsidRDefault="00395205" w:rsidP="00395205">
      <w:pPr>
        <w:jc w:val="both"/>
      </w:pPr>
      <w:r>
        <w:rPr>
          <w:lang w:bidi="fr-FR"/>
        </w:rPr>
        <w:t>Tableau 5.3 : Synthèse de l’analyse SWOT des facteurs entravant la mise en œuvre de la PTME</w:t>
      </w:r>
      <w:r w:rsidRPr="00CF48D1">
        <w:rPr>
          <w:noProof/>
          <w:lang w:bidi="fr-FR"/>
        </w:rPr>
        <w:t xml:space="preserve"> </w:t>
      </w:r>
      <w:r w:rsidRPr="0046333F">
        <w:rPr>
          <w:noProof/>
          <w:lang w:bidi="fr-FR"/>
        </w:rPr>
        <w:drawing>
          <wp:inline distT="0" distB="0" distL="0" distR="0" wp14:anchorId="78F4EFCE" wp14:editId="67A09E8E">
            <wp:extent cx="5731510" cy="3865880"/>
            <wp:effectExtent l="0" t="0" r="254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865880"/>
                    </a:xfrm>
                    <a:prstGeom prst="rect">
                      <a:avLst/>
                    </a:prstGeom>
                    <a:noFill/>
                    <a:ln>
                      <a:noFill/>
                    </a:ln>
                  </pic:spPr>
                </pic:pic>
              </a:graphicData>
            </a:graphic>
          </wp:inline>
        </w:drawing>
      </w:r>
    </w:p>
    <w:p w14:paraId="6D656432" w14:textId="77777777" w:rsidR="00395205" w:rsidRPr="002C22AF" w:rsidRDefault="00395205" w:rsidP="00395205">
      <w:pPr>
        <w:jc w:val="both"/>
        <w:rPr>
          <w:rFonts w:ascii="Calibri" w:hAnsi="Calibri"/>
          <w:u w:val="single"/>
        </w:rPr>
      </w:pPr>
      <w:r>
        <w:rPr>
          <w:rFonts w:ascii="Calibri" w:eastAsia="Calibri" w:hAnsi="Calibri" w:cs="Calibri"/>
          <w:u w:val="single"/>
          <w:lang w:bidi="fr-FR"/>
        </w:rPr>
        <w:t>Populations clés et vulnérables : services adaptés et campagnes mobiles</w:t>
      </w:r>
    </w:p>
    <w:p w14:paraId="65C1B777" w14:textId="77777777" w:rsidR="00395205" w:rsidRPr="00921A97" w:rsidRDefault="00395205" w:rsidP="00395205">
      <w:pPr>
        <w:jc w:val="both"/>
        <w:rPr>
          <w:u w:val="single"/>
        </w:rPr>
      </w:pPr>
      <w:r>
        <w:rPr>
          <w:lang w:bidi="fr-FR"/>
        </w:rPr>
        <w:t xml:space="preserve">Les services consacrés aux populations clés sont relativement bien financés et appuyés actuellement par des partenaires de mise en œuvre et des organisations non gouvernementales telles que Plan International, FMG et MSF. Ils bénéficient d’autres appuis, parmi lesquels de solides réseaux de pairs d’hommes ayant des relations sexuelles avec des hommes et de professionnelles du sexe, qui </w:t>
      </w:r>
      <w:r>
        <w:rPr>
          <w:lang w:bidi="fr-FR"/>
        </w:rPr>
        <w:lastRenderedPageBreak/>
        <w:t xml:space="preserve">permettent d’atteindre les membres invisibles des populations clés. Toutefois, ces communautés restent fortement stigmatisées, ce qui complique leur accès aux services de dépistage du VIH et génère de faibles taux d’utilisation de ces services dans les cliniques traditionnelles. </w:t>
      </w:r>
    </w:p>
    <w:p w14:paraId="53A8403F" w14:textId="77777777" w:rsidR="00395205" w:rsidRDefault="00395205" w:rsidP="00395205">
      <w:pPr>
        <w:jc w:val="both"/>
      </w:pPr>
      <w:r>
        <w:rPr>
          <w:lang w:bidi="fr-FR"/>
        </w:rPr>
        <w:t xml:space="preserve">Actuellement, le manque de stratégies relatives au dépistage du VIH chez les partenaires sexuels, les coépouses et les enfants des membres des populations clés et vulnérables diagnostiquées séropositives constitue un point faible. Susceptibles de produire des rendements élevés, de telles approches doivent devenir une priorité.  </w:t>
      </w:r>
    </w:p>
    <w:p w14:paraId="78B59FED" w14:textId="77777777" w:rsidR="00395205" w:rsidRPr="00471C92" w:rsidRDefault="00395205" w:rsidP="00395205">
      <w:pPr>
        <w:jc w:val="both"/>
      </w:pPr>
      <w:r>
        <w:rPr>
          <w:lang w:bidi="fr-FR"/>
        </w:rPr>
        <w:t>L’orientation des membres des populations clés et vulnérables diagnostiqués séropositifs par le biais de modèles de dépistage communautaires vers les thérapies antirétrovirales est largement perçue comme sous-optimale par les parties prenantes. Cette approche doit donc être renforcée. Il convient de trouver des solutions visant à introduire l’</w:t>
      </w:r>
      <w:proofErr w:type="spellStart"/>
      <w:r>
        <w:rPr>
          <w:lang w:bidi="fr-FR"/>
        </w:rPr>
        <w:t>autodépistage</w:t>
      </w:r>
      <w:proofErr w:type="spellEnd"/>
      <w:r>
        <w:rPr>
          <w:lang w:bidi="fr-FR"/>
        </w:rPr>
        <w:t xml:space="preserve"> chez les populations clés et leur entourage. </w:t>
      </w:r>
    </w:p>
    <w:p w14:paraId="6AC54EA4" w14:textId="77777777" w:rsidR="00395205" w:rsidRDefault="00395205" w:rsidP="00395205">
      <w:pPr>
        <w:jc w:val="both"/>
        <w:rPr>
          <w:rFonts w:ascii="Calibri" w:hAnsi="Calibri"/>
          <w:u w:val="single"/>
        </w:rPr>
      </w:pPr>
    </w:p>
    <w:p w14:paraId="2E66DA0C" w14:textId="77777777" w:rsidR="00395205" w:rsidRDefault="00395205" w:rsidP="00395205">
      <w:pPr>
        <w:pStyle w:val="Titre4"/>
        <w:spacing w:line="240" w:lineRule="auto"/>
      </w:pPr>
      <w:r>
        <w:rPr>
          <w:lang w:bidi="fr-FR"/>
        </w:rPr>
        <w:t>Tableau 5.4 : Synthèse de l’analyse SWOT des facteurs entravant la mise en œuvre des services de dépistage pour les populations clés et vulnérables</w:t>
      </w:r>
    </w:p>
    <w:p w14:paraId="3AC7CA90" w14:textId="77777777" w:rsidR="00395205" w:rsidRPr="00EF127C" w:rsidRDefault="00395205" w:rsidP="00395205">
      <w:pPr>
        <w:jc w:val="both"/>
        <w:rPr>
          <w:rFonts w:ascii="Calibri" w:hAnsi="Calibri"/>
          <w:sz w:val="28"/>
          <w:szCs w:val="28"/>
        </w:rPr>
      </w:pPr>
      <w:r w:rsidRPr="006F0456">
        <w:rPr>
          <w:noProof/>
          <w:lang w:bidi="fr-FR"/>
        </w:rPr>
        <w:drawing>
          <wp:inline distT="0" distB="0" distL="0" distR="0" wp14:anchorId="17EF9D02" wp14:editId="5E670D06">
            <wp:extent cx="5731510" cy="3614213"/>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614213"/>
                    </a:xfrm>
                    <a:prstGeom prst="rect">
                      <a:avLst/>
                    </a:prstGeom>
                    <a:noFill/>
                    <a:ln>
                      <a:noFill/>
                    </a:ln>
                  </pic:spPr>
                </pic:pic>
              </a:graphicData>
            </a:graphic>
          </wp:inline>
        </w:drawing>
      </w:r>
    </w:p>
    <w:p w14:paraId="1DB2C5BD" w14:textId="77777777" w:rsidR="00395205" w:rsidRDefault="00395205" w:rsidP="00395205">
      <w:r>
        <w:br w:type="page"/>
      </w:r>
    </w:p>
    <w:p w14:paraId="6E58ABD0" w14:textId="77777777" w:rsidR="00395205" w:rsidRDefault="00395205" w:rsidP="00395205">
      <w:pPr>
        <w:pStyle w:val="Titre1"/>
      </w:pPr>
      <w:bookmarkStart w:id="33" w:name="_Toc8400032"/>
      <w:r>
        <w:rPr>
          <w:lang w:bidi="fr-FR"/>
        </w:rPr>
        <w:lastRenderedPageBreak/>
        <w:t>6. Analyse des politiques nationales relatives au dépistage du VIH</w:t>
      </w:r>
      <w:bookmarkEnd w:id="33"/>
    </w:p>
    <w:p w14:paraId="5AC447B1" w14:textId="77777777" w:rsidR="00395205" w:rsidRDefault="00395205" w:rsidP="00395205">
      <w:pPr>
        <w:jc w:val="both"/>
        <w:rPr>
          <w:rFonts w:ascii="Calibri" w:hAnsi="Calibri"/>
        </w:rPr>
      </w:pPr>
      <w:r w:rsidRPr="007374CD">
        <w:rPr>
          <w:rFonts w:ascii="Calibri" w:eastAsia="Calibri" w:hAnsi="Calibri" w:cs="Calibri"/>
          <w:lang w:bidi="fr-FR"/>
        </w:rPr>
        <w:t xml:space="preserve">L’analyse des politiques de dépistage du VIH en vigueur a mis en lumière certaines lacunes et incohérences par rapport aux recommandations actuelles de l’OMS. Il ressort des consultations menées auprès des parties prenantes que la mise en œuvre de certaines politiques est loin d’être rigoureuse ou harmonieuse (figure 6.1). </w:t>
      </w:r>
    </w:p>
    <w:p w14:paraId="36FF3854" w14:textId="77777777" w:rsidR="00395205" w:rsidRDefault="00395205" w:rsidP="00395205">
      <w:pPr>
        <w:jc w:val="both"/>
        <w:rPr>
          <w:rFonts w:ascii="Calibri" w:hAnsi="Calibri"/>
        </w:rPr>
      </w:pPr>
      <w:r>
        <w:rPr>
          <w:rFonts w:ascii="Calibri" w:eastAsia="Calibri" w:hAnsi="Calibri" w:cs="Calibri"/>
          <w:lang w:bidi="fr-FR"/>
        </w:rPr>
        <w:t xml:space="preserve">L’algorithme de dépistage du VIH est recommandé en Guinée dans les zones à prévalence élevée, et doit être revu afin de refléter les directives de l’OMS concernant les zones à faible prévalence. Sauf quand il a lieu dans le cadre des soins prénatals, le dépistage du VIH est assuré par des techniciens de laboratoire qui ne s’occupent pas de la fourniture du diagnostic présomptif ou de conseils après les tests. Une nouvelle politique, assortie d’un manuel de formation, vise à aider les agents de santé non professionnels à prendre en charge le dépistage du VIH et le soutien psychologique aux PVVIH, mais sa mise en œuvre n’en est qu’à ses premiers pas. </w:t>
      </w:r>
    </w:p>
    <w:p w14:paraId="7820BEFC" w14:textId="77777777" w:rsidR="00395205" w:rsidRDefault="00395205" w:rsidP="00395205">
      <w:pPr>
        <w:jc w:val="both"/>
        <w:rPr>
          <w:rFonts w:ascii="Calibri" w:hAnsi="Calibri"/>
        </w:rPr>
      </w:pPr>
      <w:r>
        <w:rPr>
          <w:rFonts w:ascii="Calibri" w:eastAsia="Calibri" w:hAnsi="Calibri" w:cs="Calibri"/>
          <w:lang w:bidi="fr-FR"/>
        </w:rPr>
        <w:t>La politique nationale relative au CDIS, bien que rigoureuse et accompagnée d’un manuel de formation, doit être mise à jour pour tenir compte de l’évolution récente des instructions de l’OMS. Plus particulièrement, il n’est fait aucune mention de la notification assistée aux partenaires et de leur dépistage ni des individus séropositifs. En outre, il est ardu de déterminer si une formation de remise à niveau est en place ou la manière dont la supervision est assurée.</w:t>
      </w:r>
    </w:p>
    <w:p w14:paraId="1B4BCCE6" w14:textId="77777777" w:rsidR="00395205" w:rsidRDefault="00395205" w:rsidP="00395205">
      <w:pPr>
        <w:jc w:val="both"/>
        <w:rPr>
          <w:rFonts w:ascii="Calibri" w:hAnsi="Calibri"/>
        </w:rPr>
      </w:pPr>
      <w:r>
        <w:rPr>
          <w:rFonts w:ascii="Calibri" w:eastAsia="Calibri" w:hAnsi="Calibri" w:cs="Calibri"/>
          <w:lang w:bidi="fr-FR"/>
        </w:rPr>
        <w:t xml:space="preserve">Si le plan national visant l’élimination de la transmission mère-enfant fait siennes la plupart des recommandations actuelles de l’OMS, il comprend également la répétition du dépistage chez les femmes enceintes séronégatives, qui n’est pourtant pas préconisée dans les zones à faible prévalence (sauf pour les femmes enceintes appartenant aux populations clés ou dont le partenaire est séropositif). La notification assistée aux partenaires est conseillée quel que soit le statut VIH de la femme, et doit faire l’objet d’une mise à jour afin d’accorder une attention particulière aux femmes séropositives. Dans la pratique, les approches hétérogènes et la mise en œuvre inégale de la notification aux partenaires et du dépistage indicateur dans le cadre du programme de PTME se traduisent par une couverture insuffisante. </w:t>
      </w:r>
    </w:p>
    <w:p w14:paraId="46005711" w14:textId="77777777" w:rsidR="00395205" w:rsidRDefault="00395205" w:rsidP="00395205">
      <w:pPr>
        <w:jc w:val="both"/>
        <w:rPr>
          <w:rFonts w:ascii="Calibri" w:hAnsi="Calibri"/>
        </w:rPr>
      </w:pPr>
      <w:r>
        <w:rPr>
          <w:rFonts w:ascii="Calibri" w:eastAsia="Calibri" w:hAnsi="Calibri" w:cs="Calibri"/>
          <w:lang w:bidi="fr-FR"/>
        </w:rPr>
        <w:t>Il convient de signaler que les recommandations concernant les services de dépistage du VIH pour les populations clés sont expressément formulées dans les documents d’orientation nationale et sont appliquées de manière satisfaisante. L’</w:t>
      </w:r>
      <w:proofErr w:type="spellStart"/>
      <w:r>
        <w:rPr>
          <w:rFonts w:ascii="Calibri" w:eastAsia="Calibri" w:hAnsi="Calibri" w:cs="Calibri"/>
          <w:lang w:bidi="fr-FR"/>
        </w:rPr>
        <w:t>autodépistage</w:t>
      </w:r>
      <w:proofErr w:type="spellEnd"/>
      <w:r>
        <w:rPr>
          <w:rFonts w:ascii="Calibri" w:eastAsia="Calibri" w:hAnsi="Calibri" w:cs="Calibri"/>
          <w:lang w:bidi="fr-FR"/>
        </w:rPr>
        <w:t xml:space="preserve"> des populations clés n’est pas encore mis en pratique, mais des politiques nationales encadrant cette méthode sont en cours d’élaboration et devraient être appliquées d’ici la fin 2020. </w:t>
      </w:r>
    </w:p>
    <w:p w14:paraId="1618F3E8" w14:textId="77777777" w:rsidR="00395205" w:rsidRPr="007374CD" w:rsidRDefault="00395205" w:rsidP="00395205">
      <w:pPr>
        <w:pStyle w:val="Titre4"/>
      </w:pPr>
      <w:r>
        <w:rPr>
          <w:lang w:bidi="fr-FR"/>
        </w:rPr>
        <w:lastRenderedPageBreak/>
        <w:t>Figure 6.1 : Aperçu de l’alignement des politiques et pratiques nationales sur les recommandations de l’OMS</w:t>
      </w:r>
    </w:p>
    <w:p w14:paraId="5651BEC2" w14:textId="77777777" w:rsidR="00395205" w:rsidRDefault="00395205" w:rsidP="00395205">
      <w:pPr>
        <w:rPr>
          <w:b/>
          <w:sz w:val="26"/>
          <w:szCs w:val="26"/>
        </w:rPr>
      </w:pPr>
      <w:r w:rsidRPr="00467236">
        <w:rPr>
          <w:noProof/>
          <w:lang w:bidi="fr-FR"/>
        </w:rPr>
        <w:drawing>
          <wp:inline distT="0" distB="0" distL="0" distR="0" wp14:anchorId="326B7AF8" wp14:editId="60594320">
            <wp:extent cx="4940300" cy="3331350"/>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1393" cy="3332087"/>
                    </a:xfrm>
                    <a:prstGeom prst="rect">
                      <a:avLst/>
                    </a:prstGeom>
                    <a:noFill/>
                    <a:ln>
                      <a:noFill/>
                    </a:ln>
                  </pic:spPr>
                </pic:pic>
              </a:graphicData>
            </a:graphic>
          </wp:inline>
        </w:drawing>
      </w:r>
    </w:p>
    <w:p w14:paraId="190FEA27" w14:textId="77777777" w:rsidR="00395205" w:rsidRDefault="00395205" w:rsidP="00395205">
      <w:pPr>
        <w:rPr>
          <w:i/>
          <w:sz w:val="18"/>
          <w:szCs w:val="18"/>
          <w:lang w:bidi="fr-FR"/>
        </w:rPr>
      </w:pPr>
      <w:r w:rsidRPr="00823DA1">
        <w:rPr>
          <w:i/>
          <w:noProof/>
          <w:sz w:val="18"/>
          <w:szCs w:val="18"/>
          <w:lang w:bidi="fr-FR"/>
        </w:rPr>
        <mc:AlternateContent>
          <mc:Choice Requires="wps">
            <w:drawing>
              <wp:anchor distT="0" distB="0" distL="114300" distR="114300" simplePos="0" relativeHeight="251670016" behindDoc="0" locked="0" layoutInCell="1" allowOverlap="1" wp14:anchorId="5B7103F5" wp14:editId="19B1A5F9">
                <wp:simplePos x="0" y="0"/>
                <wp:positionH relativeFrom="column">
                  <wp:posOffset>1943100</wp:posOffset>
                </wp:positionH>
                <wp:positionV relativeFrom="paragraph">
                  <wp:posOffset>191135</wp:posOffset>
                </wp:positionV>
                <wp:extent cx="107950" cy="107950"/>
                <wp:effectExtent l="0" t="0" r="25400" b="25400"/>
                <wp:wrapNone/>
                <wp:docPr id="226" name="Rectangle 7"/>
                <wp:cNvGraphicFramePr/>
                <a:graphic xmlns:a="http://schemas.openxmlformats.org/drawingml/2006/main">
                  <a:graphicData uri="http://schemas.microsoft.com/office/word/2010/wordprocessingShape">
                    <wps:wsp>
                      <wps:cNvSpPr/>
                      <wps:spPr>
                        <a:xfrm>
                          <a:off x="0" y="0"/>
                          <a:ext cx="107950" cy="1079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D23BA" id="Rectangle 7" o:spid="_x0000_s1026" style="position:absolute;margin-left:153pt;margin-top:15.05pt;width:8.5pt;height: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" fillcolor="#ffc000 [3207]" strokecolor="#1f4d78 [1604]" strokeweight="1pt"/>
            </w:pict>
          </mc:Fallback>
        </mc:AlternateContent>
      </w:r>
      <w:r w:rsidRPr="00823DA1">
        <w:rPr>
          <w:i/>
          <w:noProof/>
          <w:sz w:val="18"/>
          <w:szCs w:val="18"/>
          <w:lang w:bidi="fr-FR"/>
        </w:rPr>
        <mc:AlternateContent>
          <mc:Choice Requires="wps">
            <w:drawing>
              <wp:anchor distT="0" distB="0" distL="114300" distR="114300" simplePos="0" relativeHeight="251667968" behindDoc="0" locked="0" layoutInCell="1" allowOverlap="1" wp14:anchorId="4F38FE60" wp14:editId="58837633">
                <wp:simplePos x="0" y="0"/>
                <wp:positionH relativeFrom="column">
                  <wp:posOffset>1073150</wp:posOffset>
                </wp:positionH>
                <wp:positionV relativeFrom="paragraph">
                  <wp:posOffset>184785</wp:posOffset>
                </wp:positionV>
                <wp:extent cx="95250" cy="127000"/>
                <wp:effectExtent l="0" t="0" r="19050" b="25400"/>
                <wp:wrapNone/>
                <wp:docPr id="29" name="Rectangle 7"/>
                <wp:cNvGraphicFramePr/>
                <a:graphic xmlns:a="http://schemas.openxmlformats.org/drawingml/2006/main">
                  <a:graphicData uri="http://schemas.microsoft.com/office/word/2010/wordprocessingShape">
                    <wps:wsp>
                      <wps:cNvSpPr/>
                      <wps:spPr>
                        <a:xfrm>
                          <a:off x="0" y="0"/>
                          <a:ext cx="95250" cy="1270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420D0" id="Rectangle 7" o:spid="_x0000_s1026" style="position:absolute;margin-left:84.5pt;margin-top:14.55pt;width:7.5pt;height:1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" fillcolor="#92d050" strokecolor="#1f4d78 [1604]" strokeweight="1pt"/>
            </w:pict>
          </mc:Fallback>
        </mc:AlternateContent>
      </w:r>
      <w:r w:rsidRPr="00823DA1">
        <w:rPr>
          <w:i/>
          <w:noProof/>
          <w:sz w:val="18"/>
          <w:szCs w:val="18"/>
          <w:lang w:bidi="fr-FR"/>
        </w:rPr>
        <mc:AlternateContent>
          <mc:Choice Requires="wps">
            <w:drawing>
              <wp:anchor distT="0" distB="0" distL="114300" distR="114300" simplePos="0" relativeHeight="251665920" behindDoc="0" locked="0" layoutInCell="1" allowOverlap="1" wp14:anchorId="465A6DC0" wp14:editId="163135D2">
                <wp:simplePos x="0" y="0"/>
                <wp:positionH relativeFrom="column">
                  <wp:posOffset>444500</wp:posOffset>
                </wp:positionH>
                <wp:positionV relativeFrom="paragraph">
                  <wp:posOffset>178435</wp:posOffset>
                </wp:positionV>
                <wp:extent cx="107950" cy="114300"/>
                <wp:effectExtent l="0" t="0" r="25400" b="19050"/>
                <wp:wrapNone/>
                <wp:docPr id="27" name="Rectangle 7"/>
                <wp:cNvGraphicFramePr/>
                <a:graphic xmlns:a="http://schemas.openxmlformats.org/drawingml/2006/main">
                  <a:graphicData uri="http://schemas.microsoft.com/office/word/2010/wordprocessingShape">
                    <wps:wsp>
                      <wps:cNvSpPr/>
                      <wps:spPr>
                        <a:xfrm>
                          <a:off x="0" y="0"/>
                          <a:ext cx="107950" cy="1143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98F0A" id="Rectangle 7" o:spid="_x0000_s1026" style="position:absolute;margin-left:35pt;margin-top:14.05pt;width:8.5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" fillcolor="#c00000" strokecolor="#1f4d78 [1604]" strokeweight="1pt"/>
            </w:pict>
          </mc:Fallback>
        </mc:AlternateContent>
      </w:r>
      <w:r w:rsidRPr="00823DA1">
        <w:rPr>
          <w:i/>
          <w:noProof/>
          <w:sz w:val="18"/>
          <w:szCs w:val="18"/>
          <w:lang w:bidi="fr-FR"/>
        </w:rPr>
        <mc:AlternateContent>
          <mc:Choice Requires="wps">
            <w:drawing>
              <wp:anchor distT="0" distB="0" distL="114300" distR="114300" simplePos="0" relativeHeight="251663872" behindDoc="0" locked="0" layoutInCell="1" allowOverlap="1" wp14:anchorId="78EA6F4F" wp14:editId="54BD287A">
                <wp:simplePos x="0" y="0"/>
                <wp:positionH relativeFrom="column">
                  <wp:posOffset>69850</wp:posOffset>
                </wp:positionH>
                <wp:positionV relativeFrom="paragraph">
                  <wp:posOffset>74295</wp:posOffset>
                </wp:positionV>
                <wp:extent cx="6080760" cy="369332"/>
                <wp:effectExtent l="0" t="0" r="0" b="0"/>
                <wp:wrapNone/>
                <wp:docPr id="18" name="TextBox 2"/>
                <wp:cNvGraphicFramePr/>
                <a:graphic xmlns:a="http://schemas.openxmlformats.org/drawingml/2006/main">
                  <a:graphicData uri="http://schemas.microsoft.com/office/word/2010/wordprocessingShape">
                    <wps:wsp>
                      <wps:cNvSpPr txBox="1"/>
                      <wps:spPr>
                        <a:xfrm>
                          <a:off x="0" y="0"/>
                          <a:ext cx="6080760" cy="369332"/>
                        </a:xfrm>
                        <a:prstGeom prst="rect">
                          <a:avLst/>
                        </a:prstGeom>
                        <a:noFill/>
                      </wps:spPr>
                      <wps:txbx>
                        <w:txbxContent>
                          <w:p w14:paraId="575EB01C" w14:textId="77777777" w:rsidR="00A612E9" w:rsidRPr="004B1305" w:rsidRDefault="00A612E9" w:rsidP="00395205">
                            <w:pPr>
                              <w:pStyle w:val="NormalWeb"/>
                              <w:spacing w:before="0" w:beforeAutospacing="0" w:after="0" w:afterAutospacing="0"/>
                            </w:pPr>
                            <w:r w:rsidRPr="004B1305">
                              <w:rPr>
                                <w:rFonts w:asciiTheme="minorHAnsi" w:eastAsia="Calibri" w:hAnsi="Calibri" w:cstheme="minorBidi"/>
                                <w:color w:val="000000" w:themeColor="text1"/>
                                <w:kern w:val="24"/>
                                <w:lang w:bidi="fr-FR"/>
                              </w:rPr>
                              <w:t>non            oui             partiel</w:t>
                            </w:r>
                          </w:p>
                        </w:txbxContent>
                      </wps:txbx>
                      <wps:bodyPr wrap="square" rtlCol="0">
                        <a:spAutoFit/>
                      </wps:bodyPr>
                    </wps:wsp>
                  </a:graphicData>
                </a:graphic>
              </wp:anchor>
            </w:drawing>
          </mc:Choice>
          <mc:Fallback>
            <w:pict>
              <v:shape w14:anchorId="78EA6F4F" id="TextBox 2" o:spid="_x0000_s1041" type="#_x0000_t202" style="position:absolute;margin-left:5.5pt;margin-top:5.85pt;width:478.8pt;height:29.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" filled="f" stroked="f">
                <v:textbox style="mso-fit-shape-to-text:t">
                  <w:txbxContent>
                    <w:p w14:paraId="575EB01C" w14:textId="77777777" w:rsidR="00A612E9" w:rsidRPr="004B1305" w:rsidRDefault="00A612E9" w:rsidP="00395205">
                      <w:pPr>
                        <w:pStyle w:val="NormalWeb"/>
                        <w:spacing w:before="0" w:beforeAutospacing="0" w:after="0" w:afterAutospacing="0"/>
                      </w:pPr>
                      <w:r w:rsidRPr="004B1305">
                        <w:rPr>
                          <w:rFonts w:asciiTheme="minorHAnsi" w:eastAsia="Calibri" w:hAnsi="Calibri" w:cstheme="minorBidi"/>
                          <w:color w:val="000000" w:themeColor="text1"/>
                          <w:kern w:val="24"/>
                          <w:lang w:bidi="fr-FR"/>
                        </w:rPr>
                        <w:t>non            oui             partiel</w:t>
                      </w:r>
                    </w:p>
                  </w:txbxContent>
                </v:textbox>
              </v:shape>
            </w:pict>
          </mc:Fallback>
        </mc:AlternateContent>
      </w:r>
      <w:r>
        <w:rPr>
          <w:i/>
          <w:sz w:val="18"/>
          <w:szCs w:val="18"/>
          <w:lang w:bidi="fr-FR"/>
        </w:rPr>
        <w:t>* FE – Femmes enceintes</w:t>
      </w:r>
    </w:p>
    <w:p w14:paraId="12968D32" w14:textId="77777777" w:rsidR="00395205" w:rsidRDefault="00395205" w:rsidP="00395205">
      <w:pPr>
        <w:rPr>
          <w:i/>
          <w:sz w:val="18"/>
          <w:szCs w:val="18"/>
          <w:lang w:bidi="fr-FR"/>
        </w:rPr>
      </w:pPr>
      <w:r>
        <w:rPr>
          <w:i/>
          <w:sz w:val="18"/>
          <w:szCs w:val="18"/>
          <w:lang w:bidi="fr-FR"/>
        </w:rPr>
        <w:br w:type="page"/>
      </w:r>
    </w:p>
    <w:p w14:paraId="34B38564" w14:textId="77777777" w:rsidR="00395205" w:rsidRPr="0044102A" w:rsidRDefault="00395205" w:rsidP="00395205">
      <w:pPr>
        <w:pStyle w:val="Titre1"/>
      </w:pPr>
      <w:bookmarkStart w:id="34" w:name="_Toc8400033"/>
      <w:r>
        <w:rPr>
          <w:lang w:bidi="fr-FR"/>
        </w:rPr>
        <w:lastRenderedPageBreak/>
        <w:t>7. Principales recommandations concernant le dépistage du VIH en Guinée</w:t>
      </w:r>
      <w:bookmarkEnd w:id="34"/>
    </w:p>
    <w:p w14:paraId="66111914" w14:textId="77777777" w:rsidR="00395205" w:rsidRPr="009E610B" w:rsidRDefault="00395205" w:rsidP="00395205">
      <w:pPr>
        <w:jc w:val="both"/>
        <w:rPr>
          <w:sz w:val="4"/>
          <w:szCs w:val="4"/>
        </w:rPr>
      </w:pPr>
    </w:p>
    <w:p w14:paraId="38FC069B" w14:textId="77777777" w:rsidR="00395205" w:rsidRPr="00F261AE" w:rsidRDefault="00395205" w:rsidP="00395205">
      <w:pPr>
        <w:jc w:val="both"/>
      </w:pPr>
      <w:r>
        <w:rPr>
          <w:lang w:bidi="fr-FR"/>
        </w:rPr>
        <w:t>Des recommandations importantes sur le dépistage du VIH en Guinée pour les quatre principales populations cibles ont été émises à partir des résultats de l’analyse de situation. Elles sont présentées ci-après et résumées dans les figures 8.1 à 8.4.</w:t>
      </w:r>
    </w:p>
    <w:p w14:paraId="37964931" w14:textId="77777777" w:rsidR="00395205" w:rsidRDefault="00395205" w:rsidP="00395205">
      <w:pPr>
        <w:pStyle w:val="Titre2"/>
      </w:pPr>
      <w:bookmarkStart w:id="35" w:name="_Toc8400034"/>
      <w:r>
        <w:rPr>
          <w:lang w:bidi="fr-FR"/>
        </w:rPr>
        <w:t>7.1 Population globale</w:t>
      </w:r>
      <w:bookmarkEnd w:id="35"/>
      <w:r>
        <w:rPr>
          <w:lang w:bidi="fr-FR"/>
        </w:rPr>
        <w:t xml:space="preserve"> </w:t>
      </w:r>
    </w:p>
    <w:p w14:paraId="1B82B153" w14:textId="77777777" w:rsidR="00395205" w:rsidRPr="00DD46B4" w:rsidRDefault="00395205" w:rsidP="00395205"/>
    <w:p w14:paraId="7FD96C6E" w14:textId="77777777" w:rsidR="00395205" w:rsidRPr="00293F94" w:rsidRDefault="00395205" w:rsidP="00395205">
      <w:pPr>
        <w:jc w:val="both"/>
        <w:rPr>
          <w:b/>
        </w:rPr>
      </w:pPr>
      <w:r w:rsidRPr="00293F94">
        <w:rPr>
          <w:b/>
          <w:lang w:bidi="fr-FR"/>
        </w:rPr>
        <w:t xml:space="preserve">Le CDIS doit être considéré comme une composante essentielle de la stratégie de dépistage du VIH en Guinée pour la période 2019-2024 afin d’accroître le nombre de personnes vivant avec le VIH conscientes de leur séropositivité. </w:t>
      </w:r>
    </w:p>
    <w:p w14:paraId="5321A967" w14:textId="77777777" w:rsidR="00395205" w:rsidRPr="00821A4D" w:rsidRDefault="00395205" w:rsidP="00395205">
      <w:pPr>
        <w:pStyle w:val="Paragraphedeliste"/>
        <w:ind w:left="360"/>
        <w:rPr>
          <w:sz w:val="4"/>
          <w:szCs w:val="4"/>
        </w:rPr>
      </w:pPr>
    </w:p>
    <w:p w14:paraId="4D6CAE8E" w14:textId="77777777" w:rsidR="00395205" w:rsidRPr="009F4B8C" w:rsidRDefault="00395205" w:rsidP="00395205">
      <w:pPr>
        <w:rPr>
          <w:sz w:val="28"/>
          <w:szCs w:val="28"/>
        </w:rPr>
      </w:pPr>
      <w:r w:rsidRPr="00E3230B">
        <w:rPr>
          <w:b/>
          <w:color w:val="2E74B5" w:themeColor="accent1" w:themeShade="BF"/>
          <w:sz w:val="26"/>
          <w:szCs w:val="26"/>
          <w:lang w:bidi="fr-FR"/>
        </w:rPr>
        <w:t>Quand</w:t>
      </w:r>
      <w:r w:rsidRPr="009F4B8C">
        <w:rPr>
          <w:sz w:val="28"/>
          <w:szCs w:val="28"/>
          <w:lang w:bidi="fr-FR"/>
        </w:rPr>
        <w:t xml:space="preserve"> le CDIS doit-il être proposé ? </w:t>
      </w:r>
    </w:p>
    <w:p w14:paraId="5D716B21" w14:textId="77777777" w:rsidR="00395205" w:rsidRDefault="00395205" w:rsidP="00395205">
      <w:pPr>
        <w:pStyle w:val="Paragraphedeliste"/>
        <w:numPr>
          <w:ilvl w:val="0"/>
          <w:numId w:val="16"/>
        </w:numPr>
      </w:pPr>
      <w:r w:rsidRPr="00D80391">
        <w:rPr>
          <w:lang w:bidi="fr-FR"/>
        </w:rPr>
        <w:t>Les services de conseil et de dépistage à l’initiative du soignant doivent être accessibles pendant les heures d’ouverture des établissements de santé, ainsi que le soir et la nuit dans le cadre des services d</w:t>
      </w:r>
      <w:r>
        <w:rPr>
          <w:lang w:bidi="fr-FR"/>
        </w:rPr>
        <w:t>’</w:t>
      </w:r>
      <w:r w:rsidRPr="00D80391">
        <w:rPr>
          <w:lang w:bidi="fr-FR"/>
        </w:rPr>
        <w:t xml:space="preserve">urgence. </w:t>
      </w:r>
    </w:p>
    <w:p w14:paraId="6327C041" w14:textId="77777777" w:rsidR="00395205" w:rsidRPr="00821A4D" w:rsidRDefault="00395205" w:rsidP="00395205">
      <w:pPr>
        <w:pStyle w:val="Paragraphedeliste"/>
        <w:ind w:left="360"/>
        <w:rPr>
          <w:sz w:val="4"/>
          <w:szCs w:val="4"/>
        </w:rPr>
      </w:pPr>
    </w:p>
    <w:p w14:paraId="070773B4" w14:textId="77777777" w:rsidR="00395205" w:rsidRPr="009F4B8C" w:rsidRDefault="00395205" w:rsidP="00395205">
      <w:pPr>
        <w:rPr>
          <w:sz w:val="28"/>
          <w:szCs w:val="28"/>
        </w:rPr>
      </w:pPr>
      <w:r w:rsidRPr="001E78B7">
        <w:rPr>
          <w:b/>
          <w:color w:val="ED7D31" w:themeColor="accent2"/>
          <w:sz w:val="26"/>
          <w:szCs w:val="26"/>
          <w:lang w:bidi="fr-FR"/>
        </w:rPr>
        <w:t>Où</w:t>
      </w:r>
      <w:r w:rsidRPr="009F4B8C">
        <w:rPr>
          <w:sz w:val="28"/>
          <w:szCs w:val="28"/>
          <w:lang w:bidi="fr-FR"/>
        </w:rPr>
        <w:t xml:space="preserve"> le CDIS doit-il être proposé ? </w:t>
      </w:r>
    </w:p>
    <w:p w14:paraId="43EE7E0F" w14:textId="77777777" w:rsidR="00395205" w:rsidRDefault="00395205" w:rsidP="00395205">
      <w:pPr>
        <w:pStyle w:val="Paragraphedeliste"/>
        <w:numPr>
          <w:ilvl w:val="0"/>
          <w:numId w:val="16"/>
        </w:numPr>
      </w:pPr>
      <w:r w:rsidRPr="00D80391">
        <w:rPr>
          <w:lang w:bidi="fr-FR"/>
        </w:rPr>
        <w:t xml:space="preserve">Les services de conseil et de dépistage à l’initiative du soignant doivent être disponibles dans </w:t>
      </w:r>
      <w:r w:rsidRPr="00D80391">
        <w:rPr>
          <w:b/>
          <w:lang w:bidi="fr-FR"/>
        </w:rPr>
        <w:t>tous les hôpitaux et les centres de santé de Guinée, ainsi que dans tous les postes sanitaires des zones urbaines, près des frontières et aux abords des mines</w:t>
      </w:r>
      <w:r w:rsidRPr="00D80391">
        <w:rPr>
          <w:lang w:bidi="fr-FR"/>
        </w:rPr>
        <w:t>.</w:t>
      </w:r>
      <w:r w:rsidRPr="00D80391">
        <w:rPr>
          <w:b/>
          <w:lang w:bidi="fr-FR"/>
        </w:rPr>
        <w:t xml:space="preserve"> </w:t>
      </w:r>
      <w:r w:rsidRPr="00D80391">
        <w:rPr>
          <w:lang w:bidi="fr-FR"/>
        </w:rPr>
        <w:t>À cette fin, il est nécessaire d’augmenter le nombre de structures sanitaires assurant ces services.</w:t>
      </w:r>
    </w:p>
    <w:p w14:paraId="2F66CBBC" w14:textId="77777777" w:rsidR="00395205" w:rsidRPr="00C74EB5" w:rsidRDefault="00395205" w:rsidP="00395205">
      <w:pPr>
        <w:rPr>
          <w:sz w:val="28"/>
          <w:szCs w:val="28"/>
        </w:rPr>
      </w:pPr>
      <w:r w:rsidRPr="009511DD">
        <w:rPr>
          <w:b/>
          <w:color w:val="AEAAAA" w:themeColor="background2" w:themeShade="BF"/>
          <w:sz w:val="26"/>
          <w:szCs w:val="26"/>
          <w:lang w:bidi="fr-FR"/>
        </w:rPr>
        <w:t>Quels soignants</w:t>
      </w:r>
      <w:r>
        <w:rPr>
          <w:sz w:val="28"/>
          <w:szCs w:val="28"/>
          <w:lang w:bidi="fr-FR"/>
        </w:rPr>
        <w:t xml:space="preserve"> peuvent suggérer le conseil et le dépistage du VIH ? </w:t>
      </w:r>
    </w:p>
    <w:p w14:paraId="15A2AD50" w14:textId="77777777" w:rsidR="00395205" w:rsidRDefault="00395205" w:rsidP="00395205">
      <w:pPr>
        <w:pStyle w:val="Paragraphedeliste"/>
        <w:numPr>
          <w:ilvl w:val="0"/>
          <w:numId w:val="16"/>
        </w:numPr>
      </w:pPr>
      <w:r w:rsidRPr="00D80391">
        <w:rPr>
          <w:lang w:bidi="fr-FR"/>
        </w:rPr>
        <w:t xml:space="preserve">Les agents de santé formés fournissant des services de dépistage du VIH dans l’ensemble des structures sanitaires accréditées peuvent suggérer le conseil et le dépistage du VIH. </w:t>
      </w:r>
    </w:p>
    <w:p w14:paraId="1CDF8A84" w14:textId="77777777" w:rsidR="00395205" w:rsidRDefault="00395205" w:rsidP="00395205">
      <w:pPr>
        <w:pStyle w:val="Paragraphedeliste"/>
        <w:numPr>
          <w:ilvl w:val="0"/>
          <w:numId w:val="16"/>
        </w:numPr>
      </w:pPr>
      <w:r>
        <w:rPr>
          <w:lang w:bidi="fr-FR"/>
        </w:rPr>
        <w:t>Les agents psychosociaux peuvent prendre en charge le dépistage dans les établissements de santé.</w:t>
      </w:r>
    </w:p>
    <w:p w14:paraId="46D1A320" w14:textId="77777777" w:rsidR="00395205" w:rsidRDefault="00395205" w:rsidP="00395205">
      <w:pPr>
        <w:pStyle w:val="Paragraphedeliste"/>
        <w:numPr>
          <w:ilvl w:val="0"/>
          <w:numId w:val="16"/>
        </w:numPr>
      </w:pPr>
      <w:r>
        <w:rPr>
          <w:lang w:bidi="fr-FR"/>
        </w:rPr>
        <w:t xml:space="preserve">Dans l’idéal, le diagnostic présomptif, le dépistage lui-même et la communication des résultats sont pris en charge par le même agent de santé afin de réduire le risque que les patients ne fassent pas le test ou n’aient pas recours aux conseils ultérieurs. </w:t>
      </w:r>
    </w:p>
    <w:p w14:paraId="736BCCCD" w14:textId="77777777" w:rsidR="00395205" w:rsidRDefault="00395205" w:rsidP="00395205">
      <w:pPr>
        <w:pStyle w:val="Paragraphedeliste"/>
        <w:numPr>
          <w:ilvl w:val="0"/>
          <w:numId w:val="16"/>
        </w:numPr>
      </w:pPr>
      <w:r>
        <w:rPr>
          <w:lang w:bidi="fr-FR"/>
        </w:rPr>
        <w:t xml:space="preserve">Les techniciens de laboratoire, les cliniciens ou le personnel infirmier peuvent assurer les services de dépistage du VIH dans les établissements de santé. </w:t>
      </w:r>
    </w:p>
    <w:p w14:paraId="099CCDEF" w14:textId="77777777" w:rsidR="00395205" w:rsidRPr="00821A4D" w:rsidRDefault="00395205" w:rsidP="00395205">
      <w:pPr>
        <w:pStyle w:val="Paragraphedeliste"/>
        <w:ind w:left="360"/>
        <w:rPr>
          <w:sz w:val="4"/>
          <w:szCs w:val="4"/>
        </w:rPr>
      </w:pPr>
    </w:p>
    <w:p w14:paraId="5F950E3B" w14:textId="77777777" w:rsidR="00395205" w:rsidRDefault="00395205" w:rsidP="00395205">
      <w:pPr>
        <w:rPr>
          <w:sz w:val="28"/>
          <w:szCs w:val="28"/>
        </w:rPr>
      </w:pPr>
      <w:r w:rsidRPr="00475B2F">
        <w:rPr>
          <w:b/>
          <w:color w:val="FF0000"/>
          <w:sz w:val="26"/>
          <w:szCs w:val="26"/>
          <w:lang w:bidi="fr-FR"/>
        </w:rPr>
        <w:t xml:space="preserve">Dans quelles circonstances </w:t>
      </w:r>
      <w:r w:rsidRPr="00C74EB5">
        <w:rPr>
          <w:sz w:val="28"/>
          <w:szCs w:val="28"/>
          <w:lang w:bidi="fr-FR"/>
        </w:rPr>
        <w:t xml:space="preserve">le CDIS est-il proposé ? </w:t>
      </w:r>
    </w:p>
    <w:p w14:paraId="744FE76A" w14:textId="77777777" w:rsidR="00395205" w:rsidRDefault="00395205" w:rsidP="00395205">
      <w:pPr>
        <w:jc w:val="both"/>
      </w:pPr>
      <w:r>
        <w:rPr>
          <w:noProof/>
          <w:lang w:bidi="fr-FR"/>
        </w:rPr>
        <w:lastRenderedPageBreak/>
        <mc:AlternateContent>
          <mc:Choice Requires="wps">
            <w:drawing>
              <wp:anchor distT="0" distB="0" distL="114300" distR="114300" simplePos="0" relativeHeight="251680256" behindDoc="0" locked="0" layoutInCell="1" allowOverlap="1" wp14:anchorId="77C6B70B" wp14:editId="1D692253">
                <wp:simplePos x="0" y="0"/>
                <wp:positionH relativeFrom="margin">
                  <wp:posOffset>4826000</wp:posOffset>
                </wp:positionH>
                <wp:positionV relativeFrom="paragraph">
                  <wp:posOffset>1407160</wp:posOffset>
                </wp:positionV>
                <wp:extent cx="159385" cy="1054100"/>
                <wp:effectExtent l="0" t="0" r="0" b="0"/>
                <wp:wrapNone/>
                <wp:docPr id="245" name="Rectangle 245"/>
                <wp:cNvGraphicFramePr/>
                <a:graphic xmlns:a="http://schemas.openxmlformats.org/drawingml/2006/main">
                  <a:graphicData uri="http://schemas.microsoft.com/office/word/2010/wordprocessingShape">
                    <wps:wsp>
                      <wps:cNvSpPr/>
                      <wps:spPr>
                        <a:xfrm flipV="1">
                          <a:off x="0" y="0"/>
                          <a:ext cx="159385" cy="1054100"/>
                        </a:xfrm>
                        <a:prstGeom prst="rect">
                          <a:avLst/>
                        </a:prstGeom>
                        <a:solidFill>
                          <a:srgbClr val="D7E1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715B6" w14:textId="77777777" w:rsidR="00A612E9" w:rsidRPr="00824D33" w:rsidRDefault="00A612E9" w:rsidP="00395205">
                            <w:pPr>
                              <w:jc w:val="center"/>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B70B" id="Rectangle 245" o:spid="_x0000_s1042" style="position:absolute;left:0;text-align:left;margin-left:380pt;margin-top:110.8pt;width:12.55pt;height:83pt;flip:y;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" fillcolor="#d7e1e5" stroked="f" strokeweight="1pt">
                <v:textbox>
                  <w:txbxContent>
                    <w:p w14:paraId="669715B6" w14:textId="77777777" w:rsidR="00A612E9" w:rsidRPr="00824D33" w:rsidRDefault="00A612E9" w:rsidP="00395205">
                      <w:pPr>
                        <w:jc w:val="center"/>
                        <w:rPr>
                          <w:b/>
                          <w:color w:val="000000" w:themeColor="text1"/>
                          <w:sz w:val="26"/>
                          <w:szCs w:val="26"/>
                        </w:rPr>
                      </w:pPr>
                    </w:p>
                  </w:txbxContent>
                </v:textbox>
                <w10:wrap anchorx="margin"/>
              </v:rect>
            </w:pict>
          </mc:Fallback>
        </mc:AlternateContent>
      </w:r>
      <w:r>
        <w:rPr>
          <w:noProof/>
          <w:lang w:bidi="fr-FR"/>
        </w:rPr>
        <mc:AlternateContent>
          <mc:Choice Requires="wps">
            <w:drawing>
              <wp:anchor distT="0" distB="0" distL="114300" distR="114300" simplePos="0" relativeHeight="251678208" behindDoc="0" locked="0" layoutInCell="1" allowOverlap="1" wp14:anchorId="65569168" wp14:editId="45153905">
                <wp:simplePos x="0" y="0"/>
                <wp:positionH relativeFrom="margin">
                  <wp:posOffset>3479800</wp:posOffset>
                </wp:positionH>
                <wp:positionV relativeFrom="paragraph">
                  <wp:posOffset>2448559</wp:posOffset>
                </wp:positionV>
                <wp:extent cx="1435100" cy="45719"/>
                <wp:effectExtent l="0" t="0" r="0" b="0"/>
                <wp:wrapNone/>
                <wp:docPr id="243" name="Rectangle 243"/>
                <wp:cNvGraphicFramePr/>
                <a:graphic xmlns:a="http://schemas.openxmlformats.org/drawingml/2006/main">
                  <a:graphicData uri="http://schemas.microsoft.com/office/word/2010/wordprocessingShape">
                    <wps:wsp>
                      <wps:cNvSpPr/>
                      <wps:spPr>
                        <a:xfrm flipV="1">
                          <a:off x="0" y="0"/>
                          <a:ext cx="1435100" cy="45719"/>
                        </a:xfrm>
                        <a:prstGeom prst="rect">
                          <a:avLst/>
                        </a:prstGeom>
                        <a:solidFill>
                          <a:srgbClr val="D7E1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8C467" w14:textId="77777777" w:rsidR="00A612E9" w:rsidRPr="00824D33" w:rsidRDefault="00A612E9" w:rsidP="00395205">
                            <w:pPr>
                              <w:jc w:val="center"/>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9168" id="Rectangle 243" o:spid="_x0000_s1043" style="position:absolute;left:0;text-align:left;margin-left:274pt;margin-top:192.8pt;width:113pt;height:3.6pt;flip:y;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" fillcolor="#d7e1e5" stroked="f" strokeweight="1pt">
                <v:textbox>
                  <w:txbxContent>
                    <w:p w14:paraId="4D28C467" w14:textId="77777777" w:rsidR="00A612E9" w:rsidRPr="00824D33" w:rsidRDefault="00A612E9" w:rsidP="00395205">
                      <w:pPr>
                        <w:jc w:val="center"/>
                        <w:rPr>
                          <w:b/>
                          <w:color w:val="000000" w:themeColor="text1"/>
                          <w:sz w:val="26"/>
                          <w:szCs w:val="26"/>
                        </w:rPr>
                      </w:pPr>
                    </w:p>
                  </w:txbxContent>
                </v:textbox>
                <w10:wrap anchorx="margin"/>
              </v:rect>
            </w:pict>
          </mc:Fallback>
        </mc:AlternateContent>
      </w:r>
      <w:r>
        <w:rPr>
          <w:noProof/>
          <w:lang w:bidi="fr-FR"/>
        </w:rPr>
        <mc:AlternateContent>
          <mc:Choice Requires="wps">
            <w:drawing>
              <wp:anchor distT="0" distB="0" distL="114300" distR="114300" simplePos="0" relativeHeight="251674112" behindDoc="0" locked="0" layoutInCell="1" allowOverlap="1" wp14:anchorId="5A39406B" wp14:editId="61692D46">
                <wp:simplePos x="0" y="0"/>
                <wp:positionH relativeFrom="column">
                  <wp:posOffset>3416300</wp:posOffset>
                </wp:positionH>
                <wp:positionV relativeFrom="paragraph">
                  <wp:posOffset>1330960</wp:posOffset>
                </wp:positionV>
                <wp:extent cx="1574800" cy="1155700"/>
                <wp:effectExtent l="0" t="0" r="6350" b="6350"/>
                <wp:wrapNone/>
                <wp:docPr id="26" name="Rectangle 26"/>
                <wp:cNvGraphicFramePr/>
                <a:graphic xmlns:a="http://schemas.openxmlformats.org/drawingml/2006/main">
                  <a:graphicData uri="http://schemas.microsoft.com/office/word/2010/wordprocessingShape">
                    <wps:wsp>
                      <wps:cNvSpPr/>
                      <wps:spPr>
                        <a:xfrm>
                          <a:off x="0" y="0"/>
                          <a:ext cx="1574800" cy="1155700"/>
                        </a:xfrm>
                        <a:prstGeom prst="rect">
                          <a:avLst/>
                        </a:prstGeom>
                        <a:solidFill>
                          <a:srgbClr val="D7E1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382BA" w14:textId="77777777" w:rsidR="00A612E9" w:rsidRDefault="00A612E9" w:rsidP="00395205">
                            <w:pPr>
                              <w:jc w:val="center"/>
                            </w:pPr>
                            <w:r>
                              <w:rPr>
                                <w:noProof/>
                                <w:lang w:bidi="fr-FR"/>
                              </w:rPr>
                              <w:drawing>
                                <wp:inline distT="0" distB="0" distL="0" distR="0" wp14:anchorId="4C5DD1B6" wp14:editId="46431CB1">
                                  <wp:extent cx="1295885" cy="10795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4354" cy="1086555"/>
                                          </a:xfrm>
                                          <a:prstGeom prst="rect">
                                            <a:avLst/>
                                          </a:prstGeom>
                                        </pic:spPr>
                                      </pic:pic>
                                    </a:graphicData>
                                  </a:graphic>
                                </wp:inline>
                              </w:drawing>
                            </w:r>
                          </w:p>
                          <w:p w14:paraId="11BAF536" w14:textId="77777777" w:rsidR="00A612E9" w:rsidRPr="00286909" w:rsidRDefault="00A612E9" w:rsidP="00395205">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9406B" id="Rectangle 26" o:spid="_x0000_s1044" style="position:absolute;left:0;text-align:left;margin-left:269pt;margin-top:104.8pt;width:124pt;height:9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" fillcolor="#d7e1e5" stroked="f" strokeweight="1pt">
                <v:textbox>
                  <w:txbxContent>
                    <w:p w14:paraId="300382BA" w14:textId="77777777" w:rsidR="00A612E9" w:rsidRDefault="00A612E9" w:rsidP="00395205">
                      <w:pPr>
                        <w:jc w:val="center"/>
                      </w:pPr>
                      <w:r>
                        <w:rPr>
                          <w:noProof/>
                          <w:lang w:bidi="fr-FR"/>
                        </w:rPr>
                        <w:drawing>
                          <wp:inline distT="0" distB="0" distL="0" distR="0" wp14:anchorId="4C5DD1B6" wp14:editId="46431CB1">
                            <wp:extent cx="1295885" cy="10795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4354" cy="1086555"/>
                                    </a:xfrm>
                                    <a:prstGeom prst="rect">
                                      <a:avLst/>
                                    </a:prstGeom>
                                  </pic:spPr>
                                </pic:pic>
                              </a:graphicData>
                            </a:graphic>
                          </wp:inline>
                        </w:drawing>
                      </w:r>
                    </w:p>
                    <w:p w14:paraId="11BAF536" w14:textId="77777777" w:rsidR="00A612E9" w:rsidRPr="00286909" w:rsidRDefault="00A612E9" w:rsidP="00395205">
                      <w:pPr>
                        <w:jc w:val="center"/>
                        <w:rPr>
                          <w:color w:val="000000" w:themeColor="text1"/>
                          <w:sz w:val="26"/>
                          <w:szCs w:val="26"/>
                        </w:rPr>
                      </w:pPr>
                    </w:p>
                  </w:txbxContent>
                </v:textbox>
              </v:rect>
            </w:pict>
          </mc:Fallback>
        </mc:AlternateContent>
      </w:r>
      <w:r>
        <w:rPr>
          <w:noProof/>
          <w:lang w:bidi="fr-FR"/>
        </w:rPr>
        <mc:AlternateContent>
          <mc:Choice Requires="wps">
            <w:drawing>
              <wp:anchor distT="0" distB="0" distL="114300" distR="114300" simplePos="0" relativeHeight="251676160" behindDoc="0" locked="0" layoutInCell="1" allowOverlap="1" wp14:anchorId="1AFABF8F" wp14:editId="20937E5C">
                <wp:simplePos x="0" y="0"/>
                <wp:positionH relativeFrom="column">
                  <wp:posOffset>3425190</wp:posOffset>
                </wp:positionH>
                <wp:positionV relativeFrom="paragraph">
                  <wp:posOffset>1337310</wp:posOffset>
                </wp:positionV>
                <wp:extent cx="1549966" cy="109397"/>
                <wp:effectExtent l="0" t="0" r="0" b="5080"/>
                <wp:wrapNone/>
                <wp:docPr id="232" name="Rectangle 232"/>
                <wp:cNvGraphicFramePr/>
                <a:graphic xmlns:a="http://schemas.openxmlformats.org/drawingml/2006/main">
                  <a:graphicData uri="http://schemas.microsoft.com/office/word/2010/wordprocessingShape">
                    <wps:wsp>
                      <wps:cNvSpPr/>
                      <wps:spPr>
                        <a:xfrm>
                          <a:off x="0" y="0"/>
                          <a:ext cx="1549966" cy="109397"/>
                        </a:xfrm>
                        <a:prstGeom prst="rect">
                          <a:avLst/>
                        </a:prstGeom>
                        <a:solidFill>
                          <a:srgbClr val="D7E1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08985" w14:textId="77777777" w:rsidR="00A612E9" w:rsidRDefault="00A612E9" w:rsidP="00395205">
                            <w:pPr>
                              <w:jc w:val="center"/>
                            </w:pPr>
                          </w:p>
                          <w:p w14:paraId="6A987746" w14:textId="77777777" w:rsidR="00A612E9" w:rsidRPr="00286909" w:rsidRDefault="00A612E9" w:rsidP="00395205">
                            <w:pPr>
                              <w:jc w:val="center"/>
                              <w:rPr>
                                <w:color w:val="000000" w:themeColor="text1"/>
                                <w:sz w:val="26"/>
                                <w:szCs w:val="26"/>
                              </w:rPr>
                            </w:pPr>
                            <w:r>
                              <w:rPr>
                                <w:color w:val="000000" w:themeColor="text1"/>
                                <w:sz w:val="26"/>
                                <w:szCs w:val="26"/>
                                <w:lang w:bidi="fr-FR"/>
                              </w:rPr>
                              <w:t xml:space="preserve">Conseil et dépistage à l’initiative du soignant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BF8F" id="Rectangle 232" o:spid="_x0000_s1045" style="position:absolute;left:0;text-align:left;margin-left:269.7pt;margin-top:105.3pt;width:122.05pt;height: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" fillcolor="#d7e1e5" stroked="f" strokeweight="1pt">
                <v:textbox>
                  <w:txbxContent>
                    <w:p w14:paraId="17B08985" w14:textId="77777777" w:rsidR="00A612E9" w:rsidRDefault="00A612E9" w:rsidP="00395205">
                      <w:pPr>
                        <w:jc w:val="center"/>
                      </w:pPr>
                    </w:p>
                    <w:p w14:paraId="6A987746" w14:textId="77777777" w:rsidR="00A612E9" w:rsidRPr="00286909" w:rsidRDefault="00A612E9" w:rsidP="00395205">
                      <w:pPr>
                        <w:jc w:val="center"/>
                        <w:rPr>
                          <w:color w:val="000000" w:themeColor="text1"/>
                          <w:sz w:val="26"/>
                          <w:szCs w:val="26"/>
                        </w:rPr>
                      </w:pPr>
                      <w:r>
                        <w:rPr>
                          <w:color w:val="000000" w:themeColor="text1"/>
                          <w:sz w:val="26"/>
                          <w:szCs w:val="26"/>
                          <w:lang w:bidi="fr-FR"/>
                        </w:rPr>
                        <w:t xml:space="preserve">Conseil et dépistage à l’initiative du soignant </w:t>
                      </w:r>
                    </w:p>
                  </w:txbxContent>
                </v:textbox>
              </v:rect>
            </w:pict>
          </mc:Fallback>
        </mc:AlternateContent>
      </w:r>
      <w:r>
        <w:rPr>
          <w:noProof/>
          <w:lang w:bidi="fr-FR"/>
        </w:rPr>
        <mc:AlternateContent>
          <mc:Choice Requires="wps">
            <w:drawing>
              <wp:anchor distT="0" distB="0" distL="114300" distR="114300" simplePos="0" relativeHeight="251672064" behindDoc="0" locked="0" layoutInCell="1" allowOverlap="1" wp14:anchorId="556345BE" wp14:editId="5C777E50">
                <wp:simplePos x="0" y="0"/>
                <wp:positionH relativeFrom="column">
                  <wp:posOffset>42530</wp:posOffset>
                </wp:positionH>
                <wp:positionV relativeFrom="paragraph">
                  <wp:posOffset>54167</wp:posOffset>
                </wp:positionV>
                <wp:extent cx="1549966" cy="1212112"/>
                <wp:effectExtent l="0" t="0" r="0" b="7620"/>
                <wp:wrapNone/>
                <wp:docPr id="203" name="Rectangle 203"/>
                <wp:cNvGraphicFramePr/>
                <a:graphic xmlns:a="http://schemas.openxmlformats.org/drawingml/2006/main">
                  <a:graphicData uri="http://schemas.microsoft.com/office/word/2010/wordprocessingShape">
                    <wps:wsp>
                      <wps:cNvSpPr/>
                      <wps:spPr>
                        <a:xfrm>
                          <a:off x="0" y="0"/>
                          <a:ext cx="1549966" cy="1212112"/>
                        </a:xfrm>
                        <a:prstGeom prst="rect">
                          <a:avLst/>
                        </a:prstGeom>
                        <a:solidFill>
                          <a:srgbClr val="D7E1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4AEF7" w14:textId="77777777" w:rsidR="00A612E9" w:rsidRDefault="00A612E9" w:rsidP="00395205">
                            <w:pPr>
                              <w:jc w:val="center"/>
                            </w:pPr>
                          </w:p>
                          <w:p w14:paraId="78592134" w14:textId="77777777" w:rsidR="00A612E9" w:rsidRPr="00824D33" w:rsidRDefault="00A612E9" w:rsidP="00395205">
                            <w:pPr>
                              <w:jc w:val="center"/>
                              <w:rPr>
                                <w:b/>
                                <w:color w:val="000000" w:themeColor="text1"/>
                                <w:sz w:val="26"/>
                                <w:szCs w:val="26"/>
                              </w:rPr>
                            </w:pPr>
                            <w:r w:rsidRPr="00824D33">
                              <w:rPr>
                                <w:b/>
                                <w:color w:val="000000" w:themeColor="text1"/>
                                <w:sz w:val="26"/>
                                <w:szCs w:val="26"/>
                                <w:lang w:bidi="fr-FR"/>
                              </w:rPr>
                              <w:t>Mise en place systématique du CDIS pour les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45BE" id="Rectangle 203" o:spid="_x0000_s1046" style="position:absolute;left:0;text-align:left;margin-left:3.35pt;margin-top:4.25pt;width:122.05pt;height:95.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" fillcolor="#d7e1e5" stroked="f" strokeweight="1pt">
                <v:textbox>
                  <w:txbxContent>
                    <w:p w14:paraId="7624AEF7" w14:textId="77777777" w:rsidR="00A612E9" w:rsidRDefault="00A612E9" w:rsidP="00395205">
                      <w:pPr>
                        <w:jc w:val="center"/>
                      </w:pPr>
                    </w:p>
                    <w:p w14:paraId="78592134" w14:textId="77777777" w:rsidR="00A612E9" w:rsidRPr="00824D33" w:rsidRDefault="00A612E9" w:rsidP="00395205">
                      <w:pPr>
                        <w:jc w:val="center"/>
                        <w:rPr>
                          <w:b/>
                          <w:color w:val="000000" w:themeColor="text1"/>
                          <w:sz w:val="26"/>
                          <w:szCs w:val="26"/>
                        </w:rPr>
                      </w:pPr>
                      <w:r w:rsidRPr="00824D33">
                        <w:rPr>
                          <w:b/>
                          <w:color w:val="000000" w:themeColor="text1"/>
                          <w:sz w:val="26"/>
                          <w:szCs w:val="26"/>
                          <w:lang w:bidi="fr-FR"/>
                        </w:rPr>
                        <w:t>Mise en place systématique du CDIS pour les patients</w:t>
                      </w:r>
                    </w:p>
                  </w:txbxContent>
                </v:textbox>
              </v:rect>
            </w:pict>
          </mc:Fallback>
        </mc:AlternateContent>
      </w:r>
      <w:r w:rsidRPr="00824D33">
        <w:rPr>
          <w:noProof/>
          <w:lang w:bidi="fr-FR"/>
        </w:rPr>
        <w:t xml:space="preserve"> </w:t>
      </w:r>
      <w:r w:rsidRPr="009846BC">
        <w:rPr>
          <w:noProof/>
          <w:lang w:bidi="fr-FR"/>
        </w:rPr>
        <w:drawing>
          <wp:inline distT="0" distB="0" distL="0" distR="0" wp14:anchorId="6F35994D" wp14:editId="764721CB">
            <wp:extent cx="4998411" cy="2571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5012618" cy="2579060"/>
                    </a:xfrm>
                    <a:prstGeom prst="rect">
                      <a:avLst/>
                    </a:prstGeom>
                    <a:solidFill>
                      <a:srgbClr val="596577">
                        <a:alpha val="0"/>
                      </a:srgbClr>
                    </a:solidFill>
                  </pic:spPr>
                </pic:pic>
              </a:graphicData>
            </a:graphic>
          </wp:inline>
        </w:drawing>
      </w:r>
    </w:p>
    <w:p w14:paraId="386DC29F" w14:textId="77777777" w:rsidR="00395205" w:rsidRDefault="00395205" w:rsidP="00395205"/>
    <w:p w14:paraId="65D02401" w14:textId="77777777" w:rsidR="00395205" w:rsidRPr="005A4366" w:rsidRDefault="00395205" w:rsidP="00395205">
      <w:pPr>
        <w:rPr>
          <w:sz w:val="28"/>
          <w:szCs w:val="28"/>
        </w:rPr>
      </w:pPr>
      <w:r>
        <w:rPr>
          <w:lang w:bidi="fr-FR"/>
        </w:rPr>
        <w:t>Le CDIS est systématiquement mis en place pour les patients adultes suivants :</w:t>
      </w:r>
    </w:p>
    <w:p w14:paraId="7D0216D2" w14:textId="77777777" w:rsidR="00395205" w:rsidRDefault="00395205" w:rsidP="00395205">
      <w:pPr>
        <w:jc w:val="both"/>
      </w:pPr>
      <w:r>
        <w:rPr>
          <w:noProof/>
          <w:lang w:bidi="fr-FR"/>
        </w:rPr>
        <w:drawing>
          <wp:inline distT="0" distB="0" distL="0" distR="0" wp14:anchorId="21E86EA5" wp14:editId="6CE97A31">
            <wp:extent cx="5014383" cy="13081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9282" cy="1311987"/>
                    </a:xfrm>
                    <a:prstGeom prst="rect">
                      <a:avLst/>
                    </a:prstGeom>
                  </pic:spPr>
                </pic:pic>
              </a:graphicData>
            </a:graphic>
          </wp:inline>
        </w:drawing>
      </w:r>
    </w:p>
    <w:p w14:paraId="54327C09" w14:textId="77777777" w:rsidR="00395205" w:rsidRDefault="00395205" w:rsidP="00395205">
      <w:pPr>
        <w:jc w:val="both"/>
      </w:pPr>
    </w:p>
    <w:p w14:paraId="2FCD47F4" w14:textId="77777777" w:rsidR="00395205" w:rsidRDefault="00395205" w:rsidP="00395205">
      <w:pPr>
        <w:pStyle w:val="Paragraphedeliste"/>
        <w:numPr>
          <w:ilvl w:val="0"/>
          <w:numId w:val="19"/>
        </w:numPr>
        <w:ind w:left="360"/>
        <w:jc w:val="both"/>
      </w:pPr>
      <w:r>
        <w:rPr>
          <w:lang w:bidi="fr-FR"/>
        </w:rPr>
        <w:t xml:space="preserve">Les patients ambulatoires en consultation peuvent, à l’aide d’un outil de prise de décision, être amenés à faire à un test de dépistage, ce qui permettrait d’accroître le taux de diagnostics parmi les PVVIH présentant un stade clinique 3 ou 4 (OMS). </w:t>
      </w:r>
    </w:p>
    <w:p w14:paraId="714E1795" w14:textId="77777777" w:rsidR="00395205" w:rsidRPr="00262CEC" w:rsidRDefault="00395205" w:rsidP="00395205">
      <w:pPr>
        <w:pStyle w:val="Paragraphedeliste"/>
        <w:ind w:left="360"/>
        <w:jc w:val="both"/>
        <w:rPr>
          <w:sz w:val="4"/>
          <w:szCs w:val="4"/>
        </w:rPr>
      </w:pPr>
    </w:p>
    <w:p w14:paraId="5BEB94F5" w14:textId="77777777" w:rsidR="00395205" w:rsidRDefault="00395205" w:rsidP="00395205">
      <w:pPr>
        <w:pStyle w:val="Paragraphedeliste"/>
        <w:numPr>
          <w:ilvl w:val="0"/>
          <w:numId w:val="19"/>
        </w:numPr>
        <w:ind w:left="360"/>
        <w:jc w:val="both"/>
      </w:pPr>
      <w:r>
        <w:rPr>
          <w:lang w:bidi="fr-FR"/>
        </w:rPr>
        <w:t xml:space="preserve">Les patients souffrant de tuberculose doivent systématiquement faire un test de dépistage du VIH. Il faut identifier les sites affichant un faible taux de dépistage du VIH chez les patients tuberculeux en analysant régulièrement la chaîne de soins de la tuberculose par structure et par région pour leur apporter un soutien adapté.   </w:t>
      </w:r>
    </w:p>
    <w:p w14:paraId="77BE4F25" w14:textId="77777777" w:rsidR="00395205" w:rsidRPr="00262CEC" w:rsidRDefault="00395205" w:rsidP="00395205">
      <w:pPr>
        <w:pStyle w:val="Paragraphedeliste"/>
        <w:ind w:left="360"/>
        <w:jc w:val="both"/>
        <w:rPr>
          <w:sz w:val="4"/>
          <w:szCs w:val="4"/>
        </w:rPr>
      </w:pPr>
    </w:p>
    <w:p w14:paraId="5AEF3DF8" w14:textId="77777777" w:rsidR="00395205" w:rsidRDefault="00395205" w:rsidP="00395205">
      <w:pPr>
        <w:pStyle w:val="Paragraphedeliste"/>
        <w:numPr>
          <w:ilvl w:val="0"/>
          <w:numId w:val="19"/>
        </w:numPr>
        <w:ind w:left="360"/>
        <w:jc w:val="both"/>
      </w:pPr>
      <w:r>
        <w:rPr>
          <w:lang w:bidi="fr-FR"/>
        </w:rPr>
        <w:t xml:space="preserve">Il faut proposer le test de dépistage à l’ensemble des patients présentant des signes cliniques et des symptômes de l’infection au VIH. </w:t>
      </w:r>
    </w:p>
    <w:p w14:paraId="272932EE" w14:textId="77777777" w:rsidR="00395205" w:rsidRPr="00262CEC" w:rsidRDefault="00395205" w:rsidP="00395205">
      <w:pPr>
        <w:pStyle w:val="Paragraphedeliste"/>
        <w:ind w:left="360"/>
        <w:jc w:val="both"/>
        <w:rPr>
          <w:sz w:val="4"/>
          <w:szCs w:val="4"/>
        </w:rPr>
      </w:pPr>
    </w:p>
    <w:p w14:paraId="72939426" w14:textId="77777777" w:rsidR="00395205" w:rsidRDefault="00395205" w:rsidP="00395205">
      <w:pPr>
        <w:pStyle w:val="Paragraphedeliste"/>
        <w:numPr>
          <w:ilvl w:val="0"/>
          <w:numId w:val="19"/>
        </w:numPr>
        <w:ind w:left="360"/>
        <w:jc w:val="both"/>
      </w:pPr>
      <w:r>
        <w:rPr>
          <w:lang w:bidi="fr-FR"/>
        </w:rPr>
        <w:t xml:space="preserve">Il faut systématiquement proposer le test de dépistage à l’ensemble des patients souffrant d’infections sexuellement transmissibles ou consultant des professionnels de la santé à ce même sujet. </w:t>
      </w:r>
    </w:p>
    <w:p w14:paraId="22A75EC8" w14:textId="77777777" w:rsidR="00395205" w:rsidRPr="00262CEC" w:rsidRDefault="00395205" w:rsidP="00395205">
      <w:pPr>
        <w:pStyle w:val="Paragraphedeliste"/>
        <w:ind w:left="360"/>
        <w:jc w:val="both"/>
        <w:rPr>
          <w:rFonts w:cstheme="minorHAnsi"/>
          <w:sz w:val="4"/>
          <w:szCs w:val="4"/>
        </w:rPr>
      </w:pPr>
    </w:p>
    <w:p w14:paraId="09EBE491" w14:textId="77777777" w:rsidR="00395205" w:rsidRDefault="00395205" w:rsidP="00395205">
      <w:pPr>
        <w:pStyle w:val="Paragraphedeliste"/>
        <w:numPr>
          <w:ilvl w:val="0"/>
          <w:numId w:val="19"/>
        </w:numPr>
        <w:ind w:left="360"/>
        <w:jc w:val="both"/>
        <w:rPr>
          <w:rFonts w:cstheme="minorHAnsi"/>
        </w:rPr>
      </w:pPr>
      <w:r w:rsidRPr="002A2520">
        <w:rPr>
          <w:rFonts w:cstheme="minorHAnsi"/>
          <w:lang w:bidi="fr-FR"/>
        </w:rPr>
        <w:t>Il faut proposer le test de dépistage du VIH à l’ensemble des patients hospitalisés. L’ensemble des services doit compter un spécialiste du dépistage du VIH de sorte que tous les patients soient informés de l’importance que revêt la procédure et acceptent de se faire dépister. Les patients consentants doivent pouvoir faire le test dans le même service sans avoir à se déplacer au sein de l’établissement hospitalier.</w:t>
      </w:r>
    </w:p>
    <w:p w14:paraId="39AC5436" w14:textId="77777777" w:rsidR="00395205" w:rsidRPr="00262CEC" w:rsidRDefault="00395205" w:rsidP="00395205">
      <w:pPr>
        <w:pStyle w:val="Paragraphedeliste"/>
        <w:ind w:left="360"/>
        <w:jc w:val="both"/>
        <w:rPr>
          <w:rFonts w:cstheme="minorHAnsi"/>
          <w:sz w:val="4"/>
          <w:szCs w:val="4"/>
        </w:rPr>
      </w:pPr>
    </w:p>
    <w:p w14:paraId="232764AD" w14:textId="77777777" w:rsidR="00395205" w:rsidRPr="003E07C0" w:rsidRDefault="00395205" w:rsidP="00395205">
      <w:pPr>
        <w:pStyle w:val="Paragraphedeliste"/>
        <w:numPr>
          <w:ilvl w:val="0"/>
          <w:numId w:val="19"/>
        </w:numPr>
        <w:ind w:left="360"/>
        <w:jc w:val="both"/>
        <w:rPr>
          <w:rFonts w:cstheme="minorHAnsi"/>
        </w:rPr>
      </w:pPr>
      <w:r w:rsidRPr="003E07C0">
        <w:rPr>
          <w:rFonts w:cstheme="minorHAnsi"/>
          <w:lang w:bidi="fr-FR"/>
        </w:rPr>
        <w:t xml:space="preserve">Les prestataires doivent proposer des services de conseil et de dépistage à l’ensemble des patients se rendant aux urgences ou subissant une intervention chirurgicale. </w:t>
      </w:r>
    </w:p>
    <w:p w14:paraId="394DF825" w14:textId="77777777" w:rsidR="00395205" w:rsidRPr="00262CEC" w:rsidRDefault="00395205" w:rsidP="00395205">
      <w:pPr>
        <w:pStyle w:val="Paragraphedeliste"/>
        <w:ind w:left="360"/>
        <w:jc w:val="both"/>
        <w:rPr>
          <w:sz w:val="4"/>
          <w:szCs w:val="4"/>
        </w:rPr>
      </w:pPr>
    </w:p>
    <w:p w14:paraId="7F357F3A" w14:textId="77777777" w:rsidR="00395205" w:rsidRDefault="00395205" w:rsidP="00395205">
      <w:pPr>
        <w:pStyle w:val="Paragraphedeliste"/>
        <w:numPr>
          <w:ilvl w:val="0"/>
          <w:numId w:val="19"/>
        </w:numPr>
        <w:ind w:left="360"/>
        <w:jc w:val="both"/>
      </w:pPr>
      <w:r>
        <w:rPr>
          <w:lang w:bidi="fr-FR"/>
        </w:rPr>
        <w:lastRenderedPageBreak/>
        <w:t xml:space="preserve">Les prestataires doivent systématiquement proposer des services de conseil et de dépistage à toute personne bénéficiant d’une consultation de planification familiale. </w:t>
      </w:r>
    </w:p>
    <w:p w14:paraId="425EC177" w14:textId="77777777" w:rsidR="00395205" w:rsidRPr="00262CEC" w:rsidRDefault="00395205" w:rsidP="00395205">
      <w:pPr>
        <w:pStyle w:val="Paragraphedeliste"/>
        <w:jc w:val="both"/>
        <w:rPr>
          <w:sz w:val="4"/>
          <w:szCs w:val="4"/>
        </w:rPr>
      </w:pPr>
    </w:p>
    <w:p w14:paraId="4830D390" w14:textId="77777777" w:rsidR="00395205" w:rsidRDefault="00395205" w:rsidP="00395205">
      <w:pPr>
        <w:pStyle w:val="Paragraphedeliste"/>
        <w:numPr>
          <w:ilvl w:val="0"/>
          <w:numId w:val="19"/>
        </w:numPr>
        <w:ind w:left="360"/>
        <w:jc w:val="both"/>
      </w:pPr>
      <w:r>
        <w:rPr>
          <w:lang w:bidi="fr-FR"/>
        </w:rPr>
        <w:t>Les prestataires doivent systématiquement proposer des services de conseil et de dépistage à tout donneur de sang et à ses éventuels accompagnateurs.</w:t>
      </w:r>
    </w:p>
    <w:p w14:paraId="14311348" w14:textId="77777777" w:rsidR="00395205" w:rsidRPr="00262CEC" w:rsidRDefault="00395205" w:rsidP="00395205">
      <w:pPr>
        <w:pStyle w:val="Paragraphedeliste"/>
        <w:jc w:val="both"/>
        <w:rPr>
          <w:sz w:val="4"/>
          <w:szCs w:val="4"/>
        </w:rPr>
      </w:pPr>
    </w:p>
    <w:p w14:paraId="39BD6E13" w14:textId="77777777" w:rsidR="00395205" w:rsidRDefault="00395205" w:rsidP="00395205">
      <w:pPr>
        <w:pStyle w:val="Paragraphedeliste"/>
        <w:numPr>
          <w:ilvl w:val="0"/>
          <w:numId w:val="19"/>
        </w:numPr>
        <w:ind w:left="360"/>
        <w:jc w:val="both"/>
      </w:pPr>
      <w:r>
        <w:rPr>
          <w:lang w:bidi="fr-FR"/>
        </w:rPr>
        <w:t xml:space="preserve">Les prestataires doivent systématiquement proposer des services de conseil et de dépistage à tous les patients ne suivant pas de </w:t>
      </w:r>
      <w:r w:rsidRPr="00DB5178">
        <w:rPr>
          <w:lang w:bidi="fr-FR"/>
        </w:rPr>
        <w:t>traitement antirétroviral</w:t>
      </w:r>
      <w:r>
        <w:rPr>
          <w:lang w:bidi="fr-FR"/>
        </w:rPr>
        <w:t xml:space="preserve"> qui se rendent en consultation de quelque type que ce soit dans un établissement de santé d’une zone sensible susceptible de présenter une forte prévalence du VIH. Sont concernés les établissements de santé où l’on recense un taux élevé de séropositivité chez les femmes accédant aux services de soins prénatals, ainsi qu’une faible couverture de dépistage du VIH chez les hommes et les femmes qui ne sont pas enceintes – autrement dit, dans les zones urbaines à forte prévalence, près des mines, dans les quartiers comptant de nombreux bars ou professionnelles du sexe, etc. </w:t>
      </w:r>
    </w:p>
    <w:p w14:paraId="33349C3B" w14:textId="77777777" w:rsidR="00395205" w:rsidRPr="001B5927" w:rsidRDefault="00395205" w:rsidP="00395205">
      <w:pPr>
        <w:rPr>
          <w:sz w:val="26"/>
          <w:szCs w:val="26"/>
        </w:rPr>
      </w:pPr>
      <w:r w:rsidRPr="001B5927">
        <w:rPr>
          <w:sz w:val="26"/>
          <w:szCs w:val="26"/>
          <w:lang w:bidi="fr-FR"/>
        </w:rPr>
        <w:t>Considérations concernant la mobilisation</w:t>
      </w:r>
    </w:p>
    <w:p w14:paraId="045A484C" w14:textId="77777777" w:rsidR="00395205" w:rsidRDefault="00395205" w:rsidP="00395205">
      <w:pPr>
        <w:pStyle w:val="Paragraphedeliste"/>
        <w:numPr>
          <w:ilvl w:val="0"/>
          <w:numId w:val="20"/>
        </w:numPr>
        <w:jc w:val="both"/>
      </w:pPr>
      <w:r>
        <w:rPr>
          <w:lang w:bidi="fr-FR"/>
        </w:rPr>
        <w:t xml:space="preserve">Les agents de santé communautaires doivent contribuer à fournir aux membres de la communauté des informations sur le dépistage du VIH, comme ses avantages et l’emplacement des services concernés. </w:t>
      </w:r>
    </w:p>
    <w:p w14:paraId="16943C51" w14:textId="77777777" w:rsidR="00395205" w:rsidRDefault="00395205" w:rsidP="00395205">
      <w:pPr>
        <w:pStyle w:val="Paragraphedeliste"/>
        <w:numPr>
          <w:ilvl w:val="0"/>
          <w:numId w:val="20"/>
        </w:numPr>
        <w:jc w:val="both"/>
      </w:pPr>
      <w:r>
        <w:rPr>
          <w:lang w:bidi="fr-FR"/>
        </w:rPr>
        <w:t>Les agents psychosociaux doivent promouvoir l’accessibilité et la demande de services de dépistage des proches de cas de référence.</w:t>
      </w:r>
    </w:p>
    <w:p w14:paraId="4FDAA573" w14:textId="77777777" w:rsidR="00395205" w:rsidRDefault="00395205" w:rsidP="00395205">
      <w:pPr>
        <w:pStyle w:val="Paragraphedeliste"/>
        <w:numPr>
          <w:ilvl w:val="0"/>
          <w:numId w:val="20"/>
        </w:numPr>
        <w:jc w:val="both"/>
      </w:pPr>
      <w:r>
        <w:rPr>
          <w:lang w:bidi="fr-FR"/>
        </w:rPr>
        <w:t>Il faut aider les réseaux de PVVIH à convaincre les membres de leur communauté susceptibles d’être exposés au risque d’infection de se soumettre au test de dépistage du VIH.</w:t>
      </w:r>
    </w:p>
    <w:p w14:paraId="120A0532" w14:textId="77777777" w:rsidR="00395205" w:rsidRPr="00B31B42" w:rsidRDefault="00395205" w:rsidP="00395205">
      <w:pPr>
        <w:pStyle w:val="Paragraphedeliste"/>
        <w:ind w:left="360"/>
        <w:jc w:val="both"/>
        <w:rPr>
          <w:sz w:val="4"/>
          <w:szCs w:val="4"/>
        </w:rPr>
      </w:pPr>
    </w:p>
    <w:p w14:paraId="25760F88" w14:textId="77777777" w:rsidR="00395205" w:rsidRPr="001B5927" w:rsidRDefault="00395205" w:rsidP="00395205">
      <w:pPr>
        <w:rPr>
          <w:sz w:val="26"/>
          <w:szCs w:val="26"/>
        </w:rPr>
      </w:pPr>
      <w:r w:rsidRPr="001B5927">
        <w:rPr>
          <w:sz w:val="26"/>
          <w:szCs w:val="26"/>
          <w:lang w:bidi="fr-FR"/>
        </w:rPr>
        <w:t>Considérations concernant l’établissement de liens avec les soins</w:t>
      </w:r>
    </w:p>
    <w:p w14:paraId="3D3E8902" w14:textId="77777777" w:rsidR="00395205" w:rsidRDefault="00395205" w:rsidP="00395205">
      <w:pPr>
        <w:pStyle w:val="Paragraphedeliste"/>
        <w:numPr>
          <w:ilvl w:val="0"/>
          <w:numId w:val="20"/>
        </w:numPr>
        <w:jc w:val="both"/>
      </w:pPr>
      <w:r>
        <w:rPr>
          <w:lang w:bidi="fr-FR"/>
        </w:rPr>
        <w:t xml:space="preserve">Il faut renforcer les mécanismes d’orientation vers les services de </w:t>
      </w:r>
      <w:r w:rsidRPr="00DB5178">
        <w:rPr>
          <w:lang w:bidi="fr-FR"/>
        </w:rPr>
        <w:t>traitement antirétroviral</w:t>
      </w:r>
      <w:r>
        <w:rPr>
          <w:lang w:bidi="fr-FR"/>
        </w:rPr>
        <w:t xml:space="preserve"> et le soutien psychosocial dans les établissements de santé où le CDIS est en place et relève, entre autres, des agents psychosociaux.</w:t>
      </w:r>
    </w:p>
    <w:p w14:paraId="231AD8D6" w14:textId="77777777" w:rsidR="00395205" w:rsidRPr="00E83A91" w:rsidRDefault="00395205" w:rsidP="00395205">
      <w:pPr>
        <w:pStyle w:val="Paragraphedeliste"/>
        <w:numPr>
          <w:ilvl w:val="0"/>
          <w:numId w:val="20"/>
        </w:numPr>
        <w:jc w:val="both"/>
      </w:pPr>
      <w:r>
        <w:rPr>
          <w:lang w:bidi="fr-FR"/>
        </w:rPr>
        <w:t xml:space="preserve">Le taux de mise en relation avec les services de </w:t>
      </w:r>
      <w:r w:rsidRPr="00DB5178">
        <w:rPr>
          <w:lang w:bidi="fr-FR"/>
        </w:rPr>
        <w:t>traitement antirétroviral</w:t>
      </w:r>
      <w:r>
        <w:rPr>
          <w:lang w:bidi="fr-FR"/>
        </w:rPr>
        <w:t xml:space="preserve"> doit faire l’objet d’un suivi rigoureux, axé sur les raisons justifiant le CDIS. </w:t>
      </w:r>
    </w:p>
    <w:p w14:paraId="57FD4BAE" w14:textId="77777777" w:rsidR="00395205" w:rsidRDefault="00395205" w:rsidP="00395205">
      <w:pPr>
        <w:pStyle w:val="Titre4"/>
      </w:pPr>
      <w:r>
        <w:rPr>
          <w:lang w:bidi="fr-FR"/>
        </w:rPr>
        <w:lastRenderedPageBreak/>
        <w:t xml:space="preserve">Figure 8.2 : Résumé des différentes stratégies de dépistage du VIH au sein de la population globale </w:t>
      </w:r>
    </w:p>
    <w:p w14:paraId="2B4D260F" w14:textId="77777777" w:rsidR="00395205" w:rsidRDefault="00395205" w:rsidP="00395205">
      <w:r w:rsidRPr="00A25BDB">
        <w:rPr>
          <w:noProof/>
          <w:lang w:bidi="fr-FR"/>
        </w:rPr>
        <w:drawing>
          <wp:inline distT="0" distB="0" distL="0" distR="0" wp14:anchorId="5401AA3A" wp14:editId="5EEC59CC">
            <wp:extent cx="5731510" cy="3966210"/>
            <wp:effectExtent l="0" t="0" r="889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966210"/>
                    </a:xfrm>
                    <a:prstGeom prst="rect">
                      <a:avLst/>
                    </a:prstGeom>
                    <a:noFill/>
                    <a:ln>
                      <a:noFill/>
                    </a:ln>
                  </pic:spPr>
                </pic:pic>
              </a:graphicData>
            </a:graphic>
          </wp:inline>
        </w:drawing>
      </w:r>
    </w:p>
    <w:p w14:paraId="49B9CABE" w14:textId="77777777" w:rsidR="00395205" w:rsidRDefault="00395205" w:rsidP="00395205">
      <w:pPr>
        <w:pStyle w:val="Titre2"/>
        <w:ind w:left="1080"/>
      </w:pPr>
    </w:p>
    <w:p w14:paraId="77A3A4D3" w14:textId="77777777" w:rsidR="00395205" w:rsidRDefault="00395205" w:rsidP="00395205">
      <w:pPr>
        <w:pStyle w:val="Titre2"/>
        <w:numPr>
          <w:ilvl w:val="1"/>
          <w:numId w:val="45"/>
        </w:numPr>
      </w:pPr>
      <w:bookmarkStart w:id="36" w:name="_Toc8400035"/>
      <w:r>
        <w:rPr>
          <w:lang w:bidi="fr-FR"/>
        </w:rPr>
        <w:t>Femmes enceintes (et allaitantes)</w:t>
      </w:r>
      <w:bookmarkEnd w:id="36"/>
    </w:p>
    <w:p w14:paraId="5BF72FA2" w14:textId="77777777" w:rsidR="00395205" w:rsidRPr="00840BD5" w:rsidRDefault="00395205" w:rsidP="00395205">
      <w:pPr>
        <w:rPr>
          <w:sz w:val="4"/>
          <w:szCs w:val="4"/>
        </w:rPr>
      </w:pPr>
    </w:p>
    <w:p w14:paraId="34EB32CB" w14:textId="77777777" w:rsidR="00395205" w:rsidRDefault="00395205" w:rsidP="00395205">
      <w:pPr>
        <w:jc w:val="both"/>
      </w:pPr>
      <w:r>
        <w:rPr>
          <w:lang w:bidi="fr-FR"/>
        </w:rPr>
        <w:t xml:space="preserve">Le dépistage systématique du VIH chez les femmes enceintes dans les services de soins prénatals, assorti de recommandations supplémentaires, est une composante essentielle du CDIS. La stratégie visant à accroître la proportion de PVVIH conscientes de leur séropositivité en Guinée doit avoir pour objectif d’élever sensiblement le taux de dépistage du virus chez les femmes enceintes et allaitantes. </w:t>
      </w:r>
    </w:p>
    <w:p w14:paraId="3E086086" w14:textId="77777777" w:rsidR="00395205" w:rsidRDefault="00395205" w:rsidP="00395205">
      <w:pPr>
        <w:jc w:val="both"/>
      </w:pPr>
    </w:p>
    <w:p w14:paraId="626BD928" w14:textId="77777777" w:rsidR="00395205" w:rsidRPr="0011327E" w:rsidRDefault="00395205" w:rsidP="00395205">
      <w:pPr>
        <w:rPr>
          <w:sz w:val="26"/>
          <w:szCs w:val="26"/>
        </w:rPr>
      </w:pPr>
      <w:r w:rsidRPr="0011327E">
        <w:rPr>
          <w:b/>
          <w:color w:val="2E74B5" w:themeColor="accent1" w:themeShade="BF"/>
          <w:sz w:val="26"/>
          <w:szCs w:val="26"/>
          <w:lang w:bidi="fr-FR"/>
        </w:rPr>
        <w:t>Quand</w:t>
      </w:r>
      <w:r w:rsidRPr="0011327E">
        <w:rPr>
          <w:sz w:val="26"/>
          <w:szCs w:val="26"/>
          <w:lang w:bidi="fr-FR"/>
        </w:rPr>
        <w:t xml:space="preserve"> le CDIS doit-il être proposé aux femmes enceintes ? </w:t>
      </w:r>
    </w:p>
    <w:p w14:paraId="5E76C39F" w14:textId="77777777" w:rsidR="00395205" w:rsidRDefault="00395205" w:rsidP="00395205">
      <w:pPr>
        <w:pStyle w:val="Paragraphedeliste"/>
        <w:numPr>
          <w:ilvl w:val="0"/>
          <w:numId w:val="16"/>
        </w:numPr>
        <w:jc w:val="both"/>
      </w:pPr>
      <w:r w:rsidRPr="00D80391">
        <w:rPr>
          <w:lang w:bidi="fr-FR"/>
        </w:rPr>
        <w:t>Le CDIS doit être disponible pour les femmes enceintes et allaitantes pendant les heures d’ouverture des établissements de santé.</w:t>
      </w:r>
    </w:p>
    <w:p w14:paraId="0D3BA0C7" w14:textId="77777777" w:rsidR="00395205" w:rsidRDefault="00395205" w:rsidP="00395205">
      <w:pPr>
        <w:pStyle w:val="Paragraphedeliste"/>
        <w:numPr>
          <w:ilvl w:val="0"/>
          <w:numId w:val="16"/>
        </w:numPr>
        <w:jc w:val="both"/>
      </w:pPr>
      <w:r w:rsidRPr="00D80391">
        <w:rPr>
          <w:lang w:bidi="fr-FR"/>
        </w:rPr>
        <w:t>Le CDIS pour les femmes enceintes et allaitantes doit être disponible 24 heures sur 24 dans les salles de travail et d’accouchement.</w:t>
      </w:r>
    </w:p>
    <w:p w14:paraId="4393A8FE" w14:textId="77777777" w:rsidR="00395205" w:rsidRDefault="00395205" w:rsidP="00395205">
      <w:pPr>
        <w:pStyle w:val="Paragraphedeliste"/>
        <w:numPr>
          <w:ilvl w:val="0"/>
          <w:numId w:val="16"/>
        </w:numPr>
        <w:jc w:val="both"/>
      </w:pPr>
      <w:r w:rsidRPr="00D80391">
        <w:rPr>
          <w:lang w:bidi="fr-FR"/>
        </w:rPr>
        <w:t xml:space="preserve">Les agents de santé formés à l’identification de profils spécifiques doivent prendre en charge le CDIS et les services de dépistage du VIH dans l’ensemble des structures sanitaires accréditées. </w:t>
      </w:r>
    </w:p>
    <w:p w14:paraId="12C6E2AE" w14:textId="77777777" w:rsidR="00395205" w:rsidRDefault="00395205" w:rsidP="00395205">
      <w:pPr>
        <w:pStyle w:val="Paragraphedeliste"/>
        <w:numPr>
          <w:ilvl w:val="0"/>
          <w:numId w:val="16"/>
        </w:numPr>
        <w:jc w:val="both"/>
      </w:pPr>
      <w:r>
        <w:rPr>
          <w:lang w:bidi="fr-FR"/>
        </w:rPr>
        <w:t xml:space="preserve">Dans l’idéal, le diagnostic présomptif, le dépistage lui-même et la communication des résultats sont pris en charge par le même agent de santé afin de réduire le risque que les patients ne fassent pas le test ou n’aient pas recours aux conseils ultérieurs. </w:t>
      </w:r>
    </w:p>
    <w:p w14:paraId="72F2EED8" w14:textId="77777777" w:rsidR="00395205" w:rsidRDefault="00395205" w:rsidP="00395205">
      <w:pPr>
        <w:pStyle w:val="Paragraphedeliste"/>
        <w:numPr>
          <w:ilvl w:val="0"/>
          <w:numId w:val="16"/>
        </w:numPr>
        <w:jc w:val="both"/>
      </w:pPr>
      <w:r>
        <w:rPr>
          <w:lang w:bidi="fr-FR"/>
        </w:rPr>
        <w:t xml:space="preserve">Les techniciens de laboratoire, les cliniciens ou le personnel infirmier peuvent assurer les services de dépistage du VIH dans les établissements de santé. </w:t>
      </w:r>
    </w:p>
    <w:p w14:paraId="6CC1D92A" w14:textId="77777777" w:rsidR="00395205" w:rsidRDefault="00395205" w:rsidP="00395205">
      <w:pPr>
        <w:jc w:val="both"/>
      </w:pPr>
    </w:p>
    <w:p w14:paraId="63B51478" w14:textId="77777777" w:rsidR="00395205" w:rsidRPr="009F4B8C" w:rsidRDefault="00395205" w:rsidP="00395205">
      <w:pPr>
        <w:rPr>
          <w:sz w:val="28"/>
          <w:szCs w:val="28"/>
        </w:rPr>
      </w:pPr>
      <w:r w:rsidRPr="00A6783C">
        <w:rPr>
          <w:b/>
          <w:color w:val="ED7D31" w:themeColor="accent2"/>
          <w:sz w:val="26"/>
          <w:szCs w:val="26"/>
          <w:lang w:bidi="fr-FR"/>
        </w:rPr>
        <w:lastRenderedPageBreak/>
        <w:t>Où</w:t>
      </w:r>
      <w:r w:rsidRPr="009F4B8C">
        <w:rPr>
          <w:sz w:val="28"/>
          <w:szCs w:val="28"/>
          <w:lang w:bidi="fr-FR"/>
        </w:rPr>
        <w:t xml:space="preserve"> le CDIS doit-il être proposé aux femmes enceintes ? </w:t>
      </w:r>
    </w:p>
    <w:p w14:paraId="34DF354F" w14:textId="77777777" w:rsidR="00395205" w:rsidRDefault="00395205" w:rsidP="00395205">
      <w:pPr>
        <w:pStyle w:val="Paragraphedeliste"/>
        <w:numPr>
          <w:ilvl w:val="0"/>
          <w:numId w:val="16"/>
        </w:numPr>
        <w:jc w:val="both"/>
      </w:pPr>
      <w:r>
        <w:rPr>
          <w:lang w:bidi="fr-FR"/>
        </w:rPr>
        <w:t>L’intensification des services de conseil et de dépistage des femmes enceintes à l’initiative du soignant doit faire en sorte que le dépistage du VIH soit systématiquement proposé dans le cadre des soins prénatals i) dans l’ensemble des centres de santé et ii) dans les postes sanitaires des zones susceptibles de présenter une forte prévalence du VIH, notamment les zones urbaines, près des frontières et des mines, etc.</w:t>
      </w:r>
    </w:p>
    <w:p w14:paraId="720CD8E2" w14:textId="77777777" w:rsidR="00395205" w:rsidRDefault="00395205" w:rsidP="00395205">
      <w:pPr>
        <w:pStyle w:val="Paragraphedeliste"/>
        <w:numPr>
          <w:ilvl w:val="0"/>
          <w:numId w:val="16"/>
        </w:numPr>
        <w:jc w:val="both"/>
      </w:pPr>
      <w:r>
        <w:rPr>
          <w:lang w:bidi="fr-FR"/>
        </w:rPr>
        <w:t xml:space="preserve">Une priorité de rang secondaire consiste à garantir que le conseil et le dépistage systématiques des femmes enceintes à l’initiative du soignant soient disponibles dans l’ensemble des établissements de santé assurant des soins prénatals, </w:t>
      </w:r>
      <w:r>
        <w:rPr>
          <w:i/>
          <w:lang w:bidi="fr-FR"/>
        </w:rPr>
        <w:t>y compris lorsque l’option B+ (</w:t>
      </w:r>
      <w:r w:rsidRPr="00DB5178">
        <w:rPr>
          <w:i/>
          <w:lang w:bidi="fr-FR"/>
        </w:rPr>
        <w:t>traitement antirétroviral</w:t>
      </w:r>
      <w:r>
        <w:rPr>
          <w:i/>
          <w:lang w:bidi="fr-FR"/>
        </w:rPr>
        <w:t>) n’est pas fournie sur place</w:t>
      </w:r>
      <w:r>
        <w:rPr>
          <w:lang w:bidi="fr-FR"/>
        </w:rPr>
        <w:t>.</w:t>
      </w:r>
    </w:p>
    <w:p w14:paraId="71E9575A" w14:textId="77777777" w:rsidR="00395205" w:rsidRPr="009E610B" w:rsidRDefault="00395205" w:rsidP="00395205">
      <w:pPr>
        <w:rPr>
          <w:sz w:val="4"/>
          <w:szCs w:val="4"/>
        </w:rPr>
      </w:pPr>
    </w:p>
    <w:p w14:paraId="1FC8FE46" w14:textId="77777777" w:rsidR="00395205" w:rsidRPr="009E610B" w:rsidRDefault="00395205" w:rsidP="00395205">
      <w:pPr>
        <w:rPr>
          <w:sz w:val="4"/>
          <w:szCs w:val="4"/>
        </w:rPr>
      </w:pPr>
    </w:p>
    <w:p w14:paraId="7CCF9087" w14:textId="77777777" w:rsidR="00395205" w:rsidRPr="000C2347" w:rsidRDefault="00395205" w:rsidP="00395205">
      <w:pPr>
        <w:rPr>
          <w:sz w:val="26"/>
          <w:szCs w:val="26"/>
        </w:rPr>
      </w:pPr>
      <w:r w:rsidRPr="00015886">
        <w:rPr>
          <w:b/>
          <w:color w:val="FF0000"/>
          <w:sz w:val="26"/>
          <w:szCs w:val="26"/>
          <w:lang w:bidi="fr-FR"/>
        </w:rPr>
        <w:t>Quels services</w:t>
      </w:r>
      <w:r w:rsidRPr="000C2347">
        <w:rPr>
          <w:sz w:val="26"/>
          <w:szCs w:val="26"/>
          <w:lang w:bidi="fr-FR"/>
        </w:rPr>
        <w:t xml:space="preserve"> doivent accompagner le CDIS proposé aux femmes enceintes ? </w:t>
      </w:r>
    </w:p>
    <w:p w14:paraId="41E887B9" w14:textId="77777777" w:rsidR="00395205" w:rsidRDefault="00395205" w:rsidP="00395205">
      <w:pPr>
        <w:pStyle w:val="Paragraphedeliste"/>
        <w:numPr>
          <w:ilvl w:val="0"/>
          <w:numId w:val="21"/>
        </w:numPr>
        <w:jc w:val="both"/>
      </w:pPr>
      <w:r>
        <w:rPr>
          <w:lang w:bidi="fr-FR"/>
        </w:rPr>
        <w:t xml:space="preserve">Toutes les femmes enceintes ayant recours aux services de soins prénatals doivent avoir la possibilité de faire </w:t>
      </w:r>
      <w:r>
        <w:rPr>
          <w:b/>
          <w:lang w:bidi="fr-FR"/>
        </w:rPr>
        <w:t xml:space="preserve">un </w:t>
      </w:r>
      <w:r>
        <w:rPr>
          <w:lang w:bidi="fr-FR"/>
        </w:rPr>
        <w:t>test de dépistage du VIH par grossesse.</w:t>
      </w:r>
    </w:p>
    <w:p w14:paraId="10ABA7A4" w14:textId="77777777" w:rsidR="00395205" w:rsidRDefault="00395205" w:rsidP="00395205">
      <w:pPr>
        <w:pStyle w:val="Paragraphedeliste"/>
        <w:numPr>
          <w:ilvl w:val="0"/>
          <w:numId w:val="21"/>
        </w:numPr>
        <w:jc w:val="both"/>
      </w:pPr>
      <w:r>
        <w:rPr>
          <w:lang w:bidi="fr-FR"/>
        </w:rPr>
        <w:t>La répétition systématique des tests de dépistage chez les femmes enceintes séronégatives pendant le troisième trimestre de la grossesse et pendant ou après l’accouchement n’étant pas recommandée dans les zones à faible prévalence du VIH, cette pratique doit être abandonnée en Guinée.</w:t>
      </w:r>
    </w:p>
    <w:p w14:paraId="244AF37B" w14:textId="77777777" w:rsidR="00395205" w:rsidRDefault="00395205" w:rsidP="00395205">
      <w:pPr>
        <w:pStyle w:val="Paragraphedeliste"/>
        <w:numPr>
          <w:ilvl w:val="0"/>
          <w:numId w:val="21"/>
        </w:numPr>
        <w:jc w:val="both"/>
      </w:pPr>
      <w:r>
        <w:rPr>
          <w:lang w:bidi="fr-FR"/>
        </w:rPr>
        <w:t>La répétition des tests de dépistage chez les femmes enceintes séronégatives doit se limiter aux femmes à haut risque (celles ayant un partenaire séropositif, les professionnelles du sexe, etc.) déclarées séronégatives après un premier test effectué pendant la grossesse.</w:t>
      </w:r>
    </w:p>
    <w:p w14:paraId="6A6B724C" w14:textId="77777777" w:rsidR="00395205" w:rsidRDefault="00395205" w:rsidP="00395205">
      <w:pPr>
        <w:pStyle w:val="Paragraphedeliste"/>
        <w:numPr>
          <w:ilvl w:val="0"/>
          <w:numId w:val="21"/>
        </w:numPr>
        <w:jc w:val="both"/>
      </w:pPr>
      <w:r>
        <w:rPr>
          <w:lang w:bidi="fr-FR"/>
        </w:rPr>
        <w:t>Les femmes apprenant leur séropositivité dans le cadre des soins prénatals doivent se voir proposer systématiquement des services de notification volontaire assistée à leur(s) partenaire(s), au même titre qu’un accompagnement psychosocial relevant de mécanismes communautaires ou cliniques, dont les agents psychosociaux.</w:t>
      </w:r>
    </w:p>
    <w:p w14:paraId="370CCBCA" w14:textId="77777777" w:rsidR="00395205" w:rsidRDefault="00395205" w:rsidP="00395205">
      <w:pPr>
        <w:pStyle w:val="Paragraphedeliste"/>
        <w:numPr>
          <w:ilvl w:val="0"/>
          <w:numId w:val="21"/>
        </w:numPr>
        <w:jc w:val="both"/>
      </w:pPr>
      <w:r w:rsidRPr="009B588A">
        <w:rPr>
          <w:color w:val="000000"/>
          <w:lang w:bidi="fr-FR"/>
        </w:rPr>
        <w:t>Il convient de systématiquement proposer un dépistage du VIH et un suivi aux enfants de femmes séropositives (outre des campagnes régulières de ratissage) dans le cadre de la PTME.</w:t>
      </w:r>
    </w:p>
    <w:p w14:paraId="00F2D9BB" w14:textId="77777777" w:rsidR="00395205" w:rsidRDefault="00395205" w:rsidP="00395205">
      <w:pPr>
        <w:pStyle w:val="Paragraphedeliste"/>
        <w:numPr>
          <w:ilvl w:val="0"/>
          <w:numId w:val="21"/>
        </w:numPr>
        <w:jc w:val="both"/>
      </w:pPr>
      <w:r>
        <w:rPr>
          <w:lang w:bidi="fr-FR"/>
        </w:rPr>
        <w:t>Un appui doit être fourni aux cliniques enregistrant de forts rendements de dépistage et dont les services en la matière sont insuffisants, afin d’augmenter le nombre de femmes faisant le test de dépistage du VIH.</w:t>
      </w:r>
    </w:p>
    <w:p w14:paraId="7F978A23" w14:textId="77777777" w:rsidR="00395205" w:rsidRDefault="00395205" w:rsidP="00395205">
      <w:pPr>
        <w:pStyle w:val="Paragraphedeliste"/>
        <w:ind w:left="360"/>
        <w:jc w:val="both"/>
      </w:pPr>
    </w:p>
    <w:p w14:paraId="739B4B30" w14:textId="77777777" w:rsidR="00395205" w:rsidRPr="00BC022B" w:rsidRDefault="00395205" w:rsidP="00395205">
      <w:pPr>
        <w:rPr>
          <w:sz w:val="26"/>
          <w:szCs w:val="26"/>
        </w:rPr>
      </w:pPr>
      <w:r w:rsidRPr="001B5927">
        <w:rPr>
          <w:sz w:val="26"/>
          <w:szCs w:val="26"/>
          <w:lang w:bidi="fr-FR"/>
        </w:rPr>
        <w:t>Considérations concernant la mobilisation</w:t>
      </w:r>
    </w:p>
    <w:p w14:paraId="27A05A2A" w14:textId="77777777" w:rsidR="00395205" w:rsidRPr="00C82247" w:rsidRDefault="00395205" w:rsidP="00395205">
      <w:pPr>
        <w:pStyle w:val="Paragraphedeliste"/>
        <w:numPr>
          <w:ilvl w:val="0"/>
          <w:numId w:val="20"/>
        </w:numPr>
        <w:jc w:val="both"/>
      </w:pPr>
      <w:r>
        <w:rPr>
          <w:lang w:bidi="fr-FR"/>
        </w:rPr>
        <w:t>Il faut exploiter les efforts des programmes de santé maternelle visant à encourager le recours aux soins prénatals et à augmenter la présence de personnel qualifié lors de l’accouchement pour promouvoir le dépistage du VIH chez les femmes enceintes.</w:t>
      </w:r>
    </w:p>
    <w:p w14:paraId="4DAFBC1F" w14:textId="77777777" w:rsidR="00395205" w:rsidRPr="001B5927" w:rsidRDefault="00395205" w:rsidP="00395205">
      <w:pPr>
        <w:rPr>
          <w:sz w:val="26"/>
          <w:szCs w:val="26"/>
        </w:rPr>
      </w:pPr>
      <w:r w:rsidRPr="001B5927">
        <w:rPr>
          <w:sz w:val="26"/>
          <w:szCs w:val="26"/>
          <w:lang w:bidi="fr-FR"/>
        </w:rPr>
        <w:t>Considérations concernant l’établissement de liens avec les soins</w:t>
      </w:r>
    </w:p>
    <w:p w14:paraId="69D0DA4F" w14:textId="77777777" w:rsidR="00395205" w:rsidRDefault="00395205" w:rsidP="00395205">
      <w:pPr>
        <w:pStyle w:val="Paragraphedeliste"/>
        <w:numPr>
          <w:ilvl w:val="0"/>
          <w:numId w:val="20"/>
        </w:numPr>
        <w:jc w:val="both"/>
      </w:pPr>
      <w:r>
        <w:rPr>
          <w:lang w:bidi="fr-FR"/>
        </w:rPr>
        <w:t xml:space="preserve">Le </w:t>
      </w:r>
      <w:r w:rsidRPr="00DB5178">
        <w:rPr>
          <w:lang w:bidi="fr-FR"/>
        </w:rPr>
        <w:t>traitement antirétroviral</w:t>
      </w:r>
      <w:r>
        <w:rPr>
          <w:lang w:bidi="fr-FR"/>
        </w:rPr>
        <w:t xml:space="preserve"> doit être proposé en même temps que la communication du diagnostic de séropositivité ou dès que le patient est jugé prêt.</w:t>
      </w:r>
    </w:p>
    <w:p w14:paraId="0C53FBDE" w14:textId="77777777" w:rsidR="00395205" w:rsidRDefault="00395205" w:rsidP="00395205">
      <w:pPr>
        <w:pStyle w:val="Paragraphedeliste"/>
        <w:numPr>
          <w:ilvl w:val="0"/>
          <w:numId w:val="20"/>
        </w:numPr>
        <w:jc w:val="both"/>
      </w:pPr>
      <w:r>
        <w:rPr>
          <w:lang w:bidi="fr-FR"/>
        </w:rPr>
        <w:t>Au moins un agent psychosocial doit être disponible dans chaque centre de santé et poste sanitaire assurant le dépistage du VIH dans le cadre des soins prénatals afin de fournir un soutien psychosocial aux femmes apprenant leur séropositivité, y compris à l’occasion de visites à domicile si tel est leur souhait, en vue de promouvoir la mise en route d’un</w:t>
      </w:r>
      <w:r w:rsidRPr="00DB5178">
        <w:t xml:space="preserve"> </w:t>
      </w:r>
      <w:r w:rsidRPr="00DB5178">
        <w:rPr>
          <w:lang w:bidi="fr-FR"/>
        </w:rPr>
        <w:t>traitement antirétroviral</w:t>
      </w:r>
      <w:r>
        <w:rPr>
          <w:lang w:bidi="fr-FR"/>
        </w:rPr>
        <w:t>.</w:t>
      </w:r>
    </w:p>
    <w:p w14:paraId="0CF22E19" w14:textId="77777777" w:rsidR="00395205" w:rsidRDefault="00395205" w:rsidP="00395205">
      <w:pPr>
        <w:pStyle w:val="Paragraphedeliste"/>
        <w:numPr>
          <w:ilvl w:val="0"/>
          <w:numId w:val="20"/>
        </w:numPr>
        <w:jc w:val="both"/>
      </w:pPr>
      <w:r>
        <w:rPr>
          <w:lang w:bidi="fr-FR"/>
        </w:rPr>
        <w:lastRenderedPageBreak/>
        <w:t xml:space="preserve">En cas de rupture de stock empêchant le début de la thérapie, il faut réorienter les femmes vers les centres les plus proches où elles peuvent bénéficier d’un </w:t>
      </w:r>
      <w:r w:rsidRPr="00DB5178">
        <w:rPr>
          <w:lang w:bidi="fr-FR"/>
        </w:rPr>
        <w:t>traitement antirétroviral</w:t>
      </w:r>
      <w:r>
        <w:rPr>
          <w:lang w:bidi="fr-FR"/>
        </w:rPr>
        <w:t>, ou les contacter une fois que le traitement est disponible.</w:t>
      </w:r>
    </w:p>
    <w:p w14:paraId="41DF1C45" w14:textId="77777777" w:rsidR="00395205" w:rsidRDefault="00395205" w:rsidP="00395205">
      <w:pPr>
        <w:pStyle w:val="Paragraphedeliste"/>
        <w:numPr>
          <w:ilvl w:val="0"/>
          <w:numId w:val="20"/>
        </w:numPr>
        <w:jc w:val="both"/>
      </w:pPr>
      <w:r>
        <w:rPr>
          <w:lang w:bidi="fr-FR"/>
        </w:rPr>
        <w:t>Les agents psychosociaux doivent orienter les femmes vers les services de prise en charge lorsque leur nourrisson est âgé de 18 mois.</w:t>
      </w:r>
    </w:p>
    <w:p w14:paraId="274C5CD5" w14:textId="77777777" w:rsidR="00395205" w:rsidRDefault="00395205" w:rsidP="00395205">
      <w:pPr>
        <w:pStyle w:val="Titre4"/>
      </w:pPr>
      <w:r>
        <w:rPr>
          <w:lang w:bidi="fr-FR"/>
        </w:rPr>
        <w:t>Figure 8.3 : Résumé des différentes stratégies de dépistage du VIH chez les femmes enceintes</w:t>
      </w:r>
    </w:p>
    <w:p w14:paraId="37922215" w14:textId="77777777" w:rsidR="00395205" w:rsidRDefault="00395205" w:rsidP="00395205">
      <w:r w:rsidRPr="00057DDE">
        <w:rPr>
          <w:noProof/>
          <w:lang w:bidi="fr-FR"/>
        </w:rPr>
        <w:drawing>
          <wp:inline distT="0" distB="0" distL="0" distR="0" wp14:anchorId="2C3DC213" wp14:editId="584B1A02">
            <wp:extent cx="5731510" cy="3714275"/>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714275"/>
                    </a:xfrm>
                    <a:prstGeom prst="rect">
                      <a:avLst/>
                    </a:prstGeom>
                    <a:noFill/>
                    <a:ln>
                      <a:noFill/>
                    </a:ln>
                  </pic:spPr>
                </pic:pic>
              </a:graphicData>
            </a:graphic>
          </wp:inline>
        </w:drawing>
      </w:r>
    </w:p>
    <w:p w14:paraId="7C325D23" w14:textId="77777777" w:rsidR="00395205" w:rsidRDefault="00395205" w:rsidP="00395205">
      <w:pPr>
        <w:pStyle w:val="Titre2"/>
        <w:numPr>
          <w:ilvl w:val="1"/>
          <w:numId w:val="45"/>
        </w:numPr>
      </w:pPr>
      <w:bookmarkStart w:id="37" w:name="_Toc8400036"/>
      <w:r>
        <w:rPr>
          <w:lang w:bidi="fr-FR"/>
        </w:rPr>
        <w:t>Enfants et adolescents</w:t>
      </w:r>
      <w:bookmarkEnd w:id="37"/>
    </w:p>
    <w:p w14:paraId="332BFBEE" w14:textId="77777777" w:rsidR="00395205" w:rsidRDefault="00395205" w:rsidP="00395205">
      <w:pPr>
        <w:rPr>
          <w:b/>
        </w:rPr>
      </w:pPr>
    </w:p>
    <w:p w14:paraId="396CA8D0" w14:textId="77777777" w:rsidR="00395205" w:rsidRPr="006A2E81" w:rsidRDefault="00395205" w:rsidP="00395205">
      <w:pPr>
        <w:rPr>
          <w:sz w:val="26"/>
          <w:szCs w:val="26"/>
        </w:rPr>
      </w:pPr>
      <w:r w:rsidRPr="006A2E81">
        <w:rPr>
          <w:b/>
          <w:color w:val="2E74B5" w:themeColor="accent1" w:themeShade="BF"/>
          <w:sz w:val="26"/>
          <w:szCs w:val="26"/>
          <w:lang w:bidi="fr-FR"/>
        </w:rPr>
        <w:t>Quand</w:t>
      </w:r>
      <w:r w:rsidRPr="006A2E81">
        <w:rPr>
          <w:sz w:val="26"/>
          <w:szCs w:val="26"/>
          <w:lang w:bidi="fr-FR"/>
        </w:rPr>
        <w:t xml:space="preserve"> le CDIS doit-il être proposé aux enfants et aux adolescents ? </w:t>
      </w:r>
    </w:p>
    <w:p w14:paraId="1894F4C1" w14:textId="77777777" w:rsidR="00395205" w:rsidRDefault="00395205" w:rsidP="00395205">
      <w:pPr>
        <w:pStyle w:val="Paragraphedeliste"/>
        <w:numPr>
          <w:ilvl w:val="0"/>
          <w:numId w:val="21"/>
        </w:numPr>
        <w:jc w:val="both"/>
      </w:pPr>
      <w:r>
        <w:rPr>
          <w:lang w:bidi="fr-FR"/>
        </w:rPr>
        <w:t>Lorsqu’une mère est déclarée séropositive dans le cadre des soins anténatals ou de tout autre service de dépistage, il faut dès que possible proposer le dépistage à tous ses enfants (ainsi qu’à son partenaire et à ses coépouses).</w:t>
      </w:r>
    </w:p>
    <w:p w14:paraId="257E44A4" w14:textId="77777777" w:rsidR="00395205" w:rsidRDefault="00395205" w:rsidP="00395205">
      <w:pPr>
        <w:pStyle w:val="Paragraphedeliste"/>
        <w:numPr>
          <w:ilvl w:val="0"/>
          <w:numId w:val="21"/>
        </w:numPr>
        <w:jc w:val="both"/>
      </w:pPr>
      <w:r>
        <w:rPr>
          <w:lang w:bidi="fr-FR"/>
        </w:rPr>
        <w:t xml:space="preserve">Il faut proposer le dépistage du VIH à tous les enfants hospitalisés qui présentent des signes de malnutrition dès leur admission.  </w:t>
      </w:r>
    </w:p>
    <w:p w14:paraId="781C07B7" w14:textId="77777777" w:rsidR="00395205" w:rsidRDefault="00395205" w:rsidP="00395205">
      <w:pPr>
        <w:pStyle w:val="Paragraphedeliste"/>
        <w:numPr>
          <w:ilvl w:val="0"/>
          <w:numId w:val="21"/>
        </w:numPr>
        <w:jc w:val="both"/>
      </w:pPr>
      <w:r>
        <w:rPr>
          <w:lang w:bidi="fr-FR"/>
        </w:rPr>
        <w:t>Il faut proposer le test de dépistage du VIH aux adolescentes ayant recours aux services de planification familiale.</w:t>
      </w:r>
    </w:p>
    <w:p w14:paraId="6660E3E6" w14:textId="77777777" w:rsidR="00395205" w:rsidRPr="00427263" w:rsidRDefault="00395205" w:rsidP="00395205">
      <w:pPr>
        <w:pStyle w:val="Paragraphedeliste"/>
        <w:ind w:left="360"/>
        <w:jc w:val="both"/>
      </w:pPr>
    </w:p>
    <w:p w14:paraId="2E13E877" w14:textId="77777777" w:rsidR="00395205" w:rsidRPr="006A2E81" w:rsidRDefault="00395205" w:rsidP="00395205">
      <w:pPr>
        <w:rPr>
          <w:sz w:val="26"/>
          <w:szCs w:val="26"/>
        </w:rPr>
      </w:pPr>
      <w:r w:rsidRPr="006A2E81">
        <w:rPr>
          <w:b/>
          <w:color w:val="ED7D31" w:themeColor="accent2"/>
          <w:sz w:val="26"/>
          <w:szCs w:val="26"/>
          <w:lang w:bidi="fr-FR"/>
        </w:rPr>
        <w:t xml:space="preserve">Où </w:t>
      </w:r>
      <w:r w:rsidRPr="006A2E81">
        <w:rPr>
          <w:sz w:val="26"/>
          <w:szCs w:val="26"/>
          <w:lang w:bidi="fr-FR"/>
        </w:rPr>
        <w:t xml:space="preserve">le CDIS doit-il être proposé aux enfants et aux adolescents ? </w:t>
      </w:r>
    </w:p>
    <w:p w14:paraId="4CC9E503" w14:textId="77777777" w:rsidR="00395205" w:rsidRDefault="00395205" w:rsidP="00395205">
      <w:pPr>
        <w:pStyle w:val="Paragraphedeliste"/>
        <w:numPr>
          <w:ilvl w:val="0"/>
          <w:numId w:val="46"/>
        </w:numPr>
        <w:jc w:val="both"/>
      </w:pPr>
      <w:r>
        <w:rPr>
          <w:lang w:bidi="fr-FR"/>
        </w:rPr>
        <w:t>Les services de CDIS pour les enfants et les adolescents dont la mère est séropositive doivent être intégrés dans les programmes de PTME.</w:t>
      </w:r>
    </w:p>
    <w:p w14:paraId="78637E60" w14:textId="77777777" w:rsidR="00395205" w:rsidRDefault="00395205" w:rsidP="00395205">
      <w:pPr>
        <w:pStyle w:val="Paragraphedeliste"/>
        <w:numPr>
          <w:ilvl w:val="0"/>
          <w:numId w:val="46"/>
        </w:numPr>
        <w:jc w:val="both"/>
      </w:pPr>
      <w:r>
        <w:rPr>
          <w:lang w:bidi="fr-FR"/>
        </w:rPr>
        <w:t>Les agents psychosociaux peuvent proposer les tests lors des visites à domicile dans le cadre du dépistage des proches d’un cas de référence.</w:t>
      </w:r>
    </w:p>
    <w:p w14:paraId="1BF4245C" w14:textId="77777777" w:rsidR="00395205" w:rsidRDefault="00395205" w:rsidP="00395205">
      <w:pPr>
        <w:pStyle w:val="Paragraphedeliste"/>
        <w:numPr>
          <w:ilvl w:val="0"/>
          <w:numId w:val="46"/>
        </w:numPr>
        <w:jc w:val="both"/>
      </w:pPr>
      <w:r>
        <w:rPr>
          <w:lang w:bidi="fr-FR"/>
        </w:rPr>
        <w:lastRenderedPageBreak/>
        <w:t>Il faut proposer le test de dépistage du VIH aux adolescentes ayant recours aux services de planification familiale.</w:t>
      </w:r>
    </w:p>
    <w:p w14:paraId="00239E17" w14:textId="77777777" w:rsidR="00395205" w:rsidRDefault="00395205" w:rsidP="00395205">
      <w:pPr>
        <w:pStyle w:val="Paragraphedeliste"/>
        <w:ind w:left="360"/>
        <w:jc w:val="both"/>
      </w:pPr>
    </w:p>
    <w:p w14:paraId="71748276" w14:textId="77777777" w:rsidR="00395205" w:rsidRPr="006A2E81" w:rsidRDefault="00395205" w:rsidP="00395205">
      <w:pPr>
        <w:rPr>
          <w:sz w:val="26"/>
          <w:szCs w:val="26"/>
        </w:rPr>
      </w:pPr>
      <w:r w:rsidRPr="006A2E81">
        <w:rPr>
          <w:b/>
          <w:color w:val="AEAAAA" w:themeColor="background2" w:themeShade="BF"/>
          <w:sz w:val="26"/>
          <w:szCs w:val="26"/>
          <w:lang w:bidi="fr-FR"/>
        </w:rPr>
        <w:t>Quels soignants</w:t>
      </w:r>
      <w:r w:rsidRPr="006A2E81">
        <w:rPr>
          <w:sz w:val="26"/>
          <w:szCs w:val="26"/>
          <w:lang w:bidi="fr-FR"/>
        </w:rPr>
        <w:t xml:space="preserve"> peuvent proposer le conseil et le dépistage aux enfants et aux adolescents ? </w:t>
      </w:r>
    </w:p>
    <w:p w14:paraId="1DBDEC38" w14:textId="77777777" w:rsidR="00395205" w:rsidRDefault="00395205" w:rsidP="00395205">
      <w:pPr>
        <w:pStyle w:val="Paragraphedeliste"/>
        <w:numPr>
          <w:ilvl w:val="0"/>
          <w:numId w:val="21"/>
        </w:numPr>
        <w:jc w:val="both"/>
      </w:pPr>
      <w:r>
        <w:rPr>
          <w:lang w:bidi="fr-FR"/>
        </w:rPr>
        <w:t xml:space="preserve">Le personnel infirmier ou les sages-femmes fournissent des services de diagnostic précoce des nourrissons dont la mère est séropositive et de dépistage du VIH chez les enfants plus âgés. </w:t>
      </w:r>
    </w:p>
    <w:p w14:paraId="1A1BF23E" w14:textId="77777777" w:rsidR="00395205" w:rsidRDefault="00395205" w:rsidP="00395205">
      <w:pPr>
        <w:pStyle w:val="Paragraphedeliste"/>
        <w:numPr>
          <w:ilvl w:val="0"/>
          <w:numId w:val="21"/>
        </w:numPr>
        <w:jc w:val="both"/>
      </w:pPr>
      <w:r>
        <w:rPr>
          <w:lang w:bidi="fr-FR"/>
        </w:rPr>
        <w:t>Les agents psychosociaux peuvent aussi fournir des services de dépistage du VIH chez les enfants et les adolescents.</w:t>
      </w:r>
    </w:p>
    <w:p w14:paraId="3D28FC75" w14:textId="77777777" w:rsidR="00395205" w:rsidRPr="006A2E81" w:rsidRDefault="00395205" w:rsidP="00395205">
      <w:pPr>
        <w:rPr>
          <w:sz w:val="26"/>
          <w:szCs w:val="26"/>
        </w:rPr>
      </w:pPr>
      <w:r w:rsidRPr="006A2E81">
        <w:rPr>
          <w:b/>
          <w:color w:val="FF0000"/>
          <w:sz w:val="26"/>
          <w:szCs w:val="26"/>
          <w:lang w:bidi="fr-FR"/>
        </w:rPr>
        <w:t>Quels services</w:t>
      </w:r>
      <w:r w:rsidRPr="006A2E81">
        <w:rPr>
          <w:sz w:val="26"/>
          <w:szCs w:val="26"/>
          <w:lang w:bidi="fr-FR"/>
        </w:rPr>
        <w:t xml:space="preserve"> doivent être proposés aux enfants et aux adolescents ? </w:t>
      </w:r>
    </w:p>
    <w:p w14:paraId="6869D65D" w14:textId="77777777" w:rsidR="00395205" w:rsidRDefault="00395205" w:rsidP="00395205">
      <w:pPr>
        <w:pStyle w:val="Paragraphedeliste"/>
        <w:numPr>
          <w:ilvl w:val="0"/>
          <w:numId w:val="21"/>
        </w:numPr>
        <w:jc w:val="both"/>
      </w:pPr>
      <w:r>
        <w:rPr>
          <w:lang w:bidi="fr-FR"/>
        </w:rPr>
        <w:t>Le diagnostic précoce doit être proposé pour tous les nourrissons exposés.</w:t>
      </w:r>
    </w:p>
    <w:p w14:paraId="3F51A106" w14:textId="77777777" w:rsidR="00395205" w:rsidRPr="004C6AB9" w:rsidRDefault="00395205" w:rsidP="00395205">
      <w:pPr>
        <w:pStyle w:val="Paragraphedeliste"/>
        <w:numPr>
          <w:ilvl w:val="0"/>
          <w:numId w:val="21"/>
        </w:numPr>
        <w:jc w:val="both"/>
      </w:pPr>
      <w:r>
        <w:rPr>
          <w:lang w:bidi="fr-FR"/>
        </w:rPr>
        <w:t>Il faut mener des campagnes de rattrapage chez les nourrissons dont la mère a été perdue de vue en amont de la cascade de soins de PTME</w:t>
      </w:r>
    </w:p>
    <w:p w14:paraId="399B4AF5" w14:textId="77777777" w:rsidR="00395205" w:rsidRDefault="00395205" w:rsidP="00395205">
      <w:pPr>
        <w:rPr>
          <w:sz w:val="26"/>
          <w:szCs w:val="26"/>
        </w:rPr>
      </w:pPr>
      <w:r w:rsidRPr="001B5927">
        <w:rPr>
          <w:sz w:val="26"/>
          <w:szCs w:val="26"/>
          <w:lang w:bidi="fr-FR"/>
        </w:rPr>
        <w:t>Considérations concernant la mobilisation</w:t>
      </w:r>
    </w:p>
    <w:p w14:paraId="15976270" w14:textId="77777777" w:rsidR="00395205" w:rsidRPr="00DB6D70" w:rsidRDefault="00395205" w:rsidP="00395205">
      <w:pPr>
        <w:pStyle w:val="Paragraphedeliste"/>
        <w:numPr>
          <w:ilvl w:val="0"/>
          <w:numId w:val="21"/>
        </w:numPr>
        <w:jc w:val="both"/>
      </w:pPr>
      <w:r>
        <w:rPr>
          <w:lang w:bidi="fr-FR"/>
        </w:rPr>
        <w:t>Les agents psychosociaux et les agents de santé communautaires doivent activement promouvoir le dépistage des enfants dans le cadre des visites à domicile.</w:t>
      </w:r>
    </w:p>
    <w:p w14:paraId="6BA81676" w14:textId="77777777" w:rsidR="00395205" w:rsidRPr="001B5927" w:rsidRDefault="00395205" w:rsidP="00395205">
      <w:pPr>
        <w:rPr>
          <w:sz w:val="26"/>
          <w:szCs w:val="26"/>
        </w:rPr>
      </w:pPr>
      <w:r w:rsidRPr="001B5927">
        <w:rPr>
          <w:sz w:val="26"/>
          <w:szCs w:val="26"/>
          <w:lang w:bidi="fr-FR"/>
        </w:rPr>
        <w:t>Considérations concernant l’établissement de liens avec les soins</w:t>
      </w:r>
    </w:p>
    <w:p w14:paraId="2A729A6A" w14:textId="77777777" w:rsidR="00395205" w:rsidRDefault="00395205" w:rsidP="00395205">
      <w:pPr>
        <w:pStyle w:val="Paragraphedeliste"/>
        <w:numPr>
          <w:ilvl w:val="0"/>
          <w:numId w:val="21"/>
        </w:numPr>
      </w:pPr>
      <w:r>
        <w:rPr>
          <w:lang w:bidi="fr-FR"/>
        </w:rPr>
        <w:t>Les mères et leurs enfants suivant un</w:t>
      </w:r>
      <w:r w:rsidRPr="00DB5178">
        <w:t xml:space="preserve"> </w:t>
      </w:r>
      <w:r w:rsidRPr="00DB5178">
        <w:rPr>
          <w:lang w:bidi="fr-FR"/>
        </w:rPr>
        <w:t>traitement antirétroviral</w:t>
      </w:r>
      <w:r>
        <w:rPr>
          <w:lang w:bidi="fr-FR"/>
        </w:rPr>
        <w:t xml:space="preserve"> doivent être pris en charge simultanément par un seul prestataire de soins de santé dans la même clinique.</w:t>
      </w:r>
    </w:p>
    <w:p w14:paraId="099A9D91" w14:textId="77777777" w:rsidR="00395205" w:rsidRPr="00085F9B" w:rsidRDefault="00395205" w:rsidP="00395205">
      <w:pPr>
        <w:pStyle w:val="Paragraphedeliste"/>
        <w:ind w:left="360"/>
        <w:rPr>
          <w:sz w:val="4"/>
          <w:szCs w:val="4"/>
        </w:rPr>
      </w:pPr>
    </w:p>
    <w:p w14:paraId="0B9B7AFA" w14:textId="77777777" w:rsidR="00395205" w:rsidRDefault="00395205" w:rsidP="00395205">
      <w:pPr>
        <w:pStyle w:val="Titre4"/>
      </w:pPr>
      <w:r>
        <w:rPr>
          <w:lang w:bidi="fr-FR"/>
        </w:rPr>
        <w:t>Figure 8.2 : Résumé des différentes stratégies de dépistage du VIH chez les enfants et les adolescents</w:t>
      </w:r>
    </w:p>
    <w:p w14:paraId="66C97E3E" w14:textId="77777777" w:rsidR="00395205" w:rsidRDefault="00395205" w:rsidP="00395205">
      <w:r w:rsidRPr="00A258D6">
        <w:rPr>
          <w:noProof/>
          <w:lang w:bidi="fr-FR"/>
        </w:rPr>
        <w:drawing>
          <wp:inline distT="0" distB="0" distL="0" distR="0" wp14:anchorId="5431A707" wp14:editId="0FE18B64">
            <wp:extent cx="5731510" cy="3410947"/>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410947"/>
                    </a:xfrm>
                    <a:prstGeom prst="rect">
                      <a:avLst/>
                    </a:prstGeom>
                    <a:noFill/>
                    <a:ln>
                      <a:noFill/>
                    </a:ln>
                  </pic:spPr>
                </pic:pic>
              </a:graphicData>
            </a:graphic>
          </wp:inline>
        </w:drawing>
      </w:r>
    </w:p>
    <w:p w14:paraId="5AFCFDEB" w14:textId="77777777" w:rsidR="00395205" w:rsidRDefault="00395205" w:rsidP="00395205">
      <w:r>
        <w:br w:type="page"/>
      </w:r>
    </w:p>
    <w:p w14:paraId="36A601B4" w14:textId="77777777" w:rsidR="00395205" w:rsidRDefault="00395205" w:rsidP="00395205">
      <w:pPr>
        <w:pStyle w:val="Titre2"/>
        <w:numPr>
          <w:ilvl w:val="1"/>
          <w:numId w:val="45"/>
        </w:numPr>
      </w:pPr>
      <w:bookmarkStart w:id="38" w:name="_Toc8400037"/>
      <w:r>
        <w:rPr>
          <w:lang w:bidi="fr-FR"/>
        </w:rPr>
        <w:lastRenderedPageBreak/>
        <w:t>Populations clés et vulnérables</w:t>
      </w:r>
      <w:bookmarkEnd w:id="38"/>
    </w:p>
    <w:p w14:paraId="199C2E5C" w14:textId="77777777" w:rsidR="00395205" w:rsidRPr="008C2079" w:rsidRDefault="00395205" w:rsidP="00395205">
      <w:pPr>
        <w:rPr>
          <w:sz w:val="4"/>
          <w:szCs w:val="4"/>
        </w:rPr>
      </w:pPr>
    </w:p>
    <w:p w14:paraId="17AB3C57" w14:textId="77777777" w:rsidR="00395205" w:rsidRDefault="00395205" w:rsidP="00395205">
      <w:pPr>
        <w:rPr>
          <w:sz w:val="26"/>
          <w:szCs w:val="26"/>
        </w:rPr>
      </w:pPr>
      <w:r w:rsidRPr="006A2E81">
        <w:rPr>
          <w:b/>
          <w:color w:val="2E74B5" w:themeColor="accent1" w:themeShade="BF"/>
          <w:sz w:val="26"/>
          <w:szCs w:val="26"/>
          <w:lang w:bidi="fr-FR"/>
        </w:rPr>
        <w:t>Quand</w:t>
      </w:r>
      <w:r w:rsidRPr="006A2E81">
        <w:rPr>
          <w:sz w:val="26"/>
          <w:szCs w:val="26"/>
          <w:lang w:bidi="fr-FR"/>
        </w:rPr>
        <w:t xml:space="preserve"> le CDIS doit-il être proposé aux populations clés et vulnérables ? </w:t>
      </w:r>
    </w:p>
    <w:p w14:paraId="1F36A2EF" w14:textId="77777777" w:rsidR="00395205" w:rsidRDefault="00395205" w:rsidP="00395205">
      <w:pPr>
        <w:pStyle w:val="Paragraphedeliste"/>
        <w:numPr>
          <w:ilvl w:val="0"/>
          <w:numId w:val="21"/>
        </w:numPr>
        <w:jc w:val="both"/>
      </w:pPr>
      <w:r>
        <w:rPr>
          <w:lang w:bidi="fr-FR"/>
        </w:rPr>
        <w:t>Des services doivent être proposés aux populations clés et vulnérables lorsque ces populations sont susceptibles d’être le plus disponibles, y compris en soirée, la nuit ou le week-end.</w:t>
      </w:r>
    </w:p>
    <w:p w14:paraId="0E156FB0" w14:textId="77777777" w:rsidR="00395205" w:rsidRDefault="00395205" w:rsidP="00395205">
      <w:pPr>
        <w:rPr>
          <w:sz w:val="26"/>
          <w:szCs w:val="26"/>
        </w:rPr>
      </w:pPr>
      <w:r w:rsidRPr="006A2E81">
        <w:rPr>
          <w:b/>
          <w:color w:val="ED7D31" w:themeColor="accent2"/>
          <w:sz w:val="26"/>
          <w:szCs w:val="26"/>
          <w:lang w:bidi="fr-FR"/>
        </w:rPr>
        <w:t xml:space="preserve">Où </w:t>
      </w:r>
      <w:r w:rsidRPr="006A2E81">
        <w:rPr>
          <w:sz w:val="26"/>
          <w:szCs w:val="26"/>
          <w:lang w:bidi="fr-FR"/>
        </w:rPr>
        <w:t xml:space="preserve">le CDIS doit-il être proposé aux populations clés et vulnérables ? </w:t>
      </w:r>
    </w:p>
    <w:p w14:paraId="676A63A4" w14:textId="77777777" w:rsidR="00395205" w:rsidRPr="00976B0F" w:rsidRDefault="00395205" w:rsidP="00395205">
      <w:pPr>
        <w:pStyle w:val="Paragraphedeliste"/>
        <w:numPr>
          <w:ilvl w:val="0"/>
          <w:numId w:val="21"/>
        </w:numPr>
        <w:rPr>
          <w:sz w:val="26"/>
          <w:szCs w:val="26"/>
        </w:rPr>
      </w:pPr>
      <w:r>
        <w:rPr>
          <w:lang w:bidi="fr-FR"/>
        </w:rPr>
        <w:t>Près de leur lieu de travail (par exemple, les ports, les bars et les mines) ou des lieux de socialisation (ou dans les prisons).</w:t>
      </w:r>
    </w:p>
    <w:p w14:paraId="777D66F6" w14:textId="77777777" w:rsidR="00395205" w:rsidRPr="00E87E29" w:rsidRDefault="00395205" w:rsidP="00395205">
      <w:pPr>
        <w:pStyle w:val="Paragraphedeliste"/>
        <w:numPr>
          <w:ilvl w:val="0"/>
          <w:numId w:val="21"/>
        </w:numPr>
        <w:rPr>
          <w:sz w:val="26"/>
          <w:szCs w:val="26"/>
        </w:rPr>
      </w:pPr>
      <w:r>
        <w:rPr>
          <w:lang w:bidi="fr-FR"/>
        </w:rPr>
        <w:t>Dans les centres communautaires pour les populations clés.</w:t>
      </w:r>
    </w:p>
    <w:p w14:paraId="20E3EA26" w14:textId="77777777" w:rsidR="00395205" w:rsidRPr="00F97F36" w:rsidRDefault="00395205" w:rsidP="00395205">
      <w:pPr>
        <w:pStyle w:val="Paragraphedeliste"/>
        <w:numPr>
          <w:ilvl w:val="0"/>
          <w:numId w:val="21"/>
        </w:numPr>
        <w:rPr>
          <w:sz w:val="26"/>
          <w:szCs w:val="26"/>
        </w:rPr>
      </w:pPr>
      <w:r>
        <w:rPr>
          <w:lang w:bidi="fr-FR"/>
        </w:rPr>
        <w:t xml:space="preserve">Dans les services adaptés des centres de santé situés dans les capitales régionales. </w:t>
      </w:r>
    </w:p>
    <w:p w14:paraId="629A742B" w14:textId="77777777" w:rsidR="00395205" w:rsidRPr="00F97F36" w:rsidRDefault="00395205" w:rsidP="00395205">
      <w:pPr>
        <w:pStyle w:val="Paragraphedeliste"/>
        <w:numPr>
          <w:ilvl w:val="0"/>
          <w:numId w:val="21"/>
        </w:numPr>
        <w:rPr>
          <w:sz w:val="26"/>
          <w:szCs w:val="26"/>
        </w:rPr>
      </w:pPr>
      <w:r>
        <w:rPr>
          <w:lang w:bidi="fr-FR"/>
        </w:rPr>
        <w:t xml:space="preserve">Dans les endroits où de nombreux cas ont été recensés. </w:t>
      </w:r>
    </w:p>
    <w:p w14:paraId="5A677095" w14:textId="77777777" w:rsidR="00395205" w:rsidRDefault="00395205" w:rsidP="00395205">
      <w:pPr>
        <w:rPr>
          <w:sz w:val="26"/>
          <w:szCs w:val="26"/>
        </w:rPr>
      </w:pPr>
      <w:r w:rsidRPr="006A2E81">
        <w:rPr>
          <w:b/>
          <w:color w:val="AEAAAA" w:themeColor="background2" w:themeShade="BF"/>
          <w:sz w:val="26"/>
          <w:szCs w:val="26"/>
          <w:lang w:bidi="fr-FR"/>
        </w:rPr>
        <w:t>Quels soignants</w:t>
      </w:r>
      <w:r w:rsidRPr="006A2E81">
        <w:rPr>
          <w:sz w:val="26"/>
          <w:szCs w:val="26"/>
          <w:lang w:bidi="fr-FR"/>
        </w:rPr>
        <w:t xml:space="preserve"> peuvent proposer le conseil et le dépistage aux populations clés et vulnérables ? </w:t>
      </w:r>
    </w:p>
    <w:p w14:paraId="4D56F199" w14:textId="77777777" w:rsidR="00395205" w:rsidRPr="00976B0F" w:rsidRDefault="00395205" w:rsidP="00395205">
      <w:pPr>
        <w:pStyle w:val="Paragraphedeliste"/>
        <w:numPr>
          <w:ilvl w:val="0"/>
          <w:numId w:val="21"/>
        </w:numPr>
        <w:rPr>
          <w:sz w:val="26"/>
          <w:szCs w:val="26"/>
        </w:rPr>
      </w:pPr>
      <w:r>
        <w:rPr>
          <w:lang w:bidi="fr-FR"/>
        </w:rPr>
        <w:t>Les pairs leaders doivent suivre une formation pour être en mesure de fournir des services de dépistage du VIH aux populations clés.</w:t>
      </w:r>
    </w:p>
    <w:p w14:paraId="1B7F62E3" w14:textId="77777777" w:rsidR="00395205" w:rsidRPr="00976B0F" w:rsidRDefault="00395205" w:rsidP="00395205">
      <w:pPr>
        <w:pStyle w:val="Paragraphedeliste"/>
        <w:numPr>
          <w:ilvl w:val="0"/>
          <w:numId w:val="21"/>
        </w:numPr>
        <w:rPr>
          <w:sz w:val="26"/>
          <w:szCs w:val="26"/>
        </w:rPr>
      </w:pPr>
      <w:r>
        <w:rPr>
          <w:lang w:bidi="fr-FR"/>
        </w:rPr>
        <w:t>Le conseil, le dépistage et, le cas échéant, le renvoi vers les services pertinents sont assurés par le même prestataire de soins de santé.</w:t>
      </w:r>
    </w:p>
    <w:p w14:paraId="01014BF3" w14:textId="77777777" w:rsidR="00395205" w:rsidRDefault="00395205" w:rsidP="00395205">
      <w:pPr>
        <w:rPr>
          <w:sz w:val="26"/>
          <w:szCs w:val="26"/>
        </w:rPr>
      </w:pPr>
      <w:r w:rsidRPr="006A2E81">
        <w:rPr>
          <w:b/>
          <w:color w:val="FF0000"/>
          <w:sz w:val="26"/>
          <w:szCs w:val="26"/>
          <w:lang w:bidi="fr-FR"/>
        </w:rPr>
        <w:t>Quels services</w:t>
      </w:r>
      <w:r w:rsidRPr="006A2E81">
        <w:rPr>
          <w:sz w:val="26"/>
          <w:szCs w:val="26"/>
          <w:lang w:bidi="fr-FR"/>
        </w:rPr>
        <w:t xml:space="preserve"> doivent être proposés aux populations clés et vulnérables ? </w:t>
      </w:r>
    </w:p>
    <w:p w14:paraId="29CB6692" w14:textId="77777777" w:rsidR="00395205" w:rsidRDefault="00395205" w:rsidP="00395205">
      <w:pPr>
        <w:pStyle w:val="Paragraphedeliste"/>
        <w:numPr>
          <w:ilvl w:val="0"/>
          <w:numId w:val="21"/>
        </w:numPr>
        <w:jc w:val="both"/>
      </w:pPr>
      <w:r>
        <w:rPr>
          <w:lang w:bidi="fr-FR"/>
        </w:rPr>
        <w:t>Services adaptés aux populations clés et unités mobiles pour mener des campagnes visant les populations clés et vulnérables.</w:t>
      </w:r>
    </w:p>
    <w:p w14:paraId="7B2AB8D7" w14:textId="77777777" w:rsidR="00395205" w:rsidRDefault="00395205" w:rsidP="00395205">
      <w:pPr>
        <w:pStyle w:val="Paragraphedeliste"/>
        <w:numPr>
          <w:ilvl w:val="0"/>
          <w:numId w:val="21"/>
        </w:numPr>
        <w:jc w:val="both"/>
      </w:pPr>
      <w:r>
        <w:rPr>
          <w:lang w:bidi="fr-FR"/>
        </w:rPr>
        <w:t>Services intégrés dans les mesures de prévention.</w:t>
      </w:r>
    </w:p>
    <w:p w14:paraId="31021897" w14:textId="77777777" w:rsidR="00395205" w:rsidRDefault="00395205" w:rsidP="00395205">
      <w:pPr>
        <w:pStyle w:val="Paragraphedeliste"/>
        <w:numPr>
          <w:ilvl w:val="0"/>
          <w:numId w:val="21"/>
        </w:numPr>
        <w:jc w:val="both"/>
      </w:pPr>
      <w:r>
        <w:rPr>
          <w:lang w:bidi="fr-FR"/>
        </w:rPr>
        <w:t>Attention prioritaire accordée au dépistage du VIH chez les clients des professionnel(le)s du sexe et en cas de séropositivité chez leurs partenaires.</w:t>
      </w:r>
    </w:p>
    <w:p w14:paraId="38761A1E" w14:textId="77777777" w:rsidR="00395205" w:rsidRDefault="00395205" w:rsidP="00395205">
      <w:pPr>
        <w:pStyle w:val="Paragraphedeliste"/>
        <w:numPr>
          <w:ilvl w:val="0"/>
          <w:numId w:val="21"/>
        </w:numPr>
        <w:jc w:val="both"/>
      </w:pPr>
      <w:r>
        <w:rPr>
          <w:lang w:bidi="fr-FR"/>
        </w:rPr>
        <w:t>Mise à l’essai de l’</w:t>
      </w:r>
      <w:proofErr w:type="spellStart"/>
      <w:r>
        <w:rPr>
          <w:lang w:bidi="fr-FR"/>
        </w:rPr>
        <w:t>autodépistage</w:t>
      </w:r>
      <w:proofErr w:type="spellEnd"/>
      <w:r>
        <w:rPr>
          <w:lang w:bidi="fr-FR"/>
        </w:rPr>
        <w:t xml:space="preserve"> et intensification potentielle de son utilisation par les populations clés et leurs partenaires.</w:t>
      </w:r>
    </w:p>
    <w:p w14:paraId="25D4D2C2" w14:textId="77777777" w:rsidR="00395205" w:rsidRDefault="00395205" w:rsidP="00395205">
      <w:pPr>
        <w:rPr>
          <w:sz w:val="26"/>
          <w:szCs w:val="26"/>
        </w:rPr>
      </w:pPr>
      <w:r w:rsidRPr="001B5927">
        <w:rPr>
          <w:sz w:val="26"/>
          <w:szCs w:val="26"/>
          <w:lang w:bidi="fr-FR"/>
        </w:rPr>
        <w:t>Considérations concernant la mobilisation</w:t>
      </w:r>
    </w:p>
    <w:p w14:paraId="70A6187E" w14:textId="77777777" w:rsidR="00395205" w:rsidRDefault="00395205" w:rsidP="00395205">
      <w:pPr>
        <w:pStyle w:val="Paragraphedeliste"/>
        <w:numPr>
          <w:ilvl w:val="0"/>
          <w:numId w:val="21"/>
        </w:numPr>
        <w:jc w:val="both"/>
      </w:pPr>
      <w:r>
        <w:rPr>
          <w:lang w:bidi="fr-FR"/>
        </w:rPr>
        <w:t>Les activités de mobilisation doivent commencer avant l’arrivée des unités mobiles et le lancement des campagnes.</w:t>
      </w:r>
    </w:p>
    <w:p w14:paraId="2F068692" w14:textId="77777777" w:rsidR="00395205" w:rsidRDefault="00395205" w:rsidP="00395205">
      <w:pPr>
        <w:pStyle w:val="Paragraphedeliste"/>
        <w:numPr>
          <w:ilvl w:val="0"/>
          <w:numId w:val="21"/>
        </w:numPr>
        <w:jc w:val="both"/>
      </w:pPr>
      <w:r>
        <w:rPr>
          <w:lang w:bidi="fr-FR"/>
        </w:rPr>
        <w:t>Les pairs leaders doivent participer aux efforts visant à convaincre les populations clés de faire un test de dépistage du VIH.</w:t>
      </w:r>
    </w:p>
    <w:p w14:paraId="28655EFD" w14:textId="77777777" w:rsidR="00395205" w:rsidRPr="001B5927" w:rsidRDefault="00395205" w:rsidP="00395205">
      <w:pPr>
        <w:rPr>
          <w:sz w:val="26"/>
          <w:szCs w:val="26"/>
        </w:rPr>
      </w:pPr>
      <w:r w:rsidRPr="001B5927">
        <w:rPr>
          <w:sz w:val="26"/>
          <w:szCs w:val="26"/>
          <w:lang w:bidi="fr-FR"/>
        </w:rPr>
        <w:t>Considérations concernant l’établissement de liens avec les soins</w:t>
      </w:r>
    </w:p>
    <w:p w14:paraId="53F9E27B" w14:textId="77777777" w:rsidR="00395205" w:rsidRDefault="00395205" w:rsidP="00395205">
      <w:pPr>
        <w:pStyle w:val="Paragraphedeliste"/>
        <w:numPr>
          <w:ilvl w:val="0"/>
          <w:numId w:val="21"/>
        </w:numPr>
      </w:pPr>
      <w:r>
        <w:rPr>
          <w:lang w:bidi="fr-FR"/>
        </w:rPr>
        <w:t>Un</w:t>
      </w:r>
      <w:r w:rsidRPr="00DB5178">
        <w:t xml:space="preserve"> </w:t>
      </w:r>
      <w:r w:rsidRPr="00DB5178">
        <w:rPr>
          <w:lang w:bidi="fr-FR"/>
        </w:rPr>
        <w:t>traitement antirétroviral</w:t>
      </w:r>
      <w:r>
        <w:rPr>
          <w:lang w:bidi="fr-FR"/>
        </w:rPr>
        <w:t xml:space="preserve"> doit être proposée aux personnes dont le test de dépistage du VIH est positif, dès qu’elles sont prêtes.</w:t>
      </w:r>
    </w:p>
    <w:p w14:paraId="347268F8" w14:textId="77777777" w:rsidR="00395205" w:rsidRDefault="00395205" w:rsidP="00395205">
      <w:pPr>
        <w:pStyle w:val="Paragraphedeliste"/>
        <w:numPr>
          <w:ilvl w:val="0"/>
          <w:numId w:val="21"/>
        </w:numPr>
      </w:pPr>
      <w:r>
        <w:rPr>
          <w:lang w:bidi="fr-FR"/>
        </w:rPr>
        <w:t xml:space="preserve">Le traitement doit être disponible pour les populations clés dans les services adaptés. </w:t>
      </w:r>
    </w:p>
    <w:p w14:paraId="2431B53B" w14:textId="77777777" w:rsidR="00395205" w:rsidRDefault="00395205" w:rsidP="00395205">
      <w:pPr>
        <w:pStyle w:val="Paragraphedeliste"/>
        <w:numPr>
          <w:ilvl w:val="0"/>
          <w:numId w:val="21"/>
        </w:numPr>
      </w:pPr>
      <w:r>
        <w:rPr>
          <w:lang w:bidi="fr-FR"/>
        </w:rPr>
        <w:t>La mise en relation avec les services de soins par les unités mobiles de dépistage étant difficile, il est nécessaire de mettre en place des dispositifs d’orientation spécifiques en amont dans chaque clinique mobile.</w:t>
      </w:r>
    </w:p>
    <w:p w14:paraId="220268AF" w14:textId="77777777" w:rsidR="00395205" w:rsidRDefault="00395205" w:rsidP="00395205">
      <w:pPr>
        <w:pStyle w:val="Paragraphedeliste"/>
        <w:numPr>
          <w:ilvl w:val="0"/>
          <w:numId w:val="21"/>
        </w:numPr>
      </w:pPr>
      <w:r>
        <w:rPr>
          <w:lang w:bidi="fr-FR"/>
        </w:rPr>
        <w:t>Il faut faire en sorte que les réseaux de populations clés et leurs leaders contribuent à la mise en relation avec les services de soins.</w:t>
      </w:r>
    </w:p>
    <w:p w14:paraId="5176C9A8" w14:textId="77777777" w:rsidR="00395205" w:rsidRDefault="00395205" w:rsidP="00395205">
      <w:pPr>
        <w:pStyle w:val="Paragraphedeliste"/>
        <w:numPr>
          <w:ilvl w:val="0"/>
          <w:numId w:val="21"/>
        </w:numPr>
      </w:pPr>
      <w:r>
        <w:rPr>
          <w:lang w:bidi="fr-FR"/>
        </w:rPr>
        <w:lastRenderedPageBreak/>
        <w:t>Le</w:t>
      </w:r>
      <w:r w:rsidRPr="00DB5178">
        <w:t xml:space="preserve"> </w:t>
      </w:r>
      <w:r w:rsidRPr="00DB5178">
        <w:rPr>
          <w:lang w:bidi="fr-FR"/>
        </w:rPr>
        <w:t>traitement antirétroviral</w:t>
      </w:r>
      <w:r>
        <w:rPr>
          <w:lang w:bidi="fr-FR"/>
        </w:rPr>
        <w:t xml:space="preserve"> doit être disponible dans les centres communautaires ciblant les populations clés dans les zones urbaines où ces populations sont présentes en grand nombre.</w:t>
      </w:r>
    </w:p>
    <w:p w14:paraId="552301D4" w14:textId="77777777" w:rsidR="00395205" w:rsidRDefault="00395205" w:rsidP="00395205">
      <w:pPr>
        <w:pStyle w:val="Titre4"/>
      </w:pPr>
      <w:r>
        <w:rPr>
          <w:lang w:bidi="fr-FR"/>
        </w:rPr>
        <w:t>Figure 8.3 : Résumé des différentes stratégies de dépistage du VIH au sein des populations clés et vulnérables</w:t>
      </w:r>
    </w:p>
    <w:p w14:paraId="3B0A0D04" w14:textId="77777777" w:rsidR="00395205" w:rsidRDefault="00395205" w:rsidP="00395205"/>
    <w:p w14:paraId="0BA2149E" w14:textId="77777777" w:rsidR="00395205" w:rsidRDefault="00395205" w:rsidP="00395205">
      <w:r w:rsidRPr="00580002">
        <w:rPr>
          <w:noProof/>
          <w:lang w:bidi="fr-FR"/>
        </w:rPr>
        <w:drawing>
          <wp:inline distT="0" distB="0" distL="0" distR="0" wp14:anchorId="5AAD389E" wp14:editId="4261F591">
            <wp:extent cx="5731510" cy="3427668"/>
            <wp:effectExtent l="0" t="0" r="254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427668"/>
                    </a:xfrm>
                    <a:prstGeom prst="rect">
                      <a:avLst/>
                    </a:prstGeom>
                    <a:noFill/>
                    <a:ln>
                      <a:noFill/>
                    </a:ln>
                  </pic:spPr>
                </pic:pic>
              </a:graphicData>
            </a:graphic>
          </wp:inline>
        </w:drawing>
      </w:r>
    </w:p>
    <w:p w14:paraId="63FDB3C8" w14:textId="77777777" w:rsidR="00395205" w:rsidRDefault="00395205" w:rsidP="00395205">
      <w:pPr>
        <w:pStyle w:val="Titre2"/>
      </w:pPr>
      <w:bookmarkStart w:id="39" w:name="_Toc8400038"/>
      <w:r>
        <w:rPr>
          <w:lang w:bidi="fr-FR"/>
        </w:rPr>
        <w:t>Notification aux partenaires et dépistage des proches d’un cas de référence</w:t>
      </w:r>
      <w:bookmarkEnd w:id="39"/>
      <w:r>
        <w:rPr>
          <w:lang w:bidi="fr-FR"/>
        </w:rPr>
        <w:t xml:space="preserve"> </w:t>
      </w:r>
    </w:p>
    <w:p w14:paraId="16E6FD50" w14:textId="77777777" w:rsidR="00395205" w:rsidRDefault="00395205" w:rsidP="00395205">
      <w:pPr>
        <w:jc w:val="both"/>
      </w:pPr>
      <w:r>
        <w:rPr>
          <w:lang w:bidi="fr-FR"/>
        </w:rPr>
        <w:t xml:space="preserve">Soumettre à un test de dépistage les partenaires et les enfants d’un patient dont la séropositivité est avérée constitue une priorité, notamment dans les environnements à faible prévalence. </w:t>
      </w:r>
    </w:p>
    <w:p w14:paraId="3690B0FE" w14:textId="77777777" w:rsidR="00395205" w:rsidRDefault="00395205" w:rsidP="00395205">
      <w:pPr>
        <w:jc w:val="both"/>
      </w:pPr>
      <w:r>
        <w:rPr>
          <w:lang w:bidi="fr-FR"/>
        </w:rPr>
        <w:t xml:space="preserve">La notification du partenaire est un processus volontaire en vertu duquel les agents de santé formés demandent aux personnes séropositives si elles acceptent que des services de dépistage soient proposés à leurs partenaires sexuels. La notification aux partenaires peut être </w:t>
      </w:r>
      <w:r>
        <w:rPr>
          <w:b/>
          <w:lang w:bidi="fr-FR"/>
        </w:rPr>
        <w:t>passive</w:t>
      </w:r>
      <w:r>
        <w:rPr>
          <w:lang w:bidi="fr-FR"/>
        </w:rPr>
        <w:t xml:space="preserve"> ou </w:t>
      </w:r>
      <w:r>
        <w:rPr>
          <w:b/>
          <w:lang w:bidi="fr-FR"/>
        </w:rPr>
        <w:t>assistée</w:t>
      </w:r>
      <w:r>
        <w:rPr>
          <w:lang w:bidi="fr-FR"/>
        </w:rPr>
        <w:t>. Il convient en outre de proposer le test de dépistage aux enfants d’une personne séropositive.</w:t>
      </w:r>
    </w:p>
    <w:p w14:paraId="67E2CC53" w14:textId="77777777" w:rsidR="00395205" w:rsidRDefault="00395205" w:rsidP="00395205">
      <w:pPr>
        <w:jc w:val="both"/>
      </w:pPr>
      <w:r>
        <w:rPr>
          <w:lang w:bidi="fr-FR"/>
        </w:rPr>
        <w:t xml:space="preserve">On appelle notification passive la démarche d’un prestataire formé qui incite les patients séropositifs à divulguer eux-mêmes leur statut à leur(s) partenaire(s) sexuel(s) (ou à leurs partenaires d’injection de drogues), et à suggérer également à ceux-ci de se faire dépister pour le VIH. </w:t>
      </w:r>
    </w:p>
    <w:p w14:paraId="02C57402" w14:textId="77777777" w:rsidR="00395205" w:rsidRDefault="00395205" w:rsidP="00395205">
      <w:pPr>
        <w:jc w:val="both"/>
      </w:pPr>
      <w:r>
        <w:rPr>
          <w:lang w:bidi="fr-FR"/>
        </w:rPr>
        <w:t>On entend par notification assistée aux partenaires l’aide fournie par un prestataire formé aux patients séropositifs (qui ont signifié leur consentement) pour divulguer leur statut ou informer anonymement leur(s) partenaire(s) sexuel(s). Le prestataire de soins de santé propose ensuite au(x) partenaire(s) de se soumettre au test de dépistage du VIH. On distingue trois types de notification assistée : par le prestataire, contractuelle ou double.</w:t>
      </w:r>
    </w:p>
    <w:p w14:paraId="6C001AC2" w14:textId="77777777" w:rsidR="00395205" w:rsidRDefault="00395205" w:rsidP="00395205">
      <w:pPr>
        <w:pStyle w:val="Paragraphedeliste"/>
        <w:numPr>
          <w:ilvl w:val="0"/>
          <w:numId w:val="6"/>
        </w:numPr>
        <w:spacing w:after="200" w:line="276" w:lineRule="auto"/>
        <w:jc w:val="both"/>
      </w:pPr>
      <w:r>
        <w:rPr>
          <w:lang w:bidi="fr-FR"/>
        </w:rPr>
        <w:t xml:space="preserve">Notification contractuelle : le patient passe avec un prestataire formé un contrat selon lequel il s’engage à divulguer son statut à son ou ses partenaire(s) et à orienter celui-ci ou ceux-ci vers des services de dépistage du VIH dans un délai convenu. Une fois celui-ci dépassé, le prestataire contacte le(s) partenaire(s) directement et lui (leur) propose de se soumettre au test de dépistage du VIH. </w:t>
      </w:r>
    </w:p>
    <w:p w14:paraId="5B0F80DC" w14:textId="77777777" w:rsidR="00395205" w:rsidRDefault="00395205" w:rsidP="00395205">
      <w:pPr>
        <w:pStyle w:val="Paragraphedeliste"/>
        <w:numPr>
          <w:ilvl w:val="0"/>
          <w:numId w:val="6"/>
        </w:numPr>
        <w:spacing w:after="200" w:line="276" w:lineRule="auto"/>
        <w:jc w:val="both"/>
      </w:pPr>
      <w:r>
        <w:rPr>
          <w:lang w:bidi="fr-FR"/>
        </w:rPr>
        <w:lastRenderedPageBreak/>
        <w:t>Il y a notification par le prestataire lorsque celui-ci, avec le consentement du patient séropositif, prend confidentiellement contact avec le(s) partenaire(s) de cette personne et lui (leur) propose un dépistage volontaire du VIH.</w:t>
      </w:r>
    </w:p>
    <w:p w14:paraId="7CCF568E" w14:textId="77777777" w:rsidR="00395205" w:rsidRDefault="00395205" w:rsidP="00395205">
      <w:pPr>
        <w:pStyle w:val="Paragraphedeliste"/>
        <w:numPr>
          <w:ilvl w:val="0"/>
          <w:numId w:val="6"/>
        </w:numPr>
        <w:spacing w:after="200" w:line="276" w:lineRule="auto"/>
        <w:jc w:val="both"/>
      </w:pPr>
      <w:r>
        <w:rPr>
          <w:lang w:bidi="fr-FR"/>
        </w:rPr>
        <w:t>Dans le cadre de la notification double, le prestataire formé accompagne le patient séropositif lorsqu’il révèle son statut à son ou ses partenaires, et propose un dépistage volontaire du VIH à cette ou ces personne(s).</w:t>
      </w:r>
    </w:p>
    <w:p w14:paraId="39386F3C" w14:textId="77777777" w:rsidR="00395205" w:rsidRPr="00EA235F" w:rsidRDefault="00395205" w:rsidP="00395205">
      <w:pPr>
        <w:rPr>
          <w:b/>
        </w:rPr>
      </w:pPr>
      <w:r w:rsidRPr="00EA235F">
        <w:rPr>
          <w:b/>
          <w:lang w:bidi="fr-FR"/>
        </w:rPr>
        <w:t>Procédures de notification aux partenaires et de dépistage indicateur en Guinée :</w:t>
      </w:r>
    </w:p>
    <w:p w14:paraId="45102F22" w14:textId="77777777" w:rsidR="00395205" w:rsidRDefault="00395205" w:rsidP="00395205">
      <w:pPr>
        <w:pStyle w:val="Paragraphedeliste"/>
        <w:numPr>
          <w:ilvl w:val="0"/>
          <w:numId w:val="7"/>
        </w:numPr>
        <w:spacing w:after="200" w:line="276" w:lineRule="auto"/>
        <w:jc w:val="both"/>
      </w:pPr>
      <w:r>
        <w:rPr>
          <w:lang w:bidi="fr-FR"/>
        </w:rPr>
        <w:t>Il faut conseiller à tous les patients diagnostiqués séropositifs de suggérer aux personnes suivantes de faire un test de dépistage :</w:t>
      </w:r>
    </w:p>
    <w:p w14:paraId="18ECF921" w14:textId="77777777" w:rsidR="00395205" w:rsidRDefault="00395205" w:rsidP="00395205">
      <w:pPr>
        <w:pStyle w:val="Paragraphedeliste"/>
        <w:numPr>
          <w:ilvl w:val="1"/>
          <w:numId w:val="5"/>
        </w:numPr>
        <w:spacing w:after="200" w:line="276" w:lineRule="auto"/>
        <w:jc w:val="both"/>
      </w:pPr>
      <w:proofErr w:type="gramStart"/>
      <w:r>
        <w:rPr>
          <w:lang w:bidi="fr-FR"/>
        </w:rPr>
        <w:t>les</w:t>
      </w:r>
      <w:proofErr w:type="gramEnd"/>
      <w:r>
        <w:rPr>
          <w:lang w:bidi="fr-FR"/>
        </w:rPr>
        <w:t xml:space="preserve"> partenaires sexuels actuels ou antérieurs dont le statut n’est pas connu ou qui n’ont pas passé de test au cours des six derniers mois, </w:t>
      </w:r>
    </w:p>
    <w:p w14:paraId="561E2F4B" w14:textId="77777777" w:rsidR="00395205" w:rsidRDefault="00395205" w:rsidP="00395205">
      <w:pPr>
        <w:pStyle w:val="Paragraphedeliste"/>
        <w:numPr>
          <w:ilvl w:val="1"/>
          <w:numId w:val="5"/>
        </w:numPr>
        <w:spacing w:after="200" w:line="276" w:lineRule="auto"/>
        <w:jc w:val="both"/>
      </w:pPr>
      <w:proofErr w:type="gramStart"/>
      <w:r>
        <w:rPr>
          <w:lang w:bidi="fr-FR"/>
        </w:rPr>
        <w:t>les</w:t>
      </w:r>
      <w:proofErr w:type="gramEnd"/>
      <w:r>
        <w:rPr>
          <w:lang w:bidi="fr-FR"/>
        </w:rPr>
        <w:t xml:space="preserve"> enfants dont le statut n’est pas connu, quel que soit leur âge. </w:t>
      </w:r>
    </w:p>
    <w:p w14:paraId="5F0934F3" w14:textId="77777777" w:rsidR="00395205" w:rsidRDefault="00395205" w:rsidP="00395205">
      <w:pPr>
        <w:pStyle w:val="Paragraphedeliste"/>
        <w:numPr>
          <w:ilvl w:val="0"/>
          <w:numId w:val="5"/>
        </w:numPr>
        <w:spacing w:after="200" w:line="276" w:lineRule="auto"/>
        <w:jc w:val="both"/>
      </w:pPr>
      <w:r>
        <w:rPr>
          <w:lang w:bidi="fr-FR"/>
        </w:rPr>
        <w:t xml:space="preserve">Les informations concernant le statut des partenaires et des proches doivent être consignées dans le carnet de prise en charge des patients. </w:t>
      </w:r>
    </w:p>
    <w:p w14:paraId="7F412CE9" w14:textId="77777777" w:rsidR="00395205" w:rsidRDefault="00395205" w:rsidP="00395205">
      <w:pPr>
        <w:pStyle w:val="Paragraphedeliste"/>
        <w:numPr>
          <w:ilvl w:val="0"/>
          <w:numId w:val="5"/>
        </w:numPr>
        <w:spacing w:after="200" w:line="276" w:lineRule="auto"/>
        <w:jc w:val="both"/>
      </w:pPr>
      <w:r>
        <w:rPr>
          <w:lang w:bidi="fr-FR"/>
        </w:rPr>
        <w:t>Lorsque le patient accepte, d’une part, de divulguer son statut à ses partenaires actuels et antérieurs et à ses enfants et, d’autre part, de les convaincre de se soumettre à un test de dépistage du VIH, un délai d’un mois doit être accordé.</w:t>
      </w:r>
    </w:p>
    <w:p w14:paraId="0264D04C" w14:textId="77777777" w:rsidR="00395205" w:rsidRDefault="00395205" w:rsidP="00395205">
      <w:pPr>
        <w:pStyle w:val="Paragraphedeliste"/>
        <w:numPr>
          <w:ilvl w:val="0"/>
          <w:numId w:val="5"/>
        </w:numPr>
        <w:spacing w:after="200" w:line="276" w:lineRule="auto"/>
        <w:jc w:val="both"/>
      </w:pPr>
      <w:r>
        <w:rPr>
          <w:lang w:bidi="fr-FR"/>
        </w:rPr>
        <w:t>Lorsque le patient n’accepte pas de divulguer son statut à ses partenaires actuels et antérieurs, l’agent de santé lui propose de recourir à la notification assistée anonyme ou double.</w:t>
      </w:r>
    </w:p>
    <w:p w14:paraId="7097AB94" w14:textId="77777777" w:rsidR="00395205" w:rsidRDefault="00395205" w:rsidP="00395205">
      <w:pPr>
        <w:pStyle w:val="Paragraphedeliste"/>
        <w:numPr>
          <w:ilvl w:val="0"/>
          <w:numId w:val="5"/>
        </w:numPr>
        <w:spacing w:after="200" w:line="276" w:lineRule="auto"/>
        <w:jc w:val="both"/>
      </w:pPr>
      <w:r>
        <w:rPr>
          <w:lang w:bidi="fr-FR"/>
        </w:rPr>
        <w:t>Lorsque le patient accepte d’inciter ses partenaires et ses enfants à faire le test de dépistage et qu’un mois s’écoule sans qu’aucun test n’ait lieu, le dépistage indicateur dans les services communautaires doit être proposé. Le patient consent alors à ce qu’un agent psychosocial formé au dépistage soit informé de l’identité des proches devant faire le test.</w:t>
      </w:r>
    </w:p>
    <w:p w14:paraId="059E40E9" w14:textId="77777777" w:rsidR="00395205" w:rsidRDefault="00395205" w:rsidP="00395205">
      <w:pPr>
        <w:pStyle w:val="Paragraphedeliste"/>
        <w:numPr>
          <w:ilvl w:val="0"/>
          <w:numId w:val="5"/>
        </w:numPr>
        <w:spacing w:after="200" w:line="276" w:lineRule="auto"/>
        <w:jc w:val="both"/>
      </w:pPr>
      <w:r>
        <w:rPr>
          <w:lang w:bidi="fr-FR"/>
        </w:rPr>
        <w:t xml:space="preserve">Le dépistage du VIH doit être proposé au domicile des personnes concernées ou dans une structure communautaire convenue par un agent psychosocial. </w:t>
      </w:r>
    </w:p>
    <w:p w14:paraId="232CE3AB" w14:textId="77777777" w:rsidR="00395205" w:rsidRDefault="00395205" w:rsidP="00395205">
      <w:pPr>
        <w:pStyle w:val="Paragraphedeliste"/>
        <w:numPr>
          <w:ilvl w:val="0"/>
          <w:numId w:val="5"/>
        </w:numPr>
        <w:spacing w:after="200" w:line="276" w:lineRule="auto"/>
        <w:jc w:val="both"/>
      </w:pPr>
      <w:r>
        <w:rPr>
          <w:lang w:bidi="fr-FR"/>
        </w:rPr>
        <w:t xml:space="preserve">Le prestataire de soins de santé réalisant les tests de dépistage est chargé de mettre en relation tout patient diagnostiqué séropositif avec les services de </w:t>
      </w:r>
      <w:r w:rsidRPr="00DB5178">
        <w:rPr>
          <w:lang w:bidi="fr-FR"/>
        </w:rPr>
        <w:t>traitement antirétroviral</w:t>
      </w:r>
      <w:r>
        <w:rPr>
          <w:lang w:bidi="fr-FR"/>
        </w:rPr>
        <w:t xml:space="preserve">. </w:t>
      </w:r>
    </w:p>
    <w:p w14:paraId="0C26D35E" w14:textId="77777777" w:rsidR="00395205" w:rsidRDefault="00395205" w:rsidP="00395205">
      <w:pPr>
        <w:pStyle w:val="Paragraphedeliste"/>
        <w:numPr>
          <w:ilvl w:val="0"/>
          <w:numId w:val="5"/>
        </w:numPr>
        <w:spacing w:after="200" w:line="276" w:lineRule="auto"/>
        <w:jc w:val="both"/>
        <w:rPr>
          <w:lang w:bidi="fr-FR"/>
        </w:rPr>
      </w:pPr>
      <w:r>
        <w:rPr>
          <w:lang w:bidi="fr-FR"/>
        </w:rPr>
        <w:t>À l’avenir, il est possible que les centres de santé remettent des trousses d’</w:t>
      </w:r>
      <w:proofErr w:type="spellStart"/>
      <w:r>
        <w:rPr>
          <w:lang w:bidi="fr-FR"/>
        </w:rPr>
        <w:t>autodépistage</w:t>
      </w:r>
      <w:proofErr w:type="spellEnd"/>
      <w:r>
        <w:rPr>
          <w:lang w:bidi="fr-FR"/>
        </w:rPr>
        <w:t xml:space="preserve"> du VIH au cas de référence pour que son ou ses partenaire(s) et ses enfants puissent faire le test chez eux. Si le patient y consent, l’agent psychosocial local assure le suivi du résultat du test à l’occasion d’une visite de routine à domicile, et veille à mettre tout patient </w:t>
      </w:r>
      <w:proofErr w:type="gramStart"/>
      <w:r>
        <w:rPr>
          <w:lang w:bidi="fr-FR"/>
        </w:rPr>
        <w:t>déclaré</w:t>
      </w:r>
      <w:proofErr w:type="gramEnd"/>
      <w:r>
        <w:rPr>
          <w:lang w:bidi="fr-FR"/>
        </w:rPr>
        <w:t xml:space="preserve"> séropositif en relation avec les services pertinents.</w:t>
      </w:r>
    </w:p>
    <w:p w14:paraId="4887721F" w14:textId="77777777" w:rsidR="00395205" w:rsidRDefault="00395205" w:rsidP="00395205">
      <w:pPr>
        <w:rPr>
          <w:lang w:bidi="fr-FR"/>
        </w:rPr>
      </w:pPr>
      <w:r>
        <w:rPr>
          <w:lang w:bidi="fr-FR"/>
        </w:rPr>
        <w:br w:type="page"/>
      </w:r>
    </w:p>
    <w:p w14:paraId="0F31F937" w14:textId="77777777" w:rsidR="00395205" w:rsidRDefault="00395205" w:rsidP="00395205">
      <w:pPr>
        <w:pStyle w:val="Titre1"/>
      </w:pPr>
      <w:bookmarkStart w:id="40" w:name="_Toc8400039"/>
      <w:r>
        <w:rPr>
          <w:lang w:bidi="fr-FR"/>
        </w:rPr>
        <w:lastRenderedPageBreak/>
        <w:t>8. Cibles en matière de dépistage du VIH</w:t>
      </w:r>
      <w:bookmarkEnd w:id="40"/>
    </w:p>
    <w:p w14:paraId="0B326051" w14:textId="77777777" w:rsidR="00395205" w:rsidRDefault="00395205" w:rsidP="00395205"/>
    <w:p w14:paraId="26A5B2C8" w14:textId="77777777" w:rsidR="00395205" w:rsidRDefault="00395205" w:rsidP="00395205">
      <w:pPr>
        <w:jc w:val="both"/>
      </w:pPr>
      <w:r>
        <w:rPr>
          <w:lang w:bidi="fr-FR"/>
        </w:rPr>
        <w:t xml:space="preserve">Afin d’atteindre l’objectif de 75 % de PVVIH conscientes de leur statut d’ici la fin 2020, il est essentiel de poursuivre les progrès à l’aune des cibles de dépistage au niveau national et régional au cours des 18 prochains mois. Les consultations effectuées, ainsi que les différentes données extraites, entre autres, des programmes nationaux de dépistage du VIH, des prévisions du logiciel Spectrum et d’autres exercices de modélisation pour 2017 et 2018 ont permis de définir les cibles de dépistage présentées ci-dessous. Les informations issues de l’analyse de situation et les consultations menées auprès des parties prenantes ont permis de fixer les cibles pour 2019.   </w:t>
      </w:r>
    </w:p>
    <w:p w14:paraId="3DC874B4" w14:textId="77777777" w:rsidR="00395205" w:rsidRDefault="00395205" w:rsidP="00395205">
      <w:r w:rsidRPr="00AA503D">
        <w:rPr>
          <w:noProof/>
          <w:lang w:bidi="fr-FR"/>
        </w:rPr>
        <w:drawing>
          <wp:inline distT="0" distB="0" distL="0" distR="0" wp14:anchorId="4316924B" wp14:editId="53F7202F">
            <wp:extent cx="5029200" cy="526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5264150"/>
                    </a:xfrm>
                    <a:prstGeom prst="rect">
                      <a:avLst/>
                    </a:prstGeom>
                    <a:noFill/>
                    <a:ln>
                      <a:noFill/>
                    </a:ln>
                  </pic:spPr>
                </pic:pic>
              </a:graphicData>
            </a:graphic>
          </wp:inline>
        </w:drawing>
      </w:r>
    </w:p>
    <w:p w14:paraId="37B9FD8B" w14:textId="4C6AED4B" w:rsidR="00826AD1" w:rsidRDefault="00826AD1" w:rsidP="00395205">
      <w:pPr>
        <w:jc w:val="both"/>
      </w:pPr>
    </w:p>
    <w:p w14:paraId="0542EC64" w14:textId="5F97F168" w:rsidR="00172A77" w:rsidRDefault="00172A77" w:rsidP="004504E6"/>
    <w:sectPr w:rsidR="00172A77">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5AA29" w14:textId="77777777" w:rsidR="000C02C7" w:rsidRDefault="000C02C7" w:rsidP="00404B12">
      <w:pPr>
        <w:spacing w:after="0" w:line="240" w:lineRule="auto"/>
      </w:pPr>
      <w:r>
        <w:separator/>
      </w:r>
    </w:p>
  </w:endnote>
  <w:endnote w:type="continuationSeparator" w:id="0">
    <w:p w14:paraId="69587496" w14:textId="77777777" w:rsidR="000C02C7" w:rsidRDefault="000C02C7" w:rsidP="0040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FScala">
    <w:altName w:val="Yu Gothic UI"/>
    <w:panose1 w:val="020B0604020202020204"/>
    <w:charset w:val="80"/>
    <w:family w:val="auto"/>
    <w:notTrueType/>
    <w:pitch w:val="default"/>
    <w:sig w:usb0="00000000" w:usb1="08070000" w:usb2="00000010" w:usb3="00000000" w:csb0="00020000"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randonText-Light">
    <w:altName w:val="MS Gothic"/>
    <w:panose1 w:val="020B0604020202020204"/>
    <w:charset w:val="80"/>
    <w:family w:val="swiss"/>
    <w:notTrueType/>
    <w:pitch w:val="default"/>
    <w:sig w:usb0="00000001" w:usb1="08070000" w:usb2="00000010" w:usb3="00000000" w:csb0="00020000" w:csb1="00000000"/>
  </w:font>
  <w:font w:name="Gotham Narrow Book">
    <w:altName w:val="Arial"/>
    <w:panose1 w:val="020B0604020202020204"/>
    <w:charset w:val="00"/>
    <w:family w:val="modern"/>
    <w:pitch w:val="variable"/>
  </w:font>
  <w:font w:name="MyriadPro-Bold">
    <w:altName w:val="Calibri"/>
    <w:panose1 w:val="020B0604020202020204"/>
    <w:charset w:val="00"/>
    <w:family w:val="swiss"/>
    <w:notTrueType/>
    <w:pitch w:val="default"/>
    <w:sig w:usb0="00000003" w:usb1="00000000" w:usb2="00000000" w:usb3="00000000" w:csb0="00000001" w:csb1="00000000"/>
  </w:font>
  <w:font w:name="MyriadPro-Regular">
    <w:altName w:val="Calibri"/>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040641"/>
      <w:docPartObj>
        <w:docPartGallery w:val="Page Numbers (Bottom of Page)"/>
        <w:docPartUnique/>
      </w:docPartObj>
    </w:sdtPr>
    <w:sdtEndPr>
      <w:rPr>
        <w:noProof/>
      </w:rPr>
    </w:sdtEndPr>
    <w:sdtContent>
      <w:p w14:paraId="47ECB7A2" w14:textId="6697D541" w:rsidR="00A612E9" w:rsidRDefault="00A612E9">
        <w:pPr>
          <w:pStyle w:val="Pieddepage"/>
          <w:jc w:val="right"/>
        </w:pPr>
        <w:r>
          <w:rPr>
            <w:lang w:bidi="fr-FR"/>
          </w:rPr>
          <w:fldChar w:fldCharType="begin"/>
        </w:r>
        <w:r>
          <w:rPr>
            <w:lang w:bidi="fr-FR"/>
          </w:rPr>
          <w:instrText xml:space="preserve"> PAGE   \* MERGEFORMAT </w:instrText>
        </w:r>
        <w:r>
          <w:rPr>
            <w:lang w:bidi="fr-FR"/>
          </w:rPr>
          <w:fldChar w:fldCharType="separate"/>
        </w:r>
        <w:r>
          <w:rPr>
            <w:noProof/>
            <w:lang w:bidi="fr-FR"/>
          </w:rPr>
          <w:t>1</w:t>
        </w:r>
        <w:r>
          <w:rPr>
            <w:noProof/>
            <w:lang w:bidi="fr-FR"/>
          </w:rPr>
          <w:fldChar w:fldCharType="end"/>
        </w:r>
      </w:p>
    </w:sdtContent>
  </w:sdt>
  <w:p w14:paraId="5F4DAD39" w14:textId="77777777" w:rsidR="00A612E9" w:rsidRDefault="00A612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649E8" w14:textId="77777777" w:rsidR="000C02C7" w:rsidRDefault="000C02C7" w:rsidP="00404B12">
      <w:pPr>
        <w:spacing w:after="0" w:line="240" w:lineRule="auto"/>
      </w:pPr>
      <w:r>
        <w:separator/>
      </w:r>
    </w:p>
  </w:footnote>
  <w:footnote w:type="continuationSeparator" w:id="0">
    <w:p w14:paraId="0508A86F" w14:textId="77777777" w:rsidR="000C02C7" w:rsidRDefault="000C02C7" w:rsidP="00404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3FEE"/>
    <w:multiLevelType w:val="hybridMultilevel"/>
    <w:tmpl w:val="D44ADC48"/>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7C37874"/>
    <w:multiLevelType w:val="multilevel"/>
    <w:tmpl w:val="647ED3F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8850EC3"/>
    <w:multiLevelType w:val="hybridMultilevel"/>
    <w:tmpl w:val="5510A95E"/>
    <w:lvl w:ilvl="0" w:tplc="2EEEC64C">
      <w:start w:val="1"/>
      <w:numFmt w:val="bullet"/>
      <w:lvlText w:val=""/>
      <w:lvlJc w:val="left"/>
      <w:pPr>
        <w:ind w:left="360" w:hanging="360"/>
      </w:pPr>
      <w:rPr>
        <w:rFonts w:ascii="Symbol" w:hAnsi="Symbol" w:hint="default"/>
        <w:lang w:val="en-G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CA31C2"/>
    <w:multiLevelType w:val="hybridMultilevel"/>
    <w:tmpl w:val="288A7FFE"/>
    <w:lvl w:ilvl="0" w:tplc="770A17D2">
      <w:start w:val="8"/>
      <w:numFmt w:val="decimal"/>
      <w:lvlText w:val="%1"/>
      <w:lvlJc w:val="left"/>
      <w:pPr>
        <w:ind w:left="720" w:hanging="360"/>
      </w:pPr>
      <w:rPr>
        <w:rFonts w:asciiTheme="minorHAnsi" w:eastAsiaTheme="minorHAnsi" w:hAnsiTheme="minorHAnsi" w:cstheme="minorBidi"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B73704"/>
    <w:multiLevelType w:val="multilevel"/>
    <w:tmpl w:val="DB12FD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5E43D3"/>
    <w:multiLevelType w:val="multilevel"/>
    <w:tmpl w:val="327E5DA6"/>
    <w:lvl w:ilvl="0">
      <w:start w:val="4"/>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3C77965"/>
    <w:multiLevelType w:val="hybridMultilevel"/>
    <w:tmpl w:val="71D80A18"/>
    <w:lvl w:ilvl="0" w:tplc="DDD60DC2">
      <w:numFmt w:val="bullet"/>
      <w:lvlText w:val="-"/>
      <w:lvlJc w:val="left"/>
      <w:pPr>
        <w:tabs>
          <w:tab w:val="num" w:pos="720"/>
        </w:tabs>
        <w:ind w:left="720" w:hanging="360"/>
      </w:pPr>
      <w:rPr>
        <w:rFonts w:ascii="Arial" w:eastAsia="FFScala" w:hAnsi="Arial" w:hint="default"/>
      </w:rPr>
    </w:lvl>
    <w:lvl w:ilvl="1" w:tplc="8092D3E8">
      <w:start w:val="1"/>
      <w:numFmt w:val="bullet"/>
      <w:pStyle w:val="Liste2"/>
      <w:lvlText w:val="o"/>
      <w:lvlJc w:val="left"/>
      <w:pPr>
        <w:tabs>
          <w:tab w:val="num" w:pos="1440"/>
        </w:tabs>
        <w:ind w:left="1440" w:hanging="360"/>
      </w:pPr>
      <w:rPr>
        <w:rFonts w:ascii="Courier New" w:hAnsi="Courier New" w:hint="default"/>
      </w:rPr>
    </w:lvl>
    <w:lvl w:ilvl="2" w:tplc="08090003">
      <w:start w:val="1"/>
      <w:numFmt w:val="bullet"/>
      <w:lvlText w:val="o"/>
      <w:lvlJc w:val="left"/>
      <w:pPr>
        <w:tabs>
          <w:tab w:val="num" w:pos="1800"/>
        </w:tabs>
        <w:ind w:left="1800" w:hanging="360"/>
      </w:pPr>
      <w:rPr>
        <w:rFonts w:ascii="Courier New" w:hAnsi="Courier New" w:hint="default"/>
      </w:rPr>
    </w:lvl>
    <w:lvl w:ilvl="3" w:tplc="138ADAFC">
      <w:numFmt w:val="bullet"/>
      <w:lvlText w:val=""/>
      <w:lvlJc w:val="left"/>
      <w:pPr>
        <w:tabs>
          <w:tab w:val="num" w:pos="2880"/>
        </w:tabs>
        <w:ind w:left="2880" w:hanging="360"/>
      </w:pPr>
      <w:rPr>
        <w:rFonts w:ascii="Wingdings" w:eastAsia="FFScala"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070C9C"/>
    <w:multiLevelType w:val="multilevel"/>
    <w:tmpl w:val="F39E8CF6"/>
    <w:lvl w:ilvl="0">
      <w:start w:val="3"/>
      <w:numFmt w:val="decimal"/>
      <w:lvlText w:val="%1"/>
      <w:lvlJc w:val="left"/>
      <w:pPr>
        <w:ind w:left="360" w:hanging="360"/>
      </w:pPr>
      <w:rPr>
        <w:rFonts w:asciiTheme="minorHAnsi" w:eastAsiaTheme="minorHAnsi" w:hAnsiTheme="minorHAnsi" w:cs="Times New Roman" w:hint="default"/>
        <w:sz w:val="22"/>
      </w:rPr>
    </w:lvl>
    <w:lvl w:ilvl="1">
      <w:start w:val="2"/>
      <w:numFmt w:val="decimal"/>
      <w:lvlText w:val="%1.%2"/>
      <w:lvlJc w:val="left"/>
      <w:pPr>
        <w:ind w:left="360" w:hanging="360"/>
      </w:pPr>
      <w:rPr>
        <w:rFonts w:asciiTheme="minorHAnsi" w:eastAsiaTheme="minorHAnsi" w:hAnsiTheme="minorHAnsi" w:cs="Times New Roman" w:hint="default"/>
        <w:sz w:val="22"/>
      </w:rPr>
    </w:lvl>
    <w:lvl w:ilvl="2">
      <w:start w:val="1"/>
      <w:numFmt w:val="decimal"/>
      <w:lvlText w:val="%1.%2.%3"/>
      <w:lvlJc w:val="left"/>
      <w:pPr>
        <w:ind w:left="720" w:hanging="720"/>
      </w:pPr>
      <w:rPr>
        <w:rFonts w:asciiTheme="minorHAnsi" w:eastAsiaTheme="minorHAnsi" w:hAnsiTheme="minorHAnsi" w:cs="Times New Roman" w:hint="default"/>
        <w:sz w:val="22"/>
      </w:rPr>
    </w:lvl>
    <w:lvl w:ilvl="3">
      <w:start w:val="1"/>
      <w:numFmt w:val="decimal"/>
      <w:lvlText w:val="%1.%2.%3.%4"/>
      <w:lvlJc w:val="left"/>
      <w:pPr>
        <w:ind w:left="720" w:hanging="720"/>
      </w:pPr>
      <w:rPr>
        <w:rFonts w:asciiTheme="minorHAnsi" w:eastAsiaTheme="minorHAnsi" w:hAnsiTheme="minorHAnsi" w:cs="Times New Roman" w:hint="default"/>
        <w:sz w:val="22"/>
      </w:rPr>
    </w:lvl>
    <w:lvl w:ilvl="4">
      <w:start w:val="1"/>
      <w:numFmt w:val="decimal"/>
      <w:lvlText w:val="%1.%2.%3.%4.%5"/>
      <w:lvlJc w:val="left"/>
      <w:pPr>
        <w:ind w:left="1080" w:hanging="1080"/>
      </w:pPr>
      <w:rPr>
        <w:rFonts w:asciiTheme="minorHAnsi" w:eastAsiaTheme="minorHAnsi" w:hAnsiTheme="minorHAnsi" w:cs="Times New Roman" w:hint="default"/>
        <w:sz w:val="22"/>
      </w:rPr>
    </w:lvl>
    <w:lvl w:ilvl="5">
      <w:start w:val="1"/>
      <w:numFmt w:val="decimal"/>
      <w:lvlText w:val="%1.%2.%3.%4.%5.%6"/>
      <w:lvlJc w:val="left"/>
      <w:pPr>
        <w:ind w:left="1080" w:hanging="1080"/>
      </w:pPr>
      <w:rPr>
        <w:rFonts w:asciiTheme="minorHAnsi" w:eastAsiaTheme="minorHAnsi" w:hAnsiTheme="minorHAnsi" w:cs="Times New Roman" w:hint="default"/>
        <w:sz w:val="22"/>
      </w:rPr>
    </w:lvl>
    <w:lvl w:ilvl="6">
      <w:start w:val="1"/>
      <w:numFmt w:val="decimal"/>
      <w:lvlText w:val="%1.%2.%3.%4.%5.%6.%7"/>
      <w:lvlJc w:val="left"/>
      <w:pPr>
        <w:ind w:left="1440" w:hanging="1440"/>
      </w:pPr>
      <w:rPr>
        <w:rFonts w:asciiTheme="minorHAnsi" w:eastAsiaTheme="minorHAnsi" w:hAnsiTheme="minorHAnsi" w:cs="Times New Roman" w:hint="default"/>
        <w:sz w:val="22"/>
      </w:rPr>
    </w:lvl>
    <w:lvl w:ilvl="7">
      <w:start w:val="1"/>
      <w:numFmt w:val="decimal"/>
      <w:lvlText w:val="%1.%2.%3.%4.%5.%6.%7.%8"/>
      <w:lvlJc w:val="left"/>
      <w:pPr>
        <w:ind w:left="1800" w:hanging="1800"/>
      </w:pPr>
      <w:rPr>
        <w:rFonts w:asciiTheme="minorHAnsi" w:eastAsiaTheme="minorHAnsi" w:hAnsiTheme="minorHAnsi" w:cs="Times New Roman" w:hint="default"/>
        <w:sz w:val="22"/>
      </w:rPr>
    </w:lvl>
    <w:lvl w:ilvl="8">
      <w:start w:val="1"/>
      <w:numFmt w:val="decimal"/>
      <w:lvlText w:val="%1.%2.%3.%4.%5.%6.%7.%8.%9"/>
      <w:lvlJc w:val="left"/>
      <w:pPr>
        <w:ind w:left="1800" w:hanging="1800"/>
      </w:pPr>
      <w:rPr>
        <w:rFonts w:asciiTheme="minorHAnsi" w:eastAsiaTheme="minorHAnsi" w:hAnsiTheme="minorHAnsi" w:cs="Times New Roman" w:hint="default"/>
        <w:sz w:val="22"/>
      </w:rPr>
    </w:lvl>
  </w:abstractNum>
  <w:abstractNum w:abstractNumId="8" w15:restartNumberingAfterBreak="0">
    <w:nsid w:val="19877961"/>
    <w:multiLevelType w:val="hybridMultilevel"/>
    <w:tmpl w:val="75AE0570"/>
    <w:lvl w:ilvl="0" w:tplc="0809001B">
      <w:start w:val="1"/>
      <w:numFmt w:val="lowerRoman"/>
      <w:lvlText w:val="%1."/>
      <w:lvlJc w:val="righ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F37FE3"/>
    <w:multiLevelType w:val="multilevel"/>
    <w:tmpl w:val="DE506510"/>
    <w:lvl w:ilvl="0">
      <w:start w:val="4"/>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AD7855"/>
    <w:multiLevelType w:val="hybridMultilevel"/>
    <w:tmpl w:val="65AE395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11E2547"/>
    <w:multiLevelType w:val="multilevel"/>
    <w:tmpl w:val="D228041C"/>
    <w:lvl w:ilvl="0">
      <w:start w:val="3"/>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4B31119"/>
    <w:multiLevelType w:val="hybridMultilevel"/>
    <w:tmpl w:val="641E5DBC"/>
    <w:lvl w:ilvl="0" w:tplc="83945F88">
      <w:start w:val="3"/>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4C01B44"/>
    <w:multiLevelType w:val="hybridMultilevel"/>
    <w:tmpl w:val="6A92C2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7A64D01"/>
    <w:multiLevelType w:val="hybridMultilevel"/>
    <w:tmpl w:val="B7608684"/>
    <w:lvl w:ilvl="0" w:tplc="08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86A28CA"/>
    <w:multiLevelType w:val="hybridMultilevel"/>
    <w:tmpl w:val="28BE4B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8CA049E"/>
    <w:multiLevelType w:val="hybridMultilevel"/>
    <w:tmpl w:val="4446ACF8"/>
    <w:lvl w:ilvl="0" w:tplc="796A3E3E">
      <w:start w:val="5"/>
      <w:numFmt w:val="bullet"/>
      <w:lvlText w:val="-"/>
      <w:lvlJc w:val="left"/>
      <w:pPr>
        <w:ind w:left="720" w:hanging="360"/>
      </w:pPr>
      <w:rPr>
        <w:rFonts w:ascii="Gill Sans MT" w:eastAsiaTheme="minorHAnsi" w:hAnsi="Gill Sans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C12EC"/>
    <w:multiLevelType w:val="hybridMultilevel"/>
    <w:tmpl w:val="45261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49097A"/>
    <w:multiLevelType w:val="hybridMultilevel"/>
    <w:tmpl w:val="922E6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1A5286"/>
    <w:multiLevelType w:val="hybridMultilevel"/>
    <w:tmpl w:val="0ED8D6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EC86E04"/>
    <w:multiLevelType w:val="hybridMultilevel"/>
    <w:tmpl w:val="B61620C8"/>
    <w:lvl w:ilvl="0" w:tplc="08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8390F17"/>
    <w:multiLevelType w:val="hybridMultilevel"/>
    <w:tmpl w:val="806AE4FE"/>
    <w:lvl w:ilvl="0" w:tplc="83945F88">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B62F7E"/>
    <w:multiLevelType w:val="hybridMultilevel"/>
    <w:tmpl w:val="8460BDFC"/>
    <w:lvl w:ilvl="0" w:tplc="33BE7DA4">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CF37CB"/>
    <w:multiLevelType w:val="multilevel"/>
    <w:tmpl w:val="333AB5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7B03C3"/>
    <w:multiLevelType w:val="hybridMultilevel"/>
    <w:tmpl w:val="1D24538A"/>
    <w:lvl w:ilvl="0" w:tplc="0C0C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4C3F3EF9"/>
    <w:multiLevelType w:val="hybridMultilevel"/>
    <w:tmpl w:val="E17CD87E"/>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A71D94"/>
    <w:multiLevelType w:val="hybridMultilevel"/>
    <w:tmpl w:val="E64CA5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3663073"/>
    <w:multiLevelType w:val="hybridMultilevel"/>
    <w:tmpl w:val="7AE890CA"/>
    <w:lvl w:ilvl="0" w:tplc="DB6AF3D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641636"/>
    <w:multiLevelType w:val="hybridMultilevel"/>
    <w:tmpl w:val="B220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06BB1"/>
    <w:multiLevelType w:val="multilevel"/>
    <w:tmpl w:val="7FB233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E66372"/>
    <w:multiLevelType w:val="hybridMultilevel"/>
    <w:tmpl w:val="8BAA8F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B3D7E8E"/>
    <w:multiLevelType w:val="hybridMultilevel"/>
    <w:tmpl w:val="E7901A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0F279AB"/>
    <w:multiLevelType w:val="hybridMultilevel"/>
    <w:tmpl w:val="F01E4E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20F1981"/>
    <w:multiLevelType w:val="hybridMultilevel"/>
    <w:tmpl w:val="EF7CEC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5041E67"/>
    <w:multiLevelType w:val="multilevel"/>
    <w:tmpl w:val="0A2473E4"/>
    <w:lvl w:ilvl="0">
      <w:start w:val="7"/>
      <w:numFmt w:val="decimal"/>
      <w:lvlText w:val="%1"/>
      <w:lvlJc w:val="left"/>
      <w:pPr>
        <w:ind w:left="360" w:hanging="360"/>
      </w:pPr>
      <w:rPr>
        <w:rFonts w:asciiTheme="minorHAnsi" w:eastAsiaTheme="minorHAnsi" w:hAnsiTheme="minorHAnsi" w:cstheme="minorBidi" w:hint="default"/>
        <w:b w:val="0"/>
        <w:sz w:val="22"/>
      </w:rPr>
    </w:lvl>
    <w:lvl w:ilvl="1">
      <w:start w:val="2"/>
      <w:numFmt w:val="decimal"/>
      <w:lvlText w:val="%1.%2"/>
      <w:lvlJc w:val="left"/>
      <w:pPr>
        <w:ind w:left="360" w:hanging="360"/>
      </w:pPr>
      <w:rPr>
        <w:rFonts w:asciiTheme="minorHAnsi" w:eastAsiaTheme="minorHAnsi" w:hAnsiTheme="minorHAnsi" w:cstheme="minorBidi" w:hint="default"/>
        <w:b w:val="0"/>
        <w:sz w:val="22"/>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800" w:hanging="1800"/>
      </w:pPr>
      <w:rPr>
        <w:rFonts w:asciiTheme="minorHAnsi" w:eastAsiaTheme="minorHAnsi" w:hAnsiTheme="minorHAnsi" w:cstheme="minorBidi" w:hint="default"/>
        <w:b w:val="0"/>
        <w:sz w:val="22"/>
      </w:rPr>
    </w:lvl>
    <w:lvl w:ilvl="8">
      <w:start w:val="1"/>
      <w:numFmt w:val="decimal"/>
      <w:lvlText w:val="%1.%2.%3.%4.%5.%6.%7.%8.%9"/>
      <w:lvlJc w:val="left"/>
      <w:pPr>
        <w:ind w:left="1800" w:hanging="1800"/>
      </w:pPr>
      <w:rPr>
        <w:rFonts w:asciiTheme="minorHAnsi" w:eastAsiaTheme="minorHAnsi" w:hAnsiTheme="minorHAnsi" w:cstheme="minorBidi" w:hint="default"/>
        <w:b w:val="0"/>
        <w:sz w:val="22"/>
      </w:rPr>
    </w:lvl>
  </w:abstractNum>
  <w:abstractNum w:abstractNumId="35" w15:restartNumberingAfterBreak="0">
    <w:nsid w:val="65C760C2"/>
    <w:multiLevelType w:val="hybridMultilevel"/>
    <w:tmpl w:val="78468AD6"/>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65E24C80"/>
    <w:multiLevelType w:val="hybridMultilevel"/>
    <w:tmpl w:val="0B3655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A0E71D5"/>
    <w:multiLevelType w:val="hybridMultilevel"/>
    <w:tmpl w:val="697068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DE83907"/>
    <w:multiLevelType w:val="hybridMultilevel"/>
    <w:tmpl w:val="E5C07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02015F"/>
    <w:multiLevelType w:val="hybridMultilevel"/>
    <w:tmpl w:val="9AF409AA"/>
    <w:lvl w:ilvl="0" w:tplc="0809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1E23262"/>
    <w:multiLevelType w:val="hybridMultilevel"/>
    <w:tmpl w:val="3E2451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AE53AA"/>
    <w:multiLevelType w:val="hybridMultilevel"/>
    <w:tmpl w:val="AB4290C8"/>
    <w:lvl w:ilvl="0" w:tplc="7B281C0E">
      <w:start w:val="9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32B780B"/>
    <w:multiLevelType w:val="multilevel"/>
    <w:tmpl w:val="275A32C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8A23832"/>
    <w:multiLevelType w:val="hybridMultilevel"/>
    <w:tmpl w:val="069AA63C"/>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79DB0B08"/>
    <w:multiLevelType w:val="hybridMultilevel"/>
    <w:tmpl w:val="E17CD87E"/>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7C20235E"/>
    <w:multiLevelType w:val="hybridMultilevel"/>
    <w:tmpl w:val="AE4666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28"/>
  </w:num>
  <w:num w:numId="4">
    <w:abstractNumId w:val="16"/>
  </w:num>
  <w:num w:numId="5">
    <w:abstractNumId w:val="40"/>
  </w:num>
  <w:num w:numId="6">
    <w:abstractNumId w:val="38"/>
  </w:num>
  <w:num w:numId="7">
    <w:abstractNumId w:val="17"/>
  </w:num>
  <w:num w:numId="8">
    <w:abstractNumId w:val="33"/>
  </w:num>
  <w:num w:numId="9">
    <w:abstractNumId w:val="37"/>
  </w:num>
  <w:num w:numId="10">
    <w:abstractNumId w:val="1"/>
  </w:num>
  <w:num w:numId="11">
    <w:abstractNumId w:val="10"/>
  </w:num>
  <w:num w:numId="12">
    <w:abstractNumId w:val="43"/>
  </w:num>
  <w:num w:numId="13">
    <w:abstractNumId w:val="14"/>
  </w:num>
  <w:num w:numId="14">
    <w:abstractNumId w:val="39"/>
  </w:num>
  <w:num w:numId="15">
    <w:abstractNumId w:val="2"/>
  </w:num>
  <w:num w:numId="16">
    <w:abstractNumId w:val="19"/>
  </w:num>
  <w:num w:numId="17">
    <w:abstractNumId w:val="31"/>
  </w:num>
  <w:num w:numId="18">
    <w:abstractNumId w:val="20"/>
  </w:num>
  <w:num w:numId="19">
    <w:abstractNumId w:val="18"/>
  </w:num>
  <w:num w:numId="20">
    <w:abstractNumId w:val="13"/>
  </w:num>
  <w:num w:numId="21">
    <w:abstractNumId w:val="35"/>
  </w:num>
  <w:num w:numId="22">
    <w:abstractNumId w:val="11"/>
  </w:num>
  <w:num w:numId="23">
    <w:abstractNumId w:val="23"/>
  </w:num>
  <w:num w:numId="24">
    <w:abstractNumId w:val="7"/>
  </w:num>
  <w:num w:numId="25">
    <w:abstractNumId w:val="41"/>
  </w:num>
  <w:num w:numId="26">
    <w:abstractNumId w:val="3"/>
  </w:num>
  <w:num w:numId="27">
    <w:abstractNumId w:val="22"/>
  </w:num>
  <w:num w:numId="28">
    <w:abstractNumId w:val="32"/>
  </w:num>
  <w:num w:numId="29">
    <w:abstractNumId w:val="30"/>
  </w:num>
  <w:num w:numId="30">
    <w:abstractNumId w:val="24"/>
  </w:num>
  <w:num w:numId="31">
    <w:abstractNumId w:val="36"/>
  </w:num>
  <w:num w:numId="32">
    <w:abstractNumId w:val="5"/>
  </w:num>
  <w:num w:numId="33">
    <w:abstractNumId w:val="44"/>
  </w:num>
  <w:num w:numId="34">
    <w:abstractNumId w:val="6"/>
  </w:num>
  <w:num w:numId="35">
    <w:abstractNumId w:val="27"/>
  </w:num>
  <w:num w:numId="36">
    <w:abstractNumId w:val="8"/>
  </w:num>
  <w:num w:numId="37">
    <w:abstractNumId w:val="21"/>
  </w:num>
  <w:num w:numId="38">
    <w:abstractNumId w:val="12"/>
  </w:num>
  <w:num w:numId="39">
    <w:abstractNumId w:val="9"/>
  </w:num>
  <w:num w:numId="40">
    <w:abstractNumId w:val="26"/>
  </w:num>
  <w:num w:numId="41">
    <w:abstractNumId w:val="25"/>
  </w:num>
  <w:num w:numId="42">
    <w:abstractNumId w:val="42"/>
  </w:num>
  <w:num w:numId="43">
    <w:abstractNumId w:val="0"/>
  </w:num>
  <w:num w:numId="44">
    <w:abstractNumId w:val="29"/>
  </w:num>
  <w:num w:numId="45">
    <w:abstractNumId w:val="34"/>
  </w:num>
  <w:num w:numId="46">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C7A33"/>
    <w:rsid w:val="00000F10"/>
    <w:rsid w:val="0000105A"/>
    <w:rsid w:val="00001674"/>
    <w:rsid w:val="000017C8"/>
    <w:rsid w:val="00001C0C"/>
    <w:rsid w:val="00001DDE"/>
    <w:rsid w:val="00001ED9"/>
    <w:rsid w:val="00002302"/>
    <w:rsid w:val="00002474"/>
    <w:rsid w:val="0000265E"/>
    <w:rsid w:val="00002750"/>
    <w:rsid w:val="00003427"/>
    <w:rsid w:val="00003912"/>
    <w:rsid w:val="00003993"/>
    <w:rsid w:val="00003AB2"/>
    <w:rsid w:val="000041DC"/>
    <w:rsid w:val="000042C9"/>
    <w:rsid w:val="00004C9B"/>
    <w:rsid w:val="00004E23"/>
    <w:rsid w:val="00005995"/>
    <w:rsid w:val="000069A2"/>
    <w:rsid w:val="00006AD8"/>
    <w:rsid w:val="0000715D"/>
    <w:rsid w:val="00007660"/>
    <w:rsid w:val="0000794A"/>
    <w:rsid w:val="0001005C"/>
    <w:rsid w:val="00010785"/>
    <w:rsid w:val="00010A95"/>
    <w:rsid w:val="00010AEE"/>
    <w:rsid w:val="00010C4A"/>
    <w:rsid w:val="000113A1"/>
    <w:rsid w:val="00011B6C"/>
    <w:rsid w:val="00011CF6"/>
    <w:rsid w:val="00011D5C"/>
    <w:rsid w:val="000125CD"/>
    <w:rsid w:val="000127FF"/>
    <w:rsid w:val="00012F00"/>
    <w:rsid w:val="000136B1"/>
    <w:rsid w:val="00014567"/>
    <w:rsid w:val="00015886"/>
    <w:rsid w:val="00015956"/>
    <w:rsid w:val="00015BE8"/>
    <w:rsid w:val="00015DE3"/>
    <w:rsid w:val="000161E4"/>
    <w:rsid w:val="000168D8"/>
    <w:rsid w:val="00016AEF"/>
    <w:rsid w:val="00017265"/>
    <w:rsid w:val="00017716"/>
    <w:rsid w:val="00017BB7"/>
    <w:rsid w:val="00017F2F"/>
    <w:rsid w:val="00021EEE"/>
    <w:rsid w:val="00021F89"/>
    <w:rsid w:val="00022143"/>
    <w:rsid w:val="000223F4"/>
    <w:rsid w:val="000224D7"/>
    <w:rsid w:val="00022642"/>
    <w:rsid w:val="00022B03"/>
    <w:rsid w:val="00022DF5"/>
    <w:rsid w:val="00023645"/>
    <w:rsid w:val="00023AD4"/>
    <w:rsid w:val="00025CB6"/>
    <w:rsid w:val="00026683"/>
    <w:rsid w:val="0002676E"/>
    <w:rsid w:val="00026896"/>
    <w:rsid w:val="00026BC3"/>
    <w:rsid w:val="00027061"/>
    <w:rsid w:val="00027260"/>
    <w:rsid w:val="0002738D"/>
    <w:rsid w:val="000273A9"/>
    <w:rsid w:val="0002748F"/>
    <w:rsid w:val="0002754D"/>
    <w:rsid w:val="00030C86"/>
    <w:rsid w:val="00031671"/>
    <w:rsid w:val="00031716"/>
    <w:rsid w:val="0003273E"/>
    <w:rsid w:val="000332E6"/>
    <w:rsid w:val="000332EC"/>
    <w:rsid w:val="000335E1"/>
    <w:rsid w:val="000340B1"/>
    <w:rsid w:val="00034179"/>
    <w:rsid w:val="000343A4"/>
    <w:rsid w:val="000344FB"/>
    <w:rsid w:val="00034815"/>
    <w:rsid w:val="000350D9"/>
    <w:rsid w:val="0003520F"/>
    <w:rsid w:val="00035C4A"/>
    <w:rsid w:val="000367B0"/>
    <w:rsid w:val="00036D64"/>
    <w:rsid w:val="00036E68"/>
    <w:rsid w:val="00037933"/>
    <w:rsid w:val="00037CFE"/>
    <w:rsid w:val="00037DC9"/>
    <w:rsid w:val="000406BA"/>
    <w:rsid w:val="00040B2A"/>
    <w:rsid w:val="00040B3B"/>
    <w:rsid w:val="00040C9F"/>
    <w:rsid w:val="00040D2E"/>
    <w:rsid w:val="00040DFE"/>
    <w:rsid w:val="00040F1A"/>
    <w:rsid w:val="0004156D"/>
    <w:rsid w:val="000419DA"/>
    <w:rsid w:val="0004204D"/>
    <w:rsid w:val="00042547"/>
    <w:rsid w:val="0004301E"/>
    <w:rsid w:val="0004305F"/>
    <w:rsid w:val="000431A2"/>
    <w:rsid w:val="0004378F"/>
    <w:rsid w:val="00043BFD"/>
    <w:rsid w:val="00043EDB"/>
    <w:rsid w:val="00043F0D"/>
    <w:rsid w:val="000459A1"/>
    <w:rsid w:val="000461F2"/>
    <w:rsid w:val="0004621D"/>
    <w:rsid w:val="000464CE"/>
    <w:rsid w:val="0004674E"/>
    <w:rsid w:val="00046B78"/>
    <w:rsid w:val="00046D28"/>
    <w:rsid w:val="00046F0C"/>
    <w:rsid w:val="00047AB6"/>
    <w:rsid w:val="00047B44"/>
    <w:rsid w:val="0005036F"/>
    <w:rsid w:val="0005095F"/>
    <w:rsid w:val="00050D85"/>
    <w:rsid w:val="00050F6A"/>
    <w:rsid w:val="000510D3"/>
    <w:rsid w:val="00051257"/>
    <w:rsid w:val="00052106"/>
    <w:rsid w:val="00052BA0"/>
    <w:rsid w:val="00052CD2"/>
    <w:rsid w:val="0005311A"/>
    <w:rsid w:val="00054A3F"/>
    <w:rsid w:val="00054ACE"/>
    <w:rsid w:val="00055052"/>
    <w:rsid w:val="00055097"/>
    <w:rsid w:val="00055518"/>
    <w:rsid w:val="000558E6"/>
    <w:rsid w:val="000561CC"/>
    <w:rsid w:val="000567EC"/>
    <w:rsid w:val="00056B72"/>
    <w:rsid w:val="0005704B"/>
    <w:rsid w:val="00057587"/>
    <w:rsid w:val="0005772A"/>
    <w:rsid w:val="00057D3C"/>
    <w:rsid w:val="00057DDE"/>
    <w:rsid w:val="00060FCF"/>
    <w:rsid w:val="000615F1"/>
    <w:rsid w:val="00062349"/>
    <w:rsid w:val="00062DCD"/>
    <w:rsid w:val="00062F37"/>
    <w:rsid w:val="00063014"/>
    <w:rsid w:val="00063839"/>
    <w:rsid w:val="000642DD"/>
    <w:rsid w:val="0006433F"/>
    <w:rsid w:val="00064A51"/>
    <w:rsid w:val="00065EF2"/>
    <w:rsid w:val="00066345"/>
    <w:rsid w:val="00066A81"/>
    <w:rsid w:val="00070452"/>
    <w:rsid w:val="00070683"/>
    <w:rsid w:val="0007086D"/>
    <w:rsid w:val="00070E92"/>
    <w:rsid w:val="0007147A"/>
    <w:rsid w:val="000720BA"/>
    <w:rsid w:val="00072B3C"/>
    <w:rsid w:val="00072D40"/>
    <w:rsid w:val="000735A6"/>
    <w:rsid w:val="0007366E"/>
    <w:rsid w:val="000737BB"/>
    <w:rsid w:val="00073ABC"/>
    <w:rsid w:val="00073C53"/>
    <w:rsid w:val="0007417C"/>
    <w:rsid w:val="00074591"/>
    <w:rsid w:val="00075612"/>
    <w:rsid w:val="000757A7"/>
    <w:rsid w:val="00075E86"/>
    <w:rsid w:val="000769B9"/>
    <w:rsid w:val="000772FA"/>
    <w:rsid w:val="00077770"/>
    <w:rsid w:val="00077AFE"/>
    <w:rsid w:val="00077C38"/>
    <w:rsid w:val="00077F9D"/>
    <w:rsid w:val="000802E2"/>
    <w:rsid w:val="0008035C"/>
    <w:rsid w:val="00080523"/>
    <w:rsid w:val="000807EE"/>
    <w:rsid w:val="0008089E"/>
    <w:rsid w:val="00080B60"/>
    <w:rsid w:val="00080E45"/>
    <w:rsid w:val="00081479"/>
    <w:rsid w:val="000820AE"/>
    <w:rsid w:val="0008235F"/>
    <w:rsid w:val="0008289E"/>
    <w:rsid w:val="000828BD"/>
    <w:rsid w:val="00082F38"/>
    <w:rsid w:val="000831E7"/>
    <w:rsid w:val="00083221"/>
    <w:rsid w:val="00083C4E"/>
    <w:rsid w:val="00084289"/>
    <w:rsid w:val="00084302"/>
    <w:rsid w:val="000843AB"/>
    <w:rsid w:val="000846E4"/>
    <w:rsid w:val="00084B2A"/>
    <w:rsid w:val="00085485"/>
    <w:rsid w:val="00085958"/>
    <w:rsid w:val="00085C6B"/>
    <w:rsid w:val="00085F7F"/>
    <w:rsid w:val="00085F9B"/>
    <w:rsid w:val="0008607A"/>
    <w:rsid w:val="00086579"/>
    <w:rsid w:val="00086A95"/>
    <w:rsid w:val="00087A81"/>
    <w:rsid w:val="0009058D"/>
    <w:rsid w:val="00090969"/>
    <w:rsid w:val="00091AF8"/>
    <w:rsid w:val="00091DA5"/>
    <w:rsid w:val="00091DE3"/>
    <w:rsid w:val="00091EE3"/>
    <w:rsid w:val="00092153"/>
    <w:rsid w:val="0009284D"/>
    <w:rsid w:val="00092AB5"/>
    <w:rsid w:val="00092C56"/>
    <w:rsid w:val="000930F9"/>
    <w:rsid w:val="000938DD"/>
    <w:rsid w:val="00093943"/>
    <w:rsid w:val="00093F88"/>
    <w:rsid w:val="00094379"/>
    <w:rsid w:val="000943CA"/>
    <w:rsid w:val="000947F3"/>
    <w:rsid w:val="00094AA0"/>
    <w:rsid w:val="00094B86"/>
    <w:rsid w:val="00095612"/>
    <w:rsid w:val="0009615B"/>
    <w:rsid w:val="0009642A"/>
    <w:rsid w:val="000964EE"/>
    <w:rsid w:val="00096736"/>
    <w:rsid w:val="000968E9"/>
    <w:rsid w:val="0009733F"/>
    <w:rsid w:val="000A00FD"/>
    <w:rsid w:val="000A07FB"/>
    <w:rsid w:val="000A0C67"/>
    <w:rsid w:val="000A11A9"/>
    <w:rsid w:val="000A18D5"/>
    <w:rsid w:val="000A1B47"/>
    <w:rsid w:val="000A2553"/>
    <w:rsid w:val="000A2703"/>
    <w:rsid w:val="000A29F1"/>
    <w:rsid w:val="000A2A10"/>
    <w:rsid w:val="000A36EA"/>
    <w:rsid w:val="000A3B8C"/>
    <w:rsid w:val="000A3F1C"/>
    <w:rsid w:val="000A414D"/>
    <w:rsid w:val="000A52BB"/>
    <w:rsid w:val="000A5948"/>
    <w:rsid w:val="000A6668"/>
    <w:rsid w:val="000A7217"/>
    <w:rsid w:val="000A7224"/>
    <w:rsid w:val="000A7473"/>
    <w:rsid w:val="000A7D76"/>
    <w:rsid w:val="000A7FD1"/>
    <w:rsid w:val="000B0416"/>
    <w:rsid w:val="000B0858"/>
    <w:rsid w:val="000B0870"/>
    <w:rsid w:val="000B0DA6"/>
    <w:rsid w:val="000B12DF"/>
    <w:rsid w:val="000B1CD6"/>
    <w:rsid w:val="000B2F1B"/>
    <w:rsid w:val="000B4F34"/>
    <w:rsid w:val="000B5460"/>
    <w:rsid w:val="000B54D5"/>
    <w:rsid w:val="000B6F92"/>
    <w:rsid w:val="000C00E2"/>
    <w:rsid w:val="000C02C7"/>
    <w:rsid w:val="000C0540"/>
    <w:rsid w:val="000C0B2C"/>
    <w:rsid w:val="000C0C17"/>
    <w:rsid w:val="000C0D14"/>
    <w:rsid w:val="000C179B"/>
    <w:rsid w:val="000C19C8"/>
    <w:rsid w:val="000C2347"/>
    <w:rsid w:val="000C24CA"/>
    <w:rsid w:val="000C344D"/>
    <w:rsid w:val="000C3AAA"/>
    <w:rsid w:val="000C40C7"/>
    <w:rsid w:val="000C48A0"/>
    <w:rsid w:val="000C4ADA"/>
    <w:rsid w:val="000C4DFF"/>
    <w:rsid w:val="000C4ED3"/>
    <w:rsid w:val="000C5027"/>
    <w:rsid w:val="000C5134"/>
    <w:rsid w:val="000C5173"/>
    <w:rsid w:val="000C53B7"/>
    <w:rsid w:val="000C5C54"/>
    <w:rsid w:val="000C5E03"/>
    <w:rsid w:val="000C69EC"/>
    <w:rsid w:val="000C6DD8"/>
    <w:rsid w:val="000C7B48"/>
    <w:rsid w:val="000C7CF6"/>
    <w:rsid w:val="000C7E09"/>
    <w:rsid w:val="000C7ED7"/>
    <w:rsid w:val="000D00EA"/>
    <w:rsid w:val="000D0211"/>
    <w:rsid w:val="000D0414"/>
    <w:rsid w:val="000D0B05"/>
    <w:rsid w:val="000D0BC8"/>
    <w:rsid w:val="000D1042"/>
    <w:rsid w:val="000D1631"/>
    <w:rsid w:val="000D19D5"/>
    <w:rsid w:val="000D1AA7"/>
    <w:rsid w:val="000D25DF"/>
    <w:rsid w:val="000D284B"/>
    <w:rsid w:val="000D339A"/>
    <w:rsid w:val="000D372B"/>
    <w:rsid w:val="000D3878"/>
    <w:rsid w:val="000D3B67"/>
    <w:rsid w:val="000D3CC0"/>
    <w:rsid w:val="000D3D0F"/>
    <w:rsid w:val="000D3E58"/>
    <w:rsid w:val="000D45FC"/>
    <w:rsid w:val="000D6267"/>
    <w:rsid w:val="000D62F7"/>
    <w:rsid w:val="000D6636"/>
    <w:rsid w:val="000D6BD7"/>
    <w:rsid w:val="000D7A78"/>
    <w:rsid w:val="000E04F3"/>
    <w:rsid w:val="000E0B0E"/>
    <w:rsid w:val="000E1D27"/>
    <w:rsid w:val="000E2193"/>
    <w:rsid w:val="000E24AB"/>
    <w:rsid w:val="000E2DCE"/>
    <w:rsid w:val="000E315D"/>
    <w:rsid w:val="000E31D7"/>
    <w:rsid w:val="000E3202"/>
    <w:rsid w:val="000E40D1"/>
    <w:rsid w:val="000E49FB"/>
    <w:rsid w:val="000E4F27"/>
    <w:rsid w:val="000E4F3F"/>
    <w:rsid w:val="000E5683"/>
    <w:rsid w:val="000E6578"/>
    <w:rsid w:val="000E6601"/>
    <w:rsid w:val="000E6989"/>
    <w:rsid w:val="000E6BF0"/>
    <w:rsid w:val="000E6C61"/>
    <w:rsid w:val="000E7CBA"/>
    <w:rsid w:val="000E7E15"/>
    <w:rsid w:val="000F06ED"/>
    <w:rsid w:val="000F0714"/>
    <w:rsid w:val="000F0EF2"/>
    <w:rsid w:val="000F1132"/>
    <w:rsid w:val="000F2037"/>
    <w:rsid w:val="000F2BC9"/>
    <w:rsid w:val="000F2D78"/>
    <w:rsid w:val="000F3C20"/>
    <w:rsid w:val="000F423B"/>
    <w:rsid w:val="000F44C4"/>
    <w:rsid w:val="000F4984"/>
    <w:rsid w:val="000F4E38"/>
    <w:rsid w:val="000F5203"/>
    <w:rsid w:val="000F5E78"/>
    <w:rsid w:val="000F5FEF"/>
    <w:rsid w:val="000F6FB2"/>
    <w:rsid w:val="000F706C"/>
    <w:rsid w:val="00100386"/>
    <w:rsid w:val="0010072F"/>
    <w:rsid w:val="001015FA"/>
    <w:rsid w:val="0010185B"/>
    <w:rsid w:val="00101E7E"/>
    <w:rsid w:val="00101FA8"/>
    <w:rsid w:val="001021D9"/>
    <w:rsid w:val="00102285"/>
    <w:rsid w:val="00102314"/>
    <w:rsid w:val="00102849"/>
    <w:rsid w:val="001028E2"/>
    <w:rsid w:val="00103631"/>
    <w:rsid w:val="001037B9"/>
    <w:rsid w:val="00103AC4"/>
    <w:rsid w:val="0010414F"/>
    <w:rsid w:val="001044C9"/>
    <w:rsid w:val="00105A3C"/>
    <w:rsid w:val="00105D18"/>
    <w:rsid w:val="00105EED"/>
    <w:rsid w:val="00106831"/>
    <w:rsid w:val="00106A4D"/>
    <w:rsid w:val="00106AA8"/>
    <w:rsid w:val="001071F3"/>
    <w:rsid w:val="00107E26"/>
    <w:rsid w:val="001105FC"/>
    <w:rsid w:val="00110CE4"/>
    <w:rsid w:val="00111101"/>
    <w:rsid w:val="001118FD"/>
    <w:rsid w:val="00111FD1"/>
    <w:rsid w:val="001122B3"/>
    <w:rsid w:val="00112E52"/>
    <w:rsid w:val="00112F73"/>
    <w:rsid w:val="0011327E"/>
    <w:rsid w:val="001133A2"/>
    <w:rsid w:val="00113C0B"/>
    <w:rsid w:val="00114098"/>
    <w:rsid w:val="00114712"/>
    <w:rsid w:val="00114823"/>
    <w:rsid w:val="00114FBE"/>
    <w:rsid w:val="001161A8"/>
    <w:rsid w:val="00116373"/>
    <w:rsid w:val="001165C6"/>
    <w:rsid w:val="00116841"/>
    <w:rsid w:val="0011745D"/>
    <w:rsid w:val="00117FDE"/>
    <w:rsid w:val="0012028B"/>
    <w:rsid w:val="0012030E"/>
    <w:rsid w:val="00121C84"/>
    <w:rsid w:val="00121D2C"/>
    <w:rsid w:val="00121EC5"/>
    <w:rsid w:val="00122584"/>
    <w:rsid w:val="00122863"/>
    <w:rsid w:val="001240C5"/>
    <w:rsid w:val="00124E13"/>
    <w:rsid w:val="001255F5"/>
    <w:rsid w:val="001262C0"/>
    <w:rsid w:val="00126BF6"/>
    <w:rsid w:val="00127500"/>
    <w:rsid w:val="0012770B"/>
    <w:rsid w:val="00127C8A"/>
    <w:rsid w:val="00127E14"/>
    <w:rsid w:val="0013081C"/>
    <w:rsid w:val="0013084F"/>
    <w:rsid w:val="00130C73"/>
    <w:rsid w:val="0013110E"/>
    <w:rsid w:val="00131133"/>
    <w:rsid w:val="001312D3"/>
    <w:rsid w:val="0013130E"/>
    <w:rsid w:val="0013139E"/>
    <w:rsid w:val="001321EE"/>
    <w:rsid w:val="00132C6B"/>
    <w:rsid w:val="00132E9C"/>
    <w:rsid w:val="00133206"/>
    <w:rsid w:val="001339A7"/>
    <w:rsid w:val="00134CE2"/>
    <w:rsid w:val="0013519E"/>
    <w:rsid w:val="00135211"/>
    <w:rsid w:val="001354CA"/>
    <w:rsid w:val="00136BE9"/>
    <w:rsid w:val="00137053"/>
    <w:rsid w:val="00137FB3"/>
    <w:rsid w:val="00140008"/>
    <w:rsid w:val="0014016E"/>
    <w:rsid w:val="001406E3"/>
    <w:rsid w:val="001409B1"/>
    <w:rsid w:val="001411E3"/>
    <w:rsid w:val="00141882"/>
    <w:rsid w:val="00141A3D"/>
    <w:rsid w:val="00142F60"/>
    <w:rsid w:val="00143537"/>
    <w:rsid w:val="00143E01"/>
    <w:rsid w:val="001440C0"/>
    <w:rsid w:val="0014434A"/>
    <w:rsid w:val="001443D5"/>
    <w:rsid w:val="00144468"/>
    <w:rsid w:val="001446C2"/>
    <w:rsid w:val="001454FA"/>
    <w:rsid w:val="00147A7E"/>
    <w:rsid w:val="0015027B"/>
    <w:rsid w:val="00150DD9"/>
    <w:rsid w:val="00150E92"/>
    <w:rsid w:val="00151339"/>
    <w:rsid w:val="00151481"/>
    <w:rsid w:val="001515CD"/>
    <w:rsid w:val="00151920"/>
    <w:rsid w:val="001529DC"/>
    <w:rsid w:val="00152FFE"/>
    <w:rsid w:val="001532A5"/>
    <w:rsid w:val="0015373B"/>
    <w:rsid w:val="0015417D"/>
    <w:rsid w:val="00154524"/>
    <w:rsid w:val="00154E55"/>
    <w:rsid w:val="001554FF"/>
    <w:rsid w:val="001556F8"/>
    <w:rsid w:val="00155D21"/>
    <w:rsid w:val="00156986"/>
    <w:rsid w:val="00156CFF"/>
    <w:rsid w:val="00156E0D"/>
    <w:rsid w:val="00157A3C"/>
    <w:rsid w:val="00160AB8"/>
    <w:rsid w:val="00160D3E"/>
    <w:rsid w:val="001611A0"/>
    <w:rsid w:val="00161829"/>
    <w:rsid w:val="00162229"/>
    <w:rsid w:val="001625A9"/>
    <w:rsid w:val="001626C6"/>
    <w:rsid w:val="00163135"/>
    <w:rsid w:val="00163644"/>
    <w:rsid w:val="00163786"/>
    <w:rsid w:val="001637FE"/>
    <w:rsid w:val="00163D58"/>
    <w:rsid w:val="00164778"/>
    <w:rsid w:val="00165024"/>
    <w:rsid w:val="001650A5"/>
    <w:rsid w:val="00165CB4"/>
    <w:rsid w:val="00165EDE"/>
    <w:rsid w:val="00165F6C"/>
    <w:rsid w:val="00166054"/>
    <w:rsid w:val="00166619"/>
    <w:rsid w:val="00166C1A"/>
    <w:rsid w:val="00166C4E"/>
    <w:rsid w:val="00167106"/>
    <w:rsid w:val="001676A8"/>
    <w:rsid w:val="00167B55"/>
    <w:rsid w:val="00167F47"/>
    <w:rsid w:val="001703CA"/>
    <w:rsid w:val="00170744"/>
    <w:rsid w:val="00170E45"/>
    <w:rsid w:val="00171240"/>
    <w:rsid w:val="00171548"/>
    <w:rsid w:val="001718CF"/>
    <w:rsid w:val="00171FFA"/>
    <w:rsid w:val="00172A77"/>
    <w:rsid w:val="00172F06"/>
    <w:rsid w:val="0017307F"/>
    <w:rsid w:val="00173C22"/>
    <w:rsid w:val="0017464A"/>
    <w:rsid w:val="00174C2A"/>
    <w:rsid w:val="00174CEB"/>
    <w:rsid w:val="001759DB"/>
    <w:rsid w:val="00175A0E"/>
    <w:rsid w:val="00176238"/>
    <w:rsid w:val="00176B7F"/>
    <w:rsid w:val="00176C03"/>
    <w:rsid w:val="00176FE2"/>
    <w:rsid w:val="00177508"/>
    <w:rsid w:val="00177F0B"/>
    <w:rsid w:val="001808AF"/>
    <w:rsid w:val="00180BC3"/>
    <w:rsid w:val="001810D8"/>
    <w:rsid w:val="0018144B"/>
    <w:rsid w:val="00181594"/>
    <w:rsid w:val="00181667"/>
    <w:rsid w:val="00181F3F"/>
    <w:rsid w:val="00182431"/>
    <w:rsid w:val="001826F8"/>
    <w:rsid w:val="00183190"/>
    <w:rsid w:val="00183565"/>
    <w:rsid w:val="00184C0D"/>
    <w:rsid w:val="00184FFA"/>
    <w:rsid w:val="00185B6E"/>
    <w:rsid w:val="0018691B"/>
    <w:rsid w:val="0018707B"/>
    <w:rsid w:val="00187DBC"/>
    <w:rsid w:val="00190578"/>
    <w:rsid w:val="00190582"/>
    <w:rsid w:val="00191284"/>
    <w:rsid w:val="001913E3"/>
    <w:rsid w:val="00191739"/>
    <w:rsid w:val="00191784"/>
    <w:rsid w:val="00191B37"/>
    <w:rsid w:val="00194C6E"/>
    <w:rsid w:val="0019530A"/>
    <w:rsid w:val="0019588B"/>
    <w:rsid w:val="00195A23"/>
    <w:rsid w:val="0019719E"/>
    <w:rsid w:val="001977C5"/>
    <w:rsid w:val="0019788A"/>
    <w:rsid w:val="00197937"/>
    <w:rsid w:val="001979D0"/>
    <w:rsid w:val="001A041D"/>
    <w:rsid w:val="001A0734"/>
    <w:rsid w:val="001A0A7C"/>
    <w:rsid w:val="001A0D48"/>
    <w:rsid w:val="001A15B1"/>
    <w:rsid w:val="001A1E02"/>
    <w:rsid w:val="001A2374"/>
    <w:rsid w:val="001A25F6"/>
    <w:rsid w:val="001A4795"/>
    <w:rsid w:val="001A4BC1"/>
    <w:rsid w:val="001A4BEB"/>
    <w:rsid w:val="001A5544"/>
    <w:rsid w:val="001A5BB4"/>
    <w:rsid w:val="001A615A"/>
    <w:rsid w:val="001A6616"/>
    <w:rsid w:val="001A6F50"/>
    <w:rsid w:val="001A71B6"/>
    <w:rsid w:val="001A75DF"/>
    <w:rsid w:val="001B07C6"/>
    <w:rsid w:val="001B0BEC"/>
    <w:rsid w:val="001B13A4"/>
    <w:rsid w:val="001B1DBA"/>
    <w:rsid w:val="001B2192"/>
    <w:rsid w:val="001B21E1"/>
    <w:rsid w:val="001B22EC"/>
    <w:rsid w:val="001B24F0"/>
    <w:rsid w:val="001B250F"/>
    <w:rsid w:val="001B2809"/>
    <w:rsid w:val="001B2AD9"/>
    <w:rsid w:val="001B2BCD"/>
    <w:rsid w:val="001B2C0E"/>
    <w:rsid w:val="001B2D0C"/>
    <w:rsid w:val="001B35F1"/>
    <w:rsid w:val="001B3808"/>
    <w:rsid w:val="001B39A3"/>
    <w:rsid w:val="001B39A5"/>
    <w:rsid w:val="001B4A21"/>
    <w:rsid w:val="001B4E43"/>
    <w:rsid w:val="001B55F4"/>
    <w:rsid w:val="001B5927"/>
    <w:rsid w:val="001B60A4"/>
    <w:rsid w:val="001B6293"/>
    <w:rsid w:val="001B6480"/>
    <w:rsid w:val="001B6619"/>
    <w:rsid w:val="001B666F"/>
    <w:rsid w:val="001B66EC"/>
    <w:rsid w:val="001B7712"/>
    <w:rsid w:val="001B775B"/>
    <w:rsid w:val="001B7B89"/>
    <w:rsid w:val="001C0769"/>
    <w:rsid w:val="001C0AB5"/>
    <w:rsid w:val="001C0BDF"/>
    <w:rsid w:val="001C0FFA"/>
    <w:rsid w:val="001C12AF"/>
    <w:rsid w:val="001C1482"/>
    <w:rsid w:val="001C1DC4"/>
    <w:rsid w:val="001C2A7A"/>
    <w:rsid w:val="001C372E"/>
    <w:rsid w:val="001C38DF"/>
    <w:rsid w:val="001C4021"/>
    <w:rsid w:val="001C4168"/>
    <w:rsid w:val="001C470D"/>
    <w:rsid w:val="001C5022"/>
    <w:rsid w:val="001C505B"/>
    <w:rsid w:val="001C53FD"/>
    <w:rsid w:val="001C676C"/>
    <w:rsid w:val="001C7169"/>
    <w:rsid w:val="001C71D4"/>
    <w:rsid w:val="001C7D5D"/>
    <w:rsid w:val="001D0298"/>
    <w:rsid w:val="001D02E0"/>
    <w:rsid w:val="001D0414"/>
    <w:rsid w:val="001D0D44"/>
    <w:rsid w:val="001D11B6"/>
    <w:rsid w:val="001D147C"/>
    <w:rsid w:val="001D1700"/>
    <w:rsid w:val="001D200F"/>
    <w:rsid w:val="001D2264"/>
    <w:rsid w:val="001D2911"/>
    <w:rsid w:val="001D2A8D"/>
    <w:rsid w:val="001D2BD7"/>
    <w:rsid w:val="001D37BF"/>
    <w:rsid w:val="001D3E31"/>
    <w:rsid w:val="001D4056"/>
    <w:rsid w:val="001D43DB"/>
    <w:rsid w:val="001D4AE3"/>
    <w:rsid w:val="001D52D5"/>
    <w:rsid w:val="001D5A9D"/>
    <w:rsid w:val="001D5BD0"/>
    <w:rsid w:val="001D6149"/>
    <w:rsid w:val="001D62C0"/>
    <w:rsid w:val="001D69E2"/>
    <w:rsid w:val="001D6CFB"/>
    <w:rsid w:val="001D73B1"/>
    <w:rsid w:val="001D74AD"/>
    <w:rsid w:val="001D7C57"/>
    <w:rsid w:val="001D7F7D"/>
    <w:rsid w:val="001E0B11"/>
    <w:rsid w:val="001E1CDA"/>
    <w:rsid w:val="001E2516"/>
    <w:rsid w:val="001E26CD"/>
    <w:rsid w:val="001E2A7D"/>
    <w:rsid w:val="001E2B5F"/>
    <w:rsid w:val="001E2C1B"/>
    <w:rsid w:val="001E3204"/>
    <w:rsid w:val="001E32A2"/>
    <w:rsid w:val="001E35C6"/>
    <w:rsid w:val="001E39AB"/>
    <w:rsid w:val="001E4E95"/>
    <w:rsid w:val="001E5E14"/>
    <w:rsid w:val="001E5E80"/>
    <w:rsid w:val="001E6FE5"/>
    <w:rsid w:val="001E70DC"/>
    <w:rsid w:val="001E7487"/>
    <w:rsid w:val="001E78B7"/>
    <w:rsid w:val="001E7CFC"/>
    <w:rsid w:val="001E7ED9"/>
    <w:rsid w:val="001F0BFE"/>
    <w:rsid w:val="001F11F6"/>
    <w:rsid w:val="001F14A9"/>
    <w:rsid w:val="001F1548"/>
    <w:rsid w:val="001F17EB"/>
    <w:rsid w:val="001F234F"/>
    <w:rsid w:val="001F28A1"/>
    <w:rsid w:val="001F2B1A"/>
    <w:rsid w:val="001F3235"/>
    <w:rsid w:val="001F32C1"/>
    <w:rsid w:val="001F4110"/>
    <w:rsid w:val="001F4681"/>
    <w:rsid w:val="001F4ED5"/>
    <w:rsid w:val="001F4F20"/>
    <w:rsid w:val="001F5480"/>
    <w:rsid w:val="001F630C"/>
    <w:rsid w:val="001F6666"/>
    <w:rsid w:val="001F7121"/>
    <w:rsid w:val="001F7181"/>
    <w:rsid w:val="001F7B41"/>
    <w:rsid w:val="001F7F73"/>
    <w:rsid w:val="002000C6"/>
    <w:rsid w:val="00200409"/>
    <w:rsid w:val="0020085D"/>
    <w:rsid w:val="00200E6C"/>
    <w:rsid w:val="00201F34"/>
    <w:rsid w:val="00202237"/>
    <w:rsid w:val="00202910"/>
    <w:rsid w:val="00202A7D"/>
    <w:rsid w:val="00203B28"/>
    <w:rsid w:val="00204846"/>
    <w:rsid w:val="00204A7E"/>
    <w:rsid w:val="002054A0"/>
    <w:rsid w:val="002059DD"/>
    <w:rsid w:val="00205E96"/>
    <w:rsid w:val="00206541"/>
    <w:rsid w:val="00206A31"/>
    <w:rsid w:val="00206C6E"/>
    <w:rsid w:val="00206DBD"/>
    <w:rsid w:val="00206E87"/>
    <w:rsid w:val="002071FB"/>
    <w:rsid w:val="00207520"/>
    <w:rsid w:val="00207EB8"/>
    <w:rsid w:val="00207FD7"/>
    <w:rsid w:val="002104D4"/>
    <w:rsid w:val="00210909"/>
    <w:rsid w:val="00210BF6"/>
    <w:rsid w:val="00211292"/>
    <w:rsid w:val="0021164E"/>
    <w:rsid w:val="00211EDA"/>
    <w:rsid w:val="00212326"/>
    <w:rsid w:val="002124C4"/>
    <w:rsid w:val="0021288F"/>
    <w:rsid w:val="002128D9"/>
    <w:rsid w:val="00212E6A"/>
    <w:rsid w:val="00213019"/>
    <w:rsid w:val="00213E56"/>
    <w:rsid w:val="0021417A"/>
    <w:rsid w:val="002144F8"/>
    <w:rsid w:val="00214C47"/>
    <w:rsid w:val="00214C48"/>
    <w:rsid w:val="002150A3"/>
    <w:rsid w:val="00215E8A"/>
    <w:rsid w:val="00216118"/>
    <w:rsid w:val="002163FD"/>
    <w:rsid w:val="00216B1B"/>
    <w:rsid w:val="00216D6B"/>
    <w:rsid w:val="00216F49"/>
    <w:rsid w:val="00217809"/>
    <w:rsid w:val="0022094E"/>
    <w:rsid w:val="00220982"/>
    <w:rsid w:val="00221774"/>
    <w:rsid w:val="00221BC7"/>
    <w:rsid w:val="002220A2"/>
    <w:rsid w:val="00222A3D"/>
    <w:rsid w:val="00222D30"/>
    <w:rsid w:val="00223174"/>
    <w:rsid w:val="0022320B"/>
    <w:rsid w:val="00223767"/>
    <w:rsid w:val="002237A8"/>
    <w:rsid w:val="00223E6C"/>
    <w:rsid w:val="00224074"/>
    <w:rsid w:val="002241E8"/>
    <w:rsid w:val="00224C6C"/>
    <w:rsid w:val="0022596D"/>
    <w:rsid w:val="0022643F"/>
    <w:rsid w:val="00226EA9"/>
    <w:rsid w:val="00227366"/>
    <w:rsid w:val="00227F92"/>
    <w:rsid w:val="002301AD"/>
    <w:rsid w:val="00230E08"/>
    <w:rsid w:val="00231365"/>
    <w:rsid w:val="00231397"/>
    <w:rsid w:val="00231BBE"/>
    <w:rsid w:val="00231C10"/>
    <w:rsid w:val="00231D11"/>
    <w:rsid w:val="00231F92"/>
    <w:rsid w:val="00231FEE"/>
    <w:rsid w:val="0023282A"/>
    <w:rsid w:val="00233258"/>
    <w:rsid w:val="0023355D"/>
    <w:rsid w:val="00233997"/>
    <w:rsid w:val="00233D3D"/>
    <w:rsid w:val="00233DA8"/>
    <w:rsid w:val="0023442D"/>
    <w:rsid w:val="002349D5"/>
    <w:rsid w:val="00234B14"/>
    <w:rsid w:val="00234CDB"/>
    <w:rsid w:val="00234F5B"/>
    <w:rsid w:val="002350EA"/>
    <w:rsid w:val="00235A16"/>
    <w:rsid w:val="00235D1D"/>
    <w:rsid w:val="00237230"/>
    <w:rsid w:val="00240170"/>
    <w:rsid w:val="00240216"/>
    <w:rsid w:val="0024029D"/>
    <w:rsid w:val="002418F1"/>
    <w:rsid w:val="002419C7"/>
    <w:rsid w:val="0024225C"/>
    <w:rsid w:val="002427D0"/>
    <w:rsid w:val="00243934"/>
    <w:rsid w:val="00243B43"/>
    <w:rsid w:val="002442CB"/>
    <w:rsid w:val="002443DA"/>
    <w:rsid w:val="00244B27"/>
    <w:rsid w:val="002453DD"/>
    <w:rsid w:val="002456C1"/>
    <w:rsid w:val="00245E0F"/>
    <w:rsid w:val="00247DB8"/>
    <w:rsid w:val="00250953"/>
    <w:rsid w:val="00250E2C"/>
    <w:rsid w:val="0025191A"/>
    <w:rsid w:val="00251C76"/>
    <w:rsid w:val="00251D61"/>
    <w:rsid w:val="0025215F"/>
    <w:rsid w:val="002521B5"/>
    <w:rsid w:val="0025262D"/>
    <w:rsid w:val="002527F2"/>
    <w:rsid w:val="002528C8"/>
    <w:rsid w:val="00252AD9"/>
    <w:rsid w:val="00253C42"/>
    <w:rsid w:val="002540F6"/>
    <w:rsid w:val="0025446A"/>
    <w:rsid w:val="00254EBC"/>
    <w:rsid w:val="00255B31"/>
    <w:rsid w:val="002562E5"/>
    <w:rsid w:val="002575F1"/>
    <w:rsid w:val="00257671"/>
    <w:rsid w:val="002578D7"/>
    <w:rsid w:val="00260469"/>
    <w:rsid w:val="00260B5C"/>
    <w:rsid w:val="00260BEA"/>
    <w:rsid w:val="00261003"/>
    <w:rsid w:val="00261D4B"/>
    <w:rsid w:val="00261D58"/>
    <w:rsid w:val="00262046"/>
    <w:rsid w:val="00262825"/>
    <w:rsid w:val="0026285C"/>
    <w:rsid w:val="002629BB"/>
    <w:rsid w:val="00262CEC"/>
    <w:rsid w:val="00263572"/>
    <w:rsid w:val="00263BBC"/>
    <w:rsid w:val="00263E02"/>
    <w:rsid w:val="0026410A"/>
    <w:rsid w:val="002646B1"/>
    <w:rsid w:val="002648FA"/>
    <w:rsid w:val="00264CF4"/>
    <w:rsid w:val="00264E31"/>
    <w:rsid w:val="00264F93"/>
    <w:rsid w:val="002651CE"/>
    <w:rsid w:val="002651DD"/>
    <w:rsid w:val="0026552B"/>
    <w:rsid w:val="00265D77"/>
    <w:rsid w:val="00265F97"/>
    <w:rsid w:val="00265FC0"/>
    <w:rsid w:val="002664A0"/>
    <w:rsid w:val="00266909"/>
    <w:rsid w:val="002674D2"/>
    <w:rsid w:val="002675C4"/>
    <w:rsid w:val="00267727"/>
    <w:rsid w:val="0026792A"/>
    <w:rsid w:val="00267AAF"/>
    <w:rsid w:val="00267B26"/>
    <w:rsid w:val="00267B7C"/>
    <w:rsid w:val="0027101D"/>
    <w:rsid w:val="00271545"/>
    <w:rsid w:val="00272244"/>
    <w:rsid w:val="00272853"/>
    <w:rsid w:val="00272A7D"/>
    <w:rsid w:val="002734FD"/>
    <w:rsid w:val="00275379"/>
    <w:rsid w:val="00276068"/>
    <w:rsid w:val="002761FF"/>
    <w:rsid w:val="00276202"/>
    <w:rsid w:val="0027666B"/>
    <w:rsid w:val="0027685B"/>
    <w:rsid w:val="002769DF"/>
    <w:rsid w:val="00277597"/>
    <w:rsid w:val="002777D4"/>
    <w:rsid w:val="00277848"/>
    <w:rsid w:val="00277CC1"/>
    <w:rsid w:val="00280CFC"/>
    <w:rsid w:val="00280E48"/>
    <w:rsid w:val="00280FD5"/>
    <w:rsid w:val="0028161F"/>
    <w:rsid w:val="00281C50"/>
    <w:rsid w:val="00282065"/>
    <w:rsid w:val="002831C2"/>
    <w:rsid w:val="00283AAD"/>
    <w:rsid w:val="002847D1"/>
    <w:rsid w:val="00284B5A"/>
    <w:rsid w:val="00286083"/>
    <w:rsid w:val="0028683E"/>
    <w:rsid w:val="00286909"/>
    <w:rsid w:val="00287962"/>
    <w:rsid w:val="00287D20"/>
    <w:rsid w:val="00287F73"/>
    <w:rsid w:val="00290239"/>
    <w:rsid w:val="002905E6"/>
    <w:rsid w:val="002906C5"/>
    <w:rsid w:val="0029101C"/>
    <w:rsid w:val="0029172C"/>
    <w:rsid w:val="0029265B"/>
    <w:rsid w:val="0029340A"/>
    <w:rsid w:val="002934AF"/>
    <w:rsid w:val="00293F94"/>
    <w:rsid w:val="002944F7"/>
    <w:rsid w:val="0029466A"/>
    <w:rsid w:val="00294705"/>
    <w:rsid w:val="00294958"/>
    <w:rsid w:val="00294B37"/>
    <w:rsid w:val="00294F49"/>
    <w:rsid w:val="0029527C"/>
    <w:rsid w:val="002952CD"/>
    <w:rsid w:val="00295301"/>
    <w:rsid w:val="00295FBC"/>
    <w:rsid w:val="002968F8"/>
    <w:rsid w:val="00297346"/>
    <w:rsid w:val="00297759"/>
    <w:rsid w:val="00297CFD"/>
    <w:rsid w:val="00297FB5"/>
    <w:rsid w:val="002A0357"/>
    <w:rsid w:val="002A04E5"/>
    <w:rsid w:val="002A07D3"/>
    <w:rsid w:val="002A117C"/>
    <w:rsid w:val="002A1944"/>
    <w:rsid w:val="002A1F92"/>
    <w:rsid w:val="002A1FE7"/>
    <w:rsid w:val="002A20E1"/>
    <w:rsid w:val="002A2520"/>
    <w:rsid w:val="002A290F"/>
    <w:rsid w:val="002A386F"/>
    <w:rsid w:val="002A3913"/>
    <w:rsid w:val="002A3971"/>
    <w:rsid w:val="002A39CD"/>
    <w:rsid w:val="002A4279"/>
    <w:rsid w:val="002A550D"/>
    <w:rsid w:val="002A59C7"/>
    <w:rsid w:val="002A5F78"/>
    <w:rsid w:val="002A615C"/>
    <w:rsid w:val="002A6772"/>
    <w:rsid w:val="002A6A84"/>
    <w:rsid w:val="002A70E0"/>
    <w:rsid w:val="002B0272"/>
    <w:rsid w:val="002B054F"/>
    <w:rsid w:val="002B05F2"/>
    <w:rsid w:val="002B09B2"/>
    <w:rsid w:val="002B0A15"/>
    <w:rsid w:val="002B0B7C"/>
    <w:rsid w:val="002B0C2F"/>
    <w:rsid w:val="002B1221"/>
    <w:rsid w:val="002B154F"/>
    <w:rsid w:val="002B1B2E"/>
    <w:rsid w:val="002B2300"/>
    <w:rsid w:val="002B244E"/>
    <w:rsid w:val="002B3187"/>
    <w:rsid w:val="002B320D"/>
    <w:rsid w:val="002B3C52"/>
    <w:rsid w:val="002B42C3"/>
    <w:rsid w:val="002B4440"/>
    <w:rsid w:val="002B567A"/>
    <w:rsid w:val="002B5D0D"/>
    <w:rsid w:val="002B610D"/>
    <w:rsid w:val="002B711D"/>
    <w:rsid w:val="002B71B6"/>
    <w:rsid w:val="002B73F9"/>
    <w:rsid w:val="002B7622"/>
    <w:rsid w:val="002B766F"/>
    <w:rsid w:val="002B78D8"/>
    <w:rsid w:val="002B7D18"/>
    <w:rsid w:val="002C0011"/>
    <w:rsid w:val="002C004D"/>
    <w:rsid w:val="002C06AC"/>
    <w:rsid w:val="002C0DD6"/>
    <w:rsid w:val="002C1A8F"/>
    <w:rsid w:val="002C1B04"/>
    <w:rsid w:val="002C1B72"/>
    <w:rsid w:val="002C1C21"/>
    <w:rsid w:val="002C22AF"/>
    <w:rsid w:val="002C275A"/>
    <w:rsid w:val="002C282A"/>
    <w:rsid w:val="002C2B25"/>
    <w:rsid w:val="002C2E20"/>
    <w:rsid w:val="002C2F24"/>
    <w:rsid w:val="002C7205"/>
    <w:rsid w:val="002C7324"/>
    <w:rsid w:val="002C7931"/>
    <w:rsid w:val="002D025C"/>
    <w:rsid w:val="002D12AD"/>
    <w:rsid w:val="002D1AFB"/>
    <w:rsid w:val="002D208D"/>
    <w:rsid w:val="002D2593"/>
    <w:rsid w:val="002D26CB"/>
    <w:rsid w:val="002D3D3D"/>
    <w:rsid w:val="002D3DB2"/>
    <w:rsid w:val="002D3ED7"/>
    <w:rsid w:val="002D4724"/>
    <w:rsid w:val="002D4F1E"/>
    <w:rsid w:val="002D5F03"/>
    <w:rsid w:val="002D669D"/>
    <w:rsid w:val="002D6CCE"/>
    <w:rsid w:val="002D783F"/>
    <w:rsid w:val="002D7F87"/>
    <w:rsid w:val="002E0F3B"/>
    <w:rsid w:val="002E118A"/>
    <w:rsid w:val="002E161F"/>
    <w:rsid w:val="002E1D48"/>
    <w:rsid w:val="002E1E02"/>
    <w:rsid w:val="002E211C"/>
    <w:rsid w:val="002E2785"/>
    <w:rsid w:val="002E2B36"/>
    <w:rsid w:val="002E2E47"/>
    <w:rsid w:val="002E33C7"/>
    <w:rsid w:val="002E348B"/>
    <w:rsid w:val="002E3527"/>
    <w:rsid w:val="002E3605"/>
    <w:rsid w:val="002E3635"/>
    <w:rsid w:val="002E38FF"/>
    <w:rsid w:val="002E393C"/>
    <w:rsid w:val="002E39BF"/>
    <w:rsid w:val="002E503B"/>
    <w:rsid w:val="002E699C"/>
    <w:rsid w:val="002E7330"/>
    <w:rsid w:val="002F00A6"/>
    <w:rsid w:val="002F035A"/>
    <w:rsid w:val="002F03B0"/>
    <w:rsid w:val="002F0653"/>
    <w:rsid w:val="002F0DBE"/>
    <w:rsid w:val="002F2412"/>
    <w:rsid w:val="002F330F"/>
    <w:rsid w:val="002F3E91"/>
    <w:rsid w:val="002F4208"/>
    <w:rsid w:val="002F434F"/>
    <w:rsid w:val="002F4F24"/>
    <w:rsid w:val="002F509F"/>
    <w:rsid w:val="002F54F9"/>
    <w:rsid w:val="002F5B41"/>
    <w:rsid w:val="002F6E67"/>
    <w:rsid w:val="002F6E7C"/>
    <w:rsid w:val="002F72C5"/>
    <w:rsid w:val="002F730B"/>
    <w:rsid w:val="00300989"/>
    <w:rsid w:val="00300DE9"/>
    <w:rsid w:val="0030123D"/>
    <w:rsid w:val="00301996"/>
    <w:rsid w:val="00302EB1"/>
    <w:rsid w:val="003038F7"/>
    <w:rsid w:val="00303929"/>
    <w:rsid w:val="00303C93"/>
    <w:rsid w:val="003052FC"/>
    <w:rsid w:val="00305F2B"/>
    <w:rsid w:val="003063F4"/>
    <w:rsid w:val="00307444"/>
    <w:rsid w:val="0031061D"/>
    <w:rsid w:val="00310B85"/>
    <w:rsid w:val="003114A7"/>
    <w:rsid w:val="0031185B"/>
    <w:rsid w:val="00311F90"/>
    <w:rsid w:val="0031262A"/>
    <w:rsid w:val="00312FF4"/>
    <w:rsid w:val="0031416B"/>
    <w:rsid w:val="003148B7"/>
    <w:rsid w:val="003149B4"/>
    <w:rsid w:val="0031598C"/>
    <w:rsid w:val="00315EA0"/>
    <w:rsid w:val="00316412"/>
    <w:rsid w:val="00317388"/>
    <w:rsid w:val="0031776F"/>
    <w:rsid w:val="00320D68"/>
    <w:rsid w:val="0032190C"/>
    <w:rsid w:val="00321A79"/>
    <w:rsid w:val="00321C34"/>
    <w:rsid w:val="00321D64"/>
    <w:rsid w:val="00322080"/>
    <w:rsid w:val="0032210D"/>
    <w:rsid w:val="003226E3"/>
    <w:rsid w:val="0032288B"/>
    <w:rsid w:val="00322B9B"/>
    <w:rsid w:val="00322F57"/>
    <w:rsid w:val="003232FE"/>
    <w:rsid w:val="00324568"/>
    <w:rsid w:val="00324633"/>
    <w:rsid w:val="0032471B"/>
    <w:rsid w:val="00324911"/>
    <w:rsid w:val="0032547C"/>
    <w:rsid w:val="003257A5"/>
    <w:rsid w:val="0032624B"/>
    <w:rsid w:val="003268B7"/>
    <w:rsid w:val="00326A59"/>
    <w:rsid w:val="00326C17"/>
    <w:rsid w:val="00326E70"/>
    <w:rsid w:val="00326FAD"/>
    <w:rsid w:val="0032709C"/>
    <w:rsid w:val="00327657"/>
    <w:rsid w:val="00327983"/>
    <w:rsid w:val="0033017C"/>
    <w:rsid w:val="0033051D"/>
    <w:rsid w:val="00331122"/>
    <w:rsid w:val="0033146D"/>
    <w:rsid w:val="0033149D"/>
    <w:rsid w:val="00331ACB"/>
    <w:rsid w:val="00331FE1"/>
    <w:rsid w:val="003322DF"/>
    <w:rsid w:val="00332373"/>
    <w:rsid w:val="003326F2"/>
    <w:rsid w:val="00332843"/>
    <w:rsid w:val="00332AC0"/>
    <w:rsid w:val="00333122"/>
    <w:rsid w:val="00333137"/>
    <w:rsid w:val="00333464"/>
    <w:rsid w:val="00333592"/>
    <w:rsid w:val="00333C18"/>
    <w:rsid w:val="00333CB2"/>
    <w:rsid w:val="003341E4"/>
    <w:rsid w:val="00334853"/>
    <w:rsid w:val="003357C8"/>
    <w:rsid w:val="00335C1B"/>
    <w:rsid w:val="00336266"/>
    <w:rsid w:val="0033635B"/>
    <w:rsid w:val="00336440"/>
    <w:rsid w:val="003365CB"/>
    <w:rsid w:val="00336BB3"/>
    <w:rsid w:val="00336BEF"/>
    <w:rsid w:val="00337366"/>
    <w:rsid w:val="00337667"/>
    <w:rsid w:val="003377E5"/>
    <w:rsid w:val="00337F69"/>
    <w:rsid w:val="0034062A"/>
    <w:rsid w:val="00340E50"/>
    <w:rsid w:val="00341103"/>
    <w:rsid w:val="00341CEE"/>
    <w:rsid w:val="00341DD9"/>
    <w:rsid w:val="00341F0F"/>
    <w:rsid w:val="00341F5A"/>
    <w:rsid w:val="00342102"/>
    <w:rsid w:val="003423DC"/>
    <w:rsid w:val="003425DA"/>
    <w:rsid w:val="0034313D"/>
    <w:rsid w:val="003432B4"/>
    <w:rsid w:val="00343AE9"/>
    <w:rsid w:val="0034434D"/>
    <w:rsid w:val="00344AB5"/>
    <w:rsid w:val="00345B8F"/>
    <w:rsid w:val="00345E0F"/>
    <w:rsid w:val="0034612E"/>
    <w:rsid w:val="003462CC"/>
    <w:rsid w:val="00346E81"/>
    <w:rsid w:val="00346EB1"/>
    <w:rsid w:val="00347024"/>
    <w:rsid w:val="00347314"/>
    <w:rsid w:val="0034744C"/>
    <w:rsid w:val="00347583"/>
    <w:rsid w:val="00347762"/>
    <w:rsid w:val="00347D28"/>
    <w:rsid w:val="0035047E"/>
    <w:rsid w:val="00350760"/>
    <w:rsid w:val="00350815"/>
    <w:rsid w:val="003511B1"/>
    <w:rsid w:val="003518FA"/>
    <w:rsid w:val="00351AB4"/>
    <w:rsid w:val="003524B8"/>
    <w:rsid w:val="00354383"/>
    <w:rsid w:val="003545A4"/>
    <w:rsid w:val="003554D0"/>
    <w:rsid w:val="00355699"/>
    <w:rsid w:val="00355B04"/>
    <w:rsid w:val="00355D0F"/>
    <w:rsid w:val="00356239"/>
    <w:rsid w:val="003567AE"/>
    <w:rsid w:val="00356901"/>
    <w:rsid w:val="00356E87"/>
    <w:rsid w:val="003574D7"/>
    <w:rsid w:val="00357BD1"/>
    <w:rsid w:val="003608AF"/>
    <w:rsid w:val="00360A2C"/>
    <w:rsid w:val="00360BB1"/>
    <w:rsid w:val="0036106B"/>
    <w:rsid w:val="00361444"/>
    <w:rsid w:val="00361873"/>
    <w:rsid w:val="00361B6C"/>
    <w:rsid w:val="003621E8"/>
    <w:rsid w:val="003624E6"/>
    <w:rsid w:val="00362FDE"/>
    <w:rsid w:val="00363264"/>
    <w:rsid w:val="00363697"/>
    <w:rsid w:val="00363ED3"/>
    <w:rsid w:val="003640A7"/>
    <w:rsid w:val="0036430F"/>
    <w:rsid w:val="00364822"/>
    <w:rsid w:val="00364909"/>
    <w:rsid w:val="00365C03"/>
    <w:rsid w:val="003669C0"/>
    <w:rsid w:val="00367A21"/>
    <w:rsid w:val="0037046B"/>
    <w:rsid w:val="0037066A"/>
    <w:rsid w:val="00371AF7"/>
    <w:rsid w:val="003720C3"/>
    <w:rsid w:val="0037263B"/>
    <w:rsid w:val="00372C0F"/>
    <w:rsid w:val="00372C66"/>
    <w:rsid w:val="00373336"/>
    <w:rsid w:val="00373C72"/>
    <w:rsid w:val="003749F1"/>
    <w:rsid w:val="00375A6A"/>
    <w:rsid w:val="00375AD2"/>
    <w:rsid w:val="00375EB6"/>
    <w:rsid w:val="00376096"/>
    <w:rsid w:val="00376196"/>
    <w:rsid w:val="00376998"/>
    <w:rsid w:val="00376A08"/>
    <w:rsid w:val="00376A40"/>
    <w:rsid w:val="00377028"/>
    <w:rsid w:val="00377146"/>
    <w:rsid w:val="003771C4"/>
    <w:rsid w:val="003772E2"/>
    <w:rsid w:val="003773A7"/>
    <w:rsid w:val="00380146"/>
    <w:rsid w:val="00380541"/>
    <w:rsid w:val="00380B9A"/>
    <w:rsid w:val="0038109D"/>
    <w:rsid w:val="00381D18"/>
    <w:rsid w:val="003820BF"/>
    <w:rsid w:val="00382445"/>
    <w:rsid w:val="00383338"/>
    <w:rsid w:val="0038358A"/>
    <w:rsid w:val="00383BE4"/>
    <w:rsid w:val="00383C28"/>
    <w:rsid w:val="00383DC5"/>
    <w:rsid w:val="00384870"/>
    <w:rsid w:val="003848FA"/>
    <w:rsid w:val="00385060"/>
    <w:rsid w:val="0038523F"/>
    <w:rsid w:val="00385494"/>
    <w:rsid w:val="003859FD"/>
    <w:rsid w:val="00385A0F"/>
    <w:rsid w:val="00386C0F"/>
    <w:rsid w:val="00386E00"/>
    <w:rsid w:val="003872AB"/>
    <w:rsid w:val="0038769B"/>
    <w:rsid w:val="0038784F"/>
    <w:rsid w:val="003878F8"/>
    <w:rsid w:val="003902A4"/>
    <w:rsid w:val="00390CDB"/>
    <w:rsid w:val="00390EC4"/>
    <w:rsid w:val="0039165B"/>
    <w:rsid w:val="00391AA8"/>
    <w:rsid w:val="00391CB0"/>
    <w:rsid w:val="003921E0"/>
    <w:rsid w:val="00392F09"/>
    <w:rsid w:val="003935F1"/>
    <w:rsid w:val="0039365F"/>
    <w:rsid w:val="00393949"/>
    <w:rsid w:val="00394A58"/>
    <w:rsid w:val="00395205"/>
    <w:rsid w:val="00395679"/>
    <w:rsid w:val="00395823"/>
    <w:rsid w:val="00395B04"/>
    <w:rsid w:val="00395C43"/>
    <w:rsid w:val="00395D9E"/>
    <w:rsid w:val="00395DBA"/>
    <w:rsid w:val="00396755"/>
    <w:rsid w:val="0039710F"/>
    <w:rsid w:val="00397CD3"/>
    <w:rsid w:val="003A072A"/>
    <w:rsid w:val="003A2CE4"/>
    <w:rsid w:val="003A2D95"/>
    <w:rsid w:val="003A2E4F"/>
    <w:rsid w:val="003A314F"/>
    <w:rsid w:val="003A4B3B"/>
    <w:rsid w:val="003A5548"/>
    <w:rsid w:val="003A561D"/>
    <w:rsid w:val="003A62CD"/>
    <w:rsid w:val="003A6BD5"/>
    <w:rsid w:val="003A6FDD"/>
    <w:rsid w:val="003A7225"/>
    <w:rsid w:val="003A757D"/>
    <w:rsid w:val="003B073B"/>
    <w:rsid w:val="003B0A3E"/>
    <w:rsid w:val="003B10AD"/>
    <w:rsid w:val="003B11B2"/>
    <w:rsid w:val="003B1B1B"/>
    <w:rsid w:val="003B1DAA"/>
    <w:rsid w:val="003B271E"/>
    <w:rsid w:val="003B3429"/>
    <w:rsid w:val="003B3EE0"/>
    <w:rsid w:val="003B48F5"/>
    <w:rsid w:val="003B50A0"/>
    <w:rsid w:val="003B53AB"/>
    <w:rsid w:val="003B649C"/>
    <w:rsid w:val="003B661F"/>
    <w:rsid w:val="003B6776"/>
    <w:rsid w:val="003B678E"/>
    <w:rsid w:val="003B6BC0"/>
    <w:rsid w:val="003B6EEB"/>
    <w:rsid w:val="003B7BF2"/>
    <w:rsid w:val="003B7C14"/>
    <w:rsid w:val="003B7C65"/>
    <w:rsid w:val="003B7D2D"/>
    <w:rsid w:val="003C15FE"/>
    <w:rsid w:val="003C2014"/>
    <w:rsid w:val="003C21D7"/>
    <w:rsid w:val="003C2A60"/>
    <w:rsid w:val="003C2ADC"/>
    <w:rsid w:val="003C3041"/>
    <w:rsid w:val="003C3955"/>
    <w:rsid w:val="003C3CC9"/>
    <w:rsid w:val="003C3D86"/>
    <w:rsid w:val="003C435E"/>
    <w:rsid w:val="003C4895"/>
    <w:rsid w:val="003C4BF6"/>
    <w:rsid w:val="003C5609"/>
    <w:rsid w:val="003C5E16"/>
    <w:rsid w:val="003C604B"/>
    <w:rsid w:val="003C648E"/>
    <w:rsid w:val="003C6671"/>
    <w:rsid w:val="003C6FB8"/>
    <w:rsid w:val="003C757C"/>
    <w:rsid w:val="003C7DF6"/>
    <w:rsid w:val="003D0B50"/>
    <w:rsid w:val="003D0C8B"/>
    <w:rsid w:val="003D17A7"/>
    <w:rsid w:val="003D190F"/>
    <w:rsid w:val="003D1AE6"/>
    <w:rsid w:val="003D23E0"/>
    <w:rsid w:val="003D3CB1"/>
    <w:rsid w:val="003D3D8C"/>
    <w:rsid w:val="003D445F"/>
    <w:rsid w:val="003D46E9"/>
    <w:rsid w:val="003D47B4"/>
    <w:rsid w:val="003D4E99"/>
    <w:rsid w:val="003D5197"/>
    <w:rsid w:val="003D58F1"/>
    <w:rsid w:val="003D594D"/>
    <w:rsid w:val="003D59A6"/>
    <w:rsid w:val="003D6252"/>
    <w:rsid w:val="003D6434"/>
    <w:rsid w:val="003D71F9"/>
    <w:rsid w:val="003D7419"/>
    <w:rsid w:val="003D76E4"/>
    <w:rsid w:val="003E00FB"/>
    <w:rsid w:val="003E0373"/>
    <w:rsid w:val="003E07C0"/>
    <w:rsid w:val="003E1459"/>
    <w:rsid w:val="003E343B"/>
    <w:rsid w:val="003E424A"/>
    <w:rsid w:val="003E4419"/>
    <w:rsid w:val="003E4E8B"/>
    <w:rsid w:val="003E4EBD"/>
    <w:rsid w:val="003E4EE1"/>
    <w:rsid w:val="003E5319"/>
    <w:rsid w:val="003E5537"/>
    <w:rsid w:val="003E584E"/>
    <w:rsid w:val="003E5A81"/>
    <w:rsid w:val="003E5B57"/>
    <w:rsid w:val="003E5E7A"/>
    <w:rsid w:val="003E65FD"/>
    <w:rsid w:val="003E6A62"/>
    <w:rsid w:val="003E6C90"/>
    <w:rsid w:val="003E7D69"/>
    <w:rsid w:val="003E7ECC"/>
    <w:rsid w:val="003E7F7C"/>
    <w:rsid w:val="003F09F6"/>
    <w:rsid w:val="003F0A50"/>
    <w:rsid w:val="003F0A8A"/>
    <w:rsid w:val="003F11E9"/>
    <w:rsid w:val="003F15CC"/>
    <w:rsid w:val="003F1DB4"/>
    <w:rsid w:val="003F2D13"/>
    <w:rsid w:val="003F40AC"/>
    <w:rsid w:val="003F4331"/>
    <w:rsid w:val="003F4A4A"/>
    <w:rsid w:val="003F4A9E"/>
    <w:rsid w:val="003F516D"/>
    <w:rsid w:val="003F543D"/>
    <w:rsid w:val="003F5467"/>
    <w:rsid w:val="003F555E"/>
    <w:rsid w:val="003F5819"/>
    <w:rsid w:val="003F6936"/>
    <w:rsid w:val="003F730E"/>
    <w:rsid w:val="003F7931"/>
    <w:rsid w:val="003F7D03"/>
    <w:rsid w:val="003F7DCA"/>
    <w:rsid w:val="004001B6"/>
    <w:rsid w:val="0040021E"/>
    <w:rsid w:val="00400260"/>
    <w:rsid w:val="004005D4"/>
    <w:rsid w:val="00400DD3"/>
    <w:rsid w:val="004013F0"/>
    <w:rsid w:val="00401B6E"/>
    <w:rsid w:val="00401D16"/>
    <w:rsid w:val="00401EFF"/>
    <w:rsid w:val="004024EE"/>
    <w:rsid w:val="00402D7B"/>
    <w:rsid w:val="004032F7"/>
    <w:rsid w:val="00403399"/>
    <w:rsid w:val="00403D45"/>
    <w:rsid w:val="00404685"/>
    <w:rsid w:val="004048E4"/>
    <w:rsid w:val="00404B12"/>
    <w:rsid w:val="00405B16"/>
    <w:rsid w:val="00405DD1"/>
    <w:rsid w:val="004069BB"/>
    <w:rsid w:val="00406EA8"/>
    <w:rsid w:val="00406F84"/>
    <w:rsid w:val="00407104"/>
    <w:rsid w:val="00410781"/>
    <w:rsid w:val="00410C28"/>
    <w:rsid w:val="00412B18"/>
    <w:rsid w:val="00412FCF"/>
    <w:rsid w:val="004131DA"/>
    <w:rsid w:val="004133D3"/>
    <w:rsid w:val="00413AC6"/>
    <w:rsid w:val="00413B0C"/>
    <w:rsid w:val="00413D90"/>
    <w:rsid w:val="00413FC2"/>
    <w:rsid w:val="0041480A"/>
    <w:rsid w:val="0041485A"/>
    <w:rsid w:val="0041494A"/>
    <w:rsid w:val="004152D8"/>
    <w:rsid w:val="00415F92"/>
    <w:rsid w:val="004162F5"/>
    <w:rsid w:val="00416349"/>
    <w:rsid w:val="00416443"/>
    <w:rsid w:val="00416BAF"/>
    <w:rsid w:val="00416C49"/>
    <w:rsid w:val="00417262"/>
    <w:rsid w:val="004175F9"/>
    <w:rsid w:val="004201B2"/>
    <w:rsid w:val="004204FD"/>
    <w:rsid w:val="004208EE"/>
    <w:rsid w:val="00421155"/>
    <w:rsid w:val="00421DAF"/>
    <w:rsid w:val="00421FBD"/>
    <w:rsid w:val="004222CD"/>
    <w:rsid w:val="00422843"/>
    <w:rsid w:val="00423FFE"/>
    <w:rsid w:val="004243CD"/>
    <w:rsid w:val="0042469A"/>
    <w:rsid w:val="00425378"/>
    <w:rsid w:val="00425AA1"/>
    <w:rsid w:val="00425DDA"/>
    <w:rsid w:val="00427263"/>
    <w:rsid w:val="004274A1"/>
    <w:rsid w:val="00427896"/>
    <w:rsid w:val="00427FE1"/>
    <w:rsid w:val="0043069B"/>
    <w:rsid w:val="00430784"/>
    <w:rsid w:val="00430C44"/>
    <w:rsid w:val="00431428"/>
    <w:rsid w:val="0043220F"/>
    <w:rsid w:val="0043221A"/>
    <w:rsid w:val="00432C86"/>
    <w:rsid w:val="00432F2B"/>
    <w:rsid w:val="00433D44"/>
    <w:rsid w:val="004342C9"/>
    <w:rsid w:val="00434A1D"/>
    <w:rsid w:val="004355CE"/>
    <w:rsid w:val="00435BCA"/>
    <w:rsid w:val="004361B2"/>
    <w:rsid w:val="00436A60"/>
    <w:rsid w:val="004375E8"/>
    <w:rsid w:val="00440BFB"/>
    <w:rsid w:val="0044102A"/>
    <w:rsid w:val="00441234"/>
    <w:rsid w:val="00443032"/>
    <w:rsid w:val="00443066"/>
    <w:rsid w:val="00443E88"/>
    <w:rsid w:val="004443AB"/>
    <w:rsid w:val="00444480"/>
    <w:rsid w:val="00444CB4"/>
    <w:rsid w:val="0044572B"/>
    <w:rsid w:val="004458E5"/>
    <w:rsid w:val="004459AF"/>
    <w:rsid w:val="00445E54"/>
    <w:rsid w:val="004461CB"/>
    <w:rsid w:val="004461F2"/>
    <w:rsid w:val="0044688B"/>
    <w:rsid w:val="00446B9A"/>
    <w:rsid w:val="00447045"/>
    <w:rsid w:val="00447479"/>
    <w:rsid w:val="004504E6"/>
    <w:rsid w:val="004505FA"/>
    <w:rsid w:val="00451035"/>
    <w:rsid w:val="0045176C"/>
    <w:rsid w:val="004518F7"/>
    <w:rsid w:val="00451E00"/>
    <w:rsid w:val="00451F06"/>
    <w:rsid w:val="00452290"/>
    <w:rsid w:val="004528B7"/>
    <w:rsid w:val="0045296F"/>
    <w:rsid w:val="00452EC6"/>
    <w:rsid w:val="00453278"/>
    <w:rsid w:val="0045410C"/>
    <w:rsid w:val="0045461B"/>
    <w:rsid w:val="00454B27"/>
    <w:rsid w:val="00454EE8"/>
    <w:rsid w:val="00455250"/>
    <w:rsid w:val="00455E47"/>
    <w:rsid w:val="0045616C"/>
    <w:rsid w:val="00456389"/>
    <w:rsid w:val="00456D56"/>
    <w:rsid w:val="00457ED8"/>
    <w:rsid w:val="004607B5"/>
    <w:rsid w:val="00461355"/>
    <w:rsid w:val="004615E7"/>
    <w:rsid w:val="004620D6"/>
    <w:rsid w:val="004627CF"/>
    <w:rsid w:val="00462D03"/>
    <w:rsid w:val="0046333F"/>
    <w:rsid w:val="00463E36"/>
    <w:rsid w:val="00464D53"/>
    <w:rsid w:val="0046549A"/>
    <w:rsid w:val="004659B5"/>
    <w:rsid w:val="00465D96"/>
    <w:rsid w:val="00466678"/>
    <w:rsid w:val="00467236"/>
    <w:rsid w:val="00467B18"/>
    <w:rsid w:val="00467EBD"/>
    <w:rsid w:val="00471389"/>
    <w:rsid w:val="00471A1A"/>
    <w:rsid w:val="00471BC4"/>
    <w:rsid w:val="00471C92"/>
    <w:rsid w:val="00471E43"/>
    <w:rsid w:val="00472022"/>
    <w:rsid w:val="00472D9F"/>
    <w:rsid w:val="00472DF9"/>
    <w:rsid w:val="00473184"/>
    <w:rsid w:val="004743C4"/>
    <w:rsid w:val="00474A91"/>
    <w:rsid w:val="004750DE"/>
    <w:rsid w:val="00475431"/>
    <w:rsid w:val="00475540"/>
    <w:rsid w:val="004757F5"/>
    <w:rsid w:val="00475B2F"/>
    <w:rsid w:val="0047679C"/>
    <w:rsid w:val="00476A9D"/>
    <w:rsid w:val="00476B12"/>
    <w:rsid w:val="00476C38"/>
    <w:rsid w:val="00477695"/>
    <w:rsid w:val="004777B8"/>
    <w:rsid w:val="00477DD2"/>
    <w:rsid w:val="00480C71"/>
    <w:rsid w:val="0048135F"/>
    <w:rsid w:val="004823D0"/>
    <w:rsid w:val="0048263F"/>
    <w:rsid w:val="004826E1"/>
    <w:rsid w:val="00482BDE"/>
    <w:rsid w:val="00482F0A"/>
    <w:rsid w:val="004830D9"/>
    <w:rsid w:val="004833C1"/>
    <w:rsid w:val="00483539"/>
    <w:rsid w:val="00483681"/>
    <w:rsid w:val="00483852"/>
    <w:rsid w:val="004840F6"/>
    <w:rsid w:val="004842AC"/>
    <w:rsid w:val="004842B6"/>
    <w:rsid w:val="00484AF5"/>
    <w:rsid w:val="00485087"/>
    <w:rsid w:val="00485089"/>
    <w:rsid w:val="00485138"/>
    <w:rsid w:val="004854DD"/>
    <w:rsid w:val="00487211"/>
    <w:rsid w:val="00487658"/>
    <w:rsid w:val="0048777F"/>
    <w:rsid w:val="00490319"/>
    <w:rsid w:val="0049077E"/>
    <w:rsid w:val="004912EF"/>
    <w:rsid w:val="004914DD"/>
    <w:rsid w:val="0049255A"/>
    <w:rsid w:val="004927B5"/>
    <w:rsid w:val="004929CD"/>
    <w:rsid w:val="00492ED8"/>
    <w:rsid w:val="00493295"/>
    <w:rsid w:val="00493698"/>
    <w:rsid w:val="00493A8F"/>
    <w:rsid w:val="00493F3B"/>
    <w:rsid w:val="00494743"/>
    <w:rsid w:val="00494A52"/>
    <w:rsid w:val="00494D90"/>
    <w:rsid w:val="00495048"/>
    <w:rsid w:val="004958F6"/>
    <w:rsid w:val="00495A94"/>
    <w:rsid w:val="00495DA4"/>
    <w:rsid w:val="00495F66"/>
    <w:rsid w:val="00495FAB"/>
    <w:rsid w:val="00496007"/>
    <w:rsid w:val="0049618D"/>
    <w:rsid w:val="0049660E"/>
    <w:rsid w:val="00496921"/>
    <w:rsid w:val="004971D8"/>
    <w:rsid w:val="004972BC"/>
    <w:rsid w:val="004975E9"/>
    <w:rsid w:val="004976D9"/>
    <w:rsid w:val="00497768"/>
    <w:rsid w:val="004A0C01"/>
    <w:rsid w:val="004A124A"/>
    <w:rsid w:val="004A18D0"/>
    <w:rsid w:val="004A1FBF"/>
    <w:rsid w:val="004A2F47"/>
    <w:rsid w:val="004A320D"/>
    <w:rsid w:val="004A348B"/>
    <w:rsid w:val="004A4682"/>
    <w:rsid w:val="004A4DA3"/>
    <w:rsid w:val="004A532E"/>
    <w:rsid w:val="004A5781"/>
    <w:rsid w:val="004A598C"/>
    <w:rsid w:val="004A649B"/>
    <w:rsid w:val="004A6B8B"/>
    <w:rsid w:val="004A6D60"/>
    <w:rsid w:val="004A6FE5"/>
    <w:rsid w:val="004A74FB"/>
    <w:rsid w:val="004B00F2"/>
    <w:rsid w:val="004B02DB"/>
    <w:rsid w:val="004B05B3"/>
    <w:rsid w:val="004B06F8"/>
    <w:rsid w:val="004B0990"/>
    <w:rsid w:val="004B0E9C"/>
    <w:rsid w:val="004B0EC5"/>
    <w:rsid w:val="004B1305"/>
    <w:rsid w:val="004B144B"/>
    <w:rsid w:val="004B1765"/>
    <w:rsid w:val="004B187E"/>
    <w:rsid w:val="004B1D92"/>
    <w:rsid w:val="004B243F"/>
    <w:rsid w:val="004B2547"/>
    <w:rsid w:val="004B2F95"/>
    <w:rsid w:val="004B3287"/>
    <w:rsid w:val="004B3771"/>
    <w:rsid w:val="004B3BE1"/>
    <w:rsid w:val="004B4972"/>
    <w:rsid w:val="004B4C70"/>
    <w:rsid w:val="004B4FB4"/>
    <w:rsid w:val="004B5121"/>
    <w:rsid w:val="004B5313"/>
    <w:rsid w:val="004B54A4"/>
    <w:rsid w:val="004B5542"/>
    <w:rsid w:val="004B6DE9"/>
    <w:rsid w:val="004B728F"/>
    <w:rsid w:val="004B741A"/>
    <w:rsid w:val="004B7DFB"/>
    <w:rsid w:val="004B7F52"/>
    <w:rsid w:val="004C0590"/>
    <w:rsid w:val="004C089D"/>
    <w:rsid w:val="004C1348"/>
    <w:rsid w:val="004C1808"/>
    <w:rsid w:val="004C19BA"/>
    <w:rsid w:val="004C2090"/>
    <w:rsid w:val="004C2355"/>
    <w:rsid w:val="004C2385"/>
    <w:rsid w:val="004C26FD"/>
    <w:rsid w:val="004C32C2"/>
    <w:rsid w:val="004C41AE"/>
    <w:rsid w:val="004C421A"/>
    <w:rsid w:val="004C430B"/>
    <w:rsid w:val="004C433E"/>
    <w:rsid w:val="004C456F"/>
    <w:rsid w:val="004C4ACD"/>
    <w:rsid w:val="004C5B07"/>
    <w:rsid w:val="004C6326"/>
    <w:rsid w:val="004C645E"/>
    <w:rsid w:val="004C6AB9"/>
    <w:rsid w:val="004C7209"/>
    <w:rsid w:val="004C7262"/>
    <w:rsid w:val="004D058F"/>
    <w:rsid w:val="004D0B53"/>
    <w:rsid w:val="004D0D4F"/>
    <w:rsid w:val="004D0DF8"/>
    <w:rsid w:val="004D1511"/>
    <w:rsid w:val="004D1781"/>
    <w:rsid w:val="004D20EE"/>
    <w:rsid w:val="004D273B"/>
    <w:rsid w:val="004D2A6F"/>
    <w:rsid w:val="004D2D23"/>
    <w:rsid w:val="004D34CA"/>
    <w:rsid w:val="004D384C"/>
    <w:rsid w:val="004D3F00"/>
    <w:rsid w:val="004D4488"/>
    <w:rsid w:val="004D48C6"/>
    <w:rsid w:val="004D4BDC"/>
    <w:rsid w:val="004D54B4"/>
    <w:rsid w:val="004D552A"/>
    <w:rsid w:val="004D5691"/>
    <w:rsid w:val="004D5A66"/>
    <w:rsid w:val="004D6123"/>
    <w:rsid w:val="004D6E27"/>
    <w:rsid w:val="004D739B"/>
    <w:rsid w:val="004D7754"/>
    <w:rsid w:val="004D7B3A"/>
    <w:rsid w:val="004D7DB2"/>
    <w:rsid w:val="004E0526"/>
    <w:rsid w:val="004E0B1D"/>
    <w:rsid w:val="004E117E"/>
    <w:rsid w:val="004E213F"/>
    <w:rsid w:val="004E34DE"/>
    <w:rsid w:val="004E356F"/>
    <w:rsid w:val="004E4733"/>
    <w:rsid w:val="004E5363"/>
    <w:rsid w:val="004E5947"/>
    <w:rsid w:val="004E59C9"/>
    <w:rsid w:val="004E5CF3"/>
    <w:rsid w:val="004E63AE"/>
    <w:rsid w:val="004F02CD"/>
    <w:rsid w:val="004F031E"/>
    <w:rsid w:val="004F0517"/>
    <w:rsid w:val="004F108C"/>
    <w:rsid w:val="004F1346"/>
    <w:rsid w:val="004F1456"/>
    <w:rsid w:val="004F14FD"/>
    <w:rsid w:val="004F1E8B"/>
    <w:rsid w:val="004F25DB"/>
    <w:rsid w:val="004F2725"/>
    <w:rsid w:val="004F31FC"/>
    <w:rsid w:val="004F38A6"/>
    <w:rsid w:val="004F3AF9"/>
    <w:rsid w:val="004F4535"/>
    <w:rsid w:val="004F48C3"/>
    <w:rsid w:val="004F5723"/>
    <w:rsid w:val="004F5AFE"/>
    <w:rsid w:val="004F5B86"/>
    <w:rsid w:val="004F5C76"/>
    <w:rsid w:val="004F60E9"/>
    <w:rsid w:val="004F6237"/>
    <w:rsid w:val="004F62A7"/>
    <w:rsid w:val="004F630A"/>
    <w:rsid w:val="004F6C04"/>
    <w:rsid w:val="004F7703"/>
    <w:rsid w:val="005001A3"/>
    <w:rsid w:val="00500A57"/>
    <w:rsid w:val="00500B7E"/>
    <w:rsid w:val="00500BDA"/>
    <w:rsid w:val="0050165B"/>
    <w:rsid w:val="0050165C"/>
    <w:rsid w:val="00501755"/>
    <w:rsid w:val="0050178A"/>
    <w:rsid w:val="0050243F"/>
    <w:rsid w:val="0050282A"/>
    <w:rsid w:val="00503270"/>
    <w:rsid w:val="0050375E"/>
    <w:rsid w:val="005042F7"/>
    <w:rsid w:val="005046E1"/>
    <w:rsid w:val="00504966"/>
    <w:rsid w:val="0050531B"/>
    <w:rsid w:val="00505BAB"/>
    <w:rsid w:val="005065B5"/>
    <w:rsid w:val="00506DA6"/>
    <w:rsid w:val="005076E1"/>
    <w:rsid w:val="00510488"/>
    <w:rsid w:val="0051114C"/>
    <w:rsid w:val="00511191"/>
    <w:rsid w:val="005112FE"/>
    <w:rsid w:val="00511350"/>
    <w:rsid w:val="00511462"/>
    <w:rsid w:val="005117EA"/>
    <w:rsid w:val="00511A23"/>
    <w:rsid w:val="00511BCE"/>
    <w:rsid w:val="00511D75"/>
    <w:rsid w:val="00512B90"/>
    <w:rsid w:val="0051372A"/>
    <w:rsid w:val="00513A3C"/>
    <w:rsid w:val="00513D76"/>
    <w:rsid w:val="00514359"/>
    <w:rsid w:val="005145B2"/>
    <w:rsid w:val="00514CC7"/>
    <w:rsid w:val="00515292"/>
    <w:rsid w:val="00516146"/>
    <w:rsid w:val="00516662"/>
    <w:rsid w:val="005167A0"/>
    <w:rsid w:val="00516CBC"/>
    <w:rsid w:val="0051703C"/>
    <w:rsid w:val="00520DC9"/>
    <w:rsid w:val="00521495"/>
    <w:rsid w:val="00521C9F"/>
    <w:rsid w:val="00522D58"/>
    <w:rsid w:val="00522F0A"/>
    <w:rsid w:val="005233D8"/>
    <w:rsid w:val="0052346A"/>
    <w:rsid w:val="00523A87"/>
    <w:rsid w:val="00523C8B"/>
    <w:rsid w:val="00523D6C"/>
    <w:rsid w:val="00523F76"/>
    <w:rsid w:val="00524052"/>
    <w:rsid w:val="00524259"/>
    <w:rsid w:val="00524FAD"/>
    <w:rsid w:val="005254B8"/>
    <w:rsid w:val="00525534"/>
    <w:rsid w:val="00525E3C"/>
    <w:rsid w:val="00526294"/>
    <w:rsid w:val="00526C74"/>
    <w:rsid w:val="00526D69"/>
    <w:rsid w:val="00527002"/>
    <w:rsid w:val="005276CE"/>
    <w:rsid w:val="005277D0"/>
    <w:rsid w:val="005278EE"/>
    <w:rsid w:val="0053031D"/>
    <w:rsid w:val="0053076F"/>
    <w:rsid w:val="00531001"/>
    <w:rsid w:val="005316B4"/>
    <w:rsid w:val="00531A9A"/>
    <w:rsid w:val="00531ADD"/>
    <w:rsid w:val="00531C4A"/>
    <w:rsid w:val="005320D1"/>
    <w:rsid w:val="00533223"/>
    <w:rsid w:val="00533538"/>
    <w:rsid w:val="00533A88"/>
    <w:rsid w:val="00533EC0"/>
    <w:rsid w:val="005344C6"/>
    <w:rsid w:val="00534B9E"/>
    <w:rsid w:val="00534E86"/>
    <w:rsid w:val="00535D99"/>
    <w:rsid w:val="00535F15"/>
    <w:rsid w:val="005361C5"/>
    <w:rsid w:val="005362A7"/>
    <w:rsid w:val="005362C4"/>
    <w:rsid w:val="005365A3"/>
    <w:rsid w:val="00536AA9"/>
    <w:rsid w:val="00537456"/>
    <w:rsid w:val="00537E2F"/>
    <w:rsid w:val="005401BC"/>
    <w:rsid w:val="005407CF"/>
    <w:rsid w:val="005409C1"/>
    <w:rsid w:val="0054130E"/>
    <w:rsid w:val="005413A9"/>
    <w:rsid w:val="0054145E"/>
    <w:rsid w:val="00541BDB"/>
    <w:rsid w:val="00541D35"/>
    <w:rsid w:val="00542001"/>
    <w:rsid w:val="0054309E"/>
    <w:rsid w:val="005432D0"/>
    <w:rsid w:val="00543F9C"/>
    <w:rsid w:val="00544791"/>
    <w:rsid w:val="00544844"/>
    <w:rsid w:val="00544CA9"/>
    <w:rsid w:val="00545105"/>
    <w:rsid w:val="005451C4"/>
    <w:rsid w:val="005460CB"/>
    <w:rsid w:val="005461C6"/>
    <w:rsid w:val="0054674D"/>
    <w:rsid w:val="00546BB9"/>
    <w:rsid w:val="00546D6B"/>
    <w:rsid w:val="005471F7"/>
    <w:rsid w:val="005471FE"/>
    <w:rsid w:val="00547376"/>
    <w:rsid w:val="00547DFE"/>
    <w:rsid w:val="00547ED0"/>
    <w:rsid w:val="00550208"/>
    <w:rsid w:val="00550950"/>
    <w:rsid w:val="0055145F"/>
    <w:rsid w:val="005516C9"/>
    <w:rsid w:val="005518F8"/>
    <w:rsid w:val="005525D1"/>
    <w:rsid w:val="00553859"/>
    <w:rsid w:val="00553A20"/>
    <w:rsid w:val="00553EC0"/>
    <w:rsid w:val="00553FF0"/>
    <w:rsid w:val="00555454"/>
    <w:rsid w:val="00555AF2"/>
    <w:rsid w:val="00555D2F"/>
    <w:rsid w:val="005561F6"/>
    <w:rsid w:val="00556307"/>
    <w:rsid w:val="005567E3"/>
    <w:rsid w:val="00556A00"/>
    <w:rsid w:val="00556A79"/>
    <w:rsid w:val="00556B66"/>
    <w:rsid w:val="00556B72"/>
    <w:rsid w:val="00557399"/>
    <w:rsid w:val="005579B8"/>
    <w:rsid w:val="00557BAF"/>
    <w:rsid w:val="00557F72"/>
    <w:rsid w:val="005604B4"/>
    <w:rsid w:val="00560D1A"/>
    <w:rsid w:val="005631B4"/>
    <w:rsid w:val="005633B9"/>
    <w:rsid w:val="00563717"/>
    <w:rsid w:val="00563FD8"/>
    <w:rsid w:val="005646E3"/>
    <w:rsid w:val="005649DA"/>
    <w:rsid w:val="00565A95"/>
    <w:rsid w:val="0056641A"/>
    <w:rsid w:val="00570266"/>
    <w:rsid w:val="005707C0"/>
    <w:rsid w:val="005708F5"/>
    <w:rsid w:val="00571541"/>
    <w:rsid w:val="005716FC"/>
    <w:rsid w:val="00571D3D"/>
    <w:rsid w:val="00572D0F"/>
    <w:rsid w:val="00573F9F"/>
    <w:rsid w:val="005740D5"/>
    <w:rsid w:val="00574578"/>
    <w:rsid w:val="005746CE"/>
    <w:rsid w:val="0057477E"/>
    <w:rsid w:val="00575240"/>
    <w:rsid w:val="005755BC"/>
    <w:rsid w:val="00575AB3"/>
    <w:rsid w:val="00575C97"/>
    <w:rsid w:val="00576859"/>
    <w:rsid w:val="005768EA"/>
    <w:rsid w:val="00576DDA"/>
    <w:rsid w:val="00577C56"/>
    <w:rsid w:val="00580002"/>
    <w:rsid w:val="0058079A"/>
    <w:rsid w:val="00581472"/>
    <w:rsid w:val="005826F8"/>
    <w:rsid w:val="0058274A"/>
    <w:rsid w:val="005828D6"/>
    <w:rsid w:val="00582B0A"/>
    <w:rsid w:val="00582C9E"/>
    <w:rsid w:val="00583073"/>
    <w:rsid w:val="00583D6E"/>
    <w:rsid w:val="00584174"/>
    <w:rsid w:val="005842AD"/>
    <w:rsid w:val="0058474D"/>
    <w:rsid w:val="00584C2D"/>
    <w:rsid w:val="00584F5D"/>
    <w:rsid w:val="00585B8A"/>
    <w:rsid w:val="00585D63"/>
    <w:rsid w:val="005860BE"/>
    <w:rsid w:val="00586194"/>
    <w:rsid w:val="00586CE0"/>
    <w:rsid w:val="00586F12"/>
    <w:rsid w:val="00587D46"/>
    <w:rsid w:val="00590DD4"/>
    <w:rsid w:val="00591770"/>
    <w:rsid w:val="00591D13"/>
    <w:rsid w:val="005921AF"/>
    <w:rsid w:val="00592311"/>
    <w:rsid w:val="00592B01"/>
    <w:rsid w:val="00592BAC"/>
    <w:rsid w:val="00593424"/>
    <w:rsid w:val="005934D6"/>
    <w:rsid w:val="005935A2"/>
    <w:rsid w:val="0059398F"/>
    <w:rsid w:val="00593B2C"/>
    <w:rsid w:val="0059554D"/>
    <w:rsid w:val="0059564F"/>
    <w:rsid w:val="005958B1"/>
    <w:rsid w:val="00595AB3"/>
    <w:rsid w:val="00595F3C"/>
    <w:rsid w:val="0059626A"/>
    <w:rsid w:val="00597D0A"/>
    <w:rsid w:val="00597D94"/>
    <w:rsid w:val="005A07E9"/>
    <w:rsid w:val="005A0C44"/>
    <w:rsid w:val="005A0D88"/>
    <w:rsid w:val="005A1567"/>
    <w:rsid w:val="005A16F3"/>
    <w:rsid w:val="005A1B10"/>
    <w:rsid w:val="005A21DA"/>
    <w:rsid w:val="005A2657"/>
    <w:rsid w:val="005A38A7"/>
    <w:rsid w:val="005A3B09"/>
    <w:rsid w:val="005A3E6E"/>
    <w:rsid w:val="005A3FFC"/>
    <w:rsid w:val="005A4366"/>
    <w:rsid w:val="005A4419"/>
    <w:rsid w:val="005A45B8"/>
    <w:rsid w:val="005A4C0A"/>
    <w:rsid w:val="005A4CDB"/>
    <w:rsid w:val="005A5B25"/>
    <w:rsid w:val="005A6164"/>
    <w:rsid w:val="005A6697"/>
    <w:rsid w:val="005A6D7A"/>
    <w:rsid w:val="005A7AA6"/>
    <w:rsid w:val="005B0294"/>
    <w:rsid w:val="005B06DE"/>
    <w:rsid w:val="005B1471"/>
    <w:rsid w:val="005B1488"/>
    <w:rsid w:val="005B1C65"/>
    <w:rsid w:val="005B1E14"/>
    <w:rsid w:val="005B2158"/>
    <w:rsid w:val="005B2366"/>
    <w:rsid w:val="005B23D0"/>
    <w:rsid w:val="005B355F"/>
    <w:rsid w:val="005B39F7"/>
    <w:rsid w:val="005B3D8B"/>
    <w:rsid w:val="005B410E"/>
    <w:rsid w:val="005B41CD"/>
    <w:rsid w:val="005B4D70"/>
    <w:rsid w:val="005B4F32"/>
    <w:rsid w:val="005B51E3"/>
    <w:rsid w:val="005B53BA"/>
    <w:rsid w:val="005B54D0"/>
    <w:rsid w:val="005B5913"/>
    <w:rsid w:val="005B5DF3"/>
    <w:rsid w:val="005B630D"/>
    <w:rsid w:val="005B6361"/>
    <w:rsid w:val="005B6AB3"/>
    <w:rsid w:val="005B7E33"/>
    <w:rsid w:val="005B7EA5"/>
    <w:rsid w:val="005C05C9"/>
    <w:rsid w:val="005C0BE0"/>
    <w:rsid w:val="005C1625"/>
    <w:rsid w:val="005C1672"/>
    <w:rsid w:val="005C24E6"/>
    <w:rsid w:val="005C2BC2"/>
    <w:rsid w:val="005C2E4F"/>
    <w:rsid w:val="005C3844"/>
    <w:rsid w:val="005C3989"/>
    <w:rsid w:val="005C3D5C"/>
    <w:rsid w:val="005C3EE4"/>
    <w:rsid w:val="005C4470"/>
    <w:rsid w:val="005C48BF"/>
    <w:rsid w:val="005C4902"/>
    <w:rsid w:val="005C5195"/>
    <w:rsid w:val="005C569B"/>
    <w:rsid w:val="005C5CAE"/>
    <w:rsid w:val="005C5CC0"/>
    <w:rsid w:val="005C5D8A"/>
    <w:rsid w:val="005C6095"/>
    <w:rsid w:val="005C6290"/>
    <w:rsid w:val="005C75F9"/>
    <w:rsid w:val="005C7946"/>
    <w:rsid w:val="005C7953"/>
    <w:rsid w:val="005C7B05"/>
    <w:rsid w:val="005C7CF4"/>
    <w:rsid w:val="005C7D30"/>
    <w:rsid w:val="005D06F0"/>
    <w:rsid w:val="005D15EB"/>
    <w:rsid w:val="005D21A9"/>
    <w:rsid w:val="005D2520"/>
    <w:rsid w:val="005D2953"/>
    <w:rsid w:val="005D3A2D"/>
    <w:rsid w:val="005D3F5E"/>
    <w:rsid w:val="005D453E"/>
    <w:rsid w:val="005D49C8"/>
    <w:rsid w:val="005D5539"/>
    <w:rsid w:val="005D5A15"/>
    <w:rsid w:val="005D5CCE"/>
    <w:rsid w:val="005D5CEC"/>
    <w:rsid w:val="005D5E2F"/>
    <w:rsid w:val="005D647F"/>
    <w:rsid w:val="005D66D7"/>
    <w:rsid w:val="005D6B2D"/>
    <w:rsid w:val="005D6D00"/>
    <w:rsid w:val="005D72DF"/>
    <w:rsid w:val="005D786E"/>
    <w:rsid w:val="005E0DB4"/>
    <w:rsid w:val="005E1011"/>
    <w:rsid w:val="005E116C"/>
    <w:rsid w:val="005E21B1"/>
    <w:rsid w:val="005E2A99"/>
    <w:rsid w:val="005E2C02"/>
    <w:rsid w:val="005E2DDA"/>
    <w:rsid w:val="005E2DFC"/>
    <w:rsid w:val="005E2EED"/>
    <w:rsid w:val="005E3DFE"/>
    <w:rsid w:val="005E3E31"/>
    <w:rsid w:val="005E417B"/>
    <w:rsid w:val="005E4B6F"/>
    <w:rsid w:val="005E55D7"/>
    <w:rsid w:val="005E5CB8"/>
    <w:rsid w:val="005E5ED1"/>
    <w:rsid w:val="005E613A"/>
    <w:rsid w:val="005E61EB"/>
    <w:rsid w:val="005E6265"/>
    <w:rsid w:val="005E6430"/>
    <w:rsid w:val="005E6B2C"/>
    <w:rsid w:val="005E6B82"/>
    <w:rsid w:val="005E6BCF"/>
    <w:rsid w:val="005E6F62"/>
    <w:rsid w:val="005E7A07"/>
    <w:rsid w:val="005F1CCC"/>
    <w:rsid w:val="005F2020"/>
    <w:rsid w:val="005F2536"/>
    <w:rsid w:val="005F2823"/>
    <w:rsid w:val="005F38A2"/>
    <w:rsid w:val="005F3A79"/>
    <w:rsid w:val="005F4A42"/>
    <w:rsid w:val="005F54FF"/>
    <w:rsid w:val="005F6E47"/>
    <w:rsid w:val="005F77E2"/>
    <w:rsid w:val="005F7BC2"/>
    <w:rsid w:val="005F7ED6"/>
    <w:rsid w:val="00600C25"/>
    <w:rsid w:val="00600D22"/>
    <w:rsid w:val="00600F21"/>
    <w:rsid w:val="006017F2"/>
    <w:rsid w:val="00601ABE"/>
    <w:rsid w:val="00601AFA"/>
    <w:rsid w:val="00601CD3"/>
    <w:rsid w:val="00601E82"/>
    <w:rsid w:val="0060235D"/>
    <w:rsid w:val="00603209"/>
    <w:rsid w:val="006036BF"/>
    <w:rsid w:val="00603C62"/>
    <w:rsid w:val="00603D42"/>
    <w:rsid w:val="00603D83"/>
    <w:rsid w:val="00604969"/>
    <w:rsid w:val="00604A5E"/>
    <w:rsid w:val="00604D17"/>
    <w:rsid w:val="00604FE3"/>
    <w:rsid w:val="00605070"/>
    <w:rsid w:val="0060516E"/>
    <w:rsid w:val="00605216"/>
    <w:rsid w:val="006054F4"/>
    <w:rsid w:val="00605D56"/>
    <w:rsid w:val="00605FC4"/>
    <w:rsid w:val="00606433"/>
    <w:rsid w:val="00606D60"/>
    <w:rsid w:val="00607410"/>
    <w:rsid w:val="00610EDF"/>
    <w:rsid w:val="0061150D"/>
    <w:rsid w:val="006116F8"/>
    <w:rsid w:val="00611A40"/>
    <w:rsid w:val="00611D75"/>
    <w:rsid w:val="00611F4F"/>
    <w:rsid w:val="0061218A"/>
    <w:rsid w:val="006125C4"/>
    <w:rsid w:val="006129AF"/>
    <w:rsid w:val="00613013"/>
    <w:rsid w:val="00613D8D"/>
    <w:rsid w:val="00613FEF"/>
    <w:rsid w:val="00614E35"/>
    <w:rsid w:val="00616115"/>
    <w:rsid w:val="00617485"/>
    <w:rsid w:val="006175AF"/>
    <w:rsid w:val="006179F6"/>
    <w:rsid w:val="00617E98"/>
    <w:rsid w:val="006201A8"/>
    <w:rsid w:val="006205F5"/>
    <w:rsid w:val="00620706"/>
    <w:rsid w:val="00621212"/>
    <w:rsid w:val="006221DD"/>
    <w:rsid w:val="006224AA"/>
    <w:rsid w:val="00623413"/>
    <w:rsid w:val="0062375B"/>
    <w:rsid w:val="00623B50"/>
    <w:rsid w:val="00624131"/>
    <w:rsid w:val="006249C9"/>
    <w:rsid w:val="00624AC6"/>
    <w:rsid w:val="006252AE"/>
    <w:rsid w:val="00625558"/>
    <w:rsid w:val="0062592D"/>
    <w:rsid w:val="00625FE5"/>
    <w:rsid w:val="0062693B"/>
    <w:rsid w:val="00626E13"/>
    <w:rsid w:val="006272D8"/>
    <w:rsid w:val="00627939"/>
    <w:rsid w:val="006279B2"/>
    <w:rsid w:val="00630D01"/>
    <w:rsid w:val="00630DC3"/>
    <w:rsid w:val="00631513"/>
    <w:rsid w:val="00633270"/>
    <w:rsid w:val="006332DC"/>
    <w:rsid w:val="00633871"/>
    <w:rsid w:val="00633C32"/>
    <w:rsid w:val="006344A8"/>
    <w:rsid w:val="00635137"/>
    <w:rsid w:val="006351F4"/>
    <w:rsid w:val="0063584F"/>
    <w:rsid w:val="00635B05"/>
    <w:rsid w:val="00636016"/>
    <w:rsid w:val="0063608F"/>
    <w:rsid w:val="00636392"/>
    <w:rsid w:val="00636C46"/>
    <w:rsid w:val="0063762E"/>
    <w:rsid w:val="0063771C"/>
    <w:rsid w:val="00637BAB"/>
    <w:rsid w:val="00637C37"/>
    <w:rsid w:val="00637CBE"/>
    <w:rsid w:val="0064043D"/>
    <w:rsid w:val="00640AAB"/>
    <w:rsid w:val="00640EF8"/>
    <w:rsid w:val="00640F55"/>
    <w:rsid w:val="006412E6"/>
    <w:rsid w:val="00641CC3"/>
    <w:rsid w:val="00641F1F"/>
    <w:rsid w:val="006421A1"/>
    <w:rsid w:val="00642972"/>
    <w:rsid w:val="006430CF"/>
    <w:rsid w:val="006431BC"/>
    <w:rsid w:val="00643388"/>
    <w:rsid w:val="00643531"/>
    <w:rsid w:val="006436B5"/>
    <w:rsid w:val="00643720"/>
    <w:rsid w:val="0064382A"/>
    <w:rsid w:val="00643CD4"/>
    <w:rsid w:val="00643EAE"/>
    <w:rsid w:val="00643F9D"/>
    <w:rsid w:val="00644029"/>
    <w:rsid w:val="00644876"/>
    <w:rsid w:val="006453D8"/>
    <w:rsid w:val="006461CE"/>
    <w:rsid w:val="0064665C"/>
    <w:rsid w:val="00646DF5"/>
    <w:rsid w:val="0064710C"/>
    <w:rsid w:val="006472D8"/>
    <w:rsid w:val="0064741A"/>
    <w:rsid w:val="0064765B"/>
    <w:rsid w:val="00647786"/>
    <w:rsid w:val="00647A06"/>
    <w:rsid w:val="006501C0"/>
    <w:rsid w:val="00651F81"/>
    <w:rsid w:val="00651FF2"/>
    <w:rsid w:val="00652664"/>
    <w:rsid w:val="00652854"/>
    <w:rsid w:val="006528CC"/>
    <w:rsid w:val="006528EC"/>
    <w:rsid w:val="00654477"/>
    <w:rsid w:val="00654730"/>
    <w:rsid w:val="00655072"/>
    <w:rsid w:val="00655414"/>
    <w:rsid w:val="00655C31"/>
    <w:rsid w:val="006567B5"/>
    <w:rsid w:val="00656D47"/>
    <w:rsid w:val="00656EEF"/>
    <w:rsid w:val="006572E6"/>
    <w:rsid w:val="00657469"/>
    <w:rsid w:val="006579B8"/>
    <w:rsid w:val="00657C91"/>
    <w:rsid w:val="00661CC6"/>
    <w:rsid w:val="00662232"/>
    <w:rsid w:val="00662379"/>
    <w:rsid w:val="0066247E"/>
    <w:rsid w:val="00662912"/>
    <w:rsid w:val="00663314"/>
    <w:rsid w:val="00663960"/>
    <w:rsid w:val="00663E7A"/>
    <w:rsid w:val="00664B43"/>
    <w:rsid w:val="00665D57"/>
    <w:rsid w:val="006661F4"/>
    <w:rsid w:val="00666EB6"/>
    <w:rsid w:val="00666FFD"/>
    <w:rsid w:val="0066747C"/>
    <w:rsid w:val="00667CFF"/>
    <w:rsid w:val="0067013E"/>
    <w:rsid w:val="006706DF"/>
    <w:rsid w:val="00671031"/>
    <w:rsid w:val="00671952"/>
    <w:rsid w:val="006724BA"/>
    <w:rsid w:val="00672602"/>
    <w:rsid w:val="006733FF"/>
    <w:rsid w:val="0067429B"/>
    <w:rsid w:val="0067443A"/>
    <w:rsid w:val="00674B36"/>
    <w:rsid w:val="00674F15"/>
    <w:rsid w:val="00674FC9"/>
    <w:rsid w:val="00674FEA"/>
    <w:rsid w:val="0067541B"/>
    <w:rsid w:val="00675511"/>
    <w:rsid w:val="006757E1"/>
    <w:rsid w:val="00676292"/>
    <w:rsid w:val="00676D94"/>
    <w:rsid w:val="00677AF4"/>
    <w:rsid w:val="0068010B"/>
    <w:rsid w:val="006802A0"/>
    <w:rsid w:val="006807C4"/>
    <w:rsid w:val="006809F3"/>
    <w:rsid w:val="00680E31"/>
    <w:rsid w:val="006813EC"/>
    <w:rsid w:val="006835AA"/>
    <w:rsid w:val="00683701"/>
    <w:rsid w:val="00683C33"/>
    <w:rsid w:val="00684C6C"/>
    <w:rsid w:val="00685070"/>
    <w:rsid w:val="006857A5"/>
    <w:rsid w:val="006857B0"/>
    <w:rsid w:val="0068594B"/>
    <w:rsid w:val="00685C66"/>
    <w:rsid w:val="00686F15"/>
    <w:rsid w:val="00687021"/>
    <w:rsid w:val="00687951"/>
    <w:rsid w:val="00687BB7"/>
    <w:rsid w:val="00687C08"/>
    <w:rsid w:val="006902D9"/>
    <w:rsid w:val="00690400"/>
    <w:rsid w:val="00690622"/>
    <w:rsid w:val="00691B00"/>
    <w:rsid w:val="00691D84"/>
    <w:rsid w:val="006922DF"/>
    <w:rsid w:val="006925A3"/>
    <w:rsid w:val="00692B80"/>
    <w:rsid w:val="00693086"/>
    <w:rsid w:val="006930D7"/>
    <w:rsid w:val="00693E62"/>
    <w:rsid w:val="0069434F"/>
    <w:rsid w:val="00694EA7"/>
    <w:rsid w:val="006954E4"/>
    <w:rsid w:val="0069613A"/>
    <w:rsid w:val="00696BF0"/>
    <w:rsid w:val="006970DB"/>
    <w:rsid w:val="00697662"/>
    <w:rsid w:val="00697977"/>
    <w:rsid w:val="006A013C"/>
    <w:rsid w:val="006A053C"/>
    <w:rsid w:val="006A091A"/>
    <w:rsid w:val="006A12C0"/>
    <w:rsid w:val="006A1766"/>
    <w:rsid w:val="006A1816"/>
    <w:rsid w:val="006A2E81"/>
    <w:rsid w:val="006A300F"/>
    <w:rsid w:val="006A3AB5"/>
    <w:rsid w:val="006A553F"/>
    <w:rsid w:val="006A631D"/>
    <w:rsid w:val="006A6F49"/>
    <w:rsid w:val="006A6FFC"/>
    <w:rsid w:val="006B063F"/>
    <w:rsid w:val="006B0717"/>
    <w:rsid w:val="006B0A48"/>
    <w:rsid w:val="006B0B29"/>
    <w:rsid w:val="006B10EA"/>
    <w:rsid w:val="006B1A01"/>
    <w:rsid w:val="006B21C2"/>
    <w:rsid w:val="006B2C43"/>
    <w:rsid w:val="006B2D04"/>
    <w:rsid w:val="006B2F60"/>
    <w:rsid w:val="006B3C30"/>
    <w:rsid w:val="006B3F14"/>
    <w:rsid w:val="006B48A7"/>
    <w:rsid w:val="006B49A9"/>
    <w:rsid w:val="006B5820"/>
    <w:rsid w:val="006B610A"/>
    <w:rsid w:val="006B6622"/>
    <w:rsid w:val="006B6CA9"/>
    <w:rsid w:val="006B716D"/>
    <w:rsid w:val="006B7267"/>
    <w:rsid w:val="006B7394"/>
    <w:rsid w:val="006B75B5"/>
    <w:rsid w:val="006C052D"/>
    <w:rsid w:val="006C0841"/>
    <w:rsid w:val="006C0936"/>
    <w:rsid w:val="006C0C06"/>
    <w:rsid w:val="006C1613"/>
    <w:rsid w:val="006C177A"/>
    <w:rsid w:val="006C19AB"/>
    <w:rsid w:val="006C19B2"/>
    <w:rsid w:val="006C20F0"/>
    <w:rsid w:val="006C2674"/>
    <w:rsid w:val="006C2D41"/>
    <w:rsid w:val="006C32FC"/>
    <w:rsid w:val="006C3346"/>
    <w:rsid w:val="006C33BC"/>
    <w:rsid w:val="006C3578"/>
    <w:rsid w:val="006C433E"/>
    <w:rsid w:val="006C48A6"/>
    <w:rsid w:val="006C4BAE"/>
    <w:rsid w:val="006C55BA"/>
    <w:rsid w:val="006C5BA4"/>
    <w:rsid w:val="006C5D6B"/>
    <w:rsid w:val="006C5F67"/>
    <w:rsid w:val="006C6C6F"/>
    <w:rsid w:val="006C7321"/>
    <w:rsid w:val="006C7C8D"/>
    <w:rsid w:val="006D1677"/>
    <w:rsid w:val="006D1E0E"/>
    <w:rsid w:val="006D1E2D"/>
    <w:rsid w:val="006D227A"/>
    <w:rsid w:val="006D2614"/>
    <w:rsid w:val="006D2C6D"/>
    <w:rsid w:val="006D2F83"/>
    <w:rsid w:val="006D312B"/>
    <w:rsid w:val="006D3368"/>
    <w:rsid w:val="006D33B4"/>
    <w:rsid w:val="006D45B1"/>
    <w:rsid w:val="006D4BEC"/>
    <w:rsid w:val="006D521E"/>
    <w:rsid w:val="006D5278"/>
    <w:rsid w:val="006D5546"/>
    <w:rsid w:val="006D5547"/>
    <w:rsid w:val="006D572D"/>
    <w:rsid w:val="006D5857"/>
    <w:rsid w:val="006D5888"/>
    <w:rsid w:val="006D5C31"/>
    <w:rsid w:val="006D5D4A"/>
    <w:rsid w:val="006D5DA0"/>
    <w:rsid w:val="006D673F"/>
    <w:rsid w:val="006D6D64"/>
    <w:rsid w:val="006D7140"/>
    <w:rsid w:val="006D73E3"/>
    <w:rsid w:val="006D742E"/>
    <w:rsid w:val="006D74C3"/>
    <w:rsid w:val="006D7668"/>
    <w:rsid w:val="006D7914"/>
    <w:rsid w:val="006E037C"/>
    <w:rsid w:val="006E05A2"/>
    <w:rsid w:val="006E09C8"/>
    <w:rsid w:val="006E1638"/>
    <w:rsid w:val="006E1C35"/>
    <w:rsid w:val="006E1ED7"/>
    <w:rsid w:val="006E2B57"/>
    <w:rsid w:val="006E342C"/>
    <w:rsid w:val="006E3591"/>
    <w:rsid w:val="006E373F"/>
    <w:rsid w:val="006E3AFA"/>
    <w:rsid w:val="006E3FBF"/>
    <w:rsid w:val="006E4532"/>
    <w:rsid w:val="006E4967"/>
    <w:rsid w:val="006E4B42"/>
    <w:rsid w:val="006E4EA8"/>
    <w:rsid w:val="006E58E7"/>
    <w:rsid w:val="006E5C94"/>
    <w:rsid w:val="006E5FFE"/>
    <w:rsid w:val="006E66A9"/>
    <w:rsid w:val="006E66D5"/>
    <w:rsid w:val="006E6E24"/>
    <w:rsid w:val="006E717E"/>
    <w:rsid w:val="006E7967"/>
    <w:rsid w:val="006E7BDD"/>
    <w:rsid w:val="006F017C"/>
    <w:rsid w:val="006F0456"/>
    <w:rsid w:val="006F066E"/>
    <w:rsid w:val="006F10E4"/>
    <w:rsid w:val="006F120E"/>
    <w:rsid w:val="006F1CCE"/>
    <w:rsid w:val="006F2326"/>
    <w:rsid w:val="006F2366"/>
    <w:rsid w:val="006F2E5C"/>
    <w:rsid w:val="006F3275"/>
    <w:rsid w:val="006F478A"/>
    <w:rsid w:val="006F485E"/>
    <w:rsid w:val="006F4983"/>
    <w:rsid w:val="006F4C24"/>
    <w:rsid w:val="006F5CEE"/>
    <w:rsid w:val="006F5D4F"/>
    <w:rsid w:val="006F600C"/>
    <w:rsid w:val="006F6BFA"/>
    <w:rsid w:val="006F6E11"/>
    <w:rsid w:val="006F76A0"/>
    <w:rsid w:val="006F7B8A"/>
    <w:rsid w:val="006F7C96"/>
    <w:rsid w:val="006F7D91"/>
    <w:rsid w:val="0070081E"/>
    <w:rsid w:val="00700B31"/>
    <w:rsid w:val="007012D1"/>
    <w:rsid w:val="00701327"/>
    <w:rsid w:val="00701A3C"/>
    <w:rsid w:val="00701A95"/>
    <w:rsid w:val="00701CD6"/>
    <w:rsid w:val="00701FE7"/>
    <w:rsid w:val="007022C4"/>
    <w:rsid w:val="00702805"/>
    <w:rsid w:val="00702AB7"/>
    <w:rsid w:val="007039D5"/>
    <w:rsid w:val="00704E96"/>
    <w:rsid w:val="00704EDC"/>
    <w:rsid w:val="00704EFE"/>
    <w:rsid w:val="00705BA6"/>
    <w:rsid w:val="00706355"/>
    <w:rsid w:val="007076C3"/>
    <w:rsid w:val="00707764"/>
    <w:rsid w:val="00707E35"/>
    <w:rsid w:val="007100C5"/>
    <w:rsid w:val="00710DE3"/>
    <w:rsid w:val="00711C43"/>
    <w:rsid w:val="00711CC2"/>
    <w:rsid w:val="00712A0D"/>
    <w:rsid w:val="00712B0C"/>
    <w:rsid w:val="00712C7F"/>
    <w:rsid w:val="00712F26"/>
    <w:rsid w:val="0071433C"/>
    <w:rsid w:val="00714D90"/>
    <w:rsid w:val="00715479"/>
    <w:rsid w:val="00715C15"/>
    <w:rsid w:val="007162A6"/>
    <w:rsid w:val="00716664"/>
    <w:rsid w:val="007167BF"/>
    <w:rsid w:val="00716D51"/>
    <w:rsid w:val="00716DDA"/>
    <w:rsid w:val="0071713C"/>
    <w:rsid w:val="00717C53"/>
    <w:rsid w:val="007201ED"/>
    <w:rsid w:val="00720858"/>
    <w:rsid w:val="00720B67"/>
    <w:rsid w:val="00720C63"/>
    <w:rsid w:val="00720DDA"/>
    <w:rsid w:val="0072144E"/>
    <w:rsid w:val="00721CAE"/>
    <w:rsid w:val="00721EFC"/>
    <w:rsid w:val="00722615"/>
    <w:rsid w:val="00722913"/>
    <w:rsid w:val="0072375F"/>
    <w:rsid w:val="00723A76"/>
    <w:rsid w:val="00723EE5"/>
    <w:rsid w:val="00723FF5"/>
    <w:rsid w:val="00724234"/>
    <w:rsid w:val="00724638"/>
    <w:rsid w:val="00724CD7"/>
    <w:rsid w:val="007250DE"/>
    <w:rsid w:val="007250E2"/>
    <w:rsid w:val="00725682"/>
    <w:rsid w:val="007258D0"/>
    <w:rsid w:val="00725C15"/>
    <w:rsid w:val="00725D0A"/>
    <w:rsid w:val="00726317"/>
    <w:rsid w:val="00726850"/>
    <w:rsid w:val="00726C79"/>
    <w:rsid w:val="00726DE8"/>
    <w:rsid w:val="00726ED6"/>
    <w:rsid w:val="0072751E"/>
    <w:rsid w:val="0072760B"/>
    <w:rsid w:val="00730561"/>
    <w:rsid w:val="00730802"/>
    <w:rsid w:val="00730B56"/>
    <w:rsid w:val="00730BAE"/>
    <w:rsid w:val="00731528"/>
    <w:rsid w:val="0073168E"/>
    <w:rsid w:val="007322C8"/>
    <w:rsid w:val="00732E23"/>
    <w:rsid w:val="00733080"/>
    <w:rsid w:val="00733642"/>
    <w:rsid w:val="007338F9"/>
    <w:rsid w:val="00733B0A"/>
    <w:rsid w:val="00734A8D"/>
    <w:rsid w:val="00734B49"/>
    <w:rsid w:val="00735B56"/>
    <w:rsid w:val="0073649E"/>
    <w:rsid w:val="00737335"/>
    <w:rsid w:val="0073735F"/>
    <w:rsid w:val="007374CD"/>
    <w:rsid w:val="0073774E"/>
    <w:rsid w:val="00737BCE"/>
    <w:rsid w:val="00737E38"/>
    <w:rsid w:val="007402AF"/>
    <w:rsid w:val="00740595"/>
    <w:rsid w:val="007410E7"/>
    <w:rsid w:val="00741361"/>
    <w:rsid w:val="0074188E"/>
    <w:rsid w:val="00741AAE"/>
    <w:rsid w:val="00742DEC"/>
    <w:rsid w:val="007431A9"/>
    <w:rsid w:val="00743859"/>
    <w:rsid w:val="0074385C"/>
    <w:rsid w:val="00743BA9"/>
    <w:rsid w:val="007441D6"/>
    <w:rsid w:val="007445E0"/>
    <w:rsid w:val="0074499F"/>
    <w:rsid w:val="00744A99"/>
    <w:rsid w:val="00744CD3"/>
    <w:rsid w:val="00745841"/>
    <w:rsid w:val="00745B20"/>
    <w:rsid w:val="00745D00"/>
    <w:rsid w:val="007462BA"/>
    <w:rsid w:val="007474D2"/>
    <w:rsid w:val="00747EC9"/>
    <w:rsid w:val="00747FCE"/>
    <w:rsid w:val="0075017F"/>
    <w:rsid w:val="007503D0"/>
    <w:rsid w:val="007503D6"/>
    <w:rsid w:val="00750EE6"/>
    <w:rsid w:val="0075128C"/>
    <w:rsid w:val="00751386"/>
    <w:rsid w:val="00751BB9"/>
    <w:rsid w:val="00751CB9"/>
    <w:rsid w:val="00751F8A"/>
    <w:rsid w:val="007522F4"/>
    <w:rsid w:val="00752320"/>
    <w:rsid w:val="00752385"/>
    <w:rsid w:val="00752971"/>
    <w:rsid w:val="00753203"/>
    <w:rsid w:val="007559B3"/>
    <w:rsid w:val="00755B19"/>
    <w:rsid w:val="00756247"/>
    <w:rsid w:val="007566B3"/>
    <w:rsid w:val="00756AB4"/>
    <w:rsid w:val="00757733"/>
    <w:rsid w:val="007578C6"/>
    <w:rsid w:val="007602A4"/>
    <w:rsid w:val="00760522"/>
    <w:rsid w:val="00761655"/>
    <w:rsid w:val="00761BEA"/>
    <w:rsid w:val="00761D66"/>
    <w:rsid w:val="0076218F"/>
    <w:rsid w:val="00762CA6"/>
    <w:rsid w:val="007641E8"/>
    <w:rsid w:val="007645CC"/>
    <w:rsid w:val="00764D50"/>
    <w:rsid w:val="007653BC"/>
    <w:rsid w:val="007655C7"/>
    <w:rsid w:val="007658B6"/>
    <w:rsid w:val="007659A5"/>
    <w:rsid w:val="00765DC3"/>
    <w:rsid w:val="00765F1D"/>
    <w:rsid w:val="00766392"/>
    <w:rsid w:val="0076686C"/>
    <w:rsid w:val="007674FC"/>
    <w:rsid w:val="00767D7F"/>
    <w:rsid w:val="0077021F"/>
    <w:rsid w:val="00770247"/>
    <w:rsid w:val="00771061"/>
    <w:rsid w:val="0077153C"/>
    <w:rsid w:val="00771860"/>
    <w:rsid w:val="00771875"/>
    <w:rsid w:val="00771CEC"/>
    <w:rsid w:val="0077232D"/>
    <w:rsid w:val="007723DB"/>
    <w:rsid w:val="0077277E"/>
    <w:rsid w:val="00772B41"/>
    <w:rsid w:val="00772C5D"/>
    <w:rsid w:val="0077306A"/>
    <w:rsid w:val="0077367E"/>
    <w:rsid w:val="00773F89"/>
    <w:rsid w:val="00774B3C"/>
    <w:rsid w:val="00774D26"/>
    <w:rsid w:val="00774F8B"/>
    <w:rsid w:val="007759C0"/>
    <w:rsid w:val="00775FD2"/>
    <w:rsid w:val="007761A5"/>
    <w:rsid w:val="00776599"/>
    <w:rsid w:val="0077662F"/>
    <w:rsid w:val="007766A2"/>
    <w:rsid w:val="007771FF"/>
    <w:rsid w:val="007777E2"/>
    <w:rsid w:val="0077780A"/>
    <w:rsid w:val="00777ED5"/>
    <w:rsid w:val="00780407"/>
    <w:rsid w:val="0078047A"/>
    <w:rsid w:val="0078065A"/>
    <w:rsid w:val="00780D3B"/>
    <w:rsid w:val="00781532"/>
    <w:rsid w:val="007818C0"/>
    <w:rsid w:val="00782E12"/>
    <w:rsid w:val="00783141"/>
    <w:rsid w:val="00783645"/>
    <w:rsid w:val="00783C59"/>
    <w:rsid w:val="00783CEB"/>
    <w:rsid w:val="00784024"/>
    <w:rsid w:val="007840F0"/>
    <w:rsid w:val="007843A5"/>
    <w:rsid w:val="007844FD"/>
    <w:rsid w:val="0078456B"/>
    <w:rsid w:val="00784693"/>
    <w:rsid w:val="007846F9"/>
    <w:rsid w:val="00784CE0"/>
    <w:rsid w:val="00784ED0"/>
    <w:rsid w:val="00785601"/>
    <w:rsid w:val="0078588E"/>
    <w:rsid w:val="00786CE6"/>
    <w:rsid w:val="00787E76"/>
    <w:rsid w:val="00787F3B"/>
    <w:rsid w:val="00790E28"/>
    <w:rsid w:val="0079155D"/>
    <w:rsid w:val="007915C8"/>
    <w:rsid w:val="00791D6C"/>
    <w:rsid w:val="007920D7"/>
    <w:rsid w:val="007921B0"/>
    <w:rsid w:val="007932AA"/>
    <w:rsid w:val="007934E2"/>
    <w:rsid w:val="007940E6"/>
    <w:rsid w:val="00794BA0"/>
    <w:rsid w:val="0079547E"/>
    <w:rsid w:val="0079582F"/>
    <w:rsid w:val="00795D9C"/>
    <w:rsid w:val="00795DA5"/>
    <w:rsid w:val="007961B2"/>
    <w:rsid w:val="0079635B"/>
    <w:rsid w:val="007964D6"/>
    <w:rsid w:val="007964F7"/>
    <w:rsid w:val="00796512"/>
    <w:rsid w:val="00796D02"/>
    <w:rsid w:val="007A0041"/>
    <w:rsid w:val="007A05AE"/>
    <w:rsid w:val="007A05C3"/>
    <w:rsid w:val="007A12D0"/>
    <w:rsid w:val="007A142F"/>
    <w:rsid w:val="007A15DD"/>
    <w:rsid w:val="007A1798"/>
    <w:rsid w:val="007A18AA"/>
    <w:rsid w:val="007A1DD7"/>
    <w:rsid w:val="007A2058"/>
    <w:rsid w:val="007A27E7"/>
    <w:rsid w:val="007A2FE9"/>
    <w:rsid w:val="007A369C"/>
    <w:rsid w:val="007A3856"/>
    <w:rsid w:val="007A3A94"/>
    <w:rsid w:val="007A3CA0"/>
    <w:rsid w:val="007A3E20"/>
    <w:rsid w:val="007A41F4"/>
    <w:rsid w:val="007A66D6"/>
    <w:rsid w:val="007A686B"/>
    <w:rsid w:val="007A6871"/>
    <w:rsid w:val="007A6D36"/>
    <w:rsid w:val="007A7348"/>
    <w:rsid w:val="007A7576"/>
    <w:rsid w:val="007B0270"/>
    <w:rsid w:val="007B091A"/>
    <w:rsid w:val="007B0B6C"/>
    <w:rsid w:val="007B0C33"/>
    <w:rsid w:val="007B158C"/>
    <w:rsid w:val="007B1808"/>
    <w:rsid w:val="007B1AF9"/>
    <w:rsid w:val="007B1DAD"/>
    <w:rsid w:val="007B1FF9"/>
    <w:rsid w:val="007B2507"/>
    <w:rsid w:val="007B38C2"/>
    <w:rsid w:val="007B514B"/>
    <w:rsid w:val="007B538D"/>
    <w:rsid w:val="007B543C"/>
    <w:rsid w:val="007B572D"/>
    <w:rsid w:val="007B574A"/>
    <w:rsid w:val="007B595A"/>
    <w:rsid w:val="007B5F19"/>
    <w:rsid w:val="007B6082"/>
    <w:rsid w:val="007B65DE"/>
    <w:rsid w:val="007B6644"/>
    <w:rsid w:val="007B7019"/>
    <w:rsid w:val="007B7178"/>
    <w:rsid w:val="007B72F3"/>
    <w:rsid w:val="007B75AD"/>
    <w:rsid w:val="007B77FA"/>
    <w:rsid w:val="007B7B7D"/>
    <w:rsid w:val="007B7D3E"/>
    <w:rsid w:val="007C0BA0"/>
    <w:rsid w:val="007C11A9"/>
    <w:rsid w:val="007C1691"/>
    <w:rsid w:val="007C1BCF"/>
    <w:rsid w:val="007C1DC1"/>
    <w:rsid w:val="007C2503"/>
    <w:rsid w:val="007C2659"/>
    <w:rsid w:val="007C2CBD"/>
    <w:rsid w:val="007C2DAE"/>
    <w:rsid w:val="007C2DD9"/>
    <w:rsid w:val="007C3483"/>
    <w:rsid w:val="007C368D"/>
    <w:rsid w:val="007C38A4"/>
    <w:rsid w:val="007C38F1"/>
    <w:rsid w:val="007C3AF8"/>
    <w:rsid w:val="007C3E50"/>
    <w:rsid w:val="007C42F8"/>
    <w:rsid w:val="007C5662"/>
    <w:rsid w:val="007C61A1"/>
    <w:rsid w:val="007C6BB9"/>
    <w:rsid w:val="007C6CD8"/>
    <w:rsid w:val="007C7659"/>
    <w:rsid w:val="007C7A33"/>
    <w:rsid w:val="007D0CCC"/>
    <w:rsid w:val="007D18F2"/>
    <w:rsid w:val="007D24F2"/>
    <w:rsid w:val="007D2D7E"/>
    <w:rsid w:val="007D302C"/>
    <w:rsid w:val="007D3D06"/>
    <w:rsid w:val="007D6739"/>
    <w:rsid w:val="007D69A5"/>
    <w:rsid w:val="007D6BB3"/>
    <w:rsid w:val="007D6FC5"/>
    <w:rsid w:val="007D71D4"/>
    <w:rsid w:val="007D73C8"/>
    <w:rsid w:val="007D7502"/>
    <w:rsid w:val="007D7615"/>
    <w:rsid w:val="007D7811"/>
    <w:rsid w:val="007D7C36"/>
    <w:rsid w:val="007D7D4F"/>
    <w:rsid w:val="007E052B"/>
    <w:rsid w:val="007E0A48"/>
    <w:rsid w:val="007E0A83"/>
    <w:rsid w:val="007E0C72"/>
    <w:rsid w:val="007E1033"/>
    <w:rsid w:val="007E104A"/>
    <w:rsid w:val="007E112D"/>
    <w:rsid w:val="007E2010"/>
    <w:rsid w:val="007E209C"/>
    <w:rsid w:val="007E3C96"/>
    <w:rsid w:val="007E5D8D"/>
    <w:rsid w:val="007E7EA0"/>
    <w:rsid w:val="007E7F75"/>
    <w:rsid w:val="007F0539"/>
    <w:rsid w:val="007F08F6"/>
    <w:rsid w:val="007F146E"/>
    <w:rsid w:val="007F189B"/>
    <w:rsid w:val="007F1E34"/>
    <w:rsid w:val="007F25D4"/>
    <w:rsid w:val="007F342F"/>
    <w:rsid w:val="007F37A0"/>
    <w:rsid w:val="007F4723"/>
    <w:rsid w:val="007F4D91"/>
    <w:rsid w:val="007F5931"/>
    <w:rsid w:val="007F5945"/>
    <w:rsid w:val="007F5E3E"/>
    <w:rsid w:val="007F641D"/>
    <w:rsid w:val="007F6508"/>
    <w:rsid w:val="007F666B"/>
    <w:rsid w:val="007F714D"/>
    <w:rsid w:val="007F77F4"/>
    <w:rsid w:val="007F7AB5"/>
    <w:rsid w:val="00800724"/>
    <w:rsid w:val="00800FDE"/>
    <w:rsid w:val="00802710"/>
    <w:rsid w:val="00802AF2"/>
    <w:rsid w:val="008030E2"/>
    <w:rsid w:val="008032BB"/>
    <w:rsid w:val="008033D4"/>
    <w:rsid w:val="00804103"/>
    <w:rsid w:val="00804553"/>
    <w:rsid w:val="00805274"/>
    <w:rsid w:val="0080535A"/>
    <w:rsid w:val="00805B35"/>
    <w:rsid w:val="00805BE1"/>
    <w:rsid w:val="00805E9B"/>
    <w:rsid w:val="008067DF"/>
    <w:rsid w:val="00806B7B"/>
    <w:rsid w:val="0080752E"/>
    <w:rsid w:val="008077A9"/>
    <w:rsid w:val="00807B92"/>
    <w:rsid w:val="00807D76"/>
    <w:rsid w:val="008104D6"/>
    <w:rsid w:val="00810FF4"/>
    <w:rsid w:val="00811127"/>
    <w:rsid w:val="00811367"/>
    <w:rsid w:val="0081179D"/>
    <w:rsid w:val="0081213A"/>
    <w:rsid w:val="0081233F"/>
    <w:rsid w:val="00812C78"/>
    <w:rsid w:val="008132F4"/>
    <w:rsid w:val="00813555"/>
    <w:rsid w:val="00813C1D"/>
    <w:rsid w:val="00813D67"/>
    <w:rsid w:val="00814D30"/>
    <w:rsid w:val="008157CE"/>
    <w:rsid w:val="0081583E"/>
    <w:rsid w:val="00815DC3"/>
    <w:rsid w:val="00816253"/>
    <w:rsid w:val="00816F8A"/>
    <w:rsid w:val="008173BA"/>
    <w:rsid w:val="00817526"/>
    <w:rsid w:val="00817A8D"/>
    <w:rsid w:val="0082063D"/>
    <w:rsid w:val="0082080E"/>
    <w:rsid w:val="008209EB"/>
    <w:rsid w:val="00820A79"/>
    <w:rsid w:val="00821824"/>
    <w:rsid w:val="008218F1"/>
    <w:rsid w:val="00821944"/>
    <w:rsid w:val="00821A4D"/>
    <w:rsid w:val="00821BFD"/>
    <w:rsid w:val="00822955"/>
    <w:rsid w:val="008233D8"/>
    <w:rsid w:val="0082345A"/>
    <w:rsid w:val="008234FC"/>
    <w:rsid w:val="00823DA1"/>
    <w:rsid w:val="0082444F"/>
    <w:rsid w:val="00824AB2"/>
    <w:rsid w:val="00824D33"/>
    <w:rsid w:val="00825A4A"/>
    <w:rsid w:val="00825A6F"/>
    <w:rsid w:val="00825E4F"/>
    <w:rsid w:val="00825F91"/>
    <w:rsid w:val="008260CF"/>
    <w:rsid w:val="0082691C"/>
    <w:rsid w:val="00826AD1"/>
    <w:rsid w:val="00827C73"/>
    <w:rsid w:val="00830C67"/>
    <w:rsid w:val="00830D15"/>
    <w:rsid w:val="00830E31"/>
    <w:rsid w:val="00830EB8"/>
    <w:rsid w:val="008313DF"/>
    <w:rsid w:val="0083189F"/>
    <w:rsid w:val="00831E03"/>
    <w:rsid w:val="008327C1"/>
    <w:rsid w:val="008330DC"/>
    <w:rsid w:val="00834253"/>
    <w:rsid w:val="00834988"/>
    <w:rsid w:val="00834FBF"/>
    <w:rsid w:val="0083504F"/>
    <w:rsid w:val="00835118"/>
    <w:rsid w:val="008354C1"/>
    <w:rsid w:val="00835E66"/>
    <w:rsid w:val="008365C5"/>
    <w:rsid w:val="00836C02"/>
    <w:rsid w:val="00837104"/>
    <w:rsid w:val="008375F0"/>
    <w:rsid w:val="008376FF"/>
    <w:rsid w:val="008377EE"/>
    <w:rsid w:val="00837D50"/>
    <w:rsid w:val="00837DB9"/>
    <w:rsid w:val="00837F06"/>
    <w:rsid w:val="008402C4"/>
    <w:rsid w:val="00840AEB"/>
    <w:rsid w:val="00840B35"/>
    <w:rsid w:val="00840BD5"/>
    <w:rsid w:val="00840E2E"/>
    <w:rsid w:val="00841BD6"/>
    <w:rsid w:val="00841FEC"/>
    <w:rsid w:val="0084219B"/>
    <w:rsid w:val="0084241C"/>
    <w:rsid w:val="00842CF5"/>
    <w:rsid w:val="008431C0"/>
    <w:rsid w:val="008436ED"/>
    <w:rsid w:val="00843D77"/>
    <w:rsid w:val="00843F93"/>
    <w:rsid w:val="008440D3"/>
    <w:rsid w:val="00844D0C"/>
    <w:rsid w:val="00844F19"/>
    <w:rsid w:val="008454C8"/>
    <w:rsid w:val="00845654"/>
    <w:rsid w:val="00845B47"/>
    <w:rsid w:val="00845D08"/>
    <w:rsid w:val="008465D2"/>
    <w:rsid w:val="0084680B"/>
    <w:rsid w:val="00846BCE"/>
    <w:rsid w:val="00846D42"/>
    <w:rsid w:val="008508A7"/>
    <w:rsid w:val="00850A60"/>
    <w:rsid w:val="00850B9D"/>
    <w:rsid w:val="00850D2D"/>
    <w:rsid w:val="008511E3"/>
    <w:rsid w:val="00851D8E"/>
    <w:rsid w:val="0085261E"/>
    <w:rsid w:val="00852E13"/>
    <w:rsid w:val="00853399"/>
    <w:rsid w:val="00853717"/>
    <w:rsid w:val="008538A5"/>
    <w:rsid w:val="008538B7"/>
    <w:rsid w:val="008563D9"/>
    <w:rsid w:val="008563E9"/>
    <w:rsid w:val="0085691E"/>
    <w:rsid w:val="00856A23"/>
    <w:rsid w:val="00857C7A"/>
    <w:rsid w:val="00857DA4"/>
    <w:rsid w:val="00857FF5"/>
    <w:rsid w:val="00860D0C"/>
    <w:rsid w:val="00861CE9"/>
    <w:rsid w:val="008639D4"/>
    <w:rsid w:val="00864179"/>
    <w:rsid w:val="00864690"/>
    <w:rsid w:val="008646D0"/>
    <w:rsid w:val="008649C6"/>
    <w:rsid w:val="00864AA1"/>
    <w:rsid w:val="00864C77"/>
    <w:rsid w:val="00865CC7"/>
    <w:rsid w:val="00865F2D"/>
    <w:rsid w:val="008674E4"/>
    <w:rsid w:val="008676CD"/>
    <w:rsid w:val="0086773E"/>
    <w:rsid w:val="00870229"/>
    <w:rsid w:val="00870839"/>
    <w:rsid w:val="00870F57"/>
    <w:rsid w:val="008710DD"/>
    <w:rsid w:val="00871B89"/>
    <w:rsid w:val="00872381"/>
    <w:rsid w:val="008727CF"/>
    <w:rsid w:val="00872E55"/>
    <w:rsid w:val="008732CA"/>
    <w:rsid w:val="008736C9"/>
    <w:rsid w:val="00874606"/>
    <w:rsid w:val="00874EAE"/>
    <w:rsid w:val="0087532D"/>
    <w:rsid w:val="00875689"/>
    <w:rsid w:val="0087581D"/>
    <w:rsid w:val="008758D8"/>
    <w:rsid w:val="00875DDC"/>
    <w:rsid w:val="00876022"/>
    <w:rsid w:val="00876177"/>
    <w:rsid w:val="00876D16"/>
    <w:rsid w:val="00877A0C"/>
    <w:rsid w:val="0088021A"/>
    <w:rsid w:val="00880B23"/>
    <w:rsid w:val="00881ACF"/>
    <w:rsid w:val="00881B02"/>
    <w:rsid w:val="008820CF"/>
    <w:rsid w:val="00882173"/>
    <w:rsid w:val="0088220D"/>
    <w:rsid w:val="008822B9"/>
    <w:rsid w:val="00882F9C"/>
    <w:rsid w:val="008836AA"/>
    <w:rsid w:val="00883888"/>
    <w:rsid w:val="00885511"/>
    <w:rsid w:val="008859B7"/>
    <w:rsid w:val="0088696A"/>
    <w:rsid w:val="008870D0"/>
    <w:rsid w:val="0088716A"/>
    <w:rsid w:val="008902A8"/>
    <w:rsid w:val="00891B2A"/>
    <w:rsid w:val="00891FAE"/>
    <w:rsid w:val="008922C0"/>
    <w:rsid w:val="00892398"/>
    <w:rsid w:val="00892651"/>
    <w:rsid w:val="00892B83"/>
    <w:rsid w:val="00892D2E"/>
    <w:rsid w:val="00892E16"/>
    <w:rsid w:val="00893B47"/>
    <w:rsid w:val="00894205"/>
    <w:rsid w:val="0089430D"/>
    <w:rsid w:val="008943B3"/>
    <w:rsid w:val="00894B8B"/>
    <w:rsid w:val="00894E98"/>
    <w:rsid w:val="00895579"/>
    <w:rsid w:val="00895AE9"/>
    <w:rsid w:val="00895C11"/>
    <w:rsid w:val="008963FB"/>
    <w:rsid w:val="00896965"/>
    <w:rsid w:val="00896C66"/>
    <w:rsid w:val="00896F14"/>
    <w:rsid w:val="0089718D"/>
    <w:rsid w:val="00897253"/>
    <w:rsid w:val="00897738"/>
    <w:rsid w:val="00897977"/>
    <w:rsid w:val="008A0223"/>
    <w:rsid w:val="008A0966"/>
    <w:rsid w:val="008A0E06"/>
    <w:rsid w:val="008A116F"/>
    <w:rsid w:val="008A1B86"/>
    <w:rsid w:val="008A1F31"/>
    <w:rsid w:val="008A2A39"/>
    <w:rsid w:val="008A32F1"/>
    <w:rsid w:val="008A3605"/>
    <w:rsid w:val="008A45FD"/>
    <w:rsid w:val="008A4FF0"/>
    <w:rsid w:val="008A5508"/>
    <w:rsid w:val="008A57AD"/>
    <w:rsid w:val="008A6EA0"/>
    <w:rsid w:val="008A78A5"/>
    <w:rsid w:val="008A79F5"/>
    <w:rsid w:val="008B030C"/>
    <w:rsid w:val="008B1434"/>
    <w:rsid w:val="008B20F7"/>
    <w:rsid w:val="008B210C"/>
    <w:rsid w:val="008B2272"/>
    <w:rsid w:val="008B2299"/>
    <w:rsid w:val="008B3375"/>
    <w:rsid w:val="008B3597"/>
    <w:rsid w:val="008B4AE7"/>
    <w:rsid w:val="008B56EF"/>
    <w:rsid w:val="008B5A73"/>
    <w:rsid w:val="008B5B79"/>
    <w:rsid w:val="008B5EAD"/>
    <w:rsid w:val="008B64A7"/>
    <w:rsid w:val="008B68E8"/>
    <w:rsid w:val="008B6DAA"/>
    <w:rsid w:val="008B715B"/>
    <w:rsid w:val="008B71F3"/>
    <w:rsid w:val="008B7729"/>
    <w:rsid w:val="008C035F"/>
    <w:rsid w:val="008C0554"/>
    <w:rsid w:val="008C0573"/>
    <w:rsid w:val="008C0680"/>
    <w:rsid w:val="008C083C"/>
    <w:rsid w:val="008C0CBF"/>
    <w:rsid w:val="008C0EA2"/>
    <w:rsid w:val="008C2079"/>
    <w:rsid w:val="008C27C2"/>
    <w:rsid w:val="008C34ED"/>
    <w:rsid w:val="008C3ADC"/>
    <w:rsid w:val="008C3B33"/>
    <w:rsid w:val="008C3C6A"/>
    <w:rsid w:val="008C494C"/>
    <w:rsid w:val="008C4960"/>
    <w:rsid w:val="008C4BF9"/>
    <w:rsid w:val="008C5493"/>
    <w:rsid w:val="008C640C"/>
    <w:rsid w:val="008C6BA0"/>
    <w:rsid w:val="008C6D51"/>
    <w:rsid w:val="008C75CC"/>
    <w:rsid w:val="008D0933"/>
    <w:rsid w:val="008D0A5C"/>
    <w:rsid w:val="008D11F1"/>
    <w:rsid w:val="008D132A"/>
    <w:rsid w:val="008D1530"/>
    <w:rsid w:val="008D15CF"/>
    <w:rsid w:val="008D17CE"/>
    <w:rsid w:val="008D2139"/>
    <w:rsid w:val="008D287C"/>
    <w:rsid w:val="008D35D9"/>
    <w:rsid w:val="008D3DAF"/>
    <w:rsid w:val="008D460F"/>
    <w:rsid w:val="008D46F7"/>
    <w:rsid w:val="008D47E8"/>
    <w:rsid w:val="008D526D"/>
    <w:rsid w:val="008D5367"/>
    <w:rsid w:val="008D596E"/>
    <w:rsid w:val="008D63BF"/>
    <w:rsid w:val="008D6479"/>
    <w:rsid w:val="008D689D"/>
    <w:rsid w:val="008D6C4E"/>
    <w:rsid w:val="008D6F2C"/>
    <w:rsid w:val="008D72FC"/>
    <w:rsid w:val="008D7546"/>
    <w:rsid w:val="008D7615"/>
    <w:rsid w:val="008E0459"/>
    <w:rsid w:val="008E04E2"/>
    <w:rsid w:val="008E067A"/>
    <w:rsid w:val="008E11F1"/>
    <w:rsid w:val="008E18EA"/>
    <w:rsid w:val="008E235E"/>
    <w:rsid w:val="008E2689"/>
    <w:rsid w:val="008E34DA"/>
    <w:rsid w:val="008E36F1"/>
    <w:rsid w:val="008E4117"/>
    <w:rsid w:val="008E44FE"/>
    <w:rsid w:val="008E4B9A"/>
    <w:rsid w:val="008E540C"/>
    <w:rsid w:val="008E588E"/>
    <w:rsid w:val="008E5DCF"/>
    <w:rsid w:val="008E60D3"/>
    <w:rsid w:val="008E621B"/>
    <w:rsid w:val="008E644E"/>
    <w:rsid w:val="008E6624"/>
    <w:rsid w:val="008E6721"/>
    <w:rsid w:val="008F06D9"/>
    <w:rsid w:val="008F0FBA"/>
    <w:rsid w:val="008F11CD"/>
    <w:rsid w:val="008F139D"/>
    <w:rsid w:val="008F17B7"/>
    <w:rsid w:val="008F1D30"/>
    <w:rsid w:val="008F1D9C"/>
    <w:rsid w:val="008F2025"/>
    <w:rsid w:val="008F25F4"/>
    <w:rsid w:val="008F2D77"/>
    <w:rsid w:val="008F2F76"/>
    <w:rsid w:val="008F30E2"/>
    <w:rsid w:val="008F3ACF"/>
    <w:rsid w:val="008F445D"/>
    <w:rsid w:val="008F48D5"/>
    <w:rsid w:val="008F4988"/>
    <w:rsid w:val="008F591A"/>
    <w:rsid w:val="008F63DE"/>
    <w:rsid w:val="008F645D"/>
    <w:rsid w:val="008F6AF3"/>
    <w:rsid w:val="008F6FC0"/>
    <w:rsid w:val="008F7161"/>
    <w:rsid w:val="008F7F72"/>
    <w:rsid w:val="00900181"/>
    <w:rsid w:val="00900615"/>
    <w:rsid w:val="00902858"/>
    <w:rsid w:val="009029DD"/>
    <w:rsid w:val="00902B2A"/>
    <w:rsid w:val="00903642"/>
    <w:rsid w:val="0090366E"/>
    <w:rsid w:val="0090367E"/>
    <w:rsid w:val="00903D0B"/>
    <w:rsid w:val="009045E9"/>
    <w:rsid w:val="00904691"/>
    <w:rsid w:val="00904D8A"/>
    <w:rsid w:val="00905236"/>
    <w:rsid w:val="009055EA"/>
    <w:rsid w:val="009057B9"/>
    <w:rsid w:val="00905F78"/>
    <w:rsid w:val="00906244"/>
    <w:rsid w:val="00906E21"/>
    <w:rsid w:val="00906E81"/>
    <w:rsid w:val="009074AE"/>
    <w:rsid w:val="009077B5"/>
    <w:rsid w:val="0090795C"/>
    <w:rsid w:val="00907BCB"/>
    <w:rsid w:val="009106EF"/>
    <w:rsid w:val="00910999"/>
    <w:rsid w:val="00910A72"/>
    <w:rsid w:val="00910EA2"/>
    <w:rsid w:val="00912C3E"/>
    <w:rsid w:val="00912D32"/>
    <w:rsid w:val="00913F49"/>
    <w:rsid w:val="009144CD"/>
    <w:rsid w:val="0091471C"/>
    <w:rsid w:val="009147ED"/>
    <w:rsid w:val="00914B38"/>
    <w:rsid w:val="00914EA1"/>
    <w:rsid w:val="009155D2"/>
    <w:rsid w:val="0091577A"/>
    <w:rsid w:val="009162CF"/>
    <w:rsid w:val="009165CA"/>
    <w:rsid w:val="009178E7"/>
    <w:rsid w:val="009179E1"/>
    <w:rsid w:val="009208B1"/>
    <w:rsid w:val="00920A7E"/>
    <w:rsid w:val="00920B8E"/>
    <w:rsid w:val="00921728"/>
    <w:rsid w:val="00921A97"/>
    <w:rsid w:val="00921BB1"/>
    <w:rsid w:val="00921C8B"/>
    <w:rsid w:val="00923567"/>
    <w:rsid w:val="0092361C"/>
    <w:rsid w:val="009238A7"/>
    <w:rsid w:val="00923CC5"/>
    <w:rsid w:val="0092416F"/>
    <w:rsid w:val="009247F1"/>
    <w:rsid w:val="00924923"/>
    <w:rsid w:val="00924D8D"/>
    <w:rsid w:val="00924E51"/>
    <w:rsid w:val="009253BC"/>
    <w:rsid w:val="0092546A"/>
    <w:rsid w:val="0092551C"/>
    <w:rsid w:val="00925A01"/>
    <w:rsid w:val="00926417"/>
    <w:rsid w:val="00926622"/>
    <w:rsid w:val="00926933"/>
    <w:rsid w:val="00927E69"/>
    <w:rsid w:val="0093051D"/>
    <w:rsid w:val="00931541"/>
    <w:rsid w:val="00931787"/>
    <w:rsid w:val="00932D48"/>
    <w:rsid w:val="009335E8"/>
    <w:rsid w:val="00934467"/>
    <w:rsid w:val="00934616"/>
    <w:rsid w:val="00935562"/>
    <w:rsid w:val="009361A7"/>
    <w:rsid w:val="00936580"/>
    <w:rsid w:val="00936775"/>
    <w:rsid w:val="00936BED"/>
    <w:rsid w:val="00936CD7"/>
    <w:rsid w:val="00937089"/>
    <w:rsid w:val="00937186"/>
    <w:rsid w:val="009371E7"/>
    <w:rsid w:val="009379BE"/>
    <w:rsid w:val="00937A96"/>
    <w:rsid w:val="00937C99"/>
    <w:rsid w:val="00937DB5"/>
    <w:rsid w:val="0094101B"/>
    <w:rsid w:val="0094137F"/>
    <w:rsid w:val="0094173A"/>
    <w:rsid w:val="00941846"/>
    <w:rsid w:val="0094196B"/>
    <w:rsid w:val="00941C11"/>
    <w:rsid w:val="00941C91"/>
    <w:rsid w:val="00941CDC"/>
    <w:rsid w:val="0094283F"/>
    <w:rsid w:val="00942C14"/>
    <w:rsid w:val="0094328E"/>
    <w:rsid w:val="009432CA"/>
    <w:rsid w:val="0094338F"/>
    <w:rsid w:val="009444B9"/>
    <w:rsid w:val="00944B51"/>
    <w:rsid w:val="00944CB8"/>
    <w:rsid w:val="0094640E"/>
    <w:rsid w:val="009468B0"/>
    <w:rsid w:val="00946DEE"/>
    <w:rsid w:val="00947042"/>
    <w:rsid w:val="0094707A"/>
    <w:rsid w:val="00947B42"/>
    <w:rsid w:val="00947C21"/>
    <w:rsid w:val="00947FF3"/>
    <w:rsid w:val="00950441"/>
    <w:rsid w:val="0095052D"/>
    <w:rsid w:val="009506CC"/>
    <w:rsid w:val="00950C44"/>
    <w:rsid w:val="009511DD"/>
    <w:rsid w:val="009517C8"/>
    <w:rsid w:val="00952115"/>
    <w:rsid w:val="009524C3"/>
    <w:rsid w:val="00953728"/>
    <w:rsid w:val="0095373C"/>
    <w:rsid w:val="00953972"/>
    <w:rsid w:val="00953EC7"/>
    <w:rsid w:val="009549C9"/>
    <w:rsid w:val="0095578D"/>
    <w:rsid w:val="00955993"/>
    <w:rsid w:val="00955EE7"/>
    <w:rsid w:val="009560B7"/>
    <w:rsid w:val="00956692"/>
    <w:rsid w:val="009576F6"/>
    <w:rsid w:val="00957A5F"/>
    <w:rsid w:val="00957CA3"/>
    <w:rsid w:val="0096002E"/>
    <w:rsid w:val="009602DD"/>
    <w:rsid w:val="0096031E"/>
    <w:rsid w:val="009609B0"/>
    <w:rsid w:val="009610AD"/>
    <w:rsid w:val="00961589"/>
    <w:rsid w:val="00961AC3"/>
    <w:rsid w:val="00961D31"/>
    <w:rsid w:val="00962F37"/>
    <w:rsid w:val="00963DEC"/>
    <w:rsid w:val="009646A5"/>
    <w:rsid w:val="00964C22"/>
    <w:rsid w:val="00964E93"/>
    <w:rsid w:val="00965859"/>
    <w:rsid w:val="00965A0E"/>
    <w:rsid w:val="00965AA3"/>
    <w:rsid w:val="009660C3"/>
    <w:rsid w:val="0096638F"/>
    <w:rsid w:val="0096659A"/>
    <w:rsid w:val="00966973"/>
    <w:rsid w:val="009670E4"/>
    <w:rsid w:val="009671F8"/>
    <w:rsid w:val="00967667"/>
    <w:rsid w:val="009677C8"/>
    <w:rsid w:val="0096784E"/>
    <w:rsid w:val="00967BFB"/>
    <w:rsid w:val="009700D1"/>
    <w:rsid w:val="009704C9"/>
    <w:rsid w:val="0097096E"/>
    <w:rsid w:val="00970A3A"/>
    <w:rsid w:val="009716A4"/>
    <w:rsid w:val="009725A1"/>
    <w:rsid w:val="009731CB"/>
    <w:rsid w:val="00973575"/>
    <w:rsid w:val="00973D00"/>
    <w:rsid w:val="00974153"/>
    <w:rsid w:val="00974519"/>
    <w:rsid w:val="00974DF5"/>
    <w:rsid w:val="009755D3"/>
    <w:rsid w:val="0097663E"/>
    <w:rsid w:val="00976B0F"/>
    <w:rsid w:val="0097752B"/>
    <w:rsid w:val="00977F58"/>
    <w:rsid w:val="009800B2"/>
    <w:rsid w:val="009810A8"/>
    <w:rsid w:val="00981D79"/>
    <w:rsid w:val="0098215C"/>
    <w:rsid w:val="00982DC1"/>
    <w:rsid w:val="0098336A"/>
    <w:rsid w:val="009835D5"/>
    <w:rsid w:val="00983654"/>
    <w:rsid w:val="00983823"/>
    <w:rsid w:val="00983C4B"/>
    <w:rsid w:val="009840D5"/>
    <w:rsid w:val="009846BC"/>
    <w:rsid w:val="00984E2B"/>
    <w:rsid w:val="00984E51"/>
    <w:rsid w:val="00985D94"/>
    <w:rsid w:val="009863A2"/>
    <w:rsid w:val="00987CBD"/>
    <w:rsid w:val="009912EC"/>
    <w:rsid w:val="00991935"/>
    <w:rsid w:val="00991BB0"/>
    <w:rsid w:val="00991BF4"/>
    <w:rsid w:val="00991C02"/>
    <w:rsid w:val="00992023"/>
    <w:rsid w:val="00992A97"/>
    <w:rsid w:val="00992DE7"/>
    <w:rsid w:val="00992F69"/>
    <w:rsid w:val="0099334A"/>
    <w:rsid w:val="00993413"/>
    <w:rsid w:val="00993654"/>
    <w:rsid w:val="00993765"/>
    <w:rsid w:val="00993CB2"/>
    <w:rsid w:val="00993ED1"/>
    <w:rsid w:val="00994012"/>
    <w:rsid w:val="00994BF1"/>
    <w:rsid w:val="00994EB2"/>
    <w:rsid w:val="0099512E"/>
    <w:rsid w:val="009954CC"/>
    <w:rsid w:val="00995732"/>
    <w:rsid w:val="00995ABE"/>
    <w:rsid w:val="009974D9"/>
    <w:rsid w:val="009A0222"/>
    <w:rsid w:val="009A06CA"/>
    <w:rsid w:val="009A0BAF"/>
    <w:rsid w:val="009A114B"/>
    <w:rsid w:val="009A119E"/>
    <w:rsid w:val="009A1335"/>
    <w:rsid w:val="009A18CD"/>
    <w:rsid w:val="009A2813"/>
    <w:rsid w:val="009A2BC7"/>
    <w:rsid w:val="009A330E"/>
    <w:rsid w:val="009A34B6"/>
    <w:rsid w:val="009A3AE7"/>
    <w:rsid w:val="009A501E"/>
    <w:rsid w:val="009A50D9"/>
    <w:rsid w:val="009A559B"/>
    <w:rsid w:val="009A621B"/>
    <w:rsid w:val="009A6296"/>
    <w:rsid w:val="009A6369"/>
    <w:rsid w:val="009A6CBE"/>
    <w:rsid w:val="009A6F62"/>
    <w:rsid w:val="009A7F54"/>
    <w:rsid w:val="009B0563"/>
    <w:rsid w:val="009B1D0F"/>
    <w:rsid w:val="009B217F"/>
    <w:rsid w:val="009B2599"/>
    <w:rsid w:val="009B2A74"/>
    <w:rsid w:val="009B2BCC"/>
    <w:rsid w:val="009B3A11"/>
    <w:rsid w:val="009B3E84"/>
    <w:rsid w:val="009B406B"/>
    <w:rsid w:val="009B40AD"/>
    <w:rsid w:val="009B55EC"/>
    <w:rsid w:val="009B588A"/>
    <w:rsid w:val="009B625D"/>
    <w:rsid w:val="009B6773"/>
    <w:rsid w:val="009B77A2"/>
    <w:rsid w:val="009C070F"/>
    <w:rsid w:val="009C0C84"/>
    <w:rsid w:val="009C1343"/>
    <w:rsid w:val="009C19B0"/>
    <w:rsid w:val="009C1B68"/>
    <w:rsid w:val="009C204E"/>
    <w:rsid w:val="009C2BCC"/>
    <w:rsid w:val="009C2CD6"/>
    <w:rsid w:val="009C2ED8"/>
    <w:rsid w:val="009C4234"/>
    <w:rsid w:val="009C4394"/>
    <w:rsid w:val="009C45AF"/>
    <w:rsid w:val="009C4826"/>
    <w:rsid w:val="009C4B2E"/>
    <w:rsid w:val="009C4E00"/>
    <w:rsid w:val="009C517B"/>
    <w:rsid w:val="009C51AC"/>
    <w:rsid w:val="009C52B9"/>
    <w:rsid w:val="009C5376"/>
    <w:rsid w:val="009C5442"/>
    <w:rsid w:val="009C5523"/>
    <w:rsid w:val="009C5571"/>
    <w:rsid w:val="009C5749"/>
    <w:rsid w:val="009C5834"/>
    <w:rsid w:val="009C5E5B"/>
    <w:rsid w:val="009C7632"/>
    <w:rsid w:val="009C7E6D"/>
    <w:rsid w:val="009D07A4"/>
    <w:rsid w:val="009D0D52"/>
    <w:rsid w:val="009D11C5"/>
    <w:rsid w:val="009D13C8"/>
    <w:rsid w:val="009D191D"/>
    <w:rsid w:val="009D1940"/>
    <w:rsid w:val="009D1A02"/>
    <w:rsid w:val="009D1B8B"/>
    <w:rsid w:val="009D1D64"/>
    <w:rsid w:val="009D1F79"/>
    <w:rsid w:val="009D2FF5"/>
    <w:rsid w:val="009D31E2"/>
    <w:rsid w:val="009D3AE8"/>
    <w:rsid w:val="009D4188"/>
    <w:rsid w:val="009D4C77"/>
    <w:rsid w:val="009D5392"/>
    <w:rsid w:val="009D56FD"/>
    <w:rsid w:val="009D59C0"/>
    <w:rsid w:val="009D5A61"/>
    <w:rsid w:val="009D65C3"/>
    <w:rsid w:val="009D6D47"/>
    <w:rsid w:val="009D6DBF"/>
    <w:rsid w:val="009D7679"/>
    <w:rsid w:val="009D7838"/>
    <w:rsid w:val="009D79E1"/>
    <w:rsid w:val="009D7B46"/>
    <w:rsid w:val="009E0183"/>
    <w:rsid w:val="009E0DD2"/>
    <w:rsid w:val="009E16E9"/>
    <w:rsid w:val="009E1B69"/>
    <w:rsid w:val="009E2437"/>
    <w:rsid w:val="009E25DB"/>
    <w:rsid w:val="009E2631"/>
    <w:rsid w:val="009E270E"/>
    <w:rsid w:val="009E28F2"/>
    <w:rsid w:val="009E39C7"/>
    <w:rsid w:val="009E3A82"/>
    <w:rsid w:val="009E4E2C"/>
    <w:rsid w:val="009E597C"/>
    <w:rsid w:val="009E5AED"/>
    <w:rsid w:val="009E5B3F"/>
    <w:rsid w:val="009E610B"/>
    <w:rsid w:val="009E7766"/>
    <w:rsid w:val="009E7999"/>
    <w:rsid w:val="009E7C69"/>
    <w:rsid w:val="009F04E4"/>
    <w:rsid w:val="009F0A03"/>
    <w:rsid w:val="009F0A07"/>
    <w:rsid w:val="009F11B0"/>
    <w:rsid w:val="009F1287"/>
    <w:rsid w:val="009F14EE"/>
    <w:rsid w:val="009F1666"/>
    <w:rsid w:val="009F1A68"/>
    <w:rsid w:val="009F1B51"/>
    <w:rsid w:val="009F23A2"/>
    <w:rsid w:val="009F2B3A"/>
    <w:rsid w:val="009F331B"/>
    <w:rsid w:val="009F348F"/>
    <w:rsid w:val="009F42A4"/>
    <w:rsid w:val="009F4826"/>
    <w:rsid w:val="009F4B8C"/>
    <w:rsid w:val="009F50C3"/>
    <w:rsid w:val="009F5100"/>
    <w:rsid w:val="009F535B"/>
    <w:rsid w:val="009F5763"/>
    <w:rsid w:val="009F58E5"/>
    <w:rsid w:val="009F5A9E"/>
    <w:rsid w:val="009F63B7"/>
    <w:rsid w:val="009F6F65"/>
    <w:rsid w:val="009F78B4"/>
    <w:rsid w:val="009F7F1A"/>
    <w:rsid w:val="00A00839"/>
    <w:rsid w:val="00A00B62"/>
    <w:rsid w:val="00A0213D"/>
    <w:rsid w:val="00A029C2"/>
    <w:rsid w:val="00A0320D"/>
    <w:rsid w:val="00A038D9"/>
    <w:rsid w:val="00A043D3"/>
    <w:rsid w:val="00A049AA"/>
    <w:rsid w:val="00A04E4A"/>
    <w:rsid w:val="00A056DE"/>
    <w:rsid w:val="00A05767"/>
    <w:rsid w:val="00A0599B"/>
    <w:rsid w:val="00A05C68"/>
    <w:rsid w:val="00A06889"/>
    <w:rsid w:val="00A07335"/>
    <w:rsid w:val="00A074F7"/>
    <w:rsid w:val="00A078A4"/>
    <w:rsid w:val="00A07B98"/>
    <w:rsid w:val="00A07C1F"/>
    <w:rsid w:val="00A125A8"/>
    <w:rsid w:val="00A126D3"/>
    <w:rsid w:val="00A130AE"/>
    <w:rsid w:val="00A132DC"/>
    <w:rsid w:val="00A13B9E"/>
    <w:rsid w:val="00A13D23"/>
    <w:rsid w:val="00A14AC3"/>
    <w:rsid w:val="00A1641D"/>
    <w:rsid w:val="00A1676B"/>
    <w:rsid w:val="00A176E3"/>
    <w:rsid w:val="00A17E9E"/>
    <w:rsid w:val="00A2031F"/>
    <w:rsid w:val="00A205A4"/>
    <w:rsid w:val="00A206E6"/>
    <w:rsid w:val="00A2097F"/>
    <w:rsid w:val="00A20B9E"/>
    <w:rsid w:val="00A20FA5"/>
    <w:rsid w:val="00A214C5"/>
    <w:rsid w:val="00A21C5F"/>
    <w:rsid w:val="00A21E8D"/>
    <w:rsid w:val="00A22122"/>
    <w:rsid w:val="00A22A1E"/>
    <w:rsid w:val="00A22CEE"/>
    <w:rsid w:val="00A23032"/>
    <w:rsid w:val="00A236B4"/>
    <w:rsid w:val="00A236E4"/>
    <w:rsid w:val="00A23DFD"/>
    <w:rsid w:val="00A242BA"/>
    <w:rsid w:val="00A244C4"/>
    <w:rsid w:val="00A2460C"/>
    <w:rsid w:val="00A249A7"/>
    <w:rsid w:val="00A24C31"/>
    <w:rsid w:val="00A24F8D"/>
    <w:rsid w:val="00A252B0"/>
    <w:rsid w:val="00A25414"/>
    <w:rsid w:val="00A25605"/>
    <w:rsid w:val="00A25801"/>
    <w:rsid w:val="00A258D6"/>
    <w:rsid w:val="00A25B99"/>
    <w:rsid w:val="00A25BDB"/>
    <w:rsid w:val="00A25E79"/>
    <w:rsid w:val="00A25F35"/>
    <w:rsid w:val="00A26AA9"/>
    <w:rsid w:val="00A30A0D"/>
    <w:rsid w:val="00A30E63"/>
    <w:rsid w:val="00A30F36"/>
    <w:rsid w:val="00A311C4"/>
    <w:rsid w:val="00A3178B"/>
    <w:rsid w:val="00A31CEC"/>
    <w:rsid w:val="00A3249A"/>
    <w:rsid w:val="00A331D9"/>
    <w:rsid w:val="00A333C8"/>
    <w:rsid w:val="00A340F0"/>
    <w:rsid w:val="00A34F20"/>
    <w:rsid w:val="00A35054"/>
    <w:rsid w:val="00A355BC"/>
    <w:rsid w:val="00A35834"/>
    <w:rsid w:val="00A359FF"/>
    <w:rsid w:val="00A36319"/>
    <w:rsid w:val="00A36325"/>
    <w:rsid w:val="00A363CB"/>
    <w:rsid w:val="00A36437"/>
    <w:rsid w:val="00A37628"/>
    <w:rsid w:val="00A3778B"/>
    <w:rsid w:val="00A379A9"/>
    <w:rsid w:val="00A37A60"/>
    <w:rsid w:val="00A37FC4"/>
    <w:rsid w:val="00A402AC"/>
    <w:rsid w:val="00A40AAF"/>
    <w:rsid w:val="00A40D6F"/>
    <w:rsid w:val="00A4116A"/>
    <w:rsid w:val="00A4116C"/>
    <w:rsid w:val="00A411FD"/>
    <w:rsid w:val="00A41491"/>
    <w:rsid w:val="00A427C7"/>
    <w:rsid w:val="00A43129"/>
    <w:rsid w:val="00A43390"/>
    <w:rsid w:val="00A433A0"/>
    <w:rsid w:val="00A43BF5"/>
    <w:rsid w:val="00A43FB7"/>
    <w:rsid w:val="00A44D5B"/>
    <w:rsid w:val="00A451DF"/>
    <w:rsid w:val="00A453E1"/>
    <w:rsid w:val="00A4574C"/>
    <w:rsid w:val="00A45894"/>
    <w:rsid w:val="00A46458"/>
    <w:rsid w:val="00A46ADD"/>
    <w:rsid w:val="00A46E6C"/>
    <w:rsid w:val="00A4736D"/>
    <w:rsid w:val="00A47AFC"/>
    <w:rsid w:val="00A47B24"/>
    <w:rsid w:val="00A47ED1"/>
    <w:rsid w:val="00A503F6"/>
    <w:rsid w:val="00A50817"/>
    <w:rsid w:val="00A50B1C"/>
    <w:rsid w:val="00A50F77"/>
    <w:rsid w:val="00A51938"/>
    <w:rsid w:val="00A51BE8"/>
    <w:rsid w:val="00A52713"/>
    <w:rsid w:val="00A527D7"/>
    <w:rsid w:val="00A52D87"/>
    <w:rsid w:val="00A53220"/>
    <w:rsid w:val="00A538EA"/>
    <w:rsid w:val="00A53C82"/>
    <w:rsid w:val="00A540B1"/>
    <w:rsid w:val="00A5444B"/>
    <w:rsid w:val="00A54B50"/>
    <w:rsid w:val="00A54BC2"/>
    <w:rsid w:val="00A54CF1"/>
    <w:rsid w:val="00A54FAE"/>
    <w:rsid w:val="00A553A2"/>
    <w:rsid w:val="00A5608F"/>
    <w:rsid w:val="00A5734A"/>
    <w:rsid w:val="00A573DA"/>
    <w:rsid w:val="00A60820"/>
    <w:rsid w:val="00A60888"/>
    <w:rsid w:val="00A612E9"/>
    <w:rsid w:val="00A61B1C"/>
    <w:rsid w:val="00A61BFB"/>
    <w:rsid w:val="00A61E50"/>
    <w:rsid w:val="00A62CD4"/>
    <w:rsid w:val="00A6304D"/>
    <w:rsid w:val="00A6350B"/>
    <w:rsid w:val="00A63CD8"/>
    <w:rsid w:val="00A63D03"/>
    <w:rsid w:val="00A6456B"/>
    <w:rsid w:val="00A647ED"/>
    <w:rsid w:val="00A65169"/>
    <w:rsid w:val="00A657B7"/>
    <w:rsid w:val="00A66CA6"/>
    <w:rsid w:val="00A66EC2"/>
    <w:rsid w:val="00A66F6E"/>
    <w:rsid w:val="00A67195"/>
    <w:rsid w:val="00A6756D"/>
    <w:rsid w:val="00A6783C"/>
    <w:rsid w:val="00A67D12"/>
    <w:rsid w:val="00A70ADE"/>
    <w:rsid w:val="00A71454"/>
    <w:rsid w:val="00A72B0B"/>
    <w:rsid w:val="00A73039"/>
    <w:rsid w:val="00A73514"/>
    <w:rsid w:val="00A741D4"/>
    <w:rsid w:val="00A750B0"/>
    <w:rsid w:val="00A7571C"/>
    <w:rsid w:val="00A75B16"/>
    <w:rsid w:val="00A76347"/>
    <w:rsid w:val="00A76674"/>
    <w:rsid w:val="00A76F22"/>
    <w:rsid w:val="00A77218"/>
    <w:rsid w:val="00A77768"/>
    <w:rsid w:val="00A77B2A"/>
    <w:rsid w:val="00A80563"/>
    <w:rsid w:val="00A80BE4"/>
    <w:rsid w:val="00A80E23"/>
    <w:rsid w:val="00A8108A"/>
    <w:rsid w:val="00A811A5"/>
    <w:rsid w:val="00A8162D"/>
    <w:rsid w:val="00A825AA"/>
    <w:rsid w:val="00A82AD2"/>
    <w:rsid w:val="00A83861"/>
    <w:rsid w:val="00A8427E"/>
    <w:rsid w:val="00A845E2"/>
    <w:rsid w:val="00A85473"/>
    <w:rsid w:val="00A85479"/>
    <w:rsid w:val="00A8642C"/>
    <w:rsid w:val="00A86447"/>
    <w:rsid w:val="00A86DC3"/>
    <w:rsid w:val="00A86E83"/>
    <w:rsid w:val="00A873ED"/>
    <w:rsid w:val="00A87879"/>
    <w:rsid w:val="00A878BE"/>
    <w:rsid w:val="00A90152"/>
    <w:rsid w:val="00A905FB"/>
    <w:rsid w:val="00A90972"/>
    <w:rsid w:val="00A90B7F"/>
    <w:rsid w:val="00A911C4"/>
    <w:rsid w:val="00A91600"/>
    <w:rsid w:val="00A91C86"/>
    <w:rsid w:val="00A91F86"/>
    <w:rsid w:val="00A92205"/>
    <w:rsid w:val="00A92721"/>
    <w:rsid w:val="00A92DCA"/>
    <w:rsid w:val="00A9422D"/>
    <w:rsid w:val="00A945A0"/>
    <w:rsid w:val="00A945EB"/>
    <w:rsid w:val="00A94A3A"/>
    <w:rsid w:val="00A94B3F"/>
    <w:rsid w:val="00A94E38"/>
    <w:rsid w:val="00A94E6F"/>
    <w:rsid w:val="00A954BF"/>
    <w:rsid w:val="00A954EC"/>
    <w:rsid w:val="00A9598E"/>
    <w:rsid w:val="00A95C9A"/>
    <w:rsid w:val="00A97083"/>
    <w:rsid w:val="00A975E4"/>
    <w:rsid w:val="00A97882"/>
    <w:rsid w:val="00A97FC5"/>
    <w:rsid w:val="00AA01A0"/>
    <w:rsid w:val="00AA0241"/>
    <w:rsid w:val="00AA0AB2"/>
    <w:rsid w:val="00AA0E96"/>
    <w:rsid w:val="00AA107D"/>
    <w:rsid w:val="00AA1165"/>
    <w:rsid w:val="00AA1405"/>
    <w:rsid w:val="00AA1822"/>
    <w:rsid w:val="00AA1E42"/>
    <w:rsid w:val="00AA2312"/>
    <w:rsid w:val="00AA27B3"/>
    <w:rsid w:val="00AA2A44"/>
    <w:rsid w:val="00AA2E0D"/>
    <w:rsid w:val="00AA3153"/>
    <w:rsid w:val="00AA36F2"/>
    <w:rsid w:val="00AA37FE"/>
    <w:rsid w:val="00AA3820"/>
    <w:rsid w:val="00AA3E72"/>
    <w:rsid w:val="00AA409F"/>
    <w:rsid w:val="00AA45C8"/>
    <w:rsid w:val="00AA4B06"/>
    <w:rsid w:val="00AA503D"/>
    <w:rsid w:val="00AA5436"/>
    <w:rsid w:val="00AA574F"/>
    <w:rsid w:val="00AA5912"/>
    <w:rsid w:val="00AA5957"/>
    <w:rsid w:val="00AA5D4F"/>
    <w:rsid w:val="00AA5FA5"/>
    <w:rsid w:val="00AB05CE"/>
    <w:rsid w:val="00AB1013"/>
    <w:rsid w:val="00AB128D"/>
    <w:rsid w:val="00AB15A8"/>
    <w:rsid w:val="00AB1C82"/>
    <w:rsid w:val="00AB2A23"/>
    <w:rsid w:val="00AB2FAA"/>
    <w:rsid w:val="00AB3998"/>
    <w:rsid w:val="00AB3D6A"/>
    <w:rsid w:val="00AB4C06"/>
    <w:rsid w:val="00AB4E2A"/>
    <w:rsid w:val="00AB505A"/>
    <w:rsid w:val="00AB512D"/>
    <w:rsid w:val="00AB5820"/>
    <w:rsid w:val="00AB5FB2"/>
    <w:rsid w:val="00AB61CE"/>
    <w:rsid w:val="00AB65FF"/>
    <w:rsid w:val="00AB6C4F"/>
    <w:rsid w:val="00AB7C0B"/>
    <w:rsid w:val="00AC05B9"/>
    <w:rsid w:val="00AC104D"/>
    <w:rsid w:val="00AC10C2"/>
    <w:rsid w:val="00AC1139"/>
    <w:rsid w:val="00AC1C7D"/>
    <w:rsid w:val="00AC1F72"/>
    <w:rsid w:val="00AC201A"/>
    <w:rsid w:val="00AC26CC"/>
    <w:rsid w:val="00AC29A3"/>
    <w:rsid w:val="00AC2ECC"/>
    <w:rsid w:val="00AC3927"/>
    <w:rsid w:val="00AC3BCF"/>
    <w:rsid w:val="00AC47A1"/>
    <w:rsid w:val="00AC4A8D"/>
    <w:rsid w:val="00AC4F8F"/>
    <w:rsid w:val="00AC5373"/>
    <w:rsid w:val="00AC59D4"/>
    <w:rsid w:val="00AC66C3"/>
    <w:rsid w:val="00AC6891"/>
    <w:rsid w:val="00AC758B"/>
    <w:rsid w:val="00AC7C03"/>
    <w:rsid w:val="00AD037C"/>
    <w:rsid w:val="00AD08F9"/>
    <w:rsid w:val="00AD0D7D"/>
    <w:rsid w:val="00AD0E43"/>
    <w:rsid w:val="00AD11A0"/>
    <w:rsid w:val="00AD1FAE"/>
    <w:rsid w:val="00AD20A5"/>
    <w:rsid w:val="00AD218B"/>
    <w:rsid w:val="00AD3328"/>
    <w:rsid w:val="00AD3729"/>
    <w:rsid w:val="00AD3823"/>
    <w:rsid w:val="00AD499C"/>
    <w:rsid w:val="00AD4A1D"/>
    <w:rsid w:val="00AD4CA7"/>
    <w:rsid w:val="00AD4D19"/>
    <w:rsid w:val="00AD4F49"/>
    <w:rsid w:val="00AD4F95"/>
    <w:rsid w:val="00AD4FBD"/>
    <w:rsid w:val="00AD51A8"/>
    <w:rsid w:val="00AD585C"/>
    <w:rsid w:val="00AD5BFB"/>
    <w:rsid w:val="00AD5C2C"/>
    <w:rsid w:val="00AD7EEC"/>
    <w:rsid w:val="00AD7F4F"/>
    <w:rsid w:val="00AE05CB"/>
    <w:rsid w:val="00AE06FD"/>
    <w:rsid w:val="00AE0D4C"/>
    <w:rsid w:val="00AE104B"/>
    <w:rsid w:val="00AE12D0"/>
    <w:rsid w:val="00AE1593"/>
    <w:rsid w:val="00AE1770"/>
    <w:rsid w:val="00AE17EC"/>
    <w:rsid w:val="00AE3320"/>
    <w:rsid w:val="00AE35A7"/>
    <w:rsid w:val="00AE4BC4"/>
    <w:rsid w:val="00AE4BEB"/>
    <w:rsid w:val="00AE5541"/>
    <w:rsid w:val="00AE5A98"/>
    <w:rsid w:val="00AE67E4"/>
    <w:rsid w:val="00AE68B9"/>
    <w:rsid w:val="00AE6DBE"/>
    <w:rsid w:val="00AE70C3"/>
    <w:rsid w:val="00AE7BC6"/>
    <w:rsid w:val="00AE7D80"/>
    <w:rsid w:val="00AF03A6"/>
    <w:rsid w:val="00AF16EB"/>
    <w:rsid w:val="00AF1AFC"/>
    <w:rsid w:val="00AF1B74"/>
    <w:rsid w:val="00AF1B86"/>
    <w:rsid w:val="00AF1C6E"/>
    <w:rsid w:val="00AF1E7F"/>
    <w:rsid w:val="00AF2239"/>
    <w:rsid w:val="00AF22B4"/>
    <w:rsid w:val="00AF2686"/>
    <w:rsid w:val="00AF291E"/>
    <w:rsid w:val="00AF2BC4"/>
    <w:rsid w:val="00AF2D47"/>
    <w:rsid w:val="00AF2E67"/>
    <w:rsid w:val="00AF4A3F"/>
    <w:rsid w:val="00AF54A3"/>
    <w:rsid w:val="00AF5D29"/>
    <w:rsid w:val="00AF61F8"/>
    <w:rsid w:val="00AF7263"/>
    <w:rsid w:val="00AF7442"/>
    <w:rsid w:val="00AF767F"/>
    <w:rsid w:val="00B005CA"/>
    <w:rsid w:val="00B0076D"/>
    <w:rsid w:val="00B00D1B"/>
    <w:rsid w:val="00B011B8"/>
    <w:rsid w:val="00B01273"/>
    <w:rsid w:val="00B01790"/>
    <w:rsid w:val="00B02E55"/>
    <w:rsid w:val="00B0328B"/>
    <w:rsid w:val="00B03780"/>
    <w:rsid w:val="00B04506"/>
    <w:rsid w:val="00B06B39"/>
    <w:rsid w:val="00B06B91"/>
    <w:rsid w:val="00B07201"/>
    <w:rsid w:val="00B077FE"/>
    <w:rsid w:val="00B079B5"/>
    <w:rsid w:val="00B103C9"/>
    <w:rsid w:val="00B103ED"/>
    <w:rsid w:val="00B109B3"/>
    <w:rsid w:val="00B10C10"/>
    <w:rsid w:val="00B115D1"/>
    <w:rsid w:val="00B129CC"/>
    <w:rsid w:val="00B12A72"/>
    <w:rsid w:val="00B13464"/>
    <w:rsid w:val="00B1374B"/>
    <w:rsid w:val="00B13B18"/>
    <w:rsid w:val="00B14335"/>
    <w:rsid w:val="00B1442A"/>
    <w:rsid w:val="00B147BA"/>
    <w:rsid w:val="00B14DC4"/>
    <w:rsid w:val="00B15438"/>
    <w:rsid w:val="00B15D27"/>
    <w:rsid w:val="00B16122"/>
    <w:rsid w:val="00B16730"/>
    <w:rsid w:val="00B16C24"/>
    <w:rsid w:val="00B16EF7"/>
    <w:rsid w:val="00B170D4"/>
    <w:rsid w:val="00B1755B"/>
    <w:rsid w:val="00B17FAB"/>
    <w:rsid w:val="00B211CB"/>
    <w:rsid w:val="00B21686"/>
    <w:rsid w:val="00B2193D"/>
    <w:rsid w:val="00B22C04"/>
    <w:rsid w:val="00B22FBB"/>
    <w:rsid w:val="00B230F6"/>
    <w:rsid w:val="00B236FF"/>
    <w:rsid w:val="00B239D4"/>
    <w:rsid w:val="00B24B08"/>
    <w:rsid w:val="00B24C0F"/>
    <w:rsid w:val="00B24CEA"/>
    <w:rsid w:val="00B24DA1"/>
    <w:rsid w:val="00B25AA7"/>
    <w:rsid w:val="00B26447"/>
    <w:rsid w:val="00B268BD"/>
    <w:rsid w:val="00B30030"/>
    <w:rsid w:val="00B30033"/>
    <w:rsid w:val="00B30277"/>
    <w:rsid w:val="00B30BDC"/>
    <w:rsid w:val="00B30FF1"/>
    <w:rsid w:val="00B3192E"/>
    <w:rsid w:val="00B319A1"/>
    <w:rsid w:val="00B31B42"/>
    <w:rsid w:val="00B31CC1"/>
    <w:rsid w:val="00B31EC0"/>
    <w:rsid w:val="00B31ECA"/>
    <w:rsid w:val="00B32552"/>
    <w:rsid w:val="00B32743"/>
    <w:rsid w:val="00B32F88"/>
    <w:rsid w:val="00B33225"/>
    <w:rsid w:val="00B334EA"/>
    <w:rsid w:val="00B338B1"/>
    <w:rsid w:val="00B33C5D"/>
    <w:rsid w:val="00B33CAA"/>
    <w:rsid w:val="00B33D0C"/>
    <w:rsid w:val="00B3429B"/>
    <w:rsid w:val="00B357AB"/>
    <w:rsid w:val="00B35886"/>
    <w:rsid w:val="00B359BE"/>
    <w:rsid w:val="00B36FED"/>
    <w:rsid w:val="00B372A7"/>
    <w:rsid w:val="00B401BA"/>
    <w:rsid w:val="00B41C2A"/>
    <w:rsid w:val="00B41DEF"/>
    <w:rsid w:val="00B42579"/>
    <w:rsid w:val="00B42628"/>
    <w:rsid w:val="00B42DDC"/>
    <w:rsid w:val="00B42EEE"/>
    <w:rsid w:val="00B432C2"/>
    <w:rsid w:val="00B43C31"/>
    <w:rsid w:val="00B43D4E"/>
    <w:rsid w:val="00B44229"/>
    <w:rsid w:val="00B44C1A"/>
    <w:rsid w:val="00B4512C"/>
    <w:rsid w:val="00B46A15"/>
    <w:rsid w:val="00B47996"/>
    <w:rsid w:val="00B47A93"/>
    <w:rsid w:val="00B47B0A"/>
    <w:rsid w:val="00B47DA9"/>
    <w:rsid w:val="00B501E4"/>
    <w:rsid w:val="00B50426"/>
    <w:rsid w:val="00B508FE"/>
    <w:rsid w:val="00B509B1"/>
    <w:rsid w:val="00B50BFF"/>
    <w:rsid w:val="00B5114C"/>
    <w:rsid w:val="00B515D9"/>
    <w:rsid w:val="00B519F0"/>
    <w:rsid w:val="00B520DF"/>
    <w:rsid w:val="00B5245F"/>
    <w:rsid w:val="00B52838"/>
    <w:rsid w:val="00B52A26"/>
    <w:rsid w:val="00B5351B"/>
    <w:rsid w:val="00B537B0"/>
    <w:rsid w:val="00B5394F"/>
    <w:rsid w:val="00B54323"/>
    <w:rsid w:val="00B54EC0"/>
    <w:rsid w:val="00B556BA"/>
    <w:rsid w:val="00B557EF"/>
    <w:rsid w:val="00B55891"/>
    <w:rsid w:val="00B55897"/>
    <w:rsid w:val="00B5589A"/>
    <w:rsid w:val="00B55BF8"/>
    <w:rsid w:val="00B5644F"/>
    <w:rsid w:val="00B57283"/>
    <w:rsid w:val="00B57C72"/>
    <w:rsid w:val="00B604F9"/>
    <w:rsid w:val="00B60B6B"/>
    <w:rsid w:val="00B60C07"/>
    <w:rsid w:val="00B60C9F"/>
    <w:rsid w:val="00B612BE"/>
    <w:rsid w:val="00B612E3"/>
    <w:rsid w:val="00B61E5E"/>
    <w:rsid w:val="00B621CF"/>
    <w:rsid w:val="00B62582"/>
    <w:rsid w:val="00B625CE"/>
    <w:rsid w:val="00B63351"/>
    <w:rsid w:val="00B635CD"/>
    <w:rsid w:val="00B64284"/>
    <w:rsid w:val="00B64598"/>
    <w:rsid w:val="00B64B83"/>
    <w:rsid w:val="00B65256"/>
    <w:rsid w:val="00B65783"/>
    <w:rsid w:val="00B6675A"/>
    <w:rsid w:val="00B669EF"/>
    <w:rsid w:val="00B701E6"/>
    <w:rsid w:val="00B707D6"/>
    <w:rsid w:val="00B70F07"/>
    <w:rsid w:val="00B70F4A"/>
    <w:rsid w:val="00B710B5"/>
    <w:rsid w:val="00B71C05"/>
    <w:rsid w:val="00B71C80"/>
    <w:rsid w:val="00B720E8"/>
    <w:rsid w:val="00B72916"/>
    <w:rsid w:val="00B72CF6"/>
    <w:rsid w:val="00B73518"/>
    <w:rsid w:val="00B73B2F"/>
    <w:rsid w:val="00B742D4"/>
    <w:rsid w:val="00B7435A"/>
    <w:rsid w:val="00B74462"/>
    <w:rsid w:val="00B74FB9"/>
    <w:rsid w:val="00B75472"/>
    <w:rsid w:val="00B76509"/>
    <w:rsid w:val="00B76837"/>
    <w:rsid w:val="00B76CC1"/>
    <w:rsid w:val="00B77A2F"/>
    <w:rsid w:val="00B77D3A"/>
    <w:rsid w:val="00B77DB9"/>
    <w:rsid w:val="00B77E23"/>
    <w:rsid w:val="00B80108"/>
    <w:rsid w:val="00B80E48"/>
    <w:rsid w:val="00B8130A"/>
    <w:rsid w:val="00B813A0"/>
    <w:rsid w:val="00B81654"/>
    <w:rsid w:val="00B818BC"/>
    <w:rsid w:val="00B83223"/>
    <w:rsid w:val="00B84896"/>
    <w:rsid w:val="00B84A8B"/>
    <w:rsid w:val="00B861EB"/>
    <w:rsid w:val="00B869FB"/>
    <w:rsid w:val="00B907D7"/>
    <w:rsid w:val="00B90CAB"/>
    <w:rsid w:val="00B90D0F"/>
    <w:rsid w:val="00B91740"/>
    <w:rsid w:val="00B91B4D"/>
    <w:rsid w:val="00B921E1"/>
    <w:rsid w:val="00B92819"/>
    <w:rsid w:val="00B92D5B"/>
    <w:rsid w:val="00B95272"/>
    <w:rsid w:val="00B95A00"/>
    <w:rsid w:val="00B95A54"/>
    <w:rsid w:val="00B95A8D"/>
    <w:rsid w:val="00B95F91"/>
    <w:rsid w:val="00B96141"/>
    <w:rsid w:val="00B972B5"/>
    <w:rsid w:val="00B97DCA"/>
    <w:rsid w:val="00BA0190"/>
    <w:rsid w:val="00BA0266"/>
    <w:rsid w:val="00BA08BA"/>
    <w:rsid w:val="00BA0951"/>
    <w:rsid w:val="00BA16D2"/>
    <w:rsid w:val="00BA1785"/>
    <w:rsid w:val="00BA1EE6"/>
    <w:rsid w:val="00BA1F3C"/>
    <w:rsid w:val="00BA23B3"/>
    <w:rsid w:val="00BA26F0"/>
    <w:rsid w:val="00BA2B1B"/>
    <w:rsid w:val="00BA3069"/>
    <w:rsid w:val="00BA3164"/>
    <w:rsid w:val="00BA3B09"/>
    <w:rsid w:val="00BA3BC5"/>
    <w:rsid w:val="00BA42A8"/>
    <w:rsid w:val="00BA47A8"/>
    <w:rsid w:val="00BA4901"/>
    <w:rsid w:val="00BA4E17"/>
    <w:rsid w:val="00BA5224"/>
    <w:rsid w:val="00BA544E"/>
    <w:rsid w:val="00BA56B8"/>
    <w:rsid w:val="00BA5EF7"/>
    <w:rsid w:val="00BA62C2"/>
    <w:rsid w:val="00BA6DF3"/>
    <w:rsid w:val="00BA7012"/>
    <w:rsid w:val="00BA72D6"/>
    <w:rsid w:val="00BA74DF"/>
    <w:rsid w:val="00BA7E17"/>
    <w:rsid w:val="00BB03DB"/>
    <w:rsid w:val="00BB0AA6"/>
    <w:rsid w:val="00BB0DAB"/>
    <w:rsid w:val="00BB1045"/>
    <w:rsid w:val="00BB12B4"/>
    <w:rsid w:val="00BB16D5"/>
    <w:rsid w:val="00BB2006"/>
    <w:rsid w:val="00BB216A"/>
    <w:rsid w:val="00BB3B86"/>
    <w:rsid w:val="00BB43AA"/>
    <w:rsid w:val="00BB4648"/>
    <w:rsid w:val="00BB48E9"/>
    <w:rsid w:val="00BB4CD0"/>
    <w:rsid w:val="00BB66D7"/>
    <w:rsid w:val="00BB6E46"/>
    <w:rsid w:val="00BB74BF"/>
    <w:rsid w:val="00BC00DB"/>
    <w:rsid w:val="00BC022B"/>
    <w:rsid w:val="00BC058B"/>
    <w:rsid w:val="00BC08DD"/>
    <w:rsid w:val="00BC0985"/>
    <w:rsid w:val="00BC0A34"/>
    <w:rsid w:val="00BC0F05"/>
    <w:rsid w:val="00BC15F3"/>
    <w:rsid w:val="00BC22D2"/>
    <w:rsid w:val="00BC2AD7"/>
    <w:rsid w:val="00BC3595"/>
    <w:rsid w:val="00BC37CB"/>
    <w:rsid w:val="00BC3B46"/>
    <w:rsid w:val="00BC4396"/>
    <w:rsid w:val="00BC4546"/>
    <w:rsid w:val="00BC4BB2"/>
    <w:rsid w:val="00BC4E3E"/>
    <w:rsid w:val="00BC591A"/>
    <w:rsid w:val="00BC60CB"/>
    <w:rsid w:val="00BC63EE"/>
    <w:rsid w:val="00BC6A72"/>
    <w:rsid w:val="00BC6AF9"/>
    <w:rsid w:val="00BC7D02"/>
    <w:rsid w:val="00BD010C"/>
    <w:rsid w:val="00BD017E"/>
    <w:rsid w:val="00BD0F75"/>
    <w:rsid w:val="00BD11DA"/>
    <w:rsid w:val="00BD1211"/>
    <w:rsid w:val="00BD22A5"/>
    <w:rsid w:val="00BD25ED"/>
    <w:rsid w:val="00BD2A4E"/>
    <w:rsid w:val="00BD33B9"/>
    <w:rsid w:val="00BD3CFD"/>
    <w:rsid w:val="00BD400C"/>
    <w:rsid w:val="00BD43E0"/>
    <w:rsid w:val="00BD4B4D"/>
    <w:rsid w:val="00BD4DF4"/>
    <w:rsid w:val="00BD4EC8"/>
    <w:rsid w:val="00BD4F8C"/>
    <w:rsid w:val="00BD53B8"/>
    <w:rsid w:val="00BD5645"/>
    <w:rsid w:val="00BD57ED"/>
    <w:rsid w:val="00BD5814"/>
    <w:rsid w:val="00BD6D73"/>
    <w:rsid w:val="00BD6EED"/>
    <w:rsid w:val="00BD7429"/>
    <w:rsid w:val="00BD755D"/>
    <w:rsid w:val="00BD7DF3"/>
    <w:rsid w:val="00BE01AF"/>
    <w:rsid w:val="00BE0F81"/>
    <w:rsid w:val="00BE1E0F"/>
    <w:rsid w:val="00BE2051"/>
    <w:rsid w:val="00BE25D1"/>
    <w:rsid w:val="00BE262E"/>
    <w:rsid w:val="00BE3F88"/>
    <w:rsid w:val="00BE4037"/>
    <w:rsid w:val="00BE40A9"/>
    <w:rsid w:val="00BE4AE5"/>
    <w:rsid w:val="00BE4C06"/>
    <w:rsid w:val="00BE5536"/>
    <w:rsid w:val="00BE55DB"/>
    <w:rsid w:val="00BE5617"/>
    <w:rsid w:val="00BE5946"/>
    <w:rsid w:val="00BE5997"/>
    <w:rsid w:val="00BE5D1E"/>
    <w:rsid w:val="00BE5EE7"/>
    <w:rsid w:val="00BE624B"/>
    <w:rsid w:val="00BE65FE"/>
    <w:rsid w:val="00BE6747"/>
    <w:rsid w:val="00BE68C0"/>
    <w:rsid w:val="00BE6C3A"/>
    <w:rsid w:val="00BE71F4"/>
    <w:rsid w:val="00BE7A6E"/>
    <w:rsid w:val="00BE7EDE"/>
    <w:rsid w:val="00BF006D"/>
    <w:rsid w:val="00BF1447"/>
    <w:rsid w:val="00BF18D6"/>
    <w:rsid w:val="00BF19E5"/>
    <w:rsid w:val="00BF216F"/>
    <w:rsid w:val="00BF23A2"/>
    <w:rsid w:val="00BF300A"/>
    <w:rsid w:val="00BF318C"/>
    <w:rsid w:val="00BF32DD"/>
    <w:rsid w:val="00BF4D88"/>
    <w:rsid w:val="00BF50DF"/>
    <w:rsid w:val="00BF51AC"/>
    <w:rsid w:val="00BF51FE"/>
    <w:rsid w:val="00BF59D7"/>
    <w:rsid w:val="00BF5C9E"/>
    <w:rsid w:val="00BF63B4"/>
    <w:rsid w:val="00BF658A"/>
    <w:rsid w:val="00BF7389"/>
    <w:rsid w:val="00BF76C5"/>
    <w:rsid w:val="00BF7B94"/>
    <w:rsid w:val="00C0005D"/>
    <w:rsid w:val="00C0007C"/>
    <w:rsid w:val="00C001C6"/>
    <w:rsid w:val="00C00306"/>
    <w:rsid w:val="00C00315"/>
    <w:rsid w:val="00C00557"/>
    <w:rsid w:val="00C00748"/>
    <w:rsid w:val="00C00BDA"/>
    <w:rsid w:val="00C00E71"/>
    <w:rsid w:val="00C0106E"/>
    <w:rsid w:val="00C0128C"/>
    <w:rsid w:val="00C01537"/>
    <w:rsid w:val="00C0173D"/>
    <w:rsid w:val="00C017A0"/>
    <w:rsid w:val="00C0183B"/>
    <w:rsid w:val="00C018FE"/>
    <w:rsid w:val="00C022B4"/>
    <w:rsid w:val="00C027C2"/>
    <w:rsid w:val="00C02B5A"/>
    <w:rsid w:val="00C03378"/>
    <w:rsid w:val="00C03593"/>
    <w:rsid w:val="00C03975"/>
    <w:rsid w:val="00C03D00"/>
    <w:rsid w:val="00C03DD8"/>
    <w:rsid w:val="00C04017"/>
    <w:rsid w:val="00C04115"/>
    <w:rsid w:val="00C04DC6"/>
    <w:rsid w:val="00C0598F"/>
    <w:rsid w:val="00C0599C"/>
    <w:rsid w:val="00C05B76"/>
    <w:rsid w:val="00C05EB5"/>
    <w:rsid w:val="00C0640B"/>
    <w:rsid w:val="00C06619"/>
    <w:rsid w:val="00C06897"/>
    <w:rsid w:val="00C06943"/>
    <w:rsid w:val="00C06FC5"/>
    <w:rsid w:val="00C07395"/>
    <w:rsid w:val="00C07531"/>
    <w:rsid w:val="00C07B24"/>
    <w:rsid w:val="00C07C5B"/>
    <w:rsid w:val="00C10009"/>
    <w:rsid w:val="00C1051F"/>
    <w:rsid w:val="00C10ADD"/>
    <w:rsid w:val="00C10D04"/>
    <w:rsid w:val="00C11213"/>
    <w:rsid w:val="00C11235"/>
    <w:rsid w:val="00C1135E"/>
    <w:rsid w:val="00C11A30"/>
    <w:rsid w:val="00C121BB"/>
    <w:rsid w:val="00C1264A"/>
    <w:rsid w:val="00C1316B"/>
    <w:rsid w:val="00C140EA"/>
    <w:rsid w:val="00C15DE0"/>
    <w:rsid w:val="00C1606E"/>
    <w:rsid w:val="00C16B19"/>
    <w:rsid w:val="00C16C47"/>
    <w:rsid w:val="00C1741F"/>
    <w:rsid w:val="00C17FD9"/>
    <w:rsid w:val="00C205CA"/>
    <w:rsid w:val="00C206DF"/>
    <w:rsid w:val="00C20A77"/>
    <w:rsid w:val="00C20F97"/>
    <w:rsid w:val="00C21E1D"/>
    <w:rsid w:val="00C22138"/>
    <w:rsid w:val="00C22639"/>
    <w:rsid w:val="00C2308C"/>
    <w:rsid w:val="00C23841"/>
    <w:rsid w:val="00C23BA1"/>
    <w:rsid w:val="00C23D9D"/>
    <w:rsid w:val="00C24033"/>
    <w:rsid w:val="00C24B8A"/>
    <w:rsid w:val="00C253A2"/>
    <w:rsid w:val="00C25774"/>
    <w:rsid w:val="00C25EAE"/>
    <w:rsid w:val="00C266E6"/>
    <w:rsid w:val="00C267C7"/>
    <w:rsid w:val="00C26AAB"/>
    <w:rsid w:val="00C27303"/>
    <w:rsid w:val="00C302FA"/>
    <w:rsid w:val="00C30618"/>
    <w:rsid w:val="00C3073D"/>
    <w:rsid w:val="00C3179D"/>
    <w:rsid w:val="00C322EE"/>
    <w:rsid w:val="00C3231A"/>
    <w:rsid w:val="00C325B7"/>
    <w:rsid w:val="00C32947"/>
    <w:rsid w:val="00C33004"/>
    <w:rsid w:val="00C3369B"/>
    <w:rsid w:val="00C33A47"/>
    <w:rsid w:val="00C33FAA"/>
    <w:rsid w:val="00C34C97"/>
    <w:rsid w:val="00C35955"/>
    <w:rsid w:val="00C35B25"/>
    <w:rsid w:val="00C35E5E"/>
    <w:rsid w:val="00C3605D"/>
    <w:rsid w:val="00C36636"/>
    <w:rsid w:val="00C36D08"/>
    <w:rsid w:val="00C37365"/>
    <w:rsid w:val="00C37A6E"/>
    <w:rsid w:val="00C41443"/>
    <w:rsid w:val="00C41CCC"/>
    <w:rsid w:val="00C43486"/>
    <w:rsid w:val="00C43808"/>
    <w:rsid w:val="00C43D0E"/>
    <w:rsid w:val="00C43F72"/>
    <w:rsid w:val="00C441B3"/>
    <w:rsid w:val="00C44370"/>
    <w:rsid w:val="00C444E4"/>
    <w:rsid w:val="00C44781"/>
    <w:rsid w:val="00C45AE3"/>
    <w:rsid w:val="00C45B4D"/>
    <w:rsid w:val="00C45B7B"/>
    <w:rsid w:val="00C45B85"/>
    <w:rsid w:val="00C464CA"/>
    <w:rsid w:val="00C46600"/>
    <w:rsid w:val="00C47740"/>
    <w:rsid w:val="00C478AC"/>
    <w:rsid w:val="00C479CE"/>
    <w:rsid w:val="00C50318"/>
    <w:rsid w:val="00C50656"/>
    <w:rsid w:val="00C510DE"/>
    <w:rsid w:val="00C5144D"/>
    <w:rsid w:val="00C5195F"/>
    <w:rsid w:val="00C51CB8"/>
    <w:rsid w:val="00C523F3"/>
    <w:rsid w:val="00C526AC"/>
    <w:rsid w:val="00C52C75"/>
    <w:rsid w:val="00C53971"/>
    <w:rsid w:val="00C53BC7"/>
    <w:rsid w:val="00C547EE"/>
    <w:rsid w:val="00C55562"/>
    <w:rsid w:val="00C5556C"/>
    <w:rsid w:val="00C555F5"/>
    <w:rsid w:val="00C56184"/>
    <w:rsid w:val="00C56BAF"/>
    <w:rsid w:val="00C56FE2"/>
    <w:rsid w:val="00C57955"/>
    <w:rsid w:val="00C57A31"/>
    <w:rsid w:val="00C57F1C"/>
    <w:rsid w:val="00C61501"/>
    <w:rsid w:val="00C6176A"/>
    <w:rsid w:val="00C617F0"/>
    <w:rsid w:val="00C618ED"/>
    <w:rsid w:val="00C61911"/>
    <w:rsid w:val="00C62135"/>
    <w:rsid w:val="00C621AA"/>
    <w:rsid w:val="00C6313C"/>
    <w:rsid w:val="00C643B5"/>
    <w:rsid w:val="00C64636"/>
    <w:rsid w:val="00C64B6B"/>
    <w:rsid w:val="00C64C3F"/>
    <w:rsid w:val="00C6513E"/>
    <w:rsid w:val="00C66122"/>
    <w:rsid w:val="00C66162"/>
    <w:rsid w:val="00C664A3"/>
    <w:rsid w:val="00C66BDD"/>
    <w:rsid w:val="00C66E5B"/>
    <w:rsid w:val="00C66E9B"/>
    <w:rsid w:val="00C6716D"/>
    <w:rsid w:val="00C67562"/>
    <w:rsid w:val="00C67CF4"/>
    <w:rsid w:val="00C67DF5"/>
    <w:rsid w:val="00C70E12"/>
    <w:rsid w:val="00C71373"/>
    <w:rsid w:val="00C71B87"/>
    <w:rsid w:val="00C71DF5"/>
    <w:rsid w:val="00C725E2"/>
    <w:rsid w:val="00C72D31"/>
    <w:rsid w:val="00C733E7"/>
    <w:rsid w:val="00C73EAA"/>
    <w:rsid w:val="00C74575"/>
    <w:rsid w:val="00C74EB5"/>
    <w:rsid w:val="00C77257"/>
    <w:rsid w:val="00C808DA"/>
    <w:rsid w:val="00C80C9F"/>
    <w:rsid w:val="00C80D70"/>
    <w:rsid w:val="00C81431"/>
    <w:rsid w:val="00C8183A"/>
    <w:rsid w:val="00C81BDE"/>
    <w:rsid w:val="00C81BFB"/>
    <w:rsid w:val="00C81C06"/>
    <w:rsid w:val="00C82247"/>
    <w:rsid w:val="00C82F6B"/>
    <w:rsid w:val="00C835A8"/>
    <w:rsid w:val="00C836CA"/>
    <w:rsid w:val="00C839A1"/>
    <w:rsid w:val="00C83CEB"/>
    <w:rsid w:val="00C84464"/>
    <w:rsid w:val="00C844A8"/>
    <w:rsid w:val="00C84A6F"/>
    <w:rsid w:val="00C84B31"/>
    <w:rsid w:val="00C84D4D"/>
    <w:rsid w:val="00C84F14"/>
    <w:rsid w:val="00C84F19"/>
    <w:rsid w:val="00C856BE"/>
    <w:rsid w:val="00C8659B"/>
    <w:rsid w:val="00C86697"/>
    <w:rsid w:val="00C86C27"/>
    <w:rsid w:val="00C87170"/>
    <w:rsid w:val="00C87A30"/>
    <w:rsid w:val="00C87B6A"/>
    <w:rsid w:val="00C87B95"/>
    <w:rsid w:val="00C87FDF"/>
    <w:rsid w:val="00C90067"/>
    <w:rsid w:val="00C90E94"/>
    <w:rsid w:val="00C910AA"/>
    <w:rsid w:val="00C91198"/>
    <w:rsid w:val="00C91B51"/>
    <w:rsid w:val="00C91FCF"/>
    <w:rsid w:val="00C92BAF"/>
    <w:rsid w:val="00C92BFA"/>
    <w:rsid w:val="00C92FDB"/>
    <w:rsid w:val="00C930A0"/>
    <w:rsid w:val="00C931FF"/>
    <w:rsid w:val="00C93907"/>
    <w:rsid w:val="00C93D48"/>
    <w:rsid w:val="00C941DC"/>
    <w:rsid w:val="00C9442D"/>
    <w:rsid w:val="00C949C6"/>
    <w:rsid w:val="00C94CA1"/>
    <w:rsid w:val="00C95585"/>
    <w:rsid w:val="00C957F9"/>
    <w:rsid w:val="00C95D28"/>
    <w:rsid w:val="00C960DC"/>
    <w:rsid w:val="00C966D7"/>
    <w:rsid w:val="00C96B8F"/>
    <w:rsid w:val="00C97292"/>
    <w:rsid w:val="00C97907"/>
    <w:rsid w:val="00C97A28"/>
    <w:rsid w:val="00CA0C83"/>
    <w:rsid w:val="00CA0E23"/>
    <w:rsid w:val="00CA1C33"/>
    <w:rsid w:val="00CA2163"/>
    <w:rsid w:val="00CA2D5A"/>
    <w:rsid w:val="00CA32E9"/>
    <w:rsid w:val="00CA33ED"/>
    <w:rsid w:val="00CA36E1"/>
    <w:rsid w:val="00CA3766"/>
    <w:rsid w:val="00CA3DD4"/>
    <w:rsid w:val="00CA4080"/>
    <w:rsid w:val="00CA4645"/>
    <w:rsid w:val="00CA477B"/>
    <w:rsid w:val="00CA4D8D"/>
    <w:rsid w:val="00CA4E17"/>
    <w:rsid w:val="00CA5050"/>
    <w:rsid w:val="00CA54E8"/>
    <w:rsid w:val="00CA552B"/>
    <w:rsid w:val="00CA6888"/>
    <w:rsid w:val="00CA68CE"/>
    <w:rsid w:val="00CA6940"/>
    <w:rsid w:val="00CA6F21"/>
    <w:rsid w:val="00CA7000"/>
    <w:rsid w:val="00CA7291"/>
    <w:rsid w:val="00CA79CC"/>
    <w:rsid w:val="00CB014F"/>
    <w:rsid w:val="00CB0935"/>
    <w:rsid w:val="00CB09A1"/>
    <w:rsid w:val="00CB27AD"/>
    <w:rsid w:val="00CB27F0"/>
    <w:rsid w:val="00CB2D0B"/>
    <w:rsid w:val="00CB3938"/>
    <w:rsid w:val="00CB3EBA"/>
    <w:rsid w:val="00CB4EDC"/>
    <w:rsid w:val="00CB54A2"/>
    <w:rsid w:val="00CB587B"/>
    <w:rsid w:val="00CB5E70"/>
    <w:rsid w:val="00CB610F"/>
    <w:rsid w:val="00CB6573"/>
    <w:rsid w:val="00CB6E3E"/>
    <w:rsid w:val="00CB6E9A"/>
    <w:rsid w:val="00CB6FD5"/>
    <w:rsid w:val="00CB73D5"/>
    <w:rsid w:val="00CB7605"/>
    <w:rsid w:val="00CB7879"/>
    <w:rsid w:val="00CC08BA"/>
    <w:rsid w:val="00CC0E4C"/>
    <w:rsid w:val="00CC127A"/>
    <w:rsid w:val="00CC1353"/>
    <w:rsid w:val="00CC171E"/>
    <w:rsid w:val="00CC27BF"/>
    <w:rsid w:val="00CC2940"/>
    <w:rsid w:val="00CC2B68"/>
    <w:rsid w:val="00CC31C5"/>
    <w:rsid w:val="00CC3578"/>
    <w:rsid w:val="00CC4070"/>
    <w:rsid w:val="00CC487E"/>
    <w:rsid w:val="00CC4E02"/>
    <w:rsid w:val="00CC4EEB"/>
    <w:rsid w:val="00CC536B"/>
    <w:rsid w:val="00CC550B"/>
    <w:rsid w:val="00CC5923"/>
    <w:rsid w:val="00CC5937"/>
    <w:rsid w:val="00CC6069"/>
    <w:rsid w:val="00CC63C4"/>
    <w:rsid w:val="00CC647C"/>
    <w:rsid w:val="00CC65E7"/>
    <w:rsid w:val="00CC6B74"/>
    <w:rsid w:val="00CC72FB"/>
    <w:rsid w:val="00CC7489"/>
    <w:rsid w:val="00CD0005"/>
    <w:rsid w:val="00CD1A08"/>
    <w:rsid w:val="00CD264C"/>
    <w:rsid w:val="00CD2767"/>
    <w:rsid w:val="00CD29C9"/>
    <w:rsid w:val="00CD2D68"/>
    <w:rsid w:val="00CD2DEB"/>
    <w:rsid w:val="00CD3346"/>
    <w:rsid w:val="00CD4359"/>
    <w:rsid w:val="00CD4BEB"/>
    <w:rsid w:val="00CD5611"/>
    <w:rsid w:val="00CD62E9"/>
    <w:rsid w:val="00CD6308"/>
    <w:rsid w:val="00CD6409"/>
    <w:rsid w:val="00CD7247"/>
    <w:rsid w:val="00CD7F93"/>
    <w:rsid w:val="00CE170F"/>
    <w:rsid w:val="00CE1A7C"/>
    <w:rsid w:val="00CE20A3"/>
    <w:rsid w:val="00CE217F"/>
    <w:rsid w:val="00CE22F4"/>
    <w:rsid w:val="00CE2CD9"/>
    <w:rsid w:val="00CE2D5B"/>
    <w:rsid w:val="00CE2F31"/>
    <w:rsid w:val="00CE35B4"/>
    <w:rsid w:val="00CE375F"/>
    <w:rsid w:val="00CE3EFF"/>
    <w:rsid w:val="00CE4121"/>
    <w:rsid w:val="00CE44FA"/>
    <w:rsid w:val="00CE473E"/>
    <w:rsid w:val="00CE4E3B"/>
    <w:rsid w:val="00CE53DB"/>
    <w:rsid w:val="00CE549B"/>
    <w:rsid w:val="00CE5694"/>
    <w:rsid w:val="00CE6256"/>
    <w:rsid w:val="00CE6523"/>
    <w:rsid w:val="00CE6B13"/>
    <w:rsid w:val="00CE7B19"/>
    <w:rsid w:val="00CF04F9"/>
    <w:rsid w:val="00CF162E"/>
    <w:rsid w:val="00CF22BA"/>
    <w:rsid w:val="00CF2494"/>
    <w:rsid w:val="00CF2752"/>
    <w:rsid w:val="00CF2997"/>
    <w:rsid w:val="00CF2D1E"/>
    <w:rsid w:val="00CF2DBC"/>
    <w:rsid w:val="00CF2F36"/>
    <w:rsid w:val="00CF2F8A"/>
    <w:rsid w:val="00CF35C9"/>
    <w:rsid w:val="00CF3C1E"/>
    <w:rsid w:val="00CF3F1E"/>
    <w:rsid w:val="00CF4646"/>
    <w:rsid w:val="00CF46A8"/>
    <w:rsid w:val="00CF4D00"/>
    <w:rsid w:val="00CF5098"/>
    <w:rsid w:val="00CF5109"/>
    <w:rsid w:val="00CF58B5"/>
    <w:rsid w:val="00CF592B"/>
    <w:rsid w:val="00CF612D"/>
    <w:rsid w:val="00CF658C"/>
    <w:rsid w:val="00CF693B"/>
    <w:rsid w:val="00CF73E7"/>
    <w:rsid w:val="00CF7452"/>
    <w:rsid w:val="00CF7510"/>
    <w:rsid w:val="00D0051D"/>
    <w:rsid w:val="00D008B9"/>
    <w:rsid w:val="00D01433"/>
    <w:rsid w:val="00D019BA"/>
    <w:rsid w:val="00D01DA6"/>
    <w:rsid w:val="00D02145"/>
    <w:rsid w:val="00D023FD"/>
    <w:rsid w:val="00D0283D"/>
    <w:rsid w:val="00D02CC4"/>
    <w:rsid w:val="00D04DEA"/>
    <w:rsid w:val="00D056BD"/>
    <w:rsid w:val="00D05D62"/>
    <w:rsid w:val="00D061B6"/>
    <w:rsid w:val="00D068E1"/>
    <w:rsid w:val="00D0700C"/>
    <w:rsid w:val="00D112CF"/>
    <w:rsid w:val="00D112FA"/>
    <w:rsid w:val="00D1187C"/>
    <w:rsid w:val="00D11BA1"/>
    <w:rsid w:val="00D11E70"/>
    <w:rsid w:val="00D12587"/>
    <w:rsid w:val="00D128C3"/>
    <w:rsid w:val="00D13166"/>
    <w:rsid w:val="00D13BBC"/>
    <w:rsid w:val="00D13E53"/>
    <w:rsid w:val="00D1505D"/>
    <w:rsid w:val="00D1540D"/>
    <w:rsid w:val="00D15522"/>
    <w:rsid w:val="00D158C0"/>
    <w:rsid w:val="00D159C5"/>
    <w:rsid w:val="00D16557"/>
    <w:rsid w:val="00D1663D"/>
    <w:rsid w:val="00D16F40"/>
    <w:rsid w:val="00D16FD8"/>
    <w:rsid w:val="00D171E7"/>
    <w:rsid w:val="00D17D2D"/>
    <w:rsid w:val="00D20251"/>
    <w:rsid w:val="00D2041C"/>
    <w:rsid w:val="00D204B4"/>
    <w:rsid w:val="00D20531"/>
    <w:rsid w:val="00D2073C"/>
    <w:rsid w:val="00D20EE9"/>
    <w:rsid w:val="00D21A17"/>
    <w:rsid w:val="00D21A1D"/>
    <w:rsid w:val="00D2276D"/>
    <w:rsid w:val="00D23D71"/>
    <w:rsid w:val="00D24180"/>
    <w:rsid w:val="00D24EE1"/>
    <w:rsid w:val="00D2502D"/>
    <w:rsid w:val="00D2560F"/>
    <w:rsid w:val="00D25E43"/>
    <w:rsid w:val="00D260B9"/>
    <w:rsid w:val="00D26143"/>
    <w:rsid w:val="00D2717D"/>
    <w:rsid w:val="00D275A5"/>
    <w:rsid w:val="00D279F1"/>
    <w:rsid w:val="00D27AFF"/>
    <w:rsid w:val="00D27DC6"/>
    <w:rsid w:val="00D30098"/>
    <w:rsid w:val="00D30C3F"/>
    <w:rsid w:val="00D30DB8"/>
    <w:rsid w:val="00D317EE"/>
    <w:rsid w:val="00D318B6"/>
    <w:rsid w:val="00D32054"/>
    <w:rsid w:val="00D322D0"/>
    <w:rsid w:val="00D3260D"/>
    <w:rsid w:val="00D3290E"/>
    <w:rsid w:val="00D32925"/>
    <w:rsid w:val="00D32AA5"/>
    <w:rsid w:val="00D32EDB"/>
    <w:rsid w:val="00D32F1E"/>
    <w:rsid w:val="00D33A0E"/>
    <w:rsid w:val="00D33B69"/>
    <w:rsid w:val="00D33F9F"/>
    <w:rsid w:val="00D35191"/>
    <w:rsid w:val="00D355EB"/>
    <w:rsid w:val="00D35BDD"/>
    <w:rsid w:val="00D3633E"/>
    <w:rsid w:val="00D3694C"/>
    <w:rsid w:val="00D36EA4"/>
    <w:rsid w:val="00D36F56"/>
    <w:rsid w:val="00D37EA8"/>
    <w:rsid w:val="00D37F9C"/>
    <w:rsid w:val="00D4053B"/>
    <w:rsid w:val="00D407A2"/>
    <w:rsid w:val="00D40A6C"/>
    <w:rsid w:val="00D42405"/>
    <w:rsid w:val="00D425BF"/>
    <w:rsid w:val="00D42DAA"/>
    <w:rsid w:val="00D43211"/>
    <w:rsid w:val="00D4382C"/>
    <w:rsid w:val="00D43953"/>
    <w:rsid w:val="00D43DD5"/>
    <w:rsid w:val="00D44277"/>
    <w:rsid w:val="00D44D98"/>
    <w:rsid w:val="00D44F8E"/>
    <w:rsid w:val="00D450C6"/>
    <w:rsid w:val="00D4536F"/>
    <w:rsid w:val="00D457D6"/>
    <w:rsid w:val="00D45891"/>
    <w:rsid w:val="00D45893"/>
    <w:rsid w:val="00D46B43"/>
    <w:rsid w:val="00D46F8C"/>
    <w:rsid w:val="00D4767C"/>
    <w:rsid w:val="00D5013A"/>
    <w:rsid w:val="00D504CB"/>
    <w:rsid w:val="00D506AE"/>
    <w:rsid w:val="00D5094F"/>
    <w:rsid w:val="00D51696"/>
    <w:rsid w:val="00D5222A"/>
    <w:rsid w:val="00D52299"/>
    <w:rsid w:val="00D52CF7"/>
    <w:rsid w:val="00D52D20"/>
    <w:rsid w:val="00D52D35"/>
    <w:rsid w:val="00D53542"/>
    <w:rsid w:val="00D5396D"/>
    <w:rsid w:val="00D53FD4"/>
    <w:rsid w:val="00D54713"/>
    <w:rsid w:val="00D54B90"/>
    <w:rsid w:val="00D54EFF"/>
    <w:rsid w:val="00D552E7"/>
    <w:rsid w:val="00D558C9"/>
    <w:rsid w:val="00D55D11"/>
    <w:rsid w:val="00D56F1C"/>
    <w:rsid w:val="00D6012F"/>
    <w:rsid w:val="00D601B1"/>
    <w:rsid w:val="00D60277"/>
    <w:rsid w:val="00D6085E"/>
    <w:rsid w:val="00D60A9F"/>
    <w:rsid w:val="00D60C8B"/>
    <w:rsid w:val="00D6114F"/>
    <w:rsid w:val="00D612C4"/>
    <w:rsid w:val="00D616FF"/>
    <w:rsid w:val="00D622F2"/>
    <w:rsid w:val="00D624CE"/>
    <w:rsid w:val="00D62554"/>
    <w:rsid w:val="00D62F7E"/>
    <w:rsid w:val="00D63128"/>
    <w:rsid w:val="00D638E0"/>
    <w:rsid w:val="00D63CC4"/>
    <w:rsid w:val="00D63E3E"/>
    <w:rsid w:val="00D64304"/>
    <w:rsid w:val="00D64872"/>
    <w:rsid w:val="00D64A94"/>
    <w:rsid w:val="00D6515F"/>
    <w:rsid w:val="00D65927"/>
    <w:rsid w:val="00D66615"/>
    <w:rsid w:val="00D671FC"/>
    <w:rsid w:val="00D7035C"/>
    <w:rsid w:val="00D703D4"/>
    <w:rsid w:val="00D7102C"/>
    <w:rsid w:val="00D7161E"/>
    <w:rsid w:val="00D71913"/>
    <w:rsid w:val="00D71D5F"/>
    <w:rsid w:val="00D7267D"/>
    <w:rsid w:val="00D72DAC"/>
    <w:rsid w:val="00D73004"/>
    <w:rsid w:val="00D740CC"/>
    <w:rsid w:val="00D746ED"/>
    <w:rsid w:val="00D75297"/>
    <w:rsid w:val="00D7692B"/>
    <w:rsid w:val="00D76E12"/>
    <w:rsid w:val="00D7708F"/>
    <w:rsid w:val="00D771DD"/>
    <w:rsid w:val="00D77894"/>
    <w:rsid w:val="00D77BA0"/>
    <w:rsid w:val="00D77F11"/>
    <w:rsid w:val="00D80391"/>
    <w:rsid w:val="00D80C69"/>
    <w:rsid w:val="00D80EFA"/>
    <w:rsid w:val="00D812E5"/>
    <w:rsid w:val="00D81513"/>
    <w:rsid w:val="00D816C2"/>
    <w:rsid w:val="00D81AAD"/>
    <w:rsid w:val="00D81CC0"/>
    <w:rsid w:val="00D81F72"/>
    <w:rsid w:val="00D82283"/>
    <w:rsid w:val="00D82493"/>
    <w:rsid w:val="00D83006"/>
    <w:rsid w:val="00D832CC"/>
    <w:rsid w:val="00D8520B"/>
    <w:rsid w:val="00D85368"/>
    <w:rsid w:val="00D853EB"/>
    <w:rsid w:val="00D85D35"/>
    <w:rsid w:val="00D85F97"/>
    <w:rsid w:val="00D86384"/>
    <w:rsid w:val="00D865C5"/>
    <w:rsid w:val="00D86956"/>
    <w:rsid w:val="00D86A0F"/>
    <w:rsid w:val="00D86ACE"/>
    <w:rsid w:val="00D8703E"/>
    <w:rsid w:val="00D87101"/>
    <w:rsid w:val="00D8746C"/>
    <w:rsid w:val="00D911C9"/>
    <w:rsid w:val="00D91998"/>
    <w:rsid w:val="00D92D82"/>
    <w:rsid w:val="00D935AA"/>
    <w:rsid w:val="00D94456"/>
    <w:rsid w:val="00D94C75"/>
    <w:rsid w:val="00D95306"/>
    <w:rsid w:val="00D95C3E"/>
    <w:rsid w:val="00D95E7B"/>
    <w:rsid w:val="00D971C0"/>
    <w:rsid w:val="00D9752F"/>
    <w:rsid w:val="00D976FA"/>
    <w:rsid w:val="00D977DF"/>
    <w:rsid w:val="00D97CB6"/>
    <w:rsid w:val="00D97CCA"/>
    <w:rsid w:val="00DA021E"/>
    <w:rsid w:val="00DA0655"/>
    <w:rsid w:val="00DA1A73"/>
    <w:rsid w:val="00DA2273"/>
    <w:rsid w:val="00DA3DE3"/>
    <w:rsid w:val="00DA4153"/>
    <w:rsid w:val="00DA4755"/>
    <w:rsid w:val="00DA4B6E"/>
    <w:rsid w:val="00DA4C55"/>
    <w:rsid w:val="00DA4E29"/>
    <w:rsid w:val="00DA60F9"/>
    <w:rsid w:val="00DA7841"/>
    <w:rsid w:val="00DA7E74"/>
    <w:rsid w:val="00DB0093"/>
    <w:rsid w:val="00DB0503"/>
    <w:rsid w:val="00DB0BE3"/>
    <w:rsid w:val="00DB0E99"/>
    <w:rsid w:val="00DB1627"/>
    <w:rsid w:val="00DB242E"/>
    <w:rsid w:val="00DB2B90"/>
    <w:rsid w:val="00DB2BC6"/>
    <w:rsid w:val="00DB2EEF"/>
    <w:rsid w:val="00DB3523"/>
    <w:rsid w:val="00DB35DD"/>
    <w:rsid w:val="00DB3BF1"/>
    <w:rsid w:val="00DB3C39"/>
    <w:rsid w:val="00DB42E7"/>
    <w:rsid w:val="00DB4EDB"/>
    <w:rsid w:val="00DB50E8"/>
    <w:rsid w:val="00DB52A7"/>
    <w:rsid w:val="00DB53CB"/>
    <w:rsid w:val="00DB61DC"/>
    <w:rsid w:val="00DB6D70"/>
    <w:rsid w:val="00DB7E3B"/>
    <w:rsid w:val="00DC0448"/>
    <w:rsid w:val="00DC0B53"/>
    <w:rsid w:val="00DC0DF6"/>
    <w:rsid w:val="00DC1091"/>
    <w:rsid w:val="00DC1E7E"/>
    <w:rsid w:val="00DC28F0"/>
    <w:rsid w:val="00DC355E"/>
    <w:rsid w:val="00DC3957"/>
    <w:rsid w:val="00DC3B2E"/>
    <w:rsid w:val="00DC3F05"/>
    <w:rsid w:val="00DC3F5C"/>
    <w:rsid w:val="00DC454F"/>
    <w:rsid w:val="00DC4D29"/>
    <w:rsid w:val="00DC4DAF"/>
    <w:rsid w:val="00DC5559"/>
    <w:rsid w:val="00DC5743"/>
    <w:rsid w:val="00DC5EDD"/>
    <w:rsid w:val="00DC692F"/>
    <w:rsid w:val="00DC758D"/>
    <w:rsid w:val="00DC764A"/>
    <w:rsid w:val="00DC76C0"/>
    <w:rsid w:val="00DC7820"/>
    <w:rsid w:val="00DD00AF"/>
    <w:rsid w:val="00DD0939"/>
    <w:rsid w:val="00DD09D4"/>
    <w:rsid w:val="00DD11E2"/>
    <w:rsid w:val="00DD1B79"/>
    <w:rsid w:val="00DD1C81"/>
    <w:rsid w:val="00DD2574"/>
    <w:rsid w:val="00DD2743"/>
    <w:rsid w:val="00DD2A2D"/>
    <w:rsid w:val="00DD2A2F"/>
    <w:rsid w:val="00DD2D76"/>
    <w:rsid w:val="00DD32A1"/>
    <w:rsid w:val="00DD3A71"/>
    <w:rsid w:val="00DD4545"/>
    <w:rsid w:val="00DD46B4"/>
    <w:rsid w:val="00DD48D1"/>
    <w:rsid w:val="00DD4E29"/>
    <w:rsid w:val="00DD5770"/>
    <w:rsid w:val="00DD6481"/>
    <w:rsid w:val="00DD6E31"/>
    <w:rsid w:val="00DD75C8"/>
    <w:rsid w:val="00DD7D29"/>
    <w:rsid w:val="00DE01EF"/>
    <w:rsid w:val="00DE02CF"/>
    <w:rsid w:val="00DE053D"/>
    <w:rsid w:val="00DE0AF3"/>
    <w:rsid w:val="00DE251D"/>
    <w:rsid w:val="00DE338F"/>
    <w:rsid w:val="00DE34B6"/>
    <w:rsid w:val="00DE3DA6"/>
    <w:rsid w:val="00DE5267"/>
    <w:rsid w:val="00DE54F7"/>
    <w:rsid w:val="00DE6785"/>
    <w:rsid w:val="00DE6B3F"/>
    <w:rsid w:val="00DE6C5D"/>
    <w:rsid w:val="00DE78A7"/>
    <w:rsid w:val="00DE7AF7"/>
    <w:rsid w:val="00DF00F4"/>
    <w:rsid w:val="00DF056A"/>
    <w:rsid w:val="00DF18FA"/>
    <w:rsid w:val="00DF1FB1"/>
    <w:rsid w:val="00DF232F"/>
    <w:rsid w:val="00DF258A"/>
    <w:rsid w:val="00DF268B"/>
    <w:rsid w:val="00DF3427"/>
    <w:rsid w:val="00DF3498"/>
    <w:rsid w:val="00DF4D71"/>
    <w:rsid w:val="00DF672C"/>
    <w:rsid w:val="00DF681D"/>
    <w:rsid w:val="00DF6C2B"/>
    <w:rsid w:val="00DF6E4E"/>
    <w:rsid w:val="00DF7A41"/>
    <w:rsid w:val="00E007B8"/>
    <w:rsid w:val="00E00AFF"/>
    <w:rsid w:val="00E00EDB"/>
    <w:rsid w:val="00E00F0F"/>
    <w:rsid w:val="00E0185A"/>
    <w:rsid w:val="00E018F9"/>
    <w:rsid w:val="00E01CEE"/>
    <w:rsid w:val="00E01D88"/>
    <w:rsid w:val="00E01E50"/>
    <w:rsid w:val="00E01F4A"/>
    <w:rsid w:val="00E01F9A"/>
    <w:rsid w:val="00E0222E"/>
    <w:rsid w:val="00E022AF"/>
    <w:rsid w:val="00E02AA1"/>
    <w:rsid w:val="00E02E04"/>
    <w:rsid w:val="00E030DF"/>
    <w:rsid w:val="00E038DE"/>
    <w:rsid w:val="00E03EE2"/>
    <w:rsid w:val="00E0430D"/>
    <w:rsid w:val="00E04D75"/>
    <w:rsid w:val="00E05349"/>
    <w:rsid w:val="00E05B4A"/>
    <w:rsid w:val="00E063C0"/>
    <w:rsid w:val="00E06794"/>
    <w:rsid w:val="00E06CD4"/>
    <w:rsid w:val="00E07518"/>
    <w:rsid w:val="00E076AE"/>
    <w:rsid w:val="00E0798F"/>
    <w:rsid w:val="00E07BC3"/>
    <w:rsid w:val="00E07CC7"/>
    <w:rsid w:val="00E104DE"/>
    <w:rsid w:val="00E1068F"/>
    <w:rsid w:val="00E10B45"/>
    <w:rsid w:val="00E10BF1"/>
    <w:rsid w:val="00E1124E"/>
    <w:rsid w:val="00E11486"/>
    <w:rsid w:val="00E115AA"/>
    <w:rsid w:val="00E119C6"/>
    <w:rsid w:val="00E12493"/>
    <w:rsid w:val="00E12844"/>
    <w:rsid w:val="00E12B08"/>
    <w:rsid w:val="00E12C82"/>
    <w:rsid w:val="00E14537"/>
    <w:rsid w:val="00E148F9"/>
    <w:rsid w:val="00E14BC7"/>
    <w:rsid w:val="00E14CD0"/>
    <w:rsid w:val="00E14D8F"/>
    <w:rsid w:val="00E14FE2"/>
    <w:rsid w:val="00E15102"/>
    <w:rsid w:val="00E15E8C"/>
    <w:rsid w:val="00E16383"/>
    <w:rsid w:val="00E16891"/>
    <w:rsid w:val="00E16C04"/>
    <w:rsid w:val="00E16C48"/>
    <w:rsid w:val="00E16F6B"/>
    <w:rsid w:val="00E17006"/>
    <w:rsid w:val="00E1732B"/>
    <w:rsid w:val="00E17338"/>
    <w:rsid w:val="00E20A53"/>
    <w:rsid w:val="00E20F79"/>
    <w:rsid w:val="00E21531"/>
    <w:rsid w:val="00E21B11"/>
    <w:rsid w:val="00E21CF2"/>
    <w:rsid w:val="00E21D40"/>
    <w:rsid w:val="00E222BD"/>
    <w:rsid w:val="00E22DE1"/>
    <w:rsid w:val="00E2399D"/>
    <w:rsid w:val="00E25A15"/>
    <w:rsid w:val="00E25F7E"/>
    <w:rsid w:val="00E2662E"/>
    <w:rsid w:val="00E271C9"/>
    <w:rsid w:val="00E27255"/>
    <w:rsid w:val="00E27559"/>
    <w:rsid w:val="00E3024D"/>
    <w:rsid w:val="00E30517"/>
    <w:rsid w:val="00E3111B"/>
    <w:rsid w:val="00E313E4"/>
    <w:rsid w:val="00E31CDD"/>
    <w:rsid w:val="00E31D6A"/>
    <w:rsid w:val="00E32125"/>
    <w:rsid w:val="00E3230B"/>
    <w:rsid w:val="00E32326"/>
    <w:rsid w:val="00E323F6"/>
    <w:rsid w:val="00E3302D"/>
    <w:rsid w:val="00E33729"/>
    <w:rsid w:val="00E33CFB"/>
    <w:rsid w:val="00E34115"/>
    <w:rsid w:val="00E3425A"/>
    <w:rsid w:val="00E35008"/>
    <w:rsid w:val="00E35162"/>
    <w:rsid w:val="00E353F1"/>
    <w:rsid w:val="00E3553A"/>
    <w:rsid w:val="00E3570F"/>
    <w:rsid w:val="00E35EA3"/>
    <w:rsid w:val="00E360F2"/>
    <w:rsid w:val="00E367ED"/>
    <w:rsid w:val="00E367FC"/>
    <w:rsid w:val="00E36AF7"/>
    <w:rsid w:val="00E36D4C"/>
    <w:rsid w:val="00E36F71"/>
    <w:rsid w:val="00E370A4"/>
    <w:rsid w:val="00E373FD"/>
    <w:rsid w:val="00E37515"/>
    <w:rsid w:val="00E377F6"/>
    <w:rsid w:val="00E403D0"/>
    <w:rsid w:val="00E40797"/>
    <w:rsid w:val="00E41105"/>
    <w:rsid w:val="00E4140B"/>
    <w:rsid w:val="00E418E0"/>
    <w:rsid w:val="00E41933"/>
    <w:rsid w:val="00E41FC6"/>
    <w:rsid w:val="00E421A8"/>
    <w:rsid w:val="00E4288A"/>
    <w:rsid w:val="00E42A36"/>
    <w:rsid w:val="00E42BAD"/>
    <w:rsid w:val="00E42E84"/>
    <w:rsid w:val="00E43054"/>
    <w:rsid w:val="00E43271"/>
    <w:rsid w:val="00E433D0"/>
    <w:rsid w:val="00E435FD"/>
    <w:rsid w:val="00E43633"/>
    <w:rsid w:val="00E43E88"/>
    <w:rsid w:val="00E4481C"/>
    <w:rsid w:val="00E45089"/>
    <w:rsid w:val="00E450A0"/>
    <w:rsid w:val="00E450FB"/>
    <w:rsid w:val="00E4534F"/>
    <w:rsid w:val="00E4552C"/>
    <w:rsid w:val="00E4638C"/>
    <w:rsid w:val="00E46D5D"/>
    <w:rsid w:val="00E47138"/>
    <w:rsid w:val="00E47361"/>
    <w:rsid w:val="00E47791"/>
    <w:rsid w:val="00E477C5"/>
    <w:rsid w:val="00E50330"/>
    <w:rsid w:val="00E50A0E"/>
    <w:rsid w:val="00E514C8"/>
    <w:rsid w:val="00E51911"/>
    <w:rsid w:val="00E5196B"/>
    <w:rsid w:val="00E51BA7"/>
    <w:rsid w:val="00E520B1"/>
    <w:rsid w:val="00E52D42"/>
    <w:rsid w:val="00E5334A"/>
    <w:rsid w:val="00E534AE"/>
    <w:rsid w:val="00E53ECB"/>
    <w:rsid w:val="00E53FA1"/>
    <w:rsid w:val="00E547B8"/>
    <w:rsid w:val="00E54D01"/>
    <w:rsid w:val="00E54E6C"/>
    <w:rsid w:val="00E555A4"/>
    <w:rsid w:val="00E56362"/>
    <w:rsid w:val="00E5719B"/>
    <w:rsid w:val="00E57200"/>
    <w:rsid w:val="00E572DC"/>
    <w:rsid w:val="00E57566"/>
    <w:rsid w:val="00E57E9A"/>
    <w:rsid w:val="00E603B1"/>
    <w:rsid w:val="00E60EB8"/>
    <w:rsid w:val="00E60FCA"/>
    <w:rsid w:val="00E61010"/>
    <w:rsid w:val="00E62272"/>
    <w:rsid w:val="00E62509"/>
    <w:rsid w:val="00E632CB"/>
    <w:rsid w:val="00E63AFA"/>
    <w:rsid w:val="00E646B2"/>
    <w:rsid w:val="00E64CA0"/>
    <w:rsid w:val="00E64E97"/>
    <w:rsid w:val="00E65B19"/>
    <w:rsid w:val="00E65F4D"/>
    <w:rsid w:val="00E65FBB"/>
    <w:rsid w:val="00E6632F"/>
    <w:rsid w:val="00E669E1"/>
    <w:rsid w:val="00E6716B"/>
    <w:rsid w:val="00E67212"/>
    <w:rsid w:val="00E674EE"/>
    <w:rsid w:val="00E70154"/>
    <w:rsid w:val="00E70717"/>
    <w:rsid w:val="00E70AB5"/>
    <w:rsid w:val="00E70E3B"/>
    <w:rsid w:val="00E7198D"/>
    <w:rsid w:val="00E72D9F"/>
    <w:rsid w:val="00E73207"/>
    <w:rsid w:val="00E73818"/>
    <w:rsid w:val="00E74348"/>
    <w:rsid w:val="00E74601"/>
    <w:rsid w:val="00E74922"/>
    <w:rsid w:val="00E74977"/>
    <w:rsid w:val="00E74EA0"/>
    <w:rsid w:val="00E757D5"/>
    <w:rsid w:val="00E762B7"/>
    <w:rsid w:val="00E76A85"/>
    <w:rsid w:val="00E76C0E"/>
    <w:rsid w:val="00E76D8C"/>
    <w:rsid w:val="00E7725D"/>
    <w:rsid w:val="00E773AA"/>
    <w:rsid w:val="00E77536"/>
    <w:rsid w:val="00E7765B"/>
    <w:rsid w:val="00E77C20"/>
    <w:rsid w:val="00E8041A"/>
    <w:rsid w:val="00E8070A"/>
    <w:rsid w:val="00E80A0F"/>
    <w:rsid w:val="00E80FC4"/>
    <w:rsid w:val="00E8131A"/>
    <w:rsid w:val="00E81977"/>
    <w:rsid w:val="00E82802"/>
    <w:rsid w:val="00E83A91"/>
    <w:rsid w:val="00E83CC5"/>
    <w:rsid w:val="00E842E5"/>
    <w:rsid w:val="00E84B13"/>
    <w:rsid w:val="00E854E9"/>
    <w:rsid w:val="00E856C4"/>
    <w:rsid w:val="00E85713"/>
    <w:rsid w:val="00E85B39"/>
    <w:rsid w:val="00E86015"/>
    <w:rsid w:val="00E86147"/>
    <w:rsid w:val="00E86395"/>
    <w:rsid w:val="00E865D2"/>
    <w:rsid w:val="00E8661F"/>
    <w:rsid w:val="00E869D7"/>
    <w:rsid w:val="00E86DDB"/>
    <w:rsid w:val="00E87866"/>
    <w:rsid w:val="00E87E29"/>
    <w:rsid w:val="00E9016C"/>
    <w:rsid w:val="00E906A5"/>
    <w:rsid w:val="00E9098F"/>
    <w:rsid w:val="00E90A8A"/>
    <w:rsid w:val="00E90BB6"/>
    <w:rsid w:val="00E91187"/>
    <w:rsid w:val="00E914FC"/>
    <w:rsid w:val="00E91F35"/>
    <w:rsid w:val="00E92210"/>
    <w:rsid w:val="00E92394"/>
    <w:rsid w:val="00E9316C"/>
    <w:rsid w:val="00E9357E"/>
    <w:rsid w:val="00E94160"/>
    <w:rsid w:val="00E94375"/>
    <w:rsid w:val="00E946A7"/>
    <w:rsid w:val="00E94B54"/>
    <w:rsid w:val="00E94DCA"/>
    <w:rsid w:val="00E9518F"/>
    <w:rsid w:val="00E95428"/>
    <w:rsid w:val="00E95A44"/>
    <w:rsid w:val="00E968BD"/>
    <w:rsid w:val="00E96944"/>
    <w:rsid w:val="00E9755E"/>
    <w:rsid w:val="00E97613"/>
    <w:rsid w:val="00E97874"/>
    <w:rsid w:val="00E97954"/>
    <w:rsid w:val="00E97AD2"/>
    <w:rsid w:val="00EA004C"/>
    <w:rsid w:val="00EA0131"/>
    <w:rsid w:val="00EA05BD"/>
    <w:rsid w:val="00EA0A96"/>
    <w:rsid w:val="00EA0D37"/>
    <w:rsid w:val="00EA0D5D"/>
    <w:rsid w:val="00EA1A29"/>
    <w:rsid w:val="00EA1E75"/>
    <w:rsid w:val="00EA1FCB"/>
    <w:rsid w:val="00EA2D7D"/>
    <w:rsid w:val="00EA3633"/>
    <w:rsid w:val="00EA373D"/>
    <w:rsid w:val="00EA3790"/>
    <w:rsid w:val="00EA46A6"/>
    <w:rsid w:val="00EA482D"/>
    <w:rsid w:val="00EA4B4F"/>
    <w:rsid w:val="00EA4DBC"/>
    <w:rsid w:val="00EA5CB4"/>
    <w:rsid w:val="00EA61C4"/>
    <w:rsid w:val="00EA639D"/>
    <w:rsid w:val="00EA6AB8"/>
    <w:rsid w:val="00EA6C93"/>
    <w:rsid w:val="00EA7A27"/>
    <w:rsid w:val="00EA7DC7"/>
    <w:rsid w:val="00EA7E76"/>
    <w:rsid w:val="00EB02FB"/>
    <w:rsid w:val="00EB1B6C"/>
    <w:rsid w:val="00EB28B0"/>
    <w:rsid w:val="00EB2B5A"/>
    <w:rsid w:val="00EB2FA6"/>
    <w:rsid w:val="00EB3906"/>
    <w:rsid w:val="00EB4394"/>
    <w:rsid w:val="00EB4CE4"/>
    <w:rsid w:val="00EB500A"/>
    <w:rsid w:val="00EB52C1"/>
    <w:rsid w:val="00EB57BC"/>
    <w:rsid w:val="00EB580C"/>
    <w:rsid w:val="00EB5E8D"/>
    <w:rsid w:val="00EB60E3"/>
    <w:rsid w:val="00EB6B28"/>
    <w:rsid w:val="00EB7D38"/>
    <w:rsid w:val="00EB7DFF"/>
    <w:rsid w:val="00EC13E7"/>
    <w:rsid w:val="00EC2552"/>
    <w:rsid w:val="00EC2BD9"/>
    <w:rsid w:val="00EC3179"/>
    <w:rsid w:val="00EC462D"/>
    <w:rsid w:val="00EC4A50"/>
    <w:rsid w:val="00EC4B44"/>
    <w:rsid w:val="00EC55D3"/>
    <w:rsid w:val="00EC5BF9"/>
    <w:rsid w:val="00EC64F9"/>
    <w:rsid w:val="00EC656A"/>
    <w:rsid w:val="00EC6A9B"/>
    <w:rsid w:val="00EC6B86"/>
    <w:rsid w:val="00EC6F2B"/>
    <w:rsid w:val="00EC71D3"/>
    <w:rsid w:val="00EC71F7"/>
    <w:rsid w:val="00EC7DE4"/>
    <w:rsid w:val="00ED04C4"/>
    <w:rsid w:val="00ED0558"/>
    <w:rsid w:val="00ED0672"/>
    <w:rsid w:val="00ED0D4F"/>
    <w:rsid w:val="00ED0D59"/>
    <w:rsid w:val="00ED1281"/>
    <w:rsid w:val="00ED16B5"/>
    <w:rsid w:val="00ED1812"/>
    <w:rsid w:val="00ED1923"/>
    <w:rsid w:val="00ED221D"/>
    <w:rsid w:val="00ED22F6"/>
    <w:rsid w:val="00ED2796"/>
    <w:rsid w:val="00ED3D24"/>
    <w:rsid w:val="00ED3E36"/>
    <w:rsid w:val="00ED504C"/>
    <w:rsid w:val="00ED5612"/>
    <w:rsid w:val="00ED5E4D"/>
    <w:rsid w:val="00ED5FDF"/>
    <w:rsid w:val="00ED6405"/>
    <w:rsid w:val="00ED6AA7"/>
    <w:rsid w:val="00ED70C6"/>
    <w:rsid w:val="00ED73C6"/>
    <w:rsid w:val="00ED7475"/>
    <w:rsid w:val="00ED79C4"/>
    <w:rsid w:val="00ED7E23"/>
    <w:rsid w:val="00ED7E74"/>
    <w:rsid w:val="00EE04AA"/>
    <w:rsid w:val="00EE0D3A"/>
    <w:rsid w:val="00EE1DD3"/>
    <w:rsid w:val="00EE2275"/>
    <w:rsid w:val="00EE2538"/>
    <w:rsid w:val="00EE3529"/>
    <w:rsid w:val="00EE3AE8"/>
    <w:rsid w:val="00EE437A"/>
    <w:rsid w:val="00EE43A4"/>
    <w:rsid w:val="00EE4B99"/>
    <w:rsid w:val="00EE512C"/>
    <w:rsid w:val="00EE52B6"/>
    <w:rsid w:val="00EE5757"/>
    <w:rsid w:val="00EE5BEE"/>
    <w:rsid w:val="00EE6402"/>
    <w:rsid w:val="00EE6417"/>
    <w:rsid w:val="00EE6853"/>
    <w:rsid w:val="00EE6978"/>
    <w:rsid w:val="00EE7936"/>
    <w:rsid w:val="00EE7A6D"/>
    <w:rsid w:val="00EE7CBB"/>
    <w:rsid w:val="00EF068E"/>
    <w:rsid w:val="00EF0936"/>
    <w:rsid w:val="00EF127C"/>
    <w:rsid w:val="00EF1B29"/>
    <w:rsid w:val="00EF2AA4"/>
    <w:rsid w:val="00EF3188"/>
    <w:rsid w:val="00EF3AB2"/>
    <w:rsid w:val="00EF3D4B"/>
    <w:rsid w:val="00EF48A0"/>
    <w:rsid w:val="00EF4D43"/>
    <w:rsid w:val="00EF5103"/>
    <w:rsid w:val="00EF5177"/>
    <w:rsid w:val="00EF6140"/>
    <w:rsid w:val="00EF7F96"/>
    <w:rsid w:val="00EF7FD1"/>
    <w:rsid w:val="00F00A0B"/>
    <w:rsid w:val="00F00DC4"/>
    <w:rsid w:val="00F01559"/>
    <w:rsid w:val="00F025BF"/>
    <w:rsid w:val="00F026EA"/>
    <w:rsid w:val="00F03374"/>
    <w:rsid w:val="00F03BBF"/>
    <w:rsid w:val="00F03CA8"/>
    <w:rsid w:val="00F03DDD"/>
    <w:rsid w:val="00F03FD7"/>
    <w:rsid w:val="00F0555E"/>
    <w:rsid w:val="00F06248"/>
    <w:rsid w:val="00F063D8"/>
    <w:rsid w:val="00F06BE1"/>
    <w:rsid w:val="00F06DC4"/>
    <w:rsid w:val="00F071B6"/>
    <w:rsid w:val="00F07219"/>
    <w:rsid w:val="00F076F1"/>
    <w:rsid w:val="00F07BE0"/>
    <w:rsid w:val="00F07E5A"/>
    <w:rsid w:val="00F100F3"/>
    <w:rsid w:val="00F1019F"/>
    <w:rsid w:val="00F102BB"/>
    <w:rsid w:val="00F104F6"/>
    <w:rsid w:val="00F10E24"/>
    <w:rsid w:val="00F10EF3"/>
    <w:rsid w:val="00F11325"/>
    <w:rsid w:val="00F11573"/>
    <w:rsid w:val="00F115F3"/>
    <w:rsid w:val="00F11799"/>
    <w:rsid w:val="00F1181A"/>
    <w:rsid w:val="00F11B43"/>
    <w:rsid w:val="00F11EC6"/>
    <w:rsid w:val="00F12119"/>
    <w:rsid w:val="00F1251B"/>
    <w:rsid w:val="00F1253D"/>
    <w:rsid w:val="00F12785"/>
    <w:rsid w:val="00F12995"/>
    <w:rsid w:val="00F12C0E"/>
    <w:rsid w:val="00F13D2E"/>
    <w:rsid w:val="00F14DA7"/>
    <w:rsid w:val="00F152C3"/>
    <w:rsid w:val="00F15A90"/>
    <w:rsid w:val="00F15BCB"/>
    <w:rsid w:val="00F15C89"/>
    <w:rsid w:val="00F15D86"/>
    <w:rsid w:val="00F15E35"/>
    <w:rsid w:val="00F16638"/>
    <w:rsid w:val="00F16A19"/>
    <w:rsid w:val="00F16C04"/>
    <w:rsid w:val="00F16E7E"/>
    <w:rsid w:val="00F16EBF"/>
    <w:rsid w:val="00F17285"/>
    <w:rsid w:val="00F17446"/>
    <w:rsid w:val="00F17E0D"/>
    <w:rsid w:val="00F20182"/>
    <w:rsid w:val="00F2073E"/>
    <w:rsid w:val="00F2089B"/>
    <w:rsid w:val="00F20917"/>
    <w:rsid w:val="00F20B43"/>
    <w:rsid w:val="00F213F7"/>
    <w:rsid w:val="00F21606"/>
    <w:rsid w:val="00F21820"/>
    <w:rsid w:val="00F21A40"/>
    <w:rsid w:val="00F21AD3"/>
    <w:rsid w:val="00F21EBA"/>
    <w:rsid w:val="00F223AB"/>
    <w:rsid w:val="00F22F6A"/>
    <w:rsid w:val="00F231F8"/>
    <w:rsid w:val="00F2332F"/>
    <w:rsid w:val="00F23B9F"/>
    <w:rsid w:val="00F23EE8"/>
    <w:rsid w:val="00F240C5"/>
    <w:rsid w:val="00F246AE"/>
    <w:rsid w:val="00F248C0"/>
    <w:rsid w:val="00F24CCD"/>
    <w:rsid w:val="00F256EF"/>
    <w:rsid w:val="00F2590E"/>
    <w:rsid w:val="00F25A6B"/>
    <w:rsid w:val="00F25BBF"/>
    <w:rsid w:val="00F261AE"/>
    <w:rsid w:val="00F26670"/>
    <w:rsid w:val="00F301FF"/>
    <w:rsid w:val="00F305FE"/>
    <w:rsid w:val="00F30770"/>
    <w:rsid w:val="00F30B36"/>
    <w:rsid w:val="00F30CAB"/>
    <w:rsid w:val="00F30CD7"/>
    <w:rsid w:val="00F30FE0"/>
    <w:rsid w:val="00F3188A"/>
    <w:rsid w:val="00F31F79"/>
    <w:rsid w:val="00F31FC3"/>
    <w:rsid w:val="00F3254E"/>
    <w:rsid w:val="00F326A1"/>
    <w:rsid w:val="00F3334D"/>
    <w:rsid w:val="00F344D3"/>
    <w:rsid w:val="00F353BA"/>
    <w:rsid w:val="00F35455"/>
    <w:rsid w:val="00F355F1"/>
    <w:rsid w:val="00F3566B"/>
    <w:rsid w:val="00F35725"/>
    <w:rsid w:val="00F35D25"/>
    <w:rsid w:val="00F35F44"/>
    <w:rsid w:val="00F35FF9"/>
    <w:rsid w:val="00F3636B"/>
    <w:rsid w:val="00F369D8"/>
    <w:rsid w:val="00F37366"/>
    <w:rsid w:val="00F378D1"/>
    <w:rsid w:val="00F4047A"/>
    <w:rsid w:val="00F40FC2"/>
    <w:rsid w:val="00F41A77"/>
    <w:rsid w:val="00F41EB3"/>
    <w:rsid w:val="00F426BE"/>
    <w:rsid w:val="00F4288B"/>
    <w:rsid w:val="00F42B5B"/>
    <w:rsid w:val="00F42FF2"/>
    <w:rsid w:val="00F432C7"/>
    <w:rsid w:val="00F43BDD"/>
    <w:rsid w:val="00F44363"/>
    <w:rsid w:val="00F4548C"/>
    <w:rsid w:val="00F46168"/>
    <w:rsid w:val="00F46A86"/>
    <w:rsid w:val="00F46C9A"/>
    <w:rsid w:val="00F46FE7"/>
    <w:rsid w:val="00F474A1"/>
    <w:rsid w:val="00F4757D"/>
    <w:rsid w:val="00F476BA"/>
    <w:rsid w:val="00F47705"/>
    <w:rsid w:val="00F479F5"/>
    <w:rsid w:val="00F47BB1"/>
    <w:rsid w:val="00F47EA2"/>
    <w:rsid w:val="00F501BA"/>
    <w:rsid w:val="00F501F9"/>
    <w:rsid w:val="00F507E4"/>
    <w:rsid w:val="00F50D8D"/>
    <w:rsid w:val="00F5157F"/>
    <w:rsid w:val="00F52383"/>
    <w:rsid w:val="00F524B5"/>
    <w:rsid w:val="00F5267A"/>
    <w:rsid w:val="00F52B3C"/>
    <w:rsid w:val="00F52BFB"/>
    <w:rsid w:val="00F52D9F"/>
    <w:rsid w:val="00F534CA"/>
    <w:rsid w:val="00F53AE0"/>
    <w:rsid w:val="00F54299"/>
    <w:rsid w:val="00F54EB5"/>
    <w:rsid w:val="00F55337"/>
    <w:rsid w:val="00F555A6"/>
    <w:rsid w:val="00F560A1"/>
    <w:rsid w:val="00F56119"/>
    <w:rsid w:val="00F5693E"/>
    <w:rsid w:val="00F56C31"/>
    <w:rsid w:val="00F56E74"/>
    <w:rsid w:val="00F57207"/>
    <w:rsid w:val="00F6012B"/>
    <w:rsid w:val="00F60837"/>
    <w:rsid w:val="00F60F69"/>
    <w:rsid w:val="00F61215"/>
    <w:rsid w:val="00F612E4"/>
    <w:rsid w:val="00F61711"/>
    <w:rsid w:val="00F62FC5"/>
    <w:rsid w:val="00F631F0"/>
    <w:rsid w:val="00F6330E"/>
    <w:rsid w:val="00F63A6F"/>
    <w:rsid w:val="00F63DB9"/>
    <w:rsid w:val="00F63E5F"/>
    <w:rsid w:val="00F64D56"/>
    <w:rsid w:val="00F656B4"/>
    <w:rsid w:val="00F659E0"/>
    <w:rsid w:val="00F65DEE"/>
    <w:rsid w:val="00F6652E"/>
    <w:rsid w:val="00F66725"/>
    <w:rsid w:val="00F67392"/>
    <w:rsid w:val="00F678CE"/>
    <w:rsid w:val="00F67933"/>
    <w:rsid w:val="00F70064"/>
    <w:rsid w:val="00F700E1"/>
    <w:rsid w:val="00F70B93"/>
    <w:rsid w:val="00F70C59"/>
    <w:rsid w:val="00F713F3"/>
    <w:rsid w:val="00F71689"/>
    <w:rsid w:val="00F721B8"/>
    <w:rsid w:val="00F72830"/>
    <w:rsid w:val="00F72C1D"/>
    <w:rsid w:val="00F72C33"/>
    <w:rsid w:val="00F730EF"/>
    <w:rsid w:val="00F73143"/>
    <w:rsid w:val="00F73C1D"/>
    <w:rsid w:val="00F74E01"/>
    <w:rsid w:val="00F75138"/>
    <w:rsid w:val="00F76134"/>
    <w:rsid w:val="00F769E0"/>
    <w:rsid w:val="00F80670"/>
    <w:rsid w:val="00F8094C"/>
    <w:rsid w:val="00F80A4E"/>
    <w:rsid w:val="00F80AB8"/>
    <w:rsid w:val="00F80CD5"/>
    <w:rsid w:val="00F80E7B"/>
    <w:rsid w:val="00F8116A"/>
    <w:rsid w:val="00F8151B"/>
    <w:rsid w:val="00F81CA9"/>
    <w:rsid w:val="00F81EB5"/>
    <w:rsid w:val="00F8201F"/>
    <w:rsid w:val="00F827E1"/>
    <w:rsid w:val="00F83791"/>
    <w:rsid w:val="00F84286"/>
    <w:rsid w:val="00F849B0"/>
    <w:rsid w:val="00F849F6"/>
    <w:rsid w:val="00F84B7B"/>
    <w:rsid w:val="00F85B84"/>
    <w:rsid w:val="00F85BCC"/>
    <w:rsid w:val="00F86356"/>
    <w:rsid w:val="00F86417"/>
    <w:rsid w:val="00F86AA0"/>
    <w:rsid w:val="00F86E32"/>
    <w:rsid w:val="00F8783E"/>
    <w:rsid w:val="00F87E29"/>
    <w:rsid w:val="00F87FB9"/>
    <w:rsid w:val="00F906E8"/>
    <w:rsid w:val="00F90A74"/>
    <w:rsid w:val="00F90D8F"/>
    <w:rsid w:val="00F90E8E"/>
    <w:rsid w:val="00F91735"/>
    <w:rsid w:val="00F91866"/>
    <w:rsid w:val="00F93939"/>
    <w:rsid w:val="00F94B57"/>
    <w:rsid w:val="00F963BD"/>
    <w:rsid w:val="00F96592"/>
    <w:rsid w:val="00F966F2"/>
    <w:rsid w:val="00F96811"/>
    <w:rsid w:val="00F9734D"/>
    <w:rsid w:val="00F97781"/>
    <w:rsid w:val="00F97E5D"/>
    <w:rsid w:val="00F97F36"/>
    <w:rsid w:val="00F97F38"/>
    <w:rsid w:val="00FA031B"/>
    <w:rsid w:val="00FA04BF"/>
    <w:rsid w:val="00FA127C"/>
    <w:rsid w:val="00FA1812"/>
    <w:rsid w:val="00FA19D1"/>
    <w:rsid w:val="00FA1F1A"/>
    <w:rsid w:val="00FA3102"/>
    <w:rsid w:val="00FA368B"/>
    <w:rsid w:val="00FA3746"/>
    <w:rsid w:val="00FA3B93"/>
    <w:rsid w:val="00FA3CFB"/>
    <w:rsid w:val="00FA3D59"/>
    <w:rsid w:val="00FA3E56"/>
    <w:rsid w:val="00FA4D12"/>
    <w:rsid w:val="00FA54B2"/>
    <w:rsid w:val="00FA57F8"/>
    <w:rsid w:val="00FA592A"/>
    <w:rsid w:val="00FA5A33"/>
    <w:rsid w:val="00FA6C7A"/>
    <w:rsid w:val="00FA6FA9"/>
    <w:rsid w:val="00FA719B"/>
    <w:rsid w:val="00FA7AC9"/>
    <w:rsid w:val="00FA7D77"/>
    <w:rsid w:val="00FA7EE3"/>
    <w:rsid w:val="00FB07CA"/>
    <w:rsid w:val="00FB13E3"/>
    <w:rsid w:val="00FB1589"/>
    <w:rsid w:val="00FB1688"/>
    <w:rsid w:val="00FB1F7B"/>
    <w:rsid w:val="00FB28EF"/>
    <w:rsid w:val="00FB361B"/>
    <w:rsid w:val="00FB3B1A"/>
    <w:rsid w:val="00FB458D"/>
    <w:rsid w:val="00FB459B"/>
    <w:rsid w:val="00FB4B1D"/>
    <w:rsid w:val="00FB56C3"/>
    <w:rsid w:val="00FB5757"/>
    <w:rsid w:val="00FB645A"/>
    <w:rsid w:val="00FB6973"/>
    <w:rsid w:val="00FB7560"/>
    <w:rsid w:val="00FB765D"/>
    <w:rsid w:val="00FB76CF"/>
    <w:rsid w:val="00FB7A0D"/>
    <w:rsid w:val="00FB7D42"/>
    <w:rsid w:val="00FC073C"/>
    <w:rsid w:val="00FC0C77"/>
    <w:rsid w:val="00FC0D01"/>
    <w:rsid w:val="00FC137C"/>
    <w:rsid w:val="00FC1CB4"/>
    <w:rsid w:val="00FC231E"/>
    <w:rsid w:val="00FC2DA6"/>
    <w:rsid w:val="00FC2FA8"/>
    <w:rsid w:val="00FC3642"/>
    <w:rsid w:val="00FC40E2"/>
    <w:rsid w:val="00FC43DC"/>
    <w:rsid w:val="00FC4DE5"/>
    <w:rsid w:val="00FC4E61"/>
    <w:rsid w:val="00FC53E2"/>
    <w:rsid w:val="00FC5571"/>
    <w:rsid w:val="00FC57B6"/>
    <w:rsid w:val="00FC5C5B"/>
    <w:rsid w:val="00FC6E0B"/>
    <w:rsid w:val="00FC6E24"/>
    <w:rsid w:val="00FC729C"/>
    <w:rsid w:val="00FC75CD"/>
    <w:rsid w:val="00FC7CD3"/>
    <w:rsid w:val="00FD0252"/>
    <w:rsid w:val="00FD0378"/>
    <w:rsid w:val="00FD056B"/>
    <w:rsid w:val="00FD07C9"/>
    <w:rsid w:val="00FD09C7"/>
    <w:rsid w:val="00FD0A91"/>
    <w:rsid w:val="00FD0AE6"/>
    <w:rsid w:val="00FD1179"/>
    <w:rsid w:val="00FD145E"/>
    <w:rsid w:val="00FD14EA"/>
    <w:rsid w:val="00FD1D9D"/>
    <w:rsid w:val="00FD1E2D"/>
    <w:rsid w:val="00FD1E4E"/>
    <w:rsid w:val="00FD1FDB"/>
    <w:rsid w:val="00FD2AA7"/>
    <w:rsid w:val="00FD3134"/>
    <w:rsid w:val="00FD3219"/>
    <w:rsid w:val="00FD338E"/>
    <w:rsid w:val="00FD3D60"/>
    <w:rsid w:val="00FD4091"/>
    <w:rsid w:val="00FD44D3"/>
    <w:rsid w:val="00FD45DB"/>
    <w:rsid w:val="00FD46F0"/>
    <w:rsid w:val="00FD4ECB"/>
    <w:rsid w:val="00FD53C0"/>
    <w:rsid w:val="00FD60CD"/>
    <w:rsid w:val="00FD6F09"/>
    <w:rsid w:val="00FD752A"/>
    <w:rsid w:val="00FD7543"/>
    <w:rsid w:val="00FD7EAB"/>
    <w:rsid w:val="00FE01D7"/>
    <w:rsid w:val="00FE0731"/>
    <w:rsid w:val="00FE083F"/>
    <w:rsid w:val="00FE0DCE"/>
    <w:rsid w:val="00FE12B5"/>
    <w:rsid w:val="00FE138E"/>
    <w:rsid w:val="00FE1A85"/>
    <w:rsid w:val="00FE24CB"/>
    <w:rsid w:val="00FE287A"/>
    <w:rsid w:val="00FE2EA8"/>
    <w:rsid w:val="00FE2FE9"/>
    <w:rsid w:val="00FE3217"/>
    <w:rsid w:val="00FE3715"/>
    <w:rsid w:val="00FE3CB1"/>
    <w:rsid w:val="00FE46B7"/>
    <w:rsid w:val="00FE485B"/>
    <w:rsid w:val="00FE59F1"/>
    <w:rsid w:val="00FE6087"/>
    <w:rsid w:val="00FE6730"/>
    <w:rsid w:val="00FE68BA"/>
    <w:rsid w:val="00FE7C52"/>
    <w:rsid w:val="00FF125A"/>
    <w:rsid w:val="00FF20DF"/>
    <w:rsid w:val="00FF26AB"/>
    <w:rsid w:val="00FF276B"/>
    <w:rsid w:val="00FF2BCA"/>
    <w:rsid w:val="00FF36B2"/>
    <w:rsid w:val="00FF3711"/>
    <w:rsid w:val="00FF4481"/>
    <w:rsid w:val="00FF489B"/>
    <w:rsid w:val="00FF4D25"/>
    <w:rsid w:val="00FF50B1"/>
    <w:rsid w:val="00FF5294"/>
    <w:rsid w:val="00FF55FD"/>
    <w:rsid w:val="00FF5776"/>
    <w:rsid w:val="00FF5D5F"/>
    <w:rsid w:val="00FF6766"/>
    <w:rsid w:val="00FF694E"/>
    <w:rsid w:val="00FF6A98"/>
    <w:rsid w:val="00FF6DD0"/>
    <w:rsid w:val="00FF734B"/>
    <w:rsid w:val="00FF76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7D8D"/>
  <w15:chartTrackingRefBased/>
  <w15:docId w15:val="{4CA91A21-0006-4970-B579-411391BF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355F1"/>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641F1F"/>
    <w:pPr>
      <w:keepNext/>
      <w:keepLines/>
      <w:spacing w:before="40" w:after="0"/>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uiPriority w:val="9"/>
    <w:unhideWhenUsed/>
    <w:qFormat/>
    <w:rsid w:val="003B7BF2"/>
    <w:pPr>
      <w:keepNext/>
      <w:keepLines/>
      <w:spacing w:before="40" w:after="0"/>
      <w:outlineLvl w:val="2"/>
    </w:pPr>
    <w:rPr>
      <w:rFonts w:asciiTheme="majorHAnsi" w:eastAsiaTheme="majorEastAsia" w:hAnsiTheme="majorHAnsi" w:cstheme="majorBidi"/>
      <w:b/>
      <w:sz w:val="23"/>
      <w:szCs w:val="24"/>
    </w:rPr>
  </w:style>
  <w:style w:type="paragraph" w:styleId="Titre4">
    <w:name w:val="heading 4"/>
    <w:basedOn w:val="Normal"/>
    <w:next w:val="Normal"/>
    <w:link w:val="Titre4Car"/>
    <w:uiPriority w:val="9"/>
    <w:unhideWhenUsed/>
    <w:qFormat/>
    <w:rsid w:val="00534B9E"/>
    <w:pPr>
      <w:keepNext/>
      <w:keepLines/>
      <w:spacing w:before="40" w:after="0"/>
      <w:outlineLvl w:val="3"/>
    </w:pPr>
    <w:rPr>
      <w:rFonts w:asciiTheme="majorHAnsi" w:eastAsiaTheme="majorEastAsia" w:hAnsiTheme="majorHAnsi"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4B12"/>
    <w:pPr>
      <w:tabs>
        <w:tab w:val="center" w:pos="4513"/>
        <w:tab w:val="right" w:pos="9026"/>
      </w:tabs>
      <w:spacing w:after="0" w:line="240" w:lineRule="auto"/>
    </w:pPr>
  </w:style>
  <w:style w:type="character" w:customStyle="1" w:styleId="En-tteCar">
    <w:name w:val="En-tête Car"/>
    <w:basedOn w:val="Policepardfaut"/>
    <w:link w:val="En-tte"/>
    <w:uiPriority w:val="99"/>
    <w:rsid w:val="00404B12"/>
  </w:style>
  <w:style w:type="paragraph" w:styleId="Pieddepage">
    <w:name w:val="footer"/>
    <w:basedOn w:val="Normal"/>
    <w:link w:val="PieddepageCar"/>
    <w:uiPriority w:val="99"/>
    <w:unhideWhenUsed/>
    <w:rsid w:val="00404B1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04B12"/>
  </w:style>
  <w:style w:type="character" w:customStyle="1" w:styleId="Titre1Car">
    <w:name w:val="Titre 1 Car"/>
    <w:basedOn w:val="Policepardfaut"/>
    <w:link w:val="Titre1"/>
    <w:uiPriority w:val="9"/>
    <w:rsid w:val="00F355F1"/>
    <w:rPr>
      <w:rFonts w:asciiTheme="majorHAnsi" w:eastAsiaTheme="majorEastAsia" w:hAnsiTheme="majorHAnsi" w:cstheme="majorBidi"/>
      <w:b/>
      <w:sz w:val="32"/>
      <w:szCs w:val="32"/>
    </w:rPr>
  </w:style>
  <w:style w:type="paragraph" w:styleId="En-ttedetabledesmatires">
    <w:name w:val="TOC Heading"/>
    <w:basedOn w:val="Titre1"/>
    <w:next w:val="Normal"/>
    <w:uiPriority w:val="39"/>
    <w:unhideWhenUsed/>
    <w:qFormat/>
    <w:rsid w:val="00D77894"/>
    <w:pPr>
      <w:outlineLvl w:val="9"/>
    </w:pPr>
    <w:rPr>
      <w:lang w:val="en-US"/>
    </w:rPr>
  </w:style>
  <w:style w:type="paragraph" w:customStyle="1" w:styleId="Default">
    <w:name w:val="Default"/>
    <w:rsid w:val="00E02AA1"/>
    <w:pPr>
      <w:autoSpaceDE w:val="0"/>
      <w:autoSpaceDN w:val="0"/>
      <w:adjustRightInd w:val="0"/>
      <w:spacing w:after="0" w:line="240" w:lineRule="auto"/>
    </w:pPr>
    <w:rPr>
      <w:rFonts w:ascii="Calibri" w:hAnsi="Calibri" w:cs="Calibri"/>
      <w:color w:val="000000"/>
      <w:sz w:val="24"/>
      <w:szCs w:val="24"/>
    </w:rPr>
  </w:style>
  <w:style w:type="character" w:customStyle="1" w:styleId="Titre2Car">
    <w:name w:val="Titre 2 Car"/>
    <w:basedOn w:val="Policepardfaut"/>
    <w:link w:val="Titre2"/>
    <w:uiPriority w:val="9"/>
    <w:rsid w:val="00641F1F"/>
    <w:rPr>
      <w:rFonts w:asciiTheme="majorHAnsi" w:eastAsiaTheme="majorEastAsia" w:hAnsiTheme="majorHAnsi" w:cstheme="majorBidi"/>
      <w:b/>
      <w:sz w:val="26"/>
      <w:szCs w:val="26"/>
    </w:rPr>
  </w:style>
  <w:style w:type="paragraph" w:styleId="Paragraphedeliste">
    <w:name w:val="List Paragraph"/>
    <w:aliases w:val="Paragraphe de liste1,List Paragraph1,Liste couleur - Accent 111,Bullets,List Paragraph nowy,Numbered List Paragraph,List Paragraph (numbered (a)),Colorful List - Accent 11,List Paragraph2,Bullet List,FooterText,????,References"/>
    <w:basedOn w:val="Normal"/>
    <w:link w:val="ParagraphedelisteCar"/>
    <w:uiPriority w:val="34"/>
    <w:qFormat/>
    <w:rsid w:val="00C33004"/>
    <w:pPr>
      <w:ind w:left="720"/>
      <w:contextualSpacing/>
    </w:pPr>
  </w:style>
  <w:style w:type="paragraph" w:customStyle="1" w:styleId="EndNoteBibliographyTitle">
    <w:name w:val="EndNote Bibliography Title"/>
    <w:basedOn w:val="Normal"/>
    <w:link w:val="EndNoteBibliographyTitleChar"/>
    <w:rsid w:val="00D23D71"/>
    <w:pPr>
      <w:spacing w:after="0"/>
      <w:jc w:val="center"/>
    </w:pPr>
    <w:rPr>
      <w:rFonts w:ascii="Calibri" w:hAnsi="Calibri" w:cs="Calibri"/>
      <w:noProof/>
      <w:lang w:val="en-US"/>
    </w:rPr>
  </w:style>
  <w:style w:type="character" w:customStyle="1" w:styleId="EndNoteBibliographyTitleChar">
    <w:name w:val="EndNote Bibliography Title Char"/>
    <w:basedOn w:val="Titre2Car"/>
    <w:link w:val="EndNoteBibliographyTitle"/>
    <w:rsid w:val="00D23D71"/>
    <w:rPr>
      <w:rFonts w:ascii="Calibri" w:eastAsiaTheme="majorEastAsia" w:hAnsi="Calibri" w:cs="Calibri"/>
      <w:b w:val="0"/>
      <w:noProof/>
      <w:sz w:val="26"/>
      <w:szCs w:val="26"/>
      <w:lang w:val="en-US"/>
    </w:rPr>
  </w:style>
  <w:style w:type="paragraph" w:customStyle="1" w:styleId="EndNoteBibliography">
    <w:name w:val="EndNote Bibliography"/>
    <w:basedOn w:val="Normal"/>
    <w:link w:val="EndNoteBibliographyChar"/>
    <w:rsid w:val="00D23D71"/>
    <w:pPr>
      <w:spacing w:line="240" w:lineRule="auto"/>
    </w:pPr>
    <w:rPr>
      <w:rFonts w:ascii="Calibri" w:hAnsi="Calibri" w:cs="Calibri"/>
      <w:noProof/>
      <w:lang w:val="en-US"/>
    </w:rPr>
  </w:style>
  <w:style w:type="character" w:customStyle="1" w:styleId="EndNoteBibliographyChar">
    <w:name w:val="EndNote Bibliography Char"/>
    <w:basedOn w:val="Titre2Car"/>
    <w:link w:val="EndNoteBibliography"/>
    <w:rsid w:val="00D23D71"/>
    <w:rPr>
      <w:rFonts w:ascii="Calibri" w:eastAsiaTheme="majorEastAsia" w:hAnsi="Calibri" w:cs="Calibri"/>
      <w:b w:val="0"/>
      <w:noProof/>
      <w:sz w:val="26"/>
      <w:szCs w:val="26"/>
      <w:lang w:val="en-US"/>
    </w:rPr>
  </w:style>
  <w:style w:type="character" w:customStyle="1" w:styleId="Titre3Car">
    <w:name w:val="Titre 3 Car"/>
    <w:basedOn w:val="Policepardfaut"/>
    <w:link w:val="Titre3"/>
    <w:uiPriority w:val="9"/>
    <w:rsid w:val="003B7BF2"/>
    <w:rPr>
      <w:rFonts w:asciiTheme="majorHAnsi" w:eastAsiaTheme="majorEastAsia" w:hAnsiTheme="majorHAnsi" w:cstheme="majorBidi"/>
      <w:b/>
      <w:sz w:val="23"/>
      <w:szCs w:val="24"/>
    </w:rPr>
  </w:style>
  <w:style w:type="character" w:customStyle="1" w:styleId="lrzxr">
    <w:name w:val="lrzxr"/>
    <w:basedOn w:val="Policepardfaut"/>
    <w:rsid w:val="008758D8"/>
  </w:style>
  <w:style w:type="character" w:customStyle="1" w:styleId="xja8af">
    <w:name w:val="xja8af"/>
    <w:basedOn w:val="Policepardfaut"/>
    <w:rsid w:val="008758D8"/>
  </w:style>
  <w:style w:type="character" w:styleId="Lienhypertexte">
    <w:name w:val="Hyperlink"/>
    <w:basedOn w:val="Policepardfaut"/>
    <w:uiPriority w:val="99"/>
    <w:unhideWhenUsed/>
    <w:rsid w:val="008758D8"/>
    <w:rPr>
      <w:color w:val="0000FF"/>
      <w:u w:val="single"/>
    </w:rPr>
  </w:style>
  <w:style w:type="character" w:styleId="Marquedecommentaire">
    <w:name w:val="annotation reference"/>
    <w:basedOn w:val="Policepardfaut"/>
    <w:uiPriority w:val="99"/>
    <w:semiHidden/>
    <w:unhideWhenUsed/>
    <w:rsid w:val="00A50B1C"/>
    <w:rPr>
      <w:sz w:val="16"/>
      <w:szCs w:val="16"/>
    </w:rPr>
  </w:style>
  <w:style w:type="paragraph" w:styleId="Commentaire">
    <w:name w:val="annotation text"/>
    <w:basedOn w:val="Normal"/>
    <w:link w:val="CommentaireCar"/>
    <w:uiPriority w:val="99"/>
    <w:semiHidden/>
    <w:unhideWhenUsed/>
    <w:rsid w:val="00A50B1C"/>
    <w:pPr>
      <w:spacing w:line="240" w:lineRule="auto"/>
    </w:pPr>
    <w:rPr>
      <w:sz w:val="20"/>
      <w:szCs w:val="20"/>
    </w:rPr>
  </w:style>
  <w:style w:type="character" w:customStyle="1" w:styleId="CommentaireCar">
    <w:name w:val="Commentaire Car"/>
    <w:basedOn w:val="Policepardfaut"/>
    <w:link w:val="Commentaire"/>
    <w:uiPriority w:val="99"/>
    <w:semiHidden/>
    <w:rsid w:val="00A50B1C"/>
    <w:rPr>
      <w:sz w:val="20"/>
      <w:szCs w:val="20"/>
    </w:rPr>
  </w:style>
  <w:style w:type="paragraph" w:styleId="Objetducommentaire">
    <w:name w:val="annotation subject"/>
    <w:basedOn w:val="Commentaire"/>
    <w:next w:val="Commentaire"/>
    <w:link w:val="ObjetducommentaireCar"/>
    <w:uiPriority w:val="99"/>
    <w:semiHidden/>
    <w:unhideWhenUsed/>
    <w:rsid w:val="00A50B1C"/>
    <w:rPr>
      <w:b/>
      <w:bCs/>
    </w:rPr>
  </w:style>
  <w:style w:type="character" w:customStyle="1" w:styleId="ObjetducommentaireCar">
    <w:name w:val="Objet du commentaire Car"/>
    <w:basedOn w:val="CommentaireCar"/>
    <w:link w:val="Objetducommentaire"/>
    <w:uiPriority w:val="99"/>
    <w:semiHidden/>
    <w:rsid w:val="00A50B1C"/>
    <w:rPr>
      <w:b/>
      <w:bCs/>
      <w:sz w:val="20"/>
      <w:szCs w:val="20"/>
    </w:rPr>
  </w:style>
  <w:style w:type="paragraph" w:styleId="Textedebulles">
    <w:name w:val="Balloon Text"/>
    <w:basedOn w:val="Normal"/>
    <w:link w:val="TextedebullesCar"/>
    <w:uiPriority w:val="99"/>
    <w:semiHidden/>
    <w:unhideWhenUsed/>
    <w:rsid w:val="00A50B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0B1C"/>
    <w:rPr>
      <w:rFonts w:ascii="Segoe UI" w:hAnsi="Segoe UI" w:cs="Segoe UI"/>
      <w:sz w:val="18"/>
      <w:szCs w:val="18"/>
    </w:rPr>
  </w:style>
  <w:style w:type="paragraph" w:styleId="NormalWeb">
    <w:name w:val="Normal (Web)"/>
    <w:basedOn w:val="Normal"/>
    <w:uiPriority w:val="99"/>
    <w:unhideWhenUsed/>
    <w:rsid w:val="00A735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ql-text">
    <w:name w:val="ql-text"/>
    <w:basedOn w:val="Policepardfaut"/>
    <w:rsid w:val="002F509F"/>
  </w:style>
  <w:style w:type="paragraph" w:customStyle="1" w:styleId="Style2">
    <w:name w:val="Style2"/>
    <w:basedOn w:val="Normal"/>
    <w:link w:val="Style2Char"/>
    <w:rsid w:val="00154E55"/>
    <w:pPr>
      <w:keepNext/>
      <w:keepLines/>
      <w:pageBreakBefore/>
      <w:pBdr>
        <w:top w:val="single" w:sz="4" w:space="1" w:color="auto"/>
        <w:bottom w:val="single" w:sz="4" w:space="1" w:color="auto"/>
      </w:pBdr>
      <w:spacing w:before="120" w:after="40" w:line="240" w:lineRule="auto"/>
      <w:jc w:val="center"/>
      <w:outlineLvl w:val="0"/>
    </w:pPr>
    <w:rPr>
      <w:rFonts w:ascii="Garamond" w:eastAsia="Times New Roman" w:hAnsi="Garamond" w:cs="Arial"/>
      <w:b/>
      <w:bCs/>
      <w:kern w:val="32"/>
      <w:sz w:val="36"/>
      <w:szCs w:val="28"/>
    </w:rPr>
  </w:style>
  <w:style w:type="character" w:customStyle="1" w:styleId="Style2Char">
    <w:name w:val="Style2 Char"/>
    <w:basedOn w:val="Policepardfaut"/>
    <w:link w:val="Style2"/>
    <w:rsid w:val="00154E55"/>
    <w:rPr>
      <w:rFonts w:ascii="Garamond" w:eastAsia="Times New Roman" w:hAnsi="Garamond" w:cs="Arial"/>
      <w:b/>
      <w:bCs/>
      <w:kern w:val="32"/>
      <w:sz w:val="36"/>
      <w:szCs w:val="28"/>
    </w:rPr>
  </w:style>
  <w:style w:type="character" w:customStyle="1" w:styleId="ParagraphedelisteCar">
    <w:name w:val="Paragraphe de liste Car"/>
    <w:aliases w:val="Paragraphe de liste1 Car,List Paragraph1 Car,Liste couleur - Accent 111 Car,Bullets Car,List Paragraph nowy Car,Numbered List Paragraph Car,List Paragraph (numbered (a)) Car,Colorful List - Accent 11 Car,List Paragraph2 Car"/>
    <w:link w:val="Paragraphedeliste"/>
    <w:uiPriority w:val="34"/>
    <w:locked/>
    <w:rsid w:val="005A7AA6"/>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 text Car"/>
    <w:basedOn w:val="Normal"/>
    <w:link w:val="NotedebasdepageCar"/>
    <w:uiPriority w:val="99"/>
    <w:qFormat/>
    <w:rsid w:val="009D2FF5"/>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basedOn w:val="Policepardfaut"/>
    <w:uiPriority w:val="99"/>
    <w:semiHidden/>
    <w:rsid w:val="009D2FF5"/>
    <w:rPr>
      <w:sz w:val="20"/>
      <w:szCs w:val="20"/>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
    <w:basedOn w:val="Policepardfaut"/>
    <w:link w:val="Notedebasdepage"/>
    <w:uiPriority w:val="99"/>
    <w:rsid w:val="009D2FF5"/>
    <w:rPr>
      <w:rFonts w:ascii="Times New Roman" w:eastAsia="Times New Roman" w:hAnsi="Times New Roman" w:cs="Times New Roman"/>
      <w:sz w:val="20"/>
      <w:szCs w:val="20"/>
      <w:lang w:val="x-none" w:eastAsia="x-none"/>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BVI fnr"/>
    <w:link w:val="BVIfnrCarCar1Car"/>
    <w:uiPriority w:val="99"/>
    <w:rsid w:val="009D2FF5"/>
    <w:rPr>
      <w:vertAlign w:val="superscript"/>
    </w:rPr>
  </w:style>
  <w:style w:type="paragraph" w:styleId="Lgende">
    <w:name w:val="caption"/>
    <w:aliases w:val="Legende,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qFormat/>
    <w:rsid w:val="009D2FF5"/>
    <w:pPr>
      <w:spacing w:after="200" w:line="240" w:lineRule="auto"/>
    </w:pPr>
    <w:rPr>
      <w:rFonts w:ascii="Calibri" w:eastAsia="Calibri" w:hAnsi="Calibri" w:cs="Times New Roman"/>
      <w:b/>
      <w:bCs/>
      <w:color w:val="4F81BD"/>
      <w:sz w:val="18"/>
      <w:szCs w:val="18"/>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9D2FF5"/>
    <w:pPr>
      <w:spacing w:line="240" w:lineRule="exact"/>
      <w:jc w:val="both"/>
    </w:pPr>
    <w:rPr>
      <w:vertAlign w:val="superscript"/>
    </w:rPr>
  </w:style>
  <w:style w:type="character" w:customStyle="1" w:styleId="LgendeCar">
    <w:name w:val="Légende Car"/>
    <w:aliases w:val="Legende Car,Légende1 Car,Légende21 Car,Légende111 Car,Car111 Car, Car111 Car,Car Car Car Car Car Car Car Car Car111 Car,Car Car Car Car Car111 Car,Car Car Car Car111 Car,Car Car Car Car Car Car Car Car211 Car"/>
    <w:link w:val="Lgende"/>
    <w:uiPriority w:val="35"/>
    <w:rsid w:val="009D2FF5"/>
    <w:rPr>
      <w:rFonts w:ascii="Calibri" w:eastAsia="Calibri" w:hAnsi="Calibri" w:cs="Times New Roman"/>
      <w:b/>
      <w:bCs/>
      <w:color w:val="4F81BD"/>
      <w:sz w:val="18"/>
      <w:szCs w:val="18"/>
      <w:lang w:val="fr-FR"/>
    </w:rPr>
  </w:style>
  <w:style w:type="table" w:styleId="Grilledutableau">
    <w:name w:val="Table Grid"/>
    <w:basedOn w:val="TableauNormal"/>
    <w:uiPriority w:val="59"/>
    <w:rsid w:val="00603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46D6B"/>
    <w:pPr>
      <w:spacing w:after="0" w:line="240" w:lineRule="auto"/>
    </w:pPr>
  </w:style>
  <w:style w:type="paragraph" w:styleId="Titre">
    <w:name w:val="Title"/>
    <w:basedOn w:val="Normal"/>
    <w:next w:val="Normal"/>
    <w:link w:val="TitreCar"/>
    <w:uiPriority w:val="10"/>
    <w:qFormat/>
    <w:rsid w:val="002576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57671"/>
    <w:rPr>
      <w:rFonts w:asciiTheme="majorHAnsi" w:eastAsiaTheme="majorEastAsia" w:hAnsiTheme="majorHAnsi" w:cstheme="majorBidi"/>
      <w:spacing w:val="-10"/>
      <w:kern w:val="28"/>
      <w:sz w:val="56"/>
      <w:szCs w:val="56"/>
    </w:rPr>
  </w:style>
  <w:style w:type="paragraph" w:customStyle="1" w:styleId="Style4">
    <w:name w:val="Style4"/>
    <w:basedOn w:val="Titre2"/>
    <w:link w:val="Style4Char"/>
    <w:rsid w:val="00547ED0"/>
    <w:pPr>
      <w:spacing w:before="120" w:line="240" w:lineRule="auto"/>
    </w:pPr>
    <w:rPr>
      <w:rFonts w:ascii="Gill Sans MT" w:hAnsi="Gill Sans MT"/>
      <w:caps/>
      <w:color w:val="000000" w:themeColor="text1"/>
      <w:sz w:val="28"/>
      <w:szCs w:val="28"/>
      <w:lang w:val="en-US"/>
    </w:rPr>
  </w:style>
  <w:style w:type="character" w:customStyle="1" w:styleId="Style4Char">
    <w:name w:val="Style4 Char"/>
    <w:basedOn w:val="Titre2Car"/>
    <w:link w:val="Style4"/>
    <w:rsid w:val="00547ED0"/>
    <w:rPr>
      <w:rFonts w:ascii="Gill Sans MT" w:eastAsiaTheme="majorEastAsia" w:hAnsi="Gill Sans MT" w:cstheme="majorBidi"/>
      <w:b/>
      <w:caps/>
      <w:color w:val="000000" w:themeColor="text1"/>
      <w:sz w:val="28"/>
      <w:szCs w:val="28"/>
      <w:lang w:val="en-US"/>
    </w:rPr>
  </w:style>
  <w:style w:type="character" w:customStyle="1" w:styleId="Titre4Car">
    <w:name w:val="Titre 4 Car"/>
    <w:basedOn w:val="Policepardfaut"/>
    <w:link w:val="Titre4"/>
    <w:uiPriority w:val="9"/>
    <w:rsid w:val="00534B9E"/>
    <w:rPr>
      <w:rFonts w:asciiTheme="majorHAnsi" w:eastAsiaTheme="majorEastAsia" w:hAnsiTheme="majorHAnsi" w:cstheme="majorBidi"/>
      <w:i/>
      <w:iCs/>
    </w:rPr>
  </w:style>
  <w:style w:type="paragraph" w:customStyle="1" w:styleId="Sansinterligne1">
    <w:name w:val="Sans interligne1"/>
    <w:basedOn w:val="Lgende"/>
    <w:uiPriority w:val="1"/>
    <w:qFormat/>
    <w:rsid w:val="0002676E"/>
    <w:pPr>
      <w:spacing w:after="0"/>
      <w:jc w:val="center"/>
    </w:pPr>
    <w:rPr>
      <w:rFonts w:ascii="Times New Roman" w:eastAsiaTheme="minorHAnsi" w:hAnsi="Times New Roman" w:cstheme="minorBidi"/>
      <w:color w:val="auto"/>
      <w:sz w:val="20"/>
    </w:rPr>
  </w:style>
  <w:style w:type="paragraph" w:styleId="Notedefin">
    <w:name w:val="endnote text"/>
    <w:basedOn w:val="Normal"/>
    <w:link w:val="NotedefinCar"/>
    <w:uiPriority w:val="99"/>
    <w:unhideWhenUsed/>
    <w:rsid w:val="00FA19D1"/>
    <w:pPr>
      <w:spacing w:after="0" w:line="240" w:lineRule="auto"/>
    </w:pPr>
    <w:rPr>
      <w:sz w:val="20"/>
      <w:szCs w:val="20"/>
      <w:lang w:val="nl-BE"/>
    </w:rPr>
  </w:style>
  <w:style w:type="character" w:customStyle="1" w:styleId="NotedefinCar">
    <w:name w:val="Note de fin Car"/>
    <w:basedOn w:val="Policepardfaut"/>
    <w:link w:val="Notedefin"/>
    <w:uiPriority w:val="99"/>
    <w:rsid w:val="00FA19D1"/>
    <w:rPr>
      <w:sz w:val="20"/>
      <w:szCs w:val="20"/>
      <w:lang w:val="nl-BE"/>
    </w:rPr>
  </w:style>
  <w:style w:type="character" w:styleId="Appeldenotedefin">
    <w:name w:val="endnote reference"/>
    <w:basedOn w:val="Policepardfaut"/>
    <w:uiPriority w:val="99"/>
    <w:semiHidden/>
    <w:unhideWhenUsed/>
    <w:rsid w:val="00FA19D1"/>
    <w:rPr>
      <w:vertAlign w:val="superscript"/>
    </w:rPr>
  </w:style>
  <w:style w:type="paragraph" w:styleId="Liste2">
    <w:name w:val="List 2"/>
    <w:basedOn w:val="Normal"/>
    <w:autoRedefine/>
    <w:uiPriority w:val="99"/>
    <w:rsid w:val="00AC104D"/>
    <w:pPr>
      <w:numPr>
        <w:ilvl w:val="1"/>
        <w:numId w:val="34"/>
      </w:numPr>
      <w:overflowPunct w:val="0"/>
      <w:autoSpaceDE w:val="0"/>
      <w:autoSpaceDN w:val="0"/>
      <w:adjustRightInd w:val="0"/>
      <w:spacing w:after="0" w:line="240" w:lineRule="auto"/>
      <w:jc w:val="both"/>
      <w:textAlignment w:val="baseline"/>
    </w:pPr>
    <w:rPr>
      <w:rFonts w:ascii="Calibri" w:eastAsia="FFScala" w:hAnsi="Calibri" w:cs="Arial"/>
      <w:snapToGrid w:val="0"/>
      <w:szCs w:val="24"/>
    </w:rPr>
  </w:style>
  <w:style w:type="paragraph" w:styleId="TM1">
    <w:name w:val="toc 1"/>
    <w:basedOn w:val="Normal"/>
    <w:next w:val="Normal"/>
    <w:autoRedefine/>
    <w:uiPriority w:val="39"/>
    <w:unhideWhenUsed/>
    <w:rsid w:val="00FB13E3"/>
    <w:pPr>
      <w:spacing w:after="100"/>
    </w:pPr>
  </w:style>
  <w:style w:type="paragraph" w:styleId="TM2">
    <w:name w:val="toc 2"/>
    <w:basedOn w:val="Normal"/>
    <w:next w:val="Normal"/>
    <w:autoRedefine/>
    <w:uiPriority w:val="39"/>
    <w:unhideWhenUsed/>
    <w:rsid w:val="00FB13E3"/>
    <w:pPr>
      <w:spacing w:after="100"/>
      <w:ind w:left="220"/>
    </w:pPr>
  </w:style>
  <w:style w:type="paragraph" w:styleId="TM3">
    <w:name w:val="toc 3"/>
    <w:basedOn w:val="Normal"/>
    <w:next w:val="Normal"/>
    <w:autoRedefine/>
    <w:uiPriority w:val="39"/>
    <w:unhideWhenUsed/>
    <w:rsid w:val="00FB13E3"/>
    <w:pPr>
      <w:spacing w:after="100"/>
      <w:ind w:left="440"/>
    </w:pPr>
  </w:style>
  <w:style w:type="paragraph" w:styleId="Tabledesillustrations">
    <w:name w:val="table of figures"/>
    <w:basedOn w:val="Normal"/>
    <w:next w:val="Normal"/>
    <w:uiPriority w:val="99"/>
    <w:unhideWhenUsed/>
    <w:rsid w:val="004C430B"/>
    <w:pPr>
      <w:spacing w:after="0"/>
    </w:pPr>
  </w:style>
  <w:style w:type="paragraph" w:customStyle="1" w:styleId="target">
    <w:name w:val="target"/>
    <w:basedOn w:val="Normal"/>
    <w:qFormat/>
    <w:rsid w:val="00E856C4"/>
    <w:pPr>
      <w:spacing w:after="0" w:line="240" w:lineRule="auto"/>
    </w:pPr>
    <w:rPr>
      <w:rFonts w:eastAsiaTheme="minorEastAsia"/>
      <w:lang w:val="en-US" w:eastAsia="ja-JP"/>
    </w:rPr>
  </w:style>
  <w:style w:type="paragraph" w:styleId="Rvision">
    <w:name w:val="Revision"/>
    <w:hidden/>
    <w:uiPriority w:val="99"/>
    <w:semiHidden/>
    <w:rsid w:val="00E856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0623">
      <w:bodyDiv w:val="1"/>
      <w:marLeft w:val="0"/>
      <w:marRight w:val="0"/>
      <w:marTop w:val="0"/>
      <w:marBottom w:val="0"/>
      <w:divBdr>
        <w:top w:val="none" w:sz="0" w:space="0" w:color="auto"/>
        <w:left w:val="none" w:sz="0" w:space="0" w:color="auto"/>
        <w:bottom w:val="none" w:sz="0" w:space="0" w:color="auto"/>
        <w:right w:val="none" w:sz="0" w:space="0" w:color="auto"/>
      </w:divBdr>
      <w:divsChild>
        <w:div w:id="245850318">
          <w:marLeft w:val="274"/>
          <w:marRight w:val="0"/>
          <w:marTop w:val="0"/>
          <w:marBottom w:val="0"/>
          <w:divBdr>
            <w:top w:val="none" w:sz="0" w:space="0" w:color="auto"/>
            <w:left w:val="none" w:sz="0" w:space="0" w:color="auto"/>
            <w:bottom w:val="none" w:sz="0" w:space="0" w:color="auto"/>
            <w:right w:val="none" w:sz="0" w:space="0" w:color="auto"/>
          </w:divBdr>
        </w:div>
        <w:div w:id="886644149">
          <w:marLeft w:val="274"/>
          <w:marRight w:val="0"/>
          <w:marTop w:val="0"/>
          <w:marBottom w:val="0"/>
          <w:divBdr>
            <w:top w:val="none" w:sz="0" w:space="0" w:color="auto"/>
            <w:left w:val="none" w:sz="0" w:space="0" w:color="auto"/>
            <w:bottom w:val="none" w:sz="0" w:space="0" w:color="auto"/>
            <w:right w:val="none" w:sz="0" w:space="0" w:color="auto"/>
          </w:divBdr>
        </w:div>
        <w:div w:id="2058891550">
          <w:marLeft w:val="274"/>
          <w:marRight w:val="0"/>
          <w:marTop w:val="0"/>
          <w:marBottom w:val="0"/>
          <w:divBdr>
            <w:top w:val="none" w:sz="0" w:space="0" w:color="auto"/>
            <w:left w:val="none" w:sz="0" w:space="0" w:color="auto"/>
            <w:bottom w:val="none" w:sz="0" w:space="0" w:color="auto"/>
            <w:right w:val="none" w:sz="0" w:space="0" w:color="auto"/>
          </w:divBdr>
        </w:div>
        <w:div w:id="2091274391">
          <w:marLeft w:val="274"/>
          <w:marRight w:val="0"/>
          <w:marTop w:val="0"/>
          <w:marBottom w:val="0"/>
          <w:divBdr>
            <w:top w:val="none" w:sz="0" w:space="0" w:color="auto"/>
            <w:left w:val="none" w:sz="0" w:space="0" w:color="auto"/>
            <w:bottom w:val="none" w:sz="0" w:space="0" w:color="auto"/>
            <w:right w:val="none" w:sz="0" w:space="0" w:color="auto"/>
          </w:divBdr>
        </w:div>
        <w:div w:id="1978297353">
          <w:marLeft w:val="274"/>
          <w:marRight w:val="0"/>
          <w:marTop w:val="0"/>
          <w:marBottom w:val="0"/>
          <w:divBdr>
            <w:top w:val="none" w:sz="0" w:space="0" w:color="auto"/>
            <w:left w:val="none" w:sz="0" w:space="0" w:color="auto"/>
            <w:bottom w:val="none" w:sz="0" w:space="0" w:color="auto"/>
            <w:right w:val="none" w:sz="0" w:space="0" w:color="auto"/>
          </w:divBdr>
        </w:div>
        <w:div w:id="1924680454">
          <w:marLeft w:val="274"/>
          <w:marRight w:val="0"/>
          <w:marTop w:val="0"/>
          <w:marBottom w:val="0"/>
          <w:divBdr>
            <w:top w:val="none" w:sz="0" w:space="0" w:color="auto"/>
            <w:left w:val="none" w:sz="0" w:space="0" w:color="auto"/>
            <w:bottom w:val="none" w:sz="0" w:space="0" w:color="auto"/>
            <w:right w:val="none" w:sz="0" w:space="0" w:color="auto"/>
          </w:divBdr>
        </w:div>
        <w:div w:id="360009681">
          <w:marLeft w:val="274"/>
          <w:marRight w:val="0"/>
          <w:marTop w:val="0"/>
          <w:marBottom w:val="0"/>
          <w:divBdr>
            <w:top w:val="none" w:sz="0" w:space="0" w:color="auto"/>
            <w:left w:val="none" w:sz="0" w:space="0" w:color="auto"/>
            <w:bottom w:val="none" w:sz="0" w:space="0" w:color="auto"/>
            <w:right w:val="none" w:sz="0" w:space="0" w:color="auto"/>
          </w:divBdr>
        </w:div>
        <w:div w:id="1904245959">
          <w:marLeft w:val="274"/>
          <w:marRight w:val="0"/>
          <w:marTop w:val="0"/>
          <w:marBottom w:val="0"/>
          <w:divBdr>
            <w:top w:val="none" w:sz="0" w:space="0" w:color="auto"/>
            <w:left w:val="none" w:sz="0" w:space="0" w:color="auto"/>
            <w:bottom w:val="none" w:sz="0" w:space="0" w:color="auto"/>
            <w:right w:val="none" w:sz="0" w:space="0" w:color="auto"/>
          </w:divBdr>
        </w:div>
        <w:div w:id="316225574">
          <w:marLeft w:val="274"/>
          <w:marRight w:val="0"/>
          <w:marTop w:val="0"/>
          <w:marBottom w:val="0"/>
          <w:divBdr>
            <w:top w:val="none" w:sz="0" w:space="0" w:color="auto"/>
            <w:left w:val="none" w:sz="0" w:space="0" w:color="auto"/>
            <w:bottom w:val="none" w:sz="0" w:space="0" w:color="auto"/>
            <w:right w:val="none" w:sz="0" w:space="0" w:color="auto"/>
          </w:divBdr>
        </w:div>
        <w:div w:id="1321930667">
          <w:marLeft w:val="274"/>
          <w:marRight w:val="0"/>
          <w:marTop w:val="0"/>
          <w:marBottom w:val="0"/>
          <w:divBdr>
            <w:top w:val="none" w:sz="0" w:space="0" w:color="auto"/>
            <w:left w:val="none" w:sz="0" w:space="0" w:color="auto"/>
            <w:bottom w:val="none" w:sz="0" w:space="0" w:color="auto"/>
            <w:right w:val="none" w:sz="0" w:space="0" w:color="auto"/>
          </w:divBdr>
        </w:div>
        <w:div w:id="1967619543">
          <w:marLeft w:val="274"/>
          <w:marRight w:val="0"/>
          <w:marTop w:val="0"/>
          <w:marBottom w:val="0"/>
          <w:divBdr>
            <w:top w:val="none" w:sz="0" w:space="0" w:color="auto"/>
            <w:left w:val="none" w:sz="0" w:space="0" w:color="auto"/>
            <w:bottom w:val="none" w:sz="0" w:space="0" w:color="auto"/>
            <w:right w:val="none" w:sz="0" w:space="0" w:color="auto"/>
          </w:divBdr>
        </w:div>
        <w:div w:id="782577604">
          <w:marLeft w:val="274"/>
          <w:marRight w:val="0"/>
          <w:marTop w:val="0"/>
          <w:marBottom w:val="0"/>
          <w:divBdr>
            <w:top w:val="none" w:sz="0" w:space="0" w:color="auto"/>
            <w:left w:val="none" w:sz="0" w:space="0" w:color="auto"/>
            <w:bottom w:val="none" w:sz="0" w:space="0" w:color="auto"/>
            <w:right w:val="none" w:sz="0" w:space="0" w:color="auto"/>
          </w:divBdr>
        </w:div>
        <w:div w:id="1787970348">
          <w:marLeft w:val="274"/>
          <w:marRight w:val="0"/>
          <w:marTop w:val="0"/>
          <w:marBottom w:val="0"/>
          <w:divBdr>
            <w:top w:val="none" w:sz="0" w:space="0" w:color="auto"/>
            <w:left w:val="none" w:sz="0" w:space="0" w:color="auto"/>
            <w:bottom w:val="none" w:sz="0" w:space="0" w:color="auto"/>
            <w:right w:val="none" w:sz="0" w:space="0" w:color="auto"/>
          </w:divBdr>
        </w:div>
        <w:div w:id="1856259632">
          <w:marLeft w:val="274"/>
          <w:marRight w:val="0"/>
          <w:marTop w:val="0"/>
          <w:marBottom w:val="0"/>
          <w:divBdr>
            <w:top w:val="none" w:sz="0" w:space="0" w:color="auto"/>
            <w:left w:val="none" w:sz="0" w:space="0" w:color="auto"/>
            <w:bottom w:val="none" w:sz="0" w:space="0" w:color="auto"/>
            <w:right w:val="none" w:sz="0" w:space="0" w:color="auto"/>
          </w:divBdr>
        </w:div>
        <w:div w:id="283467036">
          <w:marLeft w:val="274"/>
          <w:marRight w:val="0"/>
          <w:marTop w:val="0"/>
          <w:marBottom w:val="0"/>
          <w:divBdr>
            <w:top w:val="none" w:sz="0" w:space="0" w:color="auto"/>
            <w:left w:val="none" w:sz="0" w:space="0" w:color="auto"/>
            <w:bottom w:val="none" w:sz="0" w:space="0" w:color="auto"/>
            <w:right w:val="none" w:sz="0" w:space="0" w:color="auto"/>
          </w:divBdr>
        </w:div>
        <w:div w:id="1465469819">
          <w:marLeft w:val="274"/>
          <w:marRight w:val="0"/>
          <w:marTop w:val="0"/>
          <w:marBottom w:val="0"/>
          <w:divBdr>
            <w:top w:val="none" w:sz="0" w:space="0" w:color="auto"/>
            <w:left w:val="none" w:sz="0" w:space="0" w:color="auto"/>
            <w:bottom w:val="none" w:sz="0" w:space="0" w:color="auto"/>
            <w:right w:val="none" w:sz="0" w:space="0" w:color="auto"/>
          </w:divBdr>
        </w:div>
        <w:div w:id="1333533157">
          <w:marLeft w:val="274"/>
          <w:marRight w:val="0"/>
          <w:marTop w:val="0"/>
          <w:marBottom w:val="0"/>
          <w:divBdr>
            <w:top w:val="none" w:sz="0" w:space="0" w:color="auto"/>
            <w:left w:val="none" w:sz="0" w:space="0" w:color="auto"/>
            <w:bottom w:val="none" w:sz="0" w:space="0" w:color="auto"/>
            <w:right w:val="none" w:sz="0" w:space="0" w:color="auto"/>
          </w:divBdr>
        </w:div>
        <w:div w:id="1130587570">
          <w:marLeft w:val="274"/>
          <w:marRight w:val="0"/>
          <w:marTop w:val="0"/>
          <w:marBottom w:val="0"/>
          <w:divBdr>
            <w:top w:val="none" w:sz="0" w:space="0" w:color="auto"/>
            <w:left w:val="none" w:sz="0" w:space="0" w:color="auto"/>
            <w:bottom w:val="none" w:sz="0" w:space="0" w:color="auto"/>
            <w:right w:val="none" w:sz="0" w:space="0" w:color="auto"/>
          </w:divBdr>
        </w:div>
        <w:div w:id="929700104">
          <w:marLeft w:val="274"/>
          <w:marRight w:val="0"/>
          <w:marTop w:val="0"/>
          <w:marBottom w:val="0"/>
          <w:divBdr>
            <w:top w:val="none" w:sz="0" w:space="0" w:color="auto"/>
            <w:left w:val="none" w:sz="0" w:space="0" w:color="auto"/>
            <w:bottom w:val="none" w:sz="0" w:space="0" w:color="auto"/>
            <w:right w:val="none" w:sz="0" w:space="0" w:color="auto"/>
          </w:divBdr>
        </w:div>
      </w:divsChild>
    </w:div>
    <w:div w:id="282536345">
      <w:bodyDiv w:val="1"/>
      <w:marLeft w:val="0"/>
      <w:marRight w:val="0"/>
      <w:marTop w:val="0"/>
      <w:marBottom w:val="0"/>
      <w:divBdr>
        <w:top w:val="none" w:sz="0" w:space="0" w:color="auto"/>
        <w:left w:val="none" w:sz="0" w:space="0" w:color="auto"/>
        <w:bottom w:val="none" w:sz="0" w:space="0" w:color="auto"/>
        <w:right w:val="none" w:sz="0" w:space="0" w:color="auto"/>
      </w:divBdr>
      <w:divsChild>
        <w:div w:id="552428768">
          <w:marLeft w:val="547"/>
          <w:marRight w:val="0"/>
          <w:marTop w:val="0"/>
          <w:marBottom w:val="0"/>
          <w:divBdr>
            <w:top w:val="none" w:sz="0" w:space="0" w:color="auto"/>
            <w:left w:val="none" w:sz="0" w:space="0" w:color="auto"/>
            <w:bottom w:val="none" w:sz="0" w:space="0" w:color="auto"/>
            <w:right w:val="none" w:sz="0" w:space="0" w:color="auto"/>
          </w:divBdr>
        </w:div>
        <w:div w:id="1257906103">
          <w:marLeft w:val="547"/>
          <w:marRight w:val="0"/>
          <w:marTop w:val="0"/>
          <w:marBottom w:val="0"/>
          <w:divBdr>
            <w:top w:val="none" w:sz="0" w:space="0" w:color="auto"/>
            <w:left w:val="none" w:sz="0" w:space="0" w:color="auto"/>
            <w:bottom w:val="none" w:sz="0" w:space="0" w:color="auto"/>
            <w:right w:val="none" w:sz="0" w:space="0" w:color="auto"/>
          </w:divBdr>
        </w:div>
        <w:div w:id="2007434054">
          <w:marLeft w:val="547"/>
          <w:marRight w:val="0"/>
          <w:marTop w:val="0"/>
          <w:marBottom w:val="0"/>
          <w:divBdr>
            <w:top w:val="none" w:sz="0" w:space="0" w:color="auto"/>
            <w:left w:val="none" w:sz="0" w:space="0" w:color="auto"/>
            <w:bottom w:val="none" w:sz="0" w:space="0" w:color="auto"/>
            <w:right w:val="none" w:sz="0" w:space="0" w:color="auto"/>
          </w:divBdr>
        </w:div>
      </w:divsChild>
    </w:div>
    <w:div w:id="333922019">
      <w:bodyDiv w:val="1"/>
      <w:marLeft w:val="0"/>
      <w:marRight w:val="0"/>
      <w:marTop w:val="0"/>
      <w:marBottom w:val="0"/>
      <w:divBdr>
        <w:top w:val="none" w:sz="0" w:space="0" w:color="auto"/>
        <w:left w:val="none" w:sz="0" w:space="0" w:color="auto"/>
        <w:bottom w:val="none" w:sz="0" w:space="0" w:color="auto"/>
        <w:right w:val="none" w:sz="0" w:space="0" w:color="auto"/>
      </w:divBdr>
      <w:divsChild>
        <w:div w:id="1178036263">
          <w:marLeft w:val="274"/>
          <w:marRight w:val="0"/>
          <w:marTop w:val="0"/>
          <w:marBottom w:val="0"/>
          <w:divBdr>
            <w:top w:val="none" w:sz="0" w:space="0" w:color="auto"/>
            <w:left w:val="none" w:sz="0" w:space="0" w:color="auto"/>
            <w:bottom w:val="none" w:sz="0" w:space="0" w:color="auto"/>
            <w:right w:val="none" w:sz="0" w:space="0" w:color="auto"/>
          </w:divBdr>
        </w:div>
        <w:div w:id="89738944">
          <w:marLeft w:val="274"/>
          <w:marRight w:val="0"/>
          <w:marTop w:val="0"/>
          <w:marBottom w:val="0"/>
          <w:divBdr>
            <w:top w:val="none" w:sz="0" w:space="0" w:color="auto"/>
            <w:left w:val="none" w:sz="0" w:space="0" w:color="auto"/>
            <w:bottom w:val="none" w:sz="0" w:space="0" w:color="auto"/>
            <w:right w:val="none" w:sz="0" w:space="0" w:color="auto"/>
          </w:divBdr>
        </w:div>
        <w:div w:id="176500629">
          <w:marLeft w:val="274"/>
          <w:marRight w:val="0"/>
          <w:marTop w:val="0"/>
          <w:marBottom w:val="0"/>
          <w:divBdr>
            <w:top w:val="none" w:sz="0" w:space="0" w:color="auto"/>
            <w:left w:val="none" w:sz="0" w:space="0" w:color="auto"/>
            <w:bottom w:val="none" w:sz="0" w:space="0" w:color="auto"/>
            <w:right w:val="none" w:sz="0" w:space="0" w:color="auto"/>
          </w:divBdr>
        </w:div>
        <w:div w:id="2048019716">
          <w:marLeft w:val="274"/>
          <w:marRight w:val="0"/>
          <w:marTop w:val="0"/>
          <w:marBottom w:val="0"/>
          <w:divBdr>
            <w:top w:val="none" w:sz="0" w:space="0" w:color="auto"/>
            <w:left w:val="none" w:sz="0" w:space="0" w:color="auto"/>
            <w:bottom w:val="none" w:sz="0" w:space="0" w:color="auto"/>
            <w:right w:val="none" w:sz="0" w:space="0" w:color="auto"/>
          </w:divBdr>
        </w:div>
        <w:div w:id="1338997706">
          <w:marLeft w:val="274"/>
          <w:marRight w:val="0"/>
          <w:marTop w:val="0"/>
          <w:marBottom w:val="0"/>
          <w:divBdr>
            <w:top w:val="none" w:sz="0" w:space="0" w:color="auto"/>
            <w:left w:val="none" w:sz="0" w:space="0" w:color="auto"/>
            <w:bottom w:val="none" w:sz="0" w:space="0" w:color="auto"/>
            <w:right w:val="none" w:sz="0" w:space="0" w:color="auto"/>
          </w:divBdr>
        </w:div>
        <w:div w:id="1814979189">
          <w:marLeft w:val="274"/>
          <w:marRight w:val="0"/>
          <w:marTop w:val="0"/>
          <w:marBottom w:val="0"/>
          <w:divBdr>
            <w:top w:val="none" w:sz="0" w:space="0" w:color="auto"/>
            <w:left w:val="none" w:sz="0" w:space="0" w:color="auto"/>
            <w:bottom w:val="none" w:sz="0" w:space="0" w:color="auto"/>
            <w:right w:val="none" w:sz="0" w:space="0" w:color="auto"/>
          </w:divBdr>
        </w:div>
        <w:div w:id="684526786">
          <w:marLeft w:val="274"/>
          <w:marRight w:val="0"/>
          <w:marTop w:val="0"/>
          <w:marBottom w:val="0"/>
          <w:divBdr>
            <w:top w:val="none" w:sz="0" w:space="0" w:color="auto"/>
            <w:left w:val="none" w:sz="0" w:space="0" w:color="auto"/>
            <w:bottom w:val="none" w:sz="0" w:space="0" w:color="auto"/>
            <w:right w:val="none" w:sz="0" w:space="0" w:color="auto"/>
          </w:divBdr>
        </w:div>
        <w:div w:id="1744646273">
          <w:marLeft w:val="274"/>
          <w:marRight w:val="0"/>
          <w:marTop w:val="0"/>
          <w:marBottom w:val="0"/>
          <w:divBdr>
            <w:top w:val="none" w:sz="0" w:space="0" w:color="auto"/>
            <w:left w:val="none" w:sz="0" w:space="0" w:color="auto"/>
            <w:bottom w:val="none" w:sz="0" w:space="0" w:color="auto"/>
            <w:right w:val="none" w:sz="0" w:space="0" w:color="auto"/>
          </w:divBdr>
        </w:div>
        <w:div w:id="123626140">
          <w:marLeft w:val="274"/>
          <w:marRight w:val="0"/>
          <w:marTop w:val="0"/>
          <w:marBottom w:val="0"/>
          <w:divBdr>
            <w:top w:val="none" w:sz="0" w:space="0" w:color="auto"/>
            <w:left w:val="none" w:sz="0" w:space="0" w:color="auto"/>
            <w:bottom w:val="none" w:sz="0" w:space="0" w:color="auto"/>
            <w:right w:val="none" w:sz="0" w:space="0" w:color="auto"/>
          </w:divBdr>
        </w:div>
        <w:div w:id="1087844819">
          <w:marLeft w:val="274"/>
          <w:marRight w:val="0"/>
          <w:marTop w:val="0"/>
          <w:marBottom w:val="0"/>
          <w:divBdr>
            <w:top w:val="none" w:sz="0" w:space="0" w:color="auto"/>
            <w:left w:val="none" w:sz="0" w:space="0" w:color="auto"/>
            <w:bottom w:val="none" w:sz="0" w:space="0" w:color="auto"/>
            <w:right w:val="none" w:sz="0" w:space="0" w:color="auto"/>
          </w:divBdr>
        </w:div>
        <w:div w:id="1439443576">
          <w:marLeft w:val="274"/>
          <w:marRight w:val="0"/>
          <w:marTop w:val="0"/>
          <w:marBottom w:val="0"/>
          <w:divBdr>
            <w:top w:val="none" w:sz="0" w:space="0" w:color="auto"/>
            <w:left w:val="none" w:sz="0" w:space="0" w:color="auto"/>
            <w:bottom w:val="none" w:sz="0" w:space="0" w:color="auto"/>
            <w:right w:val="none" w:sz="0" w:space="0" w:color="auto"/>
          </w:divBdr>
        </w:div>
        <w:div w:id="380134343">
          <w:marLeft w:val="274"/>
          <w:marRight w:val="0"/>
          <w:marTop w:val="0"/>
          <w:marBottom w:val="0"/>
          <w:divBdr>
            <w:top w:val="none" w:sz="0" w:space="0" w:color="auto"/>
            <w:left w:val="none" w:sz="0" w:space="0" w:color="auto"/>
            <w:bottom w:val="none" w:sz="0" w:space="0" w:color="auto"/>
            <w:right w:val="none" w:sz="0" w:space="0" w:color="auto"/>
          </w:divBdr>
        </w:div>
        <w:div w:id="2123457694">
          <w:marLeft w:val="274"/>
          <w:marRight w:val="0"/>
          <w:marTop w:val="0"/>
          <w:marBottom w:val="0"/>
          <w:divBdr>
            <w:top w:val="none" w:sz="0" w:space="0" w:color="auto"/>
            <w:left w:val="none" w:sz="0" w:space="0" w:color="auto"/>
            <w:bottom w:val="none" w:sz="0" w:space="0" w:color="auto"/>
            <w:right w:val="none" w:sz="0" w:space="0" w:color="auto"/>
          </w:divBdr>
        </w:div>
        <w:div w:id="1074012148">
          <w:marLeft w:val="274"/>
          <w:marRight w:val="0"/>
          <w:marTop w:val="0"/>
          <w:marBottom w:val="0"/>
          <w:divBdr>
            <w:top w:val="none" w:sz="0" w:space="0" w:color="auto"/>
            <w:left w:val="none" w:sz="0" w:space="0" w:color="auto"/>
            <w:bottom w:val="none" w:sz="0" w:space="0" w:color="auto"/>
            <w:right w:val="none" w:sz="0" w:space="0" w:color="auto"/>
          </w:divBdr>
        </w:div>
        <w:div w:id="591427443">
          <w:marLeft w:val="274"/>
          <w:marRight w:val="0"/>
          <w:marTop w:val="0"/>
          <w:marBottom w:val="0"/>
          <w:divBdr>
            <w:top w:val="none" w:sz="0" w:space="0" w:color="auto"/>
            <w:left w:val="none" w:sz="0" w:space="0" w:color="auto"/>
            <w:bottom w:val="none" w:sz="0" w:space="0" w:color="auto"/>
            <w:right w:val="none" w:sz="0" w:space="0" w:color="auto"/>
          </w:divBdr>
        </w:div>
        <w:div w:id="1467048867">
          <w:marLeft w:val="274"/>
          <w:marRight w:val="0"/>
          <w:marTop w:val="0"/>
          <w:marBottom w:val="0"/>
          <w:divBdr>
            <w:top w:val="none" w:sz="0" w:space="0" w:color="auto"/>
            <w:left w:val="none" w:sz="0" w:space="0" w:color="auto"/>
            <w:bottom w:val="none" w:sz="0" w:space="0" w:color="auto"/>
            <w:right w:val="none" w:sz="0" w:space="0" w:color="auto"/>
          </w:divBdr>
        </w:div>
        <w:div w:id="1259023794">
          <w:marLeft w:val="274"/>
          <w:marRight w:val="0"/>
          <w:marTop w:val="0"/>
          <w:marBottom w:val="0"/>
          <w:divBdr>
            <w:top w:val="none" w:sz="0" w:space="0" w:color="auto"/>
            <w:left w:val="none" w:sz="0" w:space="0" w:color="auto"/>
            <w:bottom w:val="none" w:sz="0" w:space="0" w:color="auto"/>
            <w:right w:val="none" w:sz="0" w:space="0" w:color="auto"/>
          </w:divBdr>
        </w:div>
        <w:div w:id="1148130995">
          <w:marLeft w:val="274"/>
          <w:marRight w:val="0"/>
          <w:marTop w:val="0"/>
          <w:marBottom w:val="0"/>
          <w:divBdr>
            <w:top w:val="none" w:sz="0" w:space="0" w:color="auto"/>
            <w:left w:val="none" w:sz="0" w:space="0" w:color="auto"/>
            <w:bottom w:val="none" w:sz="0" w:space="0" w:color="auto"/>
            <w:right w:val="none" w:sz="0" w:space="0" w:color="auto"/>
          </w:divBdr>
        </w:div>
        <w:div w:id="640621093">
          <w:marLeft w:val="274"/>
          <w:marRight w:val="0"/>
          <w:marTop w:val="0"/>
          <w:marBottom w:val="0"/>
          <w:divBdr>
            <w:top w:val="none" w:sz="0" w:space="0" w:color="auto"/>
            <w:left w:val="none" w:sz="0" w:space="0" w:color="auto"/>
            <w:bottom w:val="none" w:sz="0" w:space="0" w:color="auto"/>
            <w:right w:val="none" w:sz="0" w:space="0" w:color="auto"/>
          </w:divBdr>
        </w:div>
      </w:divsChild>
    </w:div>
    <w:div w:id="473765180">
      <w:bodyDiv w:val="1"/>
      <w:marLeft w:val="0"/>
      <w:marRight w:val="0"/>
      <w:marTop w:val="0"/>
      <w:marBottom w:val="0"/>
      <w:divBdr>
        <w:top w:val="none" w:sz="0" w:space="0" w:color="auto"/>
        <w:left w:val="none" w:sz="0" w:space="0" w:color="auto"/>
        <w:bottom w:val="none" w:sz="0" w:space="0" w:color="auto"/>
        <w:right w:val="none" w:sz="0" w:space="0" w:color="auto"/>
      </w:divBdr>
    </w:div>
    <w:div w:id="751008329">
      <w:bodyDiv w:val="1"/>
      <w:marLeft w:val="0"/>
      <w:marRight w:val="0"/>
      <w:marTop w:val="0"/>
      <w:marBottom w:val="0"/>
      <w:divBdr>
        <w:top w:val="none" w:sz="0" w:space="0" w:color="auto"/>
        <w:left w:val="none" w:sz="0" w:space="0" w:color="auto"/>
        <w:bottom w:val="none" w:sz="0" w:space="0" w:color="auto"/>
        <w:right w:val="none" w:sz="0" w:space="0" w:color="auto"/>
      </w:divBdr>
    </w:div>
    <w:div w:id="1083799038">
      <w:bodyDiv w:val="1"/>
      <w:marLeft w:val="0"/>
      <w:marRight w:val="0"/>
      <w:marTop w:val="0"/>
      <w:marBottom w:val="0"/>
      <w:divBdr>
        <w:top w:val="none" w:sz="0" w:space="0" w:color="auto"/>
        <w:left w:val="none" w:sz="0" w:space="0" w:color="auto"/>
        <w:bottom w:val="none" w:sz="0" w:space="0" w:color="auto"/>
        <w:right w:val="none" w:sz="0" w:space="0" w:color="auto"/>
      </w:divBdr>
    </w:div>
    <w:div w:id="1235436454">
      <w:bodyDiv w:val="1"/>
      <w:marLeft w:val="0"/>
      <w:marRight w:val="0"/>
      <w:marTop w:val="0"/>
      <w:marBottom w:val="0"/>
      <w:divBdr>
        <w:top w:val="none" w:sz="0" w:space="0" w:color="auto"/>
        <w:left w:val="none" w:sz="0" w:space="0" w:color="auto"/>
        <w:bottom w:val="none" w:sz="0" w:space="0" w:color="auto"/>
        <w:right w:val="none" w:sz="0" w:space="0" w:color="auto"/>
      </w:divBdr>
      <w:divsChild>
        <w:div w:id="1295016374">
          <w:marLeft w:val="274"/>
          <w:marRight w:val="0"/>
          <w:marTop w:val="0"/>
          <w:marBottom w:val="0"/>
          <w:divBdr>
            <w:top w:val="none" w:sz="0" w:space="0" w:color="auto"/>
            <w:left w:val="none" w:sz="0" w:space="0" w:color="auto"/>
            <w:bottom w:val="none" w:sz="0" w:space="0" w:color="auto"/>
            <w:right w:val="none" w:sz="0" w:space="0" w:color="auto"/>
          </w:divBdr>
        </w:div>
        <w:div w:id="1600023961">
          <w:marLeft w:val="274"/>
          <w:marRight w:val="0"/>
          <w:marTop w:val="0"/>
          <w:marBottom w:val="0"/>
          <w:divBdr>
            <w:top w:val="none" w:sz="0" w:space="0" w:color="auto"/>
            <w:left w:val="none" w:sz="0" w:space="0" w:color="auto"/>
            <w:bottom w:val="none" w:sz="0" w:space="0" w:color="auto"/>
            <w:right w:val="none" w:sz="0" w:space="0" w:color="auto"/>
          </w:divBdr>
        </w:div>
        <w:div w:id="1650477739">
          <w:marLeft w:val="274"/>
          <w:marRight w:val="0"/>
          <w:marTop w:val="0"/>
          <w:marBottom w:val="0"/>
          <w:divBdr>
            <w:top w:val="none" w:sz="0" w:space="0" w:color="auto"/>
            <w:left w:val="none" w:sz="0" w:space="0" w:color="auto"/>
            <w:bottom w:val="none" w:sz="0" w:space="0" w:color="auto"/>
            <w:right w:val="none" w:sz="0" w:space="0" w:color="auto"/>
          </w:divBdr>
        </w:div>
        <w:div w:id="1788309385">
          <w:marLeft w:val="274"/>
          <w:marRight w:val="0"/>
          <w:marTop w:val="0"/>
          <w:marBottom w:val="0"/>
          <w:divBdr>
            <w:top w:val="none" w:sz="0" w:space="0" w:color="auto"/>
            <w:left w:val="none" w:sz="0" w:space="0" w:color="auto"/>
            <w:bottom w:val="none" w:sz="0" w:space="0" w:color="auto"/>
            <w:right w:val="none" w:sz="0" w:space="0" w:color="auto"/>
          </w:divBdr>
        </w:div>
        <w:div w:id="1324967024">
          <w:marLeft w:val="274"/>
          <w:marRight w:val="0"/>
          <w:marTop w:val="0"/>
          <w:marBottom w:val="0"/>
          <w:divBdr>
            <w:top w:val="none" w:sz="0" w:space="0" w:color="auto"/>
            <w:left w:val="none" w:sz="0" w:space="0" w:color="auto"/>
            <w:bottom w:val="none" w:sz="0" w:space="0" w:color="auto"/>
            <w:right w:val="none" w:sz="0" w:space="0" w:color="auto"/>
          </w:divBdr>
        </w:div>
        <w:div w:id="283849959">
          <w:marLeft w:val="274"/>
          <w:marRight w:val="0"/>
          <w:marTop w:val="0"/>
          <w:marBottom w:val="0"/>
          <w:divBdr>
            <w:top w:val="none" w:sz="0" w:space="0" w:color="auto"/>
            <w:left w:val="none" w:sz="0" w:space="0" w:color="auto"/>
            <w:bottom w:val="none" w:sz="0" w:space="0" w:color="auto"/>
            <w:right w:val="none" w:sz="0" w:space="0" w:color="auto"/>
          </w:divBdr>
        </w:div>
        <w:div w:id="1886209359">
          <w:marLeft w:val="274"/>
          <w:marRight w:val="0"/>
          <w:marTop w:val="0"/>
          <w:marBottom w:val="0"/>
          <w:divBdr>
            <w:top w:val="none" w:sz="0" w:space="0" w:color="auto"/>
            <w:left w:val="none" w:sz="0" w:space="0" w:color="auto"/>
            <w:bottom w:val="none" w:sz="0" w:space="0" w:color="auto"/>
            <w:right w:val="none" w:sz="0" w:space="0" w:color="auto"/>
          </w:divBdr>
        </w:div>
        <w:div w:id="1147625904">
          <w:marLeft w:val="274"/>
          <w:marRight w:val="0"/>
          <w:marTop w:val="0"/>
          <w:marBottom w:val="0"/>
          <w:divBdr>
            <w:top w:val="none" w:sz="0" w:space="0" w:color="auto"/>
            <w:left w:val="none" w:sz="0" w:space="0" w:color="auto"/>
            <w:bottom w:val="none" w:sz="0" w:space="0" w:color="auto"/>
            <w:right w:val="none" w:sz="0" w:space="0" w:color="auto"/>
          </w:divBdr>
        </w:div>
        <w:div w:id="1180389788">
          <w:marLeft w:val="274"/>
          <w:marRight w:val="0"/>
          <w:marTop w:val="0"/>
          <w:marBottom w:val="0"/>
          <w:divBdr>
            <w:top w:val="none" w:sz="0" w:space="0" w:color="auto"/>
            <w:left w:val="none" w:sz="0" w:space="0" w:color="auto"/>
            <w:bottom w:val="none" w:sz="0" w:space="0" w:color="auto"/>
            <w:right w:val="none" w:sz="0" w:space="0" w:color="auto"/>
          </w:divBdr>
        </w:div>
        <w:div w:id="1716734644">
          <w:marLeft w:val="274"/>
          <w:marRight w:val="0"/>
          <w:marTop w:val="0"/>
          <w:marBottom w:val="0"/>
          <w:divBdr>
            <w:top w:val="none" w:sz="0" w:space="0" w:color="auto"/>
            <w:left w:val="none" w:sz="0" w:space="0" w:color="auto"/>
            <w:bottom w:val="none" w:sz="0" w:space="0" w:color="auto"/>
            <w:right w:val="none" w:sz="0" w:space="0" w:color="auto"/>
          </w:divBdr>
        </w:div>
        <w:div w:id="1630016877">
          <w:marLeft w:val="274"/>
          <w:marRight w:val="0"/>
          <w:marTop w:val="0"/>
          <w:marBottom w:val="0"/>
          <w:divBdr>
            <w:top w:val="none" w:sz="0" w:space="0" w:color="auto"/>
            <w:left w:val="none" w:sz="0" w:space="0" w:color="auto"/>
            <w:bottom w:val="none" w:sz="0" w:space="0" w:color="auto"/>
            <w:right w:val="none" w:sz="0" w:space="0" w:color="auto"/>
          </w:divBdr>
        </w:div>
        <w:div w:id="1362168325">
          <w:marLeft w:val="274"/>
          <w:marRight w:val="0"/>
          <w:marTop w:val="0"/>
          <w:marBottom w:val="0"/>
          <w:divBdr>
            <w:top w:val="none" w:sz="0" w:space="0" w:color="auto"/>
            <w:left w:val="none" w:sz="0" w:space="0" w:color="auto"/>
            <w:bottom w:val="none" w:sz="0" w:space="0" w:color="auto"/>
            <w:right w:val="none" w:sz="0" w:space="0" w:color="auto"/>
          </w:divBdr>
        </w:div>
        <w:div w:id="1937518171">
          <w:marLeft w:val="274"/>
          <w:marRight w:val="0"/>
          <w:marTop w:val="0"/>
          <w:marBottom w:val="0"/>
          <w:divBdr>
            <w:top w:val="none" w:sz="0" w:space="0" w:color="auto"/>
            <w:left w:val="none" w:sz="0" w:space="0" w:color="auto"/>
            <w:bottom w:val="none" w:sz="0" w:space="0" w:color="auto"/>
            <w:right w:val="none" w:sz="0" w:space="0" w:color="auto"/>
          </w:divBdr>
        </w:div>
        <w:div w:id="344865123">
          <w:marLeft w:val="274"/>
          <w:marRight w:val="0"/>
          <w:marTop w:val="0"/>
          <w:marBottom w:val="0"/>
          <w:divBdr>
            <w:top w:val="none" w:sz="0" w:space="0" w:color="auto"/>
            <w:left w:val="none" w:sz="0" w:space="0" w:color="auto"/>
            <w:bottom w:val="none" w:sz="0" w:space="0" w:color="auto"/>
            <w:right w:val="none" w:sz="0" w:space="0" w:color="auto"/>
          </w:divBdr>
        </w:div>
        <w:div w:id="1144590876">
          <w:marLeft w:val="274"/>
          <w:marRight w:val="0"/>
          <w:marTop w:val="0"/>
          <w:marBottom w:val="0"/>
          <w:divBdr>
            <w:top w:val="none" w:sz="0" w:space="0" w:color="auto"/>
            <w:left w:val="none" w:sz="0" w:space="0" w:color="auto"/>
            <w:bottom w:val="none" w:sz="0" w:space="0" w:color="auto"/>
            <w:right w:val="none" w:sz="0" w:space="0" w:color="auto"/>
          </w:divBdr>
        </w:div>
        <w:div w:id="1395199926">
          <w:marLeft w:val="274"/>
          <w:marRight w:val="0"/>
          <w:marTop w:val="0"/>
          <w:marBottom w:val="0"/>
          <w:divBdr>
            <w:top w:val="none" w:sz="0" w:space="0" w:color="auto"/>
            <w:left w:val="none" w:sz="0" w:space="0" w:color="auto"/>
            <w:bottom w:val="none" w:sz="0" w:space="0" w:color="auto"/>
            <w:right w:val="none" w:sz="0" w:space="0" w:color="auto"/>
          </w:divBdr>
        </w:div>
        <w:div w:id="539436678">
          <w:marLeft w:val="274"/>
          <w:marRight w:val="0"/>
          <w:marTop w:val="0"/>
          <w:marBottom w:val="0"/>
          <w:divBdr>
            <w:top w:val="none" w:sz="0" w:space="0" w:color="auto"/>
            <w:left w:val="none" w:sz="0" w:space="0" w:color="auto"/>
            <w:bottom w:val="none" w:sz="0" w:space="0" w:color="auto"/>
            <w:right w:val="none" w:sz="0" w:space="0" w:color="auto"/>
          </w:divBdr>
        </w:div>
        <w:div w:id="1749185164">
          <w:marLeft w:val="274"/>
          <w:marRight w:val="0"/>
          <w:marTop w:val="0"/>
          <w:marBottom w:val="0"/>
          <w:divBdr>
            <w:top w:val="none" w:sz="0" w:space="0" w:color="auto"/>
            <w:left w:val="none" w:sz="0" w:space="0" w:color="auto"/>
            <w:bottom w:val="none" w:sz="0" w:space="0" w:color="auto"/>
            <w:right w:val="none" w:sz="0" w:space="0" w:color="auto"/>
          </w:divBdr>
        </w:div>
        <w:div w:id="1936329413">
          <w:marLeft w:val="274"/>
          <w:marRight w:val="0"/>
          <w:marTop w:val="0"/>
          <w:marBottom w:val="0"/>
          <w:divBdr>
            <w:top w:val="none" w:sz="0" w:space="0" w:color="auto"/>
            <w:left w:val="none" w:sz="0" w:space="0" w:color="auto"/>
            <w:bottom w:val="none" w:sz="0" w:space="0" w:color="auto"/>
            <w:right w:val="none" w:sz="0" w:space="0" w:color="auto"/>
          </w:divBdr>
        </w:div>
      </w:divsChild>
    </w:div>
    <w:div w:id="1264415264">
      <w:bodyDiv w:val="1"/>
      <w:marLeft w:val="0"/>
      <w:marRight w:val="0"/>
      <w:marTop w:val="0"/>
      <w:marBottom w:val="0"/>
      <w:divBdr>
        <w:top w:val="none" w:sz="0" w:space="0" w:color="auto"/>
        <w:left w:val="none" w:sz="0" w:space="0" w:color="auto"/>
        <w:bottom w:val="none" w:sz="0" w:space="0" w:color="auto"/>
        <w:right w:val="none" w:sz="0" w:space="0" w:color="auto"/>
      </w:divBdr>
    </w:div>
    <w:div w:id="1276257348">
      <w:bodyDiv w:val="1"/>
      <w:marLeft w:val="0"/>
      <w:marRight w:val="0"/>
      <w:marTop w:val="0"/>
      <w:marBottom w:val="0"/>
      <w:divBdr>
        <w:top w:val="none" w:sz="0" w:space="0" w:color="auto"/>
        <w:left w:val="none" w:sz="0" w:space="0" w:color="auto"/>
        <w:bottom w:val="none" w:sz="0" w:space="0" w:color="auto"/>
        <w:right w:val="none" w:sz="0" w:space="0" w:color="auto"/>
      </w:divBdr>
    </w:div>
    <w:div w:id="1353649210">
      <w:bodyDiv w:val="1"/>
      <w:marLeft w:val="0"/>
      <w:marRight w:val="0"/>
      <w:marTop w:val="0"/>
      <w:marBottom w:val="0"/>
      <w:divBdr>
        <w:top w:val="none" w:sz="0" w:space="0" w:color="auto"/>
        <w:left w:val="none" w:sz="0" w:space="0" w:color="auto"/>
        <w:bottom w:val="none" w:sz="0" w:space="0" w:color="auto"/>
        <w:right w:val="none" w:sz="0" w:space="0" w:color="auto"/>
      </w:divBdr>
      <w:divsChild>
        <w:div w:id="8070275">
          <w:marLeft w:val="274"/>
          <w:marRight w:val="0"/>
          <w:marTop w:val="0"/>
          <w:marBottom w:val="0"/>
          <w:divBdr>
            <w:top w:val="none" w:sz="0" w:space="0" w:color="auto"/>
            <w:left w:val="none" w:sz="0" w:space="0" w:color="auto"/>
            <w:bottom w:val="none" w:sz="0" w:space="0" w:color="auto"/>
            <w:right w:val="none" w:sz="0" w:space="0" w:color="auto"/>
          </w:divBdr>
        </w:div>
        <w:div w:id="1369988873">
          <w:marLeft w:val="274"/>
          <w:marRight w:val="0"/>
          <w:marTop w:val="0"/>
          <w:marBottom w:val="0"/>
          <w:divBdr>
            <w:top w:val="none" w:sz="0" w:space="0" w:color="auto"/>
            <w:left w:val="none" w:sz="0" w:space="0" w:color="auto"/>
            <w:bottom w:val="none" w:sz="0" w:space="0" w:color="auto"/>
            <w:right w:val="none" w:sz="0" w:space="0" w:color="auto"/>
          </w:divBdr>
        </w:div>
        <w:div w:id="1056859782">
          <w:marLeft w:val="274"/>
          <w:marRight w:val="0"/>
          <w:marTop w:val="0"/>
          <w:marBottom w:val="0"/>
          <w:divBdr>
            <w:top w:val="none" w:sz="0" w:space="0" w:color="auto"/>
            <w:left w:val="none" w:sz="0" w:space="0" w:color="auto"/>
            <w:bottom w:val="none" w:sz="0" w:space="0" w:color="auto"/>
            <w:right w:val="none" w:sz="0" w:space="0" w:color="auto"/>
          </w:divBdr>
        </w:div>
        <w:div w:id="827868871">
          <w:marLeft w:val="274"/>
          <w:marRight w:val="0"/>
          <w:marTop w:val="0"/>
          <w:marBottom w:val="0"/>
          <w:divBdr>
            <w:top w:val="none" w:sz="0" w:space="0" w:color="auto"/>
            <w:left w:val="none" w:sz="0" w:space="0" w:color="auto"/>
            <w:bottom w:val="none" w:sz="0" w:space="0" w:color="auto"/>
            <w:right w:val="none" w:sz="0" w:space="0" w:color="auto"/>
          </w:divBdr>
        </w:div>
        <w:div w:id="693769725">
          <w:marLeft w:val="274"/>
          <w:marRight w:val="0"/>
          <w:marTop w:val="0"/>
          <w:marBottom w:val="0"/>
          <w:divBdr>
            <w:top w:val="none" w:sz="0" w:space="0" w:color="auto"/>
            <w:left w:val="none" w:sz="0" w:space="0" w:color="auto"/>
            <w:bottom w:val="none" w:sz="0" w:space="0" w:color="auto"/>
            <w:right w:val="none" w:sz="0" w:space="0" w:color="auto"/>
          </w:divBdr>
        </w:div>
        <w:div w:id="1125780743">
          <w:marLeft w:val="274"/>
          <w:marRight w:val="0"/>
          <w:marTop w:val="0"/>
          <w:marBottom w:val="0"/>
          <w:divBdr>
            <w:top w:val="none" w:sz="0" w:space="0" w:color="auto"/>
            <w:left w:val="none" w:sz="0" w:space="0" w:color="auto"/>
            <w:bottom w:val="none" w:sz="0" w:space="0" w:color="auto"/>
            <w:right w:val="none" w:sz="0" w:space="0" w:color="auto"/>
          </w:divBdr>
        </w:div>
        <w:div w:id="842821217">
          <w:marLeft w:val="274"/>
          <w:marRight w:val="0"/>
          <w:marTop w:val="0"/>
          <w:marBottom w:val="0"/>
          <w:divBdr>
            <w:top w:val="none" w:sz="0" w:space="0" w:color="auto"/>
            <w:left w:val="none" w:sz="0" w:space="0" w:color="auto"/>
            <w:bottom w:val="none" w:sz="0" w:space="0" w:color="auto"/>
            <w:right w:val="none" w:sz="0" w:space="0" w:color="auto"/>
          </w:divBdr>
        </w:div>
        <w:div w:id="425931656">
          <w:marLeft w:val="274"/>
          <w:marRight w:val="0"/>
          <w:marTop w:val="0"/>
          <w:marBottom w:val="0"/>
          <w:divBdr>
            <w:top w:val="none" w:sz="0" w:space="0" w:color="auto"/>
            <w:left w:val="none" w:sz="0" w:space="0" w:color="auto"/>
            <w:bottom w:val="none" w:sz="0" w:space="0" w:color="auto"/>
            <w:right w:val="none" w:sz="0" w:space="0" w:color="auto"/>
          </w:divBdr>
        </w:div>
        <w:div w:id="144015243">
          <w:marLeft w:val="274"/>
          <w:marRight w:val="0"/>
          <w:marTop w:val="0"/>
          <w:marBottom w:val="0"/>
          <w:divBdr>
            <w:top w:val="none" w:sz="0" w:space="0" w:color="auto"/>
            <w:left w:val="none" w:sz="0" w:space="0" w:color="auto"/>
            <w:bottom w:val="none" w:sz="0" w:space="0" w:color="auto"/>
            <w:right w:val="none" w:sz="0" w:space="0" w:color="auto"/>
          </w:divBdr>
        </w:div>
        <w:div w:id="1899631720">
          <w:marLeft w:val="274"/>
          <w:marRight w:val="0"/>
          <w:marTop w:val="0"/>
          <w:marBottom w:val="0"/>
          <w:divBdr>
            <w:top w:val="none" w:sz="0" w:space="0" w:color="auto"/>
            <w:left w:val="none" w:sz="0" w:space="0" w:color="auto"/>
            <w:bottom w:val="none" w:sz="0" w:space="0" w:color="auto"/>
            <w:right w:val="none" w:sz="0" w:space="0" w:color="auto"/>
          </w:divBdr>
        </w:div>
        <w:div w:id="2071489868">
          <w:marLeft w:val="274"/>
          <w:marRight w:val="0"/>
          <w:marTop w:val="0"/>
          <w:marBottom w:val="0"/>
          <w:divBdr>
            <w:top w:val="none" w:sz="0" w:space="0" w:color="auto"/>
            <w:left w:val="none" w:sz="0" w:space="0" w:color="auto"/>
            <w:bottom w:val="none" w:sz="0" w:space="0" w:color="auto"/>
            <w:right w:val="none" w:sz="0" w:space="0" w:color="auto"/>
          </w:divBdr>
        </w:div>
        <w:div w:id="1352684192">
          <w:marLeft w:val="274"/>
          <w:marRight w:val="0"/>
          <w:marTop w:val="0"/>
          <w:marBottom w:val="0"/>
          <w:divBdr>
            <w:top w:val="none" w:sz="0" w:space="0" w:color="auto"/>
            <w:left w:val="none" w:sz="0" w:space="0" w:color="auto"/>
            <w:bottom w:val="none" w:sz="0" w:space="0" w:color="auto"/>
            <w:right w:val="none" w:sz="0" w:space="0" w:color="auto"/>
          </w:divBdr>
        </w:div>
        <w:div w:id="1745375168">
          <w:marLeft w:val="274"/>
          <w:marRight w:val="0"/>
          <w:marTop w:val="0"/>
          <w:marBottom w:val="0"/>
          <w:divBdr>
            <w:top w:val="none" w:sz="0" w:space="0" w:color="auto"/>
            <w:left w:val="none" w:sz="0" w:space="0" w:color="auto"/>
            <w:bottom w:val="none" w:sz="0" w:space="0" w:color="auto"/>
            <w:right w:val="none" w:sz="0" w:space="0" w:color="auto"/>
          </w:divBdr>
        </w:div>
        <w:div w:id="93207215">
          <w:marLeft w:val="274"/>
          <w:marRight w:val="0"/>
          <w:marTop w:val="0"/>
          <w:marBottom w:val="0"/>
          <w:divBdr>
            <w:top w:val="none" w:sz="0" w:space="0" w:color="auto"/>
            <w:left w:val="none" w:sz="0" w:space="0" w:color="auto"/>
            <w:bottom w:val="none" w:sz="0" w:space="0" w:color="auto"/>
            <w:right w:val="none" w:sz="0" w:space="0" w:color="auto"/>
          </w:divBdr>
        </w:div>
        <w:div w:id="615327981">
          <w:marLeft w:val="274"/>
          <w:marRight w:val="0"/>
          <w:marTop w:val="0"/>
          <w:marBottom w:val="0"/>
          <w:divBdr>
            <w:top w:val="none" w:sz="0" w:space="0" w:color="auto"/>
            <w:left w:val="none" w:sz="0" w:space="0" w:color="auto"/>
            <w:bottom w:val="none" w:sz="0" w:space="0" w:color="auto"/>
            <w:right w:val="none" w:sz="0" w:space="0" w:color="auto"/>
          </w:divBdr>
        </w:div>
        <w:div w:id="1808425342">
          <w:marLeft w:val="274"/>
          <w:marRight w:val="0"/>
          <w:marTop w:val="0"/>
          <w:marBottom w:val="0"/>
          <w:divBdr>
            <w:top w:val="none" w:sz="0" w:space="0" w:color="auto"/>
            <w:left w:val="none" w:sz="0" w:space="0" w:color="auto"/>
            <w:bottom w:val="none" w:sz="0" w:space="0" w:color="auto"/>
            <w:right w:val="none" w:sz="0" w:space="0" w:color="auto"/>
          </w:divBdr>
        </w:div>
        <w:div w:id="466702447">
          <w:marLeft w:val="274"/>
          <w:marRight w:val="0"/>
          <w:marTop w:val="0"/>
          <w:marBottom w:val="0"/>
          <w:divBdr>
            <w:top w:val="none" w:sz="0" w:space="0" w:color="auto"/>
            <w:left w:val="none" w:sz="0" w:space="0" w:color="auto"/>
            <w:bottom w:val="none" w:sz="0" w:space="0" w:color="auto"/>
            <w:right w:val="none" w:sz="0" w:space="0" w:color="auto"/>
          </w:divBdr>
        </w:div>
        <w:div w:id="215315994">
          <w:marLeft w:val="274"/>
          <w:marRight w:val="0"/>
          <w:marTop w:val="0"/>
          <w:marBottom w:val="0"/>
          <w:divBdr>
            <w:top w:val="none" w:sz="0" w:space="0" w:color="auto"/>
            <w:left w:val="none" w:sz="0" w:space="0" w:color="auto"/>
            <w:bottom w:val="none" w:sz="0" w:space="0" w:color="auto"/>
            <w:right w:val="none" w:sz="0" w:space="0" w:color="auto"/>
          </w:divBdr>
        </w:div>
        <w:div w:id="1484616573">
          <w:marLeft w:val="274"/>
          <w:marRight w:val="0"/>
          <w:marTop w:val="0"/>
          <w:marBottom w:val="0"/>
          <w:divBdr>
            <w:top w:val="none" w:sz="0" w:space="0" w:color="auto"/>
            <w:left w:val="none" w:sz="0" w:space="0" w:color="auto"/>
            <w:bottom w:val="none" w:sz="0" w:space="0" w:color="auto"/>
            <w:right w:val="none" w:sz="0" w:space="0" w:color="auto"/>
          </w:divBdr>
        </w:div>
        <w:div w:id="1023631438">
          <w:marLeft w:val="274"/>
          <w:marRight w:val="0"/>
          <w:marTop w:val="0"/>
          <w:marBottom w:val="0"/>
          <w:divBdr>
            <w:top w:val="none" w:sz="0" w:space="0" w:color="auto"/>
            <w:left w:val="none" w:sz="0" w:space="0" w:color="auto"/>
            <w:bottom w:val="none" w:sz="0" w:space="0" w:color="auto"/>
            <w:right w:val="none" w:sz="0" w:space="0" w:color="auto"/>
          </w:divBdr>
        </w:div>
        <w:div w:id="526648159">
          <w:marLeft w:val="274"/>
          <w:marRight w:val="0"/>
          <w:marTop w:val="0"/>
          <w:marBottom w:val="0"/>
          <w:divBdr>
            <w:top w:val="none" w:sz="0" w:space="0" w:color="auto"/>
            <w:left w:val="none" w:sz="0" w:space="0" w:color="auto"/>
            <w:bottom w:val="none" w:sz="0" w:space="0" w:color="auto"/>
            <w:right w:val="none" w:sz="0" w:space="0" w:color="auto"/>
          </w:divBdr>
        </w:div>
        <w:div w:id="2042045911">
          <w:marLeft w:val="274"/>
          <w:marRight w:val="0"/>
          <w:marTop w:val="0"/>
          <w:marBottom w:val="0"/>
          <w:divBdr>
            <w:top w:val="none" w:sz="0" w:space="0" w:color="auto"/>
            <w:left w:val="none" w:sz="0" w:space="0" w:color="auto"/>
            <w:bottom w:val="none" w:sz="0" w:space="0" w:color="auto"/>
            <w:right w:val="none" w:sz="0" w:space="0" w:color="auto"/>
          </w:divBdr>
        </w:div>
        <w:div w:id="1415516429">
          <w:marLeft w:val="274"/>
          <w:marRight w:val="0"/>
          <w:marTop w:val="0"/>
          <w:marBottom w:val="0"/>
          <w:divBdr>
            <w:top w:val="none" w:sz="0" w:space="0" w:color="auto"/>
            <w:left w:val="none" w:sz="0" w:space="0" w:color="auto"/>
            <w:bottom w:val="none" w:sz="0" w:space="0" w:color="auto"/>
            <w:right w:val="none" w:sz="0" w:space="0" w:color="auto"/>
          </w:divBdr>
        </w:div>
        <w:div w:id="1961035393">
          <w:marLeft w:val="274"/>
          <w:marRight w:val="0"/>
          <w:marTop w:val="0"/>
          <w:marBottom w:val="0"/>
          <w:divBdr>
            <w:top w:val="none" w:sz="0" w:space="0" w:color="auto"/>
            <w:left w:val="none" w:sz="0" w:space="0" w:color="auto"/>
            <w:bottom w:val="none" w:sz="0" w:space="0" w:color="auto"/>
            <w:right w:val="none" w:sz="0" w:space="0" w:color="auto"/>
          </w:divBdr>
        </w:div>
        <w:div w:id="511722654">
          <w:marLeft w:val="274"/>
          <w:marRight w:val="0"/>
          <w:marTop w:val="0"/>
          <w:marBottom w:val="0"/>
          <w:divBdr>
            <w:top w:val="none" w:sz="0" w:space="0" w:color="auto"/>
            <w:left w:val="none" w:sz="0" w:space="0" w:color="auto"/>
            <w:bottom w:val="none" w:sz="0" w:space="0" w:color="auto"/>
            <w:right w:val="none" w:sz="0" w:space="0" w:color="auto"/>
          </w:divBdr>
        </w:div>
        <w:div w:id="370497797">
          <w:marLeft w:val="274"/>
          <w:marRight w:val="0"/>
          <w:marTop w:val="0"/>
          <w:marBottom w:val="0"/>
          <w:divBdr>
            <w:top w:val="none" w:sz="0" w:space="0" w:color="auto"/>
            <w:left w:val="none" w:sz="0" w:space="0" w:color="auto"/>
            <w:bottom w:val="none" w:sz="0" w:space="0" w:color="auto"/>
            <w:right w:val="none" w:sz="0" w:space="0" w:color="auto"/>
          </w:divBdr>
        </w:div>
        <w:div w:id="1782991036">
          <w:marLeft w:val="274"/>
          <w:marRight w:val="0"/>
          <w:marTop w:val="0"/>
          <w:marBottom w:val="0"/>
          <w:divBdr>
            <w:top w:val="none" w:sz="0" w:space="0" w:color="auto"/>
            <w:left w:val="none" w:sz="0" w:space="0" w:color="auto"/>
            <w:bottom w:val="none" w:sz="0" w:space="0" w:color="auto"/>
            <w:right w:val="none" w:sz="0" w:space="0" w:color="auto"/>
          </w:divBdr>
        </w:div>
        <w:div w:id="353458157">
          <w:marLeft w:val="274"/>
          <w:marRight w:val="0"/>
          <w:marTop w:val="0"/>
          <w:marBottom w:val="0"/>
          <w:divBdr>
            <w:top w:val="none" w:sz="0" w:space="0" w:color="auto"/>
            <w:left w:val="none" w:sz="0" w:space="0" w:color="auto"/>
            <w:bottom w:val="none" w:sz="0" w:space="0" w:color="auto"/>
            <w:right w:val="none" w:sz="0" w:space="0" w:color="auto"/>
          </w:divBdr>
        </w:div>
        <w:div w:id="1799030185">
          <w:marLeft w:val="274"/>
          <w:marRight w:val="0"/>
          <w:marTop w:val="0"/>
          <w:marBottom w:val="0"/>
          <w:divBdr>
            <w:top w:val="none" w:sz="0" w:space="0" w:color="auto"/>
            <w:left w:val="none" w:sz="0" w:space="0" w:color="auto"/>
            <w:bottom w:val="none" w:sz="0" w:space="0" w:color="auto"/>
            <w:right w:val="none" w:sz="0" w:space="0" w:color="auto"/>
          </w:divBdr>
        </w:div>
        <w:div w:id="503513157">
          <w:marLeft w:val="274"/>
          <w:marRight w:val="0"/>
          <w:marTop w:val="0"/>
          <w:marBottom w:val="0"/>
          <w:divBdr>
            <w:top w:val="none" w:sz="0" w:space="0" w:color="auto"/>
            <w:left w:val="none" w:sz="0" w:space="0" w:color="auto"/>
            <w:bottom w:val="none" w:sz="0" w:space="0" w:color="auto"/>
            <w:right w:val="none" w:sz="0" w:space="0" w:color="auto"/>
          </w:divBdr>
        </w:div>
        <w:div w:id="1092359566">
          <w:marLeft w:val="274"/>
          <w:marRight w:val="0"/>
          <w:marTop w:val="0"/>
          <w:marBottom w:val="0"/>
          <w:divBdr>
            <w:top w:val="none" w:sz="0" w:space="0" w:color="auto"/>
            <w:left w:val="none" w:sz="0" w:space="0" w:color="auto"/>
            <w:bottom w:val="none" w:sz="0" w:space="0" w:color="auto"/>
            <w:right w:val="none" w:sz="0" w:space="0" w:color="auto"/>
          </w:divBdr>
        </w:div>
        <w:div w:id="1929534338">
          <w:marLeft w:val="274"/>
          <w:marRight w:val="0"/>
          <w:marTop w:val="0"/>
          <w:marBottom w:val="0"/>
          <w:divBdr>
            <w:top w:val="none" w:sz="0" w:space="0" w:color="auto"/>
            <w:left w:val="none" w:sz="0" w:space="0" w:color="auto"/>
            <w:bottom w:val="none" w:sz="0" w:space="0" w:color="auto"/>
            <w:right w:val="none" w:sz="0" w:space="0" w:color="auto"/>
          </w:divBdr>
        </w:div>
        <w:div w:id="462886852">
          <w:marLeft w:val="274"/>
          <w:marRight w:val="0"/>
          <w:marTop w:val="0"/>
          <w:marBottom w:val="0"/>
          <w:divBdr>
            <w:top w:val="none" w:sz="0" w:space="0" w:color="auto"/>
            <w:left w:val="none" w:sz="0" w:space="0" w:color="auto"/>
            <w:bottom w:val="none" w:sz="0" w:space="0" w:color="auto"/>
            <w:right w:val="none" w:sz="0" w:space="0" w:color="auto"/>
          </w:divBdr>
        </w:div>
        <w:div w:id="212619200">
          <w:marLeft w:val="274"/>
          <w:marRight w:val="0"/>
          <w:marTop w:val="0"/>
          <w:marBottom w:val="0"/>
          <w:divBdr>
            <w:top w:val="none" w:sz="0" w:space="0" w:color="auto"/>
            <w:left w:val="none" w:sz="0" w:space="0" w:color="auto"/>
            <w:bottom w:val="none" w:sz="0" w:space="0" w:color="auto"/>
            <w:right w:val="none" w:sz="0" w:space="0" w:color="auto"/>
          </w:divBdr>
        </w:div>
        <w:div w:id="1972635146">
          <w:marLeft w:val="274"/>
          <w:marRight w:val="0"/>
          <w:marTop w:val="0"/>
          <w:marBottom w:val="0"/>
          <w:divBdr>
            <w:top w:val="none" w:sz="0" w:space="0" w:color="auto"/>
            <w:left w:val="none" w:sz="0" w:space="0" w:color="auto"/>
            <w:bottom w:val="none" w:sz="0" w:space="0" w:color="auto"/>
            <w:right w:val="none" w:sz="0" w:space="0" w:color="auto"/>
          </w:divBdr>
        </w:div>
        <w:div w:id="1686663519">
          <w:marLeft w:val="274"/>
          <w:marRight w:val="0"/>
          <w:marTop w:val="0"/>
          <w:marBottom w:val="0"/>
          <w:divBdr>
            <w:top w:val="none" w:sz="0" w:space="0" w:color="auto"/>
            <w:left w:val="none" w:sz="0" w:space="0" w:color="auto"/>
            <w:bottom w:val="none" w:sz="0" w:space="0" w:color="auto"/>
            <w:right w:val="none" w:sz="0" w:space="0" w:color="auto"/>
          </w:divBdr>
        </w:div>
        <w:div w:id="1215463277">
          <w:marLeft w:val="274"/>
          <w:marRight w:val="0"/>
          <w:marTop w:val="0"/>
          <w:marBottom w:val="0"/>
          <w:divBdr>
            <w:top w:val="none" w:sz="0" w:space="0" w:color="auto"/>
            <w:left w:val="none" w:sz="0" w:space="0" w:color="auto"/>
            <w:bottom w:val="none" w:sz="0" w:space="0" w:color="auto"/>
            <w:right w:val="none" w:sz="0" w:space="0" w:color="auto"/>
          </w:divBdr>
        </w:div>
        <w:div w:id="1554077118">
          <w:marLeft w:val="274"/>
          <w:marRight w:val="0"/>
          <w:marTop w:val="0"/>
          <w:marBottom w:val="0"/>
          <w:divBdr>
            <w:top w:val="none" w:sz="0" w:space="0" w:color="auto"/>
            <w:left w:val="none" w:sz="0" w:space="0" w:color="auto"/>
            <w:bottom w:val="none" w:sz="0" w:space="0" w:color="auto"/>
            <w:right w:val="none" w:sz="0" w:space="0" w:color="auto"/>
          </w:divBdr>
        </w:div>
        <w:div w:id="39019039">
          <w:marLeft w:val="274"/>
          <w:marRight w:val="0"/>
          <w:marTop w:val="0"/>
          <w:marBottom w:val="0"/>
          <w:divBdr>
            <w:top w:val="none" w:sz="0" w:space="0" w:color="auto"/>
            <w:left w:val="none" w:sz="0" w:space="0" w:color="auto"/>
            <w:bottom w:val="none" w:sz="0" w:space="0" w:color="auto"/>
            <w:right w:val="none" w:sz="0" w:space="0" w:color="auto"/>
          </w:divBdr>
        </w:div>
        <w:div w:id="1422215012">
          <w:marLeft w:val="274"/>
          <w:marRight w:val="0"/>
          <w:marTop w:val="0"/>
          <w:marBottom w:val="0"/>
          <w:divBdr>
            <w:top w:val="none" w:sz="0" w:space="0" w:color="auto"/>
            <w:left w:val="none" w:sz="0" w:space="0" w:color="auto"/>
            <w:bottom w:val="none" w:sz="0" w:space="0" w:color="auto"/>
            <w:right w:val="none" w:sz="0" w:space="0" w:color="auto"/>
          </w:divBdr>
        </w:div>
        <w:div w:id="359816479">
          <w:marLeft w:val="274"/>
          <w:marRight w:val="0"/>
          <w:marTop w:val="0"/>
          <w:marBottom w:val="0"/>
          <w:divBdr>
            <w:top w:val="none" w:sz="0" w:space="0" w:color="auto"/>
            <w:left w:val="none" w:sz="0" w:space="0" w:color="auto"/>
            <w:bottom w:val="none" w:sz="0" w:space="0" w:color="auto"/>
            <w:right w:val="none" w:sz="0" w:space="0" w:color="auto"/>
          </w:divBdr>
        </w:div>
        <w:div w:id="1538349919">
          <w:marLeft w:val="274"/>
          <w:marRight w:val="0"/>
          <w:marTop w:val="0"/>
          <w:marBottom w:val="0"/>
          <w:divBdr>
            <w:top w:val="none" w:sz="0" w:space="0" w:color="auto"/>
            <w:left w:val="none" w:sz="0" w:space="0" w:color="auto"/>
            <w:bottom w:val="none" w:sz="0" w:space="0" w:color="auto"/>
            <w:right w:val="none" w:sz="0" w:space="0" w:color="auto"/>
          </w:divBdr>
        </w:div>
      </w:divsChild>
    </w:div>
    <w:div w:id="1403790476">
      <w:bodyDiv w:val="1"/>
      <w:marLeft w:val="0"/>
      <w:marRight w:val="0"/>
      <w:marTop w:val="0"/>
      <w:marBottom w:val="0"/>
      <w:divBdr>
        <w:top w:val="none" w:sz="0" w:space="0" w:color="auto"/>
        <w:left w:val="none" w:sz="0" w:space="0" w:color="auto"/>
        <w:bottom w:val="none" w:sz="0" w:space="0" w:color="auto"/>
        <w:right w:val="none" w:sz="0" w:space="0" w:color="auto"/>
      </w:divBdr>
    </w:div>
    <w:div w:id="1476336397">
      <w:bodyDiv w:val="1"/>
      <w:marLeft w:val="0"/>
      <w:marRight w:val="0"/>
      <w:marTop w:val="0"/>
      <w:marBottom w:val="0"/>
      <w:divBdr>
        <w:top w:val="none" w:sz="0" w:space="0" w:color="auto"/>
        <w:left w:val="none" w:sz="0" w:space="0" w:color="auto"/>
        <w:bottom w:val="none" w:sz="0" w:space="0" w:color="auto"/>
        <w:right w:val="none" w:sz="0" w:space="0" w:color="auto"/>
      </w:divBdr>
    </w:div>
    <w:div w:id="1482963650">
      <w:bodyDiv w:val="1"/>
      <w:marLeft w:val="0"/>
      <w:marRight w:val="0"/>
      <w:marTop w:val="0"/>
      <w:marBottom w:val="0"/>
      <w:divBdr>
        <w:top w:val="none" w:sz="0" w:space="0" w:color="auto"/>
        <w:left w:val="none" w:sz="0" w:space="0" w:color="auto"/>
        <w:bottom w:val="none" w:sz="0" w:space="0" w:color="auto"/>
        <w:right w:val="none" w:sz="0" w:space="0" w:color="auto"/>
      </w:divBdr>
      <w:divsChild>
        <w:div w:id="1389458479">
          <w:marLeft w:val="274"/>
          <w:marRight w:val="0"/>
          <w:marTop w:val="0"/>
          <w:marBottom w:val="0"/>
          <w:divBdr>
            <w:top w:val="none" w:sz="0" w:space="0" w:color="auto"/>
            <w:left w:val="none" w:sz="0" w:space="0" w:color="auto"/>
            <w:bottom w:val="none" w:sz="0" w:space="0" w:color="auto"/>
            <w:right w:val="none" w:sz="0" w:space="0" w:color="auto"/>
          </w:divBdr>
        </w:div>
        <w:div w:id="856309694">
          <w:marLeft w:val="274"/>
          <w:marRight w:val="0"/>
          <w:marTop w:val="0"/>
          <w:marBottom w:val="0"/>
          <w:divBdr>
            <w:top w:val="none" w:sz="0" w:space="0" w:color="auto"/>
            <w:left w:val="none" w:sz="0" w:space="0" w:color="auto"/>
            <w:bottom w:val="none" w:sz="0" w:space="0" w:color="auto"/>
            <w:right w:val="none" w:sz="0" w:space="0" w:color="auto"/>
          </w:divBdr>
        </w:div>
        <w:div w:id="1308783421">
          <w:marLeft w:val="274"/>
          <w:marRight w:val="0"/>
          <w:marTop w:val="0"/>
          <w:marBottom w:val="0"/>
          <w:divBdr>
            <w:top w:val="none" w:sz="0" w:space="0" w:color="auto"/>
            <w:left w:val="none" w:sz="0" w:space="0" w:color="auto"/>
            <w:bottom w:val="none" w:sz="0" w:space="0" w:color="auto"/>
            <w:right w:val="none" w:sz="0" w:space="0" w:color="auto"/>
          </w:divBdr>
        </w:div>
        <w:div w:id="163129160">
          <w:marLeft w:val="274"/>
          <w:marRight w:val="0"/>
          <w:marTop w:val="0"/>
          <w:marBottom w:val="0"/>
          <w:divBdr>
            <w:top w:val="none" w:sz="0" w:space="0" w:color="auto"/>
            <w:left w:val="none" w:sz="0" w:space="0" w:color="auto"/>
            <w:bottom w:val="none" w:sz="0" w:space="0" w:color="auto"/>
            <w:right w:val="none" w:sz="0" w:space="0" w:color="auto"/>
          </w:divBdr>
        </w:div>
        <w:div w:id="470097355">
          <w:marLeft w:val="274"/>
          <w:marRight w:val="0"/>
          <w:marTop w:val="0"/>
          <w:marBottom w:val="0"/>
          <w:divBdr>
            <w:top w:val="none" w:sz="0" w:space="0" w:color="auto"/>
            <w:left w:val="none" w:sz="0" w:space="0" w:color="auto"/>
            <w:bottom w:val="none" w:sz="0" w:space="0" w:color="auto"/>
            <w:right w:val="none" w:sz="0" w:space="0" w:color="auto"/>
          </w:divBdr>
        </w:div>
        <w:div w:id="900792775">
          <w:marLeft w:val="274"/>
          <w:marRight w:val="0"/>
          <w:marTop w:val="0"/>
          <w:marBottom w:val="0"/>
          <w:divBdr>
            <w:top w:val="none" w:sz="0" w:space="0" w:color="auto"/>
            <w:left w:val="none" w:sz="0" w:space="0" w:color="auto"/>
            <w:bottom w:val="none" w:sz="0" w:space="0" w:color="auto"/>
            <w:right w:val="none" w:sz="0" w:space="0" w:color="auto"/>
          </w:divBdr>
        </w:div>
        <w:div w:id="999773836">
          <w:marLeft w:val="274"/>
          <w:marRight w:val="0"/>
          <w:marTop w:val="0"/>
          <w:marBottom w:val="0"/>
          <w:divBdr>
            <w:top w:val="none" w:sz="0" w:space="0" w:color="auto"/>
            <w:left w:val="none" w:sz="0" w:space="0" w:color="auto"/>
            <w:bottom w:val="none" w:sz="0" w:space="0" w:color="auto"/>
            <w:right w:val="none" w:sz="0" w:space="0" w:color="auto"/>
          </w:divBdr>
        </w:div>
        <w:div w:id="1551380413">
          <w:marLeft w:val="274"/>
          <w:marRight w:val="0"/>
          <w:marTop w:val="0"/>
          <w:marBottom w:val="0"/>
          <w:divBdr>
            <w:top w:val="none" w:sz="0" w:space="0" w:color="auto"/>
            <w:left w:val="none" w:sz="0" w:space="0" w:color="auto"/>
            <w:bottom w:val="none" w:sz="0" w:space="0" w:color="auto"/>
            <w:right w:val="none" w:sz="0" w:space="0" w:color="auto"/>
          </w:divBdr>
        </w:div>
        <w:div w:id="2143231573">
          <w:marLeft w:val="274"/>
          <w:marRight w:val="0"/>
          <w:marTop w:val="0"/>
          <w:marBottom w:val="0"/>
          <w:divBdr>
            <w:top w:val="none" w:sz="0" w:space="0" w:color="auto"/>
            <w:left w:val="none" w:sz="0" w:space="0" w:color="auto"/>
            <w:bottom w:val="none" w:sz="0" w:space="0" w:color="auto"/>
            <w:right w:val="none" w:sz="0" w:space="0" w:color="auto"/>
          </w:divBdr>
        </w:div>
        <w:div w:id="747071749">
          <w:marLeft w:val="274"/>
          <w:marRight w:val="0"/>
          <w:marTop w:val="0"/>
          <w:marBottom w:val="0"/>
          <w:divBdr>
            <w:top w:val="none" w:sz="0" w:space="0" w:color="auto"/>
            <w:left w:val="none" w:sz="0" w:space="0" w:color="auto"/>
            <w:bottom w:val="none" w:sz="0" w:space="0" w:color="auto"/>
            <w:right w:val="none" w:sz="0" w:space="0" w:color="auto"/>
          </w:divBdr>
        </w:div>
        <w:div w:id="600341294">
          <w:marLeft w:val="274"/>
          <w:marRight w:val="0"/>
          <w:marTop w:val="0"/>
          <w:marBottom w:val="0"/>
          <w:divBdr>
            <w:top w:val="none" w:sz="0" w:space="0" w:color="auto"/>
            <w:left w:val="none" w:sz="0" w:space="0" w:color="auto"/>
            <w:bottom w:val="none" w:sz="0" w:space="0" w:color="auto"/>
            <w:right w:val="none" w:sz="0" w:space="0" w:color="auto"/>
          </w:divBdr>
        </w:div>
        <w:div w:id="1226451249">
          <w:marLeft w:val="274"/>
          <w:marRight w:val="0"/>
          <w:marTop w:val="0"/>
          <w:marBottom w:val="0"/>
          <w:divBdr>
            <w:top w:val="none" w:sz="0" w:space="0" w:color="auto"/>
            <w:left w:val="none" w:sz="0" w:space="0" w:color="auto"/>
            <w:bottom w:val="none" w:sz="0" w:space="0" w:color="auto"/>
            <w:right w:val="none" w:sz="0" w:space="0" w:color="auto"/>
          </w:divBdr>
        </w:div>
        <w:div w:id="73673205">
          <w:marLeft w:val="274"/>
          <w:marRight w:val="0"/>
          <w:marTop w:val="0"/>
          <w:marBottom w:val="0"/>
          <w:divBdr>
            <w:top w:val="none" w:sz="0" w:space="0" w:color="auto"/>
            <w:left w:val="none" w:sz="0" w:space="0" w:color="auto"/>
            <w:bottom w:val="none" w:sz="0" w:space="0" w:color="auto"/>
            <w:right w:val="none" w:sz="0" w:space="0" w:color="auto"/>
          </w:divBdr>
        </w:div>
        <w:div w:id="1584490504">
          <w:marLeft w:val="274"/>
          <w:marRight w:val="0"/>
          <w:marTop w:val="0"/>
          <w:marBottom w:val="0"/>
          <w:divBdr>
            <w:top w:val="none" w:sz="0" w:space="0" w:color="auto"/>
            <w:left w:val="none" w:sz="0" w:space="0" w:color="auto"/>
            <w:bottom w:val="none" w:sz="0" w:space="0" w:color="auto"/>
            <w:right w:val="none" w:sz="0" w:space="0" w:color="auto"/>
          </w:divBdr>
        </w:div>
        <w:div w:id="1195460598">
          <w:marLeft w:val="274"/>
          <w:marRight w:val="0"/>
          <w:marTop w:val="0"/>
          <w:marBottom w:val="0"/>
          <w:divBdr>
            <w:top w:val="none" w:sz="0" w:space="0" w:color="auto"/>
            <w:left w:val="none" w:sz="0" w:space="0" w:color="auto"/>
            <w:bottom w:val="none" w:sz="0" w:space="0" w:color="auto"/>
            <w:right w:val="none" w:sz="0" w:space="0" w:color="auto"/>
          </w:divBdr>
        </w:div>
        <w:div w:id="1693798638">
          <w:marLeft w:val="274"/>
          <w:marRight w:val="0"/>
          <w:marTop w:val="0"/>
          <w:marBottom w:val="0"/>
          <w:divBdr>
            <w:top w:val="none" w:sz="0" w:space="0" w:color="auto"/>
            <w:left w:val="none" w:sz="0" w:space="0" w:color="auto"/>
            <w:bottom w:val="none" w:sz="0" w:space="0" w:color="auto"/>
            <w:right w:val="none" w:sz="0" w:space="0" w:color="auto"/>
          </w:divBdr>
        </w:div>
        <w:div w:id="1127235807">
          <w:marLeft w:val="274"/>
          <w:marRight w:val="0"/>
          <w:marTop w:val="0"/>
          <w:marBottom w:val="0"/>
          <w:divBdr>
            <w:top w:val="none" w:sz="0" w:space="0" w:color="auto"/>
            <w:left w:val="none" w:sz="0" w:space="0" w:color="auto"/>
            <w:bottom w:val="none" w:sz="0" w:space="0" w:color="auto"/>
            <w:right w:val="none" w:sz="0" w:space="0" w:color="auto"/>
          </w:divBdr>
        </w:div>
        <w:div w:id="98765036">
          <w:marLeft w:val="274"/>
          <w:marRight w:val="0"/>
          <w:marTop w:val="0"/>
          <w:marBottom w:val="0"/>
          <w:divBdr>
            <w:top w:val="none" w:sz="0" w:space="0" w:color="auto"/>
            <w:left w:val="none" w:sz="0" w:space="0" w:color="auto"/>
            <w:bottom w:val="none" w:sz="0" w:space="0" w:color="auto"/>
            <w:right w:val="none" w:sz="0" w:space="0" w:color="auto"/>
          </w:divBdr>
        </w:div>
        <w:div w:id="2024746433">
          <w:marLeft w:val="274"/>
          <w:marRight w:val="0"/>
          <w:marTop w:val="0"/>
          <w:marBottom w:val="0"/>
          <w:divBdr>
            <w:top w:val="none" w:sz="0" w:space="0" w:color="auto"/>
            <w:left w:val="none" w:sz="0" w:space="0" w:color="auto"/>
            <w:bottom w:val="none" w:sz="0" w:space="0" w:color="auto"/>
            <w:right w:val="none" w:sz="0" w:space="0" w:color="auto"/>
          </w:divBdr>
        </w:div>
        <w:div w:id="1346057070">
          <w:marLeft w:val="274"/>
          <w:marRight w:val="0"/>
          <w:marTop w:val="0"/>
          <w:marBottom w:val="0"/>
          <w:divBdr>
            <w:top w:val="none" w:sz="0" w:space="0" w:color="auto"/>
            <w:left w:val="none" w:sz="0" w:space="0" w:color="auto"/>
            <w:bottom w:val="none" w:sz="0" w:space="0" w:color="auto"/>
            <w:right w:val="none" w:sz="0" w:space="0" w:color="auto"/>
          </w:divBdr>
        </w:div>
        <w:div w:id="769737173">
          <w:marLeft w:val="274"/>
          <w:marRight w:val="0"/>
          <w:marTop w:val="0"/>
          <w:marBottom w:val="0"/>
          <w:divBdr>
            <w:top w:val="none" w:sz="0" w:space="0" w:color="auto"/>
            <w:left w:val="none" w:sz="0" w:space="0" w:color="auto"/>
            <w:bottom w:val="none" w:sz="0" w:space="0" w:color="auto"/>
            <w:right w:val="none" w:sz="0" w:space="0" w:color="auto"/>
          </w:divBdr>
        </w:div>
        <w:div w:id="182331015">
          <w:marLeft w:val="274"/>
          <w:marRight w:val="0"/>
          <w:marTop w:val="0"/>
          <w:marBottom w:val="0"/>
          <w:divBdr>
            <w:top w:val="none" w:sz="0" w:space="0" w:color="auto"/>
            <w:left w:val="none" w:sz="0" w:space="0" w:color="auto"/>
            <w:bottom w:val="none" w:sz="0" w:space="0" w:color="auto"/>
            <w:right w:val="none" w:sz="0" w:space="0" w:color="auto"/>
          </w:divBdr>
        </w:div>
        <w:div w:id="1170829642">
          <w:marLeft w:val="274"/>
          <w:marRight w:val="0"/>
          <w:marTop w:val="0"/>
          <w:marBottom w:val="0"/>
          <w:divBdr>
            <w:top w:val="none" w:sz="0" w:space="0" w:color="auto"/>
            <w:left w:val="none" w:sz="0" w:space="0" w:color="auto"/>
            <w:bottom w:val="none" w:sz="0" w:space="0" w:color="auto"/>
            <w:right w:val="none" w:sz="0" w:space="0" w:color="auto"/>
          </w:divBdr>
        </w:div>
        <w:div w:id="1936590377">
          <w:marLeft w:val="274"/>
          <w:marRight w:val="0"/>
          <w:marTop w:val="0"/>
          <w:marBottom w:val="0"/>
          <w:divBdr>
            <w:top w:val="none" w:sz="0" w:space="0" w:color="auto"/>
            <w:left w:val="none" w:sz="0" w:space="0" w:color="auto"/>
            <w:bottom w:val="none" w:sz="0" w:space="0" w:color="auto"/>
            <w:right w:val="none" w:sz="0" w:space="0" w:color="auto"/>
          </w:divBdr>
        </w:div>
        <w:div w:id="1644432690">
          <w:marLeft w:val="274"/>
          <w:marRight w:val="0"/>
          <w:marTop w:val="0"/>
          <w:marBottom w:val="0"/>
          <w:divBdr>
            <w:top w:val="none" w:sz="0" w:space="0" w:color="auto"/>
            <w:left w:val="none" w:sz="0" w:space="0" w:color="auto"/>
            <w:bottom w:val="none" w:sz="0" w:space="0" w:color="auto"/>
            <w:right w:val="none" w:sz="0" w:space="0" w:color="auto"/>
          </w:divBdr>
        </w:div>
        <w:div w:id="1096364706">
          <w:marLeft w:val="274"/>
          <w:marRight w:val="0"/>
          <w:marTop w:val="0"/>
          <w:marBottom w:val="0"/>
          <w:divBdr>
            <w:top w:val="none" w:sz="0" w:space="0" w:color="auto"/>
            <w:left w:val="none" w:sz="0" w:space="0" w:color="auto"/>
            <w:bottom w:val="none" w:sz="0" w:space="0" w:color="auto"/>
            <w:right w:val="none" w:sz="0" w:space="0" w:color="auto"/>
          </w:divBdr>
        </w:div>
        <w:div w:id="60254965">
          <w:marLeft w:val="274"/>
          <w:marRight w:val="0"/>
          <w:marTop w:val="0"/>
          <w:marBottom w:val="0"/>
          <w:divBdr>
            <w:top w:val="none" w:sz="0" w:space="0" w:color="auto"/>
            <w:left w:val="none" w:sz="0" w:space="0" w:color="auto"/>
            <w:bottom w:val="none" w:sz="0" w:space="0" w:color="auto"/>
            <w:right w:val="none" w:sz="0" w:space="0" w:color="auto"/>
          </w:divBdr>
        </w:div>
        <w:div w:id="905261766">
          <w:marLeft w:val="274"/>
          <w:marRight w:val="0"/>
          <w:marTop w:val="0"/>
          <w:marBottom w:val="0"/>
          <w:divBdr>
            <w:top w:val="none" w:sz="0" w:space="0" w:color="auto"/>
            <w:left w:val="none" w:sz="0" w:space="0" w:color="auto"/>
            <w:bottom w:val="none" w:sz="0" w:space="0" w:color="auto"/>
            <w:right w:val="none" w:sz="0" w:space="0" w:color="auto"/>
          </w:divBdr>
        </w:div>
        <w:div w:id="1374035983">
          <w:marLeft w:val="274"/>
          <w:marRight w:val="0"/>
          <w:marTop w:val="0"/>
          <w:marBottom w:val="0"/>
          <w:divBdr>
            <w:top w:val="none" w:sz="0" w:space="0" w:color="auto"/>
            <w:left w:val="none" w:sz="0" w:space="0" w:color="auto"/>
            <w:bottom w:val="none" w:sz="0" w:space="0" w:color="auto"/>
            <w:right w:val="none" w:sz="0" w:space="0" w:color="auto"/>
          </w:divBdr>
        </w:div>
        <w:div w:id="1476295179">
          <w:marLeft w:val="274"/>
          <w:marRight w:val="0"/>
          <w:marTop w:val="0"/>
          <w:marBottom w:val="0"/>
          <w:divBdr>
            <w:top w:val="none" w:sz="0" w:space="0" w:color="auto"/>
            <w:left w:val="none" w:sz="0" w:space="0" w:color="auto"/>
            <w:bottom w:val="none" w:sz="0" w:space="0" w:color="auto"/>
            <w:right w:val="none" w:sz="0" w:space="0" w:color="auto"/>
          </w:divBdr>
        </w:div>
        <w:div w:id="1167021002">
          <w:marLeft w:val="274"/>
          <w:marRight w:val="0"/>
          <w:marTop w:val="0"/>
          <w:marBottom w:val="0"/>
          <w:divBdr>
            <w:top w:val="none" w:sz="0" w:space="0" w:color="auto"/>
            <w:left w:val="none" w:sz="0" w:space="0" w:color="auto"/>
            <w:bottom w:val="none" w:sz="0" w:space="0" w:color="auto"/>
            <w:right w:val="none" w:sz="0" w:space="0" w:color="auto"/>
          </w:divBdr>
        </w:div>
        <w:div w:id="1443066005">
          <w:marLeft w:val="274"/>
          <w:marRight w:val="0"/>
          <w:marTop w:val="0"/>
          <w:marBottom w:val="0"/>
          <w:divBdr>
            <w:top w:val="none" w:sz="0" w:space="0" w:color="auto"/>
            <w:left w:val="none" w:sz="0" w:space="0" w:color="auto"/>
            <w:bottom w:val="none" w:sz="0" w:space="0" w:color="auto"/>
            <w:right w:val="none" w:sz="0" w:space="0" w:color="auto"/>
          </w:divBdr>
        </w:div>
        <w:div w:id="2090424862">
          <w:marLeft w:val="274"/>
          <w:marRight w:val="0"/>
          <w:marTop w:val="0"/>
          <w:marBottom w:val="0"/>
          <w:divBdr>
            <w:top w:val="none" w:sz="0" w:space="0" w:color="auto"/>
            <w:left w:val="none" w:sz="0" w:space="0" w:color="auto"/>
            <w:bottom w:val="none" w:sz="0" w:space="0" w:color="auto"/>
            <w:right w:val="none" w:sz="0" w:space="0" w:color="auto"/>
          </w:divBdr>
        </w:div>
        <w:div w:id="512839374">
          <w:marLeft w:val="274"/>
          <w:marRight w:val="0"/>
          <w:marTop w:val="0"/>
          <w:marBottom w:val="0"/>
          <w:divBdr>
            <w:top w:val="none" w:sz="0" w:space="0" w:color="auto"/>
            <w:left w:val="none" w:sz="0" w:space="0" w:color="auto"/>
            <w:bottom w:val="none" w:sz="0" w:space="0" w:color="auto"/>
            <w:right w:val="none" w:sz="0" w:space="0" w:color="auto"/>
          </w:divBdr>
        </w:div>
        <w:div w:id="1583682640">
          <w:marLeft w:val="274"/>
          <w:marRight w:val="0"/>
          <w:marTop w:val="0"/>
          <w:marBottom w:val="0"/>
          <w:divBdr>
            <w:top w:val="none" w:sz="0" w:space="0" w:color="auto"/>
            <w:left w:val="none" w:sz="0" w:space="0" w:color="auto"/>
            <w:bottom w:val="none" w:sz="0" w:space="0" w:color="auto"/>
            <w:right w:val="none" w:sz="0" w:space="0" w:color="auto"/>
          </w:divBdr>
        </w:div>
        <w:div w:id="754864296">
          <w:marLeft w:val="274"/>
          <w:marRight w:val="0"/>
          <w:marTop w:val="0"/>
          <w:marBottom w:val="0"/>
          <w:divBdr>
            <w:top w:val="none" w:sz="0" w:space="0" w:color="auto"/>
            <w:left w:val="none" w:sz="0" w:space="0" w:color="auto"/>
            <w:bottom w:val="none" w:sz="0" w:space="0" w:color="auto"/>
            <w:right w:val="none" w:sz="0" w:space="0" w:color="auto"/>
          </w:divBdr>
        </w:div>
        <w:div w:id="290094274">
          <w:marLeft w:val="274"/>
          <w:marRight w:val="0"/>
          <w:marTop w:val="0"/>
          <w:marBottom w:val="0"/>
          <w:divBdr>
            <w:top w:val="none" w:sz="0" w:space="0" w:color="auto"/>
            <w:left w:val="none" w:sz="0" w:space="0" w:color="auto"/>
            <w:bottom w:val="none" w:sz="0" w:space="0" w:color="auto"/>
            <w:right w:val="none" w:sz="0" w:space="0" w:color="auto"/>
          </w:divBdr>
        </w:div>
        <w:div w:id="2096245975">
          <w:marLeft w:val="274"/>
          <w:marRight w:val="0"/>
          <w:marTop w:val="0"/>
          <w:marBottom w:val="0"/>
          <w:divBdr>
            <w:top w:val="none" w:sz="0" w:space="0" w:color="auto"/>
            <w:left w:val="none" w:sz="0" w:space="0" w:color="auto"/>
            <w:bottom w:val="none" w:sz="0" w:space="0" w:color="auto"/>
            <w:right w:val="none" w:sz="0" w:space="0" w:color="auto"/>
          </w:divBdr>
        </w:div>
        <w:div w:id="1558010075">
          <w:marLeft w:val="274"/>
          <w:marRight w:val="0"/>
          <w:marTop w:val="0"/>
          <w:marBottom w:val="0"/>
          <w:divBdr>
            <w:top w:val="none" w:sz="0" w:space="0" w:color="auto"/>
            <w:left w:val="none" w:sz="0" w:space="0" w:color="auto"/>
            <w:bottom w:val="none" w:sz="0" w:space="0" w:color="auto"/>
            <w:right w:val="none" w:sz="0" w:space="0" w:color="auto"/>
          </w:divBdr>
        </w:div>
        <w:div w:id="390616223">
          <w:marLeft w:val="274"/>
          <w:marRight w:val="0"/>
          <w:marTop w:val="0"/>
          <w:marBottom w:val="0"/>
          <w:divBdr>
            <w:top w:val="none" w:sz="0" w:space="0" w:color="auto"/>
            <w:left w:val="none" w:sz="0" w:space="0" w:color="auto"/>
            <w:bottom w:val="none" w:sz="0" w:space="0" w:color="auto"/>
            <w:right w:val="none" w:sz="0" w:space="0" w:color="auto"/>
          </w:divBdr>
        </w:div>
        <w:div w:id="1538662959">
          <w:marLeft w:val="274"/>
          <w:marRight w:val="0"/>
          <w:marTop w:val="0"/>
          <w:marBottom w:val="0"/>
          <w:divBdr>
            <w:top w:val="none" w:sz="0" w:space="0" w:color="auto"/>
            <w:left w:val="none" w:sz="0" w:space="0" w:color="auto"/>
            <w:bottom w:val="none" w:sz="0" w:space="0" w:color="auto"/>
            <w:right w:val="none" w:sz="0" w:space="0" w:color="auto"/>
          </w:divBdr>
        </w:div>
        <w:div w:id="898519512">
          <w:marLeft w:val="274"/>
          <w:marRight w:val="0"/>
          <w:marTop w:val="0"/>
          <w:marBottom w:val="0"/>
          <w:divBdr>
            <w:top w:val="none" w:sz="0" w:space="0" w:color="auto"/>
            <w:left w:val="none" w:sz="0" w:space="0" w:color="auto"/>
            <w:bottom w:val="none" w:sz="0" w:space="0" w:color="auto"/>
            <w:right w:val="none" w:sz="0" w:space="0" w:color="auto"/>
          </w:divBdr>
        </w:div>
        <w:div w:id="574364600">
          <w:marLeft w:val="274"/>
          <w:marRight w:val="0"/>
          <w:marTop w:val="0"/>
          <w:marBottom w:val="0"/>
          <w:divBdr>
            <w:top w:val="none" w:sz="0" w:space="0" w:color="auto"/>
            <w:left w:val="none" w:sz="0" w:space="0" w:color="auto"/>
            <w:bottom w:val="none" w:sz="0" w:space="0" w:color="auto"/>
            <w:right w:val="none" w:sz="0" w:space="0" w:color="auto"/>
          </w:divBdr>
        </w:div>
      </w:divsChild>
    </w:div>
    <w:div w:id="1567493189">
      <w:bodyDiv w:val="1"/>
      <w:marLeft w:val="0"/>
      <w:marRight w:val="0"/>
      <w:marTop w:val="0"/>
      <w:marBottom w:val="0"/>
      <w:divBdr>
        <w:top w:val="none" w:sz="0" w:space="0" w:color="auto"/>
        <w:left w:val="none" w:sz="0" w:space="0" w:color="auto"/>
        <w:bottom w:val="none" w:sz="0" w:space="0" w:color="auto"/>
        <w:right w:val="none" w:sz="0" w:space="0" w:color="auto"/>
      </w:divBdr>
      <w:divsChild>
        <w:div w:id="944459026">
          <w:marLeft w:val="0"/>
          <w:marRight w:val="0"/>
          <w:marTop w:val="0"/>
          <w:marBottom w:val="0"/>
          <w:divBdr>
            <w:top w:val="none" w:sz="0" w:space="0" w:color="auto"/>
            <w:left w:val="none" w:sz="0" w:space="0" w:color="auto"/>
            <w:bottom w:val="none" w:sz="0" w:space="0" w:color="auto"/>
            <w:right w:val="none" w:sz="0" w:space="0" w:color="auto"/>
          </w:divBdr>
        </w:div>
      </w:divsChild>
    </w:div>
    <w:div w:id="1574195523">
      <w:bodyDiv w:val="1"/>
      <w:marLeft w:val="0"/>
      <w:marRight w:val="0"/>
      <w:marTop w:val="0"/>
      <w:marBottom w:val="0"/>
      <w:divBdr>
        <w:top w:val="none" w:sz="0" w:space="0" w:color="auto"/>
        <w:left w:val="none" w:sz="0" w:space="0" w:color="auto"/>
        <w:bottom w:val="none" w:sz="0" w:space="0" w:color="auto"/>
        <w:right w:val="none" w:sz="0" w:space="0" w:color="auto"/>
      </w:divBdr>
    </w:div>
    <w:div w:id="1576547670">
      <w:bodyDiv w:val="1"/>
      <w:marLeft w:val="0"/>
      <w:marRight w:val="0"/>
      <w:marTop w:val="0"/>
      <w:marBottom w:val="0"/>
      <w:divBdr>
        <w:top w:val="none" w:sz="0" w:space="0" w:color="auto"/>
        <w:left w:val="none" w:sz="0" w:space="0" w:color="auto"/>
        <w:bottom w:val="none" w:sz="0" w:space="0" w:color="auto"/>
        <w:right w:val="none" w:sz="0" w:space="0" w:color="auto"/>
      </w:divBdr>
      <w:divsChild>
        <w:div w:id="1091046742">
          <w:marLeft w:val="274"/>
          <w:marRight w:val="0"/>
          <w:marTop w:val="0"/>
          <w:marBottom w:val="0"/>
          <w:divBdr>
            <w:top w:val="none" w:sz="0" w:space="0" w:color="auto"/>
            <w:left w:val="none" w:sz="0" w:space="0" w:color="auto"/>
            <w:bottom w:val="none" w:sz="0" w:space="0" w:color="auto"/>
            <w:right w:val="none" w:sz="0" w:space="0" w:color="auto"/>
          </w:divBdr>
        </w:div>
        <w:div w:id="2053190087">
          <w:marLeft w:val="274"/>
          <w:marRight w:val="0"/>
          <w:marTop w:val="0"/>
          <w:marBottom w:val="0"/>
          <w:divBdr>
            <w:top w:val="none" w:sz="0" w:space="0" w:color="auto"/>
            <w:left w:val="none" w:sz="0" w:space="0" w:color="auto"/>
            <w:bottom w:val="none" w:sz="0" w:space="0" w:color="auto"/>
            <w:right w:val="none" w:sz="0" w:space="0" w:color="auto"/>
          </w:divBdr>
        </w:div>
        <w:div w:id="1597207381">
          <w:marLeft w:val="274"/>
          <w:marRight w:val="0"/>
          <w:marTop w:val="0"/>
          <w:marBottom w:val="0"/>
          <w:divBdr>
            <w:top w:val="none" w:sz="0" w:space="0" w:color="auto"/>
            <w:left w:val="none" w:sz="0" w:space="0" w:color="auto"/>
            <w:bottom w:val="none" w:sz="0" w:space="0" w:color="auto"/>
            <w:right w:val="none" w:sz="0" w:space="0" w:color="auto"/>
          </w:divBdr>
        </w:div>
        <w:div w:id="937100344">
          <w:marLeft w:val="274"/>
          <w:marRight w:val="0"/>
          <w:marTop w:val="0"/>
          <w:marBottom w:val="0"/>
          <w:divBdr>
            <w:top w:val="none" w:sz="0" w:space="0" w:color="auto"/>
            <w:left w:val="none" w:sz="0" w:space="0" w:color="auto"/>
            <w:bottom w:val="none" w:sz="0" w:space="0" w:color="auto"/>
            <w:right w:val="none" w:sz="0" w:space="0" w:color="auto"/>
          </w:divBdr>
        </w:div>
        <w:div w:id="868497062">
          <w:marLeft w:val="274"/>
          <w:marRight w:val="0"/>
          <w:marTop w:val="0"/>
          <w:marBottom w:val="0"/>
          <w:divBdr>
            <w:top w:val="none" w:sz="0" w:space="0" w:color="auto"/>
            <w:left w:val="none" w:sz="0" w:space="0" w:color="auto"/>
            <w:bottom w:val="none" w:sz="0" w:space="0" w:color="auto"/>
            <w:right w:val="none" w:sz="0" w:space="0" w:color="auto"/>
          </w:divBdr>
        </w:div>
        <w:div w:id="189686983">
          <w:marLeft w:val="274"/>
          <w:marRight w:val="0"/>
          <w:marTop w:val="0"/>
          <w:marBottom w:val="0"/>
          <w:divBdr>
            <w:top w:val="none" w:sz="0" w:space="0" w:color="auto"/>
            <w:left w:val="none" w:sz="0" w:space="0" w:color="auto"/>
            <w:bottom w:val="none" w:sz="0" w:space="0" w:color="auto"/>
            <w:right w:val="none" w:sz="0" w:space="0" w:color="auto"/>
          </w:divBdr>
        </w:div>
        <w:div w:id="1244879215">
          <w:marLeft w:val="274"/>
          <w:marRight w:val="0"/>
          <w:marTop w:val="0"/>
          <w:marBottom w:val="0"/>
          <w:divBdr>
            <w:top w:val="none" w:sz="0" w:space="0" w:color="auto"/>
            <w:left w:val="none" w:sz="0" w:space="0" w:color="auto"/>
            <w:bottom w:val="none" w:sz="0" w:space="0" w:color="auto"/>
            <w:right w:val="none" w:sz="0" w:space="0" w:color="auto"/>
          </w:divBdr>
        </w:div>
        <w:div w:id="1377319141">
          <w:marLeft w:val="274"/>
          <w:marRight w:val="0"/>
          <w:marTop w:val="0"/>
          <w:marBottom w:val="0"/>
          <w:divBdr>
            <w:top w:val="none" w:sz="0" w:space="0" w:color="auto"/>
            <w:left w:val="none" w:sz="0" w:space="0" w:color="auto"/>
            <w:bottom w:val="none" w:sz="0" w:space="0" w:color="auto"/>
            <w:right w:val="none" w:sz="0" w:space="0" w:color="auto"/>
          </w:divBdr>
        </w:div>
        <w:div w:id="315383671">
          <w:marLeft w:val="274"/>
          <w:marRight w:val="0"/>
          <w:marTop w:val="0"/>
          <w:marBottom w:val="0"/>
          <w:divBdr>
            <w:top w:val="none" w:sz="0" w:space="0" w:color="auto"/>
            <w:left w:val="none" w:sz="0" w:space="0" w:color="auto"/>
            <w:bottom w:val="none" w:sz="0" w:space="0" w:color="auto"/>
            <w:right w:val="none" w:sz="0" w:space="0" w:color="auto"/>
          </w:divBdr>
        </w:div>
        <w:div w:id="985428939">
          <w:marLeft w:val="274"/>
          <w:marRight w:val="0"/>
          <w:marTop w:val="0"/>
          <w:marBottom w:val="0"/>
          <w:divBdr>
            <w:top w:val="none" w:sz="0" w:space="0" w:color="auto"/>
            <w:left w:val="none" w:sz="0" w:space="0" w:color="auto"/>
            <w:bottom w:val="none" w:sz="0" w:space="0" w:color="auto"/>
            <w:right w:val="none" w:sz="0" w:space="0" w:color="auto"/>
          </w:divBdr>
        </w:div>
        <w:div w:id="11150446">
          <w:marLeft w:val="274"/>
          <w:marRight w:val="0"/>
          <w:marTop w:val="0"/>
          <w:marBottom w:val="0"/>
          <w:divBdr>
            <w:top w:val="none" w:sz="0" w:space="0" w:color="auto"/>
            <w:left w:val="none" w:sz="0" w:space="0" w:color="auto"/>
            <w:bottom w:val="none" w:sz="0" w:space="0" w:color="auto"/>
            <w:right w:val="none" w:sz="0" w:space="0" w:color="auto"/>
          </w:divBdr>
        </w:div>
        <w:div w:id="288633196">
          <w:marLeft w:val="274"/>
          <w:marRight w:val="0"/>
          <w:marTop w:val="0"/>
          <w:marBottom w:val="0"/>
          <w:divBdr>
            <w:top w:val="none" w:sz="0" w:space="0" w:color="auto"/>
            <w:left w:val="none" w:sz="0" w:space="0" w:color="auto"/>
            <w:bottom w:val="none" w:sz="0" w:space="0" w:color="auto"/>
            <w:right w:val="none" w:sz="0" w:space="0" w:color="auto"/>
          </w:divBdr>
        </w:div>
        <w:div w:id="1418206185">
          <w:marLeft w:val="274"/>
          <w:marRight w:val="0"/>
          <w:marTop w:val="0"/>
          <w:marBottom w:val="0"/>
          <w:divBdr>
            <w:top w:val="none" w:sz="0" w:space="0" w:color="auto"/>
            <w:left w:val="none" w:sz="0" w:space="0" w:color="auto"/>
            <w:bottom w:val="none" w:sz="0" w:space="0" w:color="auto"/>
            <w:right w:val="none" w:sz="0" w:space="0" w:color="auto"/>
          </w:divBdr>
        </w:div>
        <w:div w:id="1710496057">
          <w:marLeft w:val="274"/>
          <w:marRight w:val="0"/>
          <w:marTop w:val="0"/>
          <w:marBottom w:val="0"/>
          <w:divBdr>
            <w:top w:val="none" w:sz="0" w:space="0" w:color="auto"/>
            <w:left w:val="none" w:sz="0" w:space="0" w:color="auto"/>
            <w:bottom w:val="none" w:sz="0" w:space="0" w:color="auto"/>
            <w:right w:val="none" w:sz="0" w:space="0" w:color="auto"/>
          </w:divBdr>
        </w:div>
        <w:div w:id="1921718107">
          <w:marLeft w:val="274"/>
          <w:marRight w:val="0"/>
          <w:marTop w:val="0"/>
          <w:marBottom w:val="0"/>
          <w:divBdr>
            <w:top w:val="none" w:sz="0" w:space="0" w:color="auto"/>
            <w:left w:val="none" w:sz="0" w:space="0" w:color="auto"/>
            <w:bottom w:val="none" w:sz="0" w:space="0" w:color="auto"/>
            <w:right w:val="none" w:sz="0" w:space="0" w:color="auto"/>
          </w:divBdr>
        </w:div>
        <w:div w:id="469251103">
          <w:marLeft w:val="274"/>
          <w:marRight w:val="0"/>
          <w:marTop w:val="0"/>
          <w:marBottom w:val="0"/>
          <w:divBdr>
            <w:top w:val="none" w:sz="0" w:space="0" w:color="auto"/>
            <w:left w:val="none" w:sz="0" w:space="0" w:color="auto"/>
            <w:bottom w:val="none" w:sz="0" w:space="0" w:color="auto"/>
            <w:right w:val="none" w:sz="0" w:space="0" w:color="auto"/>
          </w:divBdr>
        </w:div>
        <w:div w:id="1341541883">
          <w:marLeft w:val="274"/>
          <w:marRight w:val="0"/>
          <w:marTop w:val="0"/>
          <w:marBottom w:val="0"/>
          <w:divBdr>
            <w:top w:val="none" w:sz="0" w:space="0" w:color="auto"/>
            <w:left w:val="none" w:sz="0" w:space="0" w:color="auto"/>
            <w:bottom w:val="none" w:sz="0" w:space="0" w:color="auto"/>
            <w:right w:val="none" w:sz="0" w:space="0" w:color="auto"/>
          </w:divBdr>
        </w:div>
        <w:div w:id="1489708011">
          <w:marLeft w:val="274"/>
          <w:marRight w:val="0"/>
          <w:marTop w:val="0"/>
          <w:marBottom w:val="0"/>
          <w:divBdr>
            <w:top w:val="none" w:sz="0" w:space="0" w:color="auto"/>
            <w:left w:val="none" w:sz="0" w:space="0" w:color="auto"/>
            <w:bottom w:val="none" w:sz="0" w:space="0" w:color="auto"/>
            <w:right w:val="none" w:sz="0" w:space="0" w:color="auto"/>
          </w:divBdr>
        </w:div>
        <w:div w:id="40399642">
          <w:marLeft w:val="274"/>
          <w:marRight w:val="0"/>
          <w:marTop w:val="0"/>
          <w:marBottom w:val="0"/>
          <w:divBdr>
            <w:top w:val="none" w:sz="0" w:space="0" w:color="auto"/>
            <w:left w:val="none" w:sz="0" w:space="0" w:color="auto"/>
            <w:bottom w:val="none" w:sz="0" w:space="0" w:color="auto"/>
            <w:right w:val="none" w:sz="0" w:space="0" w:color="auto"/>
          </w:divBdr>
        </w:div>
      </w:divsChild>
    </w:div>
    <w:div w:id="1681351111">
      <w:bodyDiv w:val="1"/>
      <w:marLeft w:val="0"/>
      <w:marRight w:val="0"/>
      <w:marTop w:val="0"/>
      <w:marBottom w:val="0"/>
      <w:divBdr>
        <w:top w:val="none" w:sz="0" w:space="0" w:color="auto"/>
        <w:left w:val="none" w:sz="0" w:space="0" w:color="auto"/>
        <w:bottom w:val="none" w:sz="0" w:space="0" w:color="auto"/>
        <w:right w:val="none" w:sz="0" w:space="0" w:color="auto"/>
      </w:divBdr>
    </w:div>
    <w:div w:id="1773547411">
      <w:bodyDiv w:val="1"/>
      <w:marLeft w:val="0"/>
      <w:marRight w:val="0"/>
      <w:marTop w:val="0"/>
      <w:marBottom w:val="0"/>
      <w:divBdr>
        <w:top w:val="none" w:sz="0" w:space="0" w:color="auto"/>
        <w:left w:val="none" w:sz="0" w:space="0" w:color="auto"/>
        <w:bottom w:val="none" w:sz="0" w:space="0" w:color="auto"/>
        <w:right w:val="none" w:sz="0" w:space="0" w:color="auto"/>
      </w:divBdr>
      <w:divsChild>
        <w:div w:id="869682179">
          <w:marLeft w:val="274"/>
          <w:marRight w:val="0"/>
          <w:marTop w:val="0"/>
          <w:marBottom w:val="0"/>
          <w:divBdr>
            <w:top w:val="none" w:sz="0" w:space="0" w:color="auto"/>
            <w:left w:val="none" w:sz="0" w:space="0" w:color="auto"/>
            <w:bottom w:val="none" w:sz="0" w:space="0" w:color="auto"/>
            <w:right w:val="none" w:sz="0" w:space="0" w:color="auto"/>
          </w:divBdr>
        </w:div>
        <w:div w:id="1833567291">
          <w:marLeft w:val="274"/>
          <w:marRight w:val="0"/>
          <w:marTop w:val="0"/>
          <w:marBottom w:val="0"/>
          <w:divBdr>
            <w:top w:val="none" w:sz="0" w:space="0" w:color="auto"/>
            <w:left w:val="none" w:sz="0" w:space="0" w:color="auto"/>
            <w:bottom w:val="none" w:sz="0" w:space="0" w:color="auto"/>
            <w:right w:val="none" w:sz="0" w:space="0" w:color="auto"/>
          </w:divBdr>
        </w:div>
        <w:div w:id="694964086">
          <w:marLeft w:val="274"/>
          <w:marRight w:val="0"/>
          <w:marTop w:val="0"/>
          <w:marBottom w:val="0"/>
          <w:divBdr>
            <w:top w:val="none" w:sz="0" w:space="0" w:color="auto"/>
            <w:left w:val="none" w:sz="0" w:space="0" w:color="auto"/>
            <w:bottom w:val="none" w:sz="0" w:space="0" w:color="auto"/>
            <w:right w:val="none" w:sz="0" w:space="0" w:color="auto"/>
          </w:divBdr>
        </w:div>
        <w:div w:id="1857840361">
          <w:marLeft w:val="274"/>
          <w:marRight w:val="0"/>
          <w:marTop w:val="0"/>
          <w:marBottom w:val="0"/>
          <w:divBdr>
            <w:top w:val="none" w:sz="0" w:space="0" w:color="auto"/>
            <w:left w:val="none" w:sz="0" w:space="0" w:color="auto"/>
            <w:bottom w:val="none" w:sz="0" w:space="0" w:color="auto"/>
            <w:right w:val="none" w:sz="0" w:space="0" w:color="auto"/>
          </w:divBdr>
        </w:div>
        <w:div w:id="1348948582">
          <w:marLeft w:val="274"/>
          <w:marRight w:val="0"/>
          <w:marTop w:val="0"/>
          <w:marBottom w:val="0"/>
          <w:divBdr>
            <w:top w:val="none" w:sz="0" w:space="0" w:color="auto"/>
            <w:left w:val="none" w:sz="0" w:space="0" w:color="auto"/>
            <w:bottom w:val="none" w:sz="0" w:space="0" w:color="auto"/>
            <w:right w:val="none" w:sz="0" w:space="0" w:color="auto"/>
          </w:divBdr>
        </w:div>
        <w:div w:id="1924414892">
          <w:marLeft w:val="274"/>
          <w:marRight w:val="0"/>
          <w:marTop w:val="0"/>
          <w:marBottom w:val="0"/>
          <w:divBdr>
            <w:top w:val="none" w:sz="0" w:space="0" w:color="auto"/>
            <w:left w:val="none" w:sz="0" w:space="0" w:color="auto"/>
            <w:bottom w:val="none" w:sz="0" w:space="0" w:color="auto"/>
            <w:right w:val="none" w:sz="0" w:space="0" w:color="auto"/>
          </w:divBdr>
        </w:div>
        <w:div w:id="1106345859">
          <w:marLeft w:val="274"/>
          <w:marRight w:val="0"/>
          <w:marTop w:val="0"/>
          <w:marBottom w:val="0"/>
          <w:divBdr>
            <w:top w:val="none" w:sz="0" w:space="0" w:color="auto"/>
            <w:left w:val="none" w:sz="0" w:space="0" w:color="auto"/>
            <w:bottom w:val="none" w:sz="0" w:space="0" w:color="auto"/>
            <w:right w:val="none" w:sz="0" w:space="0" w:color="auto"/>
          </w:divBdr>
        </w:div>
        <w:div w:id="1461459050">
          <w:marLeft w:val="274"/>
          <w:marRight w:val="0"/>
          <w:marTop w:val="0"/>
          <w:marBottom w:val="0"/>
          <w:divBdr>
            <w:top w:val="none" w:sz="0" w:space="0" w:color="auto"/>
            <w:left w:val="none" w:sz="0" w:space="0" w:color="auto"/>
            <w:bottom w:val="none" w:sz="0" w:space="0" w:color="auto"/>
            <w:right w:val="none" w:sz="0" w:space="0" w:color="auto"/>
          </w:divBdr>
        </w:div>
        <w:div w:id="1440754538">
          <w:marLeft w:val="274"/>
          <w:marRight w:val="0"/>
          <w:marTop w:val="0"/>
          <w:marBottom w:val="0"/>
          <w:divBdr>
            <w:top w:val="none" w:sz="0" w:space="0" w:color="auto"/>
            <w:left w:val="none" w:sz="0" w:space="0" w:color="auto"/>
            <w:bottom w:val="none" w:sz="0" w:space="0" w:color="auto"/>
            <w:right w:val="none" w:sz="0" w:space="0" w:color="auto"/>
          </w:divBdr>
        </w:div>
        <w:div w:id="1701009738">
          <w:marLeft w:val="274"/>
          <w:marRight w:val="0"/>
          <w:marTop w:val="0"/>
          <w:marBottom w:val="0"/>
          <w:divBdr>
            <w:top w:val="none" w:sz="0" w:space="0" w:color="auto"/>
            <w:left w:val="none" w:sz="0" w:space="0" w:color="auto"/>
            <w:bottom w:val="none" w:sz="0" w:space="0" w:color="auto"/>
            <w:right w:val="none" w:sz="0" w:space="0" w:color="auto"/>
          </w:divBdr>
        </w:div>
        <w:div w:id="1974674194">
          <w:marLeft w:val="274"/>
          <w:marRight w:val="0"/>
          <w:marTop w:val="0"/>
          <w:marBottom w:val="0"/>
          <w:divBdr>
            <w:top w:val="none" w:sz="0" w:space="0" w:color="auto"/>
            <w:left w:val="none" w:sz="0" w:space="0" w:color="auto"/>
            <w:bottom w:val="none" w:sz="0" w:space="0" w:color="auto"/>
            <w:right w:val="none" w:sz="0" w:space="0" w:color="auto"/>
          </w:divBdr>
        </w:div>
        <w:div w:id="1908954213">
          <w:marLeft w:val="274"/>
          <w:marRight w:val="0"/>
          <w:marTop w:val="0"/>
          <w:marBottom w:val="0"/>
          <w:divBdr>
            <w:top w:val="none" w:sz="0" w:space="0" w:color="auto"/>
            <w:left w:val="none" w:sz="0" w:space="0" w:color="auto"/>
            <w:bottom w:val="none" w:sz="0" w:space="0" w:color="auto"/>
            <w:right w:val="none" w:sz="0" w:space="0" w:color="auto"/>
          </w:divBdr>
        </w:div>
        <w:div w:id="522204708">
          <w:marLeft w:val="274"/>
          <w:marRight w:val="0"/>
          <w:marTop w:val="0"/>
          <w:marBottom w:val="0"/>
          <w:divBdr>
            <w:top w:val="none" w:sz="0" w:space="0" w:color="auto"/>
            <w:left w:val="none" w:sz="0" w:space="0" w:color="auto"/>
            <w:bottom w:val="none" w:sz="0" w:space="0" w:color="auto"/>
            <w:right w:val="none" w:sz="0" w:space="0" w:color="auto"/>
          </w:divBdr>
        </w:div>
        <w:div w:id="995958916">
          <w:marLeft w:val="274"/>
          <w:marRight w:val="0"/>
          <w:marTop w:val="0"/>
          <w:marBottom w:val="0"/>
          <w:divBdr>
            <w:top w:val="none" w:sz="0" w:space="0" w:color="auto"/>
            <w:left w:val="none" w:sz="0" w:space="0" w:color="auto"/>
            <w:bottom w:val="none" w:sz="0" w:space="0" w:color="auto"/>
            <w:right w:val="none" w:sz="0" w:space="0" w:color="auto"/>
          </w:divBdr>
        </w:div>
        <w:div w:id="1585721774">
          <w:marLeft w:val="274"/>
          <w:marRight w:val="0"/>
          <w:marTop w:val="0"/>
          <w:marBottom w:val="0"/>
          <w:divBdr>
            <w:top w:val="none" w:sz="0" w:space="0" w:color="auto"/>
            <w:left w:val="none" w:sz="0" w:space="0" w:color="auto"/>
            <w:bottom w:val="none" w:sz="0" w:space="0" w:color="auto"/>
            <w:right w:val="none" w:sz="0" w:space="0" w:color="auto"/>
          </w:divBdr>
        </w:div>
        <w:div w:id="1462260108">
          <w:marLeft w:val="274"/>
          <w:marRight w:val="0"/>
          <w:marTop w:val="0"/>
          <w:marBottom w:val="0"/>
          <w:divBdr>
            <w:top w:val="none" w:sz="0" w:space="0" w:color="auto"/>
            <w:left w:val="none" w:sz="0" w:space="0" w:color="auto"/>
            <w:bottom w:val="none" w:sz="0" w:space="0" w:color="auto"/>
            <w:right w:val="none" w:sz="0" w:space="0" w:color="auto"/>
          </w:divBdr>
        </w:div>
        <w:div w:id="1271163057">
          <w:marLeft w:val="274"/>
          <w:marRight w:val="0"/>
          <w:marTop w:val="0"/>
          <w:marBottom w:val="0"/>
          <w:divBdr>
            <w:top w:val="none" w:sz="0" w:space="0" w:color="auto"/>
            <w:left w:val="none" w:sz="0" w:space="0" w:color="auto"/>
            <w:bottom w:val="none" w:sz="0" w:space="0" w:color="auto"/>
            <w:right w:val="none" w:sz="0" w:space="0" w:color="auto"/>
          </w:divBdr>
        </w:div>
        <w:div w:id="1622564734">
          <w:marLeft w:val="274"/>
          <w:marRight w:val="0"/>
          <w:marTop w:val="0"/>
          <w:marBottom w:val="0"/>
          <w:divBdr>
            <w:top w:val="none" w:sz="0" w:space="0" w:color="auto"/>
            <w:left w:val="none" w:sz="0" w:space="0" w:color="auto"/>
            <w:bottom w:val="none" w:sz="0" w:space="0" w:color="auto"/>
            <w:right w:val="none" w:sz="0" w:space="0" w:color="auto"/>
          </w:divBdr>
        </w:div>
        <w:div w:id="420293417">
          <w:marLeft w:val="274"/>
          <w:marRight w:val="0"/>
          <w:marTop w:val="0"/>
          <w:marBottom w:val="0"/>
          <w:divBdr>
            <w:top w:val="none" w:sz="0" w:space="0" w:color="auto"/>
            <w:left w:val="none" w:sz="0" w:space="0" w:color="auto"/>
            <w:bottom w:val="none" w:sz="0" w:space="0" w:color="auto"/>
            <w:right w:val="none" w:sz="0" w:space="0" w:color="auto"/>
          </w:divBdr>
        </w:div>
      </w:divsChild>
    </w:div>
    <w:div w:id="2050257172">
      <w:bodyDiv w:val="1"/>
      <w:marLeft w:val="0"/>
      <w:marRight w:val="0"/>
      <w:marTop w:val="0"/>
      <w:marBottom w:val="0"/>
      <w:divBdr>
        <w:top w:val="none" w:sz="0" w:space="0" w:color="auto"/>
        <w:left w:val="none" w:sz="0" w:space="0" w:color="auto"/>
        <w:bottom w:val="none" w:sz="0" w:space="0" w:color="auto"/>
        <w:right w:val="none" w:sz="0" w:space="0" w:color="auto"/>
      </w:divBdr>
    </w:div>
    <w:div w:id="2065106730">
      <w:bodyDiv w:val="1"/>
      <w:marLeft w:val="0"/>
      <w:marRight w:val="0"/>
      <w:marTop w:val="0"/>
      <w:marBottom w:val="0"/>
      <w:divBdr>
        <w:top w:val="none" w:sz="0" w:space="0" w:color="auto"/>
        <w:left w:val="none" w:sz="0" w:space="0" w:color="auto"/>
        <w:bottom w:val="none" w:sz="0" w:space="0" w:color="auto"/>
        <w:right w:val="none" w:sz="0" w:space="0" w:color="auto"/>
      </w:divBdr>
      <w:divsChild>
        <w:div w:id="1586304314">
          <w:marLeft w:val="274"/>
          <w:marRight w:val="0"/>
          <w:marTop w:val="0"/>
          <w:marBottom w:val="0"/>
          <w:divBdr>
            <w:top w:val="none" w:sz="0" w:space="0" w:color="auto"/>
            <w:left w:val="none" w:sz="0" w:space="0" w:color="auto"/>
            <w:bottom w:val="none" w:sz="0" w:space="0" w:color="auto"/>
            <w:right w:val="none" w:sz="0" w:space="0" w:color="auto"/>
          </w:divBdr>
        </w:div>
        <w:div w:id="1997565867">
          <w:marLeft w:val="274"/>
          <w:marRight w:val="0"/>
          <w:marTop w:val="0"/>
          <w:marBottom w:val="0"/>
          <w:divBdr>
            <w:top w:val="none" w:sz="0" w:space="0" w:color="auto"/>
            <w:left w:val="none" w:sz="0" w:space="0" w:color="auto"/>
            <w:bottom w:val="none" w:sz="0" w:space="0" w:color="auto"/>
            <w:right w:val="none" w:sz="0" w:space="0" w:color="auto"/>
          </w:divBdr>
        </w:div>
        <w:div w:id="1329141221">
          <w:marLeft w:val="274"/>
          <w:marRight w:val="0"/>
          <w:marTop w:val="0"/>
          <w:marBottom w:val="0"/>
          <w:divBdr>
            <w:top w:val="none" w:sz="0" w:space="0" w:color="auto"/>
            <w:left w:val="none" w:sz="0" w:space="0" w:color="auto"/>
            <w:bottom w:val="none" w:sz="0" w:space="0" w:color="auto"/>
            <w:right w:val="none" w:sz="0" w:space="0" w:color="auto"/>
          </w:divBdr>
        </w:div>
        <w:div w:id="757361662">
          <w:marLeft w:val="274"/>
          <w:marRight w:val="0"/>
          <w:marTop w:val="0"/>
          <w:marBottom w:val="0"/>
          <w:divBdr>
            <w:top w:val="none" w:sz="0" w:space="0" w:color="auto"/>
            <w:left w:val="none" w:sz="0" w:space="0" w:color="auto"/>
            <w:bottom w:val="none" w:sz="0" w:space="0" w:color="auto"/>
            <w:right w:val="none" w:sz="0" w:space="0" w:color="auto"/>
          </w:divBdr>
        </w:div>
        <w:div w:id="793015751">
          <w:marLeft w:val="274"/>
          <w:marRight w:val="0"/>
          <w:marTop w:val="0"/>
          <w:marBottom w:val="0"/>
          <w:divBdr>
            <w:top w:val="none" w:sz="0" w:space="0" w:color="auto"/>
            <w:left w:val="none" w:sz="0" w:space="0" w:color="auto"/>
            <w:bottom w:val="none" w:sz="0" w:space="0" w:color="auto"/>
            <w:right w:val="none" w:sz="0" w:space="0" w:color="auto"/>
          </w:divBdr>
        </w:div>
        <w:div w:id="1888108495">
          <w:marLeft w:val="274"/>
          <w:marRight w:val="0"/>
          <w:marTop w:val="0"/>
          <w:marBottom w:val="0"/>
          <w:divBdr>
            <w:top w:val="none" w:sz="0" w:space="0" w:color="auto"/>
            <w:left w:val="none" w:sz="0" w:space="0" w:color="auto"/>
            <w:bottom w:val="none" w:sz="0" w:space="0" w:color="auto"/>
            <w:right w:val="none" w:sz="0" w:space="0" w:color="auto"/>
          </w:divBdr>
        </w:div>
        <w:div w:id="166753470">
          <w:marLeft w:val="274"/>
          <w:marRight w:val="0"/>
          <w:marTop w:val="0"/>
          <w:marBottom w:val="0"/>
          <w:divBdr>
            <w:top w:val="none" w:sz="0" w:space="0" w:color="auto"/>
            <w:left w:val="none" w:sz="0" w:space="0" w:color="auto"/>
            <w:bottom w:val="none" w:sz="0" w:space="0" w:color="auto"/>
            <w:right w:val="none" w:sz="0" w:space="0" w:color="auto"/>
          </w:divBdr>
        </w:div>
        <w:div w:id="49884889">
          <w:marLeft w:val="274"/>
          <w:marRight w:val="0"/>
          <w:marTop w:val="0"/>
          <w:marBottom w:val="0"/>
          <w:divBdr>
            <w:top w:val="none" w:sz="0" w:space="0" w:color="auto"/>
            <w:left w:val="none" w:sz="0" w:space="0" w:color="auto"/>
            <w:bottom w:val="none" w:sz="0" w:space="0" w:color="auto"/>
            <w:right w:val="none" w:sz="0" w:space="0" w:color="auto"/>
          </w:divBdr>
        </w:div>
        <w:div w:id="358505324">
          <w:marLeft w:val="274"/>
          <w:marRight w:val="0"/>
          <w:marTop w:val="0"/>
          <w:marBottom w:val="0"/>
          <w:divBdr>
            <w:top w:val="none" w:sz="0" w:space="0" w:color="auto"/>
            <w:left w:val="none" w:sz="0" w:space="0" w:color="auto"/>
            <w:bottom w:val="none" w:sz="0" w:space="0" w:color="auto"/>
            <w:right w:val="none" w:sz="0" w:space="0" w:color="auto"/>
          </w:divBdr>
        </w:div>
        <w:div w:id="753284750">
          <w:marLeft w:val="274"/>
          <w:marRight w:val="0"/>
          <w:marTop w:val="0"/>
          <w:marBottom w:val="0"/>
          <w:divBdr>
            <w:top w:val="none" w:sz="0" w:space="0" w:color="auto"/>
            <w:left w:val="none" w:sz="0" w:space="0" w:color="auto"/>
            <w:bottom w:val="none" w:sz="0" w:space="0" w:color="auto"/>
            <w:right w:val="none" w:sz="0" w:space="0" w:color="auto"/>
          </w:divBdr>
        </w:div>
        <w:div w:id="283117554">
          <w:marLeft w:val="274"/>
          <w:marRight w:val="0"/>
          <w:marTop w:val="0"/>
          <w:marBottom w:val="0"/>
          <w:divBdr>
            <w:top w:val="none" w:sz="0" w:space="0" w:color="auto"/>
            <w:left w:val="none" w:sz="0" w:space="0" w:color="auto"/>
            <w:bottom w:val="none" w:sz="0" w:space="0" w:color="auto"/>
            <w:right w:val="none" w:sz="0" w:space="0" w:color="auto"/>
          </w:divBdr>
        </w:div>
        <w:div w:id="2133091825">
          <w:marLeft w:val="274"/>
          <w:marRight w:val="0"/>
          <w:marTop w:val="0"/>
          <w:marBottom w:val="0"/>
          <w:divBdr>
            <w:top w:val="none" w:sz="0" w:space="0" w:color="auto"/>
            <w:left w:val="none" w:sz="0" w:space="0" w:color="auto"/>
            <w:bottom w:val="none" w:sz="0" w:space="0" w:color="auto"/>
            <w:right w:val="none" w:sz="0" w:space="0" w:color="auto"/>
          </w:divBdr>
        </w:div>
        <w:div w:id="309019317">
          <w:marLeft w:val="274"/>
          <w:marRight w:val="0"/>
          <w:marTop w:val="0"/>
          <w:marBottom w:val="0"/>
          <w:divBdr>
            <w:top w:val="none" w:sz="0" w:space="0" w:color="auto"/>
            <w:left w:val="none" w:sz="0" w:space="0" w:color="auto"/>
            <w:bottom w:val="none" w:sz="0" w:space="0" w:color="auto"/>
            <w:right w:val="none" w:sz="0" w:space="0" w:color="auto"/>
          </w:divBdr>
        </w:div>
        <w:div w:id="975990355">
          <w:marLeft w:val="274"/>
          <w:marRight w:val="0"/>
          <w:marTop w:val="0"/>
          <w:marBottom w:val="0"/>
          <w:divBdr>
            <w:top w:val="none" w:sz="0" w:space="0" w:color="auto"/>
            <w:left w:val="none" w:sz="0" w:space="0" w:color="auto"/>
            <w:bottom w:val="none" w:sz="0" w:space="0" w:color="auto"/>
            <w:right w:val="none" w:sz="0" w:space="0" w:color="auto"/>
          </w:divBdr>
        </w:div>
        <w:div w:id="657223883">
          <w:marLeft w:val="274"/>
          <w:marRight w:val="0"/>
          <w:marTop w:val="0"/>
          <w:marBottom w:val="0"/>
          <w:divBdr>
            <w:top w:val="none" w:sz="0" w:space="0" w:color="auto"/>
            <w:left w:val="none" w:sz="0" w:space="0" w:color="auto"/>
            <w:bottom w:val="none" w:sz="0" w:space="0" w:color="auto"/>
            <w:right w:val="none" w:sz="0" w:space="0" w:color="auto"/>
          </w:divBdr>
        </w:div>
        <w:div w:id="1838691505">
          <w:marLeft w:val="274"/>
          <w:marRight w:val="0"/>
          <w:marTop w:val="0"/>
          <w:marBottom w:val="0"/>
          <w:divBdr>
            <w:top w:val="none" w:sz="0" w:space="0" w:color="auto"/>
            <w:left w:val="none" w:sz="0" w:space="0" w:color="auto"/>
            <w:bottom w:val="none" w:sz="0" w:space="0" w:color="auto"/>
            <w:right w:val="none" w:sz="0" w:space="0" w:color="auto"/>
          </w:divBdr>
        </w:div>
        <w:div w:id="1198423499">
          <w:marLeft w:val="274"/>
          <w:marRight w:val="0"/>
          <w:marTop w:val="0"/>
          <w:marBottom w:val="0"/>
          <w:divBdr>
            <w:top w:val="none" w:sz="0" w:space="0" w:color="auto"/>
            <w:left w:val="none" w:sz="0" w:space="0" w:color="auto"/>
            <w:bottom w:val="none" w:sz="0" w:space="0" w:color="auto"/>
            <w:right w:val="none" w:sz="0" w:space="0" w:color="auto"/>
          </w:divBdr>
        </w:div>
        <w:div w:id="1136528666">
          <w:marLeft w:val="274"/>
          <w:marRight w:val="0"/>
          <w:marTop w:val="0"/>
          <w:marBottom w:val="0"/>
          <w:divBdr>
            <w:top w:val="none" w:sz="0" w:space="0" w:color="auto"/>
            <w:left w:val="none" w:sz="0" w:space="0" w:color="auto"/>
            <w:bottom w:val="none" w:sz="0" w:space="0" w:color="auto"/>
            <w:right w:val="none" w:sz="0" w:space="0" w:color="auto"/>
          </w:divBdr>
        </w:div>
        <w:div w:id="1838881639">
          <w:marLeft w:val="274"/>
          <w:marRight w:val="0"/>
          <w:marTop w:val="0"/>
          <w:marBottom w:val="0"/>
          <w:divBdr>
            <w:top w:val="none" w:sz="0" w:space="0" w:color="auto"/>
            <w:left w:val="none" w:sz="0" w:space="0" w:color="auto"/>
            <w:bottom w:val="none" w:sz="0" w:space="0" w:color="auto"/>
            <w:right w:val="none" w:sz="0" w:space="0" w:color="auto"/>
          </w:divBdr>
        </w:div>
        <w:div w:id="23099901">
          <w:marLeft w:val="274"/>
          <w:marRight w:val="0"/>
          <w:marTop w:val="0"/>
          <w:marBottom w:val="0"/>
          <w:divBdr>
            <w:top w:val="none" w:sz="0" w:space="0" w:color="auto"/>
            <w:left w:val="none" w:sz="0" w:space="0" w:color="auto"/>
            <w:bottom w:val="none" w:sz="0" w:space="0" w:color="auto"/>
            <w:right w:val="none" w:sz="0" w:space="0" w:color="auto"/>
          </w:divBdr>
        </w:div>
        <w:div w:id="1238437596">
          <w:marLeft w:val="274"/>
          <w:marRight w:val="0"/>
          <w:marTop w:val="0"/>
          <w:marBottom w:val="0"/>
          <w:divBdr>
            <w:top w:val="none" w:sz="0" w:space="0" w:color="auto"/>
            <w:left w:val="none" w:sz="0" w:space="0" w:color="auto"/>
            <w:bottom w:val="none" w:sz="0" w:space="0" w:color="auto"/>
            <w:right w:val="none" w:sz="0" w:space="0" w:color="auto"/>
          </w:divBdr>
        </w:div>
        <w:div w:id="935136227">
          <w:marLeft w:val="274"/>
          <w:marRight w:val="0"/>
          <w:marTop w:val="0"/>
          <w:marBottom w:val="0"/>
          <w:divBdr>
            <w:top w:val="none" w:sz="0" w:space="0" w:color="auto"/>
            <w:left w:val="none" w:sz="0" w:space="0" w:color="auto"/>
            <w:bottom w:val="none" w:sz="0" w:space="0" w:color="auto"/>
            <w:right w:val="none" w:sz="0" w:space="0" w:color="auto"/>
          </w:divBdr>
        </w:div>
        <w:div w:id="970474098">
          <w:marLeft w:val="274"/>
          <w:marRight w:val="0"/>
          <w:marTop w:val="0"/>
          <w:marBottom w:val="0"/>
          <w:divBdr>
            <w:top w:val="none" w:sz="0" w:space="0" w:color="auto"/>
            <w:left w:val="none" w:sz="0" w:space="0" w:color="auto"/>
            <w:bottom w:val="none" w:sz="0" w:space="0" w:color="auto"/>
            <w:right w:val="none" w:sz="0" w:space="0" w:color="auto"/>
          </w:divBdr>
        </w:div>
        <w:div w:id="2031371451">
          <w:marLeft w:val="274"/>
          <w:marRight w:val="0"/>
          <w:marTop w:val="0"/>
          <w:marBottom w:val="0"/>
          <w:divBdr>
            <w:top w:val="none" w:sz="0" w:space="0" w:color="auto"/>
            <w:left w:val="none" w:sz="0" w:space="0" w:color="auto"/>
            <w:bottom w:val="none" w:sz="0" w:space="0" w:color="auto"/>
            <w:right w:val="none" w:sz="0" w:space="0" w:color="auto"/>
          </w:divBdr>
        </w:div>
        <w:div w:id="1181897400">
          <w:marLeft w:val="274"/>
          <w:marRight w:val="0"/>
          <w:marTop w:val="0"/>
          <w:marBottom w:val="0"/>
          <w:divBdr>
            <w:top w:val="none" w:sz="0" w:space="0" w:color="auto"/>
            <w:left w:val="none" w:sz="0" w:space="0" w:color="auto"/>
            <w:bottom w:val="none" w:sz="0" w:space="0" w:color="auto"/>
            <w:right w:val="none" w:sz="0" w:space="0" w:color="auto"/>
          </w:divBdr>
        </w:div>
        <w:div w:id="454829603">
          <w:marLeft w:val="274"/>
          <w:marRight w:val="0"/>
          <w:marTop w:val="0"/>
          <w:marBottom w:val="0"/>
          <w:divBdr>
            <w:top w:val="none" w:sz="0" w:space="0" w:color="auto"/>
            <w:left w:val="none" w:sz="0" w:space="0" w:color="auto"/>
            <w:bottom w:val="none" w:sz="0" w:space="0" w:color="auto"/>
            <w:right w:val="none" w:sz="0" w:space="0" w:color="auto"/>
          </w:divBdr>
        </w:div>
        <w:div w:id="607155404">
          <w:marLeft w:val="274"/>
          <w:marRight w:val="0"/>
          <w:marTop w:val="0"/>
          <w:marBottom w:val="0"/>
          <w:divBdr>
            <w:top w:val="none" w:sz="0" w:space="0" w:color="auto"/>
            <w:left w:val="none" w:sz="0" w:space="0" w:color="auto"/>
            <w:bottom w:val="none" w:sz="0" w:space="0" w:color="auto"/>
            <w:right w:val="none" w:sz="0" w:space="0" w:color="auto"/>
          </w:divBdr>
        </w:div>
        <w:div w:id="987326438">
          <w:marLeft w:val="274"/>
          <w:marRight w:val="0"/>
          <w:marTop w:val="0"/>
          <w:marBottom w:val="0"/>
          <w:divBdr>
            <w:top w:val="none" w:sz="0" w:space="0" w:color="auto"/>
            <w:left w:val="none" w:sz="0" w:space="0" w:color="auto"/>
            <w:bottom w:val="none" w:sz="0" w:space="0" w:color="auto"/>
            <w:right w:val="none" w:sz="0" w:space="0" w:color="auto"/>
          </w:divBdr>
        </w:div>
        <w:div w:id="852768568">
          <w:marLeft w:val="274"/>
          <w:marRight w:val="0"/>
          <w:marTop w:val="0"/>
          <w:marBottom w:val="0"/>
          <w:divBdr>
            <w:top w:val="none" w:sz="0" w:space="0" w:color="auto"/>
            <w:left w:val="none" w:sz="0" w:space="0" w:color="auto"/>
            <w:bottom w:val="none" w:sz="0" w:space="0" w:color="auto"/>
            <w:right w:val="none" w:sz="0" w:space="0" w:color="auto"/>
          </w:divBdr>
        </w:div>
        <w:div w:id="1105148417">
          <w:marLeft w:val="274"/>
          <w:marRight w:val="0"/>
          <w:marTop w:val="0"/>
          <w:marBottom w:val="0"/>
          <w:divBdr>
            <w:top w:val="none" w:sz="0" w:space="0" w:color="auto"/>
            <w:left w:val="none" w:sz="0" w:space="0" w:color="auto"/>
            <w:bottom w:val="none" w:sz="0" w:space="0" w:color="auto"/>
            <w:right w:val="none" w:sz="0" w:space="0" w:color="auto"/>
          </w:divBdr>
        </w:div>
        <w:div w:id="760873359">
          <w:marLeft w:val="274"/>
          <w:marRight w:val="0"/>
          <w:marTop w:val="0"/>
          <w:marBottom w:val="0"/>
          <w:divBdr>
            <w:top w:val="none" w:sz="0" w:space="0" w:color="auto"/>
            <w:left w:val="none" w:sz="0" w:space="0" w:color="auto"/>
            <w:bottom w:val="none" w:sz="0" w:space="0" w:color="auto"/>
            <w:right w:val="none" w:sz="0" w:space="0" w:color="auto"/>
          </w:divBdr>
        </w:div>
        <w:div w:id="173737186">
          <w:marLeft w:val="274"/>
          <w:marRight w:val="0"/>
          <w:marTop w:val="0"/>
          <w:marBottom w:val="0"/>
          <w:divBdr>
            <w:top w:val="none" w:sz="0" w:space="0" w:color="auto"/>
            <w:left w:val="none" w:sz="0" w:space="0" w:color="auto"/>
            <w:bottom w:val="none" w:sz="0" w:space="0" w:color="auto"/>
            <w:right w:val="none" w:sz="0" w:space="0" w:color="auto"/>
          </w:divBdr>
        </w:div>
        <w:div w:id="627129629">
          <w:marLeft w:val="274"/>
          <w:marRight w:val="0"/>
          <w:marTop w:val="0"/>
          <w:marBottom w:val="0"/>
          <w:divBdr>
            <w:top w:val="none" w:sz="0" w:space="0" w:color="auto"/>
            <w:left w:val="none" w:sz="0" w:space="0" w:color="auto"/>
            <w:bottom w:val="none" w:sz="0" w:space="0" w:color="auto"/>
            <w:right w:val="none" w:sz="0" w:space="0" w:color="auto"/>
          </w:divBdr>
        </w:div>
        <w:div w:id="403994259">
          <w:marLeft w:val="274"/>
          <w:marRight w:val="0"/>
          <w:marTop w:val="0"/>
          <w:marBottom w:val="0"/>
          <w:divBdr>
            <w:top w:val="none" w:sz="0" w:space="0" w:color="auto"/>
            <w:left w:val="none" w:sz="0" w:space="0" w:color="auto"/>
            <w:bottom w:val="none" w:sz="0" w:space="0" w:color="auto"/>
            <w:right w:val="none" w:sz="0" w:space="0" w:color="auto"/>
          </w:divBdr>
        </w:div>
      </w:divsChild>
    </w:div>
    <w:div w:id="2129934293">
      <w:bodyDiv w:val="1"/>
      <w:marLeft w:val="0"/>
      <w:marRight w:val="0"/>
      <w:marTop w:val="0"/>
      <w:marBottom w:val="0"/>
      <w:divBdr>
        <w:top w:val="none" w:sz="0" w:space="0" w:color="auto"/>
        <w:left w:val="none" w:sz="0" w:space="0" w:color="auto"/>
        <w:bottom w:val="none" w:sz="0" w:space="0" w:color="auto"/>
        <w:right w:val="none" w:sz="0" w:space="0" w:color="auto"/>
      </w:divBdr>
      <w:divsChild>
        <w:div w:id="1243182570">
          <w:marLeft w:val="274"/>
          <w:marRight w:val="0"/>
          <w:marTop w:val="0"/>
          <w:marBottom w:val="0"/>
          <w:divBdr>
            <w:top w:val="none" w:sz="0" w:space="0" w:color="auto"/>
            <w:left w:val="none" w:sz="0" w:space="0" w:color="auto"/>
            <w:bottom w:val="none" w:sz="0" w:space="0" w:color="auto"/>
            <w:right w:val="none" w:sz="0" w:space="0" w:color="auto"/>
          </w:divBdr>
        </w:div>
        <w:div w:id="1945115138">
          <w:marLeft w:val="274"/>
          <w:marRight w:val="0"/>
          <w:marTop w:val="0"/>
          <w:marBottom w:val="0"/>
          <w:divBdr>
            <w:top w:val="none" w:sz="0" w:space="0" w:color="auto"/>
            <w:left w:val="none" w:sz="0" w:space="0" w:color="auto"/>
            <w:bottom w:val="none" w:sz="0" w:space="0" w:color="auto"/>
            <w:right w:val="none" w:sz="0" w:space="0" w:color="auto"/>
          </w:divBdr>
        </w:div>
        <w:div w:id="204759479">
          <w:marLeft w:val="274"/>
          <w:marRight w:val="0"/>
          <w:marTop w:val="0"/>
          <w:marBottom w:val="0"/>
          <w:divBdr>
            <w:top w:val="none" w:sz="0" w:space="0" w:color="auto"/>
            <w:left w:val="none" w:sz="0" w:space="0" w:color="auto"/>
            <w:bottom w:val="none" w:sz="0" w:space="0" w:color="auto"/>
            <w:right w:val="none" w:sz="0" w:space="0" w:color="auto"/>
          </w:divBdr>
        </w:div>
        <w:div w:id="954098114">
          <w:marLeft w:val="274"/>
          <w:marRight w:val="0"/>
          <w:marTop w:val="0"/>
          <w:marBottom w:val="0"/>
          <w:divBdr>
            <w:top w:val="none" w:sz="0" w:space="0" w:color="auto"/>
            <w:left w:val="none" w:sz="0" w:space="0" w:color="auto"/>
            <w:bottom w:val="none" w:sz="0" w:space="0" w:color="auto"/>
            <w:right w:val="none" w:sz="0" w:space="0" w:color="auto"/>
          </w:divBdr>
        </w:div>
        <w:div w:id="1286160964">
          <w:marLeft w:val="274"/>
          <w:marRight w:val="0"/>
          <w:marTop w:val="0"/>
          <w:marBottom w:val="0"/>
          <w:divBdr>
            <w:top w:val="none" w:sz="0" w:space="0" w:color="auto"/>
            <w:left w:val="none" w:sz="0" w:space="0" w:color="auto"/>
            <w:bottom w:val="none" w:sz="0" w:space="0" w:color="auto"/>
            <w:right w:val="none" w:sz="0" w:space="0" w:color="auto"/>
          </w:divBdr>
        </w:div>
        <w:div w:id="775903978">
          <w:marLeft w:val="274"/>
          <w:marRight w:val="0"/>
          <w:marTop w:val="0"/>
          <w:marBottom w:val="0"/>
          <w:divBdr>
            <w:top w:val="none" w:sz="0" w:space="0" w:color="auto"/>
            <w:left w:val="none" w:sz="0" w:space="0" w:color="auto"/>
            <w:bottom w:val="none" w:sz="0" w:space="0" w:color="auto"/>
            <w:right w:val="none" w:sz="0" w:space="0" w:color="auto"/>
          </w:divBdr>
        </w:div>
        <w:div w:id="70390210">
          <w:marLeft w:val="274"/>
          <w:marRight w:val="0"/>
          <w:marTop w:val="0"/>
          <w:marBottom w:val="0"/>
          <w:divBdr>
            <w:top w:val="none" w:sz="0" w:space="0" w:color="auto"/>
            <w:left w:val="none" w:sz="0" w:space="0" w:color="auto"/>
            <w:bottom w:val="none" w:sz="0" w:space="0" w:color="auto"/>
            <w:right w:val="none" w:sz="0" w:space="0" w:color="auto"/>
          </w:divBdr>
        </w:div>
        <w:div w:id="259067427">
          <w:marLeft w:val="274"/>
          <w:marRight w:val="0"/>
          <w:marTop w:val="0"/>
          <w:marBottom w:val="0"/>
          <w:divBdr>
            <w:top w:val="none" w:sz="0" w:space="0" w:color="auto"/>
            <w:left w:val="none" w:sz="0" w:space="0" w:color="auto"/>
            <w:bottom w:val="none" w:sz="0" w:space="0" w:color="auto"/>
            <w:right w:val="none" w:sz="0" w:space="0" w:color="auto"/>
          </w:divBdr>
        </w:div>
        <w:div w:id="184025867">
          <w:marLeft w:val="274"/>
          <w:marRight w:val="0"/>
          <w:marTop w:val="0"/>
          <w:marBottom w:val="0"/>
          <w:divBdr>
            <w:top w:val="none" w:sz="0" w:space="0" w:color="auto"/>
            <w:left w:val="none" w:sz="0" w:space="0" w:color="auto"/>
            <w:bottom w:val="none" w:sz="0" w:space="0" w:color="auto"/>
            <w:right w:val="none" w:sz="0" w:space="0" w:color="auto"/>
          </w:divBdr>
        </w:div>
        <w:div w:id="688141700">
          <w:marLeft w:val="274"/>
          <w:marRight w:val="0"/>
          <w:marTop w:val="0"/>
          <w:marBottom w:val="0"/>
          <w:divBdr>
            <w:top w:val="none" w:sz="0" w:space="0" w:color="auto"/>
            <w:left w:val="none" w:sz="0" w:space="0" w:color="auto"/>
            <w:bottom w:val="none" w:sz="0" w:space="0" w:color="auto"/>
            <w:right w:val="none" w:sz="0" w:space="0" w:color="auto"/>
          </w:divBdr>
        </w:div>
        <w:div w:id="1085881820">
          <w:marLeft w:val="274"/>
          <w:marRight w:val="0"/>
          <w:marTop w:val="0"/>
          <w:marBottom w:val="0"/>
          <w:divBdr>
            <w:top w:val="none" w:sz="0" w:space="0" w:color="auto"/>
            <w:left w:val="none" w:sz="0" w:space="0" w:color="auto"/>
            <w:bottom w:val="none" w:sz="0" w:space="0" w:color="auto"/>
            <w:right w:val="none" w:sz="0" w:space="0" w:color="auto"/>
          </w:divBdr>
        </w:div>
        <w:div w:id="597254816">
          <w:marLeft w:val="274"/>
          <w:marRight w:val="0"/>
          <w:marTop w:val="0"/>
          <w:marBottom w:val="0"/>
          <w:divBdr>
            <w:top w:val="none" w:sz="0" w:space="0" w:color="auto"/>
            <w:left w:val="none" w:sz="0" w:space="0" w:color="auto"/>
            <w:bottom w:val="none" w:sz="0" w:space="0" w:color="auto"/>
            <w:right w:val="none" w:sz="0" w:space="0" w:color="auto"/>
          </w:divBdr>
        </w:div>
        <w:div w:id="1301299986">
          <w:marLeft w:val="274"/>
          <w:marRight w:val="0"/>
          <w:marTop w:val="0"/>
          <w:marBottom w:val="0"/>
          <w:divBdr>
            <w:top w:val="none" w:sz="0" w:space="0" w:color="auto"/>
            <w:left w:val="none" w:sz="0" w:space="0" w:color="auto"/>
            <w:bottom w:val="none" w:sz="0" w:space="0" w:color="auto"/>
            <w:right w:val="none" w:sz="0" w:space="0" w:color="auto"/>
          </w:divBdr>
        </w:div>
        <w:div w:id="1394966170">
          <w:marLeft w:val="274"/>
          <w:marRight w:val="0"/>
          <w:marTop w:val="0"/>
          <w:marBottom w:val="0"/>
          <w:divBdr>
            <w:top w:val="none" w:sz="0" w:space="0" w:color="auto"/>
            <w:left w:val="none" w:sz="0" w:space="0" w:color="auto"/>
            <w:bottom w:val="none" w:sz="0" w:space="0" w:color="auto"/>
            <w:right w:val="none" w:sz="0" w:space="0" w:color="auto"/>
          </w:divBdr>
        </w:div>
        <w:div w:id="343484935">
          <w:marLeft w:val="274"/>
          <w:marRight w:val="0"/>
          <w:marTop w:val="0"/>
          <w:marBottom w:val="0"/>
          <w:divBdr>
            <w:top w:val="none" w:sz="0" w:space="0" w:color="auto"/>
            <w:left w:val="none" w:sz="0" w:space="0" w:color="auto"/>
            <w:bottom w:val="none" w:sz="0" w:space="0" w:color="auto"/>
            <w:right w:val="none" w:sz="0" w:space="0" w:color="auto"/>
          </w:divBdr>
        </w:div>
        <w:div w:id="882206362">
          <w:marLeft w:val="274"/>
          <w:marRight w:val="0"/>
          <w:marTop w:val="0"/>
          <w:marBottom w:val="0"/>
          <w:divBdr>
            <w:top w:val="none" w:sz="0" w:space="0" w:color="auto"/>
            <w:left w:val="none" w:sz="0" w:space="0" w:color="auto"/>
            <w:bottom w:val="none" w:sz="0" w:space="0" w:color="auto"/>
            <w:right w:val="none" w:sz="0" w:space="0" w:color="auto"/>
          </w:divBdr>
        </w:div>
        <w:div w:id="992216384">
          <w:marLeft w:val="274"/>
          <w:marRight w:val="0"/>
          <w:marTop w:val="0"/>
          <w:marBottom w:val="0"/>
          <w:divBdr>
            <w:top w:val="none" w:sz="0" w:space="0" w:color="auto"/>
            <w:left w:val="none" w:sz="0" w:space="0" w:color="auto"/>
            <w:bottom w:val="none" w:sz="0" w:space="0" w:color="auto"/>
            <w:right w:val="none" w:sz="0" w:space="0" w:color="auto"/>
          </w:divBdr>
        </w:div>
        <w:div w:id="1366519728">
          <w:marLeft w:val="274"/>
          <w:marRight w:val="0"/>
          <w:marTop w:val="0"/>
          <w:marBottom w:val="0"/>
          <w:divBdr>
            <w:top w:val="none" w:sz="0" w:space="0" w:color="auto"/>
            <w:left w:val="none" w:sz="0" w:space="0" w:color="auto"/>
            <w:bottom w:val="none" w:sz="0" w:space="0" w:color="auto"/>
            <w:right w:val="none" w:sz="0" w:space="0" w:color="auto"/>
          </w:divBdr>
        </w:div>
        <w:div w:id="200481552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30.png"/><Relationship Id="rId21" Type="http://schemas.openxmlformats.org/officeDocument/2006/relationships/chart" Target="charts/chart4.xml"/><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4.emf"/><Relationship Id="rId32" Type="http://schemas.openxmlformats.org/officeDocument/2006/relationships/image" Target="media/image19.emf"/><Relationship Id="rId40" Type="http://schemas.openxmlformats.org/officeDocument/2006/relationships/image" Target="media/image24.png"/><Relationship Id="rId45" Type="http://schemas.openxmlformats.org/officeDocument/2006/relationships/image" Target="media/image29.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image" Target="media/image18.emf"/><Relationship Id="rId44"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2.emf"/><Relationship Id="rId27" Type="http://schemas.openxmlformats.org/officeDocument/2006/relationships/chart" Target="charts/chart6.xml"/><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7.emf"/><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image" Target="media/image20.emf"/><Relationship Id="rId46" Type="http://schemas.openxmlformats.org/officeDocument/2006/relationships/image" Target="media/image30.emf"/><Relationship Id="rId20" Type="http://schemas.openxmlformats.org/officeDocument/2006/relationships/image" Target="media/image11.emf"/><Relationship Id="rId4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bruiker\Documents\TGF\Epi%20review%20Guin&#233;e\enquetes%20population%20g&#233;n&#233;r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Documents\TGF\Epi%20review%20Guin&#233;e\enquetes%20population%20g&#233;n&#233;r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cpsawri\AppData\Local\Microsoft\Windows\INetCache\Content.Outlook\OMB3ITEE\1st%2090%20calculation%20N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cpsawri\Dropbox\LSHTM\CONSULTANCIES\who%20CONSULTANCY\GUINEA%20HTS%20DOCUMENTS\GUINEAN%20HIV%20TESTING%20DATA\DEPISTAGE%20VOLON%20-CDIS%202016-S1%202018%20(3)-%20annual%20summary-AW%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ebruiker\Documents\TGF\Epi%20review%20Guin&#233;e\cascad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ebruiker\Documents\TGF\Epi%20review%20Guin&#233;e\cascad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Femmes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BF"/>
        </a:p>
      </c:txPr>
    </c:title>
    <c:autoTitleDeleted val="0"/>
    <c:plotArea>
      <c:layout/>
      <c:lineChart>
        <c:grouping val="standard"/>
        <c:varyColors val="0"/>
        <c:ser>
          <c:idx val="0"/>
          <c:order val="0"/>
          <c:tx>
            <c:strRef>
              <c:f>EDS!$B$137</c:f>
              <c:strCache>
                <c:ptCount val="1"/>
                <c:pt idx="0">
                  <c:v>2005</c:v>
                </c:pt>
              </c:strCache>
            </c:strRef>
          </c:tx>
          <c:spPr>
            <a:ln w="28575" cap="rnd">
              <a:solidFill>
                <a:schemeClr val="accent1"/>
              </a:solidFill>
              <a:round/>
            </a:ln>
            <a:effectLst/>
          </c:spPr>
          <c:marker>
            <c:symbol val="none"/>
          </c:marker>
          <c:cat>
            <c:strRef>
              <c:f>EDS!$A$138:$A$144</c:f>
              <c:strCache>
                <c:ptCount val="7"/>
                <c:pt idx="0">
                  <c:v>15-19 </c:v>
                </c:pt>
                <c:pt idx="1">
                  <c:v>20-24 </c:v>
                </c:pt>
                <c:pt idx="2">
                  <c:v>25-29 </c:v>
                </c:pt>
                <c:pt idx="3">
                  <c:v>30-34 </c:v>
                </c:pt>
                <c:pt idx="4">
                  <c:v>35-39 </c:v>
                </c:pt>
                <c:pt idx="5">
                  <c:v>40-44 </c:v>
                </c:pt>
                <c:pt idx="6">
                  <c:v>45-49 </c:v>
                </c:pt>
              </c:strCache>
            </c:strRef>
          </c:cat>
          <c:val>
            <c:numRef>
              <c:f>EDS!$B$138:$B$144</c:f>
              <c:numCache>
                <c:formatCode>0.0%</c:formatCode>
                <c:ptCount val="7"/>
                <c:pt idx="0">
                  <c:v>0.01</c:v>
                </c:pt>
                <c:pt idx="1">
                  <c:v>1.4E-2</c:v>
                </c:pt>
                <c:pt idx="2">
                  <c:v>0.02</c:v>
                </c:pt>
                <c:pt idx="3">
                  <c:v>2.8000000000000001E-2</c:v>
                </c:pt>
                <c:pt idx="4">
                  <c:v>1.9E-2</c:v>
                </c:pt>
                <c:pt idx="5">
                  <c:v>1.4E-2</c:v>
                </c:pt>
                <c:pt idx="6">
                  <c:v>3.3000000000000002E-2</c:v>
                </c:pt>
              </c:numCache>
            </c:numRef>
          </c:val>
          <c:smooth val="0"/>
          <c:extLst>
            <c:ext xmlns:c16="http://schemas.microsoft.com/office/drawing/2014/chart" uri="{C3380CC4-5D6E-409C-BE32-E72D297353CC}">
              <c16:uniqueId val="{00000000-24F0-4784-B7B5-96AF94B911D4}"/>
            </c:ext>
          </c:extLst>
        </c:ser>
        <c:ser>
          <c:idx val="1"/>
          <c:order val="1"/>
          <c:tx>
            <c:strRef>
              <c:f>EDS!$C$137</c:f>
              <c:strCache>
                <c:ptCount val="1"/>
                <c:pt idx="0">
                  <c:v>2012</c:v>
                </c:pt>
              </c:strCache>
            </c:strRef>
          </c:tx>
          <c:spPr>
            <a:ln w="28575" cap="rnd">
              <a:solidFill>
                <a:schemeClr val="accent2"/>
              </a:solidFill>
              <a:round/>
            </a:ln>
            <a:effectLst/>
          </c:spPr>
          <c:marker>
            <c:symbol val="none"/>
          </c:marker>
          <c:cat>
            <c:strRef>
              <c:f>EDS!$A$138:$A$144</c:f>
              <c:strCache>
                <c:ptCount val="7"/>
                <c:pt idx="0">
                  <c:v>15-19 </c:v>
                </c:pt>
                <c:pt idx="1">
                  <c:v>20-24 </c:v>
                </c:pt>
                <c:pt idx="2">
                  <c:v>25-29 </c:v>
                </c:pt>
                <c:pt idx="3">
                  <c:v>30-34 </c:v>
                </c:pt>
                <c:pt idx="4">
                  <c:v>35-39 </c:v>
                </c:pt>
                <c:pt idx="5">
                  <c:v>40-44 </c:v>
                </c:pt>
                <c:pt idx="6">
                  <c:v>45-49 </c:v>
                </c:pt>
              </c:strCache>
            </c:strRef>
          </c:cat>
          <c:val>
            <c:numRef>
              <c:f>EDS!$C$138:$C$144</c:f>
              <c:numCache>
                <c:formatCode>0.0%</c:formatCode>
                <c:ptCount val="7"/>
                <c:pt idx="0">
                  <c:v>1.4999999999999999E-2</c:v>
                </c:pt>
                <c:pt idx="1">
                  <c:v>1.0999999999999999E-2</c:v>
                </c:pt>
                <c:pt idx="2">
                  <c:v>2.7E-2</c:v>
                </c:pt>
                <c:pt idx="3">
                  <c:v>3.4000000000000002E-2</c:v>
                </c:pt>
                <c:pt idx="4">
                  <c:v>2.9000000000000001E-2</c:v>
                </c:pt>
                <c:pt idx="5">
                  <c:v>2.1999999999999999E-2</c:v>
                </c:pt>
                <c:pt idx="6">
                  <c:v>1.2E-2</c:v>
                </c:pt>
              </c:numCache>
            </c:numRef>
          </c:val>
          <c:smooth val="0"/>
          <c:extLst>
            <c:ext xmlns:c16="http://schemas.microsoft.com/office/drawing/2014/chart" uri="{C3380CC4-5D6E-409C-BE32-E72D297353CC}">
              <c16:uniqueId val="{00000001-24F0-4784-B7B5-96AF94B911D4}"/>
            </c:ext>
          </c:extLst>
        </c:ser>
        <c:ser>
          <c:idx val="2"/>
          <c:order val="2"/>
          <c:tx>
            <c:strRef>
              <c:f>EDS!$D$137</c:f>
              <c:strCache>
                <c:ptCount val="1"/>
                <c:pt idx="0">
                  <c:v>2018</c:v>
                </c:pt>
              </c:strCache>
            </c:strRef>
          </c:tx>
          <c:spPr>
            <a:ln w="28575" cap="rnd">
              <a:solidFill>
                <a:schemeClr val="accent3"/>
              </a:solidFill>
              <a:round/>
            </a:ln>
            <a:effectLst/>
          </c:spPr>
          <c:marker>
            <c:symbol val="none"/>
          </c:marker>
          <c:cat>
            <c:strRef>
              <c:f>EDS!$A$138:$A$144</c:f>
              <c:strCache>
                <c:ptCount val="7"/>
                <c:pt idx="0">
                  <c:v>15-19 </c:v>
                </c:pt>
                <c:pt idx="1">
                  <c:v>20-24 </c:v>
                </c:pt>
                <c:pt idx="2">
                  <c:v>25-29 </c:v>
                </c:pt>
                <c:pt idx="3">
                  <c:v>30-34 </c:v>
                </c:pt>
                <c:pt idx="4">
                  <c:v>35-39 </c:v>
                </c:pt>
                <c:pt idx="5">
                  <c:v>40-44 </c:v>
                </c:pt>
                <c:pt idx="6">
                  <c:v>45-49 </c:v>
                </c:pt>
              </c:strCache>
            </c:strRef>
          </c:cat>
          <c:val>
            <c:numRef>
              <c:f>EDS!$D$138:$D$144</c:f>
              <c:numCache>
                <c:formatCode>0.0%</c:formatCode>
                <c:ptCount val="7"/>
                <c:pt idx="0">
                  <c:v>1.2E-2</c:v>
                </c:pt>
                <c:pt idx="1">
                  <c:v>0.01</c:v>
                </c:pt>
                <c:pt idx="2">
                  <c:v>1.8000000000000002E-2</c:v>
                </c:pt>
                <c:pt idx="3">
                  <c:v>2.5000000000000001E-2</c:v>
                </c:pt>
                <c:pt idx="4">
                  <c:v>2.2000000000000002E-2</c:v>
                </c:pt>
                <c:pt idx="5">
                  <c:v>1.3000000000000001E-2</c:v>
                </c:pt>
                <c:pt idx="6">
                  <c:v>1.9E-2</c:v>
                </c:pt>
              </c:numCache>
            </c:numRef>
          </c:val>
          <c:smooth val="0"/>
          <c:extLst>
            <c:ext xmlns:c16="http://schemas.microsoft.com/office/drawing/2014/chart" uri="{C3380CC4-5D6E-409C-BE32-E72D297353CC}">
              <c16:uniqueId val="{00000002-24F0-4784-B7B5-96AF94B911D4}"/>
            </c:ext>
          </c:extLst>
        </c:ser>
        <c:dLbls>
          <c:showLegendKey val="0"/>
          <c:showVal val="0"/>
          <c:showCatName val="0"/>
          <c:showSerName val="0"/>
          <c:showPercent val="0"/>
          <c:showBubbleSize val="0"/>
        </c:dLbls>
        <c:smooth val="0"/>
        <c:axId val="484989208"/>
        <c:axId val="484987640"/>
      </c:lineChart>
      <c:catAx>
        <c:axId val="48498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484987640"/>
        <c:crosses val="autoZero"/>
        <c:auto val="1"/>
        <c:lblAlgn val="ctr"/>
        <c:lblOffset val="100"/>
        <c:noMultiLvlLbl val="0"/>
      </c:catAx>
      <c:valAx>
        <c:axId val="484987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48498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Hommes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BF"/>
        </a:p>
      </c:txPr>
    </c:title>
    <c:autoTitleDeleted val="0"/>
    <c:plotArea>
      <c:layout/>
      <c:lineChart>
        <c:grouping val="standard"/>
        <c:varyColors val="0"/>
        <c:ser>
          <c:idx val="0"/>
          <c:order val="0"/>
          <c:tx>
            <c:strRef>
              <c:f>EDS!$B$146</c:f>
              <c:strCache>
                <c:ptCount val="1"/>
                <c:pt idx="0">
                  <c:v>2005</c:v>
                </c:pt>
              </c:strCache>
            </c:strRef>
          </c:tx>
          <c:spPr>
            <a:ln w="28575" cap="rnd">
              <a:solidFill>
                <a:schemeClr val="accent1"/>
              </a:solidFill>
              <a:round/>
            </a:ln>
            <a:effectLst/>
          </c:spPr>
          <c:marker>
            <c:symbol val="none"/>
          </c:marker>
          <c:cat>
            <c:strRef>
              <c:f>EDS!$A$147:$A$155</c:f>
              <c:strCache>
                <c:ptCount val="9"/>
                <c:pt idx="0">
                  <c:v>15-19 </c:v>
                </c:pt>
                <c:pt idx="1">
                  <c:v>20-24 </c:v>
                </c:pt>
                <c:pt idx="2">
                  <c:v>25-29 </c:v>
                </c:pt>
                <c:pt idx="3">
                  <c:v>30-34 </c:v>
                </c:pt>
                <c:pt idx="4">
                  <c:v>35-39 </c:v>
                </c:pt>
                <c:pt idx="5">
                  <c:v>40-44 </c:v>
                </c:pt>
                <c:pt idx="6">
                  <c:v>45-49 </c:v>
                </c:pt>
                <c:pt idx="7">
                  <c:v>50-54</c:v>
                </c:pt>
                <c:pt idx="8">
                  <c:v>55-59</c:v>
                </c:pt>
              </c:strCache>
            </c:strRef>
          </c:cat>
          <c:val>
            <c:numRef>
              <c:f>EDS!$B$147:$B$155</c:f>
              <c:numCache>
                <c:formatCode>0.0%</c:formatCode>
                <c:ptCount val="9"/>
                <c:pt idx="0">
                  <c:v>5.0000000000000001E-3</c:v>
                </c:pt>
                <c:pt idx="1">
                  <c:v>7.0000000000000001E-3</c:v>
                </c:pt>
                <c:pt idx="2">
                  <c:v>1.0999999999999999E-2</c:v>
                </c:pt>
                <c:pt idx="3">
                  <c:v>6.0000000000000001E-3</c:v>
                </c:pt>
                <c:pt idx="4">
                  <c:v>6.0000000000000001E-3</c:v>
                </c:pt>
                <c:pt idx="5">
                  <c:v>3.1E-2</c:v>
                </c:pt>
                <c:pt idx="6">
                  <c:v>6.0000000000000001E-3</c:v>
                </c:pt>
                <c:pt idx="7">
                  <c:v>1.6E-2</c:v>
                </c:pt>
                <c:pt idx="8">
                  <c:v>2.5000000000000001E-2</c:v>
                </c:pt>
              </c:numCache>
            </c:numRef>
          </c:val>
          <c:smooth val="0"/>
          <c:extLst>
            <c:ext xmlns:c16="http://schemas.microsoft.com/office/drawing/2014/chart" uri="{C3380CC4-5D6E-409C-BE32-E72D297353CC}">
              <c16:uniqueId val="{00000000-B678-4CF6-BB29-048618DF9112}"/>
            </c:ext>
          </c:extLst>
        </c:ser>
        <c:ser>
          <c:idx val="1"/>
          <c:order val="1"/>
          <c:tx>
            <c:strRef>
              <c:f>EDS!$C$146</c:f>
              <c:strCache>
                <c:ptCount val="1"/>
                <c:pt idx="0">
                  <c:v>2012</c:v>
                </c:pt>
              </c:strCache>
            </c:strRef>
          </c:tx>
          <c:spPr>
            <a:ln w="28575" cap="rnd">
              <a:solidFill>
                <a:schemeClr val="accent2"/>
              </a:solidFill>
              <a:round/>
            </a:ln>
            <a:effectLst/>
          </c:spPr>
          <c:marker>
            <c:symbol val="none"/>
          </c:marker>
          <c:cat>
            <c:strRef>
              <c:f>EDS!$A$147:$A$155</c:f>
              <c:strCache>
                <c:ptCount val="9"/>
                <c:pt idx="0">
                  <c:v>15-19 </c:v>
                </c:pt>
                <c:pt idx="1">
                  <c:v>20-24 </c:v>
                </c:pt>
                <c:pt idx="2">
                  <c:v>25-29 </c:v>
                </c:pt>
                <c:pt idx="3">
                  <c:v>30-34 </c:v>
                </c:pt>
                <c:pt idx="4">
                  <c:v>35-39 </c:v>
                </c:pt>
                <c:pt idx="5">
                  <c:v>40-44 </c:v>
                </c:pt>
                <c:pt idx="6">
                  <c:v>45-49 </c:v>
                </c:pt>
                <c:pt idx="7">
                  <c:v>50-54</c:v>
                </c:pt>
                <c:pt idx="8">
                  <c:v>55-59</c:v>
                </c:pt>
              </c:strCache>
            </c:strRef>
          </c:cat>
          <c:val>
            <c:numRef>
              <c:f>EDS!$C$147:$C$155</c:f>
              <c:numCache>
                <c:formatCode>0.0%</c:formatCode>
                <c:ptCount val="9"/>
                <c:pt idx="0">
                  <c:v>1E-3</c:v>
                </c:pt>
                <c:pt idx="1">
                  <c:v>8.0000000000000002E-3</c:v>
                </c:pt>
                <c:pt idx="2">
                  <c:v>7.0000000000000001E-3</c:v>
                </c:pt>
                <c:pt idx="3">
                  <c:v>1.4E-2</c:v>
                </c:pt>
                <c:pt idx="4">
                  <c:v>2.9000000000000001E-2</c:v>
                </c:pt>
                <c:pt idx="5">
                  <c:v>0.02</c:v>
                </c:pt>
                <c:pt idx="6">
                  <c:v>2.4E-2</c:v>
                </c:pt>
                <c:pt idx="7">
                  <c:v>2.5000000000000001E-2</c:v>
                </c:pt>
              </c:numCache>
            </c:numRef>
          </c:val>
          <c:smooth val="0"/>
          <c:extLst>
            <c:ext xmlns:c16="http://schemas.microsoft.com/office/drawing/2014/chart" uri="{C3380CC4-5D6E-409C-BE32-E72D297353CC}">
              <c16:uniqueId val="{00000001-B678-4CF6-BB29-048618DF9112}"/>
            </c:ext>
          </c:extLst>
        </c:ser>
        <c:ser>
          <c:idx val="2"/>
          <c:order val="2"/>
          <c:tx>
            <c:strRef>
              <c:f>EDS!$D$146</c:f>
              <c:strCache>
                <c:ptCount val="1"/>
                <c:pt idx="0">
                  <c:v>2018</c:v>
                </c:pt>
              </c:strCache>
            </c:strRef>
          </c:tx>
          <c:spPr>
            <a:ln w="28575" cap="rnd">
              <a:solidFill>
                <a:schemeClr val="accent3"/>
              </a:solidFill>
              <a:round/>
            </a:ln>
            <a:effectLst/>
          </c:spPr>
          <c:marker>
            <c:symbol val="none"/>
          </c:marker>
          <c:val>
            <c:numRef>
              <c:f>EDS!$D$147:$D$155</c:f>
              <c:numCache>
                <c:formatCode>0.0%</c:formatCode>
                <c:ptCount val="9"/>
                <c:pt idx="0">
                  <c:v>9.0000000000000011E-3</c:v>
                </c:pt>
                <c:pt idx="1">
                  <c:v>0</c:v>
                </c:pt>
                <c:pt idx="2">
                  <c:v>1.3999999999999999E-2</c:v>
                </c:pt>
                <c:pt idx="3">
                  <c:v>8.0000000000000002E-3</c:v>
                </c:pt>
                <c:pt idx="4">
                  <c:v>2.2000000000000002E-2</c:v>
                </c:pt>
                <c:pt idx="5">
                  <c:v>2.6000000000000002E-2</c:v>
                </c:pt>
                <c:pt idx="6">
                  <c:v>1.9E-2</c:v>
                </c:pt>
                <c:pt idx="7">
                  <c:v>6.0000000000000001E-3</c:v>
                </c:pt>
              </c:numCache>
            </c:numRef>
          </c:val>
          <c:smooth val="0"/>
          <c:extLst>
            <c:ext xmlns:c16="http://schemas.microsoft.com/office/drawing/2014/chart" uri="{C3380CC4-5D6E-409C-BE32-E72D297353CC}">
              <c16:uniqueId val="{00000002-B678-4CF6-BB29-048618DF9112}"/>
            </c:ext>
          </c:extLst>
        </c:ser>
        <c:dLbls>
          <c:showLegendKey val="0"/>
          <c:showVal val="0"/>
          <c:showCatName val="0"/>
          <c:showSerName val="0"/>
          <c:showPercent val="0"/>
          <c:showBubbleSize val="0"/>
        </c:dLbls>
        <c:smooth val="0"/>
        <c:axId val="484988424"/>
        <c:axId val="484984896"/>
      </c:lineChart>
      <c:catAx>
        <c:axId val="48498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484984896"/>
        <c:crosses val="autoZero"/>
        <c:auto val="1"/>
        <c:lblAlgn val="ctr"/>
        <c:lblOffset val="100"/>
        <c:noMultiLvlLbl val="0"/>
      </c:catAx>
      <c:valAx>
        <c:axId val="484984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484988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18769769163469"/>
          <c:y val="2.7777777777777776E-2"/>
          <c:w val="0.75858991183794333"/>
          <c:h val="0.68364417961268353"/>
        </c:manualLayout>
      </c:layout>
      <c:barChart>
        <c:barDir val="col"/>
        <c:grouping val="stacked"/>
        <c:varyColors val="0"/>
        <c:ser>
          <c:idx val="0"/>
          <c:order val="0"/>
          <c:tx>
            <c:strRef>
              <c:f>'[1st 90 calculation NB.xlsx]calcul 1st 90'!$B$15</c:f>
              <c:strCache>
                <c:ptCount val="1"/>
                <c:pt idx="0">
                  <c:v>connaissent leur statut</c:v>
                </c:pt>
              </c:strCache>
            </c:strRef>
          </c:tx>
          <c:spPr>
            <a:solidFill>
              <a:srgbClr val="9966FF"/>
            </a:solidFill>
            <a:ln>
              <a:noFill/>
            </a:ln>
            <a:effectLst/>
          </c:spPr>
          <c:invertIfNegative val="0"/>
          <c:cat>
            <c:strRef>
              <c:f>'[1st 90 calculation NB.xlsx]calcul 1st 90'!$C$14:$F$14</c:f>
              <c:strCache>
                <c:ptCount val="4"/>
                <c:pt idx="0">
                  <c:v>Hommes*</c:v>
                </c:pt>
                <c:pt idx="1">
                  <c:v>Hommes</c:v>
                </c:pt>
                <c:pt idx="2">
                  <c:v>Femmes</c:v>
                </c:pt>
                <c:pt idx="3">
                  <c:v>Totale</c:v>
                </c:pt>
              </c:strCache>
            </c:strRef>
          </c:cat>
          <c:val>
            <c:numRef>
              <c:f>'[1st 90 calculation NB.xlsx]calcul 1st 90'!$C$15:$F$15</c:f>
              <c:numCache>
                <c:formatCode>General</c:formatCode>
                <c:ptCount val="4"/>
                <c:pt idx="0">
                  <c:v>15500</c:v>
                </c:pt>
                <c:pt idx="1">
                  <c:v>14184</c:v>
                </c:pt>
                <c:pt idx="2">
                  <c:v>36849</c:v>
                </c:pt>
                <c:pt idx="3">
                  <c:v>51033</c:v>
                </c:pt>
              </c:numCache>
            </c:numRef>
          </c:val>
          <c:extLst>
            <c:ext xmlns:c16="http://schemas.microsoft.com/office/drawing/2014/chart" uri="{C3380CC4-5D6E-409C-BE32-E72D297353CC}">
              <c16:uniqueId val="{00000000-BB06-48A6-958A-AC53BE29BBC5}"/>
            </c:ext>
          </c:extLst>
        </c:ser>
        <c:ser>
          <c:idx val="1"/>
          <c:order val="1"/>
          <c:tx>
            <c:strRef>
              <c:f>'[1st 90 calculation NB.xlsx]calcul 1st 90'!$B$16</c:f>
              <c:strCache>
                <c:ptCount val="1"/>
                <c:pt idx="0">
                  <c:v>ne connaissent pas</c:v>
                </c:pt>
              </c:strCache>
            </c:strRef>
          </c:tx>
          <c:spPr>
            <a:solidFill>
              <a:schemeClr val="accent6">
                <a:lumMod val="60000"/>
                <a:lumOff val="40000"/>
              </a:schemeClr>
            </a:solidFill>
            <a:ln>
              <a:noFill/>
            </a:ln>
            <a:effectLst/>
          </c:spPr>
          <c:invertIfNegative val="0"/>
          <c:cat>
            <c:strRef>
              <c:f>'[1st 90 calculation NB.xlsx]calcul 1st 90'!$C$14:$F$14</c:f>
              <c:strCache>
                <c:ptCount val="4"/>
                <c:pt idx="0">
                  <c:v>Hommes*</c:v>
                </c:pt>
                <c:pt idx="1">
                  <c:v>Hommes</c:v>
                </c:pt>
                <c:pt idx="2">
                  <c:v>Femmes</c:v>
                </c:pt>
                <c:pt idx="3">
                  <c:v>Totale</c:v>
                </c:pt>
              </c:strCache>
            </c:strRef>
          </c:cat>
          <c:val>
            <c:numRef>
              <c:f>'[1st 90 calculation NB.xlsx]calcul 1st 90'!$C$16:$F$16</c:f>
              <c:numCache>
                <c:formatCode>General</c:formatCode>
                <c:ptCount val="4"/>
                <c:pt idx="0">
                  <c:v>26500</c:v>
                </c:pt>
                <c:pt idx="1">
                  <c:v>27816</c:v>
                </c:pt>
                <c:pt idx="2">
                  <c:v>29151</c:v>
                </c:pt>
                <c:pt idx="3">
                  <c:v>56967</c:v>
                </c:pt>
              </c:numCache>
            </c:numRef>
          </c:val>
          <c:extLst>
            <c:ext xmlns:c16="http://schemas.microsoft.com/office/drawing/2014/chart" uri="{C3380CC4-5D6E-409C-BE32-E72D297353CC}">
              <c16:uniqueId val="{00000001-BB06-48A6-958A-AC53BE29BBC5}"/>
            </c:ext>
          </c:extLst>
        </c:ser>
        <c:dLbls>
          <c:showLegendKey val="0"/>
          <c:showVal val="0"/>
          <c:showCatName val="0"/>
          <c:showSerName val="0"/>
          <c:showPercent val="0"/>
          <c:showBubbleSize val="0"/>
        </c:dLbls>
        <c:gapWidth val="54"/>
        <c:overlap val="100"/>
        <c:axId val="484982936"/>
        <c:axId val="484984112"/>
        <c:extLst>
          <c:ext xmlns:c15="http://schemas.microsoft.com/office/drawing/2012/chart" uri="{02D57815-91ED-43cb-92C2-25804820EDAC}">
            <c15:filteredBarSeries>
              <c15:ser>
                <c:idx val="3"/>
                <c:order val="2"/>
                <c:tx>
                  <c:strRef>
                    <c:extLst>
                      <c:ext uri="{02D57815-91ED-43cb-92C2-25804820EDAC}">
                        <c15:formulaRef>
                          <c15:sqref>'[1st 90 calculation NB.xlsx]calcul 1st 90'!$B$18</c15:sqref>
                        </c15:formulaRef>
                      </c:ext>
                    </c:extLst>
                    <c:strCache>
                      <c:ptCount val="1"/>
                    </c:strCache>
                  </c:strRef>
                </c:tx>
                <c:spPr>
                  <a:solidFill>
                    <a:schemeClr val="accent4"/>
                  </a:solidFill>
                  <a:ln>
                    <a:noFill/>
                  </a:ln>
                  <a:effectLst/>
                </c:spPr>
                <c:invertIfNegative val="0"/>
                <c:cat>
                  <c:strRef>
                    <c:extLst>
                      <c:ext uri="{02D57815-91ED-43cb-92C2-25804820EDAC}">
                        <c15:formulaRef>
                          <c15:sqref>'[1st 90 calculation NB.xlsx]calcul 1st 90'!$C$14:$F$14</c15:sqref>
                        </c15:formulaRef>
                      </c:ext>
                    </c:extLst>
                    <c:strCache>
                      <c:ptCount val="4"/>
                      <c:pt idx="0">
                        <c:v>Hommes*</c:v>
                      </c:pt>
                      <c:pt idx="1">
                        <c:v>Hommes</c:v>
                      </c:pt>
                      <c:pt idx="2">
                        <c:v>Femmes</c:v>
                      </c:pt>
                      <c:pt idx="3">
                        <c:v>Totale</c:v>
                      </c:pt>
                    </c:strCache>
                  </c:strRef>
                </c:cat>
                <c:val>
                  <c:numRef>
                    <c:extLst>
                      <c:ext uri="{02D57815-91ED-43cb-92C2-25804820EDAC}">
                        <c15:formulaRef>
                          <c15:sqref>'[1st 90 calculation NB.xlsx]calcul 1st 90'!$C$18:$F$18</c15:sqref>
                        </c15:formulaRef>
                      </c:ext>
                    </c:extLst>
                    <c:numCache>
                      <c:formatCode>0%</c:formatCode>
                      <c:ptCount val="4"/>
                      <c:pt idx="0">
                        <c:v>0.36904761904761907</c:v>
                      </c:pt>
                      <c:pt idx="1">
                        <c:v>0.33771428571428569</c:v>
                      </c:pt>
                      <c:pt idx="2">
                        <c:v>0.55831818181818182</c:v>
                      </c:pt>
                      <c:pt idx="3">
                        <c:v>0.47252777777777777</c:v>
                      </c:pt>
                    </c:numCache>
                  </c:numRef>
                </c:val>
                <c:extLst>
                  <c:ext xmlns:c16="http://schemas.microsoft.com/office/drawing/2014/chart" uri="{C3380CC4-5D6E-409C-BE32-E72D297353CC}">
                    <c16:uniqueId val="{00000002-BB06-48A6-958A-AC53BE29BBC5}"/>
                  </c:ext>
                </c:extLst>
              </c15:ser>
            </c15:filteredBarSeries>
          </c:ext>
        </c:extLst>
      </c:barChart>
      <c:catAx>
        <c:axId val="48498293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Sexe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BF"/>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BF"/>
          </a:p>
        </c:txPr>
        <c:crossAx val="484984112"/>
        <c:crosses val="autoZero"/>
        <c:auto val="1"/>
        <c:lblAlgn val="ctr"/>
        <c:lblOffset val="100"/>
        <c:noMultiLvlLbl val="0"/>
      </c:catAx>
      <c:valAx>
        <c:axId val="48498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fr-FR" sz="1200" b="1">
                    <a:solidFill>
                      <a:schemeClr val="tx1"/>
                    </a:solidFill>
                  </a:rPr>
                  <a:t>Nombre de PVVIH</a:t>
                </a:r>
              </a:p>
            </c:rich>
          </c:tx>
          <c:layout>
            <c:manualLayout>
              <c:xMode val="edge"/>
              <c:yMode val="edge"/>
              <c:x val="2.0443946578500891E-2"/>
              <c:y val="0.2624022906227630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fr-BF"/>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BF"/>
          </a:p>
        </c:txPr>
        <c:crossAx val="484982936"/>
        <c:crosses val="autoZero"/>
        <c:crossBetween val="between"/>
      </c:valAx>
      <c:spPr>
        <a:noFill/>
        <a:ln>
          <a:noFill/>
        </a:ln>
        <a:effectLst/>
      </c:spPr>
    </c:plotArea>
    <c:legend>
      <c:legendPos val="b"/>
      <c:layout>
        <c:manualLayout>
          <c:xMode val="edge"/>
          <c:yMode val="edge"/>
          <c:x val="0.18859517399034795"/>
          <c:y val="0.88742689827088195"/>
          <c:w val="0.68996971532404605"/>
          <c:h val="8.25909058664964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BF"/>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19131397637794"/>
          <c:y val="8.6286335162108166E-2"/>
          <c:w val="0.7349911827427823"/>
          <c:h val="0.62230769230769234"/>
        </c:manualLayout>
      </c:layout>
      <c:barChart>
        <c:barDir val="col"/>
        <c:grouping val="clustered"/>
        <c:varyColors val="0"/>
        <c:ser>
          <c:idx val="0"/>
          <c:order val="0"/>
          <c:tx>
            <c:strRef>
              <c:f>'CDV CDIS S1 2018 graphs'!$CR$17</c:f>
              <c:strCache>
                <c:ptCount val="1"/>
                <c:pt idx="0">
                  <c:v>CDIS # depiste</c:v>
                </c:pt>
              </c:strCache>
            </c:strRef>
          </c:tx>
          <c:spPr>
            <a:solidFill>
              <a:schemeClr val="accent1"/>
            </a:solidFill>
            <a:ln>
              <a:noFill/>
            </a:ln>
            <a:effectLst/>
          </c:spPr>
          <c:invertIfNegative val="0"/>
          <c:cat>
            <c:strRef>
              <c:f>'CDV CDIS S1 2018 graphs'!$CI$7:$CI$14</c:f>
              <c:strCache>
                <c:ptCount val="8"/>
                <c:pt idx="0">
                  <c:v>Conakry</c:v>
                </c:pt>
                <c:pt idx="1">
                  <c:v>Boké</c:v>
                </c:pt>
                <c:pt idx="2">
                  <c:v>Kindia</c:v>
                </c:pt>
                <c:pt idx="3">
                  <c:v>Faranah</c:v>
                </c:pt>
                <c:pt idx="4">
                  <c:v>Mamou</c:v>
                </c:pt>
                <c:pt idx="5">
                  <c:v>Labe</c:v>
                </c:pt>
                <c:pt idx="6">
                  <c:v>Kankan</c:v>
                </c:pt>
                <c:pt idx="7">
                  <c:v>N'Zérékoré</c:v>
                </c:pt>
              </c:strCache>
            </c:strRef>
          </c:cat>
          <c:val>
            <c:numRef>
              <c:f>'CDV CDIS S1 2018 graphs'!$CR$18:$CR$25</c:f>
              <c:numCache>
                <c:formatCode>General</c:formatCode>
                <c:ptCount val="8"/>
                <c:pt idx="0">
                  <c:v>14358</c:v>
                </c:pt>
                <c:pt idx="1">
                  <c:v>2498</c:v>
                </c:pt>
                <c:pt idx="2">
                  <c:v>3375</c:v>
                </c:pt>
                <c:pt idx="3">
                  <c:v>1152</c:v>
                </c:pt>
                <c:pt idx="4">
                  <c:v>270</c:v>
                </c:pt>
                <c:pt idx="5">
                  <c:v>1404</c:v>
                </c:pt>
                <c:pt idx="6">
                  <c:v>853</c:v>
                </c:pt>
                <c:pt idx="7">
                  <c:v>4322</c:v>
                </c:pt>
              </c:numCache>
            </c:numRef>
          </c:val>
          <c:extLst xmlns:c15="http://schemas.microsoft.com/office/drawing/2012/chart">
            <c:ext xmlns:c16="http://schemas.microsoft.com/office/drawing/2014/chart" uri="{C3380CC4-5D6E-409C-BE32-E72D297353CC}">
              <c16:uniqueId val="{00000000-62FB-44D9-B504-A3BDE9213507}"/>
            </c:ext>
          </c:extLst>
        </c:ser>
        <c:ser>
          <c:idx val="2"/>
          <c:order val="2"/>
          <c:tx>
            <c:strRef>
              <c:f>'CDV CDIS S1 2018 graphs'!$CT$17</c:f>
              <c:strCache>
                <c:ptCount val="1"/>
                <c:pt idx="0">
                  <c:v>CDV # depiste</c:v>
                </c:pt>
              </c:strCache>
            </c:strRef>
          </c:tx>
          <c:spPr>
            <a:solidFill>
              <a:schemeClr val="accent2">
                <a:lumMod val="60000"/>
                <a:lumOff val="40000"/>
              </a:schemeClr>
            </a:solidFill>
            <a:ln>
              <a:noFill/>
            </a:ln>
            <a:effectLst/>
          </c:spPr>
          <c:invertIfNegative val="0"/>
          <c:cat>
            <c:strRef>
              <c:f>'CDV CDIS S1 2018 graphs'!$CI$6:$CI$14</c:f>
              <c:strCache>
                <c:ptCount val="9"/>
                <c:pt idx="0">
                  <c:v>Region</c:v>
                </c:pt>
                <c:pt idx="1">
                  <c:v>Conakry</c:v>
                </c:pt>
                <c:pt idx="2">
                  <c:v>Boké</c:v>
                </c:pt>
                <c:pt idx="3">
                  <c:v>Kindia</c:v>
                </c:pt>
                <c:pt idx="4">
                  <c:v>Faranah</c:v>
                </c:pt>
                <c:pt idx="5">
                  <c:v>Mamou</c:v>
                </c:pt>
                <c:pt idx="6">
                  <c:v>Labe</c:v>
                </c:pt>
                <c:pt idx="7">
                  <c:v>Kankan</c:v>
                </c:pt>
                <c:pt idx="8">
                  <c:v>N'Zérékoré</c:v>
                </c:pt>
              </c:strCache>
            </c:strRef>
          </c:cat>
          <c:val>
            <c:numRef>
              <c:f>'CDV CDIS S1 2018 graphs'!$CT$18:$CT$25</c:f>
              <c:numCache>
                <c:formatCode>General</c:formatCode>
                <c:ptCount val="8"/>
                <c:pt idx="0">
                  <c:v>10451</c:v>
                </c:pt>
                <c:pt idx="1">
                  <c:v>774</c:v>
                </c:pt>
                <c:pt idx="2">
                  <c:v>50</c:v>
                </c:pt>
                <c:pt idx="3">
                  <c:v>957</c:v>
                </c:pt>
                <c:pt idx="4">
                  <c:v>347</c:v>
                </c:pt>
                <c:pt idx="5">
                  <c:v>573</c:v>
                </c:pt>
                <c:pt idx="6">
                  <c:v>3137</c:v>
                </c:pt>
                <c:pt idx="7">
                  <c:v>657</c:v>
                </c:pt>
              </c:numCache>
            </c:numRef>
          </c:val>
          <c:extLst xmlns:c15="http://schemas.microsoft.com/office/drawing/2012/chart">
            <c:ext xmlns:c16="http://schemas.microsoft.com/office/drawing/2014/chart" uri="{C3380CC4-5D6E-409C-BE32-E72D297353CC}">
              <c16:uniqueId val="{00000001-62FB-44D9-B504-A3BDE9213507}"/>
            </c:ext>
          </c:extLst>
        </c:ser>
        <c:dLbls>
          <c:showLegendKey val="0"/>
          <c:showVal val="0"/>
          <c:showCatName val="0"/>
          <c:showSerName val="0"/>
          <c:showPercent val="0"/>
          <c:showBubbleSize val="0"/>
        </c:dLbls>
        <c:gapWidth val="40"/>
        <c:axId val="484988816"/>
        <c:axId val="610141336"/>
      </c:barChart>
      <c:lineChart>
        <c:grouping val="standard"/>
        <c:varyColors val="0"/>
        <c:ser>
          <c:idx val="1"/>
          <c:order val="1"/>
          <c:tx>
            <c:strRef>
              <c:f>'CDV CDIS S1 2018 graphs'!$CS$17</c:f>
              <c:strCache>
                <c:ptCount val="1"/>
                <c:pt idx="0">
                  <c:v>CDV taux SP</c:v>
                </c:pt>
              </c:strCache>
            </c:strRef>
          </c:tx>
          <c:spPr>
            <a:ln w="28575" cap="rnd">
              <a:solidFill>
                <a:schemeClr val="accent2"/>
              </a:solidFill>
              <a:round/>
            </a:ln>
            <a:effectLst/>
          </c:spPr>
          <c:marker>
            <c:symbol val="none"/>
          </c:marker>
          <c:cat>
            <c:strRef>
              <c:f>'CDV CDIS S1 2018 graphs'!$CI$7:$CI$14</c:f>
              <c:strCache>
                <c:ptCount val="8"/>
                <c:pt idx="0">
                  <c:v>Conakry</c:v>
                </c:pt>
                <c:pt idx="1">
                  <c:v>Boké</c:v>
                </c:pt>
                <c:pt idx="2">
                  <c:v>Kindia</c:v>
                </c:pt>
                <c:pt idx="3">
                  <c:v>Faranah</c:v>
                </c:pt>
                <c:pt idx="4">
                  <c:v>Mamou</c:v>
                </c:pt>
                <c:pt idx="5">
                  <c:v>Labe</c:v>
                </c:pt>
                <c:pt idx="6">
                  <c:v>Kankan</c:v>
                </c:pt>
                <c:pt idx="7">
                  <c:v>N'Zérékoré</c:v>
                </c:pt>
              </c:strCache>
            </c:strRef>
          </c:cat>
          <c:val>
            <c:numRef>
              <c:f>'CDV CDIS S1 2018 graphs'!$CS$18:$CS$25</c:f>
              <c:numCache>
                <c:formatCode>General</c:formatCode>
                <c:ptCount val="8"/>
                <c:pt idx="0">
                  <c:v>8</c:v>
                </c:pt>
                <c:pt idx="1">
                  <c:v>12</c:v>
                </c:pt>
                <c:pt idx="2">
                  <c:v>9</c:v>
                </c:pt>
                <c:pt idx="3">
                  <c:v>14</c:v>
                </c:pt>
                <c:pt idx="4">
                  <c:v>17</c:v>
                </c:pt>
                <c:pt idx="5">
                  <c:v>9</c:v>
                </c:pt>
                <c:pt idx="6">
                  <c:v>9</c:v>
                </c:pt>
                <c:pt idx="7">
                  <c:v>18</c:v>
                </c:pt>
              </c:numCache>
            </c:numRef>
          </c:val>
          <c:smooth val="0"/>
          <c:extLst xmlns:c15="http://schemas.microsoft.com/office/drawing/2012/chart">
            <c:ext xmlns:c16="http://schemas.microsoft.com/office/drawing/2014/chart" uri="{C3380CC4-5D6E-409C-BE32-E72D297353CC}">
              <c16:uniqueId val="{00000002-62FB-44D9-B504-A3BDE9213507}"/>
            </c:ext>
          </c:extLst>
        </c:ser>
        <c:ser>
          <c:idx val="3"/>
          <c:order val="3"/>
          <c:tx>
            <c:strRef>
              <c:f>'CDV CDIS S1 2018 graphs'!$CQ$17</c:f>
              <c:strCache>
                <c:ptCount val="1"/>
                <c:pt idx="0">
                  <c:v>CDIS taux SP</c:v>
                </c:pt>
              </c:strCache>
            </c:strRef>
          </c:tx>
          <c:spPr>
            <a:ln w="28575" cap="rnd">
              <a:solidFill>
                <a:schemeClr val="accent1">
                  <a:lumMod val="50000"/>
                </a:schemeClr>
              </a:solidFill>
              <a:round/>
            </a:ln>
            <a:effectLst/>
          </c:spPr>
          <c:marker>
            <c:symbol val="none"/>
          </c:marker>
          <c:cat>
            <c:strRef>
              <c:f>'CDV CDIS S1 2018 graphs'!$CI$6:$CI$14</c:f>
              <c:strCache>
                <c:ptCount val="9"/>
                <c:pt idx="0">
                  <c:v>Region</c:v>
                </c:pt>
                <c:pt idx="1">
                  <c:v>Conakry</c:v>
                </c:pt>
                <c:pt idx="2">
                  <c:v>Boké</c:v>
                </c:pt>
                <c:pt idx="3">
                  <c:v>Kindia</c:v>
                </c:pt>
                <c:pt idx="4">
                  <c:v>Faranah</c:v>
                </c:pt>
                <c:pt idx="5">
                  <c:v>Mamou</c:v>
                </c:pt>
                <c:pt idx="6">
                  <c:v>Labe</c:v>
                </c:pt>
                <c:pt idx="7">
                  <c:v>Kankan</c:v>
                </c:pt>
                <c:pt idx="8">
                  <c:v>N'Zérékoré</c:v>
                </c:pt>
              </c:strCache>
            </c:strRef>
          </c:cat>
          <c:val>
            <c:numRef>
              <c:f>'CDV CDIS S1 2018 graphs'!$CQ$18:$CQ$25</c:f>
              <c:numCache>
                <c:formatCode>General</c:formatCode>
                <c:ptCount val="8"/>
                <c:pt idx="0">
                  <c:v>25</c:v>
                </c:pt>
                <c:pt idx="1">
                  <c:v>26</c:v>
                </c:pt>
                <c:pt idx="2">
                  <c:v>16</c:v>
                </c:pt>
                <c:pt idx="3">
                  <c:v>31</c:v>
                </c:pt>
                <c:pt idx="4">
                  <c:v>29</c:v>
                </c:pt>
                <c:pt idx="5">
                  <c:v>23</c:v>
                </c:pt>
                <c:pt idx="6">
                  <c:v>33</c:v>
                </c:pt>
                <c:pt idx="7">
                  <c:v>32</c:v>
                </c:pt>
              </c:numCache>
            </c:numRef>
          </c:val>
          <c:smooth val="0"/>
          <c:extLst>
            <c:ext xmlns:c16="http://schemas.microsoft.com/office/drawing/2014/chart" uri="{C3380CC4-5D6E-409C-BE32-E72D297353CC}">
              <c16:uniqueId val="{00000003-62FB-44D9-B504-A3BDE9213507}"/>
            </c:ext>
          </c:extLst>
        </c:ser>
        <c:dLbls>
          <c:showLegendKey val="0"/>
          <c:showVal val="0"/>
          <c:showCatName val="0"/>
          <c:showSerName val="0"/>
          <c:showPercent val="0"/>
          <c:showBubbleSize val="0"/>
        </c:dLbls>
        <c:marker val="1"/>
        <c:smooth val="0"/>
        <c:axId val="610138592"/>
        <c:axId val="610139376"/>
      </c:lineChart>
      <c:catAx>
        <c:axId val="48498881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a:t>Région</a:t>
                </a:r>
              </a:p>
            </c:rich>
          </c:tx>
          <c:layout>
            <c:manualLayout>
              <c:xMode val="edge"/>
              <c:yMode val="edge"/>
              <c:x val="0.46947244268962279"/>
              <c:y val="0.8493397940642035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fr-BF"/>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BF"/>
          </a:p>
        </c:txPr>
        <c:crossAx val="610141336"/>
        <c:crosses val="autoZero"/>
        <c:auto val="1"/>
        <c:lblAlgn val="ctr"/>
        <c:lblOffset val="100"/>
        <c:noMultiLvlLbl val="0"/>
      </c:catAx>
      <c:valAx>
        <c:axId val="610141336"/>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t>Nombre de tests</a:t>
                </a:r>
              </a:p>
            </c:rich>
          </c:tx>
          <c:layout>
            <c:manualLayout>
              <c:xMode val="edge"/>
              <c:yMode val="edge"/>
              <c:x val="9.8363681102362215E-4"/>
              <c:y val="0.29042066704968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fr-BF"/>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r-BF"/>
          </a:p>
        </c:txPr>
        <c:crossAx val="484988816"/>
        <c:crosses val="autoZero"/>
        <c:crossBetween val="between"/>
      </c:valAx>
      <c:valAx>
        <c:axId val="61013937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t>Taux de séropositivité (%)</a:t>
                </a:r>
              </a:p>
            </c:rich>
          </c:tx>
          <c:layout>
            <c:manualLayout>
              <c:xMode val="edge"/>
              <c:yMode val="edge"/>
              <c:x val="0.95946747867454063"/>
              <c:y val="0.1700541649923451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BF"/>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r-BF"/>
          </a:p>
        </c:txPr>
        <c:crossAx val="610138592"/>
        <c:crosses val="max"/>
        <c:crossBetween val="between"/>
      </c:valAx>
      <c:catAx>
        <c:axId val="610138592"/>
        <c:scaling>
          <c:orientation val="minMax"/>
        </c:scaling>
        <c:delete val="1"/>
        <c:axPos val="b"/>
        <c:numFmt formatCode="General" sourceLinked="1"/>
        <c:majorTickMark val="out"/>
        <c:minorTickMark val="none"/>
        <c:tickLblPos val="nextTo"/>
        <c:crossAx val="610139376"/>
        <c:crosses val="autoZero"/>
        <c:auto val="1"/>
        <c:lblAlgn val="ctr"/>
        <c:lblOffset val="100"/>
        <c:noMultiLvlLbl val="0"/>
      </c:catAx>
      <c:spPr>
        <a:noFill/>
        <a:ln>
          <a:noFill/>
        </a:ln>
        <a:effectLst/>
      </c:spPr>
    </c:plotArea>
    <c:legend>
      <c:legendPos val="b"/>
      <c:layout>
        <c:manualLayout>
          <c:xMode val="edge"/>
          <c:yMode val="edge"/>
          <c:x val="0.17591074458011854"/>
          <c:y val="0.92673409435404919"/>
          <c:w val="0.71963624847378316"/>
          <c:h val="6.021598621758183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fr-BF"/>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defRPr>
      </a:pPr>
      <a:endParaRPr lang="fr-BF"/>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05B-4720-98DE-2CDCC3A89B4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fr-BF"/>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PTME!$A$2:$A$9</c:f>
              <c:strCache>
                <c:ptCount val="7"/>
                <c:pt idx="0">
                  <c:v>Femmes enceintes avec VIH</c:v>
                </c:pt>
                <c:pt idx="1">
                  <c:v>Venue à la CPN</c:v>
                </c:pt>
                <c:pt idx="2">
                  <c:v>Venue à une CPN avec PTME</c:v>
                </c:pt>
                <c:pt idx="3">
                  <c:v>A accepté le teste</c:v>
                </c:pt>
                <c:pt idx="4">
                  <c:v>Testé</c:v>
                </c:pt>
                <c:pt idx="5">
                  <c:v>Testé et résultat reçu</c:v>
                </c:pt>
                <c:pt idx="6">
                  <c:v>PTME initié</c:v>
                </c:pt>
              </c:strCache>
            </c:strRef>
          </c:cat>
          <c:val>
            <c:numRef>
              <c:f>PTME!$C$2:$C$9</c:f>
              <c:numCache>
                <c:formatCode>0.00</c:formatCode>
                <c:ptCount val="7"/>
                <c:pt idx="0">
                  <c:v>1</c:v>
                </c:pt>
                <c:pt idx="1">
                  <c:v>0.84299999999999997</c:v>
                </c:pt>
                <c:pt idx="2">
                  <c:v>0.71202898550724636</c:v>
                </c:pt>
                <c:pt idx="3">
                  <c:v>0.59266437628346313</c:v>
                </c:pt>
                <c:pt idx="4">
                  <c:v>0.45317990306706268</c:v>
                </c:pt>
                <c:pt idx="5">
                  <c:v>0.45072463768115945</c:v>
                </c:pt>
                <c:pt idx="6">
                  <c:v>0.39956521739130435</c:v>
                </c:pt>
              </c:numCache>
            </c:numRef>
          </c:val>
          <c:extLst>
            <c:ext xmlns:c16="http://schemas.microsoft.com/office/drawing/2014/chart" uri="{C3380CC4-5D6E-409C-BE32-E72D297353CC}">
              <c16:uniqueId val="{00000001-F05B-4720-98DE-2CDCC3A89B42}"/>
            </c:ext>
          </c:extLst>
        </c:ser>
        <c:dLbls>
          <c:showLegendKey val="0"/>
          <c:showVal val="0"/>
          <c:showCatName val="0"/>
          <c:showSerName val="0"/>
          <c:showPercent val="0"/>
          <c:showBubbleSize val="0"/>
        </c:dLbls>
        <c:gapWidth val="182"/>
        <c:overlap val="-27"/>
        <c:axId val="610141728"/>
        <c:axId val="610137416"/>
      </c:barChart>
      <c:catAx>
        <c:axId val="61014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610137416"/>
        <c:crosses val="autoZero"/>
        <c:auto val="1"/>
        <c:lblAlgn val="ctr"/>
        <c:lblOffset val="100"/>
        <c:noMultiLvlLbl val="0"/>
      </c:catAx>
      <c:valAx>
        <c:axId val="610137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61014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54A-49BA-9A1B-B1D737653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BF"/>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PTME!$A$64:$A$66</c:f>
              <c:strCache>
                <c:ptCount val="3"/>
                <c:pt idx="0">
                  <c:v>Enfants exposés</c:v>
                </c:pt>
                <c:pt idx="1">
                  <c:v>Enfants inscrits aux sites PTME</c:v>
                </c:pt>
                <c:pt idx="2">
                  <c:v>Enfants testés à 18 mois</c:v>
                </c:pt>
              </c:strCache>
            </c:strRef>
          </c:cat>
          <c:val>
            <c:numRef>
              <c:f>PTME!$C$64:$C$66</c:f>
              <c:numCache>
                <c:formatCode>0%</c:formatCode>
                <c:ptCount val="3"/>
                <c:pt idx="0">
                  <c:v>1</c:v>
                </c:pt>
                <c:pt idx="1">
                  <c:v>0.31182303585049581</c:v>
                </c:pt>
                <c:pt idx="2">
                  <c:v>9.4279176201372994E-2</c:v>
                </c:pt>
              </c:numCache>
            </c:numRef>
          </c:val>
          <c:extLst>
            <c:ext xmlns:c16="http://schemas.microsoft.com/office/drawing/2014/chart" uri="{C3380CC4-5D6E-409C-BE32-E72D297353CC}">
              <c16:uniqueId val="{00000001-754A-49BA-9A1B-B1D7376538AF}"/>
            </c:ext>
          </c:extLst>
        </c:ser>
        <c:dLbls>
          <c:showLegendKey val="0"/>
          <c:showVal val="0"/>
          <c:showCatName val="0"/>
          <c:showSerName val="0"/>
          <c:showPercent val="0"/>
          <c:showBubbleSize val="0"/>
        </c:dLbls>
        <c:gapWidth val="219"/>
        <c:overlap val="-27"/>
        <c:axId val="610140552"/>
        <c:axId val="610136632"/>
      </c:barChart>
      <c:catAx>
        <c:axId val="61014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610136632"/>
        <c:crosses val="autoZero"/>
        <c:auto val="1"/>
        <c:lblAlgn val="ctr"/>
        <c:lblOffset val="100"/>
        <c:noMultiLvlLbl val="0"/>
      </c:catAx>
      <c:valAx>
        <c:axId val="6101366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F"/>
          </a:p>
        </c:txPr>
        <c:crossAx val="610140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83418063732998E-2"/>
          <c:y val="7.6507398013346299E-3"/>
          <c:w val="0.91386681396791003"/>
          <c:h val="0.748811163494845"/>
        </c:manualLayout>
      </c:layout>
      <c:barChart>
        <c:barDir val="col"/>
        <c:grouping val="clustered"/>
        <c:varyColors val="0"/>
        <c:ser>
          <c:idx val="0"/>
          <c:order val="0"/>
          <c:tx>
            <c:strRef>
              <c:f>Sheet9!$B$26</c:f>
              <c:strCache>
                <c:ptCount val="1"/>
                <c:pt idx="0">
                  <c:v>Nombre de CDT</c:v>
                </c:pt>
              </c:strCache>
            </c:strRef>
          </c:tx>
          <c:spPr>
            <a:solidFill>
              <a:srgbClr val="66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B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Sheet9!$A$27:$A$34</c:f>
              <c:strCache>
                <c:ptCount val="8"/>
                <c:pt idx="0">
                  <c:v>Boké</c:v>
                </c:pt>
                <c:pt idx="1">
                  <c:v>Conakry</c:v>
                </c:pt>
                <c:pt idx="2">
                  <c:v>Faranah</c:v>
                </c:pt>
                <c:pt idx="3">
                  <c:v>Kankan</c:v>
                </c:pt>
                <c:pt idx="4">
                  <c:v>Kindia</c:v>
                </c:pt>
                <c:pt idx="5">
                  <c:v>Labé</c:v>
                </c:pt>
                <c:pt idx="6">
                  <c:v>Mamou</c:v>
                </c:pt>
                <c:pt idx="7">
                  <c:v>N'Zerekoré</c:v>
                </c:pt>
              </c:strCache>
            </c:strRef>
          </c:cat>
          <c:val>
            <c:numRef>
              <c:f>Sheet9!$B$27:$B$34</c:f>
              <c:numCache>
                <c:formatCode>General</c:formatCode>
                <c:ptCount val="8"/>
                <c:pt idx="0">
                  <c:v>8</c:v>
                </c:pt>
                <c:pt idx="1">
                  <c:v>16</c:v>
                </c:pt>
                <c:pt idx="2">
                  <c:v>4</c:v>
                </c:pt>
                <c:pt idx="3">
                  <c:v>5</c:v>
                </c:pt>
                <c:pt idx="4">
                  <c:v>6</c:v>
                </c:pt>
                <c:pt idx="5">
                  <c:v>6</c:v>
                </c:pt>
                <c:pt idx="6">
                  <c:v>5</c:v>
                </c:pt>
                <c:pt idx="7">
                  <c:v>8</c:v>
                </c:pt>
              </c:numCache>
            </c:numRef>
          </c:val>
          <c:extLst>
            <c:ext xmlns:c16="http://schemas.microsoft.com/office/drawing/2014/chart" uri="{C3380CC4-5D6E-409C-BE32-E72D297353CC}">
              <c16:uniqueId val="{00000000-34AC-4A9C-A666-49A6DD6116AF}"/>
            </c:ext>
          </c:extLst>
        </c:ser>
        <c:ser>
          <c:idx val="1"/>
          <c:order val="1"/>
          <c:tx>
            <c:strRef>
              <c:f>Sheet9!$C$26</c:f>
              <c:strCache>
                <c:ptCount val="1"/>
                <c:pt idx="0">
                  <c:v>CDT &amp; CDV</c:v>
                </c:pt>
              </c:strCache>
            </c:strRef>
          </c:tx>
          <c:spPr>
            <a:solidFill>
              <a:srgbClr val="99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B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Sheet9!$A$27:$A$34</c:f>
              <c:strCache>
                <c:ptCount val="8"/>
                <c:pt idx="0">
                  <c:v>Boké</c:v>
                </c:pt>
                <c:pt idx="1">
                  <c:v>Conakry</c:v>
                </c:pt>
                <c:pt idx="2">
                  <c:v>Faranah</c:v>
                </c:pt>
                <c:pt idx="3">
                  <c:v>Kankan</c:v>
                </c:pt>
                <c:pt idx="4">
                  <c:v>Kindia</c:v>
                </c:pt>
                <c:pt idx="5">
                  <c:v>Labé</c:v>
                </c:pt>
                <c:pt idx="6">
                  <c:v>Mamou</c:v>
                </c:pt>
                <c:pt idx="7">
                  <c:v>N'Zerekoré</c:v>
                </c:pt>
              </c:strCache>
            </c:strRef>
          </c:cat>
          <c:val>
            <c:numRef>
              <c:f>Sheet9!$C$27:$C$34</c:f>
              <c:numCache>
                <c:formatCode>General</c:formatCode>
                <c:ptCount val="8"/>
                <c:pt idx="0">
                  <c:v>2</c:v>
                </c:pt>
                <c:pt idx="1">
                  <c:v>14</c:v>
                </c:pt>
                <c:pt idx="2">
                  <c:v>4</c:v>
                </c:pt>
                <c:pt idx="3">
                  <c:v>2</c:v>
                </c:pt>
                <c:pt idx="4">
                  <c:v>4</c:v>
                </c:pt>
                <c:pt idx="5">
                  <c:v>4</c:v>
                </c:pt>
                <c:pt idx="6">
                  <c:v>3</c:v>
                </c:pt>
                <c:pt idx="7">
                  <c:v>5</c:v>
                </c:pt>
              </c:numCache>
            </c:numRef>
          </c:val>
          <c:extLst>
            <c:ext xmlns:c16="http://schemas.microsoft.com/office/drawing/2014/chart" uri="{C3380CC4-5D6E-409C-BE32-E72D297353CC}">
              <c16:uniqueId val="{00000001-34AC-4A9C-A666-49A6DD6116AF}"/>
            </c:ext>
          </c:extLst>
        </c:ser>
        <c:ser>
          <c:idx val="2"/>
          <c:order val="2"/>
          <c:tx>
            <c:strRef>
              <c:f>Sheet9!$D$26</c:f>
              <c:strCache>
                <c:ptCount val="1"/>
                <c:pt idx="0">
                  <c:v>ARV</c:v>
                </c:pt>
              </c:strCache>
            </c:strRef>
          </c:tx>
          <c:spPr>
            <a:solidFill>
              <a:srgbClr val="00FFFF"/>
            </a:solidFill>
            <a:ln>
              <a:noFill/>
            </a:ln>
            <a:effectLst/>
          </c:spPr>
          <c:invertIfNegative val="0"/>
          <c:dLbls>
            <c:dLbl>
              <c:idx val="1"/>
              <c:layout>
                <c:manualLayout>
                  <c:x val="8.3333333333333297E-3"/>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AC-4A9C-A666-49A6DD6116A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BF"/>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Sheet9!$A$27:$A$34</c:f>
              <c:strCache>
                <c:ptCount val="8"/>
                <c:pt idx="0">
                  <c:v>Boké</c:v>
                </c:pt>
                <c:pt idx="1">
                  <c:v>Conakry</c:v>
                </c:pt>
                <c:pt idx="2">
                  <c:v>Faranah</c:v>
                </c:pt>
                <c:pt idx="3">
                  <c:v>Kankan</c:v>
                </c:pt>
                <c:pt idx="4">
                  <c:v>Kindia</c:v>
                </c:pt>
                <c:pt idx="5">
                  <c:v>Labé</c:v>
                </c:pt>
                <c:pt idx="6">
                  <c:v>Mamou</c:v>
                </c:pt>
                <c:pt idx="7">
                  <c:v>N'Zerekoré</c:v>
                </c:pt>
              </c:strCache>
            </c:strRef>
          </c:cat>
          <c:val>
            <c:numRef>
              <c:f>Sheet9!$D$27:$D$34</c:f>
              <c:numCache>
                <c:formatCode>General</c:formatCode>
                <c:ptCount val="8"/>
                <c:pt idx="0">
                  <c:v>2</c:v>
                </c:pt>
                <c:pt idx="1">
                  <c:v>14</c:v>
                </c:pt>
                <c:pt idx="2">
                  <c:v>1</c:v>
                </c:pt>
                <c:pt idx="3">
                  <c:v>1</c:v>
                </c:pt>
                <c:pt idx="4">
                  <c:v>2</c:v>
                </c:pt>
                <c:pt idx="5">
                  <c:v>1</c:v>
                </c:pt>
                <c:pt idx="6">
                  <c:v>2</c:v>
                </c:pt>
                <c:pt idx="7">
                  <c:v>5</c:v>
                </c:pt>
              </c:numCache>
            </c:numRef>
          </c:val>
          <c:extLst>
            <c:ext xmlns:c16="http://schemas.microsoft.com/office/drawing/2014/chart" uri="{C3380CC4-5D6E-409C-BE32-E72D297353CC}">
              <c16:uniqueId val="{00000003-34AC-4A9C-A666-49A6DD6116AF}"/>
            </c:ext>
          </c:extLst>
        </c:ser>
        <c:dLbls>
          <c:showLegendKey val="0"/>
          <c:showVal val="0"/>
          <c:showCatName val="0"/>
          <c:showSerName val="0"/>
          <c:showPercent val="0"/>
          <c:showBubbleSize val="0"/>
        </c:dLbls>
        <c:gapWidth val="219"/>
        <c:overlap val="-27"/>
        <c:axId val="693556528"/>
        <c:axId val="693556136"/>
      </c:barChart>
      <c:catAx>
        <c:axId val="69355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BF"/>
          </a:p>
        </c:txPr>
        <c:crossAx val="693556136"/>
        <c:crosses val="autoZero"/>
        <c:auto val="1"/>
        <c:lblAlgn val="ctr"/>
        <c:lblOffset val="100"/>
        <c:noMultiLvlLbl val="0"/>
      </c:catAx>
      <c:valAx>
        <c:axId val="693556136"/>
        <c:scaling>
          <c:orientation val="minMax"/>
        </c:scaling>
        <c:delete val="1"/>
        <c:axPos val="l"/>
        <c:numFmt formatCode="General" sourceLinked="1"/>
        <c:majorTickMark val="none"/>
        <c:minorTickMark val="none"/>
        <c:tickLblPos val="nextTo"/>
        <c:crossAx val="6935565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BF"/>
          </a:p>
        </c:txPr>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BF"/>
          </a:p>
        </c:txPr>
      </c:legendEntry>
      <c:legendEntry>
        <c:idx val="2"/>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BF"/>
          </a:p>
        </c:txPr>
      </c:legendEntry>
      <c:layout>
        <c:manualLayout>
          <c:xMode val="edge"/>
          <c:yMode val="edge"/>
          <c:x val="0.29108853403204799"/>
          <c:y val="0.93101639861344698"/>
          <c:w val="0.42002075029896702"/>
          <c:h val="6.898360138655290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BF"/>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F"/>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50</Pages>
  <Words>14972</Words>
  <Characters>82347</Characters>
  <Application>Microsoft Office Word</Application>
  <DocSecurity>0</DocSecurity>
  <Lines>686</Lines>
  <Paragraphs>194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London School of Hygiene &amp; Tropical Medicine</Company>
  <LinksUpToDate>false</LinksUpToDate>
  <CharactersWithSpaces>97125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Wringe</dc:creator>
  <cp:keywords/>
  <dc:description/>
  <cp:lastModifiedBy>zida boureima</cp:lastModifiedBy>
  <cp:revision>3</cp:revision>
  <dcterms:created xsi:type="dcterms:W3CDTF">2019-11-13T16:44:00Z</dcterms:created>
  <dcterms:modified xsi:type="dcterms:W3CDTF">2020-03-12T18:37:00Z</dcterms:modified>
</cp:coreProperties>
</file>