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738C0" w14:textId="77777777" w:rsidR="00E03BED" w:rsidRPr="00675887" w:rsidRDefault="00E03BED" w:rsidP="00E03BED">
      <w:pPr>
        <w:tabs>
          <w:tab w:val="left" w:pos="2475"/>
        </w:tabs>
        <w:jc w:val="center"/>
        <w:rPr>
          <w:rFonts w:ascii="Times New Roman" w:hAnsi="Times New Roman" w:cs="Times New Roman"/>
        </w:rPr>
      </w:pPr>
      <w:r w:rsidRPr="00675887">
        <w:rPr>
          <w:rFonts w:ascii="Times New Roman" w:hAnsi="Times New Roman" w:cs="Times New Roman"/>
          <w:noProof/>
          <w:lang w:val="en-US" w:eastAsia="en-US"/>
        </w:rPr>
        <w:drawing>
          <wp:anchor distT="0" distB="0" distL="114300" distR="114300" simplePos="0" relativeHeight="251659264" behindDoc="0" locked="0" layoutInCell="1" allowOverlap="1" wp14:anchorId="73C30F89" wp14:editId="1D37E432">
            <wp:simplePos x="0" y="0"/>
            <wp:positionH relativeFrom="column">
              <wp:posOffset>-361950</wp:posOffset>
            </wp:positionH>
            <wp:positionV relativeFrom="paragraph">
              <wp:posOffset>0</wp:posOffset>
            </wp:positionV>
            <wp:extent cx="1040130" cy="1104900"/>
            <wp:effectExtent l="0" t="0" r="7620" b="0"/>
            <wp:wrapTight wrapText="bothSides">
              <wp:wrapPolygon edited="0">
                <wp:start x="0" y="0"/>
                <wp:lineTo x="0" y="21228"/>
                <wp:lineTo x="21363" y="21228"/>
                <wp:lineTo x="21363" y="0"/>
                <wp:lineTo x="0" y="0"/>
              </wp:wrapPolygon>
            </wp:wrapTight>
            <wp:docPr id="2"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040130" cy="1104900"/>
                    </a:xfrm>
                    <a:prstGeom prst="rect">
                      <a:avLst/>
                    </a:prstGeom>
                    <a:noFill/>
                    <a:ln>
                      <a:noFill/>
                      <a:prstDash/>
                    </a:ln>
                  </pic:spPr>
                </pic:pic>
              </a:graphicData>
            </a:graphic>
            <wp14:sizeRelV relativeFrom="margin">
              <wp14:pctHeight>0</wp14:pctHeight>
            </wp14:sizeRelV>
          </wp:anchor>
        </w:drawing>
      </w:r>
      <w:r w:rsidRPr="00675887">
        <w:rPr>
          <w:rFonts w:ascii="Times New Roman" w:hAnsi="Times New Roman" w:cs="Times New Roman"/>
          <w:noProof/>
          <w:lang w:val="en-US" w:eastAsia="en-US"/>
        </w:rPr>
        <w:drawing>
          <wp:anchor distT="0" distB="0" distL="114300" distR="114300" simplePos="0" relativeHeight="251660288" behindDoc="0" locked="0" layoutInCell="1" allowOverlap="1" wp14:anchorId="043A1B86" wp14:editId="443E907D">
            <wp:simplePos x="0" y="0"/>
            <wp:positionH relativeFrom="column">
              <wp:posOffset>4957447</wp:posOffset>
            </wp:positionH>
            <wp:positionV relativeFrom="paragraph">
              <wp:posOffset>-295278</wp:posOffset>
            </wp:positionV>
            <wp:extent cx="1167761" cy="1167761"/>
            <wp:effectExtent l="0" t="0" r="0" b="0"/>
            <wp:wrapTight wrapText="bothSides">
              <wp:wrapPolygon edited="0">
                <wp:start x="7051" y="0"/>
                <wp:lineTo x="4583" y="1058"/>
                <wp:lineTo x="353" y="4583"/>
                <wp:lineTo x="0" y="7404"/>
                <wp:lineTo x="0" y="14102"/>
                <wp:lineTo x="1058" y="17275"/>
                <wp:lineTo x="6346" y="21153"/>
                <wp:lineTo x="7051" y="21153"/>
                <wp:lineTo x="14102" y="21153"/>
                <wp:lineTo x="14807" y="21153"/>
                <wp:lineTo x="20096" y="17275"/>
                <wp:lineTo x="21153" y="14102"/>
                <wp:lineTo x="21153" y="7404"/>
                <wp:lineTo x="20801" y="4583"/>
                <wp:lineTo x="17275" y="1410"/>
                <wp:lineTo x="14102" y="0"/>
                <wp:lineTo x="7051" y="0"/>
              </wp:wrapPolygon>
            </wp:wrapTight>
            <wp:docPr id="3" name="Image 3" descr="Description : Description : LOGO-CNLS-[Convert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167761" cy="1167761"/>
                    </a:xfrm>
                    <a:prstGeom prst="rect">
                      <a:avLst/>
                    </a:prstGeom>
                    <a:noFill/>
                    <a:ln>
                      <a:noFill/>
                      <a:prstDash/>
                    </a:ln>
                  </pic:spPr>
                </pic:pic>
              </a:graphicData>
            </a:graphic>
          </wp:anchor>
        </w:drawing>
      </w:r>
      <w:r w:rsidRPr="00675887">
        <w:rPr>
          <w:rFonts w:ascii="Times New Roman" w:hAnsi="Times New Roman" w:cs="Times New Roman"/>
          <w:b/>
        </w:rPr>
        <w:t>REPUBLIQUE DE GUINEE</w:t>
      </w:r>
    </w:p>
    <w:p w14:paraId="373919D5" w14:textId="77777777" w:rsidR="00E03BED" w:rsidRPr="00675887" w:rsidRDefault="00E03BED" w:rsidP="00E03BED">
      <w:pPr>
        <w:tabs>
          <w:tab w:val="left" w:pos="2475"/>
        </w:tabs>
        <w:jc w:val="center"/>
        <w:rPr>
          <w:rFonts w:ascii="Times New Roman" w:hAnsi="Times New Roman" w:cs="Times New Roman"/>
        </w:rPr>
      </w:pPr>
      <w:r w:rsidRPr="00675887">
        <w:rPr>
          <w:rFonts w:ascii="Times New Roman" w:hAnsi="Times New Roman" w:cs="Times New Roman"/>
          <w:i/>
          <w:color w:val="FF0000"/>
        </w:rPr>
        <w:t>Travail</w:t>
      </w:r>
      <w:r w:rsidRPr="00675887">
        <w:rPr>
          <w:rFonts w:ascii="Times New Roman" w:hAnsi="Times New Roman" w:cs="Times New Roman"/>
          <w:i/>
        </w:rPr>
        <w:t>-</w:t>
      </w:r>
      <w:r w:rsidRPr="00675887">
        <w:rPr>
          <w:rFonts w:ascii="Times New Roman" w:hAnsi="Times New Roman" w:cs="Times New Roman"/>
          <w:i/>
          <w:color w:val="FFFF00"/>
        </w:rPr>
        <w:t>Justice</w:t>
      </w:r>
      <w:r w:rsidRPr="00675887">
        <w:rPr>
          <w:rFonts w:ascii="Times New Roman" w:hAnsi="Times New Roman" w:cs="Times New Roman"/>
          <w:i/>
        </w:rPr>
        <w:t>-</w:t>
      </w:r>
      <w:r w:rsidRPr="00675887">
        <w:rPr>
          <w:rFonts w:ascii="Times New Roman" w:hAnsi="Times New Roman" w:cs="Times New Roman"/>
          <w:i/>
          <w:color w:val="00B050"/>
        </w:rPr>
        <w:t>Solidarité</w:t>
      </w:r>
    </w:p>
    <w:p w14:paraId="24A0D26D" w14:textId="77777777" w:rsidR="00E03BED" w:rsidRPr="00675887" w:rsidRDefault="00E03BED" w:rsidP="00E03BED">
      <w:pPr>
        <w:tabs>
          <w:tab w:val="left" w:pos="1380"/>
        </w:tabs>
        <w:jc w:val="center"/>
        <w:rPr>
          <w:rFonts w:ascii="Times New Roman" w:hAnsi="Times New Roman" w:cs="Times New Roman"/>
        </w:rPr>
      </w:pPr>
      <w:r w:rsidRPr="00675887">
        <w:rPr>
          <w:rFonts w:ascii="Times New Roman" w:hAnsi="Times New Roman" w:cs="Times New Roman"/>
        </w:rPr>
        <w:t>*******</w:t>
      </w:r>
    </w:p>
    <w:p w14:paraId="48B57577" w14:textId="77777777" w:rsidR="00E03BED" w:rsidRPr="00675887" w:rsidRDefault="00E03BED" w:rsidP="00E03BED">
      <w:pPr>
        <w:tabs>
          <w:tab w:val="left" w:pos="2475"/>
        </w:tabs>
        <w:jc w:val="center"/>
        <w:rPr>
          <w:rFonts w:ascii="Times New Roman" w:hAnsi="Times New Roman" w:cs="Times New Roman"/>
        </w:rPr>
      </w:pPr>
      <w:r w:rsidRPr="00675887">
        <w:rPr>
          <w:rFonts w:ascii="Times New Roman" w:hAnsi="Times New Roman" w:cs="Times New Roman"/>
        </w:rPr>
        <w:t>Primature</w:t>
      </w:r>
    </w:p>
    <w:p w14:paraId="74683636" w14:textId="77777777" w:rsidR="00E03BED" w:rsidRPr="00675887" w:rsidRDefault="00E03BED" w:rsidP="00E03BED">
      <w:pPr>
        <w:tabs>
          <w:tab w:val="left" w:pos="2475"/>
        </w:tabs>
        <w:jc w:val="center"/>
        <w:rPr>
          <w:rFonts w:ascii="Times New Roman" w:hAnsi="Times New Roman" w:cs="Times New Roman"/>
        </w:rPr>
      </w:pPr>
      <w:r w:rsidRPr="00675887">
        <w:rPr>
          <w:rFonts w:ascii="Times New Roman" w:hAnsi="Times New Roman" w:cs="Times New Roman"/>
        </w:rPr>
        <w:t>Comité National de Lutte contre le Sida</w:t>
      </w:r>
    </w:p>
    <w:p w14:paraId="5CF4A99B" w14:textId="77777777" w:rsidR="00E03BED" w:rsidRPr="00675887" w:rsidRDefault="00E03BED" w:rsidP="00E03BED">
      <w:pPr>
        <w:tabs>
          <w:tab w:val="left" w:pos="2475"/>
        </w:tabs>
        <w:jc w:val="center"/>
        <w:rPr>
          <w:rFonts w:ascii="Times New Roman" w:hAnsi="Times New Roman" w:cs="Times New Roman"/>
        </w:rPr>
      </w:pPr>
      <w:r w:rsidRPr="00675887">
        <w:rPr>
          <w:rFonts w:ascii="Times New Roman" w:hAnsi="Times New Roman" w:cs="Times New Roman"/>
        </w:rPr>
        <w:t>Secrétariat Exécutif</w:t>
      </w:r>
    </w:p>
    <w:p w14:paraId="311B800B" w14:textId="77777777" w:rsidR="00E03BED" w:rsidRPr="00675887" w:rsidRDefault="00E03BED" w:rsidP="00E03BED">
      <w:pPr>
        <w:rPr>
          <w:rFonts w:ascii="Times New Roman" w:hAnsi="Times New Roman" w:cs="Times New Roman"/>
        </w:rPr>
      </w:pPr>
      <w:r w:rsidRPr="00675887">
        <w:rPr>
          <w:rFonts w:ascii="Times New Roman" w:hAnsi="Times New Roman" w:cs="Times New Roman"/>
          <w:noProof/>
          <w:lang w:val="en-US" w:eastAsia="en-US"/>
        </w:rPr>
        <w:drawing>
          <wp:anchor distT="0" distB="0" distL="114300" distR="114300" simplePos="0" relativeHeight="251661312" behindDoc="0" locked="0" layoutInCell="1" allowOverlap="1" wp14:anchorId="2F39D6B7" wp14:editId="58EEF303">
            <wp:simplePos x="0" y="0"/>
            <wp:positionH relativeFrom="column">
              <wp:posOffset>2276471</wp:posOffset>
            </wp:positionH>
            <wp:positionV relativeFrom="paragraph">
              <wp:posOffset>462915</wp:posOffset>
            </wp:positionV>
            <wp:extent cx="975363" cy="1371600"/>
            <wp:effectExtent l="0" t="0" r="0" b="0"/>
            <wp:wrapTight wrapText="bothSides">
              <wp:wrapPolygon edited="0">
                <wp:start x="0" y="0"/>
                <wp:lineTo x="0" y="21300"/>
                <wp:lineTo x="21094" y="21300"/>
                <wp:lineTo x="21094" y="0"/>
                <wp:lineTo x="0" y="0"/>
              </wp:wrapPolygon>
            </wp:wrapTight>
            <wp:docPr id="5" name="Image 2" descr="Description : Description : C:\Users\Hilal\Pictures\hhkj.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975363" cy="1371600"/>
                    </a:xfrm>
                    <a:prstGeom prst="rect">
                      <a:avLst/>
                    </a:prstGeom>
                    <a:noFill/>
                    <a:ln>
                      <a:noFill/>
                      <a:prstDash/>
                    </a:ln>
                  </pic:spPr>
                </pic:pic>
              </a:graphicData>
            </a:graphic>
          </wp:anchor>
        </w:drawing>
      </w:r>
    </w:p>
    <w:p w14:paraId="070BEC95" w14:textId="77777777" w:rsidR="00E03BED" w:rsidRDefault="00E03BED" w:rsidP="00E03BED"/>
    <w:p w14:paraId="6F7FC7A6" w14:textId="77777777" w:rsidR="00E03BED" w:rsidRDefault="00E03BED" w:rsidP="00E03BED"/>
    <w:p w14:paraId="141B1C00" w14:textId="77777777" w:rsidR="00E03BED" w:rsidRDefault="00E03BED" w:rsidP="00E03BED"/>
    <w:p w14:paraId="6F0DE6AB" w14:textId="77777777" w:rsidR="00E03BED" w:rsidRDefault="00E03BED" w:rsidP="00E03BED"/>
    <w:p w14:paraId="03571095" w14:textId="77777777" w:rsidR="00E03BED" w:rsidRDefault="00E03BED" w:rsidP="00E03BED"/>
    <w:p w14:paraId="3E23CB51" w14:textId="77777777" w:rsidR="00E03BED" w:rsidRDefault="00E03BED" w:rsidP="00E03BED"/>
    <w:p w14:paraId="7E3BBC30" w14:textId="77777777" w:rsidR="00E03BED" w:rsidRDefault="00E03BED" w:rsidP="00E03BED"/>
    <w:p w14:paraId="54AF6E81" w14:textId="77777777" w:rsidR="00E03BED" w:rsidRDefault="00E03BED" w:rsidP="00E03BED"/>
    <w:p w14:paraId="692F2872" w14:textId="77777777" w:rsidR="00E03BED" w:rsidRDefault="00E03BED" w:rsidP="00E03BED"/>
    <w:p w14:paraId="512F9898" w14:textId="77777777" w:rsidR="00E03BED" w:rsidRDefault="00E03BED" w:rsidP="00E03BED"/>
    <w:p w14:paraId="29FDF0BD" w14:textId="77777777" w:rsidR="00E03BED" w:rsidRDefault="00E03BED" w:rsidP="00E03BED"/>
    <w:p w14:paraId="0E093D42" w14:textId="77777777" w:rsidR="00E03BED" w:rsidRDefault="00E03BED" w:rsidP="00E03BED"/>
    <w:p w14:paraId="137FC21B" w14:textId="77777777" w:rsidR="00E03BED" w:rsidRDefault="00E03BED" w:rsidP="00E03BED"/>
    <w:p w14:paraId="274630F8" w14:textId="77777777" w:rsidR="00E03BED" w:rsidRDefault="00E03BED" w:rsidP="00E03BED">
      <w:pPr>
        <w:rPr>
          <w:rFonts w:ascii="Candara" w:hAnsi="Candara"/>
          <w:sz w:val="22"/>
        </w:rPr>
      </w:pPr>
    </w:p>
    <w:p w14:paraId="4AD1658C" w14:textId="77777777" w:rsidR="00E03BED" w:rsidRDefault="00E03BED" w:rsidP="00E03BED">
      <w:pPr>
        <w:rPr>
          <w:rFonts w:ascii="Candara" w:hAnsi="Candara"/>
          <w:sz w:val="22"/>
        </w:rPr>
      </w:pPr>
      <w:r>
        <w:rPr>
          <w:rFonts w:ascii="Candara" w:hAnsi="Candara"/>
          <w:noProof/>
          <w:sz w:val="22"/>
          <w:lang w:val="en-US" w:eastAsia="en-US"/>
        </w:rPr>
        <mc:AlternateContent>
          <mc:Choice Requires="wps">
            <w:drawing>
              <wp:anchor distT="0" distB="0" distL="114300" distR="114300" simplePos="0" relativeHeight="251662336" behindDoc="0" locked="0" layoutInCell="1" allowOverlap="1" wp14:anchorId="61ED8D55" wp14:editId="7153EE83">
                <wp:simplePos x="0" y="0"/>
                <wp:positionH relativeFrom="column">
                  <wp:posOffset>-342900</wp:posOffset>
                </wp:positionH>
                <wp:positionV relativeFrom="paragraph">
                  <wp:posOffset>215900</wp:posOffset>
                </wp:positionV>
                <wp:extent cx="6634480" cy="1028700"/>
                <wp:effectExtent l="0" t="0" r="20320" b="38100"/>
                <wp:wrapThrough wrapText="bothSides">
                  <wp:wrapPolygon edited="0">
                    <wp:start x="0" y="0"/>
                    <wp:lineTo x="0" y="21867"/>
                    <wp:lineTo x="21583" y="21867"/>
                    <wp:lineTo x="21583" y="0"/>
                    <wp:lineTo x="0" y="0"/>
                  </wp:wrapPolygon>
                </wp:wrapThrough>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1028700"/>
                        </a:xfrm>
                        <a:prstGeom prst="rect">
                          <a:avLst/>
                        </a:prstGeom>
                        <a:solidFill>
                          <a:srgbClr val="F2F2F2"/>
                        </a:solidFill>
                        <a:ln w="28575">
                          <a:solidFill>
                            <a:srgbClr val="000000"/>
                          </a:solidFill>
                          <a:miter lim="800000"/>
                          <a:headEnd/>
                          <a:tailEnd/>
                        </a:ln>
                      </wps:spPr>
                      <wps:txbx>
                        <w:txbxContent>
                          <w:p w14:paraId="7B64875D" w14:textId="77777777" w:rsidR="00AD12B5" w:rsidRDefault="00AD12B5" w:rsidP="00E03BED">
                            <w:pPr>
                              <w:jc w:val="both"/>
                              <w:rPr>
                                <w:rFonts w:ascii="Candara" w:hAnsi="Candara"/>
                                <w:b/>
                                <w:sz w:val="36"/>
                                <w:szCs w:val="36"/>
                              </w:rPr>
                            </w:pPr>
                            <w:r>
                              <w:rPr>
                                <w:rFonts w:ascii="Candara" w:hAnsi="Candara"/>
                                <w:b/>
                                <w:sz w:val="36"/>
                                <w:szCs w:val="36"/>
                              </w:rPr>
                              <w:t xml:space="preserve">          </w:t>
                            </w:r>
                          </w:p>
                          <w:p w14:paraId="5AAA0759" w14:textId="77777777" w:rsidR="00E03BED" w:rsidRPr="00BD0731" w:rsidRDefault="00AD12B5" w:rsidP="00E03BED">
                            <w:pPr>
                              <w:jc w:val="both"/>
                              <w:rPr>
                                <w:rFonts w:ascii="Candara" w:hAnsi="Candara"/>
                                <w:b/>
                                <w:sz w:val="36"/>
                                <w:szCs w:val="36"/>
                              </w:rPr>
                            </w:pPr>
                            <w:r>
                              <w:rPr>
                                <w:rFonts w:ascii="Candara" w:hAnsi="Candara"/>
                                <w:b/>
                                <w:sz w:val="36"/>
                                <w:szCs w:val="36"/>
                              </w:rPr>
                              <w:t xml:space="preserve">                RAPPORT ANNUEL DE LA RIPOSTE AU SIDA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C0176" id="Rectangle 2" o:spid="_x0000_s1026" style="position:absolute;margin-left:-27pt;margin-top:17pt;width:522.4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ge9KgIAAEkEAAAOAAAAZHJzL2Uyb0RvYy54bWysVNuO0zAQfUfiHyy/01zojajpatWlCGmB&#10;FQsf4DhOYuHYZuw2KV/P2OmWLvCEaCXLkxmfnDlnnM3N2CtyFOCk0SXNZiklQnNTS92W9OuX/as1&#10;Jc4zXTNltCjpSTh6s335YjPYQuSmM6oWQBBEu2KwJe28t0WSON6JnrmZsUJjsjHQM48htEkNbED0&#10;XiV5mi6TwUBtwXDhHD69m5J0G/GbRnD/qWmc8ESVFLn5uEJcq7Am2w0rWmC2k/xMg/0Di55JjS+9&#10;QN0xz8gB5B9QveRgnGn8jJs+MU0juYg9YDdZ+ls3jx2zIvaC4jh7kcn9P1j+8fgARNYlXVKiWY8W&#10;fUbRmG6VIHmQZ7CuwKpH+wChQWfvDf/miDa7DqvELYAZOsFqJJWF+uTZgRA4PEqq4YOpEZ0dvIlK&#10;jQ30ARA1IGM05HQxRIyecHy4XL6ez9foG8dclubrVRotS1jxdNyC8++E6UnYlBSQfIRnx3vnAx1W&#10;PJVE+kbJei+VigG01U4BOTKcjn0e/rED7PK6TGkylDRfL1aLCP0s6a4x0vj7G0YvPc65kn1J15ci&#10;VgTh3uo6TqFnUk175Kz0Wckg3mSCH6vx7Edl6hNqCmaaZ7x/uOkM/KBkwFkuqft+YCAoUe81+vIm&#10;m8/D8MdgvljlGMB1prrOMM0RqqSekmm789OFOViQbYdvyqIM2tyil42MKgefJ1Zn3jivUfzz3QoX&#10;4jqOVb++ANufAAAA//8DAFBLAwQUAAYACAAAACEASDIO5N8AAAAKAQAADwAAAGRycy9kb3ducmV2&#10;LnhtbEyPwU7DMAyG70i8Q2QkblvCBtPaNZ0QEiDQLhtIXN02ayoap0qyrfD0eKdxsix/+v39xXp0&#10;vTiaEDtPGu6mCoSh2jcdtRo+P54nSxAxITXYezIafkyEdXl9VWDe+BNtzXGXWsEhFHPUYFMacilj&#10;bY3DOPWDIb7tfXCYeA2tbAKeONz1cqbUQjrsiD9YHMyTNfX37uA0vMf57wu+bTZLDF9qZimrtq9J&#10;69ub8XEFIpkxXWA467M6lOxU+QM1UfQaJg/33CVpmJ8nA1mmuEvFZLZQIMtC/q9Q/gEAAP//AwBQ&#10;SwECLQAUAAYACAAAACEAtoM4kv4AAADhAQAAEwAAAAAAAAAAAAAAAAAAAAAAW0NvbnRlbnRfVHlw&#10;ZXNdLnhtbFBLAQItABQABgAIAAAAIQA4/SH/1gAAAJQBAAALAAAAAAAAAAAAAAAAAC8BAABfcmVs&#10;cy8ucmVsc1BLAQItABQABgAIAAAAIQBO7ge9KgIAAEkEAAAOAAAAAAAAAAAAAAAAAC4CAABkcnMv&#10;ZTJvRG9jLnhtbFBLAQItABQABgAIAAAAIQBIMg7k3wAAAAoBAAAPAAAAAAAAAAAAAAAAAIQEAABk&#10;cnMvZG93bnJldi54bWxQSwUGAAAAAAQABADzAAAAkAUAAAAA&#10;" fillcolor="#f2f2f2" strokeweight="2.25pt">
                <v:textbox>
                  <w:txbxContent>
                    <w:p w:rsidR="00AD12B5" w:rsidRDefault="00AD12B5" w:rsidP="00E03BED">
                      <w:pPr>
                        <w:jc w:val="both"/>
                        <w:rPr>
                          <w:rFonts w:ascii="Candara" w:hAnsi="Candara"/>
                          <w:b/>
                          <w:sz w:val="36"/>
                          <w:szCs w:val="36"/>
                        </w:rPr>
                      </w:pPr>
                      <w:r>
                        <w:rPr>
                          <w:rFonts w:ascii="Candara" w:hAnsi="Candara"/>
                          <w:b/>
                          <w:sz w:val="36"/>
                          <w:szCs w:val="36"/>
                        </w:rPr>
                        <w:t xml:space="preserve">          </w:t>
                      </w:r>
                    </w:p>
                    <w:p w:rsidR="00E03BED" w:rsidRPr="00BD0731" w:rsidRDefault="00AD12B5" w:rsidP="00E03BED">
                      <w:pPr>
                        <w:jc w:val="both"/>
                        <w:rPr>
                          <w:rFonts w:ascii="Candara" w:hAnsi="Candara"/>
                          <w:b/>
                          <w:sz w:val="36"/>
                          <w:szCs w:val="36"/>
                        </w:rPr>
                      </w:pPr>
                      <w:r>
                        <w:rPr>
                          <w:rFonts w:ascii="Candara" w:hAnsi="Candara"/>
                          <w:b/>
                          <w:sz w:val="36"/>
                          <w:szCs w:val="36"/>
                        </w:rPr>
                        <w:t xml:space="preserve">                RAPPORT ANNUEL DE LA RIPOSTE AU SIDA 2018</w:t>
                      </w:r>
                    </w:p>
                  </w:txbxContent>
                </v:textbox>
                <w10:wrap type="through"/>
              </v:rect>
            </w:pict>
          </mc:Fallback>
        </mc:AlternateContent>
      </w:r>
    </w:p>
    <w:p w14:paraId="5E318253" w14:textId="77777777" w:rsidR="00E03BED" w:rsidRDefault="00E03BED" w:rsidP="00E03BED">
      <w:pPr>
        <w:rPr>
          <w:rFonts w:ascii="Candara" w:hAnsi="Candara"/>
          <w:sz w:val="22"/>
        </w:rPr>
      </w:pPr>
    </w:p>
    <w:p w14:paraId="2C619B85" w14:textId="77777777" w:rsidR="00E03BED" w:rsidRDefault="00E03BED" w:rsidP="00E03BED">
      <w:pPr>
        <w:rPr>
          <w:rFonts w:ascii="Candara" w:hAnsi="Candara"/>
          <w:sz w:val="22"/>
        </w:rPr>
      </w:pPr>
    </w:p>
    <w:p w14:paraId="37981056" w14:textId="77777777" w:rsidR="00E03BED" w:rsidRDefault="00E03BED" w:rsidP="00E03BED"/>
    <w:p w14:paraId="5FB796F8" w14:textId="77777777" w:rsidR="00E03BED" w:rsidRDefault="00E03BED" w:rsidP="00E03BED"/>
    <w:p w14:paraId="21279F3B" w14:textId="77777777" w:rsidR="00E03BED" w:rsidRDefault="00E03BED" w:rsidP="00E03BED"/>
    <w:p w14:paraId="08146CEF" w14:textId="77777777" w:rsidR="00E03BED" w:rsidRPr="00CF39B7" w:rsidRDefault="00AD12B5" w:rsidP="00E03BED">
      <w:pPr>
        <w:jc w:val="center"/>
        <w:rPr>
          <w:rFonts w:ascii="Candara" w:hAnsi="Candara"/>
        </w:rPr>
      </w:pPr>
      <w:r>
        <w:rPr>
          <w:rFonts w:ascii="Candara" w:hAnsi="Candara"/>
        </w:rPr>
        <w:t>Avril</w:t>
      </w:r>
      <w:r w:rsidR="00E03BED" w:rsidRPr="00CF39B7">
        <w:rPr>
          <w:rFonts w:ascii="Candara" w:hAnsi="Candara"/>
        </w:rPr>
        <w:t xml:space="preserve"> 2019</w:t>
      </w:r>
    </w:p>
    <w:p w14:paraId="12A3BFC7" w14:textId="77777777" w:rsidR="00E03BED" w:rsidRDefault="00E03BED" w:rsidP="00E03BED"/>
    <w:p w14:paraId="2F00FC8D" w14:textId="77777777" w:rsidR="00E03BED" w:rsidRDefault="00E03BED" w:rsidP="00E03BED"/>
    <w:p w14:paraId="53E57D18" w14:textId="77777777" w:rsidR="00E03BED" w:rsidRDefault="00E03BED" w:rsidP="00E03BED"/>
    <w:p w14:paraId="25FCF3B0" w14:textId="77777777" w:rsidR="00E03BED" w:rsidRDefault="00E03BED" w:rsidP="00E03BED"/>
    <w:p w14:paraId="741D64FA" w14:textId="77777777" w:rsidR="00E03BED" w:rsidRDefault="00E03BED" w:rsidP="00E03BED"/>
    <w:p w14:paraId="26B7B3F2" w14:textId="77777777" w:rsidR="00E03BED" w:rsidRDefault="00E03BED" w:rsidP="00E03BED"/>
    <w:p w14:paraId="707F1EC2" w14:textId="77777777" w:rsidR="00E03BED" w:rsidRDefault="00E03BED" w:rsidP="00E03BED"/>
    <w:p w14:paraId="57CBDC21" w14:textId="77777777" w:rsidR="00E03BED" w:rsidRDefault="00E03BED" w:rsidP="00E03BED"/>
    <w:p w14:paraId="42C8CE4E" w14:textId="77777777" w:rsidR="00E03BED" w:rsidRDefault="00E03BED" w:rsidP="00E03BED"/>
    <w:p w14:paraId="2C9F6AE4" w14:textId="77777777" w:rsidR="00E03BED" w:rsidRDefault="00E03BED" w:rsidP="00E03BED"/>
    <w:p w14:paraId="7AD47D86" w14:textId="77777777" w:rsidR="00E03BED" w:rsidRPr="00675887" w:rsidRDefault="002635B0" w:rsidP="00E03BED">
      <w:pPr>
        <w:rPr>
          <w:rFonts w:ascii="Times New Roman" w:hAnsi="Times New Roman" w:cs="Times New Roman"/>
        </w:rPr>
      </w:pPr>
      <w:r>
        <w:rPr>
          <w:rFonts w:ascii="Times New Roman" w:hAnsi="Times New Roman" w:cs="Times New Roman"/>
          <w:b/>
          <w:noProof/>
          <w:szCs w:val="20"/>
        </w:rPr>
        <w:lastRenderedPageBreak/>
        <w:t>TABLE DE MATIERE</w:t>
      </w:r>
      <w:r w:rsidR="00E03BED" w:rsidRPr="00675887">
        <w:rPr>
          <w:rFonts w:ascii="Times New Roman" w:hAnsi="Times New Roman" w:cs="Times New Roman"/>
        </w:rPr>
        <w:t xml:space="preserve">                                                                       </w:t>
      </w:r>
    </w:p>
    <w:p w14:paraId="44E06F92" w14:textId="77777777" w:rsidR="00414DC5" w:rsidRDefault="00E03BED">
      <w:pPr>
        <w:pStyle w:val="TM1"/>
        <w:tabs>
          <w:tab w:val="right" w:leader="dot" w:pos="9350"/>
        </w:tabs>
        <w:rPr>
          <w:rFonts w:asciiTheme="minorHAnsi" w:hAnsiTheme="minorHAnsi"/>
          <w:b w:val="0"/>
          <w:noProof/>
          <w:color w:val="auto"/>
          <w:sz w:val="22"/>
          <w:szCs w:val="22"/>
        </w:rPr>
      </w:pPr>
      <w:r>
        <w:rPr>
          <w:bCs/>
        </w:rPr>
        <w:fldChar w:fldCharType="begin"/>
      </w:r>
      <w:r>
        <w:rPr>
          <w:bCs/>
        </w:rPr>
        <w:instrText xml:space="preserve"> TOC \o "1-3" </w:instrText>
      </w:r>
      <w:r>
        <w:rPr>
          <w:bCs/>
        </w:rPr>
        <w:fldChar w:fldCharType="separate"/>
      </w:r>
      <w:r w:rsidR="00414DC5">
        <w:rPr>
          <w:noProof/>
        </w:rPr>
        <w:t>I) INTRODUCTION</w:t>
      </w:r>
      <w:r w:rsidR="00414DC5">
        <w:rPr>
          <w:noProof/>
        </w:rPr>
        <w:tab/>
      </w:r>
      <w:r w:rsidR="00414DC5">
        <w:rPr>
          <w:noProof/>
        </w:rPr>
        <w:fldChar w:fldCharType="begin"/>
      </w:r>
      <w:r w:rsidR="00414DC5">
        <w:rPr>
          <w:noProof/>
        </w:rPr>
        <w:instrText xml:space="preserve"> PAGEREF _Toc15906413 \h </w:instrText>
      </w:r>
      <w:r w:rsidR="00414DC5">
        <w:rPr>
          <w:noProof/>
        </w:rPr>
      </w:r>
      <w:r w:rsidR="00414DC5">
        <w:rPr>
          <w:noProof/>
        </w:rPr>
        <w:fldChar w:fldCharType="separate"/>
      </w:r>
      <w:r w:rsidR="00414DC5">
        <w:rPr>
          <w:noProof/>
        </w:rPr>
        <w:t>6</w:t>
      </w:r>
      <w:r w:rsidR="00414DC5">
        <w:rPr>
          <w:noProof/>
        </w:rPr>
        <w:fldChar w:fldCharType="end"/>
      </w:r>
    </w:p>
    <w:p w14:paraId="71251179" w14:textId="77777777" w:rsidR="00414DC5" w:rsidRDefault="00414DC5">
      <w:pPr>
        <w:pStyle w:val="TM1"/>
        <w:tabs>
          <w:tab w:val="right" w:leader="dot" w:pos="9350"/>
        </w:tabs>
        <w:rPr>
          <w:rFonts w:asciiTheme="minorHAnsi" w:hAnsiTheme="minorHAnsi"/>
          <w:b w:val="0"/>
          <w:noProof/>
          <w:color w:val="auto"/>
          <w:sz w:val="22"/>
          <w:szCs w:val="22"/>
        </w:rPr>
      </w:pPr>
      <w:r>
        <w:rPr>
          <w:noProof/>
        </w:rPr>
        <w:t>II) CONTEXTE EPIDEMIOLOGIQUE</w:t>
      </w:r>
      <w:r>
        <w:rPr>
          <w:noProof/>
        </w:rPr>
        <w:tab/>
      </w:r>
      <w:r>
        <w:rPr>
          <w:noProof/>
        </w:rPr>
        <w:fldChar w:fldCharType="begin"/>
      </w:r>
      <w:r>
        <w:rPr>
          <w:noProof/>
        </w:rPr>
        <w:instrText xml:space="preserve"> PAGEREF _Toc15906414 \h </w:instrText>
      </w:r>
      <w:r>
        <w:rPr>
          <w:noProof/>
        </w:rPr>
      </w:r>
      <w:r>
        <w:rPr>
          <w:noProof/>
        </w:rPr>
        <w:fldChar w:fldCharType="separate"/>
      </w:r>
      <w:r>
        <w:rPr>
          <w:noProof/>
        </w:rPr>
        <w:t>6</w:t>
      </w:r>
      <w:r>
        <w:rPr>
          <w:noProof/>
        </w:rPr>
        <w:fldChar w:fldCharType="end"/>
      </w:r>
    </w:p>
    <w:p w14:paraId="361C3C34" w14:textId="77777777" w:rsidR="00414DC5" w:rsidRDefault="00414DC5">
      <w:pPr>
        <w:pStyle w:val="TM1"/>
        <w:tabs>
          <w:tab w:val="right" w:leader="dot" w:pos="9350"/>
        </w:tabs>
        <w:rPr>
          <w:rFonts w:asciiTheme="minorHAnsi" w:hAnsiTheme="minorHAnsi"/>
          <w:b w:val="0"/>
          <w:noProof/>
          <w:color w:val="auto"/>
          <w:sz w:val="22"/>
          <w:szCs w:val="22"/>
        </w:rPr>
      </w:pPr>
      <w:r>
        <w:rPr>
          <w:noProof/>
        </w:rPr>
        <w:t>III. EVOLUTION DES NOUVELLES INFECTIONS</w:t>
      </w:r>
      <w:r>
        <w:rPr>
          <w:noProof/>
        </w:rPr>
        <w:tab/>
      </w:r>
      <w:r>
        <w:rPr>
          <w:noProof/>
        </w:rPr>
        <w:fldChar w:fldCharType="begin"/>
      </w:r>
      <w:r>
        <w:rPr>
          <w:noProof/>
        </w:rPr>
        <w:instrText xml:space="preserve"> PAGEREF _Toc15906415 \h </w:instrText>
      </w:r>
      <w:r>
        <w:rPr>
          <w:noProof/>
        </w:rPr>
      </w:r>
      <w:r>
        <w:rPr>
          <w:noProof/>
        </w:rPr>
        <w:fldChar w:fldCharType="separate"/>
      </w:r>
      <w:r>
        <w:rPr>
          <w:noProof/>
        </w:rPr>
        <w:t>7</w:t>
      </w:r>
      <w:r>
        <w:rPr>
          <w:noProof/>
        </w:rPr>
        <w:fldChar w:fldCharType="end"/>
      </w:r>
    </w:p>
    <w:p w14:paraId="743E6A6F" w14:textId="77777777" w:rsidR="00414DC5" w:rsidRDefault="00414DC5">
      <w:pPr>
        <w:pStyle w:val="TM1"/>
        <w:tabs>
          <w:tab w:val="right" w:leader="dot" w:pos="9350"/>
        </w:tabs>
        <w:rPr>
          <w:rFonts w:asciiTheme="minorHAnsi" w:hAnsiTheme="minorHAnsi"/>
          <w:b w:val="0"/>
          <w:noProof/>
          <w:color w:val="auto"/>
          <w:sz w:val="22"/>
          <w:szCs w:val="22"/>
        </w:rPr>
      </w:pPr>
      <w:r>
        <w:rPr>
          <w:noProof/>
        </w:rPr>
        <w:t>IV. EVOLUTION DES DECES LIES AU VIH</w:t>
      </w:r>
      <w:r>
        <w:rPr>
          <w:noProof/>
        </w:rPr>
        <w:tab/>
      </w:r>
      <w:r>
        <w:rPr>
          <w:noProof/>
        </w:rPr>
        <w:fldChar w:fldCharType="begin"/>
      </w:r>
      <w:r>
        <w:rPr>
          <w:noProof/>
        </w:rPr>
        <w:instrText xml:space="preserve"> PAGEREF _Toc15906416 \h </w:instrText>
      </w:r>
      <w:r>
        <w:rPr>
          <w:noProof/>
        </w:rPr>
      </w:r>
      <w:r>
        <w:rPr>
          <w:noProof/>
        </w:rPr>
        <w:fldChar w:fldCharType="separate"/>
      </w:r>
      <w:r>
        <w:rPr>
          <w:noProof/>
        </w:rPr>
        <w:t>8</w:t>
      </w:r>
      <w:r>
        <w:rPr>
          <w:noProof/>
        </w:rPr>
        <w:fldChar w:fldCharType="end"/>
      </w:r>
    </w:p>
    <w:p w14:paraId="19861279" w14:textId="77777777" w:rsidR="00414DC5" w:rsidRDefault="00414DC5">
      <w:pPr>
        <w:pStyle w:val="TM1"/>
        <w:tabs>
          <w:tab w:val="right" w:leader="dot" w:pos="9350"/>
        </w:tabs>
        <w:rPr>
          <w:rFonts w:asciiTheme="minorHAnsi" w:hAnsiTheme="minorHAnsi"/>
          <w:b w:val="0"/>
          <w:noProof/>
          <w:color w:val="auto"/>
          <w:sz w:val="22"/>
          <w:szCs w:val="22"/>
        </w:rPr>
      </w:pPr>
      <w:r>
        <w:rPr>
          <w:noProof/>
        </w:rPr>
        <w:t>V. ANALYSE DE LA RIPOSTE PROGRAMMATIQUE AU VIH</w:t>
      </w:r>
      <w:r>
        <w:rPr>
          <w:noProof/>
        </w:rPr>
        <w:tab/>
      </w:r>
      <w:r>
        <w:rPr>
          <w:noProof/>
        </w:rPr>
        <w:fldChar w:fldCharType="begin"/>
      </w:r>
      <w:r>
        <w:rPr>
          <w:noProof/>
        </w:rPr>
        <w:instrText xml:space="preserve"> PAGEREF _Toc15906417 \h </w:instrText>
      </w:r>
      <w:r>
        <w:rPr>
          <w:noProof/>
        </w:rPr>
      </w:r>
      <w:r>
        <w:rPr>
          <w:noProof/>
        </w:rPr>
        <w:fldChar w:fldCharType="separate"/>
      </w:r>
      <w:r>
        <w:rPr>
          <w:noProof/>
        </w:rPr>
        <w:t>9</w:t>
      </w:r>
      <w:r>
        <w:rPr>
          <w:noProof/>
        </w:rPr>
        <w:fldChar w:fldCharType="end"/>
      </w:r>
    </w:p>
    <w:p w14:paraId="477F6008" w14:textId="77777777" w:rsidR="00414DC5" w:rsidRDefault="00414DC5">
      <w:pPr>
        <w:pStyle w:val="TM2"/>
        <w:tabs>
          <w:tab w:val="right" w:leader="dot" w:pos="9350"/>
        </w:tabs>
        <w:rPr>
          <w:noProof/>
        </w:rPr>
      </w:pPr>
      <w:r>
        <w:rPr>
          <w:noProof/>
        </w:rPr>
        <w:t>V.1. Dépistage du VIH</w:t>
      </w:r>
      <w:r>
        <w:rPr>
          <w:noProof/>
        </w:rPr>
        <w:tab/>
      </w:r>
      <w:r>
        <w:rPr>
          <w:noProof/>
        </w:rPr>
        <w:fldChar w:fldCharType="begin"/>
      </w:r>
      <w:r>
        <w:rPr>
          <w:noProof/>
        </w:rPr>
        <w:instrText xml:space="preserve"> PAGEREF _Toc15906418 \h </w:instrText>
      </w:r>
      <w:r>
        <w:rPr>
          <w:noProof/>
        </w:rPr>
      </w:r>
      <w:r>
        <w:rPr>
          <w:noProof/>
        </w:rPr>
        <w:fldChar w:fldCharType="separate"/>
      </w:r>
      <w:r>
        <w:rPr>
          <w:noProof/>
        </w:rPr>
        <w:t>9</w:t>
      </w:r>
      <w:r>
        <w:rPr>
          <w:noProof/>
        </w:rPr>
        <w:fldChar w:fldCharType="end"/>
      </w:r>
    </w:p>
    <w:p w14:paraId="7C93F5F5" w14:textId="77777777" w:rsidR="00414DC5" w:rsidRDefault="00414DC5">
      <w:pPr>
        <w:pStyle w:val="TM2"/>
        <w:tabs>
          <w:tab w:val="right" w:leader="dot" w:pos="9350"/>
        </w:tabs>
        <w:rPr>
          <w:noProof/>
        </w:rPr>
      </w:pPr>
      <w:r>
        <w:rPr>
          <w:noProof/>
        </w:rPr>
        <w:t>V.2.</w:t>
      </w:r>
      <w:r w:rsidRPr="00D57FA6">
        <w:rPr>
          <w:noProof/>
        </w:rPr>
        <w:t xml:space="preserve"> </w:t>
      </w:r>
      <w:r>
        <w:rPr>
          <w:noProof/>
        </w:rPr>
        <w:t>Traitement ARV</w:t>
      </w:r>
      <w:r>
        <w:rPr>
          <w:noProof/>
        </w:rPr>
        <w:tab/>
      </w:r>
      <w:r>
        <w:rPr>
          <w:noProof/>
        </w:rPr>
        <w:fldChar w:fldCharType="begin"/>
      </w:r>
      <w:r>
        <w:rPr>
          <w:noProof/>
        </w:rPr>
        <w:instrText xml:space="preserve"> PAGEREF _Toc15906419 \h </w:instrText>
      </w:r>
      <w:r>
        <w:rPr>
          <w:noProof/>
        </w:rPr>
      </w:r>
      <w:r>
        <w:rPr>
          <w:noProof/>
        </w:rPr>
        <w:fldChar w:fldCharType="separate"/>
      </w:r>
      <w:r>
        <w:rPr>
          <w:noProof/>
        </w:rPr>
        <w:t>9</w:t>
      </w:r>
      <w:r>
        <w:rPr>
          <w:noProof/>
        </w:rPr>
        <w:fldChar w:fldCharType="end"/>
      </w:r>
    </w:p>
    <w:p w14:paraId="534FBD27" w14:textId="77777777" w:rsidR="00414DC5" w:rsidRDefault="00414DC5">
      <w:pPr>
        <w:pStyle w:val="TM2"/>
        <w:tabs>
          <w:tab w:val="right" w:leader="dot" w:pos="9350"/>
        </w:tabs>
        <w:rPr>
          <w:noProof/>
        </w:rPr>
      </w:pPr>
      <w:r>
        <w:rPr>
          <w:noProof/>
        </w:rPr>
        <w:t>V.3. Charge virale</w:t>
      </w:r>
      <w:r>
        <w:rPr>
          <w:noProof/>
        </w:rPr>
        <w:tab/>
      </w:r>
      <w:r>
        <w:rPr>
          <w:noProof/>
        </w:rPr>
        <w:fldChar w:fldCharType="begin"/>
      </w:r>
      <w:r>
        <w:rPr>
          <w:noProof/>
        </w:rPr>
        <w:instrText xml:space="preserve"> PAGEREF _Toc15906420 \h </w:instrText>
      </w:r>
      <w:r>
        <w:rPr>
          <w:noProof/>
        </w:rPr>
      </w:r>
      <w:r>
        <w:rPr>
          <w:noProof/>
        </w:rPr>
        <w:fldChar w:fldCharType="separate"/>
      </w:r>
      <w:r>
        <w:rPr>
          <w:noProof/>
        </w:rPr>
        <w:t>10</w:t>
      </w:r>
      <w:r>
        <w:rPr>
          <w:noProof/>
        </w:rPr>
        <w:fldChar w:fldCharType="end"/>
      </w:r>
    </w:p>
    <w:p w14:paraId="35185277" w14:textId="77777777" w:rsidR="00414DC5" w:rsidRDefault="00414DC5">
      <w:pPr>
        <w:pStyle w:val="TM2"/>
        <w:tabs>
          <w:tab w:val="right" w:leader="dot" w:pos="9350"/>
        </w:tabs>
        <w:rPr>
          <w:noProof/>
        </w:rPr>
      </w:pPr>
      <w:r>
        <w:rPr>
          <w:noProof/>
        </w:rPr>
        <w:t>V.4.Prévention de la transmission Mère –Enfant (PTME) et la PEC pédiatrique</w:t>
      </w:r>
      <w:r>
        <w:rPr>
          <w:noProof/>
        </w:rPr>
        <w:tab/>
      </w:r>
      <w:r>
        <w:rPr>
          <w:noProof/>
        </w:rPr>
        <w:fldChar w:fldCharType="begin"/>
      </w:r>
      <w:r>
        <w:rPr>
          <w:noProof/>
        </w:rPr>
        <w:instrText xml:space="preserve"> PAGEREF _Toc15906421 \h </w:instrText>
      </w:r>
      <w:r>
        <w:rPr>
          <w:noProof/>
        </w:rPr>
      </w:r>
      <w:r>
        <w:rPr>
          <w:noProof/>
        </w:rPr>
        <w:fldChar w:fldCharType="separate"/>
      </w:r>
      <w:r>
        <w:rPr>
          <w:noProof/>
        </w:rPr>
        <w:t>10</w:t>
      </w:r>
      <w:r>
        <w:rPr>
          <w:noProof/>
        </w:rPr>
        <w:fldChar w:fldCharType="end"/>
      </w:r>
    </w:p>
    <w:p w14:paraId="01207C25" w14:textId="77777777" w:rsidR="00414DC5" w:rsidRDefault="00414DC5">
      <w:pPr>
        <w:pStyle w:val="TM2"/>
        <w:tabs>
          <w:tab w:val="right" w:leader="dot" w:pos="9350"/>
        </w:tabs>
        <w:rPr>
          <w:noProof/>
        </w:rPr>
      </w:pPr>
      <w:r>
        <w:rPr>
          <w:noProof/>
        </w:rPr>
        <w:t>V.5.Coïnfection TB/VIH</w:t>
      </w:r>
      <w:r>
        <w:rPr>
          <w:noProof/>
        </w:rPr>
        <w:tab/>
      </w:r>
      <w:r>
        <w:rPr>
          <w:noProof/>
        </w:rPr>
        <w:fldChar w:fldCharType="begin"/>
      </w:r>
      <w:r>
        <w:rPr>
          <w:noProof/>
        </w:rPr>
        <w:instrText xml:space="preserve"> PAGEREF _Toc15906422 \h </w:instrText>
      </w:r>
      <w:r>
        <w:rPr>
          <w:noProof/>
        </w:rPr>
      </w:r>
      <w:r>
        <w:rPr>
          <w:noProof/>
        </w:rPr>
        <w:fldChar w:fldCharType="separate"/>
      </w:r>
      <w:r>
        <w:rPr>
          <w:noProof/>
        </w:rPr>
        <w:t>11</w:t>
      </w:r>
      <w:r>
        <w:rPr>
          <w:noProof/>
        </w:rPr>
        <w:fldChar w:fldCharType="end"/>
      </w:r>
    </w:p>
    <w:p w14:paraId="564753E8" w14:textId="77777777" w:rsidR="00414DC5" w:rsidRDefault="00414DC5">
      <w:pPr>
        <w:pStyle w:val="TM2"/>
        <w:tabs>
          <w:tab w:val="right" w:leader="dot" w:pos="9350"/>
        </w:tabs>
        <w:rPr>
          <w:noProof/>
        </w:rPr>
      </w:pPr>
      <w:r>
        <w:rPr>
          <w:noProof/>
        </w:rPr>
        <w:t>V.6. Niveau de stigmatisation et de discrimination</w:t>
      </w:r>
      <w:r>
        <w:rPr>
          <w:noProof/>
        </w:rPr>
        <w:tab/>
      </w:r>
      <w:r>
        <w:rPr>
          <w:noProof/>
        </w:rPr>
        <w:fldChar w:fldCharType="begin"/>
      </w:r>
      <w:r>
        <w:rPr>
          <w:noProof/>
        </w:rPr>
        <w:instrText xml:space="preserve"> PAGEREF _Toc15906423 \h </w:instrText>
      </w:r>
      <w:r>
        <w:rPr>
          <w:noProof/>
        </w:rPr>
      </w:r>
      <w:r>
        <w:rPr>
          <w:noProof/>
        </w:rPr>
        <w:fldChar w:fldCharType="separate"/>
      </w:r>
      <w:r>
        <w:rPr>
          <w:noProof/>
        </w:rPr>
        <w:t>11</w:t>
      </w:r>
      <w:r>
        <w:rPr>
          <w:noProof/>
        </w:rPr>
        <w:fldChar w:fldCharType="end"/>
      </w:r>
    </w:p>
    <w:p w14:paraId="096ADB87" w14:textId="77777777" w:rsidR="00414DC5" w:rsidRDefault="00414DC5">
      <w:pPr>
        <w:pStyle w:val="TM1"/>
        <w:tabs>
          <w:tab w:val="right" w:leader="dot" w:pos="9350"/>
        </w:tabs>
        <w:rPr>
          <w:rFonts w:asciiTheme="minorHAnsi" w:hAnsiTheme="minorHAnsi"/>
          <w:b w:val="0"/>
          <w:noProof/>
          <w:color w:val="auto"/>
          <w:sz w:val="22"/>
          <w:szCs w:val="22"/>
        </w:rPr>
      </w:pPr>
      <w:r>
        <w:rPr>
          <w:noProof/>
        </w:rPr>
        <w:t>VI. ANALYSE DES GOULOTS D’ETRANGLEMENT DE LA MISE EN ŒUVRE</w:t>
      </w:r>
      <w:r>
        <w:rPr>
          <w:noProof/>
        </w:rPr>
        <w:tab/>
      </w:r>
      <w:r>
        <w:rPr>
          <w:noProof/>
        </w:rPr>
        <w:fldChar w:fldCharType="begin"/>
      </w:r>
      <w:r>
        <w:rPr>
          <w:noProof/>
        </w:rPr>
        <w:instrText xml:space="preserve"> PAGEREF _Toc15906424 \h </w:instrText>
      </w:r>
      <w:r>
        <w:rPr>
          <w:noProof/>
        </w:rPr>
      </w:r>
      <w:r>
        <w:rPr>
          <w:noProof/>
        </w:rPr>
        <w:fldChar w:fldCharType="separate"/>
      </w:r>
      <w:r>
        <w:rPr>
          <w:noProof/>
        </w:rPr>
        <w:t>12</w:t>
      </w:r>
      <w:r>
        <w:rPr>
          <w:noProof/>
        </w:rPr>
        <w:fldChar w:fldCharType="end"/>
      </w:r>
    </w:p>
    <w:p w14:paraId="63748CBA" w14:textId="77777777" w:rsidR="00414DC5" w:rsidRDefault="00414DC5">
      <w:pPr>
        <w:pStyle w:val="TM2"/>
        <w:tabs>
          <w:tab w:val="right" w:leader="dot" w:pos="9350"/>
        </w:tabs>
        <w:rPr>
          <w:noProof/>
        </w:rPr>
      </w:pPr>
      <w:r>
        <w:rPr>
          <w:noProof/>
        </w:rPr>
        <w:t>VI.1. Prévention</w:t>
      </w:r>
      <w:r>
        <w:rPr>
          <w:noProof/>
        </w:rPr>
        <w:tab/>
      </w:r>
      <w:r>
        <w:rPr>
          <w:noProof/>
        </w:rPr>
        <w:fldChar w:fldCharType="begin"/>
      </w:r>
      <w:r>
        <w:rPr>
          <w:noProof/>
        </w:rPr>
        <w:instrText xml:space="preserve"> PAGEREF _Toc15906425 \h </w:instrText>
      </w:r>
      <w:r>
        <w:rPr>
          <w:noProof/>
        </w:rPr>
      </w:r>
      <w:r>
        <w:rPr>
          <w:noProof/>
        </w:rPr>
        <w:fldChar w:fldCharType="separate"/>
      </w:r>
      <w:r>
        <w:rPr>
          <w:noProof/>
        </w:rPr>
        <w:t>12</w:t>
      </w:r>
      <w:r>
        <w:rPr>
          <w:noProof/>
        </w:rPr>
        <w:fldChar w:fldCharType="end"/>
      </w:r>
    </w:p>
    <w:p w14:paraId="0947AEBD" w14:textId="77777777" w:rsidR="00414DC5" w:rsidRDefault="00414DC5">
      <w:pPr>
        <w:pStyle w:val="TM2"/>
        <w:tabs>
          <w:tab w:val="right" w:leader="dot" w:pos="9350"/>
        </w:tabs>
        <w:rPr>
          <w:noProof/>
        </w:rPr>
      </w:pPr>
      <w:r>
        <w:rPr>
          <w:noProof/>
        </w:rPr>
        <w:t>VI.2. Atteinte des 90/90/90</w:t>
      </w:r>
      <w:r>
        <w:rPr>
          <w:noProof/>
        </w:rPr>
        <w:tab/>
      </w:r>
      <w:r>
        <w:rPr>
          <w:noProof/>
        </w:rPr>
        <w:fldChar w:fldCharType="begin"/>
      </w:r>
      <w:r>
        <w:rPr>
          <w:noProof/>
        </w:rPr>
        <w:instrText xml:space="preserve"> PAGEREF _Toc15906426 \h </w:instrText>
      </w:r>
      <w:r>
        <w:rPr>
          <w:noProof/>
        </w:rPr>
      </w:r>
      <w:r>
        <w:rPr>
          <w:noProof/>
        </w:rPr>
        <w:fldChar w:fldCharType="separate"/>
      </w:r>
      <w:r>
        <w:rPr>
          <w:noProof/>
        </w:rPr>
        <w:t>13</w:t>
      </w:r>
      <w:r>
        <w:rPr>
          <w:noProof/>
        </w:rPr>
        <w:fldChar w:fldCharType="end"/>
      </w:r>
    </w:p>
    <w:p w14:paraId="1E07431B" w14:textId="77777777" w:rsidR="00414DC5" w:rsidRDefault="00414DC5">
      <w:pPr>
        <w:pStyle w:val="TM2"/>
        <w:tabs>
          <w:tab w:val="right" w:leader="dot" w:pos="9350"/>
        </w:tabs>
        <w:rPr>
          <w:noProof/>
        </w:rPr>
      </w:pPr>
      <w:r>
        <w:rPr>
          <w:noProof/>
        </w:rPr>
        <w:t>VI.3. Stigma et discrimination</w:t>
      </w:r>
      <w:r>
        <w:rPr>
          <w:noProof/>
        </w:rPr>
        <w:tab/>
      </w:r>
      <w:r>
        <w:rPr>
          <w:noProof/>
        </w:rPr>
        <w:fldChar w:fldCharType="begin"/>
      </w:r>
      <w:r>
        <w:rPr>
          <w:noProof/>
        </w:rPr>
        <w:instrText xml:space="preserve"> PAGEREF _Toc15906427 \h </w:instrText>
      </w:r>
      <w:r>
        <w:rPr>
          <w:noProof/>
        </w:rPr>
      </w:r>
      <w:r>
        <w:rPr>
          <w:noProof/>
        </w:rPr>
        <w:fldChar w:fldCharType="separate"/>
      </w:r>
      <w:r>
        <w:rPr>
          <w:noProof/>
        </w:rPr>
        <w:t>13</w:t>
      </w:r>
      <w:r>
        <w:rPr>
          <w:noProof/>
        </w:rPr>
        <w:fldChar w:fldCharType="end"/>
      </w:r>
    </w:p>
    <w:p w14:paraId="17A6305D" w14:textId="77777777" w:rsidR="00414DC5" w:rsidRDefault="00414DC5">
      <w:pPr>
        <w:pStyle w:val="TM2"/>
        <w:tabs>
          <w:tab w:val="right" w:leader="dot" w:pos="9350"/>
        </w:tabs>
        <w:rPr>
          <w:noProof/>
        </w:rPr>
      </w:pPr>
      <w:r>
        <w:rPr>
          <w:noProof/>
        </w:rPr>
        <w:t>VI.4. Suivi-évaluation</w:t>
      </w:r>
      <w:r>
        <w:rPr>
          <w:noProof/>
        </w:rPr>
        <w:tab/>
      </w:r>
      <w:r>
        <w:rPr>
          <w:noProof/>
        </w:rPr>
        <w:fldChar w:fldCharType="begin"/>
      </w:r>
      <w:r>
        <w:rPr>
          <w:noProof/>
        </w:rPr>
        <w:instrText xml:space="preserve"> PAGEREF _Toc15906428 \h </w:instrText>
      </w:r>
      <w:r>
        <w:rPr>
          <w:noProof/>
        </w:rPr>
      </w:r>
      <w:r>
        <w:rPr>
          <w:noProof/>
        </w:rPr>
        <w:fldChar w:fldCharType="separate"/>
      </w:r>
      <w:r>
        <w:rPr>
          <w:noProof/>
        </w:rPr>
        <w:t>14</w:t>
      </w:r>
      <w:r>
        <w:rPr>
          <w:noProof/>
        </w:rPr>
        <w:fldChar w:fldCharType="end"/>
      </w:r>
    </w:p>
    <w:p w14:paraId="5D9A132F" w14:textId="77777777" w:rsidR="00414DC5" w:rsidRDefault="00414DC5">
      <w:pPr>
        <w:pStyle w:val="TM2"/>
        <w:tabs>
          <w:tab w:val="right" w:leader="dot" w:pos="9350"/>
        </w:tabs>
        <w:rPr>
          <w:noProof/>
        </w:rPr>
      </w:pPr>
      <w:r>
        <w:rPr>
          <w:noProof/>
        </w:rPr>
        <w:t>VI.5. Société civile</w:t>
      </w:r>
      <w:r>
        <w:rPr>
          <w:noProof/>
        </w:rPr>
        <w:tab/>
      </w:r>
      <w:r>
        <w:rPr>
          <w:noProof/>
        </w:rPr>
        <w:fldChar w:fldCharType="begin"/>
      </w:r>
      <w:r>
        <w:rPr>
          <w:noProof/>
        </w:rPr>
        <w:instrText xml:space="preserve"> PAGEREF _Toc15906429 \h </w:instrText>
      </w:r>
      <w:r>
        <w:rPr>
          <w:noProof/>
        </w:rPr>
      </w:r>
      <w:r>
        <w:rPr>
          <w:noProof/>
        </w:rPr>
        <w:fldChar w:fldCharType="separate"/>
      </w:r>
      <w:r>
        <w:rPr>
          <w:noProof/>
        </w:rPr>
        <w:t>14</w:t>
      </w:r>
      <w:r>
        <w:rPr>
          <w:noProof/>
        </w:rPr>
        <w:fldChar w:fldCharType="end"/>
      </w:r>
    </w:p>
    <w:p w14:paraId="7ADEE323" w14:textId="77777777" w:rsidR="00414DC5" w:rsidRDefault="00414DC5">
      <w:pPr>
        <w:pStyle w:val="TM2"/>
        <w:tabs>
          <w:tab w:val="right" w:leader="dot" w:pos="9350"/>
        </w:tabs>
        <w:rPr>
          <w:noProof/>
        </w:rPr>
      </w:pPr>
      <w:r>
        <w:rPr>
          <w:noProof/>
        </w:rPr>
        <w:t>VI.6. Gestion et coordination</w:t>
      </w:r>
      <w:r>
        <w:rPr>
          <w:noProof/>
        </w:rPr>
        <w:tab/>
      </w:r>
      <w:r>
        <w:rPr>
          <w:noProof/>
        </w:rPr>
        <w:fldChar w:fldCharType="begin"/>
      </w:r>
      <w:r>
        <w:rPr>
          <w:noProof/>
        </w:rPr>
        <w:instrText xml:space="preserve"> PAGEREF _Toc15906430 \h </w:instrText>
      </w:r>
      <w:r>
        <w:rPr>
          <w:noProof/>
        </w:rPr>
      </w:r>
      <w:r>
        <w:rPr>
          <w:noProof/>
        </w:rPr>
        <w:fldChar w:fldCharType="separate"/>
      </w:r>
      <w:r>
        <w:rPr>
          <w:noProof/>
        </w:rPr>
        <w:t>14</w:t>
      </w:r>
      <w:r>
        <w:rPr>
          <w:noProof/>
        </w:rPr>
        <w:fldChar w:fldCharType="end"/>
      </w:r>
    </w:p>
    <w:p w14:paraId="53BCB996" w14:textId="77777777" w:rsidR="00414DC5" w:rsidRDefault="00414DC5">
      <w:pPr>
        <w:pStyle w:val="TM1"/>
        <w:tabs>
          <w:tab w:val="right" w:leader="dot" w:pos="9350"/>
        </w:tabs>
        <w:rPr>
          <w:rFonts w:asciiTheme="minorHAnsi" w:hAnsiTheme="minorHAnsi"/>
          <w:b w:val="0"/>
          <w:noProof/>
          <w:color w:val="auto"/>
          <w:sz w:val="22"/>
          <w:szCs w:val="22"/>
        </w:rPr>
      </w:pPr>
      <w:r>
        <w:rPr>
          <w:noProof/>
        </w:rPr>
        <w:t>VII. OPPORTUNITES</w:t>
      </w:r>
      <w:r>
        <w:rPr>
          <w:noProof/>
        </w:rPr>
        <w:tab/>
      </w:r>
      <w:r>
        <w:rPr>
          <w:noProof/>
        </w:rPr>
        <w:fldChar w:fldCharType="begin"/>
      </w:r>
      <w:r>
        <w:rPr>
          <w:noProof/>
        </w:rPr>
        <w:instrText xml:space="preserve"> PAGEREF _Toc15906431 \h </w:instrText>
      </w:r>
      <w:r>
        <w:rPr>
          <w:noProof/>
        </w:rPr>
      </w:r>
      <w:r>
        <w:rPr>
          <w:noProof/>
        </w:rPr>
        <w:fldChar w:fldCharType="separate"/>
      </w:r>
      <w:r>
        <w:rPr>
          <w:noProof/>
        </w:rPr>
        <w:t>14</w:t>
      </w:r>
      <w:r>
        <w:rPr>
          <w:noProof/>
        </w:rPr>
        <w:fldChar w:fldCharType="end"/>
      </w:r>
    </w:p>
    <w:p w14:paraId="0A28A3B6" w14:textId="77777777" w:rsidR="00414DC5" w:rsidRDefault="00414DC5">
      <w:pPr>
        <w:pStyle w:val="TM1"/>
        <w:tabs>
          <w:tab w:val="right" w:leader="dot" w:pos="9350"/>
        </w:tabs>
        <w:rPr>
          <w:rFonts w:asciiTheme="minorHAnsi" w:hAnsiTheme="minorHAnsi"/>
          <w:b w:val="0"/>
          <w:noProof/>
          <w:color w:val="auto"/>
          <w:sz w:val="22"/>
          <w:szCs w:val="22"/>
        </w:rPr>
      </w:pPr>
      <w:r>
        <w:rPr>
          <w:noProof/>
        </w:rPr>
        <w:t>VIII. MENACES</w:t>
      </w:r>
      <w:r>
        <w:rPr>
          <w:noProof/>
        </w:rPr>
        <w:tab/>
      </w:r>
      <w:r>
        <w:rPr>
          <w:noProof/>
        </w:rPr>
        <w:fldChar w:fldCharType="begin"/>
      </w:r>
      <w:r>
        <w:rPr>
          <w:noProof/>
        </w:rPr>
        <w:instrText xml:space="preserve"> PAGEREF _Toc15906432 \h </w:instrText>
      </w:r>
      <w:r>
        <w:rPr>
          <w:noProof/>
        </w:rPr>
      </w:r>
      <w:r>
        <w:rPr>
          <w:noProof/>
        </w:rPr>
        <w:fldChar w:fldCharType="separate"/>
      </w:r>
      <w:r>
        <w:rPr>
          <w:noProof/>
        </w:rPr>
        <w:t>14</w:t>
      </w:r>
      <w:r>
        <w:rPr>
          <w:noProof/>
        </w:rPr>
        <w:fldChar w:fldCharType="end"/>
      </w:r>
    </w:p>
    <w:p w14:paraId="541D2607" w14:textId="77777777" w:rsidR="00414DC5" w:rsidRDefault="00414DC5">
      <w:pPr>
        <w:pStyle w:val="TM1"/>
        <w:tabs>
          <w:tab w:val="right" w:leader="dot" w:pos="9350"/>
        </w:tabs>
        <w:rPr>
          <w:rFonts w:asciiTheme="minorHAnsi" w:hAnsiTheme="minorHAnsi"/>
          <w:b w:val="0"/>
          <w:noProof/>
          <w:color w:val="auto"/>
          <w:sz w:val="22"/>
          <w:szCs w:val="22"/>
        </w:rPr>
      </w:pPr>
      <w:r>
        <w:rPr>
          <w:noProof/>
        </w:rPr>
        <w:t>IX. CIBLES POUR ATTEINDRE LES 90-90-90 ET PRIORITES DU PLAN D’ACCELERATION</w:t>
      </w:r>
      <w:r>
        <w:rPr>
          <w:noProof/>
        </w:rPr>
        <w:tab/>
      </w:r>
      <w:r>
        <w:rPr>
          <w:noProof/>
        </w:rPr>
        <w:fldChar w:fldCharType="begin"/>
      </w:r>
      <w:r>
        <w:rPr>
          <w:noProof/>
        </w:rPr>
        <w:instrText xml:space="preserve"> PAGEREF _Toc15906433 \h </w:instrText>
      </w:r>
      <w:r>
        <w:rPr>
          <w:noProof/>
        </w:rPr>
      </w:r>
      <w:r>
        <w:rPr>
          <w:noProof/>
        </w:rPr>
        <w:fldChar w:fldCharType="separate"/>
      </w:r>
      <w:r>
        <w:rPr>
          <w:noProof/>
        </w:rPr>
        <w:t>15</w:t>
      </w:r>
      <w:r>
        <w:rPr>
          <w:noProof/>
        </w:rPr>
        <w:fldChar w:fldCharType="end"/>
      </w:r>
    </w:p>
    <w:p w14:paraId="7D48BB1F" w14:textId="77777777" w:rsidR="002635B0" w:rsidRDefault="00E03BED" w:rsidP="00E03BED">
      <w:pPr>
        <w:rPr>
          <w:rFonts w:asciiTheme="majorHAnsi" w:hAnsiTheme="majorHAnsi"/>
          <w:bCs/>
          <w:color w:val="548DD4"/>
        </w:rPr>
      </w:pPr>
      <w:r>
        <w:rPr>
          <w:rFonts w:asciiTheme="majorHAnsi" w:hAnsiTheme="majorHAnsi"/>
          <w:bCs/>
          <w:color w:val="548DD4"/>
        </w:rPr>
        <w:fldChar w:fldCharType="end"/>
      </w:r>
    </w:p>
    <w:p w14:paraId="6A3F99A2" w14:textId="77777777" w:rsidR="002635B0" w:rsidRDefault="002635B0">
      <w:pPr>
        <w:spacing w:after="160" w:line="259" w:lineRule="auto"/>
        <w:rPr>
          <w:rFonts w:asciiTheme="majorHAnsi" w:hAnsiTheme="majorHAnsi"/>
          <w:bCs/>
          <w:color w:val="548DD4"/>
        </w:rPr>
      </w:pPr>
      <w:r>
        <w:rPr>
          <w:rFonts w:asciiTheme="majorHAnsi" w:hAnsiTheme="majorHAnsi"/>
          <w:bCs/>
          <w:color w:val="548DD4"/>
        </w:rPr>
        <w:br w:type="page"/>
      </w:r>
    </w:p>
    <w:p w14:paraId="24F5C1FB" w14:textId="77777777" w:rsidR="00E03BED" w:rsidRPr="00797C22" w:rsidRDefault="00E03BED" w:rsidP="00E03BED">
      <w:pPr>
        <w:rPr>
          <w:b/>
        </w:rPr>
      </w:pPr>
      <w:r w:rsidRPr="003D5D77">
        <w:rPr>
          <w:b/>
        </w:rPr>
        <w:lastRenderedPageBreak/>
        <w:t xml:space="preserve"> </w:t>
      </w:r>
      <w:r w:rsidRPr="00797C22">
        <w:rPr>
          <w:b/>
        </w:rPr>
        <w:t>Sigles et abréviations</w:t>
      </w:r>
    </w:p>
    <w:p w14:paraId="031F83C4" w14:textId="77777777" w:rsidR="00E03BED" w:rsidRDefault="00E03BED" w:rsidP="00E03BED">
      <w:pPr>
        <w:rPr>
          <w:rFonts w:ascii="Candara" w:hAnsi="Candara" w:cs="Times New Roman"/>
          <w:sz w:val="22"/>
          <w:szCs w:val="22"/>
          <w:lang w:eastAsia="en-US"/>
        </w:rPr>
      </w:pPr>
    </w:p>
    <w:p w14:paraId="6B0EB7EA" w14:textId="77777777" w:rsidR="00E03BED" w:rsidRDefault="00E03BED" w:rsidP="00E03BED">
      <w:pPr>
        <w:rPr>
          <w:rFonts w:ascii="Candara" w:hAnsi="Candara"/>
          <w:color w:val="000000"/>
          <w:sz w:val="22"/>
          <w:szCs w:val="22"/>
        </w:rPr>
      </w:pPr>
    </w:p>
    <w:tbl>
      <w:tblPr>
        <w:tblW w:w="0" w:type="auto"/>
        <w:tblLook w:val="04A0" w:firstRow="1" w:lastRow="0" w:firstColumn="1" w:lastColumn="0" w:noHBand="0" w:noVBand="1"/>
      </w:tblPr>
      <w:tblGrid>
        <w:gridCol w:w="2074"/>
        <w:gridCol w:w="6998"/>
      </w:tblGrid>
      <w:tr w:rsidR="00E03BED" w:rsidRPr="00675887" w14:paraId="5A895AB1" w14:textId="77777777" w:rsidTr="009A7758">
        <w:tc>
          <w:tcPr>
            <w:tcW w:w="2074" w:type="dxa"/>
            <w:shd w:val="clear" w:color="auto" w:fill="0000FF"/>
          </w:tcPr>
          <w:p w14:paraId="2EB27151" w14:textId="77777777" w:rsidR="00E03BED" w:rsidRPr="00675887" w:rsidRDefault="00E03BED" w:rsidP="009A7758">
            <w:pPr>
              <w:rPr>
                <w:rFonts w:ascii="Times New Roman" w:hAnsi="Times New Roman" w:cs="Times New Roman"/>
                <w:lang w:val="en-US"/>
              </w:rPr>
            </w:pPr>
            <w:r w:rsidRPr="00675887">
              <w:rPr>
                <w:rFonts w:ascii="Times New Roman" w:hAnsi="Times New Roman" w:cs="Times New Roman"/>
                <w:lang w:val="en-US"/>
              </w:rPr>
              <w:t xml:space="preserve">APS  </w:t>
            </w:r>
          </w:p>
        </w:tc>
        <w:tc>
          <w:tcPr>
            <w:tcW w:w="6998" w:type="dxa"/>
          </w:tcPr>
          <w:p w14:paraId="0EB1EACC"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Accompagnement psychosocial</w:t>
            </w:r>
          </w:p>
        </w:tc>
      </w:tr>
      <w:tr w:rsidR="00E03BED" w:rsidRPr="00675887" w14:paraId="5AD8E7E2" w14:textId="77777777" w:rsidTr="009A7758">
        <w:tc>
          <w:tcPr>
            <w:tcW w:w="2074" w:type="dxa"/>
            <w:shd w:val="clear" w:color="auto" w:fill="0000FF"/>
          </w:tcPr>
          <w:p w14:paraId="6269162F" w14:textId="77777777" w:rsidR="00E03BED" w:rsidRPr="00675887" w:rsidRDefault="00E03BED" w:rsidP="009A7758">
            <w:pPr>
              <w:rPr>
                <w:rFonts w:ascii="Times New Roman" w:hAnsi="Times New Roman" w:cs="Times New Roman"/>
              </w:rPr>
            </w:pPr>
            <w:r w:rsidRPr="00675887">
              <w:rPr>
                <w:rFonts w:ascii="Times New Roman" w:hAnsi="Times New Roman" w:cs="Times New Roman"/>
              </w:rPr>
              <w:t>ARV</w:t>
            </w:r>
          </w:p>
          <w:p w14:paraId="7484F9C3" w14:textId="77777777" w:rsidR="00E03BED" w:rsidRPr="00675887" w:rsidRDefault="00E03BED" w:rsidP="009A7758">
            <w:pPr>
              <w:rPr>
                <w:rFonts w:ascii="Times New Roman" w:hAnsi="Times New Roman" w:cs="Times New Roman"/>
              </w:rPr>
            </w:pPr>
            <w:r w:rsidRPr="00675887">
              <w:rPr>
                <w:rFonts w:ascii="Times New Roman" w:hAnsi="Times New Roman" w:cs="Times New Roman"/>
              </w:rPr>
              <w:t>BND</w:t>
            </w:r>
          </w:p>
        </w:tc>
        <w:tc>
          <w:tcPr>
            <w:tcW w:w="6998" w:type="dxa"/>
          </w:tcPr>
          <w:p w14:paraId="2C6EB53D"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Anti-Rétro Viraux</w:t>
            </w:r>
          </w:p>
          <w:p w14:paraId="2E2BA154"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Budget National de Développement</w:t>
            </w:r>
          </w:p>
        </w:tc>
      </w:tr>
      <w:tr w:rsidR="00E03BED" w:rsidRPr="00675887" w14:paraId="0B171794" w14:textId="77777777" w:rsidTr="009A7758">
        <w:tc>
          <w:tcPr>
            <w:tcW w:w="2074" w:type="dxa"/>
            <w:shd w:val="clear" w:color="auto" w:fill="0000FF"/>
          </w:tcPr>
          <w:p w14:paraId="4E44B72C" w14:textId="77777777" w:rsidR="00E03BED" w:rsidRPr="00675887" w:rsidRDefault="00E03BED" w:rsidP="009A7758">
            <w:pPr>
              <w:rPr>
                <w:rFonts w:ascii="Times New Roman" w:hAnsi="Times New Roman" w:cs="Times New Roman"/>
              </w:rPr>
            </w:pPr>
            <w:r w:rsidRPr="00675887">
              <w:rPr>
                <w:rFonts w:ascii="Times New Roman" w:hAnsi="Times New Roman" w:cs="Times New Roman"/>
              </w:rPr>
              <w:t>CDT</w:t>
            </w:r>
          </w:p>
        </w:tc>
        <w:tc>
          <w:tcPr>
            <w:tcW w:w="6998" w:type="dxa"/>
          </w:tcPr>
          <w:p w14:paraId="3D33E64E"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Centre de Dépistage de la Tuberculose</w:t>
            </w:r>
          </w:p>
        </w:tc>
      </w:tr>
      <w:tr w:rsidR="00E03BED" w:rsidRPr="00675887" w14:paraId="07385ADC" w14:textId="77777777" w:rsidTr="009A7758">
        <w:tc>
          <w:tcPr>
            <w:tcW w:w="2074" w:type="dxa"/>
            <w:shd w:val="clear" w:color="auto" w:fill="0000FF"/>
          </w:tcPr>
          <w:p w14:paraId="0FF0490F" w14:textId="77777777" w:rsidR="00E03BED" w:rsidRPr="00675887" w:rsidRDefault="00E03BED" w:rsidP="009A7758">
            <w:pPr>
              <w:rPr>
                <w:rFonts w:ascii="Times New Roman" w:hAnsi="Times New Roman" w:cs="Times New Roman"/>
              </w:rPr>
            </w:pPr>
            <w:r w:rsidRPr="00675887">
              <w:rPr>
                <w:rFonts w:ascii="Times New Roman" w:hAnsi="Times New Roman" w:cs="Times New Roman"/>
              </w:rPr>
              <w:t>CDV</w:t>
            </w:r>
          </w:p>
        </w:tc>
        <w:tc>
          <w:tcPr>
            <w:tcW w:w="6998" w:type="dxa"/>
          </w:tcPr>
          <w:p w14:paraId="102F7215"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Centre de Dépistage Volontaire</w:t>
            </w:r>
          </w:p>
        </w:tc>
      </w:tr>
      <w:tr w:rsidR="00E03BED" w:rsidRPr="00675887" w14:paraId="1773F368" w14:textId="77777777" w:rsidTr="009A7758">
        <w:tc>
          <w:tcPr>
            <w:tcW w:w="2074" w:type="dxa"/>
            <w:shd w:val="clear" w:color="auto" w:fill="0000FF"/>
          </w:tcPr>
          <w:p w14:paraId="18026B7D" w14:textId="77777777" w:rsidR="00E03BED" w:rsidRPr="00675887" w:rsidRDefault="00E03BED" w:rsidP="009A7758">
            <w:pPr>
              <w:rPr>
                <w:rFonts w:ascii="Times New Roman" w:hAnsi="Times New Roman" w:cs="Times New Roman"/>
              </w:rPr>
            </w:pPr>
            <w:r w:rsidRPr="00675887">
              <w:rPr>
                <w:rFonts w:ascii="Times New Roman" w:hAnsi="Times New Roman" w:cs="Times New Roman"/>
              </w:rPr>
              <w:t>CNS</w:t>
            </w:r>
          </w:p>
        </w:tc>
        <w:tc>
          <w:tcPr>
            <w:tcW w:w="6998" w:type="dxa"/>
          </w:tcPr>
          <w:p w14:paraId="2FE24B6A"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Cadre Stratégique National</w:t>
            </w:r>
          </w:p>
        </w:tc>
      </w:tr>
      <w:tr w:rsidR="00E03BED" w:rsidRPr="00675887" w14:paraId="609076D8" w14:textId="77777777" w:rsidTr="009A7758">
        <w:tc>
          <w:tcPr>
            <w:tcW w:w="2074" w:type="dxa"/>
            <w:shd w:val="clear" w:color="auto" w:fill="0000FF"/>
          </w:tcPr>
          <w:p w14:paraId="564DA4B6" w14:textId="77777777" w:rsidR="00E03BED" w:rsidRPr="00056D00" w:rsidRDefault="00E03BED" w:rsidP="009A7758">
            <w:pPr>
              <w:rPr>
                <w:rFonts w:ascii="Times New Roman" w:hAnsi="Times New Roman" w:cs="Times New Roman"/>
              </w:rPr>
            </w:pPr>
            <w:r w:rsidRPr="00056D00">
              <w:rPr>
                <w:rFonts w:ascii="Times New Roman" w:hAnsi="Times New Roman" w:cs="Times New Roman"/>
              </w:rPr>
              <w:t>CNLS</w:t>
            </w:r>
          </w:p>
        </w:tc>
        <w:tc>
          <w:tcPr>
            <w:tcW w:w="6998" w:type="dxa"/>
          </w:tcPr>
          <w:p w14:paraId="7BB4C257"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Comité National de Lutte contre le Sida</w:t>
            </w:r>
          </w:p>
        </w:tc>
      </w:tr>
      <w:tr w:rsidR="00E03BED" w:rsidRPr="00675887" w14:paraId="19912759" w14:textId="77777777" w:rsidTr="009A7758">
        <w:tc>
          <w:tcPr>
            <w:tcW w:w="2074" w:type="dxa"/>
            <w:shd w:val="clear" w:color="auto" w:fill="0000FF"/>
          </w:tcPr>
          <w:p w14:paraId="212C2466" w14:textId="77777777" w:rsidR="00E03BED" w:rsidRPr="00675887" w:rsidRDefault="00E03BED" w:rsidP="009A7758">
            <w:pPr>
              <w:rPr>
                <w:rFonts w:ascii="Times New Roman" w:hAnsi="Times New Roman" w:cs="Times New Roman"/>
              </w:rPr>
            </w:pPr>
            <w:r w:rsidRPr="00675887">
              <w:rPr>
                <w:rFonts w:ascii="Times New Roman" w:hAnsi="Times New Roman" w:cs="Times New Roman"/>
              </w:rPr>
              <w:t>CTA</w:t>
            </w:r>
          </w:p>
        </w:tc>
        <w:tc>
          <w:tcPr>
            <w:tcW w:w="6998" w:type="dxa"/>
          </w:tcPr>
          <w:p w14:paraId="357D0E0F"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 xml:space="preserve">Centre de Traitement Ambulatoire </w:t>
            </w:r>
          </w:p>
        </w:tc>
      </w:tr>
      <w:tr w:rsidR="00E03BED" w:rsidRPr="00675887" w14:paraId="5759C2A0" w14:textId="77777777" w:rsidTr="009A7758">
        <w:tc>
          <w:tcPr>
            <w:tcW w:w="2074" w:type="dxa"/>
            <w:shd w:val="clear" w:color="auto" w:fill="0000FF"/>
          </w:tcPr>
          <w:p w14:paraId="709F4943" w14:textId="77777777" w:rsidR="00E03BED" w:rsidRPr="00675887" w:rsidRDefault="00E03BED" w:rsidP="009A7758">
            <w:pPr>
              <w:rPr>
                <w:rFonts w:ascii="Times New Roman" w:hAnsi="Times New Roman" w:cs="Times New Roman"/>
              </w:rPr>
            </w:pPr>
            <w:r w:rsidRPr="00675887">
              <w:rPr>
                <w:rFonts w:ascii="Times New Roman" w:hAnsi="Times New Roman" w:cs="Times New Roman"/>
              </w:rPr>
              <w:t>CV</w:t>
            </w:r>
          </w:p>
        </w:tc>
        <w:tc>
          <w:tcPr>
            <w:tcW w:w="6998" w:type="dxa"/>
          </w:tcPr>
          <w:p w14:paraId="29CA7791"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Charge Virale</w:t>
            </w:r>
          </w:p>
        </w:tc>
      </w:tr>
      <w:tr w:rsidR="00E03BED" w:rsidRPr="00EC3262" w14:paraId="3793864E" w14:textId="77777777" w:rsidTr="009A7758">
        <w:tc>
          <w:tcPr>
            <w:tcW w:w="2074" w:type="dxa"/>
            <w:shd w:val="clear" w:color="auto" w:fill="0000FF"/>
          </w:tcPr>
          <w:p w14:paraId="298C62DF" w14:textId="77777777" w:rsidR="00E03BED" w:rsidRPr="00675887" w:rsidRDefault="00E03BED" w:rsidP="009A7758">
            <w:pPr>
              <w:rPr>
                <w:rFonts w:ascii="Times New Roman" w:hAnsi="Times New Roman" w:cs="Times New Roman"/>
              </w:rPr>
            </w:pPr>
            <w:r w:rsidRPr="00675887">
              <w:rPr>
                <w:rFonts w:ascii="Times New Roman" w:hAnsi="Times New Roman" w:cs="Times New Roman"/>
              </w:rPr>
              <w:t>DREAM</w:t>
            </w:r>
          </w:p>
        </w:tc>
        <w:tc>
          <w:tcPr>
            <w:tcW w:w="6998" w:type="dxa"/>
          </w:tcPr>
          <w:p w14:paraId="09B9CA53" w14:textId="77777777" w:rsidR="00E03BED" w:rsidRPr="003D5D77" w:rsidRDefault="00E03BED" w:rsidP="009A7758">
            <w:pPr>
              <w:rPr>
                <w:rFonts w:ascii="Candara" w:hAnsi="Candara" w:cs="Times New Roman"/>
                <w:sz w:val="22"/>
                <w:szCs w:val="22"/>
                <w:lang w:val="en-US"/>
              </w:rPr>
            </w:pPr>
            <w:r w:rsidRPr="003D5D77">
              <w:rPr>
                <w:rFonts w:ascii="Candara" w:hAnsi="Candara" w:cs="Times New Roman"/>
                <w:sz w:val="22"/>
                <w:szCs w:val="22"/>
                <w:lang w:val="en-US"/>
              </w:rPr>
              <w:t xml:space="preserve">Disease Relief through Excellent and Advanced Means » (ONG de la </w:t>
            </w:r>
            <w:proofErr w:type="spellStart"/>
            <w:r w:rsidRPr="003D5D77">
              <w:rPr>
                <w:rFonts w:ascii="Candara" w:hAnsi="Candara" w:cs="Times New Roman"/>
                <w:sz w:val="22"/>
                <w:szCs w:val="22"/>
                <w:lang w:val="en-US"/>
              </w:rPr>
              <w:t>Communauté</w:t>
            </w:r>
            <w:proofErr w:type="spellEnd"/>
            <w:r w:rsidRPr="003D5D77">
              <w:rPr>
                <w:rFonts w:ascii="Candara" w:hAnsi="Candara" w:cs="Times New Roman"/>
                <w:sz w:val="22"/>
                <w:szCs w:val="22"/>
                <w:lang w:val="en-US"/>
              </w:rPr>
              <w:t xml:space="preserve"> Sant ’Egidio)</w:t>
            </w:r>
          </w:p>
        </w:tc>
      </w:tr>
      <w:tr w:rsidR="00E03BED" w:rsidRPr="00675887" w14:paraId="79D67191" w14:textId="77777777" w:rsidTr="009A7758">
        <w:tc>
          <w:tcPr>
            <w:tcW w:w="2074" w:type="dxa"/>
            <w:shd w:val="clear" w:color="auto" w:fill="0000FF"/>
          </w:tcPr>
          <w:p w14:paraId="319421FF" w14:textId="77777777" w:rsidR="00E03BED" w:rsidRPr="00675887" w:rsidRDefault="00E03BED" w:rsidP="009A7758">
            <w:pPr>
              <w:rPr>
                <w:rFonts w:ascii="Times New Roman" w:hAnsi="Times New Roman" w:cs="Times New Roman"/>
              </w:rPr>
            </w:pPr>
            <w:r w:rsidRPr="00675887">
              <w:rPr>
                <w:rFonts w:ascii="Times New Roman" w:hAnsi="Times New Roman" w:cs="Times New Roman"/>
              </w:rPr>
              <w:t>EDS</w:t>
            </w:r>
          </w:p>
        </w:tc>
        <w:tc>
          <w:tcPr>
            <w:tcW w:w="6998" w:type="dxa"/>
          </w:tcPr>
          <w:p w14:paraId="1AE90E4D"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Enquête démographique de Santé</w:t>
            </w:r>
          </w:p>
        </w:tc>
      </w:tr>
      <w:tr w:rsidR="00E03BED" w:rsidRPr="00675887" w14:paraId="022DA65D" w14:textId="77777777" w:rsidTr="009A7758">
        <w:tc>
          <w:tcPr>
            <w:tcW w:w="2074" w:type="dxa"/>
            <w:shd w:val="clear" w:color="auto" w:fill="0000FF"/>
          </w:tcPr>
          <w:p w14:paraId="32CFC076" w14:textId="77777777" w:rsidR="00E03BED" w:rsidRPr="00675887" w:rsidRDefault="00E03BED" w:rsidP="009A7758">
            <w:pPr>
              <w:rPr>
                <w:rFonts w:ascii="Times New Roman" w:hAnsi="Times New Roman" w:cs="Times New Roman"/>
              </w:rPr>
            </w:pPr>
            <w:r w:rsidRPr="00675887">
              <w:rPr>
                <w:rFonts w:ascii="Times New Roman" w:hAnsi="Times New Roman" w:cs="Times New Roman"/>
              </w:rPr>
              <w:t>ESCOMB</w:t>
            </w:r>
          </w:p>
        </w:tc>
        <w:tc>
          <w:tcPr>
            <w:tcW w:w="6998" w:type="dxa"/>
          </w:tcPr>
          <w:p w14:paraId="67174136"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Enquête Nationale de Surveillance Comportementale et Biologique</w:t>
            </w:r>
          </w:p>
        </w:tc>
      </w:tr>
      <w:tr w:rsidR="00E03BED" w:rsidRPr="00675887" w14:paraId="548B1EFC" w14:textId="77777777" w:rsidTr="009A7758">
        <w:tc>
          <w:tcPr>
            <w:tcW w:w="2074" w:type="dxa"/>
            <w:shd w:val="clear" w:color="auto" w:fill="0000FF"/>
          </w:tcPr>
          <w:p w14:paraId="2C53E6EC" w14:textId="77777777" w:rsidR="00E03BED" w:rsidRPr="00675887" w:rsidRDefault="00E03BED" w:rsidP="009A7758">
            <w:pPr>
              <w:rPr>
                <w:rFonts w:ascii="Times New Roman" w:hAnsi="Times New Roman" w:cs="Times New Roman"/>
              </w:rPr>
            </w:pPr>
            <w:r w:rsidRPr="00675887">
              <w:rPr>
                <w:rFonts w:ascii="Times New Roman" w:hAnsi="Times New Roman" w:cs="Times New Roman"/>
              </w:rPr>
              <w:t>GTSE</w:t>
            </w:r>
          </w:p>
          <w:p w14:paraId="29CEBADD" w14:textId="77777777" w:rsidR="00E03BED" w:rsidRPr="00675887" w:rsidRDefault="00E03BED" w:rsidP="009A7758">
            <w:pPr>
              <w:rPr>
                <w:rFonts w:ascii="Times New Roman" w:hAnsi="Times New Roman" w:cs="Times New Roman"/>
              </w:rPr>
            </w:pPr>
            <w:r w:rsidRPr="00675887">
              <w:rPr>
                <w:rFonts w:ascii="Times New Roman" w:hAnsi="Times New Roman" w:cs="Times New Roman"/>
              </w:rPr>
              <w:t>HR</w:t>
            </w:r>
          </w:p>
        </w:tc>
        <w:tc>
          <w:tcPr>
            <w:tcW w:w="6998" w:type="dxa"/>
          </w:tcPr>
          <w:p w14:paraId="7AE37391"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Groupe Technique en Suivi Evaluation</w:t>
            </w:r>
          </w:p>
          <w:p w14:paraId="02D5863A"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Hôpital Régional</w:t>
            </w:r>
          </w:p>
        </w:tc>
      </w:tr>
      <w:tr w:rsidR="00E03BED" w:rsidRPr="00675887" w14:paraId="23B47271" w14:textId="77777777" w:rsidTr="009A7758">
        <w:tc>
          <w:tcPr>
            <w:tcW w:w="2074" w:type="dxa"/>
            <w:shd w:val="clear" w:color="auto" w:fill="0000FF"/>
          </w:tcPr>
          <w:p w14:paraId="78308110" w14:textId="77777777" w:rsidR="00E03BED" w:rsidRPr="00675887" w:rsidRDefault="00E03BED" w:rsidP="009A7758">
            <w:pPr>
              <w:rPr>
                <w:rFonts w:ascii="Times New Roman" w:hAnsi="Times New Roman" w:cs="Times New Roman"/>
              </w:rPr>
            </w:pPr>
            <w:r w:rsidRPr="00675887">
              <w:rPr>
                <w:rFonts w:ascii="Times New Roman" w:hAnsi="Times New Roman" w:cs="Times New Roman"/>
              </w:rPr>
              <w:t>HSH</w:t>
            </w:r>
          </w:p>
        </w:tc>
        <w:tc>
          <w:tcPr>
            <w:tcW w:w="6998" w:type="dxa"/>
          </w:tcPr>
          <w:p w14:paraId="77D439A5"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Homme ayant des relaxions Sexuels avec les Hommes</w:t>
            </w:r>
          </w:p>
        </w:tc>
      </w:tr>
      <w:tr w:rsidR="00E03BED" w:rsidRPr="00675887" w14:paraId="55605D83" w14:textId="77777777" w:rsidTr="009A7758">
        <w:tc>
          <w:tcPr>
            <w:tcW w:w="2074" w:type="dxa"/>
            <w:shd w:val="clear" w:color="auto" w:fill="0000FF"/>
          </w:tcPr>
          <w:p w14:paraId="5C972A7F" w14:textId="77777777" w:rsidR="00E03BED" w:rsidRPr="00056D00" w:rsidRDefault="00E03BED" w:rsidP="009A7758">
            <w:pPr>
              <w:rPr>
                <w:rFonts w:ascii="Times New Roman" w:hAnsi="Times New Roman" w:cs="Times New Roman"/>
              </w:rPr>
            </w:pPr>
            <w:r w:rsidRPr="00056D00">
              <w:rPr>
                <w:rFonts w:ascii="Times New Roman" w:hAnsi="Times New Roman" w:cs="Times New Roman"/>
              </w:rPr>
              <w:t>INSP</w:t>
            </w:r>
          </w:p>
          <w:p w14:paraId="2E4634FC" w14:textId="77777777" w:rsidR="00E03BED" w:rsidRPr="00675887" w:rsidRDefault="00E03BED" w:rsidP="009A7758">
            <w:pPr>
              <w:rPr>
                <w:rFonts w:ascii="Times New Roman" w:hAnsi="Times New Roman" w:cs="Times New Roman"/>
              </w:rPr>
            </w:pPr>
            <w:r w:rsidRPr="00056D00">
              <w:rPr>
                <w:rFonts w:ascii="Times New Roman" w:hAnsi="Times New Roman" w:cs="Times New Roman"/>
              </w:rPr>
              <w:t>ICN</w:t>
            </w:r>
          </w:p>
        </w:tc>
        <w:tc>
          <w:tcPr>
            <w:tcW w:w="6998" w:type="dxa"/>
          </w:tcPr>
          <w:p w14:paraId="566B8222"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Institut National de Santé Publique</w:t>
            </w:r>
          </w:p>
          <w:p w14:paraId="756C4357"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Instance Coordination Nationale</w:t>
            </w:r>
          </w:p>
        </w:tc>
      </w:tr>
      <w:tr w:rsidR="00E03BED" w:rsidRPr="00675887" w14:paraId="287678C3" w14:textId="77777777" w:rsidTr="009A7758">
        <w:tc>
          <w:tcPr>
            <w:tcW w:w="2074" w:type="dxa"/>
            <w:shd w:val="clear" w:color="auto" w:fill="0000FF"/>
          </w:tcPr>
          <w:p w14:paraId="6CF03CA2" w14:textId="77777777" w:rsidR="00E03BED" w:rsidRPr="00675887" w:rsidRDefault="00E03BED" w:rsidP="009A7758">
            <w:pPr>
              <w:rPr>
                <w:rFonts w:ascii="Times New Roman" w:hAnsi="Times New Roman" w:cs="Times New Roman"/>
              </w:rPr>
            </w:pPr>
            <w:r w:rsidRPr="00675887">
              <w:rPr>
                <w:rFonts w:ascii="Times New Roman" w:hAnsi="Times New Roman" w:cs="Times New Roman"/>
              </w:rPr>
              <w:t>IO</w:t>
            </w:r>
          </w:p>
        </w:tc>
        <w:tc>
          <w:tcPr>
            <w:tcW w:w="6998" w:type="dxa"/>
          </w:tcPr>
          <w:p w14:paraId="57530F15"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Infections Opportunistes</w:t>
            </w:r>
          </w:p>
        </w:tc>
      </w:tr>
      <w:tr w:rsidR="00E03BED" w:rsidRPr="00675887" w14:paraId="37DD88FA" w14:textId="77777777" w:rsidTr="009A7758">
        <w:tc>
          <w:tcPr>
            <w:tcW w:w="2074" w:type="dxa"/>
            <w:shd w:val="clear" w:color="auto" w:fill="0000FF"/>
          </w:tcPr>
          <w:p w14:paraId="6403AC66" w14:textId="77777777" w:rsidR="00E03BED" w:rsidRPr="00056D00" w:rsidRDefault="00E03BED" w:rsidP="009A7758">
            <w:pPr>
              <w:rPr>
                <w:rFonts w:ascii="Times New Roman" w:hAnsi="Times New Roman" w:cs="Times New Roman"/>
              </w:rPr>
            </w:pPr>
            <w:r w:rsidRPr="00056D00">
              <w:rPr>
                <w:rFonts w:ascii="Times New Roman" w:hAnsi="Times New Roman" w:cs="Times New Roman"/>
              </w:rPr>
              <w:t>ISF</w:t>
            </w:r>
          </w:p>
        </w:tc>
        <w:tc>
          <w:tcPr>
            <w:tcW w:w="6998" w:type="dxa"/>
          </w:tcPr>
          <w:p w14:paraId="7BF9C3E8"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Indice Synthétique de Fécondité</w:t>
            </w:r>
          </w:p>
        </w:tc>
      </w:tr>
      <w:tr w:rsidR="00E03BED" w:rsidRPr="00675887" w14:paraId="6C852717" w14:textId="77777777" w:rsidTr="009A7758">
        <w:tc>
          <w:tcPr>
            <w:tcW w:w="2074" w:type="dxa"/>
            <w:shd w:val="clear" w:color="auto" w:fill="0000FF"/>
          </w:tcPr>
          <w:p w14:paraId="48DCB5A9" w14:textId="77777777" w:rsidR="00E03BED" w:rsidRPr="003172F9" w:rsidRDefault="00E03BED" w:rsidP="009A7758">
            <w:pPr>
              <w:rPr>
                <w:rFonts w:ascii="Times New Roman" w:hAnsi="Times New Roman" w:cs="Times New Roman"/>
                <w:lang w:val="en-US"/>
              </w:rPr>
            </w:pPr>
            <w:r w:rsidRPr="003172F9">
              <w:rPr>
                <w:rFonts w:ascii="Times New Roman" w:hAnsi="Times New Roman" w:cs="Times New Roman"/>
                <w:lang w:val="en-US"/>
              </w:rPr>
              <w:t>OBC</w:t>
            </w:r>
          </w:p>
          <w:p w14:paraId="5632023D" w14:textId="77777777" w:rsidR="00E03BED" w:rsidRPr="003172F9" w:rsidRDefault="00E03BED" w:rsidP="009A7758">
            <w:pPr>
              <w:rPr>
                <w:rFonts w:ascii="Times New Roman" w:hAnsi="Times New Roman" w:cs="Times New Roman"/>
                <w:lang w:val="en-US"/>
              </w:rPr>
            </w:pPr>
            <w:r w:rsidRPr="003172F9">
              <w:rPr>
                <w:rFonts w:ascii="Times New Roman" w:hAnsi="Times New Roman" w:cs="Times New Roman"/>
                <w:lang w:val="en-US"/>
              </w:rPr>
              <w:t>ONG</w:t>
            </w:r>
          </w:p>
          <w:p w14:paraId="578CC2F0" w14:textId="77777777" w:rsidR="00E03BED" w:rsidRPr="003172F9" w:rsidRDefault="00E03BED" w:rsidP="009A7758">
            <w:pPr>
              <w:rPr>
                <w:rFonts w:ascii="Times New Roman" w:hAnsi="Times New Roman" w:cs="Times New Roman"/>
                <w:lang w:val="en-US"/>
              </w:rPr>
            </w:pPr>
            <w:r w:rsidRPr="003172F9">
              <w:rPr>
                <w:rFonts w:ascii="Times New Roman" w:hAnsi="Times New Roman" w:cs="Times New Roman"/>
                <w:lang w:val="en-US"/>
              </w:rPr>
              <w:t>ONUSIDA</w:t>
            </w:r>
          </w:p>
          <w:p w14:paraId="4E1F56CA" w14:textId="77777777" w:rsidR="00E03BED" w:rsidRPr="003172F9" w:rsidRDefault="00E03BED" w:rsidP="009A7758">
            <w:pPr>
              <w:rPr>
                <w:rFonts w:ascii="Times New Roman" w:hAnsi="Times New Roman" w:cs="Times New Roman"/>
                <w:lang w:val="en-US"/>
              </w:rPr>
            </w:pPr>
            <w:r w:rsidRPr="003172F9">
              <w:rPr>
                <w:rFonts w:ascii="Times New Roman" w:hAnsi="Times New Roman" w:cs="Times New Roman"/>
                <w:lang w:val="en-US"/>
              </w:rPr>
              <w:t>PAO</w:t>
            </w:r>
          </w:p>
          <w:p w14:paraId="235168EA" w14:textId="77777777" w:rsidR="00E03BED" w:rsidRPr="003172F9" w:rsidRDefault="00E03BED" w:rsidP="009A7758">
            <w:pPr>
              <w:rPr>
                <w:rFonts w:ascii="Times New Roman" w:hAnsi="Times New Roman" w:cs="Times New Roman"/>
                <w:lang w:val="en-US"/>
              </w:rPr>
            </w:pPr>
            <w:r w:rsidRPr="003172F9">
              <w:rPr>
                <w:rFonts w:ascii="Times New Roman" w:hAnsi="Times New Roman" w:cs="Times New Roman"/>
                <w:lang w:val="en-US"/>
              </w:rPr>
              <w:t>PCR</w:t>
            </w:r>
          </w:p>
          <w:p w14:paraId="05329135" w14:textId="77777777" w:rsidR="00E03BED" w:rsidRPr="003172F9" w:rsidRDefault="00E03BED" w:rsidP="009A7758">
            <w:pPr>
              <w:rPr>
                <w:rFonts w:ascii="Times New Roman" w:hAnsi="Times New Roman" w:cs="Times New Roman"/>
                <w:lang w:val="en-US"/>
              </w:rPr>
            </w:pPr>
            <w:r w:rsidRPr="003172F9">
              <w:rPr>
                <w:rFonts w:ascii="Times New Roman" w:hAnsi="Times New Roman" w:cs="Times New Roman"/>
                <w:lang w:val="en-US"/>
              </w:rPr>
              <w:t>PECP</w:t>
            </w:r>
          </w:p>
          <w:p w14:paraId="7FF95A91" w14:textId="77777777" w:rsidR="00E03BED" w:rsidRPr="003172F9" w:rsidRDefault="00E03BED" w:rsidP="009A7758">
            <w:pPr>
              <w:rPr>
                <w:rFonts w:ascii="Times New Roman" w:hAnsi="Times New Roman" w:cs="Times New Roman"/>
                <w:lang w:val="en-US"/>
              </w:rPr>
            </w:pPr>
            <w:r w:rsidRPr="003172F9">
              <w:rPr>
                <w:rFonts w:ascii="Times New Roman" w:hAnsi="Times New Roman" w:cs="Times New Roman"/>
                <w:lang w:val="en-US"/>
              </w:rPr>
              <w:t>PEV</w:t>
            </w:r>
          </w:p>
          <w:p w14:paraId="1C147559" w14:textId="77777777" w:rsidR="00E03BED" w:rsidRPr="003172F9" w:rsidRDefault="00E03BED" w:rsidP="009A7758">
            <w:pPr>
              <w:rPr>
                <w:rFonts w:ascii="Times New Roman" w:hAnsi="Times New Roman" w:cs="Times New Roman"/>
                <w:lang w:val="en-US"/>
              </w:rPr>
            </w:pPr>
            <w:r w:rsidRPr="003172F9">
              <w:rPr>
                <w:rFonts w:ascii="Times New Roman" w:hAnsi="Times New Roman" w:cs="Times New Roman"/>
                <w:lang w:val="en-US"/>
              </w:rPr>
              <w:t>PNLAT</w:t>
            </w:r>
          </w:p>
          <w:p w14:paraId="57E696CC" w14:textId="77777777" w:rsidR="00E03BED" w:rsidRPr="003172F9" w:rsidRDefault="00E03BED" w:rsidP="009A7758">
            <w:pPr>
              <w:rPr>
                <w:rFonts w:ascii="Times New Roman" w:hAnsi="Times New Roman" w:cs="Times New Roman"/>
                <w:lang w:val="en-US"/>
              </w:rPr>
            </w:pPr>
            <w:r w:rsidRPr="003172F9">
              <w:rPr>
                <w:rFonts w:ascii="Times New Roman" w:hAnsi="Times New Roman" w:cs="Times New Roman"/>
                <w:lang w:val="en-US"/>
              </w:rPr>
              <w:t>PODI</w:t>
            </w:r>
          </w:p>
          <w:p w14:paraId="4433E42E" w14:textId="77777777" w:rsidR="00E03BED" w:rsidRPr="003172F9" w:rsidRDefault="00E03BED" w:rsidP="009A7758">
            <w:pPr>
              <w:rPr>
                <w:rFonts w:ascii="Times New Roman" w:hAnsi="Times New Roman" w:cs="Times New Roman"/>
                <w:lang w:val="en-US"/>
              </w:rPr>
            </w:pPr>
            <w:r w:rsidRPr="003172F9">
              <w:rPr>
                <w:rFonts w:ascii="Times New Roman" w:hAnsi="Times New Roman" w:cs="Times New Roman"/>
                <w:lang w:val="en-US"/>
              </w:rPr>
              <w:t>PS</w:t>
            </w:r>
          </w:p>
          <w:p w14:paraId="15C58AE9" w14:textId="77777777" w:rsidR="00E03BED" w:rsidRPr="003172F9" w:rsidRDefault="00E03BED" w:rsidP="009A7758">
            <w:pPr>
              <w:rPr>
                <w:rFonts w:ascii="Times New Roman" w:hAnsi="Times New Roman" w:cs="Times New Roman"/>
                <w:lang w:val="en-US"/>
              </w:rPr>
            </w:pPr>
            <w:r w:rsidRPr="003172F9">
              <w:rPr>
                <w:rFonts w:ascii="Times New Roman" w:hAnsi="Times New Roman" w:cs="Times New Roman"/>
                <w:lang w:val="en-US"/>
              </w:rPr>
              <w:t>PTF</w:t>
            </w:r>
          </w:p>
          <w:p w14:paraId="566ECA16" w14:textId="77777777" w:rsidR="00E03BED" w:rsidRPr="003172F9" w:rsidRDefault="00E03BED" w:rsidP="009A7758">
            <w:pPr>
              <w:rPr>
                <w:rFonts w:ascii="Times New Roman" w:hAnsi="Times New Roman" w:cs="Times New Roman"/>
                <w:lang w:val="en-US"/>
              </w:rPr>
            </w:pPr>
            <w:r w:rsidRPr="003172F9">
              <w:rPr>
                <w:rFonts w:ascii="Times New Roman" w:hAnsi="Times New Roman" w:cs="Times New Roman"/>
                <w:lang w:val="en-US"/>
              </w:rPr>
              <w:t>PTME</w:t>
            </w:r>
          </w:p>
          <w:p w14:paraId="734B85BB" w14:textId="77777777" w:rsidR="00E03BED" w:rsidRPr="003172F9" w:rsidRDefault="00E03BED" w:rsidP="009A7758">
            <w:pPr>
              <w:rPr>
                <w:rFonts w:ascii="Times New Roman" w:hAnsi="Times New Roman" w:cs="Times New Roman"/>
                <w:lang w:val="en-US"/>
              </w:rPr>
            </w:pPr>
            <w:r w:rsidRPr="003172F9">
              <w:rPr>
                <w:rFonts w:ascii="Times New Roman" w:hAnsi="Times New Roman" w:cs="Times New Roman"/>
                <w:lang w:val="en-US"/>
              </w:rPr>
              <w:t>PVVIH</w:t>
            </w:r>
          </w:p>
          <w:p w14:paraId="33564BAC" w14:textId="77777777" w:rsidR="00E03BED" w:rsidRPr="00675887" w:rsidRDefault="00E03BED" w:rsidP="009A7758">
            <w:pPr>
              <w:rPr>
                <w:rFonts w:ascii="Times New Roman" w:hAnsi="Times New Roman" w:cs="Times New Roman"/>
              </w:rPr>
            </w:pPr>
            <w:r w:rsidRPr="00675887">
              <w:rPr>
                <w:rFonts w:ascii="Times New Roman" w:hAnsi="Times New Roman" w:cs="Times New Roman"/>
              </w:rPr>
              <w:t>R6M</w:t>
            </w:r>
          </w:p>
        </w:tc>
        <w:tc>
          <w:tcPr>
            <w:tcW w:w="6998" w:type="dxa"/>
          </w:tcPr>
          <w:p w14:paraId="10A1DF54"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Organisation à Base Communautaire</w:t>
            </w:r>
          </w:p>
          <w:p w14:paraId="2D0144D3"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Organisation Non Gouvernementale</w:t>
            </w:r>
          </w:p>
          <w:p w14:paraId="24BA2C0B"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Programme Commun des Nations Unies contre le Sida</w:t>
            </w:r>
          </w:p>
          <w:p w14:paraId="15387039"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Plan d’Action Opérationnel</w:t>
            </w:r>
          </w:p>
          <w:p w14:paraId="31360676"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Polymérase Chaine Réaction</w:t>
            </w:r>
          </w:p>
          <w:p w14:paraId="00A2A8D9"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Prise En Charge Pédiatrique</w:t>
            </w:r>
          </w:p>
          <w:p w14:paraId="7B344759"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Programme Elargie de Vaccination</w:t>
            </w:r>
          </w:p>
          <w:p w14:paraId="1FA21C38"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Programme National de Lutte Antituberculeux</w:t>
            </w:r>
          </w:p>
          <w:p w14:paraId="29214B2A"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 xml:space="preserve"> Poste de Distribution des Intrants</w:t>
            </w:r>
          </w:p>
          <w:p w14:paraId="7D4D5449"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Professionnel de Sexe</w:t>
            </w:r>
          </w:p>
          <w:p w14:paraId="1AA7600B"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Partenaires Techniques et Financiers</w:t>
            </w:r>
          </w:p>
          <w:p w14:paraId="221C52A6"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Prévention de la Transmission Mère et Enfant</w:t>
            </w:r>
          </w:p>
          <w:p w14:paraId="339B7D2D"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Personnes Vivants avec le Virus de l’Immuno- Déficience Humaine</w:t>
            </w:r>
          </w:p>
          <w:p w14:paraId="6F1DFD23"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Rendez Vous tous les 6 mois</w:t>
            </w:r>
          </w:p>
        </w:tc>
      </w:tr>
      <w:tr w:rsidR="00E03BED" w:rsidRPr="00675887" w14:paraId="426308D5" w14:textId="77777777" w:rsidTr="009A7758">
        <w:tc>
          <w:tcPr>
            <w:tcW w:w="2074" w:type="dxa"/>
            <w:shd w:val="clear" w:color="auto" w:fill="0000FF"/>
          </w:tcPr>
          <w:p w14:paraId="4B399577" w14:textId="77777777" w:rsidR="00E03BED" w:rsidRPr="00675887" w:rsidRDefault="00E03BED" w:rsidP="009A7758">
            <w:pPr>
              <w:rPr>
                <w:rFonts w:ascii="Times New Roman" w:hAnsi="Times New Roman" w:cs="Times New Roman"/>
              </w:rPr>
            </w:pPr>
            <w:r w:rsidRPr="00675887">
              <w:rPr>
                <w:rFonts w:ascii="Times New Roman" w:hAnsi="Times New Roman" w:cs="Times New Roman"/>
              </w:rPr>
              <w:t>REGAP+</w:t>
            </w:r>
          </w:p>
        </w:tc>
        <w:tc>
          <w:tcPr>
            <w:tcW w:w="6998" w:type="dxa"/>
          </w:tcPr>
          <w:p w14:paraId="7B27D6A9"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Réseau Guinée des Associations des Personnes Vivant avec le VIH</w:t>
            </w:r>
          </w:p>
        </w:tc>
      </w:tr>
      <w:tr w:rsidR="00E03BED" w:rsidRPr="00675887" w14:paraId="69EB27FA" w14:textId="77777777" w:rsidTr="009A7758">
        <w:tc>
          <w:tcPr>
            <w:tcW w:w="2074" w:type="dxa"/>
            <w:shd w:val="clear" w:color="auto" w:fill="0000FF"/>
          </w:tcPr>
          <w:p w14:paraId="6C569B88" w14:textId="77777777" w:rsidR="00E03BED" w:rsidRPr="00675887" w:rsidRDefault="00E03BED" w:rsidP="009A7758">
            <w:pPr>
              <w:rPr>
                <w:rFonts w:ascii="Times New Roman" w:hAnsi="Times New Roman" w:cs="Times New Roman"/>
              </w:rPr>
            </w:pPr>
            <w:r w:rsidRPr="00675887">
              <w:rPr>
                <w:rFonts w:ascii="Times New Roman" w:hAnsi="Times New Roman" w:cs="Times New Roman"/>
              </w:rPr>
              <w:t>S&amp;E</w:t>
            </w:r>
          </w:p>
          <w:p w14:paraId="5199AD89" w14:textId="77777777" w:rsidR="00E03BED" w:rsidRPr="00675887" w:rsidRDefault="00E03BED" w:rsidP="009A7758">
            <w:pPr>
              <w:rPr>
                <w:rFonts w:ascii="Times New Roman" w:hAnsi="Times New Roman" w:cs="Times New Roman"/>
              </w:rPr>
            </w:pPr>
            <w:r w:rsidRPr="00675887">
              <w:rPr>
                <w:rFonts w:ascii="Times New Roman" w:hAnsi="Times New Roman" w:cs="Times New Roman"/>
              </w:rPr>
              <w:t>SE/CNLS</w:t>
            </w:r>
          </w:p>
          <w:p w14:paraId="0FA347CD" w14:textId="77777777" w:rsidR="00E03BED" w:rsidRPr="00675887" w:rsidRDefault="00E03BED" w:rsidP="009A7758">
            <w:pPr>
              <w:rPr>
                <w:rFonts w:ascii="Times New Roman" w:hAnsi="Times New Roman" w:cs="Times New Roman"/>
              </w:rPr>
            </w:pPr>
            <w:r w:rsidRPr="00675887">
              <w:rPr>
                <w:rFonts w:ascii="Times New Roman" w:hAnsi="Times New Roman" w:cs="Times New Roman"/>
              </w:rPr>
              <w:t>SIDA</w:t>
            </w:r>
          </w:p>
          <w:p w14:paraId="06062D96" w14:textId="77777777" w:rsidR="00E03BED" w:rsidRPr="00056D00" w:rsidRDefault="00E03BED" w:rsidP="009A7758">
            <w:pPr>
              <w:rPr>
                <w:rFonts w:ascii="Times New Roman" w:hAnsi="Times New Roman" w:cs="Times New Roman"/>
              </w:rPr>
            </w:pPr>
            <w:r w:rsidRPr="00056D00">
              <w:rPr>
                <w:rFonts w:ascii="Times New Roman" w:hAnsi="Times New Roman" w:cs="Times New Roman"/>
              </w:rPr>
              <w:t>TARV</w:t>
            </w:r>
          </w:p>
          <w:p w14:paraId="360F8A1E" w14:textId="77777777" w:rsidR="00E03BED" w:rsidRPr="00056D00" w:rsidRDefault="00E03BED" w:rsidP="009A7758">
            <w:pPr>
              <w:rPr>
                <w:rFonts w:ascii="Times New Roman" w:hAnsi="Times New Roman" w:cs="Times New Roman"/>
              </w:rPr>
            </w:pPr>
            <w:r w:rsidRPr="00056D00">
              <w:rPr>
                <w:rFonts w:ascii="Times New Roman" w:hAnsi="Times New Roman" w:cs="Times New Roman"/>
              </w:rPr>
              <w:t>TB/VIH</w:t>
            </w:r>
          </w:p>
          <w:p w14:paraId="0D326456" w14:textId="77777777" w:rsidR="00E03BED" w:rsidRPr="00056D00" w:rsidRDefault="00E03BED" w:rsidP="009A7758">
            <w:pPr>
              <w:rPr>
                <w:rFonts w:ascii="Times New Roman" w:hAnsi="Times New Roman" w:cs="Times New Roman"/>
              </w:rPr>
            </w:pPr>
            <w:r w:rsidRPr="00056D00">
              <w:rPr>
                <w:rFonts w:ascii="Times New Roman" w:hAnsi="Times New Roman" w:cs="Times New Roman"/>
              </w:rPr>
              <w:t>UD</w:t>
            </w:r>
          </w:p>
          <w:p w14:paraId="613FFD00" w14:textId="77777777" w:rsidR="00E03BED" w:rsidRPr="00056D00" w:rsidRDefault="00E03BED" w:rsidP="009A7758">
            <w:pPr>
              <w:rPr>
                <w:rFonts w:ascii="Times New Roman" w:hAnsi="Times New Roman" w:cs="Times New Roman"/>
              </w:rPr>
            </w:pPr>
            <w:r w:rsidRPr="00056D00">
              <w:rPr>
                <w:rFonts w:ascii="Times New Roman" w:hAnsi="Times New Roman" w:cs="Times New Roman"/>
              </w:rPr>
              <w:t>VIH</w:t>
            </w:r>
          </w:p>
        </w:tc>
        <w:tc>
          <w:tcPr>
            <w:tcW w:w="6998" w:type="dxa"/>
          </w:tcPr>
          <w:p w14:paraId="6ED9C6F5"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Suivi et Evaluation</w:t>
            </w:r>
          </w:p>
          <w:p w14:paraId="33B29CAA"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Secrétariat Exécutif du Comité National de Lutte Contre le Sida</w:t>
            </w:r>
          </w:p>
          <w:p w14:paraId="663102BE"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Syndrome Immunodéficitaire acquis</w:t>
            </w:r>
          </w:p>
          <w:p w14:paraId="01431CD4"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Traitement ARV</w:t>
            </w:r>
          </w:p>
          <w:p w14:paraId="06B5906A"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Tuberculose et VIH</w:t>
            </w:r>
          </w:p>
          <w:p w14:paraId="7E71EA1A"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Usager de Drogue</w:t>
            </w:r>
          </w:p>
          <w:p w14:paraId="732EEA9B" w14:textId="77777777" w:rsidR="00E03BED" w:rsidRPr="003D5D77" w:rsidRDefault="00E03BED" w:rsidP="009A7758">
            <w:pPr>
              <w:rPr>
                <w:rFonts w:ascii="Candara" w:hAnsi="Candara" w:cs="Times New Roman"/>
                <w:sz w:val="22"/>
                <w:szCs w:val="22"/>
              </w:rPr>
            </w:pPr>
            <w:r w:rsidRPr="003D5D77">
              <w:rPr>
                <w:rFonts w:ascii="Candara" w:hAnsi="Candara" w:cs="Times New Roman"/>
                <w:sz w:val="22"/>
                <w:szCs w:val="22"/>
              </w:rPr>
              <w:t>Virus de l’Immunodéficience Humaine</w:t>
            </w:r>
          </w:p>
        </w:tc>
      </w:tr>
    </w:tbl>
    <w:p w14:paraId="7D69A2C5" w14:textId="77777777" w:rsidR="00E03BED" w:rsidRDefault="00E03BED" w:rsidP="00E03BED"/>
    <w:p w14:paraId="5896508F" w14:textId="77777777" w:rsidR="00E03BED" w:rsidRDefault="00E03BED" w:rsidP="00E03BED"/>
    <w:p w14:paraId="199D547E" w14:textId="77777777" w:rsidR="00E03BED" w:rsidRDefault="00E03BED" w:rsidP="00E03BED"/>
    <w:p w14:paraId="43BF37BF" w14:textId="77777777" w:rsidR="00E03BED" w:rsidRDefault="00E03BED" w:rsidP="00E03BED"/>
    <w:p w14:paraId="19CA694A" w14:textId="77777777" w:rsidR="00E03BED" w:rsidRDefault="00E03BED" w:rsidP="00E03BED"/>
    <w:p w14:paraId="0535F9A1" w14:textId="77777777" w:rsidR="00E03BED" w:rsidRPr="003D5D77" w:rsidRDefault="00E03BED" w:rsidP="00E03BED">
      <w:pPr>
        <w:rPr>
          <w:b/>
        </w:rPr>
      </w:pPr>
      <w:r w:rsidRPr="003D5D77">
        <w:rPr>
          <w:b/>
        </w:rPr>
        <w:t>Liste des Figures et Tableaux </w:t>
      </w:r>
    </w:p>
    <w:p w14:paraId="02B63C61" w14:textId="77777777" w:rsidR="00E03BED" w:rsidRPr="00797C22" w:rsidRDefault="00E03BED" w:rsidP="00E03BED">
      <w:pPr>
        <w:rPr>
          <w:rFonts w:ascii="Candara" w:hAnsi="Candara" w:cs="Times New Roman"/>
          <w:sz w:val="22"/>
          <w:szCs w:val="22"/>
          <w:lang w:eastAsia="en-US"/>
        </w:rPr>
      </w:pPr>
    </w:p>
    <w:p w14:paraId="24371322" w14:textId="77777777" w:rsidR="00E03BED" w:rsidRPr="00797C22" w:rsidRDefault="00E03BED" w:rsidP="004F5FDB">
      <w:pPr>
        <w:spacing w:line="480" w:lineRule="auto"/>
        <w:jc w:val="both"/>
        <w:rPr>
          <w:rFonts w:ascii="Candara" w:hAnsi="Candara" w:cs="Times New Roman"/>
          <w:sz w:val="22"/>
          <w:szCs w:val="22"/>
          <w:lang w:eastAsia="en-US"/>
        </w:rPr>
      </w:pPr>
      <w:r w:rsidRPr="004F5FDB">
        <w:rPr>
          <w:rFonts w:ascii="Candara" w:hAnsi="Candara" w:cs="Times New Roman"/>
          <w:b/>
          <w:bCs/>
          <w:sz w:val="22"/>
          <w:szCs w:val="22"/>
          <w:lang w:eastAsia="en-US"/>
        </w:rPr>
        <w:t>Figure 1</w:t>
      </w:r>
      <w:r w:rsidRPr="00797C22">
        <w:rPr>
          <w:rFonts w:ascii="Candara" w:hAnsi="Candara" w:cs="Times New Roman"/>
          <w:sz w:val="22"/>
          <w:szCs w:val="22"/>
          <w:lang w:eastAsia="en-US"/>
        </w:rPr>
        <w:t> : évolution du nombre de nouvelles infections au VIH en Guinée de 2000 à 201</w:t>
      </w:r>
      <w:r>
        <w:rPr>
          <w:rFonts w:ascii="Candara" w:hAnsi="Candara" w:cs="Times New Roman"/>
          <w:sz w:val="22"/>
          <w:szCs w:val="22"/>
          <w:lang w:eastAsia="en-US"/>
        </w:rPr>
        <w:t xml:space="preserve">8 </w:t>
      </w:r>
    </w:p>
    <w:p w14:paraId="6FE5B42D" w14:textId="77777777" w:rsidR="00E03BED" w:rsidRPr="00797C22" w:rsidRDefault="00E03BED" w:rsidP="004F5FDB">
      <w:pPr>
        <w:spacing w:line="480" w:lineRule="auto"/>
        <w:jc w:val="both"/>
        <w:rPr>
          <w:rFonts w:ascii="Candara" w:hAnsi="Candara" w:cs="Times New Roman"/>
          <w:sz w:val="22"/>
          <w:szCs w:val="22"/>
          <w:lang w:eastAsia="en-US"/>
        </w:rPr>
      </w:pPr>
      <w:r w:rsidRPr="004F5FDB">
        <w:rPr>
          <w:rFonts w:ascii="Candara" w:hAnsi="Candara" w:cs="Times New Roman"/>
          <w:b/>
          <w:bCs/>
          <w:sz w:val="22"/>
          <w:szCs w:val="22"/>
          <w:lang w:eastAsia="en-US"/>
        </w:rPr>
        <w:t>Figure 2 :</w:t>
      </w:r>
      <w:r w:rsidRPr="00797C22">
        <w:rPr>
          <w:rFonts w:ascii="Candara" w:hAnsi="Candara" w:cs="Times New Roman"/>
          <w:sz w:val="22"/>
          <w:szCs w:val="22"/>
          <w:lang w:eastAsia="en-US"/>
        </w:rPr>
        <w:t xml:space="preserve"> évolution du nombre de décès lié au Sida en Guinée de 2000 à 2018 </w:t>
      </w:r>
    </w:p>
    <w:p w14:paraId="5A3E155C" w14:textId="77777777" w:rsidR="00E03BED" w:rsidRPr="00797C22" w:rsidRDefault="00E03BED" w:rsidP="004F5FDB">
      <w:pPr>
        <w:spacing w:line="480" w:lineRule="auto"/>
        <w:jc w:val="both"/>
        <w:rPr>
          <w:rFonts w:ascii="Candara" w:hAnsi="Candara" w:cs="Times New Roman"/>
          <w:sz w:val="22"/>
          <w:szCs w:val="22"/>
          <w:lang w:eastAsia="en-US"/>
        </w:rPr>
      </w:pPr>
      <w:r w:rsidRPr="004F5FDB">
        <w:rPr>
          <w:rFonts w:ascii="Candara" w:hAnsi="Candara" w:cs="Times New Roman"/>
          <w:b/>
          <w:bCs/>
          <w:sz w:val="22"/>
          <w:szCs w:val="22"/>
          <w:lang w:eastAsia="en-US"/>
        </w:rPr>
        <w:t>Figure 3 :</w:t>
      </w:r>
      <w:r w:rsidRPr="00797C22">
        <w:rPr>
          <w:rFonts w:ascii="Candara" w:hAnsi="Candara" w:cs="Times New Roman"/>
          <w:sz w:val="22"/>
          <w:szCs w:val="22"/>
          <w:lang w:eastAsia="en-US"/>
        </w:rPr>
        <w:t xml:space="preserve"> Cascade de soin et de traitement en Guinée en 2018 </w:t>
      </w:r>
    </w:p>
    <w:p w14:paraId="1AC663BC" w14:textId="77777777" w:rsidR="00E03BED" w:rsidRPr="00797C22" w:rsidRDefault="00E03BED" w:rsidP="004F5FDB">
      <w:pPr>
        <w:spacing w:line="480" w:lineRule="auto"/>
        <w:jc w:val="both"/>
        <w:rPr>
          <w:rFonts w:ascii="Candara" w:hAnsi="Candara" w:cs="Times New Roman"/>
          <w:sz w:val="22"/>
          <w:szCs w:val="22"/>
          <w:lang w:eastAsia="en-US"/>
        </w:rPr>
      </w:pPr>
      <w:r w:rsidRPr="004F5FDB">
        <w:rPr>
          <w:rFonts w:ascii="Candara" w:hAnsi="Candara" w:cs="Times New Roman"/>
          <w:b/>
          <w:bCs/>
          <w:sz w:val="22"/>
          <w:szCs w:val="22"/>
          <w:lang w:eastAsia="en-US"/>
        </w:rPr>
        <w:t>Figure 4 :</w:t>
      </w:r>
      <w:r w:rsidRPr="00797C22">
        <w:rPr>
          <w:rFonts w:ascii="Candara" w:hAnsi="Candara" w:cs="Times New Roman"/>
          <w:sz w:val="22"/>
          <w:szCs w:val="22"/>
          <w:lang w:eastAsia="en-US"/>
        </w:rPr>
        <w:t xml:space="preserve"> Cascade PTME en Guinée </w:t>
      </w:r>
      <w:r>
        <w:rPr>
          <w:rFonts w:ascii="Candara" w:hAnsi="Candara" w:cs="Times New Roman"/>
          <w:sz w:val="22"/>
          <w:szCs w:val="22"/>
          <w:lang w:eastAsia="en-US"/>
        </w:rPr>
        <w:t xml:space="preserve">en 2018 </w:t>
      </w:r>
    </w:p>
    <w:p w14:paraId="47ECD9B2" w14:textId="77777777" w:rsidR="00E03BED" w:rsidRPr="004F5FDB" w:rsidRDefault="00E03BED" w:rsidP="004F5FDB">
      <w:pPr>
        <w:spacing w:line="480" w:lineRule="auto"/>
        <w:jc w:val="both"/>
        <w:rPr>
          <w:rFonts w:ascii="Candara" w:hAnsi="Candara" w:cs="Times New Roman"/>
          <w:sz w:val="22"/>
          <w:szCs w:val="22"/>
          <w:lang w:eastAsia="en-US"/>
        </w:rPr>
      </w:pPr>
      <w:r w:rsidRPr="004F5FDB">
        <w:rPr>
          <w:rFonts w:ascii="Candara" w:hAnsi="Candara" w:cs="Times New Roman"/>
          <w:b/>
          <w:bCs/>
          <w:sz w:val="22"/>
          <w:szCs w:val="22"/>
          <w:lang w:eastAsia="en-US"/>
        </w:rPr>
        <w:t>Figure 5 :</w:t>
      </w:r>
      <w:r w:rsidRPr="00797C22">
        <w:rPr>
          <w:rFonts w:ascii="Candara" w:hAnsi="Candara" w:cs="Times New Roman"/>
          <w:sz w:val="22"/>
          <w:szCs w:val="22"/>
          <w:lang w:eastAsia="en-US"/>
        </w:rPr>
        <w:t xml:space="preserve"> Cascade de la prise en charge de la co-infection TB/VIH en Guinée </w:t>
      </w:r>
      <w:r>
        <w:rPr>
          <w:rFonts w:ascii="Candara" w:hAnsi="Candara" w:cs="Times New Roman"/>
          <w:sz w:val="22"/>
          <w:szCs w:val="22"/>
          <w:lang w:eastAsia="en-US"/>
        </w:rPr>
        <w:t>en 2018</w:t>
      </w:r>
      <w:r w:rsidR="004F5FDB">
        <w:rPr>
          <w:rFonts w:ascii="Candara" w:hAnsi="Candara" w:cs="Times New Roman"/>
          <w:sz w:val="22"/>
          <w:szCs w:val="22"/>
          <w:lang w:eastAsia="en-US"/>
        </w:rPr>
        <w:t>.</w:t>
      </w:r>
    </w:p>
    <w:p w14:paraId="6468568E" w14:textId="77777777" w:rsidR="00E03BED" w:rsidRDefault="00E03BED" w:rsidP="00E03BED">
      <w:pPr>
        <w:pStyle w:val="Titre1"/>
        <w:spacing w:before="0"/>
      </w:pPr>
    </w:p>
    <w:p w14:paraId="11CD7E13" w14:textId="77777777" w:rsidR="00E03BED" w:rsidRDefault="00E03BED" w:rsidP="00E03BED">
      <w:pPr>
        <w:pStyle w:val="Titre1"/>
        <w:spacing w:before="0"/>
        <w:ind w:left="0" w:firstLine="0"/>
      </w:pPr>
    </w:p>
    <w:p w14:paraId="136A5561" w14:textId="77777777" w:rsidR="00E03BED" w:rsidRDefault="00E03BED" w:rsidP="00E03BED">
      <w:pPr>
        <w:pStyle w:val="Titre1"/>
        <w:spacing w:before="0"/>
      </w:pPr>
    </w:p>
    <w:p w14:paraId="715A1FBC" w14:textId="77777777" w:rsidR="00E03BED" w:rsidRDefault="00E03BED" w:rsidP="00E03BED">
      <w:pPr>
        <w:pStyle w:val="Titre1"/>
      </w:pPr>
    </w:p>
    <w:p w14:paraId="298063AA" w14:textId="77777777" w:rsidR="00E03BED" w:rsidRDefault="00E03BED" w:rsidP="00E03BED">
      <w:pPr>
        <w:pStyle w:val="Titre1"/>
      </w:pPr>
    </w:p>
    <w:p w14:paraId="3D7C27AE" w14:textId="77777777" w:rsidR="00E03BED" w:rsidRDefault="00E03BED" w:rsidP="00E03BED">
      <w:pPr>
        <w:pStyle w:val="Titre1"/>
      </w:pPr>
    </w:p>
    <w:p w14:paraId="5F0B1D85" w14:textId="77777777" w:rsidR="00E03BED" w:rsidRDefault="00E03BED" w:rsidP="00E03BED">
      <w:pPr>
        <w:pStyle w:val="Titre1"/>
      </w:pPr>
    </w:p>
    <w:p w14:paraId="487852F4" w14:textId="77777777" w:rsidR="00E03BED" w:rsidRDefault="00E03BED" w:rsidP="00E03BED">
      <w:pPr>
        <w:pStyle w:val="Titre1"/>
      </w:pPr>
    </w:p>
    <w:p w14:paraId="4B133A19" w14:textId="77777777" w:rsidR="00E03BED" w:rsidRDefault="00E03BED" w:rsidP="00E03BED">
      <w:pPr>
        <w:pStyle w:val="Titre1"/>
      </w:pPr>
    </w:p>
    <w:p w14:paraId="3BA8BAA8" w14:textId="77777777" w:rsidR="00E03BED" w:rsidRDefault="00E03BED" w:rsidP="00E03BED"/>
    <w:p w14:paraId="530D963F" w14:textId="77777777" w:rsidR="00E03BED" w:rsidRDefault="00E03BED" w:rsidP="00E03BED"/>
    <w:p w14:paraId="4B49D936" w14:textId="77777777" w:rsidR="00E03BED" w:rsidRDefault="00E03BED" w:rsidP="00E03BED"/>
    <w:p w14:paraId="6B1EBCCA" w14:textId="77777777" w:rsidR="00E03BED" w:rsidRDefault="00E03BED" w:rsidP="00E03BED"/>
    <w:p w14:paraId="153D78DD" w14:textId="77777777" w:rsidR="00E03BED" w:rsidRDefault="00E03BED" w:rsidP="00E03BED"/>
    <w:p w14:paraId="725263EA" w14:textId="77777777" w:rsidR="00E03BED" w:rsidRDefault="00E03BED" w:rsidP="00E03BED"/>
    <w:p w14:paraId="5DCFF999" w14:textId="77777777" w:rsidR="00E03BED" w:rsidRDefault="00E03BED" w:rsidP="00E03BED"/>
    <w:p w14:paraId="0EA74A83" w14:textId="77777777" w:rsidR="00E03BED" w:rsidRDefault="00E03BED" w:rsidP="00E03BED"/>
    <w:p w14:paraId="42E23498" w14:textId="77777777" w:rsidR="00E03BED" w:rsidRDefault="00E03BED" w:rsidP="00E03BED"/>
    <w:p w14:paraId="7B087D1D" w14:textId="77777777" w:rsidR="00E03BED" w:rsidRPr="00D84368" w:rsidRDefault="00E03BED" w:rsidP="00E03BED"/>
    <w:p w14:paraId="0FB4AFD5" w14:textId="77777777" w:rsidR="00E03BED" w:rsidRPr="00601DE6" w:rsidRDefault="00E03BED" w:rsidP="00601DE6">
      <w:pPr>
        <w:pStyle w:val="Titre1"/>
      </w:pPr>
      <w:r w:rsidRPr="00601DE6">
        <w:lastRenderedPageBreak/>
        <w:t xml:space="preserve">Mot du </w:t>
      </w:r>
      <w:r w:rsidR="004F5FDB" w:rsidRPr="00601DE6">
        <w:t xml:space="preserve">Secrétaire </w:t>
      </w:r>
      <w:r w:rsidRPr="00601DE6">
        <w:t>E</w:t>
      </w:r>
      <w:r w:rsidR="004F5FDB" w:rsidRPr="00601DE6">
        <w:t xml:space="preserve">xécutif du </w:t>
      </w:r>
      <w:r w:rsidRPr="00601DE6">
        <w:t>CNLS</w:t>
      </w:r>
    </w:p>
    <w:p w14:paraId="21CA403E" w14:textId="77777777" w:rsidR="00E03BED" w:rsidRPr="003832A5" w:rsidRDefault="00E03BED" w:rsidP="00E03BED">
      <w:pPr>
        <w:widowControl w:val="0"/>
        <w:autoSpaceDE w:val="0"/>
        <w:autoSpaceDN w:val="0"/>
        <w:adjustRightInd w:val="0"/>
        <w:spacing w:after="240" w:line="360" w:lineRule="atLeast"/>
        <w:jc w:val="both"/>
        <w:rPr>
          <w:rFonts w:ascii="Candara" w:hAnsi="Candara" w:cs="Times New Roman"/>
          <w:sz w:val="22"/>
          <w:szCs w:val="22"/>
          <w:lang w:eastAsia="en-US"/>
        </w:rPr>
      </w:pPr>
      <w:proofErr w:type="gramStart"/>
      <w:r w:rsidRPr="003832A5">
        <w:rPr>
          <w:rFonts w:ascii="Candara" w:hAnsi="Candara" w:cs="Times New Roman"/>
          <w:sz w:val="22"/>
          <w:szCs w:val="22"/>
          <w:lang w:eastAsia="en-US"/>
        </w:rPr>
        <w:t xml:space="preserve">Le </w:t>
      </w:r>
      <w:r w:rsidR="00601DE6">
        <w:rPr>
          <w:rFonts w:ascii="Candara" w:hAnsi="Candara" w:cs="Times New Roman"/>
          <w:sz w:val="22"/>
          <w:szCs w:val="22"/>
          <w:lang w:eastAsia="en-US"/>
        </w:rPr>
        <w:t xml:space="preserve"> </w:t>
      </w:r>
      <w:r w:rsidRPr="003832A5">
        <w:rPr>
          <w:rFonts w:ascii="Candara" w:hAnsi="Candara" w:cs="Times New Roman"/>
          <w:sz w:val="22"/>
          <w:szCs w:val="22"/>
          <w:lang w:eastAsia="en-US"/>
        </w:rPr>
        <w:t>Gouvernement</w:t>
      </w:r>
      <w:proofErr w:type="gramEnd"/>
      <w:r w:rsidRPr="003832A5">
        <w:rPr>
          <w:rFonts w:ascii="Candara" w:hAnsi="Candara" w:cs="Times New Roman"/>
          <w:sz w:val="22"/>
          <w:szCs w:val="22"/>
          <w:lang w:eastAsia="en-US"/>
        </w:rPr>
        <w:t xml:space="preserve"> de la république de Guinée a consenti d’énormes efforts dans la riposte au sida. Cela s’est matérialisé par une stabilité, voire un fléchissement de la courbe de prévalence nationale du VIH. Ces efforts ont été soutenus par les acteurs nationaux, les partenaires au développement au rang desquels figurent en bonne place la coopération bilatérale et multilatérale, le Fonds mondial de Lutte contre le sida, la tuberculose et le paludisme et les agences </w:t>
      </w:r>
      <w:proofErr w:type="spellStart"/>
      <w:r w:rsidRPr="003832A5">
        <w:rPr>
          <w:rFonts w:ascii="Candara" w:hAnsi="Candara" w:cs="Times New Roman"/>
          <w:sz w:val="22"/>
          <w:szCs w:val="22"/>
          <w:lang w:eastAsia="en-US"/>
        </w:rPr>
        <w:t>co-parrainantes</w:t>
      </w:r>
      <w:proofErr w:type="spellEnd"/>
      <w:r w:rsidRPr="003832A5">
        <w:rPr>
          <w:rFonts w:ascii="Candara" w:hAnsi="Candara" w:cs="Times New Roman"/>
          <w:sz w:val="22"/>
          <w:szCs w:val="22"/>
          <w:lang w:eastAsia="en-US"/>
        </w:rPr>
        <w:t xml:space="preserve"> de l’ONUSIDA. </w:t>
      </w:r>
    </w:p>
    <w:p w14:paraId="670F5766" w14:textId="77777777" w:rsidR="00E03BED" w:rsidRPr="003832A5" w:rsidRDefault="00E03BED" w:rsidP="00E03BED">
      <w:pPr>
        <w:widowControl w:val="0"/>
        <w:autoSpaceDE w:val="0"/>
        <w:autoSpaceDN w:val="0"/>
        <w:adjustRightInd w:val="0"/>
        <w:spacing w:after="240" w:line="360" w:lineRule="atLeast"/>
        <w:jc w:val="both"/>
        <w:rPr>
          <w:rFonts w:ascii="Candara" w:hAnsi="Candara" w:cs="Times New Roman"/>
          <w:sz w:val="22"/>
          <w:szCs w:val="22"/>
          <w:lang w:eastAsia="en-US"/>
        </w:rPr>
      </w:pPr>
      <w:r w:rsidRPr="003832A5">
        <w:rPr>
          <w:rFonts w:ascii="Candara" w:hAnsi="Candara" w:cs="Times New Roman"/>
          <w:sz w:val="22"/>
          <w:szCs w:val="22"/>
          <w:lang w:eastAsia="en-US"/>
        </w:rPr>
        <w:t xml:space="preserve">Au cours des dernières années, notre pays a opéré des changements significatifs dans la gestion de sa réponse, avec une plus grande responsabilisation du niveau décentralisé et une réelle volonté d’opérationnaliser l’accès universel aux services partout en Guinée. </w:t>
      </w:r>
    </w:p>
    <w:p w14:paraId="5298CBD4" w14:textId="77777777" w:rsidR="00E03BED" w:rsidRPr="003832A5" w:rsidRDefault="00E03BED" w:rsidP="00E03BED">
      <w:pPr>
        <w:widowControl w:val="0"/>
        <w:autoSpaceDE w:val="0"/>
        <w:autoSpaceDN w:val="0"/>
        <w:adjustRightInd w:val="0"/>
        <w:spacing w:after="240" w:line="360" w:lineRule="atLeast"/>
        <w:jc w:val="both"/>
        <w:rPr>
          <w:rFonts w:ascii="Candara" w:hAnsi="Candara" w:cs="Times New Roman"/>
          <w:sz w:val="22"/>
          <w:szCs w:val="22"/>
          <w:lang w:eastAsia="en-US"/>
        </w:rPr>
      </w:pPr>
      <w:r w:rsidRPr="003832A5">
        <w:rPr>
          <w:rFonts w:ascii="Candara" w:hAnsi="Candara" w:cs="Times New Roman"/>
          <w:sz w:val="22"/>
          <w:szCs w:val="22"/>
          <w:lang w:eastAsia="en-US"/>
        </w:rPr>
        <w:t xml:space="preserve">Le nouveau Cadre National Stratégique de Lutte contre le sida 2018-2022 a certes mis en lumière les progrès significatifs réalisés dans le cadre de cette réponse, mais également les nombreux défis qu’il nous reste à relever dans un contexte de diminution des financements internationaux. </w:t>
      </w:r>
    </w:p>
    <w:p w14:paraId="4AD073CF" w14:textId="77777777" w:rsidR="00E03BED" w:rsidRPr="003832A5" w:rsidRDefault="00E03BED" w:rsidP="00E03BED">
      <w:pPr>
        <w:widowControl w:val="0"/>
        <w:autoSpaceDE w:val="0"/>
        <w:autoSpaceDN w:val="0"/>
        <w:adjustRightInd w:val="0"/>
        <w:spacing w:after="240" w:line="360" w:lineRule="atLeast"/>
        <w:jc w:val="both"/>
        <w:rPr>
          <w:rFonts w:ascii="Candara" w:hAnsi="Candara" w:cs="Times New Roman"/>
          <w:sz w:val="22"/>
          <w:szCs w:val="22"/>
          <w:lang w:eastAsia="en-US"/>
        </w:rPr>
      </w:pPr>
      <w:r w:rsidRPr="003832A5">
        <w:rPr>
          <w:rFonts w:ascii="Candara" w:hAnsi="Candara" w:cs="Times New Roman"/>
          <w:sz w:val="22"/>
          <w:szCs w:val="22"/>
          <w:lang w:eastAsia="en-US"/>
        </w:rPr>
        <w:t>De plus notre pays s’est aligné à l’agenda international qui consiste à atteindre l’objectif de l’élimination du sida vers 2030.</w:t>
      </w:r>
    </w:p>
    <w:p w14:paraId="39F7A657" w14:textId="77777777" w:rsidR="00E03BED" w:rsidRPr="003832A5" w:rsidRDefault="00E03BED" w:rsidP="00E03BED">
      <w:pPr>
        <w:widowControl w:val="0"/>
        <w:autoSpaceDE w:val="0"/>
        <w:autoSpaceDN w:val="0"/>
        <w:adjustRightInd w:val="0"/>
        <w:spacing w:after="240" w:line="360" w:lineRule="atLeast"/>
        <w:jc w:val="both"/>
        <w:rPr>
          <w:rFonts w:ascii="Candara" w:hAnsi="Candara" w:cs="Times New Roman"/>
          <w:sz w:val="22"/>
          <w:szCs w:val="22"/>
          <w:lang w:eastAsia="en-US"/>
        </w:rPr>
      </w:pPr>
      <w:r w:rsidRPr="003832A5">
        <w:rPr>
          <w:rFonts w:ascii="Candara" w:hAnsi="Candara" w:cs="Times New Roman"/>
          <w:sz w:val="22"/>
          <w:szCs w:val="22"/>
          <w:lang w:eastAsia="en-US"/>
        </w:rPr>
        <w:t xml:space="preserve">L’ambition du Gouvernement est d’améliorer sans cesse le mieux-être des citoyens afin qu’ils participent activement au développement harmonieux de notre pays pour le grand bénéfice des populations actuelles et des générations futures. </w:t>
      </w:r>
    </w:p>
    <w:p w14:paraId="6CB51EC9" w14:textId="77777777" w:rsidR="00E03BED" w:rsidRDefault="00E03BED" w:rsidP="00E03BED">
      <w:pPr>
        <w:widowControl w:val="0"/>
        <w:autoSpaceDE w:val="0"/>
        <w:autoSpaceDN w:val="0"/>
        <w:adjustRightInd w:val="0"/>
        <w:spacing w:after="240" w:line="360" w:lineRule="atLeast"/>
        <w:jc w:val="both"/>
        <w:rPr>
          <w:rFonts w:ascii="Candara" w:hAnsi="Candara" w:cs="Times New Roman"/>
          <w:sz w:val="22"/>
          <w:szCs w:val="22"/>
          <w:lang w:eastAsia="en-US"/>
        </w:rPr>
      </w:pPr>
      <w:r w:rsidRPr="003832A5">
        <w:rPr>
          <w:rFonts w:ascii="Candara" w:hAnsi="Candara" w:cs="Times New Roman"/>
          <w:sz w:val="22"/>
          <w:szCs w:val="22"/>
          <w:lang w:eastAsia="en-US"/>
        </w:rPr>
        <w:t xml:space="preserve">Nous invitons la société civile, le secteur privé, les communautés et les partenaires internationaux, à soutenir activement la mise en œuvre </w:t>
      </w:r>
      <w:r w:rsidR="00601DE6">
        <w:rPr>
          <w:rFonts w:ascii="Candara" w:hAnsi="Candara" w:cs="Times New Roman"/>
          <w:sz w:val="22"/>
          <w:szCs w:val="22"/>
          <w:lang w:eastAsia="en-US"/>
        </w:rPr>
        <w:t>du cadre stratégique national de lutte contre le sida</w:t>
      </w:r>
      <w:r w:rsidRPr="003832A5">
        <w:rPr>
          <w:rFonts w:ascii="Candara" w:hAnsi="Candara" w:cs="Times New Roman"/>
          <w:sz w:val="22"/>
          <w:szCs w:val="22"/>
          <w:lang w:eastAsia="en-US"/>
        </w:rPr>
        <w:t xml:space="preserve"> afin de garantir à notre pays une génération sans sida. </w:t>
      </w:r>
    </w:p>
    <w:p w14:paraId="7B6AF449" w14:textId="77777777" w:rsidR="00E03BED" w:rsidRPr="003832A5" w:rsidRDefault="00E03BED" w:rsidP="00E03BED">
      <w:pPr>
        <w:widowControl w:val="0"/>
        <w:autoSpaceDE w:val="0"/>
        <w:autoSpaceDN w:val="0"/>
        <w:adjustRightInd w:val="0"/>
        <w:spacing w:after="240" w:line="360" w:lineRule="atLeast"/>
        <w:jc w:val="both"/>
        <w:rPr>
          <w:rFonts w:ascii="Candara" w:hAnsi="Candara" w:cs="Times New Roman"/>
          <w:sz w:val="22"/>
          <w:szCs w:val="22"/>
          <w:lang w:eastAsia="en-US"/>
        </w:rPr>
      </w:pPr>
    </w:p>
    <w:p w14:paraId="512A8AAE" w14:textId="77777777" w:rsidR="00293328" w:rsidRDefault="00293328">
      <w:pPr>
        <w:spacing w:after="160" w:line="259" w:lineRule="auto"/>
        <w:rPr>
          <w:rFonts w:ascii="Candara" w:hAnsi="Candara" w:cs="Times New Roman"/>
          <w:sz w:val="22"/>
          <w:szCs w:val="22"/>
          <w:lang w:eastAsia="en-US"/>
        </w:rPr>
      </w:pPr>
      <w:r>
        <w:rPr>
          <w:rFonts w:ascii="Candara" w:hAnsi="Candara" w:cs="Times New Roman"/>
          <w:sz w:val="22"/>
          <w:szCs w:val="22"/>
          <w:lang w:eastAsia="en-US"/>
        </w:rPr>
        <w:br w:type="page"/>
      </w:r>
    </w:p>
    <w:p w14:paraId="68172048" w14:textId="77777777" w:rsidR="00E03BED" w:rsidRDefault="00E03BED" w:rsidP="00E03BED">
      <w:pPr>
        <w:pStyle w:val="Titre1"/>
      </w:pPr>
      <w:bookmarkStart w:id="0" w:name="_Toc15906413"/>
      <w:r>
        <w:lastRenderedPageBreak/>
        <w:t>I) INTRODUCTION</w:t>
      </w:r>
      <w:bookmarkEnd w:id="0"/>
      <w:r>
        <w:t xml:space="preserve"> </w:t>
      </w:r>
    </w:p>
    <w:p w14:paraId="5A3E59A6" w14:textId="77777777" w:rsidR="00E03BED" w:rsidRPr="00B60703" w:rsidRDefault="00E03BED" w:rsidP="00E03BED">
      <w:pPr>
        <w:spacing w:after="33" w:line="276" w:lineRule="auto"/>
        <w:ind w:left="14" w:right="14"/>
        <w:jc w:val="both"/>
        <w:rPr>
          <w:rFonts w:ascii="Candara" w:hAnsi="Candara" w:cs="Times New Roman"/>
          <w:sz w:val="22"/>
          <w:szCs w:val="22"/>
          <w:lang w:eastAsia="en-US"/>
        </w:rPr>
      </w:pPr>
      <w:r w:rsidRPr="00B60703">
        <w:rPr>
          <w:rFonts w:ascii="Candara" w:hAnsi="Candara" w:cs="Times New Roman"/>
          <w:sz w:val="22"/>
          <w:szCs w:val="22"/>
          <w:lang w:eastAsia="en-US"/>
        </w:rPr>
        <w:t>En 2017, les chefs d'Etats de I ’Union Africaine ont décidé que leurs pays respectifs allaient s'engager dans un mouvement d'accélération pour atteindre les cibles de 90-90-90 d'ici 2020 et de combler le gap entre la couverture actuelle et la couverture idéale qui était plus important dans les pays de l'Afrique de l'Ouest et du Centre.</w:t>
      </w:r>
    </w:p>
    <w:p w14:paraId="250219EF" w14:textId="77777777" w:rsidR="00293328" w:rsidRDefault="00293328" w:rsidP="00E03BED">
      <w:pPr>
        <w:jc w:val="both"/>
        <w:rPr>
          <w:rFonts w:ascii="Candara" w:hAnsi="Candara" w:cs="Times New Roman"/>
          <w:sz w:val="22"/>
          <w:szCs w:val="22"/>
          <w:lang w:eastAsia="en-US"/>
        </w:rPr>
      </w:pPr>
    </w:p>
    <w:p w14:paraId="5CA9BD7D" w14:textId="77777777" w:rsidR="00E03BED" w:rsidRPr="00B60703" w:rsidRDefault="00E03BED" w:rsidP="00E03BED">
      <w:pPr>
        <w:jc w:val="both"/>
        <w:rPr>
          <w:rFonts w:ascii="Candara" w:hAnsi="Candara" w:cs="Times New Roman"/>
          <w:sz w:val="22"/>
          <w:szCs w:val="22"/>
          <w:lang w:eastAsia="en-US"/>
        </w:rPr>
      </w:pPr>
      <w:r w:rsidRPr="00B60703">
        <w:rPr>
          <w:rFonts w:ascii="Candara" w:hAnsi="Candara" w:cs="Times New Roman"/>
          <w:sz w:val="22"/>
          <w:szCs w:val="22"/>
          <w:lang w:eastAsia="en-US"/>
        </w:rPr>
        <w:t>A cet effet, l’ONUSIDA a initié l’élaboration de plans de rattrapage dans les pays de l'Afrique de l'Ouest et du Centre, qui soutiennent les stratégies et les plans nationaux afin de résorber rapidement les goulots d'étranglement, accélérer les ripostes nationales et adopter une trajectoire en vue d'atteindre les objectifs 90-90-90 d'ici à 2020. Les plans nationaux s'appuient sur le plan de rattrapage de l'Afrique de l'Ouest et du Centre et complètent les stratégies nationales et les plans existants en vue d'accroître le recours au traitement antirétroviral et de sauver des vies.</w:t>
      </w:r>
    </w:p>
    <w:p w14:paraId="76D7522D" w14:textId="77777777" w:rsidR="00E03BED" w:rsidRDefault="00E03BED" w:rsidP="00E03BED">
      <w:pPr>
        <w:jc w:val="both"/>
        <w:rPr>
          <w:rFonts w:ascii="Candara" w:hAnsi="Candara" w:cs="Times New Roman"/>
          <w:sz w:val="22"/>
          <w:szCs w:val="22"/>
          <w:lang w:eastAsia="en-US"/>
        </w:rPr>
      </w:pPr>
    </w:p>
    <w:p w14:paraId="3D788C86" w14:textId="77777777" w:rsidR="00E03BED" w:rsidRPr="00B60703" w:rsidRDefault="00E03BED" w:rsidP="00E03BED">
      <w:pPr>
        <w:spacing w:after="4" w:line="276" w:lineRule="auto"/>
        <w:ind w:left="14" w:right="14"/>
        <w:jc w:val="both"/>
        <w:rPr>
          <w:rFonts w:ascii="Candara" w:hAnsi="Candara" w:cs="Times New Roman"/>
          <w:sz w:val="22"/>
          <w:szCs w:val="22"/>
          <w:lang w:eastAsia="en-US"/>
        </w:rPr>
      </w:pPr>
      <w:r w:rsidRPr="00B60703">
        <w:rPr>
          <w:rFonts w:ascii="Candara" w:hAnsi="Candara" w:cs="Times New Roman"/>
          <w:sz w:val="22"/>
          <w:szCs w:val="22"/>
          <w:lang w:eastAsia="en-US"/>
        </w:rPr>
        <w:t>La Guinée, à l’</w:t>
      </w:r>
      <w:r>
        <w:rPr>
          <w:rFonts w:ascii="Candara" w:hAnsi="Candara" w:cs="Times New Roman"/>
          <w:sz w:val="22"/>
          <w:szCs w:val="22"/>
          <w:lang w:eastAsia="en-US"/>
        </w:rPr>
        <w:t>instar</w:t>
      </w:r>
      <w:r w:rsidRPr="00B60703">
        <w:rPr>
          <w:rFonts w:ascii="Candara" w:hAnsi="Candara" w:cs="Times New Roman"/>
          <w:sz w:val="22"/>
          <w:szCs w:val="22"/>
          <w:lang w:eastAsia="en-US"/>
        </w:rPr>
        <w:t xml:space="preserve"> des autres pays avait engagé un processus d'élaboration d’un plan d'accélération 2017-2018 dont la mise en œuvre n’a pas permis d’atteindre les résultats attendus. Ainsi, la revue du Cadre Stratégique National 2013-2017 de lutte contre le VIH en Guinée et l’élaboration d’un nouveau CSN 2018-2022 et son plan opérationnel 2018-2019 tenant compte du nouvel environnement programmatique et intégrant les orientations et les nouvelles directives en matière de traitement et de p</w:t>
      </w:r>
      <w:r w:rsidR="00A40EC3">
        <w:rPr>
          <w:rFonts w:ascii="Candara" w:hAnsi="Candara" w:cs="Times New Roman"/>
          <w:sz w:val="22"/>
          <w:szCs w:val="22"/>
          <w:lang w:eastAsia="en-US"/>
        </w:rPr>
        <w:t>révention de l'infection à VIH</w:t>
      </w:r>
    </w:p>
    <w:p w14:paraId="54B3B40A" w14:textId="77777777" w:rsidR="00293328" w:rsidRDefault="00293328" w:rsidP="00E03BED">
      <w:pPr>
        <w:spacing w:line="276" w:lineRule="auto"/>
        <w:ind w:left="10" w:right="19"/>
        <w:jc w:val="both"/>
        <w:rPr>
          <w:rFonts w:ascii="Candara" w:hAnsi="Candara" w:cs="Times New Roman"/>
          <w:sz w:val="22"/>
          <w:szCs w:val="22"/>
          <w:lang w:eastAsia="en-US"/>
        </w:rPr>
      </w:pPr>
    </w:p>
    <w:p w14:paraId="0D0EC8CA" w14:textId="77777777" w:rsidR="00E03BED" w:rsidRPr="00B60703" w:rsidRDefault="00A40EC3" w:rsidP="00B66401">
      <w:pPr>
        <w:spacing w:line="276" w:lineRule="auto"/>
        <w:ind w:left="10" w:right="19"/>
        <w:jc w:val="both"/>
        <w:rPr>
          <w:rFonts w:ascii="Candara" w:hAnsi="Candara" w:cs="Times New Roman"/>
          <w:sz w:val="22"/>
          <w:szCs w:val="22"/>
          <w:lang w:eastAsia="en-US"/>
        </w:rPr>
      </w:pPr>
      <w:r>
        <w:rPr>
          <w:rFonts w:ascii="Candara" w:hAnsi="Candara" w:cs="Times New Roman"/>
          <w:sz w:val="22"/>
          <w:szCs w:val="22"/>
          <w:lang w:eastAsia="en-US"/>
        </w:rPr>
        <w:t xml:space="preserve">Le rapport annuel de la riposte </w:t>
      </w:r>
      <w:proofErr w:type="gramStart"/>
      <w:r>
        <w:rPr>
          <w:rFonts w:ascii="Candara" w:hAnsi="Candara" w:cs="Times New Roman"/>
          <w:sz w:val="22"/>
          <w:szCs w:val="22"/>
          <w:lang w:eastAsia="en-US"/>
        </w:rPr>
        <w:t xml:space="preserve">2018 </w:t>
      </w:r>
      <w:r w:rsidR="00B66401">
        <w:rPr>
          <w:rFonts w:ascii="Candara" w:hAnsi="Candara" w:cs="Times New Roman"/>
          <w:sz w:val="22"/>
          <w:szCs w:val="22"/>
          <w:lang w:eastAsia="en-US"/>
        </w:rPr>
        <w:t xml:space="preserve"> met</w:t>
      </w:r>
      <w:proofErr w:type="gramEnd"/>
      <w:r w:rsidR="00B66401">
        <w:rPr>
          <w:rFonts w:ascii="Candara" w:hAnsi="Candara" w:cs="Times New Roman"/>
          <w:sz w:val="22"/>
          <w:szCs w:val="22"/>
          <w:lang w:eastAsia="en-US"/>
        </w:rPr>
        <w:t xml:space="preserve"> en exergue la synthèse des réalisations de l’année 2018, identifie </w:t>
      </w:r>
      <w:r w:rsidR="00E03BED" w:rsidRPr="00B60703">
        <w:rPr>
          <w:rFonts w:ascii="Candara" w:hAnsi="Candara" w:cs="Times New Roman"/>
          <w:sz w:val="22"/>
          <w:szCs w:val="22"/>
          <w:lang w:eastAsia="en-US"/>
        </w:rPr>
        <w:t>les obstacles qui empêchent d'obtenir les résultats (cibles) escomptés des plans nationaux en termes de réduction des nouvelles infections, de réduction des décès liés au VIH et en termes de stigma et discrimination</w:t>
      </w:r>
      <w:r w:rsidR="00B66401">
        <w:rPr>
          <w:rFonts w:ascii="Candara" w:hAnsi="Candara" w:cs="Times New Roman"/>
          <w:sz w:val="22"/>
          <w:szCs w:val="22"/>
          <w:lang w:eastAsia="en-US"/>
        </w:rPr>
        <w:t>, les opportunités et décline quelques grands  axes en terme de perspectives</w:t>
      </w:r>
      <w:r w:rsidR="00E03BED" w:rsidRPr="00B60703">
        <w:rPr>
          <w:rFonts w:ascii="Candara" w:hAnsi="Candara" w:cs="Times New Roman"/>
          <w:sz w:val="22"/>
          <w:szCs w:val="22"/>
          <w:lang w:eastAsia="en-US"/>
        </w:rPr>
        <w:t xml:space="preserve">. </w:t>
      </w:r>
    </w:p>
    <w:p w14:paraId="0B39A91B" w14:textId="77777777" w:rsidR="00E03BED" w:rsidRDefault="00E03BED" w:rsidP="00E03BED">
      <w:pPr>
        <w:pStyle w:val="Titre1"/>
      </w:pPr>
      <w:bookmarkStart w:id="1" w:name="_Toc15906414"/>
      <w:r>
        <w:t xml:space="preserve">II) </w:t>
      </w:r>
      <w:r w:rsidRPr="001976B1">
        <w:t>CONTEXTE EPIDEMIOLOGIQUE</w:t>
      </w:r>
      <w:bookmarkEnd w:id="1"/>
      <w:r w:rsidRPr="001976B1">
        <w:t xml:space="preserve"> </w:t>
      </w:r>
    </w:p>
    <w:p w14:paraId="3E191B5E" w14:textId="77777777" w:rsidR="00E03BED" w:rsidRPr="0078306D" w:rsidRDefault="00E03BED" w:rsidP="00E03BED">
      <w:pPr>
        <w:rPr>
          <w:rFonts w:ascii="Candara" w:hAnsi="Candara" w:cs="Times New Roman"/>
          <w:sz w:val="22"/>
          <w:szCs w:val="22"/>
          <w:lang w:eastAsia="en-US"/>
        </w:rPr>
      </w:pPr>
    </w:p>
    <w:p w14:paraId="643BC594" w14:textId="77777777" w:rsidR="00E03BED" w:rsidRPr="0078306D" w:rsidRDefault="00E03BED" w:rsidP="00E03BED">
      <w:pPr>
        <w:jc w:val="both"/>
        <w:rPr>
          <w:rFonts w:ascii="Candara" w:hAnsi="Candara" w:cs="Times New Roman"/>
          <w:sz w:val="22"/>
          <w:szCs w:val="22"/>
          <w:lang w:eastAsia="en-US"/>
        </w:rPr>
      </w:pPr>
      <w:r w:rsidRPr="0078306D">
        <w:rPr>
          <w:rFonts w:ascii="Candara" w:hAnsi="Candara" w:cs="Times New Roman"/>
          <w:sz w:val="22"/>
          <w:szCs w:val="22"/>
          <w:lang w:eastAsia="en-US"/>
        </w:rPr>
        <w:t xml:space="preserve">Sur une population de </w:t>
      </w:r>
      <w:r w:rsidRPr="00792A76">
        <w:rPr>
          <w:rFonts w:ascii="Candara" w:hAnsi="Candara" w:cs="Times New Roman"/>
          <w:sz w:val="22"/>
          <w:szCs w:val="22"/>
          <w:lang w:eastAsia="en-US"/>
        </w:rPr>
        <w:t>10 523 621</w:t>
      </w:r>
      <w:r w:rsidRPr="0078306D">
        <w:rPr>
          <w:rFonts w:ascii="Candara" w:hAnsi="Candara" w:cs="Times New Roman"/>
          <w:sz w:val="22"/>
          <w:szCs w:val="22"/>
          <w:lang w:eastAsia="en-US"/>
        </w:rPr>
        <w:t xml:space="preserve"> habitants dont </w:t>
      </w:r>
      <w:r>
        <w:rPr>
          <w:rFonts w:ascii="Candara" w:hAnsi="Candara" w:cs="Times New Roman"/>
          <w:sz w:val="22"/>
          <w:szCs w:val="22"/>
          <w:lang w:eastAsia="en-US"/>
        </w:rPr>
        <w:t xml:space="preserve">52% femmes avec une fécondité élevée </w:t>
      </w:r>
      <w:r w:rsidRPr="00792A76">
        <w:rPr>
          <w:rFonts w:ascii="Candara" w:hAnsi="Candara" w:cs="Times New Roman"/>
          <w:sz w:val="22"/>
          <w:szCs w:val="22"/>
          <w:lang w:eastAsia="en-US"/>
        </w:rPr>
        <w:t xml:space="preserve">(ISF </w:t>
      </w:r>
      <w:r>
        <w:rPr>
          <w:rFonts w:ascii="Candara" w:hAnsi="Candara" w:cs="Times New Roman"/>
          <w:sz w:val="22"/>
          <w:szCs w:val="22"/>
          <w:lang w:eastAsia="en-US"/>
        </w:rPr>
        <w:t xml:space="preserve">de </w:t>
      </w:r>
      <w:r w:rsidRPr="00792A76">
        <w:rPr>
          <w:rFonts w:ascii="Candara" w:hAnsi="Candara" w:cs="Times New Roman"/>
          <w:sz w:val="22"/>
          <w:szCs w:val="22"/>
          <w:lang w:eastAsia="en-US"/>
        </w:rPr>
        <w:t>4,8 en 2018, EDS-MICS, 2018)</w:t>
      </w:r>
      <w:r w:rsidRPr="0078306D">
        <w:rPr>
          <w:rFonts w:ascii="Candara" w:hAnsi="Candara" w:cs="Times New Roman"/>
          <w:sz w:val="22"/>
          <w:szCs w:val="22"/>
          <w:lang w:eastAsia="en-US"/>
        </w:rPr>
        <w:t xml:space="preserve">, la République de Guinée, compte environ </w:t>
      </w:r>
      <w:r>
        <w:rPr>
          <w:rFonts w:ascii="Candara" w:hAnsi="Candara" w:cs="Times New Roman"/>
          <w:sz w:val="22"/>
          <w:szCs w:val="22"/>
          <w:lang w:eastAsia="en-US"/>
        </w:rPr>
        <w:t>120 000</w:t>
      </w:r>
      <w:r w:rsidRPr="0078306D">
        <w:rPr>
          <w:rFonts w:ascii="Candara" w:hAnsi="Candara" w:cs="Times New Roman"/>
          <w:sz w:val="22"/>
          <w:szCs w:val="22"/>
          <w:lang w:eastAsia="en-US"/>
        </w:rPr>
        <w:t xml:space="preserve"> personnes vivant avec le VIH </w:t>
      </w:r>
      <w:r>
        <w:rPr>
          <w:rFonts w:ascii="Candara" w:hAnsi="Candara" w:cs="Times New Roman"/>
          <w:sz w:val="22"/>
          <w:szCs w:val="22"/>
          <w:lang w:eastAsia="en-US"/>
        </w:rPr>
        <w:t>en 2018 (</w:t>
      </w:r>
      <w:r w:rsidRPr="00D9007E">
        <w:rPr>
          <w:rFonts w:ascii="Candara" w:hAnsi="Candara" w:cs="Times New Roman"/>
          <w:sz w:val="22"/>
          <w:szCs w:val="22"/>
          <w:lang w:eastAsia="en-US"/>
        </w:rPr>
        <w:t>source : UNAIDS).</w:t>
      </w:r>
      <w:r w:rsidRPr="0078306D">
        <w:rPr>
          <w:rFonts w:ascii="Candara" w:hAnsi="Candara" w:cs="Times New Roman"/>
          <w:sz w:val="22"/>
          <w:szCs w:val="22"/>
          <w:lang w:eastAsia="en-US"/>
        </w:rPr>
        <w:t xml:space="preserve"> </w:t>
      </w:r>
    </w:p>
    <w:p w14:paraId="6417B633" w14:textId="77777777" w:rsidR="00E03BED" w:rsidRPr="0078306D" w:rsidRDefault="00E03BED" w:rsidP="00E03BED">
      <w:pPr>
        <w:jc w:val="both"/>
        <w:rPr>
          <w:rFonts w:ascii="Candara" w:hAnsi="Candara" w:cs="Times New Roman"/>
          <w:sz w:val="22"/>
          <w:szCs w:val="22"/>
          <w:lang w:eastAsia="en-US"/>
        </w:rPr>
      </w:pPr>
    </w:p>
    <w:p w14:paraId="7CB5B0E5" w14:textId="77777777" w:rsidR="00E03BED" w:rsidRDefault="00E03BED" w:rsidP="00E03BED">
      <w:pPr>
        <w:jc w:val="both"/>
        <w:rPr>
          <w:rFonts w:ascii="Candara" w:hAnsi="Candara" w:cs="Times New Roman"/>
          <w:sz w:val="22"/>
          <w:szCs w:val="22"/>
          <w:lang w:eastAsia="en-US"/>
        </w:rPr>
      </w:pPr>
      <w:r w:rsidRPr="0078306D">
        <w:rPr>
          <w:rFonts w:ascii="Candara" w:hAnsi="Candara" w:cs="Times New Roman"/>
          <w:sz w:val="22"/>
          <w:szCs w:val="22"/>
          <w:lang w:eastAsia="en-US"/>
        </w:rPr>
        <w:t xml:space="preserve">L’épidémie est de type généralisé avec une prévalence du VIH au sein de la population de 15-49 ans qui est de 1,5% en 2018, dont </w:t>
      </w:r>
      <w:r w:rsidRPr="001A4D6A">
        <w:rPr>
          <w:rFonts w:ascii="Candara" w:hAnsi="Candara" w:cs="Times New Roman"/>
          <w:sz w:val="22"/>
          <w:szCs w:val="22"/>
          <w:lang w:eastAsia="en-US"/>
        </w:rPr>
        <w:t>1,3</w:t>
      </w:r>
      <w:r>
        <w:rPr>
          <w:rFonts w:ascii="Candara" w:hAnsi="Candara" w:cs="Times New Roman"/>
          <w:sz w:val="22"/>
          <w:szCs w:val="22"/>
          <w:lang w:eastAsia="en-US"/>
        </w:rPr>
        <w:t xml:space="preserve"> </w:t>
      </w:r>
      <w:r w:rsidRPr="0078306D">
        <w:rPr>
          <w:rFonts w:ascii="Candara" w:hAnsi="Candara" w:cs="Times New Roman"/>
          <w:sz w:val="22"/>
          <w:szCs w:val="22"/>
          <w:lang w:eastAsia="en-US"/>
        </w:rPr>
        <w:t xml:space="preserve">% chez les hommes et </w:t>
      </w:r>
      <w:r>
        <w:rPr>
          <w:rFonts w:ascii="Candara" w:hAnsi="Candara" w:cs="Times New Roman"/>
          <w:sz w:val="22"/>
          <w:szCs w:val="22"/>
          <w:lang w:eastAsia="en-US"/>
        </w:rPr>
        <w:t xml:space="preserve">1,6 </w:t>
      </w:r>
      <w:r w:rsidRPr="0078306D">
        <w:rPr>
          <w:rFonts w:ascii="Candara" w:hAnsi="Candara" w:cs="Times New Roman"/>
          <w:sz w:val="22"/>
          <w:szCs w:val="22"/>
          <w:lang w:eastAsia="en-US"/>
        </w:rPr>
        <w:t xml:space="preserve">% chez les femmes (EDS-MICS 2018). </w:t>
      </w:r>
    </w:p>
    <w:p w14:paraId="61503062" w14:textId="77777777" w:rsidR="00E03BED" w:rsidRPr="0078306D" w:rsidRDefault="00E03BED" w:rsidP="00E03BED">
      <w:pPr>
        <w:widowControl w:val="0"/>
        <w:autoSpaceDE w:val="0"/>
        <w:autoSpaceDN w:val="0"/>
        <w:adjustRightInd w:val="0"/>
        <w:spacing w:after="240" w:line="360" w:lineRule="atLeast"/>
        <w:jc w:val="both"/>
        <w:rPr>
          <w:rFonts w:ascii="Candara" w:hAnsi="Candara" w:cs="Times New Roman"/>
          <w:sz w:val="22"/>
          <w:szCs w:val="22"/>
          <w:lang w:eastAsia="en-US"/>
        </w:rPr>
      </w:pPr>
      <w:r>
        <w:rPr>
          <w:rFonts w:ascii="Candara" w:hAnsi="Candara" w:cs="Times New Roman"/>
          <w:sz w:val="22"/>
          <w:szCs w:val="22"/>
          <w:lang w:eastAsia="en-US"/>
        </w:rPr>
        <w:t>Le p</w:t>
      </w:r>
      <w:r w:rsidRPr="00DC5FCE">
        <w:rPr>
          <w:rFonts w:ascii="Candara" w:hAnsi="Candara" w:cs="Times New Roman"/>
          <w:sz w:val="22"/>
          <w:szCs w:val="22"/>
          <w:lang w:eastAsia="en-US"/>
        </w:rPr>
        <w:t>ourcentage de jeunes âgés de 15 - 24 ans qui vivent avec le VIH</w:t>
      </w:r>
      <w:r>
        <w:rPr>
          <w:rFonts w:ascii="Candara" w:hAnsi="Candara" w:cs="Times New Roman"/>
          <w:sz w:val="22"/>
          <w:szCs w:val="22"/>
          <w:lang w:eastAsia="en-US"/>
        </w:rPr>
        <w:t xml:space="preserve"> est de 0,7% </w:t>
      </w:r>
      <w:r w:rsidRPr="0078306D">
        <w:rPr>
          <w:rFonts w:ascii="Candara" w:hAnsi="Candara" w:cs="Times New Roman"/>
          <w:sz w:val="22"/>
          <w:szCs w:val="22"/>
          <w:lang w:eastAsia="en-US"/>
        </w:rPr>
        <w:t>(ESCOMB 2017)</w:t>
      </w:r>
    </w:p>
    <w:p w14:paraId="5C5D0EB8" w14:textId="77777777" w:rsidR="00E03BED" w:rsidRDefault="00E03BED" w:rsidP="00E03BED">
      <w:pPr>
        <w:jc w:val="both"/>
        <w:rPr>
          <w:rFonts w:ascii="Candara" w:hAnsi="Candara" w:cs="Times New Roman"/>
          <w:sz w:val="22"/>
          <w:szCs w:val="22"/>
          <w:lang w:eastAsia="en-US"/>
        </w:rPr>
      </w:pPr>
      <w:r>
        <w:rPr>
          <w:rFonts w:ascii="Candara" w:hAnsi="Candara" w:cs="Times New Roman"/>
          <w:sz w:val="22"/>
          <w:szCs w:val="22"/>
          <w:lang w:eastAsia="en-US"/>
        </w:rPr>
        <w:t>L</w:t>
      </w:r>
      <w:r w:rsidRPr="0078306D">
        <w:rPr>
          <w:rFonts w:ascii="Candara" w:hAnsi="Candara" w:cs="Times New Roman"/>
          <w:sz w:val="22"/>
          <w:szCs w:val="22"/>
          <w:lang w:eastAsia="en-US"/>
        </w:rPr>
        <w:t>a prévalence dans la population générale présente de grandes disparités selon les régions administratives </w:t>
      </w:r>
      <w:r>
        <w:rPr>
          <w:rFonts w:ascii="Candara" w:hAnsi="Candara" w:cs="Times New Roman"/>
          <w:sz w:val="22"/>
          <w:szCs w:val="22"/>
          <w:lang w:eastAsia="en-US"/>
        </w:rPr>
        <w:t xml:space="preserve">avec respectivement 2,0% à </w:t>
      </w:r>
      <w:r w:rsidRPr="0078306D">
        <w:rPr>
          <w:rFonts w:ascii="Candara" w:hAnsi="Candara" w:cs="Times New Roman"/>
          <w:sz w:val="22"/>
          <w:szCs w:val="22"/>
          <w:lang w:eastAsia="en-US"/>
        </w:rPr>
        <w:t>Boké</w:t>
      </w:r>
      <w:r>
        <w:rPr>
          <w:rFonts w:ascii="Candara" w:hAnsi="Candara" w:cs="Times New Roman"/>
          <w:sz w:val="22"/>
          <w:szCs w:val="22"/>
          <w:lang w:eastAsia="en-US"/>
        </w:rPr>
        <w:t xml:space="preserve">, 1,8% à Kindia, 1,7% à </w:t>
      </w:r>
      <w:r w:rsidRPr="0078306D">
        <w:rPr>
          <w:rFonts w:ascii="Candara" w:hAnsi="Candara" w:cs="Times New Roman"/>
          <w:sz w:val="22"/>
          <w:szCs w:val="22"/>
          <w:lang w:eastAsia="en-US"/>
        </w:rPr>
        <w:t>Conakry</w:t>
      </w:r>
      <w:r>
        <w:rPr>
          <w:rFonts w:ascii="Candara" w:hAnsi="Candara" w:cs="Times New Roman"/>
          <w:sz w:val="22"/>
          <w:szCs w:val="22"/>
          <w:lang w:eastAsia="en-US"/>
        </w:rPr>
        <w:t xml:space="preserve"> et à Kankan, 1,5</w:t>
      </w:r>
      <w:r w:rsidRPr="0078306D">
        <w:rPr>
          <w:rFonts w:ascii="Candara" w:hAnsi="Candara" w:cs="Times New Roman"/>
          <w:sz w:val="22"/>
          <w:szCs w:val="22"/>
          <w:lang w:eastAsia="en-US"/>
        </w:rPr>
        <w:t xml:space="preserve">%, </w:t>
      </w:r>
      <w:r>
        <w:rPr>
          <w:rFonts w:ascii="Candara" w:hAnsi="Candara" w:cs="Times New Roman"/>
          <w:sz w:val="22"/>
          <w:szCs w:val="22"/>
          <w:lang w:eastAsia="en-US"/>
        </w:rPr>
        <w:t xml:space="preserve">à </w:t>
      </w:r>
      <w:r w:rsidRPr="0078306D">
        <w:rPr>
          <w:rFonts w:ascii="Candara" w:hAnsi="Candara" w:cs="Times New Roman"/>
          <w:sz w:val="22"/>
          <w:szCs w:val="22"/>
          <w:lang w:eastAsia="en-US"/>
        </w:rPr>
        <w:t>N’</w:t>
      </w:r>
      <w:proofErr w:type="spellStart"/>
      <w:r w:rsidRPr="0078306D">
        <w:rPr>
          <w:rFonts w:ascii="Candara" w:hAnsi="Candara" w:cs="Times New Roman"/>
          <w:sz w:val="22"/>
          <w:szCs w:val="22"/>
          <w:lang w:eastAsia="en-US"/>
        </w:rPr>
        <w:t>Zérékoré</w:t>
      </w:r>
      <w:proofErr w:type="spellEnd"/>
      <w:r>
        <w:rPr>
          <w:rFonts w:ascii="Candara" w:hAnsi="Candara" w:cs="Times New Roman"/>
          <w:sz w:val="22"/>
          <w:szCs w:val="22"/>
          <w:lang w:eastAsia="en-US"/>
        </w:rPr>
        <w:t>, 1 ,2% à Faranah, 1% à Mamou et Labé.</w:t>
      </w:r>
    </w:p>
    <w:p w14:paraId="790A90FE" w14:textId="77777777" w:rsidR="00E03BED" w:rsidRDefault="00E03BED" w:rsidP="00E03BED">
      <w:pPr>
        <w:jc w:val="both"/>
        <w:rPr>
          <w:rFonts w:ascii="Candara" w:hAnsi="Candara" w:cs="Times New Roman"/>
          <w:sz w:val="22"/>
          <w:szCs w:val="22"/>
          <w:lang w:eastAsia="en-US"/>
        </w:rPr>
      </w:pPr>
    </w:p>
    <w:p w14:paraId="25694C8C" w14:textId="77777777" w:rsidR="00E03BED" w:rsidRPr="00621DF6" w:rsidRDefault="00E03BED" w:rsidP="00E03BED">
      <w:pPr>
        <w:jc w:val="both"/>
        <w:rPr>
          <w:rFonts w:ascii="Candara" w:hAnsi="Candara" w:cs="Times New Roman"/>
          <w:sz w:val="22"/>
          <w:szCs w:val="22"/>
          <w:lang w:eastAsia="en-US"/>
        </w:rPr>
      </w:pPr>
      <w:r w:rsidRPr="00621DF6">
        <w:rPr>
          <w:rFonts w:ascii="Candara" w:hAnsi="Candara" w:cs="Times New Roman"/>
          <w:sz w:val="22"/>
          <w:szCs w:val="22"/>
          <w:lang w:eastAsia="en-US"/>
        </w:rPr>
        <w:t xml:space="preserve">La distribution du nombre de PVVIH est également variable dans le pays. En effet, on note une concentration de PVVIH au niveau des villes frontalières, sur les principaux axes routiers au Sud et au Nord-Est. Dans les grandes villes du pays telles que Boké, Conakry, Kankan et Nzérékoré (ainsi que ces préfectures proches), Labé, Mamou et Faranah, on note un plus grand nombre de PVVIH qu’au niveau </w:t>
      </w:r>
      <w:r w:rsidRPr="00621DF6">
        <w:rPr>
          <w:rFonts w:ascii="Candara" w:hAnsi="Candara" w:cs="Times New Roman"/>
          <w:sz w:val="22"/>
          <w:szCs w:val="22"/>
          <w:lang w:eastAsia="en-US"/>
        </w:rPr>
        <w:lastRenderedPageBreak/>
        <w:t xml:space="preserve">des autres villes du pays. Certaines sous-préfectures minières présentent une densité forte de PVVIH telles que </w:t>
      </w:r>
      <w:proofErr w:type="spellStart"/>
      <w:r w:rsidRPr="00621DF6">
        <w:rPr>
          <w:rFonts w:ascii="Candara" w:hAnsi="Candara" w:cs="Times New Roman"/>
          <w:sz w:val="22"/>
          <w:szCs w:val="22"/>
          <w:lang w:eastAsia="en-US"/>
        </w:rPr>
        <w:t>Kamsar</w:t>
      </w:r>
      <w:proofErr w:type="spellEnd"/>
      <w:r w:rsidRPr="00621DF6">
        <w:rPr>
          <w:rFonts w:ascii="Candara" w:hAnsi="Candara" w:cs="Times New Roman"/>
          <w:sz w:val="22"/>
          <w:szCs w:val="22"/>
          <w:lang w:eastAsia="en-US"/>
        </w:rPr>
        <w:t>/</w:t>
      </w:r>
      <w:proofErr w:type="spellStart"/>
      <w:r w:rsidRPr="00621DF6">
        <w:rPr>
          <w:rFonts w:ascii="Candara" w:hAnsi="Candara" w:cs="Times New Roman"/>
          <w:sz w:val="22"/>
          <w:szCs w:val="22"/>
          <w:lang w:eastAsia="en-US"/>
        </w:rPr>
        <w:t>Sangarédi</w:t>
      </w:r>
      <w:proofErr w:type="spellEnd"/>
      <w:r w:rsidRPr="00621DF6">
        <w:rPr>
          <w:rFonts w:ascii="Candara" w:hAnsi="Candara" w:cs="Times New Roman"/>
          <w:sz w:val="22"/>
          <w:szCs w:val="22"/>
          <w:lang w:eastAsia="en-US"/>
        </w:rPr>
        <w:t xml:space="preserve"> dans Boké, </w:t>
      </w:r>
      <w:proofErr w:type="spellStart"/>
      <w:r w:rsidRPr="00621DF6">
        <w:rPr>
          <w:rFonts w:ascii="Candara" w:hAnsi="Candara" w:cs="Times New Roman"/>
          <w:sz w:val="22"/>
          <w:szCs w:val="22"/>
          <w:lang w:eastAsia="en-US"/>
        </w:rPr>
        <w:t>Banankoro</w:t>
      </w:r>
      <w:proofErr w:type="spellEnd"/>
      <w:r w:rsidRPr="00621DF6">
        <w:rPr>
          <w:rFonts w:ascii="Candara" w:hAnsi="Candara" w:cs="Times New Roman"/>
          <w:sz w:val="22"/>
          <w:szCs w:val="22"/>
          <w:lang w:eastAsia="en-US"/>
        </w:rPr>
        <w:t xml:space="preserve"> dans Kérouané et </w:t>
      </w:r>
      <w:proofErr w:type="spellStart"/>
      <w:r w:rsidRPr="00621DF6">
        <w:rPr>
          <w:rFonts w:ascii="Candara" w:hAnsi="Candara" w:cs="Times New Roman"/>
          <w:sz w:val="22"/>
          <w:szCs w:val="22"/>
          <w:lang w:eastAsia="en-US"/>
        </w:rPr>
        <w:t>Koron</w:t>
      </w:r>
      <w:proofErr w:type="spellEnd"/>
      <w:r w:rsidRPr="00621DF6">
        <w:rPr>
          <w:rFonts w:ascii="Candara" w:hAnsi="Candara" w:cs="Times New Roman"/>
          <w:sz w:val="22"/>
          <w:szCs w:val="22"/>
          <w:lang w:eastAsia="en-US"/>
        </w:rPr>
        <w:t xml:space="preserve"> dans Siguiri</w:t>
      </w:r>
      <w:r>
        <w:rPr>
          <w:rFonts w:ascii="Candara" w:hAnsi="Candara" w:cs="Times New Roman"/>
          <w:sz w:val="22"/>
          <w:szCs w:val="22"/>
          <w:lang w:eastAsia="en-US"/>
        </w:rPr>
        <w:t xml:space="preserve"> (</w:t>
      </w:r>
      <w:r w:rsidRPr="00AF034F">
        <w:rPr>
          <w:rFonts w:ascii="Candara" w:hAnsi="Candara" w:cs="Times New Roman"/>
          <w:sz w:val="22"/>
          <w:szCs w:val="22"/>
          <w:lang w:eastAsia="en-US"/>
        </w:rPr>
        <w:t>sources : UNAIDS/ l’EDS-MICS 2018)</w:t>
      </w:r>
      <w:r>
        <w:rPr>
          <w:rFonts w:ascii="Candara" w:hAnsi="Candara" w:cs="Times New Roman"/>
          <w:sz w:val="22"/>
          <w:szCs w:val="22"/>
          <w:lang w:eastAsia="en-US"/>
        </w:rPr>
        <w:t>.</w:t>
      </w:r>
    </w:p>
    <w:p w14:paraId="53AA5C78" w14:textId="77777777" w:rsidR="00E03BED" w:rsidRDefault="00E03BED" w:rsidP="00E03BED">
      <w:pPr>
        <w:jc w:val="both"/>
        <w:rPr>
          <w:rFonts w:ascii="Candara" w:hAnsi="Candara" w:cs="Times New Roman"/>
          <w:sz w:val="22"/>
          <w:szCs w:val="22"/>
          <w:lang w:eastAsia="en-US"/>
        </w:rPr>
      </w:pPr>
    </w:p>
    <w:p w14:paraId="49AA379E" w14:textId="77777777" w:rsidR="00E03BED" w:rsidRPr="00A36F93" w:rsidRDefault="00E03BED" w:rsidP="00E03BED">
      <w:pPr>
        <w:jc w:val="both"/>
        <w:rPr>
          <w:rFonts w:ascii="Candara" w:hAnsi="Candara" w:cs="Times New Roman"/>
          <w:sz w:val="22"/>
          <w:szCs w:val="22"/>
          <w:lang w:eastAsia="en-US"/>
        </w:rPr>
      </w:pPr>
      <w:r>
        <w:rPr>
          <w:rFonts w:ascii="Candara" w:hAnsi="Candara" w:cs="Times New Roman"/>
          <w:sz w:val="22"/>
          <w:szCs w:val="22"/>
          <w:lang w:eastAsia="en-US"/>
        </w:rPr>
        <w:t>De plus, b</w:t>
      </w:r>
      <w:r w:rsidRPr="0078306D">
        <w:rPr>
          <w:rFonts w:ascii="Candara" w:hAnsi="Candara" w:cs="Times New Roman"/>
          <w:sz w:val="22"/>
          <w:szCs w:val="22"/>
          <w:lang w:eastAsia="en-US"/>
        </w:rPr>
        <w:t xml:space="preserve">ien que la prévalence nationale </w:t>
      </w:r>
      <w:r>
        <w:rPr>
          <w:rFonts w:ascii="Candara" w:hAnsi="Candara" w:cs="Times New Roman"/>
          <w:sz w:val="22"/>
          <w:szCs w:val="22"/>
          <w:lang w:eastAsia="en-US"/>
        </w:rPr>
        <w:t xml:space="preserve">du VIH </w:t>
      </w:r>
      <w:r w:rsidRPr="0078306D">
        <w:rPr>
          <w:rFonts w:ascii="Candara" w:hAnsi="Candara" w:cs="Times New Roman"/>
          <w:sz w:val="22"/>
          <w:szCs w:val="22"/>
          <w:lang w:eastAsia="en-US"/>
        </w:rPr>
        <w:t>soit faible, elle reste élevée au sein de certains types de population : HSH 11,4</w:t>
      </w:r>
      <w:r w:rsidR="00293328" w:rsidRPr="0078306D">
        <w:rPr>
          <w:rFonts w:ascii="Candara" w:hAnsi="Candara" w:cs="Times New Roman"/>
          <w:sz w:val="22"/>
          <w:szCs w:val="22"/>
          <w:lang w:eastAsia="en-US"/>
        </w:rPr>
        <w:t xml:space="preserve">% </w:t>
      </w:r>
      <w:r w:rsidR="00293328">
        <w:rPr>
          <w:rFonts w:ascii="Candara" w:hAnsi="Candara" w:cs="Times New Roman"/>
          <w:sz w:val="22"/>
          <w:szCs w:val="22"/>
          <w:lang w:eastAsia="en-US"/>
        </w:rPr>
        <w:t>(</w:t>
      </w:r>
      <w:r w:rsidRPr="0078306D">
        <w:rPr>
          <w:rFonts w:ascii="Candara" w:hAnsi="Candara" w:cs="Times New Roman"/>
          <w:sz w:val="22"/>
          <w:szCs w:val="22"/>
          <w:lang w:eastAsia="en-US"/>
        </w:rPr>
        <w:t>ESCOMB 2017), PS 10,7%</w:t>
      </w:r>
      <w:proofErr w:type="gramStart"/>
      <w:r>
        <w:rPr>
          <w:rFonts w:ascii="Candara" w:hAnsi="Candara" w:cs="Times New Roman"/>
          <w:sz w:val="22"/>
          <w:szCs w:val="22"/>
          <w:lang w:eastAsia="en-US"/>
        </w:rPr>
        <w:t xml:space="preserve"> </w:t>
      </w:r>
      <w:r w:rsidR="00BA21A0">
        <w:rPr>
          <w:rFonts w:ascii="Candara" w:hAnsi="Candara" w:cs="Times New Roman"/>
          <w:sz w:val="22"/>
          <w:szCs w:val="22"/>
          <w:lang w:eastAsia="en-US"/>
        </w:rPr>
        <w:t>  (</w:t>
      </w:r>
      <w:proofErr w:type="gramEnd"/>
      <w:r>
        <w:rPr>
          <w:rFonts w:ascii="Candara" w:hAnsi="Candara" w:cs="Times New Roman"/>
          <w:sz w:val="22"/>
          <w:szCs w:val="22"/>
          <w:lang w:eastAsia="en-US"/>
        </w:rPr>
        <w:t xml:space="preserve">UNAIDS </w:t>
      </w:r>
      <w:proofErr w:type="spellStart"/>
      <w:r>
        <w:rPr>
          <w:rFonts w:ascii="Candara" w:hAnsi="Candara" w:cs="Times New Roman"/>
          <w:sz w:val="22"/>
          <w:szCs w:val="22"/>
          <w:lang w:eastAsia="en-US"/>
        </w:rPr>
        <w:t>Estimates</w:t>
      </w:r>
      <w:proofErr w:type="spellEnd"/>
      <w:r>
        <w:rPr>
          <w:rFonts w:ascii="Candara" w:hAnsi="Candara" w:cs="Times New Roman"/>
          <w:sz w:val="22"/>
          <w:szCs w:val="22"/>
          <w:lang w:eastAsia="en-US"/>
        </w:rPr>
        <w:t xml:space="preserve"> 2017)</w:t>
      </w:r>
      <w:r w:rsidRPr="0078306D">
        <w:rPr>
          <w:rFonts w:ascii="Candara" w:hAnsi="Candara" w:cs="Times New Roman"/>
          <w:sz w:val="22"/>
          <w:szCs w:val="22"/>
          <w:lang w:eastAsia="en-US"/>
        </w:rPr>
        <w:t xml:space="preserve">, TB : 23,4%, les femmes enceintes : 3,9%, population carcérale </w:t>
      </w:r>
      <w:r w:rsidRPr="006F2BC5">
        <w:rPr>
          <w:rFonts w:ascii="Candara" w:hAnsi="Candara" w:cs="Times New Roman"/>
          <w:sz w:val="22"/>
          <w:szCs w:val="22"/>
          <w:lang w:eastAsia="en-US"/>
        </w:rPr>
        <w:t>2,5</w:t>
      </w:r>
      <w:r w:rsidRPr="0078306D">
        <w:rPr>
          <w:rFonts w:ascii="Candara" w:hAnsi="Candara" w:cs="Times New Roman"/>
          <w:sz w:val="22"/>
          <w:szCs w:val="22"/>
          <w:lang w:eastAsia="en-US"/>
        </w:rPr>
        <w:t>%, les miniers 1,4%, les Hommes en uniformes 3,5%</w:t>
      </w:r>
      <w:r>
        <w:rPr>
          <w:rFonts w:ascii="Candara" w:hAnsi="Candara" w:cs="Times New Roman"/>
          <w:sz w:val="22"/>
          <w:szCs w:val="22"/>
          <w:lang w:eastAsia="en-US"/>
        </w:rPr>
        <w:t xml:space="preserve">, les pêcheurs </w:t>
      </w:r>
      <w:r w:rsidRPr="006F2BC5">
        <w:rPr>
          <w:rFonts w:ascii="Candara" w:hAnsi="Candara" w:cs="Times New Roman"/>
          <w:sz w:val="22"/>
          <w:szCs w:val="22"/>
          <w:lang w:eastAsia="en-US"/>
        </w:rPr>
        <w:t>3,8%, routiers 2,3%.</w:t>
      </w:r>
      <w:r w:rsidRPr="0078306D">
        <w:rPr>
          <w:rFonts w:ascii="Candara" w:hAnsi="Candara" w:cs="Times New Roman"/>
          <w:sz w:val="22"/>
          <w:szCs w:val="22"/>
          <w:lang w:eastAsia="en-US"/>
        </w:rPr>
        <w:t xml:space="preserve"> </w:t>
      </w:r>
    </w:p>
    <w:p w14:paraId="222481F1" w14:textId="77777777" w:rsidR="00E03BED" w:rsidRDefault="00E03BED" w:rsidP="00E03BED">
      <w:pPr>
        <w:pStyle w:val="Titre1"/>
      </w:pPr>
      <w:bookmarkStart w:id="2" w:name="_Toc15906415"/>
      <w:r>
        <w:t>III. EVOLUTION DES NOUVELLES INFECTIONS</w:t>
      </w:r>
      <w:bookmarkEnd w:id="2"/>
    </w:p>
    <w:p w14:paraId="6D99B059" w14:textId="77777777" w:rsidR="00E03BED" w:rsidRPr="00515C08" w:rsidRDefault="00E03BED" w:rsidP="00E03BED">
      <w:pPr>
        <w:rPr>
          <w:rFonts w:ascii="Candara" w:hAnsi="Candara" w:cs="Times New Roman"/>
          <w:sz w:val="22"/>
          <w:szCs w:val="22"/>
          <w:lang w:eastAsia="en-US"/>
        </w:rPr>
      </w:pPr>
    </w:p>
    <w:p w14:paraId="3C0F3035" w14:textId="77777777" w:rsidR="00E03BED" w:rsidRDefault="00E03BED" w:rsidP="00E03BED">
      <w:pPr>
        <w:jc w:val="both"/>
        <w:rPr>
          <w:rFonts w:ascii="Candara" w:hAnsi="Candara" w:cs="Times New Roman"/>
          <w:sz w:val="22"/>
          <w:szCs w:val="22"/>
          <w:lang w:eastAsia="en-US"/>
        </w:rPr>
      </w:pPr>
      <w:r w:rsidRPr="00515C08">
        <w:rPr>
          <w:rFonts w:ascii="Candara" w:hAnsi="Candara" w:cs="Times New Roman"/>
          <w:sz w:val="22"/>
          <w:szCs w:val="22"/>
          <w:lang w:eastAsia="en-US"/>
        </w:rPr>
        <w:t xml:space="preserve">Selon les données de </w:t>
      </w:r>
      <w:proofErr w:type="gramStart"/>
      <w:r w:rsidRPr="00515C08">
        <w:rPr>
          <w:rFonts w:ascii="Candara" w:hAnsi="Candara" w:cs="Times New Roman"/>
          <w:sz w:val="22"/>
          <w:szCs w:val="22"/>
          <w:lang w:eastAsia="en-US"/>
        </w:rPr>
        <w:t>UNAID</w:t>
      </w:r>
      <w:r w:rsidR="00A40EC3">
        <w:rPr>
          <w:rFonts w:ascii="Candara" w:hAnsi="Candara" w:cs="Times New Roman"/>
          <w:sz w:val="22"/>
          <w:szCs w:val="22"/>
          <w:lang w:eastAsia="en-US"/>
        </w:rPr>
        <w:t xml:space="preserve"> </w:t>
      </w:r>
      <w:r>
        <w:rPr>
          <w:rFonts w:ascii="Candara" w:hAnsi="Candara" w:cs="Times New Roman"/>
          <w:sz w:val="22"/>
          <w:szCs w:val="22"/>
          <w:lang w:eastAsia="en-US"/>
        </w:rPr>
        <w:t xml:space="preserve"> </w:t>
      </w:r>
      <w:proofErr w:type="spellStart"/>
      <w:r>
        <w:rPr>
          <w:rFonts w:ascii="Candara" w:hAnsi="Candara" w:cs="Times New Roman"/>
          <w:sz w:val="22"/>
          <w:szCs w:val="22"/>
          <w:lang w:eastAsia="en-US"/>
        </w:rPr>
        <w:t>Estimates</w:t>
      </w:r>
      <w:proofErr w:type="spellEnd"/>
      <w:proofErr w:type="gramEnd"/>
      <w:r>
        <w:rPr>
          <w:rFonts w:ascii="Candara" w:hAnsi="Candara" w:cs="Times New Roman"/>
          <w:sz w:val="22"/>
          <w:szCs w:val="22"/>
          <w:lang w:eastAsia="en-US"/>
        </w:rPr>
        <w:t>, en 2018 le nombre de nouvelles infections était de 6 600 dont 1300 pour les enfants de moins de 15 ans. Chez les 15-24 ans, il était estimé à environ 1400 pour les femmes et inférieur à 530 pour les hommes. Chez les adolescents (10-19ans), le nombre de nouvelles infections était estimé à 855 en 2017.</w:t>
      </w:r>
    </w:p>
    <w:p w14:paraId="2DB92E0F" w14:textId="77777777" w:rsidR="00E03BED" w:rsidRDefault="00E03BED" w:rsidP="00E03BED">
      <w:pPr>
        <w:jc w:val="both"/>
        <w:rPr>
          <w:rFonts w:ascii="Candara" w:hAnsi="Candara" w:cs="Times New Roman"/>
          <w:sz w:val="22"/>
          <w:szCs w:val="22"/>
          <w:lang w:eastAsia="en-US"/>
        </w:rPr>
      </w:pPr>
      <w:r>
        <w:rPr>
          <w:rFonts w:ascii="Candara" w:hAnsi="Candara" w:cs="Times New Roman"/>
          <w:sz w:val="22"/>
          <w:szCs w:val="22"/>
          <w:lang w:eastAsia="en-US"/>
        </w:rPr>
        <w:t xml:space="preserve">De façon générale une diminution d’environ 20% des nouvelles infections est observée entre 2010 et 2018, passant de 8 200 à 6 600. </w:t>
      </w:r>
    </w:p>
    <w:p w14:paraId="3428AFE5" w14:textId="77777777" w:rsidR="00E03BED" w:rsidRDefault="00E03BED" w:rsidP="00E03BED">
      <w:pPr>
        <w:jc w:val="both"/>
        <w:rPr>
          <w:rFonts w:ascii="Candara" w:hAnsi="Candara" w:cs="Times New Roman"/>
          <w:sz w:val="22"/>
          <w:szCs w:val="22"/>
          <w:lang w:eastAsia="en-US"/>
        </w:rPr>
      </w:pPr>
    </w:p>
    <w:p w14:paraId="17F0B1BF" w14:textId="77777777" w:rsidR="00E03BED" w:rsidRDefault="00E03BED" w:rsidP="00E03BED">
      <w:pPr>
        <w:jc w:val="both"/>
        <w:rPr>
          <w:rFonts w:ascii="Candara" w:hAnsi="Candara" w:cs="Times New Roman"/>
          <w:sz w:val="22"/>
          <w:szCs w:val="22"/>
          <w:lang w:eastAsia="en-US"/>
        </w:rPr>
      </w:pPr>
      <w:r>
        <w:rPr>
          <w:noProof/>
          <w:lang w:val="en-US" w:eastAsia="en-US"/>
        </w:rPr>
        <w:drawing>
          <wp:inline distT="0" distB="0" distL="0" distR="0" wp14:anchorId="3BF2025D" wp14:editId="4E517D7B">
            <wp:extent cx="5683910" cy="2615565"/>
            <wp:effectExtent l="0" t="0" r="0" b="0"/>
            <wp:docPr id="20" name="Graphique 20">
              <a:extLst xmlns:a="http://schemas.openxmlformats.org/drawingml/2006/main">
                <a:ext uri="{FF2B5EF4-FFF2-40B4-BE49-F238E27FC236}">
                  <a16:creationId xmlns:a16="http://schemas.microsoft.com/office/drawing/2014/main" id="{EE697E99-9A3B-486C-AD3B-BF7DEB0047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DF9FCB" w14:textId="77777777" w:rsidR="00E03BED" w:rsidRDefault="00E03BED" w:rsidP="00E03BED">
      <w:pPr>
        <w:jc w:val="both"/>
        <w:rPr>
          <w:rFonts w:ascii="Candara" w:hAnsi="Candara" w:cs="Times New Roman"/>
          <w:sz w:val="22"/>
          <w:szCs w:val="22"/>
          <w:lang w:eastAsia="en-US"/>
        </w:rPr>
      </w:pPr>
    </w:p>
    <w:p w14:paraId="2901D317" w14:textId="77777777" w:rsidR="00E03BED" w:rsidRPr="00587FD9" w:rsidRDefault="00E03BED" w:rsidP="00E03BED">
      <w:pPr>
        <w:jc w:val="both"/>
        <w:rPr>
          <w:rFonts w:ascii="Candara" w:hAnsi="Candara" w:cs="Times New Roman"/>
          <w:b/>
          <w:sz w:val="22"/>
          <w:szCs w:val="22"/>
          <w:lang w:eastAsia="en-US"/>
        </w:rPr>
      </w:pPr>
      <w:r w:rsidRPr="00587FD9">
        <w:rPr>
          <w:rFonts w:ascii="Candara" w:hAnsi="Candara" w:cs="Times New Roman"/>
          <w:b/>
          <w:sz w:val="22"/>
          <w:szCs w:val="22"/>
          <w:u w:val="single"/>
          <w:lang w:eastAsia="en-US"/>
        </w:rPr>
        <w:t>Figure 1 </w:t>
      </w:r>
      <w:r w:rsidRPr="00587FD9">
        <w:rPr>
          <w:rFonts w:ascii="Candara" w:hAnsi="Candara" w:cs="Times New Roman"/>
          <w:b/>
          <w:sz w:val="22"/>
          <w:szCs w:val="22"/>
          <w:lang w:eastAsia="en-US"/>
        </w:rPr>
        <w:t xml:space="preserve">: évolution du nombre de </w:t>
      </w:r>
      <w:r>
        <w:rPr>
          <w:rFonts w:ascii="Candara" w:hAnsi="Candara" w:cs="Times New Roman"/>
          <w:b/>
          <w:sz w:val="22"/>
          <w:szCs w:val="22"/>
          <w:lang w:eastAsia="en-US"/>
        </w:rPr>
        <w:t xml:space="preserve">nouvelles infections au VIH </w:t>
      </w:r>
      <w:r w:rsidRPr="00587FD9">
        <w:rPr>
          <w:rFonts w:ascii="Candara" w:hAnsi="Candara" w:cs="Times New Roman"/>
          <w:b/>
          <w:sz w:val="22"/>
          <w:szCs w:val="22"/>
          <w:lang w:eastAsia="en-US"/>
        </w:rPr>
        <w:t xml:space="preserve">en Guinée de </w:t>
      </w:r>
      <w:r>
        <w:rPr>
          <w:rFonts w:ascii="Candara" w:hAnsi="Candara" w:cs="Times New Roman"/>
          <w:b/>
          <w:sz w:val="22"/>
          <w:szCs w:val="22"/>
          <w:lang w:eastAsia="en-US"/>
        </w:rPr>
        <w:t>2000</w:t>
      </w:r>
      <w:r w:rsidRPr="00587FD9">
        <w:rPr>
          <w:rFonts w:ascii="Candara" w:hAnsi="Candara" w:cs="Times New Roman"/>
          <w:b/>
          <w:sz w:val="22"/>
          <w:szCs w:val="22"/>
          <w:lang w:eastAsia="en-US"/>
        </w:rPr>
        <w:t xml:space="preserve"> à 201</w:t>
      </w:r>
      <w:r>
        <w:rPr>
          <w:rFonts w:ascii="Candara" w:hAnsi="Candara" w:cs="Times New Roman"/>
          <w:b/>
          <w:sz w:val="22"/>
          <w:szCs w:val="22"/>
          <w:lang w:eastAsia="en-US"/>
        </w:rPr>
        <w:t>8 (</w:t>
      </w:r>
      <w:r w:rsidRPr="00587FD9">
        <w:rPr>
          <w:rFonts w:ascii="Candara" w:hAnsi="Candara" w:cs="Times New Roman"/>
          <w:b/>
          <w:sz w:val="22"/>
          <w:szCs w:val="22"/>
          <w:lang w:eastAsia="en-US"/>
        </w:rPr>
        <w:t xml:space="preserve">Source : </w:t>
      </w:r>
      <w:r>
        <w:rPr>
          <w:rFonts w:ascii="Candara" w:hAnsi="Candara" w:cs="Times New Roman"/>
          <w:b/>
          <w:sz w:val="22"/>
          <w:szCs w:val="22"/>
          <w:lang w:eastAsia="en-US"/>
        </w:rPr>
        <w:t xml:space="preserve">Spectrum </w:t>
      </w:r>
      <w:r w:rsidRPr="00587FD9">
        <w:rPr>
          <w:rFonts w:ascii="Candara" w:hAnsi="Candara" w:cs="Times New Roman"/>
          <w:b/>
          <w:sz w:val="22"/>
          <w:szCs w:val="22"/>
          <w:lang w:eastAsia="en-US"/>
        </w:rPr>
        <w:t>UNAIDS</w:t>
      </w:r>
      <w:r>
        <w:rPr>
          <w:rFonts w:ascii="Candara" w:hAnsi="Candara" w:cs="Times New Roman"/>
          <w:b/>
          <w:sz w:val="22"/>
          <w:szCs w:val="22"/>
          <w:lang w:eastAsia="en-US"/>
        </w:rPr>
        <w:t xml:space="preserve"> 2018</w:t>
      </w:r>
      <w:r w:rsidRPr="00587FD9">
        <w:rPr>
          <w:rFonts w:ascii="Candara" w:hAnsi="Candara" w:cs="Times New Roman"/>
          <w:b/>
          <w:sz w:val="22"/>
          <w:szCs w:val="22"/>
          <w:lang w:eastAsia="en-US"/>
        </w:rPr>
        <w:t>)</w:t>
      </w:r>
    </w:p>
    <w:p w14:paraId="460BD081" w14:textId="77777777" w:rsidR="00E03BED" w:rsidRDefault="00E03BED" w:rsidP="00E03BED">
      <w:pPr>
        <w:jc w:val="both"/>
        <w:rPr>
          <w:rFonts w:ascii="Candara" w:hAnsi="Candara" w:cs="Times New Roman"/>
          <w:sz w:val="22"/>
          <w:szCs w:val="22"/>
          <w:lang w:eastAsia="en-US"/>
        </w:rPr>
      </w:pPr>
      <w:r>
        <w:rPr>
          <w:rFonts w:ascii="Candara" w:hAnsi="Candara" w:cs="Times New Roman"/>
          <w:sz w:val="22"/>
          <w:szCs w:val="22"/>
          <w:lang w:eastAsia="en-US"/>
        </w:rPr>
        <w:t xml:space="preserve"> </w:t>
      </w:r>
    </w:p>
    <w:p w14:paraId="4E4AB2B7" w14:textId="77777777" w:rsidR="004F5FDB" w:rsidRDefault="00E03BED" w:rsidP="00E03BED">
      <w:pPr>
        <w:jc w:val="both"/>
      </w:pPr>
      <w:r>
        <w:rPr>
          <w:rFonts w:ascii="Candara" w:hAnsi="Candara" w:cs="Times New Roman"/>
          <w:sz w:val="22"/>
          <w:szCs w:val="22"/>
          <w:lang w:eastAsia="en-US"/>
        </w:rPr>
        <w:t xml:space="preserve">Si cette tendance est maintenue, le pays ne pourra pas répondre à l’objectif de l’ONUSIDA dans sa stratégie 2016-2021 qui </w:t>
      </w:r>
      <w:r w:rsidRPr="00F56BB4">
        <w:rPr>
          <w:rFonts w:ascii="Candara" w:hAnsi="Candara" w:cs="Times New Roman"/>
          <w:sz w:val="22"/>
          <w:szCs w:val="22"/>
          <w:lang w:eastAsia="en-US"/>
        </w:rPr>
        <w:t>préconise une réduction des nouvelles infections de 75% d’ici 2020</w:t>
      </w:r>
      <w:r>
        <w:rPr>
          <w:rFonts w:ascii="Candara" w:hAnsi="Candara" w:cs="Times New Roman"/>
          <w:sz w:val="22"/>
          <w:szCs w:val="22"/>
          <w:lang w:eastAsia="en-US"/>
        </w:rPr>
        <w:t>, ni à l’objectif du CNS 2018-2022 qui vise à réduire les nouvelles infections de 50% en 2022</w:t>
      </w:r>
      <w:r>
        <w:t>.</w:t>
      </w:r>
    </w:p>
    <w:p w14:paraId="22B6E5C2" w14:textId="77777777" w:rsidR="004F5FDB" w:rsidRDefault="004F5FDB">
      <w:pPr>
        <w:spacing w:after="160" w:line="259" w:lineRule="auto"/>
      </w:pPr>
      <w:r>
        <w:br w:type="page"/>
      </w:r>
    </w:p>
    <w:p w14:paraId="5D98FDB2" w14:textId="77777777" w:rsidR="00E03BED" w:rsidRPr="00A36F93" w:rsidRDefault="00E03BED" w:rsidP="00E03BED">
      <w:pPr>
        <w:pStyle w:val="Titre1"/>
      </w:pPr>
      <w:bookmarkStart w:id="3" w:name="_Toc15906416"/>
      <w:r>
        <w:lastRenderedPageBreak/>
        <w:t>IV. EVOLUTION DES DECES LIES AU VIH</w:t>
      </w:r>
      <w:bookmarkEnd w:id="3"/>
    </w:p>
    <w:p w14:paraId="514974AC" w14:textId="77777777" w:rsidR="00E03BED" w:rsidRDefault="00E03BED" w:rsidP="00E03BED">
      <w:pPr>
        <w:jc w:val="both"/>
        <w:rPr>
          <w:rFonts w:ascii="Candara" w:hAnsi="Candara" w:cs="Times New Roman"/>
          <w:sz w:val="22"/>
          <w:szCs w:val="22"/>
          <w:lang w:eastAsia="en-US"/>
        </w:rPr>
      </w:pPr>
      <w:r w:rsidRPr="00515C08">
        <w:rPr>
          <w:rFonts w:ascii="Candara" w:hAnsi="Candara" w:cs="Times New Roman"/>
          <w:sz w:val="22"/>
          <w:szCs w:val="22"/>
          <w:lang w:eastAsia="en-US"/>
        </w:rPr>
        <w:t>Selon les données de UNAIDS</w:t>
      </w:r>
      <w:r>
        <w:rPr>
          <w:rFonts w:ascii="Candara" w:hAnsi="Candara" w:cs="Times New Roman"/>
          <w:sz w:val="22"/>
          <w:szCs w:val="22"/>
          <w:lang w:eastAsia="en-US"/>
        </w:rPr>
        <w:t xml:space="preserve"> </w:t>
      </w:r>
      <w:proofErr w:type="spellStart"/>
      <w:r>
        <w:rPr>
          <w:rFonts w:ascii="Candara" w:hAnsi="Candara" w:cs="Times New Roman"/>
          <w:sz w:val="22"/>
          <w:szCs w:val="22"/>
          <w:lang w:eastAsia="en-US"/>
        </w:rPr>
        <w:t>Estimates</w:t>
      </w:r>
      <w:proofErr w:type="spellEnd"/>
      <w:r>
        <w:rPr>
          <w:rFonts w:ascii="Candara" w:hAnsi="Candara" w:cs="Times New Roman"/>
          <w:sz w:val="22"/>
          <w:szCs w:val="22"/>
          <w:lang w:eastAsia="en-US"/>
        </w:rPr>
        <w:t xml:space="preserve">, en 2018 le nombre de décès liés au sida est passé de 4100 en 2010 à 4 300 en 2018 soit une augmentation d’environ 5 %. </w:t>
      </w:r>
    </w:p>
    <w:p w14:paraId="0A0DD09E" w14:textId="77777777" w:rsidR="00E03BED" w:rsidRDefault="00E03BED" w:rsidP="00E03BED">
      <w:pPr>
        <w:jc w:val="both"/>
        <w:rPr>
          <w:rFonts w:ascii="Candara" w:hAnsi="Candara" w:cs="Times New Roman"/>
          <w:sz w:val="22"/>
          <w:szCs w:val="22"/>
          <w:lang w:eastAsia="en-US"/>
        </w:rPr>
      </w:pPr>
    </w:p>
    <w:p w14:paraId="4F08E09D" w14:textId="77777777" w:rsidR="00E03BED" w:rsidRDefault="00E03BED" w:rsidP="00E03BED">
      <w:pPr>
        <w:jc w:val="both"/>
        <w:rPr>
          <w:rFonts w:ascii="Candara" w:hAnsi="Candara" w:cs="Times New Roman"/>
          <w:sz w:val="22"/>
          <w:szCs w:val="22"/>
          <w:lang w:eastAsia="en-US"/>
        </w:rPr>
      </w:pPr>
      <w:r>
        <w:rPr>
          <w:noProof/>
          <w:lang w:val="en-US" w:eastAsia="en-US"/>
        </w:rPr>
        <w:drawing>
          <wp:inline distT="0" distB="0" distL="0" distR="0" wp14:anchorId="2747AD67" wp14:editId="03D41A78">
            <wp:extent cx="5716905" cy="2677795"/>
            <wp:effectExtent l="0" t="0" r="0" b="0"/>
            <wp:docPr id="21" name="Graphique 21">
              <a:extLst xmlns:a="http://schemas.openxmlformats.org/drawingml/2006/main">
                <a:ext uri="{FF2B5EF4-FFF2-40B4-BE49-F238E27FC236}">
                  <a16:creationId xmlns:a16="http://schemas.microsoft.com/office/drawing/2014/main" id="{140F9B1F-CD39-4F37-B824-1AB162E45A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29DCF1D" w14:textId="77777777" w:rsidR="00E03BED" w:rsidRDefault="00E03BED" w:rsidP="00E03BED">
      <w:pPr>
        <w:jc w:val="both"/>
        <w:rPr>
          <w:rFonts w:ascii="Candara" w:hAnsi="Candara" w:cs="Times New Roman"/>
          <w:b/>
          <w:sz w:val="22"/>
          <w:szCs w:val="22"/>
          <w:u w:val="single"/>
          <w:lang w:eastAsia="en-US"/>
        </w:rPr>
      </w:pPr>
    </w:p>
    <w:p w14:paraId="1B1F4A7A" w14:textId="77777777" w:rsidR="00E03BED" w:rsidRPr="00587FD9" w:rsidRDefault="00E03BED" w:rsidP="00E03BED">
      <w:pPr>
        <w:jc w:val="both"/>
        <w:rPr>
          <w:rFonts w:ascii="Candara" w:hAnsi="Candara" w:cs="Times New Roman"/>
          <w:b/>
          <w:sz w:val="22"/>
          <w:szCs w:val="22"/>
          <w:lang w:eastAsia="en-US"/>
        </w:rPr>
      </w:pPr>
      <w:r w:rsidRPr="00587FD9">
        <w:rPr>
          <w:rFonts w:ascii="Candara" w:hAnsi="Candara" w:cs="Times New Roman"/>
          <w:b/>
          <w:sz w:val="22"/>
          <w:szCs w:val="22"/>
          <w:u w:val="single"/>
          <w:lang w:eastAsia="en-US"/>
        </w:rPr>
        <w:t>Figure 2</w:t>
      </w:r>
      <w:r w:rsidRPr="00587FD9">
        <w:rPr>
          <w:rFonts w:ascii="Candara" w:hAnsi="Candara" w:cs="Times New Roman"/>
          <w:b/>
          <w:sz w:val="22"/>
          <w:szCs w:val="22"/>
          <w:lang w:eastAsia="en-US"/>
        </w:rPr>
        <w:t xml:space="preserve"> : évolution du nombre de décès lié au Sida en Guinée de </w:t>
      </w:r>
      <w:r>
        <w:rPr>
          <w:rFonts w:ascii="Candara" w:hAnsi="Candara" w:cs="Times New Roman"/>
          <w:b/>
          <w:sz w:val="22"/>
          <w:szCs w:val="22"/>
          <w:lang w:eastAsia="en-US"/>
        </w:rPr>
        <w:t>2000</w:t>
      </w:r>
      <w:r w:rsidRPr="00587FD9">
        <w:rPr>
          <w:rFonts w:ascii="Candara" w:hAnsi="Candara" w:cs="Times New Roman"/>
          <w:b/>
          <w:sz w:val="22"/>
          <w:szCs w:val="22"/>
          <w:lang w:eastAsia="en-US"/>
        </w:rPr>
        <w:t xml:space="preserve"> à 201</w:t>
      </w:r>
      <w:r>
        <w:rPr>
          <w:rFonts w:ascii="Candara" w:hAnsi="Candara" w:cs="Times New Roman"/>
          <w:b/>
          <w:sz w:val="22"/>
          <w:szCs w:val="22"/>
          <w:lang w:eastAsia="en-US"/>
        </w:rPr>
        <w:t>8</w:t>
      </w:r>
      <w:r w:rsidRPr="00587FD9">
        <w:rPr>
          <w:rFonts w:ascii="Candara" w:hAnsi="Candara" w:cs="Times New Roman"/>
          <w:b/>
          <w:sz w:val="22"/>
          <w:szCs w:val="22"/>
          <w:lang w:eastAsia="en-US"/>
        </w:rPr>
        <w:t xml:space="preserve"> </w:t>
      </w:r>
      <w:r>
        <w:rPr>
          <w:rFonts w:ascii="Candara" w:hAnsi="Candara" w:cs="Times New Roman"/>
          <w:b/>
          <w:sz w:val="22"/>
          <w:szCs w:val="22"/>
          <w:lang w:eastAsia="en-US"/>
        </w:rPr>
        <w:t>(</w:t>
      </w:r>
      <w:r w:rsidRPr="00587FD9">
        <w:rPr>
          <w:rFonts w:ascii="Candara" w:hAnsi="Candara" w:cs="Times New Roman"/>
          <w:b/>
          <w:sz w:val="22"/>
          <w:szCs w:val="22"/>
          <w:lang w:eastAsia="en-US"/>
        </w:rPr>
        <w:t xml:space="preserve">Source : </w:t>
      </w:r>
      <w:r>
        <w:rPr>
          <w:rFonts w:ascii="Candara" w:hAnsi="Candara" w:cs="Times New Roman"/>
          <w:b/>
          <w:sz w:val="22"/>
          <w:szCs w:val="22"/>
          <w:lang w:eastAsia="en-US"/>
        </w:rPr>
        <w:t xml:space="preserve">Spectrum </w:t>
      </w:r>
      <w:r w:rsidRPr="00587FD9">
        <w:rPr>
          <w:rFonts w:ascii="Candara" w:hAnsi="Candara" w:cs="Times New Roman"/>
          <w:b/>
          <w:sz w:val="22"/>
          <w:szCs w:val="22"/>
          <w:lang w:eastAsia="en-US"/>
        </w:rPr>
        <w:t>UNAIDS</w:t>
      </w:r>
      <w:r>
        <w:rPr>
          <w:rFonts w:ascii="Candara" w:hAnsi="Candara" w:cs="Times New Roman"/>
          <w:b/>
          <w:sz w:val="22"/>
          <w:szCs w:val="22"/>
          <w:lang w:eastAsia="en-US"/>
        </w:rPr>
        <w:t xml:space="preserve"> 2018</w:t>
      </w:r>
      <w:r w:rsidRPr="00587FD9">
        <w:rPr>
          <w:rFonts w:ascii="Candara" w:hAnsi="Candara" w:cs="Times New Roman"/>
          <w:b/>
          <w:sz w:val="22"/>
          <w:szCs w:val="22"/>
          <w:lang w:eastAsia="en-US"/>
        </w:rPr>
        <w:t>)</w:t>
      </w:r>
    </w:p>
    <w:p w14:paraId="1A78F3FA" w14:textId="77777777" w:rsidR="00E03BED" w:rsidRDefault="00E03BED" w:rsidP="00E03BED">
      <w:pPr>
        <w:jc w:val="both"/>
        <w:rPr>
          <w:rFonts w:ascii="Candara" w:hAnsi="Candara" w:cs="Times New Roman"/>
          <w:sz w:val="22"/>
          <w:szCs w:val="22"/>
          <w:lang w:eastAsia="en-US"/>
        </w:rPr>
      </w:pPr>
    </w:p>
    <w:p w14:paraId="2D348681" w14:textId="77777777" w:rsidR="00E03BED" w:rsidRPr="004F5F11" w:rsidRDefault="00E03BED" w:rsidP="00A40EC3">
      <w:pPr>
        <w:spacing w:line="360" w:lineRule="auto"/>
        <w:jc w:val="both"/>
        <w:rPr>
          <w:rFonts w:ascii="Candara" w:hAnsi="Candara" w:cs="Times New Roman"/>
          <w:sz w:val="22"/>
          <w:szCs w:val="22"/>
          <w:lang w:eastAsia="en-US"/>
        </w:rPr>
      </w:pPr>
      <w:r>
        <w:rPr>
          <w:rFonts w:ascii="Candara" w:hAnsi="Candara" w:cs="Times New Roman"/>
          <w:sz w:val="22"/>
          <w:szCs w:val="22"/>
          <w:lang w:eastAsia="en-US"/>
        </w:rPr>
        <w:t xml:space="preserve">Cette tendance devra rapidement être inversée pour permettre au pays d’être au </w:t>
      </w:r>
      <w:r w:rsidRPr="00F56BB4">
        <w:rPr>
          <w:rFonts w:ascii="Candara" w:hAnsi="Candara" w:cs="Times New Roman"/>
          <w:sz w:val="22"/>
          <w:szCs w:val="22"/>
          <w:lang w:eastAsia="en-US"/>
        </w:rPr>
        <w:t xml:space="preserve">rendez-vous d’une réduction de ¾ des décès liés au VIH d’ici 2020 comme recommandé par l’ONUSIDA dans sa stratégie </w:t>
      </w:r>
      <w:r>
        <w:rPr>
          <w:rFonts w:ascii="Candara" w:hAnsi="Candara" w:cs="Times New Roman"/>
          <w:sz w:val="22"/>
          <w:szCs w:val="22"/>
          <w:lang w:eastAsia="en-US"/>
        </w:rPr>
        <w:t>2016-2021, mais aussi d’atteindre l’objectif de réduction d’au moins 65% des décès en 2022 selon le CNS 2018-2022</w:t>
      </w:r>
      <w:r w:rsidRPr="00F56BB4">
        <w:rPr>
          <w:rFonts w:ascii="Candara" w:hAnsi="Candara" w:cs="Times New Roman"/>
          <w:sz w:val="22"/>
          <w:szCs w:val="22"/>
          <w:lang w:eastAsia="en-US"/>
        </w:rPr>
        <w:t xml:space="preserve">.  </w:t>
      </w:r>
    </w:p>
    <w:p w14:paraId="5318BDAE" w14:textId="77777777" w:rsidR="00E03BED" w:rsidRDefault="00E03BED" w:rsidP="00E03BED">
      <w:pPr>
        <w:pStyle w:val="Titre1"/>
      </w:pPr>
      <w:bookmarkStart w:id="4" w:name="_Toc15906417"/>
      <w:r>
        <w:lastRenderedPageBreak/>
        <w:t xml:space="preserve">V. ANALYSE </w:t>
      </w:r>
      <w:r w:rsidRPr="001976B1">
        <w:t>DE LA RIPOSTE</w:t>
      </w:r>
      <w:r>
        <w:t xml:space="preserve"> PROGRAMMATIQUE AU VIH</w:t>
      </w:r>
      <w:bookmarkEnd w:id="4"/>
    </w:p>
    <w:p w14:paraId="7731AC9A" w14:textId="77777777" w:rsidR="00E03BED" w:rsidRPr="004F5F11" w:rsidRDefault="00E03BED" w:rsidP="00E03BED">
      <w:pPr>
        <w:pStyle w:val="Sansinterligne"/>
        <w:rPr>
          <w:rFonts w:ascii="Candara" w:hAnsi="Candara" w:cs="Times New Roman"/>
          <w:strike/>
          <w:sz w:val="22"/>
          <w:szCs w:val="22"/>
          <w:lang w:eastAsia="en-US"/>
        </w:rPr>
      </w:pPr>
      <w:r>
        <w:rPr>
          <w:noProof/>
          <w:lang w:val="en-US" w:eastAsia="en-US"/>
        </w:rPr>
        <w:drawing>
          <wp:inline distT="0" distB="0" distL="0" distR="0" wp14:anchorId="7B081D18" wp14:editId="01512812">
            <wp:extent cx="5527675" cy="3252788"/>
            <wp:effectExtent l="0" t="0" r="34925" b="2413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B77B78" w14:textId="77777777" w:rsidR="00E03BED" w:rsidRDefault="00E03BED" w:rsidP="00E03BED">
      <w:pPr>
        <w:jc w:val="both"/>
        <w:rPr>
          <w:rFonts w:ascii="Candara" w:hAnsi="Candara" w:cs="Times New Roman"/>
          <w:b/>
          <w:sz w:val="22"/>
          <w:szCs w:val="22"/>
          <w:lang w:eastAsia="en-US"/>
        </w:rPr>
      </w:pPr>
    </w:p>
    <w:p w14:paraId="6508773E" w14:textId="77777777" w:rsidR="00E03BED" w:rsidRPr="00587FD9" w:rsidRDefault="00E03BED" w:rsidP="00E03BED">
      <w:pPr>
        <w:jc w:val="both"/>
        <w:rPr>
          <w:rFonts w:ascii="Candara" w:hAnsi="Candara" w:cs="Times New Roman"/>
          <w:b/>
          <w:sz w:val="22"/>
          <w:szCs w:val="22"/>
          <w:lang w:eastAsia="en-US"/>
        </w:rPr>
      </w:pPr>
      <w:r>
        <w:rPr>
          <w:rFonts w:ascii="Candara" w:hAnsi="Candara" w:cs="Times New Roman"/>
          <w:b/>
          <w:sz w:val="22"/>
          <w:szCs w:val="22"/>
          <w:lang w:eastAsia="en-US"/>
        </w:rPr>
        <w:t>Figure 3</w:t>
      </w:r>
      <w:r w:rsidRPr="00587FD9">
        <w:rPr>
          <w:rFonts w:ascii="Candara" w:hAnsi="Candara" w:cs="Times New Roman"/>
          <w:b/>
          <w:sz w:val="22"/>
          <w:szCs w:val="22"/>
          <w:lang w:eastAsia="en-US"/>
        </w:rPr>
        <w:t xml:space="preserve"> : </w:t>
      </w:r>
      <w:r>
        <w:rPr>
          <w:rFonts w:ascii="Candara" w:hAnsi="Candara" w:cs="Times New Roman"/>
          <w:b/>
          <w:sz w:val="22"/>
          <w:szCs w:val="22"/>
          <w:lang w:eastAsia="en-US"/>
        </w:rPr>
        <w:t xml:space="preserve">Cascade de soin et de traitement </w:t>
      </w:r>
      <w:r w:rsidRPr="00587FD9">
        <w:rPr>
          <w:rFonts w:ascii="Candara" w:hAnsi="Candara" w:cs="Times New Roman"/>
          <w:b/>
          <w:sz w:val="22"/>
          <w:szCs w:val="22"/>
          <w:lang w:eastAsia="en-US"/>
        </w:rPr>
        <w:t xml:space="preserve">en Guinée </w:t>
      </w:r>
      <w:r>
        <w:rPr>
          <w:rFonts w:ascii="Candara" w:hAnsi="Candara" w:cs="Times New Roman"/>
          <w:b/>
          <w:sz w:val="22"/>
          <w:szCs w:val="22"/>
          <w:lang w:eastAsia="en-US"/>
        </w:rPr>
        <w:t>en 2018</w:t>
      </w:r>
      <w:r w:rsidRPr="00587FD9">
        <w:rPr>
          <w:rFonts w:ascii="Candara" w:hAnsi="Candara" w:cs="Times New Roman"/>
          <w:b/>
          <w:sz w:val="22"/>
          <w:szCs w:val="22"/>
          <w:lang w:eastAsia="en-US"/>
        </w:rPr>
        <w:t xml:space="preserve"> </w:t>
      </w:r>
      <w:r>
        <w:rPr>
          <w:rFonts w:ascii="Candara" w:hAnsi="Candara" w:cs="Times New Roman"/>
          <w:b/>
          <w:sz w:val="22"/>
          <w:szCs w:val="22"/>
          <w:lang w:eastAsia="en-US"/>
        </w:rPr>
        <w:t>(</w:t>
      </w:r>
      <w:r w:rsidRPr="00587FD9">
        <w:rPr>
          <w:rFonts w:ascii="Candara" w:hAnsi="Candara" w:cs="Times New Roman"/>
          <w:b/>
          <w:sz w:val="22"/>
          <w:szCs w:val="22"/>
          <w:lang w:eastAsia="en-US"/>
        </w:rPr>
        <w:t>Source :</w:t>
      </w:r>
      <w:r>
        <w:rPr>
          <w:rFonts w:ascii="Candara" w:hAnsi="Candara" w:cs="Times New Roman"/>
          <w:b/>
          <w:sz w:val="22"/>
          <w:szCs w:val="22"/>
          <w:lang w:eastAsia="en-US"/>
        </w:rPr>
        <w:t>SE /</w:t>
      </w:r>
      <w:r w:rsidRPr="00587FD9">
        <w:rPr>
          <w:rFonts w:ascii="Candara" w:hAnsi="Candara" w:cs="Times New Roman"/>
          <w:b/>
          <w:sz w:val="22"/>
          <w:szCs w:val="22"/>
          <w:lang w:eastAsia="en-US"/>
        </w:rPr>
        <w:t xml:space="preserve"> </w:t>
      </w:r>
      <w:r>
        <w:rPr>
          <w:rFonts w:ascii="Candara" w:hAnsi="Candara" w:cs="Times New Roman"/>
          <w:b/>
          <w:sz w:val="22"/>
          <w:szCs w:val="22"/>
          <w:lang w:eastAsia="en-US"/>
        </w:rPr>
        <w:t>CNLS</w:t>
      </w:r>
      <w:r w:rsidRPr="00587FD9">
        <w:rPr>
          <w:rFonts w:ascii="Candara" w:hAnsi="Candara" w:cs="Times New Roman"/>
          <w:b/>
          <w:sz w:val="22"/>
          <w:szCs w:val="22"/>
          <w:lang w:eastAsia="en-US"/>
        </w:rPr>
        <w:t>)</w:t>
      </w:r>
    </w:p>
    <w:p w14:paraId="10D37EC3" w14:textId="77777777" w:rsidR="004F5FDB" w:rsidRDefault="004F5FDB" w:rsidP="00E03BED">
      <w:pPr>
        <w:pStyle w:val="Titre2"/>
      </w:pPr>
    </w:p>
    <w:p w14:paraId="1CB2AE46" w14:textId="77777777" w:rsidR="004F5FDB" w:rsidRDefault="004F5FDB" w:rsidP="00E03BED">
      <w:pPr>
        <w:pStyle w:val="Titre2"/>
      </w:pPr>
    </w:p>
    <w:p w14:paraId="0DD46616" w14:textId="77777777" w:rsidR="00E03BED" w:rsidRDefault="00E03BED" w:rsidP="00E03BED">
      <w:pPr>
        <w:pStyle w:val="Titre2"/>
      </w:pPr>
      <w:bookmarkStart w:id="5" w:name="_Toc15906418"/>
      <w:r>
        <w:t xml:space="preserve">V.1. </w:t>
      </w:r>
      <w:r w:rsidRPr="00BD7D33">
        <w:t>Dépistage du</w:t>
      </w:r>
      <w:r>
        <w:t xml:space="preserve"> VIH</w:t>
      </w:r>
      <w:bookmarkEnd w:id="5"/>
    </w:p>
    <w:p w14:paraId="285D0561" w14:textId="77777777" w:rsidR="00E03BED" w:rsidRDefault="00E03BED" w:rsidP="00E03BED">
      <w:pPr>
        <w:rPr>
          <w:b/>
          <w:color w:val="525252" w:themeColor="accent3" w:themeShade="80"/>
        </w:rPr>
      </w:pPr>
    </w:p>
    <w:p w14:paraId="13A4143C" w14:textId="77777777" w:rsidR="00E03BED" w:rsidRPr="00FD7FB2" w:rsidRDefault="00E03BED" w:rsidP="00E03BED">
      <w:pPr>
        <w:spacing w:line="276" w:lineRule="auto"/>
        <w:jc w:val="both"/>
        <w:rPr>
          <w:rFonts w:ascii="Candara" w:hAnsi="Candara"/>
          <w:sz w:val="22"/>
        </w:rPr>
      </w:pPr>
      <w:bookmarkStart w:id="6" w:name="_Toc467460347"/>
      <w:r w:rsidRPr="001E1565">
        <w:rPr>
          <w:rFonts w:ascii="Candara" w:hAnsi="Candara"/>
          <w:b/>
          <w:sz w:val="22"/>
        </w:rPr>
        <w:t>Conseils et dépistage volontaire</w:t>
      </w:r>
      <w:r w:rsidRPr="00B40FA6">
        <w:rPr>
          <w:rFonts w:ascii="Candara" w:hAnsi="Candara"/>
          <w:sz w:val="22"/>
        </w:rPr>
        <w:t xml:space="preserve"> : </w:t>
      </w:r>
      <w:r>
        <w:rPr>
          <w:rFonts w:ascii="Candara" w:hAnsi="Candara"/>
          <w:sz w:val="22"/>
        </w:rPr>
        <w:t xml:space="preserve">En 2018, 16037 personnes ont été dépistées au VIH dont 4216 hommes, 11 140 femmes et 681 enfants de moins de 15 ans. Pour répondre à l’objectif de 90%, le nombre de personnes dépistées séropositives attendues est de 108 000. Le </w:t>
      </w:r>
      <w:r w:rsidRPr="00C253DB">
        <w:rPr>
          <w:rFonts w:ascii="Candara" w:hAnsi="Candara"/>
          <w:sz w:val="22"/>
        </w:rPr>
        <w:t xml:space="preserve">nombre de personnes séropositives connues est estimé à de </w:t>
      </w:r>
      <w:r>
        <w:rPr>
          <w:rFonts w:ascii="Candara" w:hAnsi="Candara"/>
          <w:sz w:val="22"/>
        </w:rPr>
        <w:t>54 200</w:t>
      </w:r>
      <w:r w:rsidRPr="00C253DB">
        <w:rPr>
          <w:rFonts w:ascii="Candara" w:hAnsi="Candara"/>
          <w:sz w:val="22"/>
        </w:rPr>
        <w:t xml:space="preserve"> (50%) dont </w:t>
      </w:r>
      <w:r>
        <w:rPr>
          <w:rFonts w:ascii="Candara" w:hAnsi="Candara"/>
          <w:sz w:val="22"/>
        </w:rPr>
        <w:t>19 300</w:t>
      </w:r>
      <w:r w:rsidRPr="00C253DB">
        <w:rPr>
          <w:rFonts w:ascii="Candara" w:hAnsi="Candara"/>
          <w:sz w:val="22"/>
        </w:rPr>
        <w:t xml:space="preserve"> Hommes</w:t>
      </w:r>
      <w:r>
        <w:rPr>
          <w:rFonts w:ascii="Candara" w:hAnsi="Candara"/>
          <w:sz w:val="22"/>
        </w:rPr>
        <w:t xml:space="preserve"> et</w:t>
      </w:r>
      <w:r w:rsidRPr="00C253DB">
        <w:rPr>
          <w:rFonts w:ascii="Candara" w:hAnsi="Candara"/>
          <w:sz w:val="22"/>
        </w:rPr>
        <w:t xml:space="preserve"> </w:t>
      </w:r>
      <w:r>
        <w:rPr>
          <w:rFonts w:ascii="Candara" w:hAnsi="Candara"/>
          <w:sz w:val="22"/>
        </w:rPr>
        <w:t>34 900</w:t>
      </w:r>
      <w:r w:rsidRPr="00C253DB">
        <w:rPr>
          <w:rFonts w:ascii="Candara" w:hAnsi="Candara"/>
          <w:sz w:val="22"/>
        </w:rPr>
        <w:t xml:space="preserve"> femmes.  </w:t>
      </w:r>
      <w:r w:rsidRPr="00C253DB">
        <w:rPr>
          <w:rFonts w:ascii="Candara" w:hAnsi="Candara"/>
          <w:b/>
          <w:sz w:val="22"/>
        </w:rPr>
        <w:t>La cible identifiée dans le cadre de ce plan d’accélération (fin 2021) est de 53</w:t>
      </w:r>
      <w:r w:rsidRPr="001523B5">
        <w:rPr>
          <w:rFonts w:ascii="Candara" w:hAnsi="Candara"/>
          <w:b/>
          <w:sz w:val="22"/>
        </w:rPr>
        <w:t xml:space="preserve"> 800</w:t>
      </w:r>
      <w:r w:rsidRPr="00C253DB">
        <w:rPr>
          <w:rFonts w:ascii="Candara" w:hAnsi="Candara"/>
          <w:b/>
          <w:sz w:val="22"/>
        </w:rPr>
        <w:t xml:space="preserve"> personnes infectées par le VIH</w:t>
      </w:r>
      <w:r>
        <w:rPr>
          <w:rFonts w:ascii="Candara" w:hAnsi="Candara"/>
          <w:b/>
          <w:sz w:val="22"/>
        </w:rPr>
        <w:t xml:space="preserve"> dont 30128 femmes, 3228 enfants. </w:t>
      </w:r>
    </w:p>
    <w:p w14:paraId="18A90BE7" w14:textId="77777777" w:rsidR="00E03BED" w:rsidRDefault="00E03BED" w:rsidP="00E03BED">
      <w:pPr>
        <w:pStyle w:val="Titre2"/>
      </w:pPr>
      <w:bookmarkStart w:id="7" w:name="_Toc15906419"/>
      <w:r w:rsidRPr="001035B9">
        <w:t>V.2.</w:t>
      </w:r>
      <w:r>
        <w:rPr>
          <w:b w:val="0"/>
        </w:rPr>
        <w:t xml:space="preserve"> </w:t>
      </w:r>
      <w:r w:rsidRPr="00BD7D33">
        <w:t>Traitement ARV</w:t>
      </w:r>
      <w:bookmarkEnd w:id="6"/>
      <w:bookmarkEnd w:id="7"/>
    </w:p>
    <w:p w14:paraId="283A690C" w14:textId="77777777" w:rsidR="00E03BED" w:rsidRDefault="00E03BED" w:rsidP="00E03BED">
      <w:pPr>
        <w:rPr>
          <w:rFonts w:asciiTheme="majorHAnsi" w:eastAsiaTheme="majorEastAsia" w:hAnsiTheme="majorHAnsi" w:cstheme="majorBidi"/>
          <w:b/>
          <w:bCs/>
          <w:color w:val="525252" w:themeColor="accent3" w:themeShade="80"/>
          <w:sz w:val="26"/>
          <w:szCs w:val="26"/>
        </w:rPr>
      </w:pPr>
    </w:p>
    <w:p w14:paraId="63DCB9D0" w14:textId="77777777" w:rsidR="00E03BED" w:rsidRPr="00527F88" w:rsidRDefault="00E03BED" w:rsidP="00E03BED">
      <w:pPr>
        <w:spacing w:line="276" w:lineRule="auto"/>
        <w:jc w:val="both"/>
        <w:rPr>
          <w:rFonts w:ascii="Candara" w:hAnsi="Candara"/>
          <w:sz w:val="22"/>
        </w:rPr>
      </w:pPr>
      <w:r>
        <w:rPr>
          <w:rFonts w:ascii="Candara" w:hAnsi="Candara"/>
          <w:sz w:val="22"/>
        </w:rPr>
        <w:t xml:space="preserve">En 2018, sur les 16 037 nouvellement diagnostiquées, 10756 ont été mis sous traitement ARV et 5252 en attentes de traitement. </w:t>
      </w:r>
      <w:r w:rsidRPr="00C253DB">
        <w:rPr>
          <w:rFonts w:ascii="Candara" w:hAnsi="Candara"/>
          <w:sz w:val="22"/>
        </w:rPr>
        <w:t xml:space="preserve">Le nombre de personnes actuellement sous TARV est de 48 519 dont 12 580 hommes, 33 682 femmes et 1257 enfants, soit une couverture de 50% par rapport à l’objectif de 90%.  Le gap identifié pour atteindre l’objectif de couverture TARV </w:t>
      </w:r>
      <w:r>
        <w:rPr>
          <w:rFonts w:ascii="Candara" w:hAnsi="Candara"/>
          <w:sz w:val="22"/>
        </w:rPr>
        <w:t>de 71% en 2021 est 36 681 PVVIH dont 2935 enfants</w:t>
      </w:r>
      <w:r w:rsidRPr="00C253DB">
        <w:rPr>
          <w:rFonts w:ascii="Candara" w:hAnsi="Candara"/>
          <w:sz w:val="22"/>
        </w:rPr>
        <w:t xml:space="preserve">. Les patients (Adultes et enfants) en attente du traitement (dans les registres pré-ARV) sont au nombre 5252. </w:t>
      </w:r>
      <w:r w:rsidRPr="00C253DB">
        <w:rPr>
          <w:rFonts w:ascii="Candara" w:hAnsi="Candara"/>
          <w:b/>
          <w:sz w:val="22"/>
        </w:rPr>
        <w:t xml:space="preserve">L’objectif de ce plan d’accélération est de mettre 36 681 </w:t>
      </w:r>
      <w:r>
        <w:rPr>
          <w:rFonts w:ascii="Candara" w:hAnsi="Candara"/>
          <w:b/>
          <w:sz w:val="22"/>
        </w:rPr>
        <w:t xml:space="preserve">nouvelles PVVIH </w:t>
      </w:r>
      <w:r w:rsidRPr="00E744AD">
        <w:rPr>
          <w:rFonts w:ascii="Candara" w:hAnsi="Candara"/>
          <w:b/>
          <w:sz w:val="22"/>
        </w:rPr>
        <w:t xml:space="preserve">sous TARV </w:t>
      </w:r>
      <w:r>
        <w:rPr>
          <w:rFonts w:ascii="Candara" w:hAnsi="Candara"/>
          <w:b/>
          <w:sz w:val="22"/>
        </w:rPr>
        <w:t xml:space="preserve">dont </w:t>
      </w:r>
      <w:r w:rsidRPr="003048AF">
        <w:rPr>
          <w:rFonts w:ascii="Candara" w:hAnsi="Candara"/>
          <w:b/>
          <w:sz w:val="22"/>
        </w:rPr>
        <w:t>5252</w:t>
      </w:r>
      <w:r>
        <w:rPr>
          <w:rFonts w:ascii="Candara" w:hAnsi="Candara"/>
          <w:b/>
          <w:sz w:val="22"/>
        </w:rPr>
        <w:t xml:space="preserve"> dépistés positifs en attente</w:t>
      </w:r>
      <w:r w:rsidRPr="00527F88">
        <w:rPr>
          <w:rFonts w:ascii="Candara" w:hAnsi="Candara"/>
          <w:b/>
          <w:sz w:val="22"/>
        </w:rPr>
        <w:t xml:space="preserve"> de traitement</w:t>
      </w:r>
    </w:p>
    <w:p w14:paraId="25D15334" w14:textId="77777777" w:rsidR="00E03BED" w:rsidRDefault="00E03BED" w:rsidP="00E03BED">
      <w:pPr>
        <w:rPr>
          <w:rFonts w:asciiTheme="majorHAnsi" w:eastAsiaTheme="majorEastAsia" w:hAnsiTheme="majorHAnsi" w:cstheme="majorBidi"/>
          <w:b/>
          <w:bCs/>
          <w:color w:val="525252" w:themeColor="accent3" w:themeShade="80"/>
          <w:sz w:val="26"/>
          <w:szCs w:val="26"/>
        </w:rPr>
      </w:pPr>
    </w:p>
    <w:p w14:paraId="6A71C848" w14:textId="77777777" w:rsidR="00E03BED" w:rsidRPr="000B535B" w:rsidRDefault="00E03BED" w:rsidP="00E03BED">
      <w:pPr>
        <w:pStyle w:val="Titre2"/>
      </w:pPr>
      <w:r>
        <w:t xml:space="preserve"> </w:t>
      </w:r>
      <w:bookmarkStart w:id="8" w:name="_Toc15906420"/>
      <w:r w:rsidRPr="001035B9">
        <w:t>V.</w:t>
      </w:r>
      <w:r>
        <w:t xml:space="preserve">3. </w:t>
      </w:r>
      <w:r w:rsidRPr="000B535B">
        <w:t>Charge virale</w:t>
      </w:r>
      <w:bookmarkEnd w:id="8"/>
    </w:p>
    <w:p w14:paraId="2A1D5C8E" w14:textId="77777777" w:rsidR="00E03BED" w:rsidRDefault="00E03BED" w:rsidP="00E03BED">
      <w:bookmarkStart w:id="9" w:name="_Toc467460348"/>
    </w:p>
    <w:p w14:paraId="43748ABA" w14:textId="77777777" w:rsidR="00E03BED" w:rsidRPr="00373169" w:rsidRDefault="00E03BED" w:rsidP="00E03BED">
      <w:pPr>
        <w:jc w:val="both"/>
        <w:rPr>
          <w:rFonts w:ascii="Candara" w:hAnsi="Candara"/>
          <w:sz w:val="22"/>
          <w:szCs w:val="22"/>
        </w:rPr>
      </w:pPr>
      <w:r w:rsidRPr="00373169">
        <w:rPr>
          <w:rFonts w:ascii="Candara" w:hAnsi="Candara"/>
          <w:sz w:val="22"/>
          <w:szCs w:val="22"/>
        </w:rPr>
        <w:t>La charge vi</w:t>
      </w:r>
      <w:r>
        <w:rPr>
          <w:rFonts w:ascii="Candara" w:hAnsi="Candara"/>
          <w:sz w:val="22"/>
          <w:szCs w:val="22"/>
        </w:rPr>
        <w:t>rale</w:t>
      </w:r>
      <w:r w:rsidRPr="00373169">
        <w:rPr>
          <w:rFonts w:ascii="Candara" w:hAnsi="Candara"/>
          <w:sz w:val="22"/>
          <w:szCs w:val="22"/>
        </w:rPr>
        <w:t xml:space="preserve"> est réalisée principalement dans </w:t>
      </w:r>
      <w:r>
        <w:rPr>
          <w:rFonts w:ascii="Candara" w:hAnsi="Candara"/>
          <w:sz w:val="22"/>
          <w:szCs w:val="22"/>
        </w:rPr>
        <w:t>5</w:t>
      </w:r>
      <w:r w:rsidRPr="00373169">
        <w:rPr>
          <w:rFonts w:ascii="Candara" w:hAnsi="Candara"/>
          <w:sz w:val="22"/>
          <w:szCs w:val="22"/>
        </w:rPr>
        <w:t xml:space="preserve"> laboratoires </w:t>
      </w:r>
      <w:r>
        <w:rPr>
          <w:rFonts w:ascii="Candara" w:hAnsi="Candara"/>
          <w:sz w:val="22"/>
          <w:szCs w:val="22"/>
        </w:rPr>
        <w:t xml:space="preserve">au niveau des sites de </w:t>
      </w:r>
      <w:proofErr w:type="spellStart"/>
      <w:r>
        <w:rPr>
          <w:rFonts w:ascii="Candara" w:hAnsi="Candara"/>
          <w:sz w:val="22"/>
          <w:szCs w:val="22"/>
        </w:rPr>
        <w:t>Dream</w:t>
      </w:r>
      <w:proofErr w:type="spellEnd"/>
      <w:r>
        <w:rPr>
          <w:rFonts w:ascii="Candara" w:hAnsi="Candara"/>
          <w:sz w:val="22"/>
          <w:szCs w:val="22"/>
        </w:rPr>
        <w:t xml:space="preserve">, CTA </w:t>
      </w:r>
      <w:proofErr w:type="spellStart"/>
      <w:r>
        <w:rPr>
          <w:rFonts w:ascii="Candara" w:hAnsi="Candara"/>
          <w:sz w:val="22"/>
          <w:szCs w:val="22"/>
        </w:rPr>
        <w:t>Donka</w:t>
      </w:r>
      <w:proofErr w:type="spellEnd"/>
      <w:r>
        <w:rPr>
          <w:rFonts w:ascii="Candara" w:hAnsi="Candara"/>
          <w:sz w:val="22"/>
          <w:szCs w:val="22"/>
        </w:rPr>
        <w:t xml:space="preserve">, INSP, Matam et Kankan. </w:t>
      </w:r>
    </w:p>
    <w:p w14:paraId="68FAE4EC" w14:textId="77777777" w:rsidR="00E03BED" w:rsidRPr="00705C71" w:rsidRDefault="00E03BED" w:rsidP="00E03BED">
      <w:pPr>
        <w:jc w:val="both"/>
        <w:rPr>
          <w:rFonts w:ascii="Calibri" w:eastAsia="Times New Roman" w:hAnsi="Calibri" w:cs="Times New Roman"/>
          <w:color w:val="000000"/>
          <w:sz w:val="22"/>
          <w:szCs w:val="22"/>
        </w:rPr>
      </w:pPr>
      <w:r w:rsidRPr="00373169">
        <w:rPr>
          <w:rFonts w:ascii="Candara" w:hAnsi="Candara"/>
          <w:sz w:val="22"/>
          <w:szCs w:val="22"/>
        </w:rPr>
        <w:t xml:space="preserve">En 2018, </w:t>
      </w:r>
      <w:r>
        <w:rPr>
          <w:rFonts w:ascii="Candara" w:hAnsi="Candara"/>
          <w:sz w:val="22"/>
          <w:szCs w:val="22"/>
        </w:rPr>
        <w:t>14599</w:t>
      </w:r>
      <w:r w:rsidRPr="00373169">
        <w:rPr>
          <w:rFonts w:ascii="Candara" w:hAnsi="Candara"/>
          <w:sz w:val="22"/>
          <w:szCs w:val="22"/>
        </w:rPr>
        <w:t xml:space="preserve"> PVVIH sous TARV avaient une charge virale supprimée, ce qui représente </w:t>
      </w:r>
      <w:r>
        <w:rPr>
          <w:rFonts w:ascii="Candara" w:hAnsi="Candara"/>
          <w:sz w:val="22"/>
          <w:szCs w:val="22"/>
        </w:rPr>
        <w:t>18</w:t>
      </w:r>
      <w:r w:rsidRPr="00373169">
        <w:rPr>
          <w:rFonts w:ascii="Candara" w:hAnsi="Candara"/>
          <w:sz w:val="22"/>
          <w:szCs w:val="22"/>
        </w:rPr>
        <w:t xml:space="preserve"> % de l’objectif de 90%.</w:t>
      </w:r>
      <w:r>
        <w:rPr>
          <w:rFonts w:ascii="Candara" w:hAnsi="Candara"/>
          <w:sz w:val="22"/>
          <w:szCs w:val="22"/>
        </w:rPr>
        <w:t xml:space="preserve"> Pour atteindre l’objectif de 90</w:t>
      </w:r>
      <w:r w:rsidRPr="00373169">
        <w:rPr>
          <w:rFonts w:ascii="Candara" w:hAnsi="Candara"/>
          <w:sz w:val="22"/>
          <w:szCs w:val="22"/>
        </w:rPr>
        <w:t xml:space="preserve">%, il faudra combler le gap de </w:t>
      </w:r>
      <w:r w:rsidRPr="00705C71">
        <w:rPr>
          <w:rFonts w:ascii="Candara" w:hAnsi="Candara"/>
          <w:sz w:val="22"/>
          <w:szCs w:val="22"/>
        </w:rPr>
        <w:t xml:space="preserve">58282 </w:t>
      </w:r>
      <w:r w:rsidRPr="00373169">
        <w:rPr>
          <w:rFonts w:ascii="Candara" w:hAnsi="Candara"/>
          <w:sz w:val="22"/>
          <w:szCs w:val="22"/>
        </w:rPr>
        <w:t xml:space="preserve">que ce présent plan d’accélération visera à couvrir. </w:t>
      </w:r>
    </w:p>
    <w:p w14:paraId="7C2D2C63" w14:textId="77777777" w:rsidR="00E03BED" w:rsidRPr="000B535B" w:rsidRDefault="00E03BED" w:rsidP="00E03BED">
      <w:pPr>
        <w:pStyle w:val="Titre2"/>
      </w:pPr>
      <w:bookmarkStart w:id="10" w:name="_Toc15906421"/>
      <w:r w:rsidRPr="001035B9">
        <w:t>V.</w:t>
      </w:r>
      <w:r>
        <w:t>4.</w:t>
      </w:r>
      <w:r w:rsidRPr="00BD7D33">
        <w:t>Prévention de la transmission Mère –</w:t>
      </w:r>
      <w:r>
        <w:t>E</w:t>
      </w:r>
      <w:r w:rsidRPr="00BD7D33">
        <w:t xml:space="preserve">nfant (PTME) et </w:t>
      </w:r>
      <w:r>
        <w:t xml:space="preserve">la </w:t>
      </w:r>
      <w:r w:rsidRPr="00BD7D33">
        <w:t>PEC pédiatrique</w:t>
      </w:r>
      <w:bookmarkEnd w:id="9"/>
      <w:bookmarkEnd w:id="10"/>
      <w:r>
        <w:t xml:space="preserve"> </w:t>
      </w:r>
    </w:p>
    <w:p w14:paraId="6C0CDF6D" w14:textId="77777777" w:rsidR="00E03BED" w:rsidRDefault="00E03BED" w:rsidP="00E03BED">
      <w:pPr>
        <w:jc w:val="both"/>
        <w:rPr>
          <w:rFonts w:ascii="Times New Roman" w:hAnsi="Times New Roman" w:cs="Times New Roman"/>
          <w:lang w:bidi="fr-FR"/>
        </w:rPr>
      </w:pPr>
      <w:bookmarkStart w:id="11" w:name="_Toc467460349"/>
    </w:p>
    <w:p w14:paraId="44E45667" w14:textId="77777777" w:rsidR="00E03BED" w:rsidRDefault="00E03BED" w:rsidP="00E03BED">
      <w:pPr>
        <w:jc w:val="both"/>
        <w:rPr>
          <w:rFonts w:ascii="Candara" w:hAnsi="Candara"/>
          <w:sz w:val="22"/>
        </w:rPr>
      </w:pPr>
      <w:r>
        <w:rPr>
          <w:noProof/>
          <w:lang w:val="en-US" w:eastAsia="en-US"/>
        </w:rPr>
        <w:drawing>
          <wp:inline distT="0" distB="0" distL="0" distR="0" wp14:anchorId="217AE1E1" wp14:editId="02383615">
            <wp:extent cx="5756910" cy="2237528"/>
            <wp:effectExtent l="0" t="0" r="34290" b="23495"/>
            <wp:docPr id="16" name="Graphique 16">
              <a:extLst xmlns:a="http://schemas.openxmlformats.org/drawingml/2006/main">
                <a:ext uri="{FF2B5EF4-FFF2-40B4-BE49-F238E27FC236}">
                  <a16:creationId xmlns:a16="http://schemas.microsoft.com/office/drawing/2014/main" id="{DCF22EF8-3C61-4DBC-97D3-AA62B33A82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6D3865D" w14:textId="77777777" w:rsidR="00E03BED" w:rsidRDefault="00E03BED" w:rsidP="00E03BED">
      <w:pPr>
        <w:jc w:val="both"/>
        <w:rPr>
          <w:rFonts w:ascii="Candara" w:hAnsi="Candara"/>
          <w:sz w:val="22"/>
        </w:rPr>
      </w:pPr>
    </w:p>
    <w:p w14:paraId="7BD64232" w14:textId="77777777" w:rsidR="00E03BED" w:rsidRPr="00587FD9" w:rsidRDefault="00E03BED" w:rsidP="00E03BED">
      <w:pPr>
        <w:jc w:val="both"/>
        <w:rPr>
          <w:rFonts w:ascii="Candara" w:hAnsi="Candara" w:cs="Times New Roman"/>
          <w:b/>
          <w:sz w:val="22"/>
          <w:szCs w:val="22"/>
          <w:lang w:eastAsia="en-US"/>
        </w:rPr>
      </w:pPr>
      <w:r>
        <w:rPr>
          <w:rFonts w:ascii="Candara" w:hAnsi="Candara" w:cs="Times New Roman"/>
          <w:b/>
          <w:sz w:val="22"/>
          <w:szCs w:val="22"/>
          <w:lang w:eastAsia="en-US"/>
        </w:rPr>
        <w:t>Figure 4</w:t>
      </w:r>
      <w:r w:rsidRPr="00587FD9">
        <w:rPr>
          <w:rFonts w:ascii="Candara" w:hAnsi="Candara" w:cs="Times New Roman"/>
          <w:b/>
          <w:sz w:val="22"/>
          <w:szCs w:val="22"/>
          <w:lang w:eastAsia="en-US"/>
        </w:rPr>
        <w:t xml:space="preserve"> : </w:t>
      </w:r>
      <w:r>
        <w:rPr>
          <w:rFonts w:ascii="Candara" w:hAnsi="Candara" w:cs="Times New Roman"/>
          <w:b/>
          <w:sz w:val="22"/>
          <w:szCs w:val="22"/>
          <w:lang w:eastAsia="en-US"/>
        </w:rPr>
        <w:t xml:space="preserve">Cascade PTME </w:t>
      </w:r>
      <w:r w:rsidRPr="00587FD9">
        <w:rPr>
          <w:rFonts w:ascii="Candara" w:hAnsi="Candara" w:cs="Times New Roman"/>
          <w:b/>
          <w:sz w:val="22"/>
          <w:szCs w:val="22"/>
          <w:lang w:eastAsia="en-US"/>
        </w:rPr>
        <w:t xml:space="preserve">en Guinée </w:t>
      </w:r>
      <w:r>
        <w:rPr>
          <w:rFonts w:ascii="Candara" w:hAnsi="Candara" w:cs="Times New Roman"/>
          <w:b/>
          <w:sz w:val="22"/>
          <w:szCs w:val="22"/>
          <w:lang w:eastAsia="en-US"/>
        </w:rPr>
        <w:t>en 2018 (</w:t>
      </w:r>
      <w:r w:rsidRPr="00587FD9">
        <w:rPr>
          <w:rFonts w:ascii="Candara" w:hAnsi="Candara" w:cs="Times New Roman"/>
          <w:b/>
          <w:sz w:val="22"/>
          <w:szCs w:val="22"/>
          <w:lang w:eastAsia="en-US"/>
        </w:rPr>
        <w:t xml:space="preserve">Source : </w:t>
      </w:r>
      <w:r>
        <w:rPr>
          <w:rFonts w:ascii="Candara" w:hAnsi="Candara" w:cs="Times New Roman"/>
          <w:b/>
          <w:sz w:val="22"/>
          <w:szCs w:val="22"/>
          <w:lang w:eastAsia="en-US"/>
        </w:rPr>
        <w:t>SE /CNLS</w:t>
      </w:r>
      <w:r w:rsidRPr="00587FD9">
        <w:rPr>
          <w:rFonts w:ascii="Candara" w:hAnsi="Candara" w:cs="Times New Roman"/>
          <w:b/>
          <w:sz w:val="22"/>
          <w:szCs w:val="22"/>
          <w:lang w:eastAsia="en-US"/>
        </w:rPr>
        <w:t>)</w:t>
      </w:r>
    </w:p>
    <w:p w14:paraId="65B68301" w14:textId="77777777" w:rsidR="00E03BED" w:rsidRDefault="00E03BED" w:rsidP="00E03BED">
      <w:pPr>
        <w:jc w:val="both"/>
        <w:rPr>
          <w:rFonts w:ascii="Candara" w:hAnsi="Candara"/>
          <w:sz w:val="22"/>
        </w:rPr>
      </w:pPr>
    </w:p>
    <w:p w14:paraId="25CCAD88" w14:textId="77777777" w:rsidR="00E03BED" w:rsidRPr="00D53C26" w:rsidRDefault="00E03BED" w:rsidP="00E03BED">
      <w:pPr>
        <w:jc w:val="both"/>
        <w:rPr>
          <w:rFonts w:ascii="Candara" w:hAnsi="Candara"/>
          <w:sz w:val="22"/>
        </w:rPr>
      </w:pPr>
      <w:r w:rsidRPr="00D53C26">
        <w:rPr>
          <w:rFonts w:ascii="Candara" w:hAnsi="Candara"/>
          <w:sz w:val="22"/>
        </w:rPr>
        <w:t>Sur une estimation de 53</w:t>
      </w:r>
      <w:r>
        <w:rPr>
          <w:rFonts w:ascii="Candara" w:hAnsi="Candara"/>
          <w:sz w:val="22"/>
        </w:rPr>
        <w:t xml:space="preserve"> </w:t>
      </w:r>
      <w:r w:rsidRPr="00D53C26">
        <w:rPr>
          <w:rFonts w:ascii="Candara" w:hAnsi="Candara"/>
          <w:sz w:val="22"/>
        </w:rPr>
        <w:t>4758 grossesses attendues en 2018, 232</w:t>
      </w:r>
      <w:r>
        <w:rPr>
          <w:rFonts w:ascii="Candara" w:hAnsi="Candara"/>
          <w:sz w:val="22"/>
        </w:rPr>
        <w:t xml:space="preserve"> </w:t>
      </w:r>
      <w:r w:rsidRPr="00D53C26">
        <w:rPr>
          <w:rFonts w:ascii="Candara" w:hAnsi="Candara"/>
          <w:sz w:val="22"/>
        </w:rPr>
        <w:t xml:space="preserve">143 </w:t>
      </w:r>
      <w:r>
        <w:rPr>
          <w:rFonts w:ascii="Candara" w:hAnsi="Candara"/>
          <w:sz w:val="22"/>
        </w:rPr>
        <w:t xml:space="preserve">(43,4%) </w:t>
      </w:r>
      <w:r w:rsidRPr="00D53C26">
        <w:rPr>
          <w:rFonts w:ascii="Candara" w:hAnsi="Candara"/>
          <w:sz w:val="22"/>
        </w:rPr>
        <w:t>fe</w:t>
      </w:r>
      <w:r>
        <w:rPr>
          <w:rFonts w:ascii="Candara" w:hAnsi="Candara"/>
          <w:sz w:val="22"/>
        </w:rPr>
        <w:t>mmes enceintes ont réalisées le</w:t>
      </w:r>
      <w:r w:rsidRPr="00D53C26">
        <w:rPr>
          <w:rFonts w:ascii="Candara" w:hAnsi="Candara"/>
          <w:sz w:val="22"/>
        </w:rPr>
        <w:t xml:space="preserve"> test de dépistage VIH, parmi elles </w:t>
      </w:r>
      <w:r w:rsidRPr="003C5FA9">
        <w:rPr>
          <w:rFonts w:ascii="Candara" w:hAnsi="Candara"/>
          <w:sz w:val="22"/>
        </w:rPr>
        <w:t>5</w:t>
      </w:r>
      <w:r>
        <w:rPr>
          <w:rFonts w:ascii="Candara" w:hAnsi="Candara"/>
          <w:sz w:val="22"/>
        </w:rPr>
        <w:t xml:space="preserve"> </w:t>
      </w:r>
      <w:r w:rsidRPr="003C5FA9">
        <w:rPr>
          <w:rFonts w:ascii="Candara" w:hAnsi="Candara"/>
          <w:sz w:val="22"/>
        </w:rPr>
        <w:t>000</w:t>
      </w:r>
      <w:r w:rsidRPr="00D53C26">
        <w:rPr>
          <w:rFonts w:ascii="Candara" w:hAnsi="Candara"/>
          <w:sz w:val="22"/>
        </w:rPr>
        <w:t xml:space="preserve"> ont été positives au VIH. </w:t>
      </w:r>
      <w:r>
        <w:rPr>
          <w:rFonts w:ascii="Candara" w:hAnsi="Candara"/>
          <w:sz w:val="22"/>
        </w:rPr>
        <w:t xml:space="preserve">Parmi les femmes enceintes positives au VIH, </w:t>
      </w:r>
      <w:r w:rsidRPr="00D53C26">
        <w:rPr>
          <w:rFonts w:ascii="Candara" w:hAnsi="Candara"/>
          <w:sz w:val="22"/>
        </w:rPr>
        <w:t>3</w:t>
      </w:r>
      <w:r>
        <w:rPr>
          <w:rFonts w:ascii="Candara" w:hAnsi="Candara"/>
          <w:sz w:val="22"/>
        </w:rPr>
        <w:t xml:space="preserve"> </w:t>
      </w:r>
      <w:r w:rsidRPr="00D53C26">
        <w:rPr>
          <w:rFonts w:ascii="Candara" w:hAnsi="Candara"/>
          <w:sz w:val="22"/>
        </w:rPr>
        <w:t>324</w:t>
      </w:r>
      <w:r>
        <w:rPr>
          <w:rFonts w:ascii="Candara" w:hAnsi="Candara"/>
          <w:sz w:val="22"/>
        </w:rPr>
        <w:t xml:space="preserve"> ont été mis sous traitement ARV (66%).  </w:t>
      </w:r>
    </w:p>
    <w:p w14:paraId="382A1106" w14:textId="77777777" w:rsidR="00E03BED" w:rsidRPr="005E67A9" w:rsidRDefault="00E03BED" w:rsidP="00E03BED">
      <w:pPr>
        <w:jc w:val="both"/>
        <w:rPr>
          <w:rFonts w:ascii="Candara" w:hAnsi="Candara"/>
          <w:sz w:val="22"/>
        </w:rPr>
      </w:pPr>
      <w:r w:rsidRPr="005E67A9">
        <w:rPr>
          <w:rFonts w:ascii="Candara" w:hAnsi="Candara"/>
          <w:sz w:val="22"/>
        </w:rPr>
        <w:t>62% des enfants nés de mère séropositives (2</w:t>
      </w:r>
      <w:r>
        <w:rPr>
          <w:rFonts w:ascii="Candara" w:hAnsi="Candara"/>
          <w:sz w:val="22"/>
        </w:rPr>
        <w:t xml:space="preserve"> </w:t>
      </w:r>
      <w:r w:rsidRPr="005E67A9">
        <w:rPr>
          <w:rFonts w:ascii="Candara" w:hAnsi="Candara"/>
          <w:sz w:val="22"/>
        </w:rPr>
        <w:t>056) ont bénéficié de la prophylaxie ARV sur la même période. 767 (37%) enfants nés de mère séropositive ont réalisé le diagnostic précoce du VIH dont 62 positifs au VIH (8%)</w:t>
      </w:r>
    </w:p>
    <w:p w14:paraId="40DBEC1F" w14:textId="77777777" w:rsidR="00E03BED" w:rsidRDefault="00E03BED" w:rsidP="00E03BED">
      <w:pPr>
        <w:jc w:val="both"/>
        <w:rPr>
          <w:rFonts w:ascii="Candara" w:hAnsi="Candara"/>
          <w:sz w:val="22"/>
        </w:rPr>
      </w:pPr>
    </w:p>
    <w:p w14:paraId="4FFE2C0A" w14:textId="77777777" w:rsidR="00E03BED" w:rsidRPr="005E67A9" w:rsidRDefault="00E03BED" w:rsidP="00E03BED">
      <w:pPr>
        <w:jc w:val="both"/>
        <w:rPr>
          <w:rFonts w:ascii="Candara" w:hAnsi="Candara"/>
          <w:sz w:val="22"/>
        </w:rPr>
      </w:pPr>
      <w:r w:rsidRPr="005E67A9">
        <w:rPr>
          <w:rFonts w:ascii="Candara" w:hAnsi="Candara"/>
          <w:sz w:val="22"/>
        </w:rPr>
        <w:t>Pour atteindre l’objectif d’élimination de la transmission du VIH de la mère à l’enfant, ce présent plan d’accélération visera à combler les Gap de couverture de dépistage VIH chez les femmes enceintes de 57% soit 302 615 femmes enceintes.</w:t>
      </w:r>
    </w:p>
    <w:p w14:paraId="64EC601C" w14:textId="77777777" w:rsidR="00E03BED" w:rsidRDefault="00E03BED" w:rsidP="00E03BED">
      <w:pPr>
        <w:jc w:val="both"/>
        <w:rPr>
          <w:rFonts w:ascii="Candara" w:hAnsi="Candara"/>
          <w:sz w:val="22"/>
        </w:rPr>
      </w:pPr>
    </w:p>
    <w:p w14:paraId="5B300243" w14:textId="77777777" w:rsidR="00E03BED" w:rsidRPr="00794D39" w:rsidRDefault="00E03BED" w:rsidP="00E03BED">
      <w:pPr>
        <w:jc w:val="both"/>
        <w:rPr>
          <w:rFonts w:ascii="Candara" w:hAnsi="Candara"/>
          <w:sz w:val="22"/>
        </w:rPr>
      </w:pPr>
      <w:r>
        <w:rPr>
          <w:rFonts w:ascii="Candara" w:hAnsi="Candara"/>
          <w:sz w:val="22"/>
        </w:rPr>
        <w:t xml:space="preserve">Sur une estimation de 10 160 femmes enceintes vivant avec le VIH, 3 3 24 ont été mis sur TARV en 2018, ce qui représente un Gap de 6 836 à combler d’ici 2021. De plus, un Gap de 9 393 enfants nés de mère séropositive devant réaliser un </w:t>
      </w:r>
      <w:r w:rsidRPr="005E67A9">
        <w:rPr>
          <w:rFonts w:ascii="Candara" w:hAnsi="Candara"/>
          <w:sz w:val="22"/>
        </w:rPr>
        <w:t>diagnostic précoce du VIH</w:t>
      </w:r>
      <w:r>
        <w:rPr>
          <w:rFonts w:ascii="Candara" w:hAnsi="Candara"/>
          <w:sz w:val="22"/>
        </w:rPr>
        <w:t xml:space="preserve"> devra être comblé d’ici 2021.</w:t>
      </w:r>
    </w:p>
    <w:p w14:paraId="5BD3BA5A" w14:textId="77777777" w:rsidR="00E03BED" w:rsidRDefault="00E03BED" w:rsidP="00E03BED">
      <w:pPr>
        <w:pStyle w:val="Titre2"/>
      </w:pPr>
    </w:p>
    <w:p w14:paraId="64A0EBC1" w14:textId="77777777" w:rsidR="00E03BED" w:rsidRPr="00794D39" w:rsidRDefault="00E03BED" w:rsidP="00E03BED">
      <w:pPr>
        <w:pStyle w:val="Titre2"/>
      </w:pPr>
      <w:bookmarkStart w:id="12" w:name="_Toc15906422"/>
      <w:r w:rsidRPr="001035B9">
        <w:t>V.</w:t>
      </w:r>
      <w:r>
        <w:t>5.</w:t>
      </w:r>
      <w:r w:rsidRPr="007D3769">
        <w:t>Coïnfection TB</w:t>
      </w:r>
      <w:r>
        <w:t>/VIH</w:t>
      </w:r>
      <w:bookmarkEnd w:id="11"/>
      <w:bookmarkEnd w:id="12"/>
    </w:p>
    <w:p w14:paraId="0C813BE2" w14:textId="77777777" w:rsidR="00E03BED" w:rsidRDefault="00E03BED" w:rsidP="00E03BED">
      <w:pPr>
        <w:rPr>
          <w:rFonts w:asciiTheme="majorHAnsi" w:eastAsiaTheme="majorEastAsia" w:hAnsiTheme="majorHAnsi" w:cstheme="majorBidi"/>
          <w:b/>
          <w:bCs/>
          <w:color w:val="525252" w:themeColor="accent3" w:themeShade="80"/>
          <w:sz w:val="26"/>
          <w:szCs w:val="26"/>
        </w:rPr>
      </w:pPr>
      <w:r>
        <w:rPr>
          <w:noProof/>
          <w:lang w:val="en-US" w:eastAsia="en-US"/>
        </w:rPr>
        <w:drawing>
          <wp:inline distT="0" distB="0" distL="0" distR="0" wp14:anchorId="417F6B3B" wp14:editId="50417CFB">
            <wp:extent cx="5756910" cy="3352800"/>
            <wp:effectExtent l="0" t="0" r="34290" b="2540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E30EBD" w14:textId="77777777" w:rsidR="00E03BED" w:rsidRDefault="00E03BED" w:rsidP="00E03BED">
      <w:pPr>
        <w:jc w:val="both"/>
        <w:rPr>
          <w:rFonts w:ascii="Candara" w:hAnsi="Candara"/>
          <w:sz w:val="22"/>
        </w:rPr>
      </w:pPr>
    </w:p>
    <w:p w14:paraId="25B946FF" w14:textId="77777777" w:rsidR="00E03BED" w:rsidRPr="00587FD9" w:rsidRDefault="00E03BED" w:rsidP="00E03BED">
      <w:pPr>
        <w:jc w:val="both"/>
        <w:rPr>
          <w:rFonts w:ascii="Candara" w:hAnsi="Candara" w:cs="Times New Roman"/>
          <w:b/>
          <w:sz w:val="22"/>
          <w:szCs w:val="22"/>
          <w:lang w:eastAsia="en-US"/>
        </w:rPr>
      </w:pPr>
      <w:r>
        <w:rPr>
          <w:rFonts w:ascii="Candara" w:hAnsi="Candara" w:cs="Times New Roman"/>
          <w:b/>
          <w:sz w:val="22"/>
          <w:szCs w:val="22"/>
          <w:lang w:eastAsia="en-US"/>
        </w:rPr>
        <w:t>Figure 5</w:t>
      </w:r>
      <w:r w:rsidRPr="00587FD9">
        <w:rPr>
          <w:rFonts w:ascii="Candara" w:hAnsi="Candara" w:cs="Times New Roman"/>
          <w:b/>
          <w:sz w:val="22"/>
          <w:szCs w:val="22"/>
          <w:lang w:eastAsia="en-US"/>
        </w:rPr>
        <w:t xml:space="preserve"> : </w:t>
      </w:r>
      <w:r>
        <w:rPr>
          <w:rFonts w:ascii="Candara" w:hAnsi="Candara" w:cs="Times New Roman"/>
          <w:b/>
          <w:sz w:val="22"/>
          <w:szCs w:val="22"/>
          <w:lang w:eastAsia="en-US"/>
        </w:rPr>
        <w:t xml:space="preserve">Cascade de la prise en charge de la co-infection TB/VIH </w:t>
      </w:r>
      <w:r w:rsidRPr="00587FD9">
        <w:rPr>
          <w:rFonts w:ascii="Candara" w:hAnsi="Candara" w:cs="Times New Roman"/>
          <w:b/>
          <w:sz w:val="22"/>
          <w:szCs w:val="22"/>
          <w:lang w:eastAsia="en-US"/>
        </w:rPr>
        <w:t xml:space="preserve">en Guinée </w:t>
      </w:r>
      <w:r>
        <w:rPr>
          <w:rFonts w:ascii="Candara" w:hAnsi="Candara" w:cs="Times New Roman"/>
          <w:b/>
          <w:sz w:val="22"/>
          <w:szCs w:val="22"/>
          <w:lang w:eastAsia="en-US"/>
        </w:rPr>
        <w:t>en 2018 (</w:t>
      </w:r>
      <w:r w:rsidRPr="00587FD9">
        <w:rPr>
          <w:rFonts w:ascii="Candara" w:hAnsi="Candara" w:cs="Times New Roman"/>
          <w:b/>
          <w:sz w:val="22"/>
          <w:szCs w:val="22"/>
          <w:lang w:eastAsia="en-US"/>
        </w:rPr>
        <w:t xml:space="preserve">Source : </w:t>
      </w:r>
      <w:r>
        <w:rPr>
          <w:rFonts w:ascii="Candara" w:hAnsi="Candara" w:cs="Times New Roman"/>
          <w:b/>
          <w:sz w:val="22"/>
          <w:szCs w:val="22"/>
          <w:lang w:eastAsia="en-US"/>
        </w:rPr>
        <w:t>PNLAT</w:t>
      </w:r>
      <w:r w:rsidRPr="00587FD9">
        <w:rPr>
          <w:rFonts w:ascii="Candara" w:hAnsi="Candara" w:cs="Times New Roman"/>
          <w:b/>
          <w:sz w:val="22"/>
          <w:szCs w:val="22"/>
          <w:lang w:eastAsia="en-US"/>
        </w:rPr>
        <w:t>)</w:t>
      </w:r>
    </w:p>
    <w:p w14:paraId="4FE57269" w14:textId="77777777" w:rsidR="00E03BED" w:rsidRDefault="00E03BED" w:rsidP="00E03BED">
      <w:pPr>
        <w:jc w:val="both"/>
        <w:rPr>
          <w:rFonts w:ascii="Candara" w:hAnsi="Candara"/>
          <w:sz w:val="22"/>
        </w:rPr>
      </w:pPr>
    </w:p>
    <w:p w14:paraId="306314D1" w14:textId="77777777" w:rsidR="00E03BED" w:rsidRDefault="00E03BED" w:rsidP="00E03BED">
      <w:pPr>
        <w:jc w:val="both"/>
        <w:rPr>
          <w:rFonts w:ascii="Candara" w:hAnsi="Candara"/>
          <w:sz w:val="22"/>
        </w:rPr>
      </w:pPr>
      <w:r w:rsidRPr="00FA3928">
        <w:rPr>
          <w:rFonts w:ascii="Candara" w:hAnsi="Candara"/>
          <w:sz w:val="22"/>
        </w:rPr>
        <w:t xml:space="preserve">Sur une estimation de 22000 patients TB attendus en 2018, 14476 patients </w:t>
      </w:r>
      <w:r>
        <w:rPr>
          <w:rFonts w:ascii="Candara" w:hAnsi="Candara"/>
          <w:sz w:val="22"/>
        </w:rPr>
        <w:t xml:space="preserve">(66%) </w:t>
      </w:r>
      <w:r w:rsidRPr="00FA3928">
        <w:rPr>
          <w:rFonts w:ascii="Candara" w:hAnsi="Candara"/>
          <w:sz w:val="22"/>
        </w:rPr>
        <w:t>ont été diagnostiqués TB</w:t>
      </w:r>
      <w:r>
        <w:rPr>
          <w:rFonts w:ascii="Candara" w:hAnsi="Candara"/>
          <w:sz w:val="22"/>
        </w:rPr>
        <w:t xml:space="preserve"> dans les structures de soins. </w:t>
      </w:r>
      <w:r w:rsidRPr="00FA3928">
        <w:rPr>
          <w:rFonts w:ascii="Candara" w:hAnsi="Candara"/>
          <w:sz w:val="22"/>
        </w:rPr>
        <w:t xml:space="preserve">Parmi eux, les tests de dépistage VIH a été réalisé chez 11 767 soit un taux de réalisation de </w:t>
      </w:r>
      <w:r w:rsidRPr="00776EC1">
        <w:rPr>
          <w:rFonts w:ascii="Candara" w:hAnsi="Candara"/>
          <w:sz w:val="22"/>
        </w:rPr>
        <w:t>81%</w:t>
      </w:r>
      <w:r w:rsidRPr="00FA3928">
        <w:rPr>
          <w:rFonts w:ascii="Candara" w:hAnsi="Candara"/>
          <w:sz w:val="22"/>
        </w:rPr>
        <w:t xml:space="preserve">. Sur les 2886 patients TB diagnostiqués positive au VIH, 2733 ont été mis sous traitement ARV </w:t>
      </w:r>
      <w:r w:rsidRPr="00776EC1">
        <w:rPr>
          <w:rFonts w:ascii="Candara" w:hAnsi="Candara"/>
          <w:sz w:val="22"/>
        </w:rPr>
        <w:t>(95%).</w:t>
      </w:r>
      <w:r w:rsidRPr="00FA3928">
        <w:rPr>
          <w:rFonts w:ascii="Candara" w:hAnsi="Candara"/>
          <w:sz w:val="22"/>
        </w:rPr>
        <w:t xml:space="preserve"> </w:t>
      </w:r>
    </w:p>
    <w:p w14:paraId="64225444" w14:textId="77777777" w:rsidR="00E03BED" w:rsidRDefault="00E03BED" w:rsidP="00E03BED">
      <w:pPr>
        <w:jc w:val="both"/>
        <w:rPr>
          <w:rFonts w:ascii="Candara" w:hAnsi="Candara"/>
          <w:sz w:val="22"/>
        </w:rPr>
      </w:pPr>
    </w:p>
    <w:p w14:paraId="14079357" w14:textId="77777777" w:rsidR="00E03BED" w:rsidRPr="00FA3928" w:rsidRDefault="00E03BED" w:rsidP="00E03BED">
      <w:pPr>
        <w:jc w:val="both"/>
        <w:rPr>
          <w:rFonts w:ascii="Candara" w:hAnsi="Candara"/>
          <w:sz w:val="22"/>
        </w:rPr>
      </w:pPr>
      <w:r>
        <w:rPr>
          <w:rFonts w:ascii="Candara" w:hAnsi="Candara"/>
          <w:sz w:val="22"/>
        </w:rPr>
        <w:t>Le plan d’accélération devra dans un premier temps accompagner le PNTAT pour combler le Gap de 34% de dépistage de la TB dans la population générale soit 7524 patients TB d’ici 2021, et dans un deuxième temps combler le Gap de 19% dépistage du VIH chez les patients TB, et mettre sous traitement ARV 100% des patients TB positifs au VIH.</w:t>
      </w:r>
    </w:p>
    <w:p w14:paraId="01AC33E5" w14:textId="77777777" w:rsidR="00E03BED" w:rsidRDefault="00E03BED" w:rsidP="00E03BED">
      <w:pPr>
        <w:pStyle w:val="Titre2"/>
      </w:pPr>
    </w:p>
    <w:p w14:paraId="464F9003" w14:textId="77777777" w:rsidR="00E03BED" w:rsidRPr="00517497" w:rsidRDefault="00E03BED" w:rsidP="00E03BED">
      <w:pPr>
        <w:pStyle w:val="Titre2"/>
      </w:pPr>
      <w:bookmarkStart w:id="13" w:name="_Toc15906423"/>
      <w:r w:rsidRPr="001035B9">
        <w:t>V.</w:t>
      </w:r>
      <w:r>
        <w:t xml:space="preserve">6. </w:t>
      </w:r>
      <w:r w:rsidRPr="006F61B3">
        <w:t>Niveau de stigma</w:t>
      </w:r>
      <w:r>
        <w:t>tisation</w:t>
      </w:r>
      <w:r w:rsidRPr="006F61B3">
        <w:t xml:space="preserve"> et de discrimination</w:t>
      </w:r>
      <w:bookmarkEnd w:id="13"/>
    </w:p>
    <w:p w14:paraId="7554A94B" w14:textId="77777777" w:rsidR="00E03BED" w:rsidRPr="00C4651C" w:rsidRDefault="00E03BED" w:rsidP="00E03BED">
      <w:pPr>
        <w:jc w:val="both"/>
        <w:rPr>
          <w:rFonts w:ascii="Candara" w:hAnsi="Candara" w:cs="Times New Roman"/>
          <w:sz w:val="22"/>
          <w:szCs w:val="22"/>
          <w:lang w:eastAsia="en-US"/>
        </w:rPr>
      </w:pPr>
      <w:r w:rsidRPr="00C4651C">
        <w:rPr>
          <w:rFonts w:ascii="Candara" w:hAnsi="Candara" w:cs="Times New Roman"/>
          <w:sz w:val="22"/>
          <w:szCs w:val="22"/>
          <w:lang w:eastAsia="en-US"/>
        </w:rPr>
        <w:t xml:space="preserve">De façon globale, on note une persistance de la stigmatisation et de la discrimination en direction des personnes vivant avec le VIH. La stigmatisation serait plus prononcée chez le personnel de santé même s’il est </w:t>
      </w:r>
      <w:r>
        <w:rPr>
          <w:rFonts w:ascii="Candara" w:hAnsi="Candara" w:cs="Times New Roman"/>
          <w:sz w:val="22"/>
          <w:szCs w:val="22"/>
          <w:lang w:eastAsia="en-US"/>
        </w:rPr>
        <w:t xml:space="preserve">noté une </w:t>
      </w:r>
      <w:r w:rsidR="004F5FDB">
        <w:rPr>
          <w:rFonts w:ascii="Candara" w:hAnsi="Candara" w:cs="Times New Roman"/>
          <w:sz w:val="22"/>
          <w:szCs w:val="22"/>
          <w:lang w:eastAsia="en-US"/>
        </w:rPr>
        <w:t>auto-stigmatisation</w:t>
      </w:r>
      <w:r>
        <w:rPr>
          <w:rFonts w:ascii="Candara" w:hAnsi="Candara" w:cs="Times New Roman"/>
          <w:sz w:val="22"/>
          <w:szCs w:val="22"/>
          <w:lang w:eastAsia="en-US"/>
        </w:rPr>
        <w:t xml:space="preserve"> de</w:t>
      </w:r>
      <w:r w:rsidRPr="00C4651C">
        <w:rPr>
          <w:rFonts w:ascii="Candara" w:hAnsi="Candara" w:cs="Times New Roman"/>
          <w:sz w:val="22"/>
          <w:szCs w:val="22"/>
          <w:lang w:eastAsia="en-US"/>
        </w:rPr>
        <w:t xml:space="preserve"> la part des PVVIH. </w:t>
      </w:r>
    </w:p>
    <w:p w14:paraId="4BEF89CC" w14:textId="77777777" w:rsidR="00E03BED" w:rsidRDefault="00E03BED" w:rsidP="00E03BED">
      <w:pPr>
        <w:jc w:val="both"/>
        <w:rPr>
          <w:rFonts w:ascii="Candara" w:hAnsi="Candara" w:cs="Times New Roman"/>
          <w:sz w:val="22"/>
          <w:szCs w:val="22"/>
          <w:lang w:eastAsia="en-US"/>
        </w:rPr>
      </w:pPr>
    </w:p>
    <w:p w14:paraId="3F863226" w14:textId="77777777" w:rsidR="00E03BED" w:rsidRDefault="00E03BED" w:rsidP="00E03BED">
      <w:pPr>
        <w:jc w:val="both"/>
        <w:rPr>
          <w:rFonts w:ascii="Candara" w:hAnsi="Candara" w:cs="Times New Roman"/>
          <w:b/>
          <w:sz w:val="22"/>
          <w:szCs w:val="22"/>
          <w:lang w:eastAsia="en-US"/>
        </w:rPr>
      </w:pPr>
      <w:r w:rsidRPr="00C4651C">
        <w:rPr>
          <w:rFonts w:ascii="Candara" w:hAnsi="Candara" w:cs="Times New Roman"/>
          <w:b/>
          <w:sz w:val="22"/>
          <w:szCs w:val="22"/>
          <w:lang w:eastAsia="en-US"/>
        </w:rPr>
        <w:t>PVVIH</w:t>
      </w:r>
    </w:p>
    <w:p w14:paraId="1A3EA9E2" w14:textId="77777777" w:rsidR="00E03BED" w:rsidRPr="00C4651C" w:rsidRDefault="00E03BED" w:rsidP="00E03BED">
      <w:pPr>
        <w:jc w:val="both"/>
        <w:rPr>
          <w:rFonts w:ascii="Candara" w:hAnsi="Candara" w:cs="Times New Roman"/>
          <w:b/>
          <w:sz w:val="22"/>
          <w:szCs w:val="22"/>
          <w:lang w:eastAsia="en-US"/>
        </w:rPr>
      </w:pPr>
      <w:r w:rsidRPr="00AA70DD">
        <w:rPr>
          <w:rFonts w:ascii="Candara" w:hAnsi="Candara" w:cs="Times New Roman"/>
          <w:sz w:val="22"/>
          <w:szCs w:val="22"/>
          <w:lang w:eastAsia="en-US"/>
        </w:rPr>
        <w:t>Selon l ‘enquête ESCOMB 2017</w:t>
      </w:r>
      <w:r>
        <w:rPr>
          <w:rFonts w:ascii="Candara" w:hAnsi="Candara" w:cs="Times New Roman"/>
          <w:sz w:val="22"/>
          <w:szCs w:val="22"/>
          <w:lang w:eastAsia="en-US"/>
        </w:rPr>
        <w:t xml:space="preserve"> : </w:t>
      </w:r>
    </w:p>
    <w:p w14:paraId="710800EA" w14:textId="77777777" w:rsidR="00E03BED" w:rsidRPr="00517497" w:rsidRDefault="00E03BED" w:rsidP="00E03BED">
      <w:pPr>
        <w:pStyle w:val="Sansinterligne"/>
        <w:numPr>
          <w:ilvl w:val="0"/>
          <w:numId w:val="28"/>
        </w:numPr>
        <w:jc w:val="both"/>
        <w:rPr>
          <w:rFonts w:ascii="Candara" w:hAnsi="Candara"/>
          <w:sz w:val="22"/>
        </w:rPr>
      </w:pPr>
      <w:r w:rsidRPr="00517497">
        <w:rPr>
          <w:rFonts w:ascii="Candara" w:hAnsi="Candara"/>
          <w:sz w:val="22"/>
        </w:rPr>
        <w:t>1,5% des PVVIH ont évité des soins de santé en raison de la stigmatisation et de la discrimination</w:t>
      </w:r>
      <w:r>
        <w:rPr>
          <w:rFonts w:ascii="Candara" w:hAnsi="Candara"/>
          <w:sz w:val="22"/>
        </w:rPr>
        <w:t>.</w:t>
      </w:r>
    </w:p>
    <w:p w14:paraId="5B180B97" w14:textId="77777777" w:rsidR="00E03BED" w:rsidRPr="00517497" w:rsidRDefault="00E03BED" w:rsidP="00E03BED">
      <w:pPr>
        <w:pStyle w:val="Sansinterligne"/>
        <w:numPr>
          <w:ilvl w:val="0"/>
          <w:numId w:val="28"/>
        </w:numPr>
        <w:jc w:val="both"/>
        <w:rPr>
          <w:rFonts w:ascii="Candara" w:hAnsi="Candara"/>
          <w:sz w:val="22"/>
        </w:rPr>
      </w:pPr>
      <w:r w:rsidRPr="00517497">
        <w:rPr>
          <w:rFonts w:ascii="Candara" w:hAnsi="Candara"/>
          <w:sz w:val="22"/>
        </w:rPr>
        <w:lastRenderedPageBreak/>
        <w:t xml:space="preserve">Pourcentage de jeunes ayant un comportement de tolérance vis-à-vis des personnes vivant avec le VIH : 21,7% en 2017. A titre d’exemple, le refus qu’un étudiant / élève infecté par le VIH (mais n’est pas malade) continue d’aller à l’école est de 54,2% ; le refus d’acheter la nourriture chez un vendeur de repas infecté par le VIH de 85,9%.  </w:t>
      </w:r>
    </w:p>
    <w:p w14:paraId="44817FFD" w14:textId="77777777" w:rsidR="00E03BED" w:rsidRPr="00517497" w:rsidRDefault="00E03BED" w:rsidP="00E03BED">
      <w:pPr>
        <w:pStyle w:val="Sansinterligne"/>
        <w:numPr>
          <w:ilvl w:val="0"/>
          <w:numId w:val="28"/>
        </w:numPr>
        <w:jc w:val="both"/>
        <w:rPr>
          <w:rFonts w:ascii="Candara" w:hAnsi="Candara"/>
          <w:sz w:val="22"/>
        </w:rPr>
      </w:pPr>
      <w:r w:rsidRPr="00517497">
        <w:rPr>
          <w:rFonts w:ascii="Candara" w:hAnsi="Candara"/>
          <w:sz w:val="22"/>
        </w:rPr>
        <w:t>Pourcentage de pêcheurs femmes et hommes âgé (e) s de 15 à 49 ans qui déclarent des attitudes discriminatoires à l'égard des personnes vivant avec le VIH : 61,1%.</w:t>
      </w:r>
    </w:p>
    <w:p w14:paraId="3717E879" w14:textId="77777777" w:rsidR="00E03BED" w:rsidRPr="00517497" w:rsidRDefault="00E03BED" w:rsidP="00E03BED">
      <w:pPr>
        <w:pStyle w:val="Sansinterligne"/>
        <w:numPr>
          <w:ilvl w:val="0"/>
          <w:numId w:val="28"/>
        </w:numPr>
        <w:jc w:val="both"/>
        <w:rPr>
          <w:rFonts w:ascii="Candara" w:hAnsi="Candara"/>
          <w:sz w:val="22"/>
        </w:rPr>
      </w:pPr>
      <w:r w:rsidRPr="00517497">
        <w:rPr>
          <w:rFonts w:ascii="Candara" w:hAnsi="Candara"/>
          <w:sz w:val="22"/>
        </w:rPr>
        <w:t>Index de tolérance des pêcheurs envers les personnes vivant avec le VIH : 13,6%</w:t>
      </w:r>
    </w:p>
    <w:p w14:paraId="2B3E4273" w14:textId="77777777" w:rsidR="00E03BED" w:rsidRPr="00517497" w:rsidRDefault="00E03BED" w:rsidP="00E03BED">
      <w:pPr>
        <w:pStyle w:val="Sansinterligne"/>
        <w:numPr>
          <w:ilvl w:val="0"/>
          <w:numId w:val="28"/>
        </w:numPr>
        <w:jc w:val="both"/>
        <w:rPr>
          <w:rFonts w:ascii="Candara" w:hAnsi="Candara"/>
          <w:sz w:val="22"/>
        </w:rPr>
      </w:pPr>
      <w:r w:rsidRPr="00517497">
        <w:rPr>
          <w:rFonts w:ascii="Candara" w:hAnsi="Candara"/>
          <w:sz w:val="22"/>
        </w:rPr>
        <w:t>Pourcentage de miniers femmes et hommes âgé (e) s de 15 à 49 ans qui déclarent des attitudes discriminatoires à l'égard des personnes vivant avec le VIH : 48,6%.</w:t>
      </w:r>
    </w:p>
    <w:p w14:paraId="0E87FD1D" w14:textId="77777777" w:rsidR="00E03BED" w:rsidRPr="00517497" w:rsidRDefault="00E03BED" w:rsidP="00E03BED">
      <w:pPr>
        <w:pStyle w:val="Sansinterligne"/>
        <w:numPr>
          <w:ilvl w:val="0"/>
          <w:numId w:val="28"/>
        </w:numPr>
        <w:rPr>
          <w:rFonts w:ascii="Candara" w:hAnsi="Candara"/>
          <w:sz w:val="22"/>
        </w:rPr>
      </w:pPr>
      <w:r w:rsidRPr="00517497">
        <w:rPr>
          <w:rFonts w:ascii="Candara" w:hAnsi="Candara"/>
          <w:sz w:val="22"/>
        </w:rPr>
        <w:t>Index de tolérance des miniers envers les PVVIH parmi les miniers : 15,9%.</w:t>
      </w:r>
    </w:p>
    <w:p w14:paraId="1205F204" w14:textId="77777777" w:rsidR="00E03BED" w:rsidRPr="00AA70DD" w:rsidRDefault="00E03BED" w:rsidP="00E03BED">
      <w:pPr>
        <w:pStyle w:val="Sansinterligne"/>
        <w:jc w:val="both"/>
        <w:rPr>
          <w:rFonts w:ascii="Candara" w:hAnsi="Candara" w:cs="Times New Roman"/>
          <w:b/>
          <w:sz w:val="22"/>
          <w:szCs w:val="22"/>
          <w:lang w:eastAsia="en-US"/>
        </w:rPr>
      </w:pPr>
      <w:r w:rsidRPr="00AA70DD">
        <w:rPr>
          <w:rFonts w:ascii="Candara" w:hAnsi="Candara" w:cs="Times New Roman"/>
          <w:b/>
          <w:sz w:val="22"/>
          <w:szCs w:val="22"/>
          <w:lang w:eastAsia="en-US"/>
        </w:rPr>
        <w:t>PS </w:t>
      </w:r>
    </w:p>
    <w:p w14:paraId="09224AF0" w14:textId="77777777" w:rsidR="00E03BED" w:rsidRDefault="00E03BED" w:rsidP="00E03BED">
      <w:pPr>
        <w:pStyle w:val="Sansinterligne"/>
        <w:jc w:val="both"/>
        <w:rPr>
          <w:rFonts w:ascii="Candara" w:hAnsi="Candara" w:cs="Times New Roman"/>
          <w:sz w:val="22"/>
          <w:szCs w:val="22"/>
          <w:lang w:eastAsia="en-US"/>
        </w:rPr>
      </w:pPr>
      <w:r w:rsidRPr="00AA70DD">
        <w:rPr>
          <w:rFonts w:ascii="Candara" w:hAnsi="Candara" w:cs="Times New Roman"/>
          <w:sz w:val="22"/>
          <w:szCs w:val="22"/>
          <w:lang w:eastAsia="en-US"/>
        </w:rPr>
        <w:t>Selon l ‘enquête ESCOMB 2017 réalisée auprès</w:t>
      </w:r>
      <w:r>
        <w:rPr>
          <w:rFonts w:ascii="Candara" w:hAnsi="Candara" w:cs="Times New Roman"/>
          <w:sz w:val="22"/>
          <w:szCs w:val="22"/>
          <w:lang w:eastAsia="en-US"/>
        </w:rPr>
        <w:t xml:space="preserve"> des PS :</w:t>
      </w:r>
    </w:p>
    <w:p w14:paraId="03A1979B" w14:textId="77777777" w:rsidR="00E03BED" w:rsidRDefault="00E03BED" w:rsidP="00E03BED">
      <w:pPr>
        <w:pStyle w:val="Sansinterligne"/>
        <w:numPr>
          <w:ilvl w:val="0"/>
          <w:numId w:val="2"/>
        </w:numPr>
        <w:jc w:val="both"/>
        <w:rPr>
          <w:rFonts w:ascii="Candara" w:hAnsi="Candara" w:cs="Times New Roman"/>
          <w:sz w:val="22"/>
          <w:szCs w:val="22"/>
          <w:lang w:eastAsia="en-US"/>
        </w:rPr>
      </w:pPr>
      <w:r w:rsidRPr="00AA70DD">
        <w:rPr>
          <w:rFonts w:ascii="Candara" w:hAnsi="Candara" w:cs="Times New Roman"/>
          <w:sz w:val="22"/>
          <w:szCs w:val="22"/>
          <w:lang w:eastAsia="en-US"/>
        </w:rPr>
        <w:t>58% des PS ont déclaré n’avoir subi aucune attitude négative de la part de leur entourage liée au fait qu’elles soient des PS</w:t>
      </w:r>
      <w:r>
        <w:rPr>
          <w:rFonts w:ascii="Candara" w:hAnsi="Candara" w:cs="Times New Roman"/>
          <w:sz w:val="22"/>
          <w:szCs w:val="22"/>
          <w:lang w:eastAsia="en-US"/>
        </w:rPr>
        <w:t>.</w:t>
      </w:r>
      <w:r w:rsidRPr="00AA70DD">
        <w:rPr>
          <w:rFonts w:ascii="Candara" w:hAnsi="Candara" w:cs="Times New Roman"/>
          <w:sz w:val="22"/>
          <w:szCs w:val="22"/>
          <w:lang w:eastAsia="en-US"/>
        </w:rPr>
        <w:t xml:space="preserve"> </w:t>
      </w:r>
    </w:p>
    <w:p w14:paraId="6941D48C" w14:textId="77777777" w:rsidR="00E03BED" w:rsidRDefault="00E03BED" w:rsidP="00E03BED">
      <w:pPr>
        <w:pStyle w:val="Sansinterligne"/>
        <w:numPr>
          <w:ilvl w:val="0"/>
          <w:numId w:val="2"/>
        </w:numPr>
        <w:jc w:val="both"/>
        <w:rPr>
          <w:rFonts w:ascii="Candara" w:hAnsi="Candara" w:cs="Times New Roman"/>
          <w:sz w:val="22"/>
          <w:szCs w:val="22"/>
          <w:lang w:eastAsia="en-US"/>
        </w:rPr>
      </w:pPr>
      <w:r>
        <w:rPr>
          <w:rFonts w:ascii="Candara" w:hAnsi="Candara" w:cs="Times New Roman"/>
          <w:sz w:val="22"/>
          <w:szCs w:val="22"/>
          <w:lang w:eastAsia="en-US"/>
        </w:rPr>
        <w:t>11% ont déclaré avoir subi d</w:t>
      </w:r>
      <w:r w:rsidRPr="00AA70DD">
        <w:rPr>
          <w:rFonts w:ascii="Candara" w:hAnsi="Candara" w:cs="Times New Roman"/>
          <w:sz w:val="22"/>
          <w:szCs w:val="22"/>
          <w:lang w:eastAsia="en-US"/>
        </w:rPr>
        <w:t xml:space="preserve">es violences verbales </w:t>
      </w:r>
      <w:r>
        <w:rPr>
          <w:rFonts w:ascii="Candara" w:hAnsi="Candara" w:cs="Times New Roman"/>
          <w:sz w:val="22"/>
          <w:szCs w:val="22"/>
          <w:lang w:eastAsia="en-US"/>
        </w:rPr>
        <w:t>et 4% des tracasseries policières</w:t>
      </w:r>
      <w:r w:rsidRPr="00AA70DD">
        <w:rPr>
          <w:rFonts w:ascii="Candara" w:hAnsi="Candara" w:cs="Times New Roman"/>
          <w:sz w:val="22"/>
          <w:szCs w:val="22"/>
          <w:lang w:eastAsia="en-US"/>
        </w:rPr>
        <w:t xml:space="preserve">. </w:t>
      </w:r>
    </w:p>
    <w:p w14:paraId="1D83E464" w14:textId="77777777" w:rsidR="00E03BED" w:rsidRPr="006E595E" w:rsidRDefault="00E03BED" w:rsidP="00E03BED">
      <w:pPr>
        <w:pStyle w:val="Sansinterligne"/>
        <w:ind w:left="720"/>
        <w:jc w:val="both"/>
        <w:rPr>
          <w:rFonts w:ascii="Candara" w:hAnsi="Candara" w:cs="Times New Roman"/>
          <w:sz w:val="22"/>
          <w:szCs w:val="22"/>
          <w:lang w:eastAsia="en-US"/>
        </w:rPr>
      </w:pPr>
    </w:p>
    <w:p w14:paraId="67DD8886" w14:textId="77777777" w:rsidR="00E03BED" w:rsidRPr="006F2BC5" w:rsidRDefault="00E03BED" w:rsidP="00E03BED">
      <w:pPr>
        <w:pStyle w:val="Sansinterligne"/>
        <w:jc w:val="both"/>
        <w:rPr>
          <w:rFonts w:ascii="Candara" w:hAnsi="Candara" w:cs="Times New Roman"/>
          <w:b/>
          <w:sz w:val="22"/>
          <w:szCs w:val="22"/>
          <w:lang w:eastAsia="en-US"/>
        </w:rPr>
      </w:pPr>
      <w:r w:rsidRPr="006F2BC5">
        <w:rPr>
          <w:rFonts w:ascii="Candara" w:hAnsi="Candara" w:cs="Times New Roman"/>
          <w:b/>
          <w:sz w:val="22"/>
          <w:szCs w:val="22"/>
          <w:lang w:eastAsia="en-US"/>
        </w:rPr>
        <w:t>HSH</w:t>
      </w:r>
    </w:p>
    <w:p w14:paraId="38CB5F5C" w14:textId="77777777" w:rsidR="00E03BED" w:rsidRPr="00EB69F5" w:rsidRDefault="00E03BED" w:rsidP="00E03BED">
      <w:pPr>
        <w:pStyle w:val="Sansinterligne"/>
        <w:jc w:val="both"/>
        <w:rPr>
          <w:rFonts w:ascii="Candara" w:hAnsi="Candara" w:cs="Times New Roman"/>
          <w:sz w:val="22"/>
          <w:szCs w:val="22"/>
          <w:lang w:eastAsia="en-US"/>
        </w:rPr>
      </w:pPr>
      <w:r w:rsidRPr="00EB69F5">
        <w:rPr>
          <w:rFonts w:ascii="Candara" w:hAnsi="Candara" w:cs="Times New Roman"/>
          <w:sz w:val="22"/>
          <w:szCs w:val="22"/>
          <w:lang w:eastAsia="en-US"/>
        </w:rPr>
        <w:t>Selon l ‘enquête </w:t>
      </w:r>
      <w:r w:rsidRPr="0078306D">
        <w:rPr>
          <w:rFonts w:ascii="Candara" w:hAnsi="Candara" w:cs="Times New Roman"/>
          <w:sz w:val="22"/>
          <w:szCs w:val="22"/>
          <w:lang w:eastAsia="en-US"/>
        </w:rPr>
        <w:t>ESCOMB 2017</w:t>
      </w:r>
      <w:r>
        <w:rPr>
          <w:rFonts w:ascii="Candara" w:hAnsi="Candara" w:cs="Times New Roman"/>
          <w:sz w:val="22"/>
          <w:szCs w:val="22"/>
          <w:lang w:eastAsia="en-US"/>
        </w:rPr>
        <w:t xml:space="preserve"> réalisée auprès des HSH </w:t>
      </w:r>
      <w:r w:rsidRPr="00EB69F5">
        <w:rPr>
          <w:rFonts w:ascii="Candara" w:hAnsi="Candara" w:cs="Times New Roman"/>
          <w:sz w:val="22"/>
          <w:szCs w:val="22"/>
          <w:lang w:eastAsia="en-US"/>
        </w:rPr>
        <w:t>:</w:t>
      </w:r>
    </w:p>
    <w:p w14:paraId="6D162EBA" w14:textId="77777777" w:rsidR="00E03BED" w:rsidRPr="00EB69F5" w:rsidRDefault="00E03BED" w:rsidP="00E03BED">
      <w:pPr>
        <w:pStyle w:val="Sansinterligne"/>
        <w:numPr>
          <w:ilvl w:val="0"/>
          <w:numId w:val="1"/>
        </w:numPr>
        <w:jc w:val="both"/>
        <w:rPr>
          <w:rFonts w:ascii="Candara" w:hAnsi="Candara" w:cs="Times New Roman"/>
          <w:sz w:val="22"/>
          <w:szCs w:val="22"/>
          <w:lang w:eastAsia="en-US"/>
        </w:rPr>
      </w:pPr>
      <w:r>
        <w:rPr>
          <w:rFonts w:ascii="Candara" w:hAnsi="Candara" w:cs="Times New Roman"/>
          <w:sz w:val="22"/>
          <w:szCs w:val="22"/>
          <w:lang w:eastAsia="en-US"/>
        </w:rPr>
        <w:t>A cause de la pression sociale, s</w:t>
      </w:r>
      <w:r w:rsidRPr="00EB69F5">
        <w:rPr>
          <w:rFonts w:ascii="Candara" w:hAnsi="Candara" w:cs="Times New Roman"/>
          <w:sz w:val="22"/>
          <w:szCs w:val="22"/>
          <w:lang w:eastAsia="en-US"/>
        </w:rPr>
        <w:t>eulement 24,8% des HSH enquêtés reconnai</w:t>
      </w:r>
      <w:r>
        <w:rPr>
          <w:rFonts w:ascii="Candara" w:hAnsi="Candara" w:cs="Times New Roman"/>
          <w:sz w:val="22"/>
          <w:szCs w:val="22"/>
          <w:lang w:eastAsia="en-US"/>
        </w:rPr>
        <w:t>ssen</w:t>
      </w:r>
      <w:r w:rsidRPr="00EB69F5">
        <w:rPr>
          <w:rFonts w:ascii="Candara" w:hAnsi="Candara" w:cs="Times New Roman"/>
          <w:sz w:val="22"/>
          <w:szCs w:val="22"/>
          <w:lang w:eastAsia="en-US"/>
        </w:rPr>
        <w:t xml:space="preserve">t avoir divulgué </w:t>
      </w:r>
      <w:r>
        <w:rPr>
          <w:rFonts w:ascii="Candara" w:hAnsi="Candara" w:cs="Times New Roman"/>
          <w:sz w:val="22"/>
          <w:szCs w:val="22"/>
          <w:lang w:eastAsia="en-US"/>
        </w:rPr>
        <w:t>leur</w:t>
      </w:r>
      <w:r w:rsidRPr="00EB69F5">
        <w:rPr>
          <w:rFonts w:ascii="Candara" w:hAnsi="Candara" w:cs="Times New Roman"/>
          <w:sz w:val="22"/>
          <w:szCs w:val="22"/>
          <w:lang w:eastAsia="en-US"/>
        </w:rPr>
        <w:t xml:space="preserve"> orientation sexuelle au niveau de son proche entourage</w:t>
      </w:r>
      <w:r>
        <w:rPr>
          <w:rFonts w:ascii="Candara" w:hAnsi="Candara" w:cs="Times New Roman"/>
          <w:sz w:val="22"/>
          <w:szCs w:val="22"/>
          <w:lang w:eastAsia="en-US"/>
        </w:rPr>
        <w:t xml:space="preserve">. </w:t>
      </w:r>
    </w:p>
    <w:p w14:paraId="070B7B67" w14:textId="77777777" w:rsidR="00E03BED" w:rsidRPr="00EB69F5" w:rsidRDefault="00E03BED" w:rsidP="00E03BED">
      <w:pPr>
        <w:pStyle w:val="Sansinterligne"/>
        <w:numPr>
          <w:ilvl w:val="0"/>
          <w:numId w:val="1"/>
        </w:numPr>
        <w:jc w:val="both"/>
        <w:rPr>
          <w:rFonts w:ascii="Candara" w:hAnsi="Candara" w:cs="Times New Roman"/>
          <w:sz w:val="22"/>
          <w:szCs w:val="22"/>
          <w:lang w:eastAsia="en-US"/>
        </w:rPr>
      </w:pPr>
      <w:r w:rsidRPr="00EB69F5">
        <w:rPr>
          <w:rFonts w:ascii="Candara" w:hAnsi="Candara" w:cs="Times New Roman"/>
          <w:sz w:val="22"/>
          <w:szCs w:val="22"/>
          <w:lang w:eastAsia="en-US"/>
        </w:rPr>
        <w:t>Après divulgation de son orientation sexuelle</w:t>
      </w:r>
      <w:r>
        <w:rPr>
          <w:rFonts w:ascii="Candara" w:hAnsi="Candara" w:cs="Times New Roman"/>
          <w:sz w:val="22"/>
          <w:szCs w:val="22"/>
          <w:lang w:eastAsia="en-US"/>
        </w:rPr>
        <w:t>,</w:t>
      </w:r>
      <w:r w:rsidRPr="00EB69F5">
        <w:rPr>
          <w:rFonts w:ascii="Candara" w:hAnsi="Candara" w:cs="Times New Roman"/>
          <w:sz w:val="22"/>
          <w:szCs w:val="22"/>
          <w:lang w:eastAsia="en-US"/>
        </w:rPr>
        <w:t xml:space="preserve"> le rejet/exclusion est observé chez 4,5% des HSH, les pressions dans 4,5% des cas et la violence physique dans 1% des cas. </w:t>
      </w:r>
    </w:p>
    <w:p w14:paraId="5E89CC33" w14:textId="77777777" w:rsidR="00E03BED" w:rsidRPr="000B08CD" w:rsidRDefault="00E03BED" w:rsidP="00E03BED">
      <w:pPr>
        <w:pStyle w:val="Sansinterligne"/>
        <w:numPr>
          <w:ilvl w:val="0"/>
          <w:numId w:val="1"/>
        </w:numPr>
        <w:jc w:val="both"/>
        <w:rPr>
          <w:rFonts w:ascii="Candara" w:hAnsi="Candara" w:cs="Times New Roman"/>
          <w:sz w:val="22"/>
          <w:szCs w:val="22"/>
          <w:lang w:eastAsia="en-US"/>
        </w:rPr>
      </w:pPr>
      <w:r w:rsidRPr="00B85322">
        <w:rPr>
          <w:rFonts w:ascii="Candara" w:hAnsi="Candara" w:cs="Times New Roman"/>
          <w:sz w:val="22"/>
          <w:szCs w:val="22"/>
          <w:lang w:eastAsia="en-US"/>
        </w:rPr>
        <w:t xml:space="preserve">12,8% des HSH enquêtés ont déclaré avoir été victime de violence sexuelle au cours des 12 </w:t>
      </w:r>
      <w:r w:rsidRPr="000B08CD">
        <w:rPr>
          <w:rFonts w:ascii="Candara" w:hAnsi="Candara" w:cs="Times New Roman"/>
          <w:sz w:val="22"/>
          <w:szCs w:val="22"/>
          <w:lang w:eastAsia="en-US"/>
        </w:rPr>
        <w:t xml:space="preserve">mois qui ont précédé l’enquête (forcé à avoir des relations sexuelles). </w:t>
      </w:r>
    </w:p>
    <w:p w14:paraId="676B99B1" w14:textId="77777777" w:rsidR="00E03BED" w:rsidRPr="00564639" w:rsidRDefault="00E03BED" w:rsidP="00E03BED">
      <w:pPr>
        <w:rPr>
          <w:rFonts w:ascii="Candara" w:hAnsi="Candara" w:cs="Times New Roman"/>
          <w:sz w:val="22"/>
          <w:szCs w:val="22"/>
          <w:lang w:eastAsia="en-US"/>
        </w:rPr>
      </w:pPr>
    </w:p>
    <w:p w14:paraId="25F3FAFC" w14:textId="77777777" w:rsidR="00E03BED" w:rsidRPr="00F940E4" w:rsidRDefault="00E03BED" w:rsidP="00E03BED">
      <w:pPr>
        <w:pStyle w:val="Titre1"/>
      </w:pPr>
      <w:bookmarkStart w:id="14" w:name="_Toc15906424"/>
      <w:r>
        <w:t>VI. ANALYSE DES G</w:t>
      </w:r>
      <w:r w:rsidRPr="00BE46C8">
        <w:t>OULOTS D’ETRANGLEMENT</w:t>
      </w:r>
      <w:r>
        <w:t xml:space="preserve"> DE LA MISE EN ŒUVRE</w:t>
      </w:r>
      <w:bookmarkEnd w:id="14"/>
      <w:r>
        <w:t xml:space="preserve"> </w:t>
      </w:r>
    </w:p>
    <w:p w14:paraId="1BF06DAA" w14:textId="77777777" w:rsidR="00E03BED" w:rsidRPr="000168CC" w:rsidRDefault="00E03BED" w:rsidP="00E03BED">
      <w:pPr>
        <w:pStyle w:val="Titre2"/>
      </w:pPr>
      <w:bookmarkStart w:id="15" w:name="_Toc15906425"/>
      <w:r>
        <w:t>VI.</w:t>
      </w:r>
      <w:r w:rsidRPr="000168CC">
        <w:t>1. Prévention</w:t>
      </w:r>
      <w:bookmarkEnd w:id="15"/>
    </w:p>
    <w:p w14:paraId="71ABDD9C" w14:textId="77777777" w:rsidR="00E03BED" w:rsidRPr="000B1AEE" w:rsidRDefault="00E03BED" w:rsidP="00E03BED">
      <w:pPr>
        <w:pStyle w:val="Sansinterligne"/>
        <w:numPr>
          <w:ilvl w:val="0"/>
          <w:numId w:val="6"/>
        </w:numPr>
        <w:jc w:val="both"/>
        <w:rPr>
          <w:rFonts w:ascii="Candara" w:hAnsi="Candara" w:cs="Times New Roman"/>
          <w:sz w:val="22"/>
          <w:szCs w:val="22"/>
          <w:lang w:eastAsia="en-US"/>
        </w:rPr>
      </w:pPr>
      <w:r w:rsidRPr="000B1AEE">
        <w:rPr>
          <w:rFonts w:ascii="Candara" w:hAnsi="Candara" w:cs="Times New Roman"/>
          <w:sz w:val="22"/>
          <w:szCs w:val="22"/>
          <w:lang w:eastAsia="en-US"/>
        </w:rPr>
        <w:t>Absence de plan de promotion et distribution des préservatifs masculin et féminin qui prend en compte le besoin spécifique de chaque cible et des différentes structures.</w:t>
      </w:r>
    </w:p>
    <w:p w14:paraId="6961951E" w14:textId="77777777" w:rsidR="00E03BED" w:rsidRPr="000B1AEE" w:rsidRDefault="00E03BED" w:rsidP="00E03BED">
      <w:pPr>
        <w:pStyle w:val="Sansinterligne"/>
        <w:numPr>
          <w:ilvl w:val="0"/>
          <w:numId w:val="6"/>
        </w:numPr>
        <w:jc w:val="both"/>
        <w:rPr>
          <w:rFonts w:ascii="Candara" w:hAnsi="Candara" w:cs="Times New Roman"/>
          <w:sz w:val="22"/>
          <w:szCs w:val="22"/>
          <w:lang w:eastAsia="en-US"/>
        </w:rPr>
      </w:pPr>
      <w:r w:rsidRPr="000B1AEE">
        <w:rPr>
          <w:rFonts w:ascii="Candara" w:hAnsi="Candara" w:cs="Times New Roman"/>
          <w:sz w:val="22"/>
          <w:szCs w:val="22"/>
          <w:lang w:eastAsia="en-US"/>
        </w:rPr>
        <w:t xml:space="preserve">Faible recours aux initiatives innovantes comme le </w:t>
      </w:r>
      <w:proofErr w:type="spellStart"/>
      <w:r w:rsidRPr="000B1AEE">
        <w:rPr>
          <w:rFonts w:ascii="Candara" w:hAnsi="Candara" w:cs="Times New Roman"/>
          <w:sz w:val="22"/>
          <w:szCs w:val="22"/>
          <w:lang w:eastAsia="en-US"/>
        </w:rPr>
        <w:t>PreP</w:t>
      </w:r>
      <w:proofErr w:type="spellEnd"/>
      <w:r w:rsidRPr="000B1AEE">
        <w:rPr>
          <w:rFonts w:ascii="Candara" w:hAnsi="Candara" w:cs="Times New Roman"/>
          <w:sz w:val="22"/>
          <w:szCs w:val="22"/>
          <w:lang w:eastAsia="en-US"/>
        </w:rPr>
        <w:t xml:space="preserve"> en direction des populations clés.</w:t>
      </w:r>
    </w:p>
    <w:p w14:paraId="5FA28C05" w14:textId="77777777" w:rsidR="00E03BED" w:rsidRPr="000B1AEE" w:rsidRDefault="00E03BED" w:rsidP="00E03BED">
      <w:pPr>
        <w:pStyle w:val="Sansinterligne"/>
        <w:numPr>
          <w:ilvl w:val="0"/>
          <w:numId w:val="6"/>
        </w:numPr>
        <w:jc w:val="both"/>
        <w:rPr>
          <w:rFonts w:ascii="Candara" w:hAnsi="Candara" w:cs="Times New Roman"/>
          <w:sz w:val="22"/>
          <w:szCs w:val="22"/>
          <w:lang w:eastAsia="en-US"/>
        </w:rPr>
      </w:pPr>
      <w:r w:rsidRPr="000B1AEE">
        <w:rPr>
          <w:rFonts w:ascii="Candara" w:hAnsi="Candara" w:cs="Times New Roman"/>
          <w:sz w:val="22"/>
          <w:szCs w:val="22"/>
          <w:lang w:eastAsia="en-US"/>
        </w:rPr>
        <w:t>Persistance de croyances et de fausses idées qui empêchent l’accès des jeunes femmes et filles aux services de prévention à travers un paquet complet.</w:t>
      </w:r>
    </w:p>
    <w:p w14:paraId="79E279C6" w14:textId="77777777" w:rsidR="00E03BED" w:rsidRPr="000B1AEE" w:rsidRDefault="00E03BED" w:rsidP="00E03BED">
      <w:pPr>
        <w:pStyle w:val="Sansinterligne"/>
        <w:numPr>
          <w:ilvl w:val="0"/>
          <w:numId w:val="6"/>
        </w:numPr>
        <w:jc w:val="both"/>
        <w:rPr>
          <w:rFonts w:ascii="Candara" w:hAnsi="Candara" w:cs="Times New Roman"/>
          <w:sz w:val="22"/>
          <w:szCs w:val="22"/>
          <w:lang w:eastAsia="en-US"/>
        </w:rPr>
      </w:pPr>
      <w:r w:rsidRPr="000B1AEE">
        <w:rPr>
          <w:rFonts w:ascii="Candara" w:hAnsi="Candara" w:cs="Times New Roman"/>
          <w:sz w:val="22"/>
          <w:szCs w:val="22"/>
          <w:lang w:eastAsia="en-US"/>
        </w:rPr>
        <w:t>Forte mobilité des HSH et PS et difficile maitrise de leur taille.</w:t>
      </w:r>
    </w:p>
    <w:p w14:paraId="00669898" w14:textId="77777777" w:rsidR="00E03BED" w:rsidRPr="000B1AEE" w:rsidRDefault="00E03BED" w:rsidP="00E03BED">
      <w:pPr>
        <w:pStyle w:val="Sansinterligne"/>
        <w:numPr>
          <w:ilvl w:val="0"/>
          <w:numId w:val="6"/>
        </w:numPr>
        <w:jc w:val="both"/>
        <w:rPr>
          <w:rFonts w:ascii="Candara" w:hAnsi="Candara" w:cs="Times New Roman"/>
          <w:sz w:val="22"/>
          <w:szCs w:val="22"/>
          <w:lang w:eastAsia="en-US"/>
        </w:rPr>
      </w:pPr>
      <w:r w:rsidRPr="000B1AEE">
        <w:rPr>
          <w:rFonts w:ascii="Candara" w:hAnsi="Candara" w:cs="Times New Roman"/>
          <w:sz w:val="22"/>
          <w:szCs w:val="22"/>
          <w:lang w:eastAsia="en-US"/>
        </w:rPr>
        <w:t xml:space="preserve">Difficulté d’offrir un paquet de prévention aux populations vulnérables (routiers, pêcheurs, hommes et femmes en uniforme, miniers et population carcérale) du fait de leur mobilité. </w:t>
      </w:r>
    </w:p>
    <w:p w14:paraId="7AF8B5D7" w14:textId="77777777" w:rsidR="00E03BED" w:rsidRPr="000B1AEE" w:rsidRDefault="00E03BED" w:rsidP="00E03BED">
      <w:pPr>
        <w:pStyle w:val="Sansinterligne"/>
        <w:numPr>
          <w:ilvl w:val="0"/>
          <w:numId w:val="6"/>
        </w:numPr>
        <w:jc w:val="both"/>
        <w:rPr>
          <w:rFonts w:ascii="Candara" w:hAnsi="Candara" w:cs="Times New Roman"/>
          <w:sz w:val="22"/>
          <w:szCs w:val="22"/>
          <w:lang w:eastAsia="en-US"/>
        </w:rPr>
      </w:pPr>
      <w:r w:rsidRPr="000B1AEE">
        <w:rPr>
          <w:rFonts w:ascii="Candara" w:hAnsi="Candara" w:cs="Times New Roman"/>
          <w:sz w:val="22"/>
          <w:szCs w:val="22"/>
          <w:lang w:eastAsia="en-US"/>
        </w:rPr>
        <w:t xml:space="preserve">Insuffisance du personnel en quantité et en qualité dédié à la prise en charge du VIH   au niveau déconcentré dans le cadre de la PTME.   </w:t>
      </w:r>
    </w:p>
    <w:p w14:paraId="3264E2E8" w14:textId="77777777" w:rsidR="00E03BED" w:rsidRPr="000B1AEE" w:rsidRDefault="00E03BED" w:rsidP="00E03BED">
      <w:pPr>
        <w:pStyle w:val="Sansinterligne"/>
        <w:numPr>
          <w:ilvl w:val="0"/>
          <w:numId w:val="6"/>
        </w:numPr>
        <w:jc w:val="both"/>
        <w:rPr>
          <w:rFonts w:ascii="Candara" w:hAnsi="Candara" w:cs="Times New Roman"/>
          <w:sz w:val="22"/>
          <w:szCs w:val="22"/>
          <w:lang w:eastAsia="en-US"/>
        </w:rPr>
      </w:pPr>
      <w:r w:rsidRPr="000B1AEE">
        <w:rPr>
          <w:rFonts w:ascii="Candara" w:hAnsi="Candara" w:cs="Times New Roman"/>
          <w:sz w:val="22"/>
          <w:szCs w:val="22"/>
          <w:lang w:eastAsia="en-US"/>
        </w:rPr>
        <w:t>Non révision du plan de passage à l’échelle de la PTME</w:t>
      </w:r>
    </w:p>
    <w:p w14:paraId="6361B26D" w14:textId="77777777" w:rsidR="00E03BED" w:rsidRPr="000B08CD" w:rsidRDefault="00E03BED" w:rsidP="00E03BED">
      <w:pPr>
        <w:pStyle w:val="Sansinterligne"/>
        <w:numPr>
          <w:ilvl w:val="0"/>
          <w:numId w:val="6"/>
        </w:numPr>
        <w:jc w:val="both"/>
        <w:rPr>
          <w:rFonts w:eastAsiaTheme="majorEastAsia" w:cstheme="majorBidi"/>
          <w:bCs/>
          <w:szCs w:val="32"/>
        </w:rPr>
      </w:pPr>
      <w:r w:rsidRPr="000B1AEE">
        <w:rPr>
          <w:rFonts w:ascii="Candara" w:hAnsi="Candara" w:cs="Times New Roman"/>
          <w:sz w:val="22"/>
          <w:szCs w:val="22"/>
          <w:lang w:eastAsia="en-US"/>
        </w:rPr>
        <w:t>Rupture fréquentes en intrant de préventions (condoms, lubrifiants, tests de dépistage VIH, DBS etc</w:t>
      </w:r>
      <w:r>
        <w:rPr>
          <w:rFonts w:ascii="Candara" w:hAnsi="Candara" w:cs="Times New Roman"/>
          <w:sz w:val="22"/>
          <w:szCs w:val="22"/>
          <w:lang w:eastAsia="en-US"/>
        </w:rPr>
        <w:t>.…</w:t>
      </w:r>
      <w:r w:rsidRPr="000B1AEE">
        <w:rPr>
          <w:rFonts w:ascii="Candara" w:hAnsi="Candara" w:cs="Times New Roman"/>
          <w:sz w:val="22"/>
          <w:szCs w:val="22"/>
          <w:lang w:eastAsia="en-US"/>
        </w:rPr>
        <w:t>)</w:t>
      </w:r>
      <w:r w:rsidRPr="000B08CD">
        <w:rPr>
          <w:rFonts w:eastAsiaTheme="majorEastAsia" w:cstheme="majorBidi"/>
          <w:bCs/>
          <w:szCs w:val="32"/>
        </w:rPr>
        <w:t xml:space="preserve">                                                  </w:t>
      </w:r>
    </w:p>
    <w:p w14:paraId="3606D8C3" w14:textId="77777777" w:rsidR="00E03BED" w:rsidRDefault="00E03BED" w:rsidP="00E03BED">
      <w:pPr>
        <w:pStyle w:val="Sansinterligne"/>
        <w:rPr>
          <w:rFonts w:eastAsiaTheme="majorEastAsia" w:cstheme="majorBidi"/>
          <w:bCs/>
          <w:szCs w:val="32"/>
          <w:u w:val="single"/>
        </w:rPr>
      </w:pPr>
    </w:p>
    <w:p w14:paraId="3FB69086" w14:textId="77777777" w:rsidR="00E03BED" w:rsidRPr="000168CC" w:rsidRDefault="00E03BED" w:rsidP="00E03BED">
      <w:pPr>
        <w:pStyle w:val="Titre2"/>
      </w:pPr>
      <w:bookmarkStart w:id="16" w:name="_Toc15906426"/>
      <w:r>
        <w:lastRenderedPageBreak/>
        <w:t>VI.</w:t>
      </w:r>
      <w:r w:rsidRPr="000168CC">
        <w:t xml:space="preserve">2. </w:t>
      </w:r>
      <w:r>
        <w:t xml:space="preserve">Atteinte des </w:t>
      </w:r>
      <w:r w:rsidRPr="000168CC">
        <w:t>90/90/90</w:t>
      </w:r>
      <w:bookmarkEnd w:id="16"/>
    </w:p>
    <w:p w14:paraId="59D33CCB" w14:textId="77777777" w:rsidR="00E03BED" w:rsidRDefault="00E03BED" w:rsidP="00E03BED">
      <w:pPr>
        <w:pStyle w:val="Sansinterligne"/>
        <w:rPr>
          <w:rFonts w:eastAsiaTheme="majorEastAsia" w:cstheme="majorBidi"/>
          <w:bCs/>
          <w:szCs w:val="32"/>
        </w:rPr>
      </w:pPr>
    </w:p>
    <w:p w14:paraId="17D028F7" w14:textId="77777777" w:rsidR="00E03BED" w:rsidRPr="000B1AEE" w:rsidRDefault="00E03BED" w:rsidP="00E03BED">
      <w:pPr>
        <w:pStyle w:val="Sansinterligne"/>
        <w:rPr>
          <w:rFonts w:ascii="Candara" w:hAnsi="Candara" w:cs="Times New Roman"/>
          <w:sz w:val="22"/>
          <w:szCs w:val="22"/>
          <w:lang w:eastAsia="en-US"/>
        </w:rPr>
      </w:pPr>
      <w:r w:rsidRPr="000B1AEE">
        <w:rPr>
          <w:rFonts w:ascii="Candara" w:hAnsi="Candara" w:cs="Times New Roman"/>
          <w:sz w:val="22"/>
          <w:szCs w:val="22"/>
          <w:lang w:eastAsia="en-US"/>
        </w:rPr>
        <w:t>Dépistage du VIH</w:t>
      </w:r>
    </w:p>
    <w:p w14:paraId="27C050D1" w14:textId="77777777" w:rsidR="00E03BED" w:rsidRPr="000B1AEE" w:rsidRDefault="00E03BED" w:rsidP="00E03BED">
      <w:pPr>
        <w:pStyle w:val="Paragraphedeliste"/>
        <w:numPr>
          <w:ilvl w:val="0"/>
          <w:numId w:val="7"/>
        </w:numPr>
        <w:spacing w:line="276" w:lineRule="auto"/>
        <w:jc w:val="both"/>
        <w:rPr>
          <w:rFonts w:ascii="Candara" w:hAnsi="Candara" w:cs="Times New Roman"/>
          <w:sz w:val="22"/>
          <w:szCs w:val="22"/>
          <w:lang w:eastAsia="en-US"/>
        </w:rPr>
      </w:pPr>
      <w:r w:rsidRPr="000B1AEE">
        <w:rPr>
          <w:rFonts w:ascii="Candara" w:hAnsi="Candara" w:cs="Times New Roman"/>
          <w:sz w:val="22"/>
          <w:szCs w:val="22"/>
          <w:lang w:eastAsia="en-US"/>
        </w:rPr>
        <w:t>Insuffisante mise en œuvre des nouvelles approches de dépistage (dépistage démédicalisé, autotest, etc.) adaptées aux différents groupes de population (populations clés, populations passerelles, adolescentes, hommes).</w:t>
      </w:r>
    </w:p>
    <w:p w14:paraId="17E92789" w14:textId="77777777" w:rsidR="00E03BED" w:rsidRPr="000B1AEE" w:rsidRDefault="00E03BED" w:rsidP="00E03BED">
      <w:pPr>
        <w:pStyle w:val="Sansinterligne"/>
        <w:numPr>
          <w:ilvl w:val="0"/>
          <w:numId w:val="7"/>
        </w:numPr>
        <w:rPr>
          <w:rFonts w:ascii="Candara" w:hAnsi="Candara" w:cs="Times New Roman"/>
          <w:sz w:val="22"/>
          <w:szCs w:val="22"/>
          <w:lang w:eastAsia="en-US"/>
        </w:rPr>
      </w:pPr>
      <w:r w:rsidRPr="000B1AEE">
        <w:rPr>
          <w:rFonts w:ascii="Candara" w:hAnsi="Candara" w:cs="Times New Roman"/>
          <w:sz w:val="22"/>
          <w:szCs w:val="22"/>
          <w:lang w:eastAsia="en-US"/>
        </w:rPr>
        <w:t>Non systématisation de l’identification et du dépistage du VIH chez les enfants à risque (enfants nés des mères séropositives suivi dans le cadre de la PTME ou allaitante, enfants malnutris, enfants avec TB, enfants vus dans les services de pédiatrie) au niveau des portes d'entrée (PEV, Nutrition, Pédiatrie…).</w:t>
      </w:r>
    </w:p>
    <w:p w14:paraId="669E82CA" w14:textId="77777777" w:rsidR="00E03BED" w:rsidRPr="000B1AEE" w:rsidRDefault="00E03BED" w:rsidP="00E03BED">
      <w:pPr>
        <w:pStyle w:val="Paragraphedeliste"/>
        <w:numPr>
          <w:ilvl w:val="0"/>
          <w:numId w:val="7"/>
        </w:numPr>
        <w:spacing w:line="276" w:lineRule="auto"/>
        <w:jc w:val="both"/>
        <w:rPr>
          <w:rFonts w:ascii="Candara" w:hAnsi="Candara" w:cs="Times New Roman"/>
          <w:sz w:val="22"/>
          <w:szCs w:val="22"/>
          <w:lang w:eastAsia="en-US"/>
        </w:rPr>
      </w:pPr>
      <w:r w:rsidRPr="000B1AEE">
        <w:rPr>
          <w:rFonts w:ascii="Candara" w:hAnsi="Candara" w:cs="Times New Roman"/>
          <w:sz w:val="22"/>
          <w:szCs w:val="22"/>
          <w:lang w:eastAsia="en-US"/>
        </w:rPr>
        <w:t>Insuffisance dans l’identification et le dépistage des personnes (adultes ou enfants) dans la famille des personnes vivants avec le VIH qui connaissent déjà leur statut.</w:t>
      </w:r>
    </w:p>
    <w:p w14:paraId="6A0C7F48" w14:textId="77777777" w:rsidR="00E03BED" w:rsidRPr="000B1AEE" w:rsidRDefault="00E03BED" w:rsidP="00E03BED">
      <w:pPr>
        <w:pStyle w:val="Sansinterligne"/>
        <w:numPr>
          <w:ilvl w:val="0"/>
          <w:numId w:val="7"/>
        </w:numPr>
        <w:rPr>
          <w:rFonts w:ascii="Candara" w:hAnsi="Candara" w:cs="Times New Roman"/>
          <w:sz w:val="22"/>
          <w:szCs w:val="22"/>
          <w:lang w:eastAsia="en-US"/>
        </w:rPr>
      </w:pPr>
      <w:r w:rsidRPr="000B1AEE">
        <w:rPr>
          <w:rFonts w:ascii="Candara" w:hAnsi="Candara" w:cs="Times New Roman"/>
          <w:sz w:val="22"/>
          <w:szCs w:val="22"/>
          <w:lang w:eastAsia="en-US"/>
        </w:rPr>
        <w:t>Fiable participat</w:t>
      </w:r>
      <w:r>
        <w:rPr>
          <w:rFonts w:ascii="Candara" w:hAnsi="Candara" w:cs="Times New Roman"/>
          <w:sz w:val="22"/>
          <w:szCs w:val="22"/>
          <w:lang w:eastAsia="en-US"/>
        </w:rPr>
        <w:t>ion des acteurs communautaires.</w:t>
      </w:r>
    </w:p>
    <w:p w14:paraId="7C7BEFAE" w14:textId="77777777" w:rsidR="00E03BED" w:rsidRPr="000B1AEE" w:rsidRDefault="00E03BED" w:rsidP="00E03BED">
      <w:pPr>
        <w:pStyle w:val="Sansinterligne"/>
        <w:numPr>
          <w:ilvl w:val="0"/>
          <w:numId w:val="7"/>
        </w:numPr>
        <w:rPr>
          <w:rFonts w:ascii="Candara" w:hAnsi="Candara" w:cs="Times New Roman"/>
          <w:sz w:val="22"/>
          <w:szCs w:val="22"/>
          <w:lang w:eastAsia="en-US"/>
        </w:rPr>
      </w:pPr>
      <w:r w:rsidRPr="000B1AEE">
        <w:rPr>
          <w:rFonts w:ascii="Candara" w:hAnsi="Candara" w:cs="Times New Roman"/>
          <w:sz w:val="22"/>
          <w:szCs w:val="22"/>
          <w:lang w:eastAsia="en-US"/>
        </w:rPr>
        <w:t>Ruptures fréquentes d'intrants de dépistage</w:t>
      </w:r>
      <w:r>
        <w:rPr>
          <w:rFonts w:ascii="Candara" w:hAnsi="Candara" w:cs="Times New Roman"/>
          <w:sz w:val="22"/>
          <w:szCs w:val="22"/>
          <w:lang w:eastAsia="en-US"/>
        </w:rPr>
        <w:t>.</w:t>
      </w:r>
    </w:p>
    <w:p w14:paraId="39A6D016" w14:textId="77777777" w:rsidR="00E03BED" w:rsidRPr="000B1AEE" w:rsidRDefault="00E03BED" w:rsidP="00E03BED">
      <w:pPr>
        <w:pStyle w:val="Sansinterligne"/>
        <w:numPr>
          <w:ilvl w:val="0"/>
          <w:numId w:val="7"/>
        </w:numPr>
        <w:rPr>
          <w:rFonts w:ascii="Candara" w:hAnsi="Candara" w:cs="Times New Roman"/>
          <w:sz w:val="22"/>
          <w:szCs w:val="22"/>
          <w:lang w:eastAsia="en-US"/>
        </w:rPr>
      </w:pPr>
      <w:r w:rsidRPr="000B1AEE">
        <w:rPr>
          <w:rFonts w:ascii="Candara" w:hAnsi="Candara" w:cs="Times New Roman"/>
          <w:sz w:val="22"/>
          <w:szCs w:val="22"/>
          <w:lang w:eastAsia="en-US"/>
        </w:rPr>
        <w:t>Insuffisance dans la couverture du pays en cliniques mobiles et centres communautaires</w:t>
      </w:r>
      <w:r>
        <w:rPr>
          <w:rFonts w:ascii="Candara" w:hAnsi="Candara" w:cs="Times New Roman"/>
          <w:sz w:val="22"/>
          <w:szCs w:val="22"/>
          <w:lang w:eastAsia="en-US"/>
        </w:rPr>
        <w:t>.</w:t>
      </w:r>
    </w:p>
    <w:p w14:paraId="4F89A8CB" w14:textId="77777777" w:rsidR="00E03BED" w:rsidRPr="000168CC" w:rsidRDefault="00E03BED" w:rsidP="00E03BED">
      <w:pPr>
        <w:pStyle w:val="Sansinterligne"/>
        <w:rPr>
          <w:rFonts w:eastAsiaTheme="majorEastAsia" w:cstheme="majorBidi"/>
          <w:bCs/>
          <w:szCs w:val="32"/>
        </w:rPr>
      </w:pPr>
    </w:p>
    <w:p w14:paraId="6F1D548D" w14:textId="77777777" w:rsidR="00E03BED" w:rsidRPr="000B1AEE" w:rsidRDefault="00E03BED" w:rsidP="00E03BED">
      <w:pPr>
        <w:pStyle w:val="Sansinterligne"/>
        <w:rPr>
          <w:rFonts w:ascii="Candara" w:hAnsi="Candara" w:cs="Times New Roman"/>
          <w:sz w:val="22"/>
          <w:szCs w:val="22"/>
          <w:lang w:eastAsia="en-US"/>
        </w:rPr>
      </w:pPr>
      <w:r w:rsidRPr="00B655F2">
        <w:rPr>
          <w:rFonts w:ascii="Candara" w:hAnsi="Candara" w:cs="Times New Roman"/>
          <w:b/>
          <w:bCs/>
          <w:sz w:val="22"/>
          <w:szCs w:val="22"/>
          <w:lang w:eastAsia="en-US"/>
        </w:rPr>
        <w:t>TARV</w:t>
      </w:r>
      <w:r w:rsidRPr="000B1AEE">
        <w:rPr>
          <w:rFonts w:ascii="Candara" w:hAnsi="Candara" w:cs="Times New Roman"/>
          <w:sz w:val="22"/>
          <w:szCs w:val="22"/>
          <w:lang w:eastAsia="en-US"/>
        </w:rPr>
        <w:t xml:space="preserve"> chez les adultes et les enfants</w:t>
      </w:r>
    </w:p>
    <w:p w14:paraId="53419923" w14:textId="77777777" w:rsidR="00E03BED" w:rsidRPr="000B1AEE" w:rsidRDefault="00E03BED" w:rsidP="00E03BED">
      <w:pPr>
        <w:pStyle w:val="Sansinterligne"/>
        <w:rPr>
          <w:rFonts w:ascii="Candara" w:hAnsi="Candara" w:cs="Times New Roman"/>
          <w:sz w:val="22"/>
          <w:szCs w:val="22"/>
          <w:lang w:eastAsia="en-US"/>
        </w:rPr>
      </w:pPr>
    </w:p>
    <w:p w14:paraId="169CAD8F" w14:textId="77777777" w:rsidR="00E03BED" w:rsidRPr="000B1AEE" w:rsidRDefault="00E03BED" w:rsidP="00E03BED">
      <w:pPr>
        <w:pStyle w:val="Sansinterligne"/>
        <w:numPr>
          <w:ilvl w:val="0"/>
          <w:numId w:val="8"/>
        </w:numPr>
        <w:rPr>
          <w:rFonts w:ascii="Candara" w:hAnsi="Candara" w:cs="Times New Roman"/>
          <w:sz w:val="22"/>
          <w:szCs w:val="22"/>
          <w:lang w:eastAsia="en-US"/>
        </w:rPr>
      </w:pPr>
      <w:r w:rsidRPr="000B1AEE">
        <w:rPr>
          <w:rFonts w:ascii="Candara" w:hAnsi="Candara" w:cs="Times New Roman"/>
          <w:sz w:val="22"/>
          <w:szCs w:val="22"/>
          <w:lang w:eastAsia="en-US"/>
        </w:rPr>
        <w:t xml:space="preserve">Répartition géographique inégale des sites de prise en charge en fonction des besoins, ce qui entraine une accessibilité limitée aux services à certains patients. </w:t>
      </w:r>
    </w:p>
    <w:p w14:paraId="13BAF243" w14:textId="77777777" w:rsidR="00E03BED" w:rsidRPr="000B1AEE" w:rsidRDefault="00E03BED" w:rsidP="00E03BED">
      <w:pPr>
        <w:pStyle w:val="Sansinterligne"/>
        <w:numPr>
          <w:ilvl w:val="0"/>
          <w:numId w:val="8"/>
        </w:numPr>
        <w:rPr>
          <w:rFonts w:ascii="Candara" w:hAnsi="Candara" w:cs="Times New Roman"/>
          <w:sz w:val="22"/>
          <w:szCs w:val="22"/>
          <w:lang w:eastAsia="en-US"/>
        </w:rPr>
      </w:pPr>
      <w:r w:rsidRPr="000B1AEE">
        <w:rPr>
          <w:rFonts w:ascii="Candara" w:hAnsi="Candara" w:cs="Times New Roman"/>
          <w:sz w:val="22"/>
          <w:szCs w:val="22"/>
          <w:lang w:eastAsia="en-US"/>
        </w:rPr>
        <w:t>Forte déperdition des patients dépistés positifs.</w:t>
      </w:r>
    </w:p>
    <w:p w14:paraId="05ECA75F" w14:textId="77777777" w:rsidR="00E03BED" w:rsidRPr="000B1AEE" w:rsidRDefault="00E03BED" w:rsidP="00E03BED">
      <w:pPr>
        <w:pStyle w:val="Sansinterligne"/>
        <w:numPr>
          <w:ilvl w:val="0"/>
          <w:numId w:val="8"/>
        </w:numPr>
        <w:rPr>
          <w:rFonts w:ascii="Candara" w:hAnsi="Candara" w:cs="Times New Roman"/>
          <w:sz w:val="22"/>
          <w:szCs w:val="22"/>
          <w:lang w:eastAsia="en-US"/>
        </w:rPr>
      </w:pPr>
      <w:r w:rsidRPr="000B1AEE">
        <w:rPr>
          <w:rFonts w:ascii="Candara" w:hAnsi="Candara" w:cs="Times New Roman"/>
          <w:sz w:val="22"/>
          <w:szCs w:val="22"/>
          <w:lang w:eastAsia="en-US"/>
        </w:rPr>
        <w:t xml:space="preserve">Dispositif de rétention des patients sous traitement inefficace. </w:t>
      </w:r>
    </w:p>
    <w:p w14:paraId="62DD8F5F" w14:textId="77777777" w:rsidR="00E03BED" w:rsidRPr="000B1AEE" w:rsidRDefault="00E03BED" w:rsidP="00E03BED">
      <w:pPr>
        <w:pStyle w:val="Sansinterligne"/>
        <w:numPr>
          <w:ilvl w:val="0"/>
          <w:numId w:val="8"/>
        </w:numPr>
        <w:rPr>
          <w:rFonts w:ascii="Candara" w:hAnsi="Candara" w:cs="Times New Roman"/>
          <w:sz w:val="22"/>
          <w:szCs w:val="22"/>
          <w:lang w:eastAsia="en-US"/>
        </w:rPr>
      </w:pPr>
      <w:r w:rsidRPr="000B1AEE">
        <w:rPr>
          <w:rFonts w:ascii="Candara" w:hAnsi="Candara" w:cs="Times New Roman"/>
          <w:sz w:val="22"/>
          <w:szCs w:val="22"/>
          <w:lang w:eastAsia="en-US"/>
        </w:rPr>
        <w:t>Non application de la stratégie différenciée au niveau de tous les sites de traitement ARV.</w:t>
      </w:r>
    </w:p>
    <w:p w14:paraId="68D221A0" w14:textId="77777777" w:rsidR="00E03BED" w:rsidRPr="000B1AEE" w:rsidRDefault="00E03BED" w:rsidP="00E03BED">
      <w:pPr>
        <w:pStyle w:val="Sansinterligne"/>
        <w:numPr>
          <w:ilvl w:val="0"/>
          <w:numId w:val="8"/>
        </w:numPr>
        <w:rPr>
          <w:rFonts w:ascii="Candara" w:hAnsi="Candara" w:cs="Times New Roman"/>
          <w:sz w:val="22"/>
          <w:szCs w:val="22"/>
          <w:lang w:eastAsia="en-US"/>
        </w:rPr>
      </w:pPr>
      <w:r w:rsidRPr="000B1AEE">
        <w:rPr>
          <w:rFonts w:ascii="Candara" w:hAnsi="Candara" w:cs="Times New Roman"/>
          <w:sz w:val="22"/>
          <w:szCs w:val="22"/>
          <w:lang w:eastAsia="en-US"/>
        </w:rPr>
        <w:t>Insuffisante implication des acteurs communautaire (APS) dans le suivi des PVVIH stables sous ARV.</w:t>
      </w:r>
    </w:p>
    <w:p w14:paraId="6060E977" w14:textId="77777777" w:rsidR="00E03BED" w:rsidRPr="000B1AEE" w:rsidRDefault="00E03BED" w:rsidP="00E03BED">
      <w:pPr>
        <w:pStyle w:val="Sansinterligne"/>
        <w:numPr>
          <w:ilvl w:val="0"/>
          <w:numId w:val="8"/>
        </w:numPr>
        <w:rPr>
          <w:rFonts w:ascii="Candara" w:hAnsi="Candara" w:cs="Times New Roman"/>
          <w:sz w:val="22"/>
          <w:szCs w:val="22"/>
          <w:lang w:eastAsia="en-US"/>
        </w:rPr>
      </w:pPr>
      <w:r w:rsidRPr="000B1AEE">
        <w:rPr>
          <w:rFonts w:ascii="Candara" w:hAnsi="Candara" w:cs="Times New Roman"/>
          <w:sz w:val="22"/>
          <w:szCs w:val="22"/>
          <w:lang w:eastAsia="en-US"/>
        </w:rPr>
        <w:t xml:space="preserve">Faibles capacités des sites de prise en charge à faire une quantification rigoureuse de leurs besoins en produits. </w:t>
      </w:r>
    </w:p>
    <w:p w14:paraId="00E95B1E" w14:textId="77777777" w:rsidR="00E03BED" w:rsidRPr="000B1AEE" w:rsidRDefault="00E03BED" w:rsidP="00E03BED">
      <w:pPr>
        <w:pStyle w:val="Paragraphedeliste"/>
        <w:numPr>
          <w:ilvl w:val="0"/>
          <w:numId w:val="8"/>
        </w:numPr>
        <w:spacing w:line="276" w:lineRule="auto"/>
        <w:jc w:val="both"/>
        <w:rPr>
          <w:rFonts w:ascii="Candara" w:hAnsi="Candara" w:cs="Times New Roman"/>
          <w:sz w:val="22"/>
          <w:szCs w:val="22"/>
          <w:lang w:eastAsia="en-US"/>
        </w:rPr>
      </w:pPr>
      <w:r w:rsidRPr="000B1AEE">
        <w:rPr>
          <w:rFonts w:ascii="Candara" w:hAnsi="Candara" w:cs="Times New Roman"/>
          <w:sz w:val="22"/>
          <w:szCs w:val="22"/>
          <w:lang w:eastAsia="en-US"/>
        </w:rPr>
        <w:t>Absence de système d’alerte rapide et une faible fonctionnalité du système de suivi des approvisionnements à tous les niveaux entrainent des ruptures fréquentes de produits.</w:t>
      </w:r>
    </w:p>
    <w:p w14:paraId="13593C0F" w14:textId="77777777" w:rsidR="00E03BED" w:rsidRPr="000B1AEE" w:rsidRDefault="00E03BED" w:rsidP="00E03BED">
      <w:pPr>
        <w:pStyle w:val="Paragraphedeliste"/>
        <w:numPr>
          <w:ilvl w:val="0"/>
          <w:numId w:val="8"/>
        </w:numPr>
        <w:spacing w:line="276" w:lineRule="auto"/>
        <w:jc w:val="both"/>
        <w:rPr>
          <w:rFonts w:ascii="Candara" w:hAnsi="Candara" w:cs="Times New Roman"/>
          <w:sz w:val="22"/>
          <w:szCs w:val="22"/>
          <w:lang w:eastAsia="en-US"/>
        </w:rPr>
      </w:pPr>
      <w:r w:rsidRPr="000B1AEE">
        <w:rPr>
          <w:rFonts w:ascii="Candara" w:hAnsi="Candara" w:cs="Times New Roman"/>
          <w:sz w:val="22"/>
          <w:szCs w:val="22"/>
          <w:lang w:eastAsia="en-US"/>
        </w:rPr>
        <w:t>Existence de frais connexes (bilan d’initiation, de suivi, frais d’hospitalisation) payés par les PVVIH qui limitent l’accès aux services.</w:t>
      </w:r>
    </w:p>
    <w:p w14:paraId="6161BABA" w14:textId="77777777" w:rsidR="00E03BED" w:rsidRPr="000B1AEE" w:rsidRDefault="00E03BED" w:rsidP="00E03BED">
      <w:pPr>
        <w:pStyle w:val="Sansinterligne"/>
        <w:rPr>
          <w:rFonts w:ascii="Candara" w:hAnsi="Candara" w:cs="Times New Roman"/>
          <w:sz w:val="22"/>
          <w:szCs w:val="22"/>
          <w:lang w:eastAsia="en-US"/>
        </w:rPr>
      </w:pPr>
    </w:p>
    <w:p w14:paraId="7D456E83" w14:textId="77777777" w:rsidR="00E03BED" w:rsidRPr="000B1AEE" w:rsidRDefault="00E03BED" w:rsidP="00E03BED">
      <w:pPr>
        <w:pStyle w:val="Sansinterligne"/>
        <w:rPr>
          <w:rFonts w:ascii="Candara" w:hAnsi="Candara" w:cs="Times New Roman"/>
          <w:sz w:val="22"/>
          <w:szCs w:val="22"/>
          <w:lang w:eastAsia="en-US"/>
        </w:rPr>
      </w:pPr>
      <w:r w:rsidRPr="00B655F2">
        <w:rPr>
          <w:rFonts w:ascii="Candara" w:hAnsi="Candara" w:cs="Times New Roman"/>
          <w:b/>
          <w:bCs/>
          <w:sz w:val="22"/>
          <w:szCs w:val="22"/>
          <w:lang w:eastAsia="en-US"/>
        </w:rPr>
        <w:t>Suivi de la Charge virale</w:t>
      </w:r>
      <w:r w:rsidRPr="000B1AEE">
        <w:rPr>
          <w:rFonts w:ascii="Candara" w:hAnsi="Candara" w:cs="Times New Roman"/>
          <w:sz w:val="22"/>
          <w:szCs w:val="22"/>
          <w:lang w:eastAsia="en-US"/>
        </w:rPr>
        <w:t xml:space="preserve"> chez les adultes et les enfants</w:t>
      </w:r>
    </w:p>
    <w:p w14:paraId="6BAD8030" w14:textId="77777777" w:rsidR="00E03BED" w:rsidRPr="000B1AEE" w:rsidRDefault="00E03BED" w:rsidP="00E03BED">
      <w:pPr>
        <w:pStyle w:val="Sansinterligne"/>
        <w:rPr>
          <w:rFonts w:ascii="Candara" w:hAnsi="Candara" w:cs="Times New Roman"/>
          <w:sz w:val="22"/>
          <w:szCs w:val="22"/>
          <w:lang w:eastAsia="en-US"/>
        </w:rPr>
      </w:pPr>
    </w:p>
    <w:p w14:paraId="7A1BA127" w14:textId="77777777" w:rsidR="00E03BED" w:rsidRPr="000B1AEE" w:rsidRDefault="00E03BED" w:rsidP="00E03BED">
      <w:pPr>
        <w:pStyle w:val="Sansinterligne"/>
        <w:numPr>
          <w:ilvl w:val="0"/>
          <w:numId w:val="9"/>
        </w:numPr>
        <w:rPr>
          <w:rFonts w:ascii="Candara" w:hAnsi="Candara" w:cs="Times New Roman"/>
          <w:sz w:val="22"/>
          <w:szCs w:val="22"/>
          <w:lang w:eastAsia="en-US"/>
        </w:rPr>
      </w:pPr>
      <w:r w:rsidRPr="000B1AEE">
        <w:rPr>
          <w:rFonts w:ascii="Candara" w:hAnsi="Candara" w:cs="Times New Roman"/>
          <w:sz w:val="22"/>
          <w:szCs w:val="22"/>
          <w:lang w:eastAsia="en-US"/>
        </w:rPr>
        <w:t>Ruptures fréquentes des intrants.</w:t>
      </w:r>
    </w:p>
    <w:p w14:paraId="11024EC8" w14:textId="77777777" w:rsidR="00E03BED" w:rsidRPr="000B1AEE" w:rsidRDefault="00E03BED" w:rsidP="00E03BED">
      <w:pPr>
        <w:pStyle w:val="Sansinterligne"/>
        <w:numPr>
          <w:ilvl w:val="0"/>
          <w:numId w:val="9"/>
        </w:numPr>
        <w:rPr>
          <w:rFonts w:ascii="Candara" w:hAnsi="Candara" w:cs="Times New Roman"/>
          <w:sz w:val="22"/>
          <w:szCs w:val="22"/>
          <w:lang w:eastAsia="en-US"/>
        </w:rPr>
      </w:pPr>
      <w:r w:rsidRPr="000B1AEE">
        <w:rPr>
          <w:rFonts w:ascii="Candara" w:hAnsi="Candara" w:cs="Times New Roman"/>
          <w:sz w:val="22"/>
          <w:szCs w:val="22"/>
          <w:lang w:eastAsia="en-US"/>
        </w:rPr>
        <w:t xml:space="preserve">Absence de mécanisme de maintenance continu des équipements. </w:t>
      </w:r>
    </w:p>
    <w:p w14:paraId="2094FAA4" w14:textId="77777777" w:rsidR="00E03BED" w:rsidRPr="000B1AEE" w:rsidRDefault="00E03BED" w:rsidP="00E03BED">
      <w:pPr>
        <w:pStyle w:val="Sansinterligne"/>
        <w:numPr>
          <w:ilvl w:val="0"/>
          <w:numId w:val="9"/>
        </w:numPr>
        <w:rPr>
          <w:rFonts w:ascii="Candara" w:hAnsi="Candara" w:cs="Times New Roman"/>
          <w:sz w:val="22"/>
          <w:szCs w:val="22"/>
          <w:lang w:eastAsia="en-US"/>
        </w:rPr>
      </w:pPr>
      <w:r w:rsidRPr="000B1AEE">
        <w:rPr>
          <w:rFonts w:ascii="Candara" w:hAnsi="Candara" w:cs="Times New Roman"/>
          <w:sz w:val="22"/>
          <w:szCs w:val="22"/>
          <w:lang w:eastAsia="en-US"/>
        </w:rPr>
        <w:t xml:space="preserve">Mécanisme de transport des échantillons sur DBS et de rendu des résultats non opérant en continu. </w:t>
      </w:r>
    </w:p>
    <w:p w14:paraId="0E6030F6" w14:textId="77777777" w:rsidR="00E03BED" w:rsidRPr="000B1AEE" w:rsidRDefault="00E03BED" w:rsidP="00E03BED">
      <w:pPr>
        <w:pStyle w:val="Sansinterligne"/>
        <w:numPr>
          <w:ilvl w:val="0"/>
          <w:numId w:val="9"/>
        </w:numPr>
        <w:rPr>
          <w:rFonts w:ascii="Candara" w:hAnsi="Candara" w:cs="Times New Roman"/>
          <w:sz w:val="22"/>
          <w:szCs w:val="22"/>
          <w:lang w:eastAsia="en-US"/>
        </w:rPr>
      </w:pPr>
      <w:r w:rsidRPr="000B1AEE">
        <w:rPr>
          <w:rFonts w:ascii="Candara" w:hAnsi="Candara" w:cs="Times New Roman"/>
          <w:sz w:val="22"/>
          <w:szCs w:val="22"/>
          <w:lang w:eastAsia="en-US"/>
        </w:rPr>
        <w:t xml:space="preserve">Faible demande de réalisation de la charge virale par les prestataires souvent non formés. </w:t>
      </w:r>
    </w:p>
    <w:p w14:paraId="1B42F681" w14:textId="77777777" w:rsidR="00E03BED" w:rsidRPr="000B1AEE" w:rsidRDefault="00E03BED" w:rsidP="00E03BED">
      <w:pPr>
        <w:pStyle w:val="Sansinterligne"/>
        <w:rPr>
          <w:rFonts w:ascii="Candara" w:hAnsi="Candara" w:cs="Times New Roman"/>
          <w:sz w:val="22"/>
          <w:szCs w:val="22"/>
          <w:lang w:eastAsia="en-US"/>
        </w:rPr>
      </w:pPr>
    </w:p>
    <w:p w14:paraId="72F781FC" w14:textId="77777777" w:rsidR="00E03BED" w:rsidRPr="00A72FDD" w:rsidRDefault="00E03BED" w:rsidP="00E03BED">
      <w:pPr>
        <w:pStyle w:val="Titre2"/>
      </w:pPr>
      <w:bookmarkStart w:id="17" w:name="_Toc15906427"/>
      <w:r w:rsidRPr="00A72FDD">
        <w:t>VI.3.</w:t>
      </w:r>
      <w:r>
        <w:t xml:space="preserve"> </w:t>
      </w:r>
      <w:r w:rsidRPr="00321F21">
        <w:t>Stigma et discrimination</w:t>
      </w:r>
      <w:bookmarkEnd w:id="17"/>
    </w:p>
    <w:p w14:paraId="1C42998F" w14:textId="77777777" w:rsidR="00E03BED" w:rsidRPr="000B1AEE" w:rsidRDefault="00E03BED" w:rsidP="00E03BED">
      <w:pPr>
        <w:pStyle w:val="Sansinterligne"/>
        <w:numPr>
          <w:ilvl w:val="0"/>
          <w:numId w:val="10"/>
        </w:numPr>
        <w:jc w:val="both"/>
        <w:rPr>
          <w:rFonts w:ascii="Candara" w:hAnsi="Candara" w:cs="Times New Roman"/>
          <w:sz w:val="22"/>
          <w:szCs w:val="22"/>
          <w:lang w:eastAsia="en-US"/>
        </w:rPr>
      </w:pPr>
      <w:r w:rsidRPr="000B1AEE">
        <w:rPr>
          <w:rFonts w:ascii="Candara" w:hAnsi="Candara" w:cs="Times New Roman"/>
          <w:sz w:val="22"/>
          <w:szCs w:val="22"/>
          <w:lang w:eastAsia="en-US"/>
        </w:rPr>
        <w:t xml:space="preserve">Persistance de la stigmatisation et discrimination en direction des HSH et PS. </w:t>
      </w:r>
    </w:p>
    <w:p w14:paraId="4209C3EA" w14:textId="77777777" w:rsidR="00E03BED" w:rsidRPr="000B1AEE" w:rsidRDefault="00E03BED" w:rsidP="00E03BED">
      <w:pPr>
        <w:pStyle w:val="Sansinterligne"/>
        <w:numPr>
          <w:ilvl w:val="0"/>
          <w:numId w:val="10"/>
        </w:numPr>
        <w:rPr>
          <w:rFonts w:ascii="Candara" w:hAnsi="Candara" w:cs="Times New Roman"/>
          <w:sz w:val="22"/>
          <w:szCs w:val="22"/>
          <w:lang w:eastAsia="en-US"/>
        </w:rPr>
      </w:pPr>
      <w:r w:rsidRPr="000B1AEE">
        <w:rPr>
          <w:rFonts w:ascii="Candara" w:hAnsi="Candara" w:cs="Times New Roman"/>
          <w:sz w:val="22"/>
          <w:szCs w:val="22"/>
          <w:lang w:eastAsia="en-US"/>
        </w:rPr>
        <w:t>Absence de réalisation d’enquête récente sur index stigma pour mesurer les progrès.</w:t>
      </w:r>
    </w:p>
    <w:p w14:paraId="0BADADFF" w14:textId="77777777" w:rsidR="00E03BED" w:rsidRPr="000B1AEE" w:rsidRDefault="00E03BED" w:rsidP="00E03BED">
      <w:pPr>
        <w:pStyle w:val="Sansinterligne"/>
        <w:numPr>
          <w:ilvl w:val="0"/>
          <w:numId w:val="10"/>
        </w:numPr>
        <w:rPr>
          <w:rFonts w:ascii="Candara" w:hAnsi="Candara" w:cs="Times New Roman"/>
          <w:sz w:val="22"/>
          <w:szCs w:val="22"/>
          <w:lang w:eastAsia="en-US"/>
        </w:rPr>
      </w:pPr>
      <w:r w:rsidRPr="000B1AEE">
        <w:rPr>
          <w:rFonts w:ascii="Candara" w:hAnsi="Candara" w:cs="Times New Roman"/>
          <w:sz w:val="22"/>
          <w:szCs w:val="22"/>
          <w:lang w:eastAsia="en-US"/>
        </w:rPr>
        <w:t xml:space="preserve">Existence de lois répressives en direction des UD. </w:t>
      </w:r>
    </w:p>
    <w:p w14:paraId="20F8B5C7" w14:textId="77777777" w:rsidR="00E03BED" w:rsidRPr="00AD3C22" w:rsidRDefault="00E03BED" w:rsidP="00E03BED">
      <w:pPr>
        <w:pStyle w:val="Sansinterligne"/>
        <w:rPr>
          <w:rFonts w:eastAsiaTheme="majorEastAsia" w:cstheme="majorBidi"/>
          <w:bCs/>
          <w:color w:val="2D4F8E" w:themeColor="accent1" w:themeShade="B5"/>
          <w:szCs w:val="32"/>
        </w:rPr>
      </w:pPr>
    </w:p>
    <w:p w14:paraId="0062583B" w14:textId="77777777" w:rsidR="00E03BED" w:rsidRPr="00AD3C22" w:rsidRDefault="00E03BED" w:rsidP="00E03BED">
      <w:pPr>
        <w:pStyle w:val="Titre2"/>
      </w:pPr>
      <w:bookmarkStart w:id="18" w:name="_Toc424401755"/>
      <w:bookmarkStart w:id="19" w:name="_Toc15906428"/>
      <w:r w:rsidRPr="00A72FDD">
        <w:t>VI.4</w:t>
      </w:r>
      <w:r w:rsidRPr="00AD3C22">
        <w:t>. Suivi-évaluation</w:t>
      </w:r>
      <w:bookmarkEnd w:id="18"/>
      <w:bookmarkEnd w:id="19"/>
    </w:p>
    <w:p w14:paraId="57DF871B" w14:textId="77777777" w:rsidR="00E03BED" w:rsidRPr="000B1AEE" w:rsidRDefault="00E03BED" w:rsidP="00E03BED">
      <w:pPr>
        <w:pStyle w:val="Sansinterligne"/>
        <w:numPr>
          <w:ilvl w:val="0"/>
          <w:numId w:val="11"/>
        </w:numPr>
        <w:jc w:val="both"/>
        <w:rPr>
          <w:rFonts w:ascii="Candara" w:hAnsi="Candara" w:cs="Times New Roman"/>
          <w:sz w:val="22"/>
          <w:szCs w:val="22"/>
          <w:lang w:eastAsia="en-US"/>
        </w:rPr>
      </w:pPr>
      <w:r w:rsidRPr="000B1AEE">
        <w:rPr>
          <w:rFonts w:ascii="Candara" w:hAnsi="Candara" w:cs="Times New Roman"/>
          <w:sz w:val="22"/>
          <w:szCs w:val="22"/>
          <w:lang w:eastAsia="en-US"/>
        </w:rPr>
        <w:t>Non capitalisation des résultats des acteurs de la société civile et du secteur privé du fait de la non-existence d'un système de centralisation des rapports.</w:t>
      </w:r>
    </w:p>
    <w:p w14:paraId="354EEF14" w14:textId="77777777" w:rsidR="00E03BED" w:rsidRPr="000B1AEE" w:rsidRDefault="00E03BED" w:rsidP="00E03BED">
      <w:pPr>
        <w:pStyle w:val="Sansinterligne"/>
        <w:numPr>
          <w:ilvl w:val="0"/>
          <w:numId w:val="11"/>
        </w:numPr>
        <w:rPr>
          <w:rFonts w:ascii="Candara" w:hAnsi="Candara" w:cs="Times New Roman"/>
          <w:sz w:val="22"/>
          <w:szCs w:val="22"/>
          <w:lang w:eastAsia="en-US"/>
        </w:rPr>
      </w:pPr>
      <w:r w:rsidRPr="000B1AEE">
        <w:rPr>
          <w:rFonts w:ascii="Candara" w:hAnsi="Candara" w:cs="Times New Roman"/>
          <w:sz w:val="22"/>
          <w:szCs w:val="22"/>
          <w:lang w:eastAsia="en-US"/>
        </w:rPr>
        <w:t>Non systématisation de la rétro information aux districts.</w:t>
      </w:r>
    </w:p>
    <w:p w14:paraId="30369314" w14:textId="77777777" w:rsidR="00E03BED" w:rsidRPr="000B1AEE" w:rsidRDefault="00E03BED" w:rsidP="00E03BED">
      <w:pPr>
        <w:pStyle w:val="Sansinterligne"/>
        <w:numPr>
          <w:ilvl w:val="0"/>
          <w:numId w:val="11"/>
        </w:numPr>
        <w:rPr>
          <w:rFonts w:ascii="Candara" w:hAnsi="Candara" w:cs="Times New Roman"/>
          <w:sz w:val="22"/>
          <w:szCs w:val="22"/>
          <w:lang w:eastAsia="en-US"/>
        </w:rPr>
      </w:pPr>
      <w:r w:rsidRPr="000B1AEE">
        <w:rPr>
          <w:rFonts w:ascii="Candara" w:hAnsi="Candara" w:cs="Times New Roman"/>
          <w:sz w:val="22"/>
          <w:szCs w:val="22"/>
          <w:lang w:eastAsia="en-US"/>
        </w:rPr>
        <w:t xml:space="preserve">Planification autour </w:t>
      </w:r>
      <w:r w:rsidR="00155C94" w:rsidRPr="000B1AEE">
        <w:rPr>
          <w:rFonts w:ascii="Candara" w:hAnsi="Candara" w:cs="Times New Roman"/>
          <w:sz w:val="22"/>
          <w:szCs w:val="22"/>
          <w:lang w:eastAsia="en-US"/>
        </w:rPr>
        <w:t>du district non systématisé</w:t>
      </w:r>
      <w:r w:rsidRPr="000B1AEE">
        <w:rPr>
          <w:rFonts w:ascii="Candara" w:hAnsi="Candara" w:cs="Times New Roman"/>
          <w:sz w:val="22"/>
          <w:szCs w:val="22"/>
          <w:lang w:eastAsia="en-US"/>
        </w:rPr>
        <w:t>.</w:t>
      </w:r>
    </w:p>
    <w:p w14:paraId="38B544AD" w14:textId="77777777" w:rsidR="00E03BED" w:rsidRPr="000B1AEE" w:rsidRDefault="00E03BED" w:rsidP="00E03BED">
      <w:pPr>
        <w:pStyle w:val="Sansinterligne"/>
        <w:numPr>
          <w:ilvl w:val="0"/>
          <w:numId w:val="11"/>
        </w:numPr>
        <w:rPr>
          <w:rFonts w:ascii="Candara" w:hAnsi="Candara" w:cs="Times New Roman"/>
          <w:sz w:val="22"/>
          <w:szCs w:val="22"/>
          <w:lang w:eastAsia="en-US"/>
        </w:rPr>
      </w:pPr>
      <w:r w:rsidRPr="000B1AEE">
        <w:rPr>
          <w:rFonts w:ascii="Candara" w:hAnsi="Candara" w:cs="Times New Roman"/>
          <w:sz w:val="22"/>
          <w:szCs w:val="22"/>
          <w:lang w:eastAsia="en-US"/>
        </w:rPr>
        <w:t>Utilisation des cascades non systématiques et utilisé comme base de planification</w:t>
      </w:r>
      <w:r>
        <w:rPr>
          <w:rFonts w:ascii="Candara" w:hAnsi="Candara" w:cs="Times New Roman"/>
          <w:sz w:val="22"/>
          <w:szCs w:val="22"/>
          <w:lang w:eastAsia="en-US"/>
        </w:rPr>
        <w:t>.</w:t>
      </w:r>
    </w:p>
    <w:p w14:paraId="1D187598" w14:textId="77777777" w:rsidR="00E03BED" w:rsidRPr="000B1AEE" w:rsidRDefault="00E03BED" w:rsidP="00E03BED">
      <w:pPr>
        <w:pStyle w:val="Sansinterligne"/>
        <w:rPr>
          <w:rFonts w:ascii="Candara" w:hAnsi="Candara" w:cs="Times New Roman"/>
          <w:sz w:val="22"/>
          <w:szCs w:val="22"/>
          <w:lang w:eastAsia="en-US"/>
        </w:rPr>
      </w:pPr>
    </w:p>
    <w:p w14:paraId="4E640C67" w14:textId="77777777" w:rsidR="00E03BED" w:rsidRPr="00A72FDD" w:rsidRDefault="00E03BED" w:rsidP="00E03BED">
      <w:pPr>
        <w:pStyle w:val="Titre2"/>
      </w:pPr>
      <w:bookmarkStart w:id="20" w:name="_Toc424401756"/>
      <w:bookmarkStart w:id="21" w:name="_Toc15906429"/>
      <w:r w:rsidRPr="00A72FDD">
        <w:t>VI.5.</w:t>
      </w:r>
      <w:r>
        <w:t xml:space="preserve"> </w:t>
      </w:r>
      <w:r w:rsidRPr="00321F21">
        <w:t>Société civile</w:t>
      </w:r>
      <w:bookmarkEnd w:id="20"/>
      <w:bookmarkEnd w:id="21"/>
    </w:p>
    <w:p w14:paraId="6F3CB07E" w14:textId="77777777" w:rsidR="00E03BED" w:rsidRPr="000B1AEE" w:rsidRDefault="00E03BED" w:rsidP="00E03BED">
      <w:pPr>
        <w:pStyle w:val="Sansinterligne"/>
        <w:numPr>
          <w:ilvl w:val="0"/>
          <w:numId w:val="12"/>
        </w:numPr>
        <w:jc w:val="both"/>
        <w:rPr>
          <w:rFonts w:ascii="Candara" w:hAnsi="Candara" w:cs="Times New Roman"/>
          <w:sz w:val="22"/>
          <w:szCs w:val="22"/>
          <w:lang w:eastAsia="en-US"/>
        </w:rPr>
      </w:pPr>
      <w:r w:rsidRPr="000B1AEE">
        <w:rPr>
          <w:rFonts w:ascii="Candara" w:hAnsi="Candara" w:cs="Times New Roman"/>
          <w:sz w:val="22"/>
          <w:szCs w:val="22"/>
          <w:lang w:eastAsia="en-US"/>
        </w:rPr>
        <w:t>Timide implication de la société civile dans le dépistage communautaire, recherche des perdus de vue, à la prise en charge psychosociale, implication dans la distribution communautaire des ARV (PODI).</w:t>
      </w:r>
    </w:p>
    <w:p w14:paraId="064BD341" w14:textId="77777777" w:rsidR="00E03BED" w:rsidRPr="000B1AEE" w:rsidRDefault="00E03BED" w:rsidP="00E03BED">
      <w:pPr>
        <w:pStyle w:val="Paragraphedeliste"/>
        <w:numPr>
          <w:ilvl w:val="0"/>
          <w:numId w:val="12"/>
        </w:numPr>
        <w:jc w:val="both"/>
        <w:rPr>
          <w:rFonts w:ascii="Candara" w:hAnsi="Candara" w:cs="Times New Roman"/>
          <w:sz w:val="22"/>
          <w:szCs w:val="22"/>
          <w:lang w:eastAsia="en-US"/>
        </w:rPr>
      </w:pPr>
      <w:r w:rsidRPr="000B1AEE">
        <w:rPr>
          <w:rFonts w:ascii="Candara" w:hAnsi="Candara" w:cs="Times New Roman"/>
          <w:sz w:val="22"/>
          <w:szCs w:val="22"/>
          <w:lang w:eastAsia="en-US"/>
        </w:rPr>
        <w:t>Faible structuration organisationnelle des associations de populations clés.</w:t>
      </w:r>
    </w:p>
    <w:p w14:paraId="25F4134C" w14:textId="77777777" w:rsidR="00E03BED" w:rsidRPr="00130BD7" w:rsidRDefault="00E03BED" w:rsidP="00E03BED">
      <w:pPr>
        <w:pStyle w:val="Sansinterligne"/>
        <w:jc w:val="both"/>
        <w:rPr>
          <w:rFonts w:eastAsiaTheme="majorEastAsia" w:cstheme="majorBidi"/>
          <w:bCs/>
          <w:szCs w:val="32"/>
        </w:rPr>
      </w:pPr>
    </w:p>
    <w:p w14:paraId="1F95044E" w14:textId="77777777" w:rsidR="00E03BED" w:rsidRPr="00425A21" w:rsidRDefault="00E03BED" w:rsidP="00E03BED">
      <w:pPr>
        <w:pStyle w:val="Titre2"/>
      </w:pPr>
      <w:bookmarkStart w:id="22" w:name="_Toc424401757"/>
      <w:bookmarkStart w:id="23" w:name="_Toc15906430"/>
      <w:r w:rsidRPr="00425A21">
        <w:t>VI.6.</w:t>
      </w:r>
      <w:r>
        <w:t xml:space="preserve"> </w:t>
      </w:r>
      <w:r w:rsidRPr="00847762">
        <w:t>Gestion et coordination</w:t>
      </w:r>
      <w:bookmarkEnd w:id="22"/>
      <w:bookmarkEnd w:id="23"/>
    </w:p>
    <w:p w14:paraId="32D2F8EE" w14:textId="77777777" w:rsidR="00E03BED" w:rsidRPr="000B1AEE" w:rsidRDefault="00414DC5" w:rsidP="00E03BED">
      <w:pPr>
        <w:pStyle w:val="Sansinterligne"/>
        <w:numPr>
          <w:ilvl w:val="0"/>
          <w:numId w:val="13"/>
        </w:numPr>
        <w:rPr>
          <w:rFonts w:ascii="Candara" w:hAnsi="Candara" w:cs="Times New Roman"/>
          <w:sz w:val="22"/>
          <w:szCs w:val="22"/>
          <w:lang w:eastAsia="en-US"/>
        </w:rPr>
      </w:pPr>
      <w:r>
        <w:rPr>
          <w:rFonts w:ascii="Candara" w:hAnsi="Candara" w:cs="Times New Roman"/>
          <w:sz w:val="22"/>
          <w:szCs w:val="22"/>
          <w:lang w:eastAsia="en-US"/>
        </w:rPr>
        <w:t>Faible</w:t>
      </w:r>
      <w:r w:rsidR="00E03BED" w:rsidRPr="000B1AEE">
        <w:rPr>
          <w:rFonts w:ascii="Candara" w:hAnsi="Candara" w:cs="Times New Roman"/>
          <w:sz w:val="22"/>
          <w:szCs w:val="22"/>
          <w:lang w:eastAsia="en-US"/>
        </w:rPr>
        <w:t xml:space="preserve"> synergie des interventions au niveau opérationnel.</w:t>
      </w:r>
    </w:p>
    <w:p w14:paraId="62A49F12" w14:textId="77777777" w:rsidR="00E03BED" w:rsidRPr="000B1AEE" w:rsidRDefault="00E03BED" w:rsidP="00E03BED">
      <w:pPr>
        <w:pStyle w:val="Paragraphedeliste"/>
        <w:numPr>
          <w:ilvl w:val="0"/>
          <w:numId w:val="13"/>
        </w:numPr>
        <w:spacing w:line="276" w:lineRule="auto"/>
        <w:jc w:val="both"/>
        <w:rPr>
          <w:rFonts w:ascii="Candara" w:hAnsi="Candara" w:cs="Times New Roman"/>
          <w:sz w:val="22"/>
          <w:szCs w:val="22"/>
          <w:lang w:eastAsia="en-US"/>
        </w:rPr>
      </w:pPr>
      <w:r w:rsidRPr="000B1AEE">
        <w:rPr>
          <w:rFonts w:ascii="Candara" w:hAnsi="Candara" w:cs="Times New Roman"/>
          <w:sz w:val="22"/>
          <w:szCs w:val="22"/>
          <w:lang w:eastAsia="en-US"/>
        </w:rPr>
        <w:t>Insuffisance du financement domestique.</w:t>
      </w:r>
    </w:p>
    <w:p w14:paraId="607762DC" w14:textId="77777777" w:rsidR="00E03BED" w:rsidRPr="000B1AEE" w:rsidRDefault="00E03BED" w:rsidP="00E03BED">
      <w:pPr>
        <w:pStyle w:val="Paragraphedeliste"/>
        <w:numPr>
          <w:ilvl w:val="0"/>
          <w:numId w:val="13"/>
        </w:numPr>
        <w:spacing w:line="276" w:lineRule="auto"/>
        <w:jc w:val="both"/>
        <w:rPr>
          <w:rFonts w:ascii="Candara" w:hAnsi="Candara" w:cs="Times New Roman"/>
          <w:sz w:val="22"/>
          <w:szCs w:val="22"/>
          <w:lang w:eastAsia="en-US"/>
        </w:rPr>
      </w:pPr>
      <w:r w:rsidRPr="000B1AEE">
        <w:rPr>
          <w:rFonts w:ascii="Candara" w:hAnsi="Candara" w:cs="Times New Roman"/>
          <w:sz w:val="22"/>
          <w:szCs w:val="22"/>
          <w:lang w:eastAsia="en-US"/>
        </w:rPr>
        <w:t>Dépendance du financement extérieure (Le Fonds mondial reste le principal partenaire de la réponse au VIH).</w:t>
      </w:r>
    </w:p>
    <w:p w14:paraId="5F186C49" w14:textId="77777777" w:rsidR="00E03BED" w:rsidRPr="00425A21" w:rsidRDefault="00E03BED" w:rsidP="00E03BED">
      <w:pPr>
        <w:pStyle w:val="Titre1"/>
      </w:pPr>
      <w:bookmarkStart w:id="24" w:name="_Toc15906431"/>
      <w:r>
        <w:t xml:space="preserve">VII. </w:t>
      </w:r>
      <w:r w:rsidRPr="001F30CF">
        <w:t>OPPORTUNITE</w:t>
      </w:r>
      <w:r>
        <w:t>S</w:t>
      </w:r>
      <w:bookmarkEnd w:id="24"/>
    </w:p>
    <w:p w14:paraId="46FF089B" w14:textId="77777777" w:rsidR="00E03BED" w:rsidRPr="000B1AEE" w:rsidRDefault="00E03BED" w:rsidP="00E03BED">
      <w:pPr>
        <w:pStyle w:val="Sansinterligne"/>
        <w:numPr>
          <w:ilvl w:val="0"/>
          <w:numId w:val="24"/>
        </w:numPr>
        <w:jc w:val="both"/>
        <w:rPr>
          <w:rFonts w:ascii="Candara" w:hAnsi="Candara" w:cs="Times New Roman"/>
          <w:sz w:val="22"/>
          <w:szCs w:val="22"/>
          <w:lang w:eastAsia="en-US"/>
        </w:rPr>
      </w:pPr>
      <w:r w:rsidRPr="000B1AEE">
        <w:rPr>
          <w:rFonts w:ascii="Candara" w:hAnsi="Candara" w:cs="Times New Roman"/>
          <w:sz w:val="22"/>
          <w:szCs w:val="22"/>
          <w:lang w:eastAsia="en-US"/>
        </w:rPr>
        <w:t>Forte volonté politique des autorités du pays à soutenir la lutte contre le Sida.</w:t>
      </w:r>
    </w:p>
    <w:p w14:paraId="40FA0537" w14:textId="77777777" w:rsidR="00E03BED" w:rsidRPr="000B1AEE" w:rsidRDefault="00E03BED" w:rsidP="00E03BED">
      <w:pPr>
        <w:pStyle w:val="Sansinterligne"/>
        <w:numPr>
          <w:ilvl w:val="0"/>
          <w:numId w:val="24"/>
        </w:numPr>
        <w:jc w:val="both"/>
        <w:rPr>
          <w:rFonts w:ascii="Candara" w:hAnsi="Candara" w:cs="Times New Roman"/>
          <w:sz w:val="22"/>
          <w:szCs w:val="22"/>
          <w:lang w:eastAsia="en-US"/>
        </w:rPr>
      </w:pPr>
      <w:r w:rsidRPr="000B1AEE">
        <w:rPr>
          <w:rFonts w:ascii="Candara" w:hAnsi="Candara" w:cs="Times New Roman"/>
          <w:sz w:val="22"/>
          <w:szCs w:val="22"/>
          <w:lang w:eastAsia="en-US"/>
        </w:rPr>
        <w:t xml:space="preserve">Engagements pris par le pays pour éliminer la transmission du VIH de la mère-à l’enfant. </w:t>
      </w:r>
    </w:p>
    <w:p w14:paraId="52A6DFD4" w14:textId="77777777" w:rsidR="00E03BED" w:rsidRPr="000B1AEE" w:rsidRDefault="00E03BED" w:rsidP="00E03BED">
      <w:pPr>
        <w:pStyle w:val="Sansinterligne"/>
        <w:numPr>
          <w:ilvl w:val="0"/>
          <w:numId w:val="24"/>
        </w:numPr>
        <w:jc w:val="both"/>
        <w:rPr>
          <w:rFonts w:ascii="Candara" w:hAnsi="Candara" w:cs="Times New Roman"/>
          <w:sz w:val="22"/>
          <w:szCs w:val="22"/>
          <w:lang w:eastAsia="en-US"/>
        </w:rPr>
      </w:pPr>
      <w:r w:rsidRPr="000B1AEE">
        <w:rPr>
          <w:rFonts w:ascii="Candara" w:hAnsi="Candara" w:cs="Times New Roman"/>
          <w:sz w:val="22"/>
          <w:szCs w:val="22"/>
          <w:lang w:eastAsia="en-US"/>
        </w:rPr>
        <w:t xml:space="preserve">Engagement spécial de l’Union Africaine sur la mise en œuvre du plan d’accélération. </w:t>
      </w:r>
    </w:p>
    <w:p w14:paraId="66E5A17A" w14:textId="77777777" w:rsidR="00E03BED" w:rsidRPr="000B1AEE" w:rsidRDefault="00E03BED" w:rsidP="00E03BED">
      <w:pPr>
        <w:pStyle w:val="Sansinterligne"/>
        <w:numPr>
          <w:ilvl w:val="0"/>
          <w:numId w:val="24"/>
        </w:numPr>
        <w:jc w:val="both"/>
        <w:rPr>
          <w:rFonts w:ascii="Candara" w:hAnsi="Candara" w:cs="Times New Roman"/>
          <w:sz w:val="22"/>
          <w:szCs w:val="22"/>
          <w:lang w:eastAsia="en-US"/>
        </w:rPr>
      </w:pPr>
      <w:r w:rsidRPr="000B1AEE">
        <w:rPr>
          <w:rFonts w:ascii="Candara" w:hAnsi="Candara" w:cs="Times New Roman"/>
          <w:sz w:val="22"/>
          <w:szCs w:val="22"/>
          <w:lang w:eastAsia="en-US"/>
        </w:rPr>
        <w:t xml:space="preserve">Existence d’une contribution de l’Etat guinéen à travers le financement BND. </w:t>
      </w:r>
    </w:p>
    <w:p w14:paraId="1270C0E1" w14:textId="77777777" w:rsidR="00E03BED" w:rsidRPr="000B1AEE" w:rsidRDefault="00E03BED" w:rsidP="00E03BED">
      <w:pPr>
        <w:pStyle w:val="Sansinterligne"/>
        <w:numPr>
          <w:ilvl w:val="0"/>
          <w:numId w:val="24"/>
        </w:numPr>
        <w:jc w:val="both"/>
        <w:rPr>
          <w:rFonts w:ascii="Candara" w:hAnsi="Candara" w:cs="Times New Roman"/>
          <w:sz w:val="22"/>
          <w:szCs w:val="22"/>
          <w:lang w:eastAsia="en-US"/>
        </w:rPr>
      </w:pPr>
      <w:r w:rsidRPr="000B1AEE">
        <w:rPr>
          <w:rFonts w:ascii="Candara" w:hAnsi="Candara" w:cs="Times New Roman"/>
          <w:sz w:val="22"/>
          <w:szCs w:val="22"/>
          <w:lang w:eastAsia="en-US"/>
        </w:rPr>
        <w:t>Engagement des partenaires à accompagner le pays dans l’atteinte des objectifs du plan d’accélération.</w:t>
      </w:r>
    </w:p>
    <w:p w14:paraId="0AA43F60" w14:textId="77777777" w:rsidR="00E03BED" w:rsidRPr="000B1AEE" w:rsidRDefault="00E03BED" w:rsidP="00E03BED">
      <w:pPr>
        <w:pStyle w:val="Sansinterligne"/>
        <w:numPr>
          <w:ilvl w:val="0"/>
          <w:numId w:val="24"/>
        </w:numPr>
        <w:jc w:val="both"/>
        <w:rPr>
          <w:rFonts w:ascii="Candara" w:hAnsi="Candara" w:cs="Times New Roman"/>
          <w:sz w:val="22"/>
          <w:szCs w:val="22"/>
          <w:lang w:eastAsia="en-US"/>
        </w:rPr>
      </w:pPr>
      <w:r w:rsidRPr="000B1AEE">
        <w:rPr>
          <w:rFonts w:ascii="Candara" w:hAnsi="Candara" w:cs="Times New Roman"/>
          <w:sz w:val="22"/>
          <w:szCs w:val="22"/>
          <w:lang w:eastAsia="en-US"/>
        </w:rPr>
        <w:t xml:space="preserve">Existence données épidémiologiques et programmatiques récentes et de documents cadres actualisés pour guider les interventions. </w:t>
      </w:r>
    </w:p>
    <w:p w14:paraId="5A1FEBDD" w14:textId="77777777" w:rsidR="00E03BED" w:rsidRPr="000B1AEE" w:rsidRDefault="00E03BED" w:rsidP="00E03BED">
      <w:pPr>
        <w:pStyle w:val="Sansinterligne"/>
        <w:numPr>
          <w:ilvl w:val="0"/>
          <w:numId w:val="24"/>
        </w:numPr>
        <w:jc w:val="both"/>
        <w:rPr>
          <w:rFonts w:ascii="Candara" w:hAnsi="Candara" w:cs="Times New Roman"/>
          <w:sz w:val="22"/>
          <w:szCs w:val="22"/>
          <w:lang w:eastAsia="en-US"/>
        </w:rPr>
      </w:pPr>
      <w:r w:rsidRPr="000B1AEE">
        <w:rPr>
          <w:rFonts w:ascii="Candara" w:hAnsi="Candara" w:cs="Times New Roman"/>
          <w:sz w:val="22"/>
          <w:szCs w:val="22"/>
          <w:lang w:eastAsia="en-US"/>
        </w:rPr>
        <w:t>Présence d’ONG internationale de lutte contre le VIH/Sida.</w:t>
      </w:r>
    </w:p>
    <w:p w14:paraId="15A85AA6" w14:textId="77777777" w:rsidR="00E03BED" w:rsidRPr="000B1AEE" w:rsidRDefault="00E03BED" w:rsidP="00E03BED">
      <w:pPr>
        <w:pStyle w:val="Sansinterligne"/>
        <w:numPr>
          <w:ilvl w:val="0"/>
          <w:numId w:val="24"/>
        </w:numPr>
        <w:jc w:val="both"/>
        <w:rPr>
          <w:rFonts w:ascii="Candara" w:hAnsi="Candara" w:cs="Times New Roman"/>
          <w:sz w:val="22"/>
          <w:szCs w:val="22"/>
          <w:lang w:eastAsia="en-US"/>
        </w:rPr>
      </w:pPr>
      <w:r w:rsidRPr="000B1AEE">
        <w:rPr>
          <w:rFonts w:ascii="Candara" w:hAnsi="Candara" w:cs="Times New Roman"/>
          <w:sz w:val="22"/>
          <w:szCs w:val="22"/>
          <w:lang w:eastAsia="en-US"/>
        </w:rPr>
        <w:t>Présence de réseaux de PVVIH.</w:t>
      </w:r>
    </w:p>
    <w:p w14:paraId="76AA5237" w14:textId="77777777" w:rsidR="00E03BED" w:rsidRPr="000B1AEE" w:rsidRDefault="00E03BED" w:rsidP="00E03BED">
      <w:pPr>
        <w:pStyle w:val="Sansinterligne"/>
        <w:numPr>
          <w:ilvl w:val="0"/>
          <w:numId w:val="24"/>
        </w:numPr>
        <w:jc w:val="both"/>
        <w:rPr>
          <w:rFonts w:ascii="Candara" w:hAnsi="Candara" w:cs="Times New Roman"/>
          <w:sz w:val="22"/>
          <w:szCs w:val="22"/>
          <w:lang w:eastAsia="en-US"/>
        </w:rPr>
      </w:pPr>
      <w:r w:rsidRPr="000B1AEE">
        <w:rPr>
          <w:rFonts w:ascii="Candara" w:hAnsi="Candara" w:cs="Times New Roman"/>
          <w:sz w:val="22"/>
          <w:szCs w:val="22"/>
          <w:lang w:eastAsia="en-US"/>
        </w:rPr>
        <w:t>Existence de l’observatoire communautaire et national.</w:t>
      </w:r>
    </w:p>
    <w:p w14:paraId="7F2105DB" w14:textId="77777777" w:rsidR="00E03BED" w:rsidRPr="00883669" w:rsidRDefault="00E03BED" w:rsidP="00E03BED">
      <w:pPr>
        <w:pStyle w:val="Titre1"/>
      </w:pPr>
      <w:bookmarkStart w:id="25" w:name="_Toc15906432"/>
      <w:r>
        <w:t xml:space="preserve">VIII. </w:t>
      </w:r>
      <w:r w:rsidRPr="001F30CF">
        <w:t>MENACES</w:t>
      </w:r>
      <w:bookmarkEnd w:id="25"/>
      <w:r w:rsidRPr="001F30CF">
        <w:t xml:space="preserve"> </w:t>
      </w:r>
    </w:p>
    <w:p w14:paraId="30EAA8C2" w14:textId="77777777" w:rsidR="00E03BED" w:rsidRPr="000B1AEE" w:rsidRDefault="00E03BED" w:rsidP="00E03BED">
      <w:pPr>
        <w:pStyle w:val="Sansinterligne"/>
        <w:numPr>
          <w:ilvl w:val="0"/>
          <w:numId w:val="25"/>
        </w:numPr>
        <w:rPr>
          <w:rFonts w:ascii="Candara" w:hAnsi="Candara" w:cs="Times New Roman"/>
          <w:sz w:val="22"/>
          <w:szCs w:val="22"/>
          <w:lang w:eastAsia="en-US"/>
        </w:rPr>
      </w:pPr>
      <w:r w:rsidRPr="000B1AEE">
        <w:rPr>
          <w:rFonts w:ascii="Candara" w:hAnsi="Candara" w:cs="Times New Roman"/>
          <w:sz w:val="22"/>
          <w:szCs w:val="22"/>
          <w:lang w:eastAsia="en-US"/>
        </w:rPr>
        <w:t>Persistance du niveau élevé de stigmatisation et de discrimination.</w:t>
      </w:r>
    </w:p>
    <w:p w14:paraId="3558DA3E" w14:textId="77777777" w:rsidR="00E03BED" w:rsidRPr="000B1AEE" w:rsidRDefault="00E03BED" w:rsidP="00E03BED">
      <w:pPr>
        <w:pStyle w:val="Sansinterligne"/>
        <w:numPr>
          <w:ilvl w:val="0"/>
          <w:numId w:val="25"/>
        </w:numPr>
        <w:rPr>
          <w:rFonts w:ascii="Candara" w:hAnsi="Candara" w:cs="Times New Roman"/>
          <w:sz w:val="22"/>
          <w:szCs w:val="22"/>
          <w:lang w:eastAsia="en-US"/>
        </w:rPr>
      </w:pPr>
      <w:r w:rsidRPr="000B1AEE">
        <w:rPr>
          <w:rFonts w:ascii="Candara" w:hAnsi="Candara" w:cs="Times New Roman"/>
          <w:sz w:val="22"/>
          <w:szCs w:val="22"/>
          <w:lang w:eastAsia="en-US"/>
        </w:rPr>
        <w:t xml:space="preserve">Existence de lois et les politiques punitives, qui peuvent dissuader les populations clés d’utiliser pleinement les services disponibles. </w:t>
      </w:r>
    </w:p>
    <w:p w14:paraId="2CB9461B" w14:textId="77777777" w:rsidR="00E03BED" w:rsidRPr="000B1AEE" w:rsidRDefault="00E03BED" w:rsidP="00E03BED">
      <w:pPr>
        <w:pStyle w:val="Sansinterligne"/>
        <w:numPr>
          <w:ilvl w:val="0"/>
          <w:numId w:val="25"/>
        </w:numPr>
        <w:rPr>
          <w:rFonts w:ascii="Candara" w:hAnsi="Candara" w:cs="Times New Roman"/>
          <w:sz w:val="22"/>
          <w:szCs w:val="22"/>
          <w:lang w:eastAsia="en-US"/>
        </w:rPr>
      </w:pPr>
      <w:r w:rsidRPr="000B1AEE">
        <w:rPr>
          <w:rFonts w:ascii="Candara" w:hAnsi="Candara" w:cs="Times New Roman"/>
          <w:sz w:val="22"/>
          <w:szCs w:val="22"/>
          <w:lang w:eastAsia="en-US"/>
        </w:rPr>
        <w:t>Persistance de barrières socio- culturelles qui empêchent à certaines populations un accès rapide aux services (femmes enceintes, etc.).</w:t>
      </w:r>
    </w:p>
    <w:p w14:paraId="5AC33B85" w14:textId="77777777" w:rsidR="00E03BED" w:rsidRPr="000B1AEE" w:rsidRDefault="00E03BED" w:rsidP="00E03BED">
      <w:pPr>
        <w:pStyle w:val="Sansinterligne"/>
        <w:numPr>
          <w:ilvl w:val="0"/>
          <w:numId w:val="25"/>
        </w:numPr>
        <w:rPr>
          <w:rFonts w:ascii="Candara" w:hAnsi="Candara" w:cs="Times New Roman"/>
          <w:sz w:val="22"/>
          <w:szCs w:val="22"/>
          <w:lang w:eastAsia="en-US"/>
        </w:rPr>
      </w:pPr>
      <w:r w:rsidRPr="000B1AEE">
        <w:rPr>
          <w:rFonts w:ascii="Candara" w:hAnsi="Candara" w:cs="Times New Roman"/>
          <w:sz w:val="22"/>
          <w:szCs w:val="22"/>
          <w:lang w:eastAsia="en-US"/>
        </w:rPr>
        <w:t>Le nombre réduit de donateurs et les rapports complexes avec certains d’entre qui peuvent entrainer une sous-utilisation de ressources.</w:t>
      </w:r>
    </w:p>
    <w:p w14:paraId="0ECF429F" w14:textId="77777777" w:rsidR="00E03BED" w:rsidRPr="000B1AEE" w:rsidRDefault="00E03BED" w:rsidP="00E03BED">
      <w:pPr>
        <w:pStyle w:val="Sansinterligne"/>
        <w:numPr>
          <w:ilvl w:val="0"/>
          <w:numId w:val="25"/>
        </w:numPr>
        <w:rPr>
          <w:rFonts w:ascii="Candara" w:hAnsi="Candara" w:cs="Times New Roman"/>
          <w:sz w:val="22"/>
          <w:szCs w:val="22"/>
          <w:lang w:eastAsia="en-US"/>
        </w:rPr>
      </w:pPr>
      <w:r w:rsidRPr="000B1AEE">
        <w:rPr>
          <w:rFonts w:ascii="Candara" w:hAnsi="Candara" w:cs="Times New Roman"/>
          <w:sz w:val="22"/>
          <w:szCs w:val="22"/>
          <w:lang w:eastAsia="en-US"/>
        </w:rPr>
        <w:t xml:space="preserve">Forte dépendance des investissements dans la lutte contre le sida des ressources internationales. </w:t>
      </w:r>
    </w:p>
    <w:p w14:paraId="403B976B" w14:textId="77777777" w:rsidR="00E03BED" w:rsidRPr="000B1AEE" w:rsidRDefault="00E03BED" w:rsidP="00E03BED">
      <w:pPr>
        <w:pStyle w:val="Sansinterligne"/>
        <w:numPr>
          <w:ilvl w:val="0"/>
          <w:numId w:val="25"/>
        </w:numPr>
        <w:rPr>
          <w:rFonts w:ascii="Candara" w:hAnsi="Candara" w:cs="Times New Roman"/>
          <w:sz w:val="22"/>
          <w:szCs w:val="22"/>
          <w:lang w:eastAsia="en-US"/>
        </w:rPr>
      </w:pPr>
      <w:r w:rsidRPr="000B1AEE">
        <w:rPr>
          <w:rFonts w:ascii="Candara" w:hAnsi="Candara" w:cs="Times New Roman"/>
          <w:sz w:val="22"/>
          <w:szCs w:val="22"/>
          <w:lang w:eastAsia="en-US"/>
        </w:rPr>
        <w:lastRenderedPageBreak/>
        <w:t>Conséquences liées à l’incendie survenu à la Pharmacie Centrale de Guinée.</w:t>
      </w:r>
    </w:p>
    <w:p w14:paraId="492CAC8D" w14:textId="77777777" w:rsidR="00E03BED" w:rsidRPr="000B1AEE" w:rsidRDefault="00E03BED" w:rsidP="00E03BED">
      <w:pPr>
        <w:pStyle w:val="Sansinterligne"/>
        <w:numPr>
          <w:ilvl w:val="0"/>
          <w:numId w:val="25"/>
        </w:numPr>
        <w:rPr>
          <w:rFonts w:ascii="Candara" w:hAnsi="Candara" w:cs="Times New Roman"/>
          <w:sz w:val="22"/>
          <w:szCs w:val="22"/>
          <w:lang w:eastAsia="en-US"/>
        </w:rPr>
      </w:pPr>
      <w:r w:rsidRPr="000B1AEE">
        <w:rPr>
          <w:rFonts w:ascii="Candara" w:hAnsi="Candara" w:cs="Times New Roman"/>
          <w:sz w:val="22"/>
          <w:szCs w:val="22"/>
          <w:lang w:eastAsia="en-US"/>
        </w:rPr>
        <w:t xml:space="preserve">Contexte socio-politique instable. </w:t>
      </w:r>
    </w:p>
    <w:p w14:paraId="51E47E67" w14:textId="77777777" w:rsidR="00E03BED" w:rsidRPr="000B1AEE" w:rsidRDefault="00E03BED" w:rsidP="00E03BED">
      <w:pPr>
        <w:pStyle w:val="Sansinterligne"/>
        <w:numPr>
          <w:ilvl w:val="0"/>
          <w:numId w:val="25"/>
        </w:numPr>
        <w:rPr>
          <w:rFonts w:ascii="Candara" w:hAnsi="Candara" w:cs="Times New Roman"/>
          <w:sz w:val="22"/>
          <w:szCs w:val="22"/>
          <w:lang w:eastAsia="en-US"/>
        </w:rPr>
      </w:pPr>
      <w:bookmarkStart w:id="26" w:name="_Hlk510728160"/>
      <w:r w:rsidRPr="000B1AEE">
        <w:rPr>
          <w:rFonts w:ascii="Candara" w:hAnsi="Candara" w:cs="Times New Roman"/>
          <w:sz w:val="22"/>
          <w:szCs w:val="22"/>
          <w:lang w:eastAsia="en-US"/>
        </w:rPr>
        <w:t>Résurgence épidémique possible.</w:t>
      </w:r>
      <w:bookmarkEnd w:id="26"/>
    </w:p>
    <w:p w14:paraId="45D225CF" w14:textId="77777777" w:rsidR="0055414B" w:rsidRDefault="00E03BED" w:rsidP="00E03BED">
      <w:pPr>
        <w:pStyle w:val="Titre1"/>
      </w:pPr>
      <w:bookmarkStart w:id="27" w:name="_Toc15906433"/>
      <w:r>
        <w:t xml:space="preserve">IX. </w:t>
      </w:r>
      <w:r w:rsidR="0055414B">
        <w:t>PERSPECTIVES 2019</w:t>
      </w:r>
    </w:p>
    <w:p w14:paraId="2A0161B9" w14:textId="77777777" w:rsidR="00724AE1" w:rsidRDefault="00194F22" w:rsidP="00CF30C0">
      <w:pPr>
        <w:pStyle w:val="Paragraphedeliste"/>
        <w:numPr>
          <w:ilvl w:val="0"/>
          <w:numId w:val="44"/>
        </w:numPr>
        <w:spacing w:line="276" w:lineRule="auto"/>
        <w:ind w:left="360" w:right="19"/>
        <w:jc w:val="both"/>
        <w:rPr>
          <w:rFonts w:ascii="Times New Roman" w:hAnsi="Times New Roman" w:cs="Times New Roman"/>
        </w:rPr>
      </w:pPr>
      <w:r>
        <w:t xml:space="preserve">Réviser le plan de </w:t>
      </w:r>
      <w:proofErr w:type="gramStart"/>
      <w:r>
        <w:t>rattrapage</w:t>
      </w:r>
      <w:r w:rsidR="0055414B">
        <w:t xml:space="preserve">  de</w:t>
      </w:r>
      <w:proofErr w:type="gramEnd"/>
      <w:r w:rsidR="0055414B">
        <w:t xml:space="preserve"> la riposte 2017</w:t>
      </w:r>
      <w:r>
        <w:t>-</w:t>
      </w:r>
      <w:r w:rsidR="0055414B">
        <w:t>2018</w:t>
      </w:r>
      <w:r w:rsidR="00724AE1">
        <w:t xml:space="preserve">  afin d’</w:t>
      </w:r>
      <w:r w:rsidR="00724AE1" w:rsidRPr="00423C7F">
        <w:rPr>
          <w:rFonts w:ascii="Times New Roman" w:hAnsi="Times New Roman" w:cs="Times New Roman"/>
        </w:rPr>
        <w:t>identifier les contours d’un Plan d'intervention 2019-2020 pour lever les obstacles qui empêchent d'obtenir les résultats (cibles) escomptés des plans nationaux en termes de réduction des nouvelles infections, de réduction des décès liés au VIH et en termes de stigma et discrimination</w:t>
      </w:r>
    </w:p>
    <w:p w14:paraId="120EC2C9" w14:textId="77777777" w:rsidR="00CF30C0" w:rsidRDefault="00CF30C0" w:rsidP="00CF30C0">
      <w:pPr>
        <w:pStyle w:val="Paragraphedeliste"/>
        <w:spacing w:line="276" w:lineRule="auto"/>
        <w:ind w:left="360" w:right="19"/>
        <w:jc w:val="both"/>
        <w:rPr>
          <w:rFonts w:ascii="Times New Roman" w:hAnsi="Times New Roman" w:cs="Times New Roman"/>
        </w:rPr>
      </w:pPr>
    </w:p>
    <w:p w14:paraId="5B5364EC" w14:textId="77777777" w:rsidR="00CF30C0" w:rsidRPr="00CF30C0" w:rsidRDefault="00CF30C0" w:rsidP="00CF30C0">
      <w:pPr>
        <w:pStyle w:val="Paragraphedeliste"/>
        <w:numPr>
          <w:ilvl w:val="0"/>
          <w:numId w:val="44"/>
        </w:numPr>
        <w:spacing w:before="120"/>
        <w:ind w:left="360"/>
        <w:rPr>
          <w:rFonts w:ascii="Times New Roman" w:hAnsi="Times New Roman" w:cs="Times New Roman"/>
        </w:rPr>
      </w:pPr>
      <w:r>
        <w:rPr>
          <w:rFonts w:ascii="Times New Roman" w:hAnsi="Times New Roman" w:cs="Times New Roman"/>
        </w:rPr>
        <w:t xml:space="preserve">Elaborer un </w:t>
      </w:r>
      <w:r w:rsidRPr="00CF30C0">
        <w:rPr>
          <w:rFonts w:ascii="Times New Roman" w:hAnsi="Times New Roman" w:cs="Times New Roman"/>
        </w:rPr>
        <w:t>plan national d’accélération</w:t>
      </w:r>
      <w:r>
        <w:rPr>
          <w:rFonts w:ascii="Times New Roman" w:hAnsi="Times New Roman" w:cs="Times New Roman"/>
        </w:rPr>
        <w:t xml:space="preserve"> d</w:t>
      </w:r>
      <w:r w:rsidRPr="00CF30C0">
        <w:rPr>
          <w:rFonts w:ascii="Times New Roman" w:hAnsi="Times New Roman" w:cs="Times New Roman"/>
        </w:rPr>
        <w:t xml:space="preserve">’élimination de la transmission mère enfant du VIH </w:t>
      </w:r>
      <w:proofErr w:type="gramStart"/>
      <w:r w:rsidRPr="00CF30C0">
        <w:rPr>
          <w:rFonts w:ascii="Times New Roman" w:hAnsi="Times New Roman" w:cs="Times New Roman"/>
        </w:rPr>
        <w:t>et  de</w:t>
      </w:r>
      <w:proofErr w:type="gramEnd"/>
      <w:r>
        <w:rPr>
          <w:rFonts w:ascii="Times New Roman" w:hAnsi="Times New Roman" w:cs="Times New Roman"/>
        </w:rPr>
        <w:t xml:space="preserve"> </w:t>
      </w:r>
      <w:r w:rsidRPr="00CF30C0">
        <w:rPr>
          <w:rFonts w:ascii="Times New Roman" w:hAnsi="Times New Roman" w:cs="Times New Roman"/>
        </w:rPr>
        <w:t xml:space="preserve">la prise en charge pédiatrique </w:t>
      </w:r>
      <w:r>
        <w:rPr>
          <w:rFonts w:ascii="Times New Roman" w:hAnsi="Times New Roman" w:cs="Times New Roman"/>
        </w:rPr>
        <w:t>2</w:t>
      </w:r>
      <w:r w:rsidRPr="00CF30C0">
        <w:rPr>
          <w:rFonts w:ascii="Times New Roman" w:hAnsi="Times New Roman" w:cs="Times New Roman"/>
        </w:rPr>
        <w:t>019-2021</w:t>
      </w:r>
    </w:p>
    <w:p w14:paraId="29538BA6" w14:textId="77777777" w:rsidR="00194F22" w:rsidRDefault="00194F22" w:rsidP="00CF30C0"/>
    <w:p w14:paraId="052137F3" w14:textId="77777777" w:rsidR="00E03BED" w:rsidRPr="00423C7F" w:rsidRDefault="00194F22" w:rsidP="00CF30C0">
      <w:pPr>
        <w:pStyle w:val="Paragraphedeliste"/>
        <w:numPr>
          <w:ilvl w:val="0"/>
          <w:numId w:val="44"/>
        </w:numPr>
        <w:ind w:left="360"/>
        <w:rPr>
          <w:rFonts w:ascii="Candara" w:hAnsi="Candara"/>
          <w:sz w:val="22"/>
          <w:szCs w:val="22"/>
        </w:rPr>
      </w:pPr>
      <w:r>
        <w:t xml:space="preserve">Elaborer </w:t>
      </w:r>
      <w:r w:rsidR="00724AE1">
        <w:t>un</w:t>
      </w:r>
      <w:r w:rsidR="0055414B">
        <w:t xml:space="preserve"> </w:t>
      </w:r>
      <w:r w:rsidR="00077281">
        <w:t>Plan d’accélération</w:t>
      </w:r>
      <w:r>
        <w:t xml:space="preserve"> de la riposte 2019 2020</w:t>
      </w:r>
      <w:r w:rsidR="00724AE1">
        <w:t xml:space="preserve"> dont les </w:t>
      </w:r>
      <w:r w:rsidR="00077281">
        <w:t xml:space="preserve">cibles prioritaires </w:t>
      </w:r>
      <w:r>
        <w:t>devront</w:t>
      </w:r>
      <w:r w:rsidR="00077281">
        <w:t xml:space="preserve"> contribuer </w:t>
      </w:r>
      <w:bookmarkEnd w:id="27"/>
      <w:r w:rsidR="00E03BED" w:rsidRPr="00423C7F">
        <w:rPr>
          <w:rFonts w:ascii="Candara" w:hAnsi="Candara"/>
          <w:sz w:val="22"/>
          <w:szCs w:val="22"/>
        </w:rPr>
        <w:t xml:space="preserve">à l’atteinte des deux objectifs d’impact du CNS 2018_2022 à savoir : </w:t>
      </w:r>
    </w:p>
    <w:p w14:paraId="666C142E" w14:textId="77777777" w:rsidR="00E03BED" w:rsidRPr="009963C4" w:rsidRDefault="00E03BED" w:rsidP="00CF30C0">
      <w:pPr>
        <w:pStyle w:val="Titre5"/>
        <w:numPr>
          <w:ilvl w:val="0"/>
          <w:numId w:val="43"/>
        </w:numPr>
        <w:ind w:left="720"/>
        <w:jc w:val="both"/>
        <w:rPr>
          <w:rFonts w:ascii="Candara" w:eastAsiaTheme="minorEastAsia" w:hAnsi="Candara" w:cstheme="minorBidi"/>
          <w:color w:val="auto"/>
          <w:sz w:val="22"/>
          <w:szCs w:val="22"/>
        </w:rPr>
      </w:pPr>
      <w:r w:rsidRPr="003E4D4E">
        <w:rPr>
          <w:rFonts w:ascii="Candara" w:eastAsiaTheme="minorEastAsia" w:hAnsi="Candara" w:cstheme="minorBidi"/>
          <w:color w:val="auto"/>
          <w:sz w:val="22"/>
          <w:szCs w:val="22"/>
        </w:rPr>
        <w:t xml:space="preserve">Impact1 : </w:t>
      </w:r>
      <w:r w:rsidRPr="009963C4">
        <w:rPr>
          <w:rFonts w:ascii="Candara" w:eastAsiaTheme="minorEastAsia" w:hAnsi="Candara" w:cstheme="minorBidi"/>
          <w:color w:val="auto"/>
          <w:sz w:val="22"/>
          <w:szCs w:val="22"/>
        </w:rPr>
        <w:t>Les nouvelles infections sont réduites de 50% d’ici à fin 2022</w:t>
      </w:r>
    </w:p>
    <w:p w14:paraId="5B4F1DAC" w14:textId="77777777" w:rsidR="00E03BED" w:rsidRDefault="00E03BED" w:rsidP="00CF30C0">
      <w:pPr>
        <w:pStyle w:val="Sansinterligne"/>
        <w:numPr>
          <w:ilvl w:val="0"/>
          <w:numId w:val="43"/>
        </w:numPr>
        <w:ind w:left="720"/>
        <w:jc w:val="both"/>
        <w:rPr>
          <w:rFonts w:ascii="Candara" w:hAnsi="Candara"/>
          <w:sz w:val="22"/>
          <w:szCs w:val="22"/>
        </w:rPr>
      </w:pPr>
      <w:r w:rsidRPr="003E4D4E">
        <w:rPr>
          <w:rFonts w:ascii="Candara" w:hAnsi="Candara"/>
          <w:sz w:val="22"/>
          <w:szCs w:val="22"/>
        </w:rPr>
        <w:t xml:space="preserve">Impact 2 : </w:t>
      </w:r>
      <w:r>
        <w:rPr>
          <w:rFonts w:ascii="Candara" w:hAnsi="Candara"/>
          <w:sz w:val="22"/>
          <w:szCs w:val="22"/>
        </w:rPr>
        <w:t>D’ici à fin 2022, l</w:t>
      </w:r>
      <w:r w:rsidRPr="00754437">
        <w:rPr>
          <w:rFonts w:ascii="Candara" w:hAnsi="Candara"/>
          <w:sz w:val="22"/>
          <w:szCs w:val="22"/>
        </w:rPr>
        <w:t>a mortalité liée au VIH/sida est réduite d'au moins 62%</w:t>
      </w:r>
    </w:p>
    <w:p w14:paraId="05323E15" w14:textId="77777777" w:rsidR="00724AE1" w:rsidRDefault="00724AE1" w:rsidP="00CF30C0">
      <w:pPr>
        <w:pStyle w:val="Sansinterligne"/>
        <w:jc w:val="both"/>
        <w:rPr>
          <w:rFonts w:ascii="Candara" w:hAnsi="Candara"/>
          <w:sz w:val="22"/>
          <w:szCs w:val="22"/>
        </w:rPr>
      </w:pPr>
    </w:p>
    <w:p w14:paraId="73846300" w14:textId="77777777" w:rsidR="00E03BED" w:rsidRDefault="00194F22" w:rsidP="00CF30C0">
      <w:pPr>
        <w:pStyle w:val="Sansinterligne"/>
        <w:ind w:left="360"/>
        <w:jc w:val="both"/>
        <w:rPr>
          <w:rFonts w:ascii="Candara" w:hAnsi="Candara"/>
          <w:sz w:val="22"/>
          <w:szCs w:val="22"/>
        </w:rPr>
      </w:pPr>
      <w:r>
        <w:rPr>
          <w:rFonts w:ascii="Candara" w:hAnsi="Candara"/>
          <w:sz w:val="22"/>
          <w:szCs w:val="22"/>
        </w:rPr>
        <w:t>Le plan</w:t>
      </w:r>
      <w:r w:rsidR="00E03BED">
        <w:rPr>
          <w:rFonts w:ascii="Candara" w:hAnsi="Candara"/>
          <w:sz w:val="22"/>
          <w:szCs w:val="22"/>
        </w:rPr>
        <w:t xml:space="preserve"> devra également accompagner le pays dans l’atteinte des objectifs 90-90-90.</w:t>
      </w:r>
    </w:p>
    <w:p w14:paraId="38D6D9C2" w14:textId="77777777" w:rsidR="00077281" w:rsidRDefault="00077281" w:rsidP="00CF30C0">
      <w:pPr>
        <w:pStyle w:val="Sansinterligne"/>
        <w:ind w:left="360"/>
        <w:jc w:val="both"/>
        <w:rPr>
          <w:rFonts w:ascii="Candara" w:hAnsi="Candara"/>
          <w:sz w:val="22"/>
          <w:szCs w:val="22"/>
        </w:rPr>
      </w:pPr>
    </w:p>
    <w:p w14:paraId="256CAA8A" w14:textId="77777777" w:rsidR="00077281" w:rsidRDefault="00077281" w:rsidP="00CF30C0">
      <w:pPr>
        <w:pStyle w:val="Sansinterligne"/>
        <w:ind w:left="360"/>
        <w:jc w:val="both"/>
        <w:rPr>
          <w:rFonts w:ascii="Candara" w:hAnsi="Candara"/>
          <w:sz w:val="22"/>
          <w:szCs w:val="22"/>
        </w:rPr>
      </w:pPr>
      <w:r>
        <w:rPr>
          <w:rFonts w:ascii="Candara" w:hAnsi="Candara"/>
          <w:sz w:val="22"/>
          <w:szCs w:val="22"/>
        </w:rPr>
        <w:t>A cet effet, il devra avoir</w:t>
      </w:r>
      <w:r w:rsidR="00E03BED">
        <w:rPr>
          <w:rFonts w:ascii="Candara" w:hAnsi="Candara"/>
          <w:sz w:val="22"/>
          <w:szCs w:val="22"/>
        </w:rPr>
        <w:t xml:space="preserve"> pour ambition de doubler d’ici 2021 le nombre de personnes vivant avec le VIH qui connaissent leur statut ainsi que le nombre de PVVIH sous traitement ARV. Il aura également pour ambition de multiplier par 5 le nombre de PVVIH sous traitement ayant une suppression de la charge virale. </w:t>
      </w:r>
    </w:p>
    <w:p w14:paraId="54D73969" w14:textId="77777777" w:rsidR="00077281" w:rsidRDefault="00077281" w:rsidP="00CF30C0">
      <w:pPr>
        <w:pStyle w:val="Sansinterligne"/>
        <w:ind w:left="360"/>
        <w:jc w:val="both"/>
        <w:rPr>
          <w:rFonts w:ascii="Candara" w:hAnsi="Candara"/>
          <w:sz w:val="22"/>
          <w:szCs w:val="22"/>
        </w:rPr>
      </w:pPr>
    </w:p>
    <w:p w14:paraId="5FC263B5" w14:textId="77777777" w:rsidR="00E03BED" w:rsidRDefault="00E03BED" w:rsidP="00CF30C0">
      <w:pPr>
        <w:pStyle w:val="Sansinterligne"/>
        <w:ind w:left="360"/>
        <w:jc w:val="both"/>
        <w:rPr>
          <w:rFonts w:ascii="Candara" w:hAnsi="Candara"/>
          <w:sz w:val="22"/>
          <w:szCs w:val="22"/>
        </w:rPr>
      </w:pPr>
      <w:r>
        <w:rPr>
          <w:rFonts w:ascii="Candara" w:hAnsi="Candara"/>
          <w:sz w:val="22"/>
          <w:szCs w:val="22"/>
        </w:rPr>
        <w:t xml:space="preserve">Une attention particulière sera accordée aux enfants et aux femmes à travers des approches les ciblant spécifiquement.  </w:t>
      </w:r>
    </w:p>
    <w:p w14:paraId="3F780C8B" w14:textId="77777777" w:rsidR="00077281" w:rsidRDefault="00077281" w:rsidP="00CF30C0">
      <w:pPr>
        <w:pStyle w:val="Sansinterligne"/>
        <w:ind w:left="360"/>
        <w:jc w:val="both"/>
        <w:rPr>
          <w:rFonts w:ascii="Candara" w:hAnsi="Candara"/>
          <w:sz w:val="22"/>
          <w:szCs w:val="22"/>
        </w:rPr>
      </w:pPr>
    </w:p>
    <w:p w14:paraId="7B85F8A6" w14:textId="77777777" w:rsidR="00E03BED" w:rsidRDefault="00E03BED" w:rsidP="00CF30C0">
      <w:pPr>
        <w:pStyle w:val="Sansinterligne"/>
        <w:ind w:left="360"/>
        <w:jc w:val="both"/>
        <w:rPr>
          <w:rFonts w:ascii="Candara" w:hAnsi="Candara"/>
          <w:sz w:val="22"/>
          <w:szCs w:val="22"/>
        </w:rPr>
      </w:pPr>
      <w:r>
        <w:rPr>
          <w:rFonts w:ascii="Candara" w:hAnsi="Candara"/>
          <w:sz w:val="22"/>
          <w:szCs w:val="22"/>
        </w:rPr>
        <w:t xml:space="preserve">Le plan </w:t>
      </w:r>
      <w:r w:rsidR="00423C7F">
        <w:rPr>
          <w:rFonts w:ascii="Candara" w:hAnsi="Candara"/>
          <w:sz w:val="22"/>
          <w:szCs w:val="22"/>
        </w:rPr>
        <w:t>devra également</w:t>
      </w:r>
      <w:r w:rsidR="00077281">
        <w:rPr>
          <w:rFonts w:ascii="Candara" w:hAnsi="Candara"/>
          <w:sz w:val="22"/>
          <w:szCs w:val="22"/>
        </w:rPr>
        <w:t xml:space="preserve"> prévoir</w:t>
      </w:r>
      <w:r>
        <w:rPr>
          <w:rFonts w:ascii="Candara" w:hAnsi="Candara"/>
          <w:sz w:val="22"/>
          <w:szCs w:val="22"/>
        </w:rPr>
        <w:t xml:space="preserve"> de couvrir 90% des populations clés et vulnérables à travers un paquet complet de prévention qui intègre le dépistage du VIH. </w:t>
      </w:r>
    </w:p>
    <w:p w14:paraId="5DA0F56F" w14:textId="77777777" w:rsidR="00077281" w:rsidRDefault="00077281" w:rsidP="00CF30C0">
      <w:pPr>
        <w:pStyle w:val="Sansinterligne"/>
        <w:ind w:left="360"/>
        <w:jc w:val="both"/>
        <w:rPr>
          <w:rFonts w:ascii="Candara" w:hAnsi="Candara"/>
          <w:sz w:val="22"/>
          <w:szCs w:val="22"/>
        </w:rPr>
      </w:pPr>
    </w:p>
    <w:p w14:paraId="02F48A5B" w14:textId="77777777" w:rsidR="00E03BED" w:rsidRDefault="00E03BED" w:rsidP="00CF30C0">
      <w:pPr>
        <w:pStyle w:val="Sansinterligne"/>
        <w:ind w:left="360"/>
        <w:jc w:val="both"/>
        <w:rPr>
          <w:rFonts w:ascii="Candara" w:hAnsi="Candara"/>
          <w:sz w:val="22"/>
          <w:szCs w:val="22"/>
        </w:rPr>
      </w:pPr>
      <w:r>
        <w:rPr>
          <w:rFonts w:ascii="Candara" w:hAnsi="Candara"/>
          <w:sz w:val="22"/>
          <w:szCs w:val="22"/>
        </w:rPr>
        <w:t>Ces ambitieux objectifs justifie</w:t>
      </w:r>
      <w:r w:rsidR="00423C7F">
        <w:rPr>
          <w:rFonts w:ascii="Candara" w:hAnsi="Candara"/>
          <w:sz w:val="22"/>
          <w:szCs w:val="22"/>
        </w:rPr>
        <w:t>ront</w:t>
      </w:r>
      <w:r>
        <w:rPr>
          <w:rFonts w:ascii="Candara" w:hAnsi="Candara"/>
          <w:sz w:val="22"/>
          <w:szCs w:val="22"/>
        </w:rPr>
        <w:t xml:space="preserve"> le ciblage des populations clés et vulnérables selon leur localisation pour obtenir plus d’impact.</w:t>
      </w:r>
    </w:p>
    <w:p w14:paraId="7A6C6F2A" w14:textId="77777777" w:rsidR="00C91CD7" w:rsidRDefault="00C91CD7" w:rsidP="00CF30C0">
      <w:pPr>
        <w:pStyle w:val="Sansinterligne"/>
        <w:ind w:left="360"/>
        <w:jc w:val="both"/>
        <w:rPr>
          <w:rFonts w:ascii="Candara" w:hAnsi="Candara"/>
          <w:sz w:val="22"/>
          <w:szCs w:val="22"/>
        </w:rPr>
      </w:pPr>
    </w:p>
    <w:p w14:paraId="2CF1A19C" w14:textId="77777777" w:rsidR="00C91CD7" w:rsidRDefault="00C91CD7" w:rsidP="00CF30C0">
      <w:pPr>
        <w:pStyle w:val="Sansinterligne"/>
        <w:ind w:left="360"/>
        <w:jc w:val="both"/>
        <w:rPr>
          <w:rFonts w:ascii="Candara" w:hAnsi="Candara"/>
          <w:sz w:val="22"/>
          <w:szCs w:val="22"/>
        </w:rPr>
      </w:pPr>
    </w:p>
    <w:p w14:paraId="4CD1B81C" w14:textId="77777777" w:rsidR="00C91CD7" w:rsidRPr="00C91CD7" w:rsidRDefault="00C91CD7" w:rsidP="00C91CD7">
      <w:pPr>
        <w:widowControl w:val="0"/>
        <w:shd w:val="clear" w:color="auto" w:fill="000000" w:themeFill="text1"/>
        <w:autoSpaceDE w:val="0"/>
        <w:autoSpaceDN w:val="0"/>
        <w:adjustRightInd w:val="0"/>
        <w:spacing w:after="240" w:line="300" w:lineRule="atLeast"/>
        <w:jc w:val="center"/>
        <w:rPr>
          <w:rFonts w:ascii="Arial Black" w:hAnsi="Arial Black" w:cs="Times"/>
        </w:rPr>
      </w:pPr>
      <w:r w:rsidRPr="00C91CD7">
        <w:rPr>
          <w:rFonts w:ascii="Arial Black" w:hAnsi="Arial Black" w:cs="Seravek"/>
          <w:iCs/>
        </w:rPr>
        <w:t>« L’épidémie du sida peut être mieux contrôlée dans la société si toutes les personnes infectées par le VIH connaissent leur statut sérologique et sont mises systématiquement sous traitement antirétroviral (TAR) » ONUSIDA</w:t>
      </w:r>
    </w:p>
    <w:p w14:paraId="3F832489" w14:textId="77777777" w:rsidR="00E03BED" w:rsidRDefault="00E03BED" w:rsidP="00423C7F">
      <w:pPr>
        <w:pStyle w:val="Sansinterligne"/>
        <w:ind w:left="720"/>
        <w:rPr>
          <w:rFonts w:ascii="Candara" w:hAnsi="Candara"/>
          <w:sz w:val="22"/>
          <w:szCs w:val="22"/>
        </w:rPr>
      </w:pPr>
      <w:bookmarkStart w:id="28" w:name="_GoBack"/>
      <w:bookmarkEnd w:id="28"/>
    </w:p>
    <w:p w14:paraId="251D6547" w14:textId="77777777" w:rsidR="00FC7A73" w:rsidRDefault="00FC7A73"/>
    <w:sectPr w:rsidR="00FC7A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13">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45 Light">
    <w:altName w:val="Cambria"/>
    <w:panose1 w:val="020B0403020202020204"/>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ravek">
    <w:panose1 w:val="020B0503040000020004"/>
    <w:charset w:val="00"/>
    <w:family w:val="swiss"/>
    <w:pitch w:val="variable"/>
    <w:sig w:usb0="A00000EF" w:usb1="5000207B"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A66"/>
    <w:multiLevelType w:val="hybridMultilevel"/>
    <w:tmpl w:val="855EE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9455DF"/>
    <w:multiLevelType w:val="hybridMultilevel"/>
    <w:tmpl w:val="153AAD88"/>
    <w:lvl w:ilvl="0" w:tplc="BBF2CBA8">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8A296B"/>
    <w:multiLevelType w:val="hybridMultilevel"/>
    <w:tmpl w:val="4B347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735522"/>
    <w:multiLevelType w:val="hybridMultilevel"/>
    <w:tmpl w:val="F91A0358"/>
    <w:lvl w:ilvl="0" w:tplc="040C000B">
      <w:start w:val="1"/>
      <w:numFmt w:val="bullet"/>
      <w:lvlText w:val=""/>
      <w:lvlJc w:val="left"/>
      <w:pPr>
        <w:ind w:left="1565" w:hanging="360"/>
      </w:pPr>
      <w:rPr>
        <w:rFonts w:ascii="Wingdings" w:hAnsi="Wingdings" w:hint="default"/>
      </w:rPr>
    </w:lvl>
    <w:lvl w:ilvl="1" w:tplc="040C0003" w:tentative="1">
      <w:start w:val="1"/>
      <w:numFmt w:val="bullet"/>
      <w:lvlText w:val="o"/>
      <w:lvlJc w:val="left"/>
      <w:pPr>
        <w:ind w:left="2285" w:hanging="360"/>
      </w:pPr>
      <w:rPr>
        <w:rFonts w:ascii="Courier New" w:hAnsi="Courier New" w:cs="Courier New" w:hint="default"/>
      </w:rPr>
    </w:lvl>
    <w:lvl w:ilvl="2" w:tplc="040C0005" w:tentative="1">
      <w:start w:val="1"/>
      <w:numFmt w:val="bullet"/>
      <w:lvlText w:val=""/>
      <w:lvlJc w:val="left"/>
      <w:pPr>
        <w:ind w:left="3005" w:hanging="360"/>
      </w:pPr>
      <w:rPr>
        <w:rFonts w:ascii="Wingdings" w:hAnsi="Wingdings" w:hint="default"/>
      </w:rPr>
    </w:lvl>
    <w:lvl w:ilvl="3" w:tplc="040C0001" w:tentative="1">
      <w:start w:val="1"/>
      <w:numFmt w:val="bullet"/>
      <w:lvlText w:val=""/>
      <w:lvlJc w:val="left"/>
      <w:pPr>
        <w:ind w:left="3725" w:hanging="360"/>
      </w:pPr>
      <w:rPr>
        <w:rFonts w:ascii="Symbol" w:hAnsi="Symbol" w:hint="default"/>
      </w:rPr>
    </w:lvl>
    <w:lvl w:ilvl="4" w:tplc="040C0003" w:tentative="1">
      <w:start w:val="1"/>
      <w:numFmt w:val="bullet"/>
      <w:lvlText w:val="o"/>
      <w:lvlJc w:val="left"/>
      <w:pPr>
        <w:ind w:left="4445" w:hanging="360"/>
      </w:pPr>
      <w:rPr>
        <w:rFonts w:ascii="Courier New" w:hAnsi="Courier New" w:cs="Courier New" w:hint="default"/>
      </w:rPr>
    </w:lvl>
    <w:lvl w:ilvl="5" w:tplc="040C0005" w:tentative="1">
      <w:start w:val="1"/>
      <w:numFmt w:val="bullet"/>
      <w:lvlText w:val=""/>
      <w:lvlJc w:val="left"/>
      <w:pPr>
        <w:ind w:left="5165" w:hanging="360"/>
      </w:pPr>
      <w:rPr>
        <w:rFonts w:ascii="Wingdings" w:hAnsi="Wingdings" w:hint="default"/>
      </w:rPr>
    </w:lvl>
    <w:lvl w:ilvl="6" w:tplc="040C0001" w:tentative="1">
      <w:start w:val="1"/>
      <w:numFmt w:val="bullet"/>
      <w:lvlText w:val=""/>
      <w:lvlJc w:val="left"/>
      <w:pPr>
        <w:ind w:left="5885" w:hanging="360"/>
      </w:pPr>
      <w:rPr>
        <w:rFonts w:ascii="Symbol" w:hAnsi="Symbol" w:hint="default"/>
      </w:rPr>
    </w:lvl>
    <w:lvl w:ilvl="7" w:tplc="040C0003" w:tentative="1">
      <w:start w:val="1"/>
      <w:numFmt w:val="bullet"/>
      <w:lvlText w:val="o"/>
      <w:lvlJc w:val="left"/>
      <w:pPr>
        <w:ind w:left="6605" w:hanging="360"/>
      </w:pPr>
      <w:rPr>
        <w:rFonts w:ascii="Courier New" w:hAnsi="Courier New" w:cs="Courier New" w:hint="default"/>
      </w:rPr>
    </w:lvl>
    <w:lvl w:ilvl="8" w:tplc="040C0005" w:tentative="1">
      <w:start w:val="1"/>
      <w:numFmt w:val="bullet"/>
      <w:lvlText w:val=""/>
      <w:lvlJc w:val="left"/>
      <w:pPr>
        <w:ind w:left="7325" w:hanging="360"/>
      </w:pPr>
      <w:rPr>
        <w:rFonts w:ascii="Wingdings" w:hAnsi="Wingdings" w:hint="default"/>
      </w:rPr>
    </w:lvl>
  </w:abstractNum>
  <w:abstractNum w:abstractNumId="4" w15:restartNumberingAfterBreak="0">
    <w:nsid w:val="053F6301"/>
    <w:multiLevelType w:val="hybridMultilevel"/>
    <w:tmpl w:val="B82622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903A25"/>
    <w:multiLevelType w:val="hybridMultilevel"/>
    <w:tmpl w:val="BF54A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2C7D3F"/>
    <w:multiLevelType w:val="hybridMultilevel"/>
    <w:tmpl w:val="41F25104"/>
    <w:lvl w:ilvl="0" w:tplc="2FC27746">
      <w:numFmt w:val="bullet"/>
      <w:lvlText w:val="-"/>
      <w:lvlJc w:val="left"/>
      <w:pPr>
        <w:ind w:left="1080" w:hanging="360"/>
      </w:pPr>
      <w:rPr>
        <w:rFonts w:ascii="13" w:eastAsia="Calibri" w:hAnsi="13"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6027354"/>
    <w:multiLevelType w:val="hybridMultilevel"/>
    <w:tmpl w:val="39664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D51E70"/>
    <w:multiLevelType w:val="hybridMultilevel"/>
    <w:tmpl w:val="A6F6A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272D4B"/>
    <w:multiLevelType w:val="hybridMultilevel"/>
    <w:tmpl w:val="BF42C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823741"/>
    <w:multiLevelType w:val="hybridMultilevel"/>
    <w:tmpl w:val="EB1C2B4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33C94"/>
    <w:multiLevelType w:val="hybridMultilevel"/>
    <w:tmpl w:val="5E1E3CA0"/>
    <w:lvl w:ilvl="0" w:tplc="BBF2CBA8">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037708"/>
    <w:multiLevelType w:val="hybridMultilevel"/>
    <w:tmpl w:val="6CB24632"/>
    <w:lvl w:ilvl="0" w:tplc="BBF2CBA8">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2C7D33"/>
    <w:multiLevelType w:val="hybridMultilevel"/>
    <w:tmpl w:val="BE1E0BD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622416"/>
    <w:multiLevelType w:val="hybridMultilevel"/>
    <w:tmpl w:val="4BC41A3E"/>
    <w:lvl w:ilvl="0" w:tplc="BBF2CBA8">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E66AAF"/>
    <w:multiLevelType w:val="hybridMultilevel"/>
    <w:tmpl w:val="0B46C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296309"/>
    <w:multiLevelType w:val="hybridMultilevel"/>
    <w:tmpl w:val="205267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850643"/>
    <w:multiLevelType w:val="hybridMultilevel"/>
    <w:tmpl w:val="574EB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A07B6C"/>
    <w:multiLevelType w:val="hybridMultilevel"/>
    <w:tmpl w:val="84320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F65FA1"/>
    <w:multiLevelType w:val="hybridMultilevel"/>
    <w:tmpl w:val="BBA8A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261C2D"/>
    <w:multiLevelType w:val="hybridMultilevel"/>
    <w:tmpl w:val="6122E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0D2422"/>
    <w:multiLevelType w:val="hybridMultilevel"/>
    <w:tmpl w:val="CD8AC09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59542A8"/>
    <w:multiLevelType w:val="hybridMultilevel"/>
    <w:tmpl w:val="ADBA2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8277C58"/>
    <w:multiLevelType w:val="hybridMultilevel"/>
    <w:tmpl w:val="11EAB728"/>
    <w:lvl w:ilvl="0" w:tplc="E7B0D630">
      <w:start w:val="1"/>
      <w:numFmt w:val="bullet"/>
      <w:lvlText w:val=""/>
      <w:lvlJc w:val="left"/>
      <w:pPr>
        <w:tabs>
          <w:tab w:val="num" w:pos="720"/>
        </w:tabs>
        <w:ind w:left="720" w:hanging="360"/>
      </w:pPr>
      <w:rPr>
        <w:rFonts w:ascii="Wingdings 3" w:hAnsi="Wingdings 3" w:hint="default"/>
      </w:rPr>
    </w:lvl>
    <w:lvl w:ilvl="1" w:tplc="9CE6BDC6" w:tentative="1">
      <w:start w:val="1"/>
      <w:numFmt w:val="bullet"/>
      <w:lvlText w:val=""/>
      <w:lvlJc w:val="left"/>
      <w:pPr>
        <w:tabs>
          <w:tab w:val="num" w:pos="1440"/>
        </w:tabs>
        <w:ind w:left="1440" w:hanging="360"/>
      </w:pPr>
      <w:rPr>
        <w:rFonts w:ascii="Wingdings 3" w:hAnsi="Wingdings 3" w:hint="default"/>
      </w:rPr>
    </w:lvl>
    <w:lvl w:ilvl="2" w:tplc="DFC29E30" w:tentative="1">
      <w:start w:val="1"/>
      <w:numFmt w:val="bullet"/>
      <w:lvlText w:val=""/>
      <w:lvlJc w:val="left"/>
      <w:pPr>
        <w:tabs>
          <w:tab w:val="num" w:pos="2160"/>
        </w:tabs>
        <w:ind w:left="2160" w:hanging="360"/>
      </w:pPr>
      <w:rPr>
        <w:rFonts w:ascii="Wingdings 3" w:hAnsi="Wingdings 3" w:hint="default"/>
      </w:rPr>
    </w:lvl>
    <w:lvl w:ilvl="3" w:tplc="1734AB20" w:tentative="1">
      <w:start w:val="1"/>
      <w:numFmt w:val="bullet"/>
      <w:lvlText w:val=""/>
      <w:lvlJc w:val="left"/>
      <w:pPr>
        <w:tabs>
          <w:tab w:val="num" w:pos="2880"/>
        </w:tabs>
        <w:ind w:left="2880" w:hanging="360"/>
      </w:pPr>
      <w:rPr>
        <w:rFonts w:ascii="Wingdings 3" w:hAnsi="Wingdings 3" w:hint="default"/>
      </w:rPr>
    </w:lvl>
    <w:lvl w:ilvl="4" w:tplc="54582150" w:tentative="1">
      <w:start w:val="1"/>
      <w:numFmt w:val="bullet"/>
      <w:lvlText w:val=""/>
      <w:lvlJc w:val="left"/>
      <w:pPr>
        <w:tabs>
          <w:tab w:val="num" w:pos="3600"/>
        </w:tabs>
        <w:ind w:left="3600" w:hanging="360"/>
      </w:pPr>
      <w:rPr>
        <w:rFonts w:ascii="Wingdings 3" w:hAnsi="Wingdings 3" w:hint="default"/>
      </w:rPr>
    </w:lvl>
    <w:lvl w:ilvl="5" w:tplc="67545CBE" w:tentative="1">
      <w:start w:val="1"/>
      <w:numFmt w:val="bullet"/>
      <w:lvlText w:val=""/>
      <w:lvlJc w:val="left"/>
      <w:pPr>
        <w:tabs>
          <w:tab w:val="num" w:pos="4320"/>
        </w:tabs>
        <w:ind w:left="4320" w:hanging="360"/>
      </w:pPr>
      <w:rPr>
        <w:rFonts w:ascii="Wingdings 3" w:hAnsi="Wingdings 3" w:hint="default"/>
      </w:rPr>
    </w:lvl>
    <w:lvl w:ilvl="6" w:tplc="7CEA94F2" w:tentative="1">
      <w:start w:val="1"/>
      <w:numFmt w:val="bullet"/>
      <w:lvlText w:val=""/>
      <w:lvlJc w:val="left"/>
      <w:pPr>
        <w:tabs>
          <w:tab w:val="num" w:pos="5040"/>
        </w:tabs>
        <w:ind w:left="5040" w:hanging="360"/>
      </w:pPr>
      <w:rPr>
        <w:rFonts w:ascii="Wingdings 3" w:hAnsi="Wingdings 3" w:hint="default"/>
      </w:rPr>
    </w:lvl>
    <w:lvl w:ilvl="7" w:tplc="A574F85A" w:tentative="1">
      <w:start w:val="1"/>
      <w:numFmt w:val="bullet"/>
      <w:lvlText w:val=""/>
      <w:lvlJc w:val="left"/>
      <w:pPr>
        <w:tabs>
          <w:tab w:val="num" w:pos="5760"/>
        </w:tabs>
        <w:ind w:left="5760" w:hanging="360"/>
      </w:pPr>
      <w:rPr>
        <w:rFonts w:ascii="Wingdings 3" w:hAnsi="Wingdings 3" w:hint="default"/>
      </w:rPr>
    </w:lvl>
    <w:lvl w:ilvl="8" w:tplc="25BCED3A"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3CF00CC6"/>
    <w:multiLevelType w:val="hybridMultilevel"/>
    <w:tmpl w:val="503C7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B710BB"/>
    <w:multiLevelType w:val="hybridMultilevel"/>
    <w:tmpl w:val="0218D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CC2137"/>
    <w:multiLevelType w:val="hybridMultilevel"/>
    <w:tmpl w:val="04488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2946BE"/>
    <w:multiLevelType w:val="hybridMultilevel"/>
    <w:tmpl w:val="3AD8B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666D2F"/>
    <w:multiLevelType w:val="hybridMultilevel"/>
    <w:tmpl w:val="E1365A48"/>
    <w:lvl w:ilvl="0" w:tplc="D9CAAB94">
      <w:start w:val="1"/>
      <w:numFmt w:val="bullet"/>
      <w:lvlText w:val=""/>
      <w:lvlJc w:val="left"/>
      <w:pPr>
        <w:tabs>
          <w:tab w:val="num" w:pos="720"/>
        </w:tabs>
        <w:ind w:left="720" w:hanging="360"/>
      </w:pPr>
      <w:rPr>
        <w:rFonts w:ascii="Wingdings 3" w:hAnsi="Wingdings 3" w:hint="default"/>
      </w:rPr>
    </w:lvl>
    <w:lvl w:ilvl="1" w:tplc="F808CD84" w:tentative="1">
      <w:start w:val="1"/>
      <w:numFmt w:val="bullet"/>
      <w:lvlText w:val=""/>
      <w:lvlJc w:val="left"/>
      <w:pPr>
        <w:tabs>
          <w:tab w:val="num" w:pos="1440"/>
        </w:tabs>
        <w:ind w:left="1440" w:hanging="360"/>
      </w:pPr>
      <w:rPr>
        <w:rFonts w:ascii="Wingdings 3" w:hAnsi="Wingdings 3" w:hint="default"/>
      </w:rPr>
    </w:lvl>
    <w:lvl w:ilvl="2" w:tplc="CE80B546" w:tentative="1">
      <w:start w:val="1"/>
      <w:numFmt w:val="bullet"/>
      <w:lvlText w:val=""/>
      <w:lvlJc w:val="left"/>
      <w:pPr>
        <w:tabs>
          <w:tab w:val="num" w:pos="2160"/>
        </w:tabs>
        <w:ind w:left="2160" w:hanging="360"/>
      </w:pPr>
      <w:rPr>
        <w:rFonts w:ascii="Wingdings 3" w:hAnsi="Wingdings 3" w:hint="default"/>
      </w:rPr>
    </w:lvl>
    <w:lvl w:ilvl="3" w:tplc="D7509610" w:tentative="1">
      <w:start w:val="1"/>
      <w:numFmt w:val="bullet"/>
      <w:lvlText w:val=""/>
      <w:lvlJc w:val="left"/>
      <w:pPr>
        <w:tabs>
          <w:tab w:val="num" w:pos="2880"/>
        </w:tabs>
        <w:ind w:left="2880" w:hanging="360"/>
      </w:pPr>
      <w:rPr>
        <w:rFonts w:ascii="Wingdings 3" w:hAnsi="Wingdings 3" w:hint="default"/>
      </w:rPr>
    </w:lvl>
    <w:lvl w:ilvl="4" w:tplc="54442B44" w:tentative="1">
      <w:start w:val="1"/>
      <w:numFmt w:val="bullet"/>
      <w:lvlText w:val=""/>
      <w:lvlJc w:val="left"/>
      <w:pPr>
        <w:tabs>
          <w:tab w:val="num" w:pos="3600"/>
        </w:tabs>
        <w:ind w:left="3600" w:hanging="360"/>
      </w:pPr>
      <w:rPr>
        <w:rFonts w:ascii="Wingdings 3" w:hAnsi="Wingdings 3" w:hint="default"/>
      </w:rPr>
    </w:lvl>
    <w:lvl w:ilvl="5" w:tplc="3BCA2AA0" w:tentative="1">
      <w:start w:val="1"/>
      <w:numFmt w:val="bullet"/>
      <w:lvlText w:val=""/>
      <w:lvlJc w:val="left"/>
      <w:pPr>
        <w:tabs>
          <w:tab w:val="num" w:pos="4320"/>
        </w:tabs>
        <w:ind w:left="4320" w:hanging="360"/>
      </w:pPr>
      <w:rPr>
        <w:rFonts w:ascii="Wingdings 3" w:hAnsi="Wingdings 3" w:hint="default"/>
      </w:rPr>
    </w:lvl>
    <w:lvl w:ilvl="6" w:tplc="88A6CFDC" w:tentative="1">
      <w:start w:val="1"/>
      <w:numFmt w:val="bullet"/>
      <w:lvlText w:val=""/>
      <w:lvlJc w:val="left"/>
      <w:pPr>
        <w:tabs>
          <w:tab w:val="num" w:pos="5040"/>
        </w:tabs>
        <w:ind w:left="5040" w:hanging="360"/>
      </w:pPr>
      <w:rPr>
        <w:rFonts w:ascii="Wingdings 3" w:hAnsi="Wingdings 3" w:hint="default"/>
      </w:rPr>
    </w:lvl>
    <w:lvl w:ilvl="7" w:tplc="E16EEB7E" w:tentative="1">
      <w:start w:val="1"/>
      <w:numFmt w:val="bullet"/>
      <w:lvlText w:val=""/>
      <w:lvlJc w:val="left"/>
      <w:pPr>
        <w:tabs>
          <w:tab w:val="num" w:pos="5760"/>
        </w:tabs>
        <w:ind w:left="5760" w:hanging="360"/>
      </w:pPr>
      <w:rPr>
        <w:rFonts w:ascii="Wingdings 3" w:hAnsi="Wingdings 3" w:hint="default"/>
      </w:rPr>
    </w:lvl>
    <w:lvl w:ilvl="8" w:tplc="F1F8769E"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4AA7292D"/>
    <w:multiLevelType w:val="hybridMultilevel"/>
    <w:tmpl w:val="2F3CA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051071"/>
    <w:multiLevelType w:val="hybridMultilevel"/>
    <w:tmpl w:val="F4B44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6702DE"/>
    <w:multiLevelType w:val="hybridMultilevel"/>
    <w:tmpl w:val="68C26960"/>
    <w:lvl w:ilvl="0" w:tplc="BBF2CBA8">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C747D9"/>
    <w:multiLevelType w:val="hybridMultilevel"/>
    <w:tmpl w:val="197C2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8434F75"/>
    <w:multiLevelType w:val="hybridMultilevel"/>
    <w:tmpl w:val="05062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0A7A63"/>
    <w:multiLevelType w:val="hybridMultilevel"/>
    <w:tmpl w:val="05DC0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4265FF0"/>
    <w:multiLevelType w:val="hybridMultilevel"/>
    <w:tmpl w:val="6CFA4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6D64E6"/>
    <w:multiLevelType w:val="hybridMultilevel"/>
    <w:tmpl w:val="CE9AA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D03B68"/>
    <w:multiLevelType w:val="hybridMultilevel"/>
    <w:tmpl w:val="78D89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D6E5A82"/>
    <w:multiLevelType w:val="hybridMultilevel"/>
    <w:tmpl w:val="E4809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FF54CE0"/>
    <w:multiLevelType w:val="hybridMultilevel"/>
    <w:tmpl w:val="03E48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AE0397"/>
    <w:multiLevelType w:val="hybridMultilevel"/>
    <w:tmpl w:val="A3B614D8"/>
    <w:lvl w:ilvl="0" w:tplc="040C0001">
      <w:start w:val="1"/>
      <w:numFmt w:val="bullet"/>
      <w:lvlText w:val=""/>
      <w:lvlJc w:val="left"/>
      <w:pPr>
        <w:ind w:left="730" w:hanging="360"/>
      </w:pPr>
      <w:rPr>
        <w:rFonts w:ascii="Symbol" w:hAnsi="Symbol" w:hint="default"/>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41" w15:restartNumberingAfterBreak="0">
    <w:nsid w:val="736D7EC1"/>
    <w:multiLevelType w:val="hybridMultilevel"/>
    <w:tmpl w:val="89E6E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BD428D"/>
    <w:multiLevelType w:val="hybridMultilevel"/>
    <w:tmpl w:val="CE2AB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9F1699D"/>
    <w:multiLevelType w:val="hybridMultilevel"/>
    <w:tmpl w:val="FBF6D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4"/>
  </w:num>
  <w:num w:numId="4">
    <w:abstractNumId w:val="24"/>
  </w:num>
  <w:num w:numId="5">
    <w:abstractNumId w:val="10"/>
  </w:num>
  <w:num w:numId="6">
    <w:abstractNumId w:val="27"/>
  </w:num>
  <w:num w:numId="7">
    <w:abstractNumId w:val="18"/>
  </w:num>
  <w:num w:numId="8">
    <w:abstractNumId w:val="32"/>
  </w:num>
  <w:num w:numId="9">
    <w:abstractNumId w:val="34"/>
  </w:num>
  <w:num w:numId="10">
    <w:abstractNumId w:val="15"/>
  </w:num>
  <w:num w:numId="11">
    <w:abstractNumId w:val="43"/>
  </w:num>
  <w:num w:numId="12">
    <w:abstractNumId w:val="5"/>
  </w:num>
  <w:num w:numId="13">
    <w:abstractNumId w:val="42"/>
  </w:num>
  <w:num w:numId="14">
    <w:abstractNumId w:val="22"/>
  </w:num>
  <w:num w:numId="15">
    <w:abstractNumId w:val="7"/>
  </w:num>
  <w:num w:numId="16">
    <w:abstractNumId w:val="13"/>
  </w:num>
  <w:num w:numId="17">
    <w:abstractNumId w:val="37"/>
  </w:num>
  <w:num w:numId="18">
    <w:abstractNumId w:val="36"/>
  </w:num>
  <w:num w:numId="19">
    <w:abstractNumId w:val="29"/>
  </w:num>
  <w:num w:numId="20">
    <w:abstractNumId w:val="41"/>
  </w:num>
  <w:num w:numId="21">
    <w:abstractNumId w:val="0"/>
  </w:num>
  <w:num w:numId="22">
    <w:abstractNumId w:val="2"/>
  </w:num>
  <w:num w:numId="23">
    <w:abstractNumId w:val="16"/>
  </w:num>
  <w:num w:numId="24">
    <w:abstractNumId w:val="11"/>
  </w:num>
  <w:num w:numId="25">
    <w:abstractNumId w:val="12"/>
  </w:num>
  <w:num w:numId="26">
    <w:abstractNumId w:val="17"/>
  </w:num>
  <w:num w:numId="27">
    <w:abstractNumId w:val="38"/>
  </w:num>
  <w:num w:numId="28">
    <w:abstractNumId w:val="14"/>
  </w:num>
  <w:num w:numId="29">
    <w:abstractNumId w:val="31"/>
  </w:num>
  <w:num w:numId="30">
    <w:abstractNumId w:val="1"/>
  </w:num>
  <w:num w:numId="31">
    <w:abstractNumId w:val="35"/>
  </w:num>
  <w:num w:numId="32">
    <w:abstractNumId w:val="26"/>
  </w:num>
  <w:num w:numId="33">
    <w:abstractNumId w:val="25"/>
  </w:num>
  <w:num w:numId="34">
    <w:abstractNumId w:val="19"/>
  </w:num>
  <w:num w:numId="35">
    <w:abstractNumId w:val="39"/>
  </w:num>
  <w:num w:numId="36">
    <w:abstractNumId w:val="8"/>
  </w:num>
  <w:num w:numId="37">
    <w:abstractNumId w:val="33"/>
  </w:num>
  <w:num w:numId="38">
    <w:abstractNumId w:val="23"/>
  </w:num>
  <w:num w:numId="39">
    <w:abstractNumId w:val="20"/>
  </w:num>
  <w:num w:numId="40">
    <w:abstractNumId w:val="28"/>
  </w:num>
  <w:num w:numId="41">
    <w:abstractNumId w:val="3"/>
  </w:num>
  <w:num w:numId="42">
    <w:abstractNumId w:val="40"/>
  </w:num>
  <w:num w:numId="43">
    <w:abstractNumId w:val="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BED"/>
    <w:rsid w:val="00077281"/>
    <w:rsid w:val="000F623D"/>
    <w:rsid w:val="00155C94"/>
    <w:rsid w:val="00194F22"/>
    <w:rsid w:val="002635B0"/>
    <w:rsid w:val="00293328"/>
    <w:rsid w:val="00414DC5"/>
    <w:rsid w:val="00423C7F"/>
    <w:rsid w:val="004F5FDB"/>
    <w:rsid w:val="0055414B"/>
    <w:rsid w:val="00601DE6"/>
    <w:rsid w:val="00724AE1"/>
    <w:rsid w:val="00A40EC3"/>
    <w:rsid w:val="00AD12B5"/>
    <w:rsid w:val="00B66401"/>
    <w:rsid w:val="00BA21A0"/>
    <w:rsid w:val="00C35A2E"/>
    <w:rsid w:val="00C91CD7"/>
    <w:rsid w:val="00CF30C0"/>
    <w:rsid w:val="00D9122B"/>
    <w:rsid w:val="00E03BED"/>
    <w:rsid w:val="00EC3262"/>
    <w:rsid w:val="00FC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D222"/>
  <w15:chartTrackingRefBased/>
  <w15:docId w15:val="{36300E45-D146-4266-B230-535F4F8E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BED"/>
    <w:pPr>
      <w:spacing w:after="0" w:line="240" w:lineRule="auto"/>
    </w:pPr>
    <w:rPr>
      <w:rFonts w:eastAsiaTheme="minorEastAsia"/>
      <w:sz w:val="24"/>
      <w:szCs w:val="24"/>
      <w:lang w:val="fr-FR" w:eastAsia="fr-FR"/>
    </w:rPr>
  </w:style>
  <w:style w:type="paragraph" w:styleId="Titre1">
    <w:name w:val="heading 1"/>
    <w:basedOn w:val="Normal"/>
    <w:next w:val="Normal"/>
    <w:link w:val="Titre1Car"/>
    <w:uiPriority w:val="1"/>
    <w:qFormat/>
    <w:rsid w:val="00E03BED"/>
    <w:pPr>
      <w:keepNext/>
      <w:keepLines/>
      <w:spacing w:before="240" w:after="120" w:line="276" w:lineRule="auto"/>
      <w:ind w:left="432" w:hanging="432"/>
      <w:jc w:val="both"/>
      <w:outlineLvl w:val="0"/>
    </w:pPr>
    <w:rPr>
      <w:rFonts w:asciiTheme="majorBidi" w:eastAsiaTheme="majorEastAsia" w:hAnsiTheme="majorBidi" w:cstheme="majorBidi"/>
      <w:b/>
      <w:bCs/>
      <w:color w:val="2D4F8E" w:themeColor="accent1" w:themeShade="B5"/>
      <w:sz w:val="32"/>
      <w:szCs w:val="32"/>
    </w:rPr>
  </w:style>
  <w:style w:type="paragraph" w:styleId="Titre2">
    <w:name w:val="heading 2"/>
    <w:basedOn w:val="Normal"/>
    <w:next w:val="Normal"/>
    <w:link w:val="Titre2Car"/>
    <w:uiPriority w:val="9"/>
    <w:unhideWhenUsed/>
    <w:qFormat/>
    <w:rsid w:val="00E03BED"/>
    <w:pPr>
      <w:keepNext/>
      <w:keepLines/>
      <w:tabs>
        <w:tab w:val="left" w:pos="993"/>
      </w:tabs>
      <w:spacing w:before="40" w:line="276" w:lineRule="auto"/>
      <w:outlineLvl w:val="1"/>
    </w:pPr>
    <w:rPr>
      <w:rFonts w:asciiTheme="majorBidi" w:eastAsiaTheme="majorEastAsia" w:hAnsiTheme="majorBidi" w:cstheme="majorBidi"/>
      <w:b/>
      <w:bCs/>
      <w:color w:val="2D4F8E" w:themeColor="accent1" w:themeShade="B5"/>
      <w:sz w:val="32"/>
      <w:szCs w:val="32"/>
    </w:rPr>
  </w:style>
  <w:style w:type="paragraph" w:styleId="Titre5">
    <w:name w:val="heading 5"/>
    <w:basedOn w:val="Normal"/>
    <w:next w:val="Normal"/>
    <w:link w:val="Titre5Car"/>
    <w:uiPriority w:val="9"/>
    <w:semiHidden/>
    <w:unhideWhenUsed/>
    <w:qFormat/>
    <w:rsid w:val="00E03BED"/>
    <w:pPr>
      <w:keepNext/>
      <w:keepLines/>
      <w:spacing w:before="200"/>
      <w:outlineLvl w:val="4"/>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03BED"/>
    <w:rPr>
      <w:rFonts w:asciiTheme="majorBidi" w:eastAsiaTheme="majorEastAsia" w:hAnsiTheme="majorBidi" w:cstheme="majorBidi"/>
      <w:b/>
      <w:bCs/>
      <w:color w:val="2D4F8E" w:themeColor="accent1" w:themeShade="B5"/>
      <w:sz w:val="32"/>
      <w:szCs w:val="32"/>
      <w:lang w:val="fr-FR" w:eastAsia="fr-FR"/>
    </w:rPr>
  </w:style>
  <w:style w:type="character" w:customStyle="1" w:styleId="Titre2Car">
    <w:name w:val="Titre 2 Car"/>
    <w:basedOn w:val="Policepardfaut"/>
    <w:link w:val="Titre2"/>
    <w:uiPriority w:val="9"/>
    <w:rsid w:val="00E03BED"/>
    <w:rPr>
      <w:rFonts w:asciiTheme="majorBidi" w:eastAsiaTheme="majorEastAsia" w:hAnsiTheme="majorBidi" w:cstheme="majorBidi"/>
      <w:b/>
      <w:bCs/>
      <w:color w:val="2D4F8E" w:themeColor="accent1" w:themeShade="B5"/>
      <w:sz w:val="32"/>
      <w:szCs w:val="32"/>
      <w:lang w:val="fr-FR" w:eastAsia="fr-FR"/>
    </w:rPr>
  </w:style>
  <w:style w:type="character" w:customStyle="1" w:styleId="Titre5Car">
    <w:name w:val="Titre 5 Car"/>
    <w:basedOn w:val="Policepardfaut"/>
    <w:link w:val="Titre5"/>
    <w:uiPriority w:val="9"/>
    <w:semiHidden/>
    <w:rsid w:val="00E03BED"/>
    <w:rPr>
      <w:rFonts w:asciiTheme="majorHAnsi" w:eastAsiaTheme="majorEastAsia" w:hAnsiTheme="majorHAnsi" w:cstheme="majorBidi"/>
      <w:color w:val="1F3763" w:themeColor="accent1" w:themeShade="7F"/>
      <w:sz w:val="24"/>
      <w:szCs w:val="24"/>
      <w:lang w:val="fr-FR" w:eastAsia="fr-FR"/>
    </w:rPr>
  </w:style>
  <w:style w:type="paragraph" w:styleId="En-ttedetabledesmatires">
    <w:name w:val="TOC Heading"/>
    <w:basedOn w:val="Titre1"/>
    <w:next w:val="Normal"/>
    <w:uiPriority w:val="39"/>
    <w:unhideWhenUsed/>
    <w:qFormat/>
    <w:rsid w:val="00E03BED"/>
    <w:pPr>
      <w:spacing w:line="259" w:lineRule="auto"/>
      <w:outlineLvl w:val="9"/>
    </w:pPr>
    <w:rPr>
      <w:b w:val="0"/>
      <w:bCs w:val="0"/>
      <w:color w:val="2F5496" w:themeColor="accent1" w:themeShade="BF"/>
    </w:rPr>
  </w:style>
  <w:style w:type="paragraph" w:styleId="TM1">
    <w:name w:val="toc 1"/>
    <w:basedOn w:val="Normal"/>
    <w:next w:val="Normal"/>
    <w:autoRedefine/>
    <w:uiPriority w:val="39"/>
    <w:unhideWhenUsed/>
    <w:rsid w:val="00E03BED"/>
    <w:pPr>
      <w:spacing w:before="120"/>
    </w:pPr>
    <w:rPr>
      <w:rFonts w:asciiTheme="majorHAnsi" w:hAnsiTheme="majorHAnsi"/>
      <w:b/>
      <w:color w:val="548DD4"/>
    </w:rPr>
  </w:style>
  <w:style w:type="paragraph" w:styleId="TM2">
    <w:name w:val="toc 2"/>
    <w:basedOn w:val="Normal"/>
    <w:next w:val="Normal"/>
    <w:autoRedefine/>
    <w:uiPriority w:val="39"/>
    <w:unhideWhenUsed/>
    <w:rsid w:val="00E03BED"/>
    <w:rPr>
      <w:sz w:val="22"/>
      <w:szCs w:val="22"/>
    </w:rPr>
  </w:style>
  <w:style w:type="character" w:styleId="Lienhypertexte">
    <w:name w:val="Hyperlink"/>
    <w:basedOn w:val="Policepardfaut"/>
    <w:uiPriority w:val="99"/>
    <w:unhideWhenUsed/>
    <w:rsid w:val="00E03BED"/>
    <w:rPr>
      <w:color w:val="0563C1" w:themeColor="hyperlink"/>
      <w:u w:val="single"/>
    </w:rPr>
  </w:style>
  <w:style w:type="paragraph" w:styleId="Textedebulles">
    <w:name w:val="Balloon Text"/>
    <w:basedOn w:val="Normal"/>
    <w:link w:val="TextedebullesCar"/>
    <w:uiPriority w:val="99"/>
    <w:semiHidden/>
    <w:unhideWhenUsed/>
    <w:rsid w:val="00E03BE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03BED"/>
    <w:rPr>
      <w:rFonts w:ascii="Lucida Grande" w:eastAsiaTheme="minorEastAsia" w:hAnsi="Lucida Grande" w:cs="Lucida Grande"/>
      <w:sz w:val="18"/>
      <w:szCs w:val="18"/>
      <w:lang w:val="fr-FR" w:eastAsia="fr-FR"/>
    </w:rPr>
  </w:style>
  <w:style w:type="paragraph" w:styleId="Lgende">
    <w:name w:val="caption"/>
    <w:basedOn w:val="Normal"/>
    <w:next w:val="Normal"/>
    <w:uiPriority w:val="35"/>
    <w:unhideWhenUsed/>
    <w:qFormat/>
    <w:rsid w:val="00E03BED"/>
    <w:pPr>
      <w:spacing w:after="200"/>
    </w:pPr>
    <w:rPr>
      <w:rFonts w:ascii="Verdana" w:eastAsiaTheme="minorHAnsi" w:hAnsi="Verdana"/>
      <w:i/>
      <w:iCs/>
      <w:color w:val="44546A" w:themeColor="text2"/>
      <w:sz w:val="18"/>
      <w:szCs w:val="18"/>
      <w:lang w:eastAsia="en-US"/>
    </w:rPr>
  </w:style>
  <w:style w:type="paragraph" w:customStyle="1" w:styleId="Default">
    <w:name w:val="Default"/>
    <w:rsid w:val="00E03BED"/>
    <w:pPr>
      <w:autoSpaceDE w:val="0"/>
      <w:autoSpaceDN w:val="0"/>
      <w:adjustRightInd w:val="0"/>
      <w:spacing w:after="0" w:line="240" w:lineRule="auto"/>
    </w:pPr>
    <w:rPr>
      <w:rFonts w:ascii="Helvetica 45 Light" w:eastAsia="Calibri" w:hAnsi="Helvetica 45 Light" w:cs="Helvetica 45 Light"/>
      <w:color w:val="000000"/>
      <w:sz w:val="24"/>
      <w:szCs w:val="24"/>
      <w:lang w:val="fr-FR" w:eastAsia="fr-FR"/>
    </w:rPr>
  </w:style>
  <w:style w:type="paragraph" w:styleId="Sansinterligne">
    <w:name w:val="No Spacing"/>
    <w:link w:val="SansinterligneCar"/>
    <w:uiPriority w:val="1"/>
    <w:qFormat/>
    <w:rsid w:val="00E03BED"/>
    <w:pPr>
      <w:spacing w:after="0" w:line="240" w:lineRule="auto"/>
    </w:pPr>
    <w:rPr>
      <w:rFonts w:eastAsiaTheme="minorEastAsia"/>
      <w:sz w:val="24"/>
      <w:szCs w:val="24"/>
      <w:lang w:val="fr-FR" w:eastAsia="fr-FR"/>
    </w:rPr>
  </w:style>
  <w:style w:type="paragraph" w:styleId="Paragraphedeliste">
    <w:name w:val="List Paragraph"/>
    <w:aliases w:val="References,Paragraphe de liste1,List Paragraph1,Bullets,Liste couleur - Accent 111,List Paragraph nowy,Numbered List Paragraph,List Paragraph (numbered (a)),Colorful List - Accent 11,List Paragraph2,Bullet List,FooterText,????"/>
    <w:basedOn w:val="Normal"/>
    <w:link w:val="ParagraphedelisteCar"/>
    <w:uiPriority w:val="34"/>
    <w:qFormat/>
    <w:rsid w:val="00E03BED"/>
    <w:pPr>
      <w:ind w:left="720"/>
      <w:contextualSpacing/>
    </w:pPr>
  </w:style>
  <w:style w:type="character" w:customStyle="1" w:styleId="ParagraphedelisteCar">
    <w:name w:val="Paragraphe de liste Car"/>
    <w:aliases w:val="References Car,Paragraphe de liste1 Car,List Paragraph1 Car,Bullets Car,Liste couleur - Accent 111 Car,List Paragraph nowy Car,Numbered List Paragraph Car,List Paragraph (numbered (a)) Car,Colorful List - Accent 11 Car,???? Car"/>
    <w:link w:val="Paragraphedeliste"/>
    <w:uiPriority w:val="34"/>
    <w:locked/>
    <w:rsid w:val="00E03BED"/>
    <w:rPr>
      <w:rFonts w:eastAsiaTheme="minorEastAsia"/>
      <w:sz w:val="24"/>
      <w:szCs w:val="24"/>
      <w:lang w:val="fr-FR" w:eastAsia="fr-FR"/>
    </w:rPr>
  </w:style>
  <w:style w:type="table" w:styleId="Grilledutableau">
    <w:name w:val="Table Grid"/>
    <w:basedOn w:val="TableauNormal"/>
    <w:uiPriority w:val="59"/>
    <w:rsid w:val="00E03BED"/>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link w:val="Sansinterligne"/>
    <w:uiPriority w:val="1"/>
    <w:rsid w:val="00E03BED"/>
    <w:rPr>
      <w:rFonts w:eastAsiaTheme="minorEastAsia"/>
      <w:sz w:val="24"/>
      <w:szCs w:val="24"/>
      <w:lang w:val="fr-FR" w:eastAsia="fr-FR"/>
    </w:rPr>
  </w:style>
  <w:style w:type="paragraph" w:styleId="TM3">
    <w:name w:val="toc 3"/>
    <w:basedOn w:val="Normal"/>
    <w:next w:val="Normal"/>
    <w:autoRedefine/>
    <w:uiPriority w:val="39"/>
    <w:unhideWhenUsed/>
    <w:rsid w:val="00E03BED"/>
    <w:pPr>
      <w:ind w:left="240"/>
    </w:pPr>
    <w:rPr>
      <w:i/>
      <w:sz w:val="22"/>
      <w:szCs w:val="22"/>
    </w:rPr>
  </w:style>
  <w:style w:type="paragraph" w:styleId="TM4">
    <w:name w:val="toc 4"/>
    <w:basedOn w:val="Normal"/>
    <w:next w:val="Normal"/>
    <w:autoRedefine/>
    <w:uiPriority w:val="39"/>
    <w:unhideWhenUsed/>
    <w:rsid w:val="00E03BED"/>
    <w:pPr>
      <w:pBdr>
        <w:between w:val="double" w:sz="6" w:space="0" w:color="auto"/>
      </w:pBdr>
      <w:ind w:left="480"/>
    </w:pPr>
    <w:rPr>
      <w:sz w:val="20"/>
      <w:szCs w:val="20"/>
    </w:rPr>
  </w:style>
  <w:style w:type="paragraph" w:styleId="TM5">
    <w:name w:val="toc 5"/>
    <w:basedOn w:val="Normal"/>
    <w:next w:val="Normal"/>
    <w:autoRedefine/>
    <w:uiPriority w:val="39"/>
    <w:unhideWhenUsed/>
    <w:rsid w:val="00E03BED"/>
    <w:pPr>
      <w:pBdr>
        <w:between w:val="double" w:sz="6" w:space="0" w:color="auto"/>
      </w:pBdr>
      <w:ind w:left="720"/>
    </w:pPr>
    <w:rPr>
      <w:sz w:val="20"/>
      <w:szCs w:val="20"/>
    </w:rPr>
  </w:style>
  <w:style w:type="paragraph" w:styleId="TM6">
    <w:name w:val="toc 6"/>
    <w:basedOn w:val="Normal"/>
    <w:next w:val="Normal"/>
    <w:autoRedefine/>
    <w:uiPriority w:val="39"/>
    <w:unhideWhenUsed/>
    <w:rsid w:val="00E03BED"/>
    <w:pPr>
      <w:pBdr>
        <w:between w:val="double" w:sz="6" w:space="0" w:color="auto"/>
      </w:pBdr>
      <w:ind w:left="960"/>
    </w:pPr>
    <w:rPr>
      <w:sz w:val="20"/>
      <w:szCs w:val="20"/>
    </w:rPr>
  </w:style>
  <w:style w:type="paragraph" w:styleId="TM7">
    <w:name w:val="toc 7"/>
    <w:basedOn w:val="Normal"/>
    <w:next w:val="Normal"/>
    <w:autoRedefine/>
    <w:uiPriority w:val="39"/>
    <w:unhideWhenUsed/>
    <w:rsid w:val="00E03BED"/>
    <w:pPr>
      <w:pBdr>
        <w:between w:val="double" w:sz="6" w:space="0" w:color="auto"/>
      </w:pBdr>
      <w:ind w:left="1200"/>
    </w:pPr>
    <w:rPr>
      <w:sz w:val="20"/>
      <w:szCs w:val="20"/>
    </w:rPr>
  </w:style>
  <w:style w:type="paragraph" w:styleId="TM8">
    <w:name w:val="toc 8"/>
    <w:basedOn w:val="Normal"/>
    <w:next w:val="Normal"/>
    <w:autoRedefine/>
    <w:uiPriority w:val="39"/>
    <w:unhideWhenUsed/>
    <w:rsid w:val="00E03BED"/>
    <w:pPr>
      <w:pBdr>
        <w:between w:val="double" w:sz="6" w:space="0" w:color="auto"/>
      </w:pBdr>
      <w:ind w:left="1440"/>
    </w:pPr>
    <w:rPr>
      <w:sz w:val="20"/>
      <w:szCs w:val="20"/>
    </w:rPr>
  </w:style>
  <w:style w:type="paragraph" w:styleId="TM9">
    <w:name w:val="toc 9"/>
    <w:basedOn w:val="Normal"/>
    <w:next w:val="Normal"/>
    <w:autoRedefine/>
    <w:uiPriority w:val="39"/>
    <w:unhideWhenUsed/>
    <w:rsid w:val="00E03BED"/>
    <w:pPr>
      <w:pBdr>
        <w:between w:val="double" w:sz="6" w:space="0" w:color="auto"/>
      </w:pBdr>
      <w:ind w:left="1680"/>
    </w:pPr>
    <w:rPr>
      <w:sz w:val="20"/>
      <w:szCs w:val="20"/>
    </w:rPr>
  </w:style>
  <w:style w:type="paragraph" w:styleId="Pieddepage">
    <w:name w:val="footer"/>
    <w:basedOn w:val="Normal"/>
    <w:link w:val="PieddepageCar"/>
    <w:uiPriority w:val="99"/>
    <w:unhideWhenUsed/>
    <w:rsid w:val="00E03BED"/>
    <w:pPr>
      <w:tabs>
        <w:tab w:val="center" w:pos="4536"/>
        <w:tab w:val="right" w:pos="9072"/>
      </w:tabs>
    </w:pPr>
  </w:style>
  <w:style w:type="character" w:customStyle="1" w:styleId="PieddepageCar">
    <w:name w:val="Pied de page Car"/>
    <w:basedOn w:val="Policepardfaut"/>
    <w:link w:val="Pieddepage"/>
    <w:uiPriority w:val="99"/>
    <w:rsid w:val="00E03BED"/>
    <w:rPr>
      <w:rFonts w:eastAsiaTheme="minorEastAsia"/>
      <w:sz w:val="24"/>
      <w:szCs w:val="24"/>
      <w:lang w:val="fr-FR" w:eastAsia="fr-FR"/>
    </w:rPr>
  </w:style>
  <w:style w:type="character" w:styleId="Numrodepage">
    <w:name w:val="page number"/>
    <w:basedOn w:val="Policepardfaut"/>
    <w:uiPriority w:val="99"/>
    <w:semiHidden/>
    <w:unhideWhenUsed/>
    <w:rsid w:val="00E03BED"/>
  </w:style>
  <w:style w:type="character" w:styleId="Marquedecommentaire">
    <w:name w:val="annotation reference"/>
    <w:basedOn w:val="Policepardfaut"/>
    <w:uiPriority w:val="99"/>
    <w:semiHidden/>
    <w:unhideWhenUsed/>
    <w:rsid w:val="00E03BED"/>
    <w:rPr>
      <w:sz w:val="16"/>
      <w:szCs w:val="16"/>
    </w:rPr>
  </w:style>
  <w:style w:type="paragraph" w:styleId="Commentaire">
    <w:name w:val="annotation text"/>
    <w:basedOn w:val="Normal"/>
    <w:link w:val="CommentaireCar"/>
    <w:uiPriority w:val="99"/>
    <w:semiHidden/>
    <w:unhideWhenUsed/>
    <w:rsid w:val="00E03BED"/>
    <w:rPr>
      <w:sz w:val="20"/>
      <w:szCs w:val="20"/>
    </w:rPr>
  </w:style>
  <w:style w:type="character" w:customStyle="1" w:styleId="CommentaireCar">
    <w:name w:val="Commentaire Car"/>
    <w:basedOn w:val="Policepardfaut"/>
    <w:link w:val="Commentaire"/>
    <w:uiPriority w:val="99"/>
    <w:semiHidden/>
    <w:rsid w:val="00E03BED"/>
    <w:rPr>
      <w:rFonts w:eastAsiaTheme="minorEastAsia"/>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4.xml"/><Relationship Id="rId5" Type="http://schemas.openxmlformats.org/officeDocument/2006/relationships/image" Target="media/image1.png"/><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UNAIDS\Spectrum\HIV2019DraftEstimates_Guinea_13May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UNAIDS\Spectrum\HIV2019DraftEstimates_Guinea_13May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abdoulaye:Desktop:Grille%20analyse%20cascades%20brut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abdoulaye:Library:Containers:com.apple.mail:Data:Library:Mail%20Downloads:4ED38BDA-4BC0-4309-817B-C73185CEE527:Donn&#233;es_de_Base_Planification_25%20-06-2019.xlsx"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Feuille_de_calcul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044144679444E-2"/>
          <c:y val="4.8726467331118503E-2"/>
          <c:w val="0.869684399206197"/>
          <c:h val="0.79107576669195401"/>
        </c:manualLayout>
      </c:layout>
      <c:lineChart>
        <c:grouping val="standard"/>
        <c:varyColors val="0"/>
        <c:ser>
          <c:idx val="0"/>
          <c:order val="0"/>
          <c:tx>
            <c:strRef>
              <c:f>Epi_graphs!$X$9</c:f>
              <c:strCache>
                <c:ptCount val="1"/>
                <c:pt idx="0">
                  <c:v>New HIV Infections</c:v>
                </c:pt>
              </c:strCache>
            </c:strRef>
          </c:tx>
          <c:spPr>
            <a:ln w="50800">
              <a:solidFill>
                <a:srgbClr val="0070C0"/>
              </a:solidFill>
            </a:ln>
          </c:spPr>
          <c:marker>
            <c:symbol val="none"/>
          </c:marker>
          <c:cat>
            <c:numRef>
              <c:f>Epi_graphs!$B$88:$B$106</c:f>
              <c:numCache>
                <c:formatCode>0</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Epi_graphs!$I$88:$I$106</c:f>
              <c:numCache>
                <c:formatCode>#,##0</c:formatCode>
                <c:ptCount val="19"/>
                <c:pt idx="0">
                  <c:v>10485</c:v>
                </c:pt>
                <c:pt idx="1">
                  <c:v>10129</c:v>
                </c:pt>
                <c:pt idx="2">
                  <c:v>9858</c:v>
                </c:pt>
                <c:pt idx="3">
                  <c:v>9480</c:v>
                </c:pt>
                <c:pt idx="4">
                  <c:v>9307</c:v>
                </c:pt>
                <c:pt idx="5">
                  <c:v>8993</c:v>
                </c:pt>
                <c:pt idx="6">
                  <c:v>9064</c:v>
                </c:pt>
                <c:pt idx="7">
                  <c:v>8410</c:v>
                </c:pt>
                <c:pt idx="8">
                  <c:v>8693</c:v>
                </c:pt>
                <c:pt idx="9">
                  <c:v>8434</c:v>
                </c:pt>
                <c:pt idx="10">
                  <c:v>8161</c:v>
                </c:pt>
                <c:pt idx="11">
                  <c:v>7932</c:v>
                </c:pt>
                <c:pt idx="12">
                  <c:v>7727</c:v>
                </c:pt>
                <c:pt idx="13">
                  <c:v>6844</c:v>
                </c:pt>
                <c:pt idx="14">
                  <c:v>6896</c:v>
                </c:pt>
                <c:pt idx="15">
                  <c:v>7406</c:v>
                </c:pt>
                <c:pt idx="16">
                  <c:v>7150</c:v>
                </c:pt>
                <c:pt idx="17">
                  <c:v>7046</c:v>
                </c:pt>
                <c:pt idx="18">
                  <c:v>6606</c:v>
                </c:pt>
              </c:numCache>
            </c:numRef>
          </c:val>
          <c:smooth val="0"/>
          <c:extLst>
            <c:ext xmlns:c16="http://schemas.microsoft.com/office/drawing/2014/chart" uri="{C3380CC4-5D6E-409C-BE32-E72D297353CC}">
              <c16:uniqueId val="{00000000-4AA7-4B48-8C68-4B6759F623B6}"/>
            </c:ext>
          </c:extLst>
        </c:ser>
        <c:ser>
          <c:idx val="1"/>
          <c:order val="1"/>
          <c:tx>
            <c:v>Low</c:v>
          </c:tx>
          <c:spPr>
            <a:ln w="15875">
              <a:solidFill>
                <a:srgbClr val="0070C0"/>
              </a:solidFill>
              <a:prstDash val="sysDash"/>
            </a:ln>
          </c:spPr>
          <c:marker>
            <c:symbol val="none"/>
          </c:marker>
          <c:cat>
            <c:numRef>
              <c:f>Epi_graphs!$B$88:$B$106</c:f>
              <c:numCache>
                <c:formatCode>0</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Epi_graphs!$J$88:$J$106</c:f>
              <c:numCache>
                <c:formatCode>#,##0</c:formatCode>
                <c:ptCount val="19"/>
                <c:pt idx="0">
                  <c:v>8754</c:v>
                </c:pt>
                <c:pt idx="1">
                  <c:v>8489</c:v>
                </c:pt>
                <c:pt idx="2">
                  <c:v>8323</c:v>
                </c:pt>
                <c:pt idx="3">
                  <c:v>8047</c:v>
                </c:pt>
                <c:pt idx="4">
                  <c:v>7951</c:v>
                </c:pt>
                <c:pt idx="5">
                  <c:v>7655</c:v>
                </c:pt>
                <c:pt idx="6">
                  <c:v>7803</c:v>
                </c:pt>
                <c:pt idx="7">
                  <c:v>7082</c:v>
                </c:pt>
                <c:pt idx="8">
                  <c:v>7337</c:v>
                </c:pt>
                <c:pt idx="9">
                  <c:v>7181</c:v>
                </c:pt>
                <c:pt idx="10">
                  <c:v>6836</c:v>
                </c:pt>
                <c:pt idx="11">
                  <c:v>6544</c:v>
                </c:pt>
                <c:pt idx="12">
                  <c:v>6302</c:v>
                </c:pt>
                <c:pt idx="13">
                  <c:v>5420</c:v>
                </c:pt>
                <c:pt idx="14">
                  <c:v>5368</c:v>
                </c:pt>
                <c:pt idx="15">
                  <c:v>5791</c:v>
                </c:pt>
                <c:pt idx="16">
                  <c:v>5435</c:v>
                </c:pt>
                <c:pt idx="17">
                  <c:v>5377</c:v>
                </c:pt>
                <c:pt idx="18">
                  <c:v>4756</c:v>
                </c:pt>
              </c:numCache>
            </c:numRef>
          </c:val>
          <c:smooth val="0"/>
          <c:extLst>
            <c:ext xmlns:c16="http://schemas.microsoft.com/office/drawing/2014/chart" uri="{C3380CC4-5D6E-409C-BE32-E72D297353CC}">
              <c16:uniqueId val="{00000001-4AA7-4B48-8C68-4B6759F623B6}"/>
            </c:ext>
          </c:extLst>
        </c:ser>
        <c:ser>
          <c:idx val="2"/>
          <c:order val="2"/>
          <c:tx>
            <c:v>High</c:v>
          </c:tx>
          <c:spPr>
            <a:ln w="15875">
              <a:solidFill>
                <a:srgbClr val="0070C0"/>
              </a:solidFill>
              <a:prstDash val="sysDash"/>
            </a:ln>
          </c:spPr>
          <c:marker>
            <c:symbol val="none"/>
          </c:marker>
          <c:cat>
            <c:numRef>
              <c:f>Epi_graphs!$B$88:$B$106</c:f>
              <c:numCache>
                <c:formatCode>0</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Epi_graphs!$K$88:$K$106</c:f>
              <c:numCache>
                <c:formatCode>#,##0</c:formatCode>
                <c:ptCount val="19"/>
                <c:pt idx="0">
                  <c:v>12704</c:v>
                </c:pt>
                <c:pt idx="1">
                  <c:v>12027</c:v>
                </c:pt>
                <c:pt idx="2">
                  <c:v>11593</c:v>
                </c:pt>
                <c:pt idx="3">
                  <c:v>11067</c:v>
                </c:pt>
                <c:pt idx="4">
                  <c:v>10833</c:v>
                </c:pt>
                <c:pt idx="5">
                  <c:v>10433</c:v>
                </c:pt>
                <c:pt idx="6">
                  <c:v>10596</c:v>
                </c:pt>
                <c:pt idx="7">
                  <c:v>9956</c:v>
                </c:pt>
                <c:pt idx="8">
                  <c:v>10294</c:v>
                </c:pt>
                <c:pt idx="9">
                  <c:v>10089</c:v>
                </c:pt>
                <c:pt idx="10">
                  <c:v>9631</c:v>
                </c:pt>
                <c:pt idx="11">
                  <c:v>9442</c:v>
                </c:pt>
                <c:pt idx="12">
                  <c:v>9428</c:v>
                </c:pt>
                <c:pt idx="13">
                  <c:v>8658</c:v>
                </c:pt>
                <c:pt idx="14">
                  <c:v>8723</c:v>
                </c:pt>
                <c:pt idx="15">
                  <c:v>9360</c:v>
                </c:pt>
                <c:pt idx="16">
                  <c:v>9170</c:v>
                </c:pt>
                <c:pt idx="17">
                  <c:v>9254</c:v>
                </c:pt>
                <c:pt idx="18">
                  <c:v>8935</c:v>
                </c:pt>
              </c:numCache>
            </c:numRef>
          </c:val>
          <c:smooth val="0"/>
          <c:extLst>
            <c:ext xmlns:c16="http://schemas.microsoft.com/office/drawing/2014/chart" uri="{C3380CC4-5D6E-409C-BE32-E72D297353CC}">
              <c16:uniqueId val="{00000002-4AA7-4B48-8C68-4B6759F623B6}"/>
            </c:ext>
          </c:extLst>
        </c:ser>
        <c:dLbls>
          <c:showLegendKey val="0"/>
          <c:showVal val="0"/>
          <c:showCatName val="0"/>
          <c:showSerName val="0"/>
          <c:showPercent val="0"/>
          <c:showBubbleSize val="0"/>
        </c:dLbls>
        <c:smooth val="0"/>
        <c:axId val="473197808"/>
        <c:axId val="473198200"/>
      </c:lineChart>
      <c:catAx>
        <c:axId val="473197808"/>
        <c:scaling>
          <c:orientation val="minMax"/>
        </c:scaling>
        <c:delete val="0"/>
        <c:axPos val="b"/>
        <c:numFmt formatCode="0" sourceLinked="0"/>
        <c:majorTickMark val="out"/>
        <c:minorTickMark val="none"/>
        <c:tickLblPos val="nextTo"/>
        <c:spPr>
          <a:ln/>
        </c:spPr>
        <c:txPr>
          <a:bodyPr/>
          <a:lstStyle/>
          <a:p>
            <a:pPr>
              <a:defRPr sz="1000">
                <a:latin typeface="Arial" panose="020B0604020202020204" pitchFamily="34" charset="0"/>
                <a:cs typeface="Arial" panose="020B0604020202020204" pitchFamily="34" charset="0"/>
              </a:defRPr>
            </a:pPr>
            <a:endParaRPr lang="fr-BF"/>
          </a:p>
        </c:txPr>
        <c:crossAx val="473198200"/>
        <c:crosses val="autoZero"/>
        <c:auto val="1"/>
        <c:lblAlgn val="ctr"/>
        <c:lblOffset val="100"/>
        <c:tickLblSkip val="1"/>
        <c:noMultiLvlLbl val="0"/>
      </c:catAx>
      <c:valAx>
        <c:axId val="473198200"/>
        <c:scaling>
          <c:orientation val="minMax"/>
        </c:scaling>
        <c:delete val="0"/>
        <c:axPos val="l"/>
        <c:majorGridlines/>
        <c:numFmt formatCode="#,##0" sourceLinked="0"/>
        <c:majorTickMark val="none"/>
        <c:minorTickMark val="none"/>
        <c:tickLblPos val="nextTo"/>
        <c:spPr>
          <a:ln>
            <a:noFill/>
          </a:ln>
        </c:spPr>
        <c:txPr>
          <a:bodyPr/>
          <a:lstStyle/>
          <a:p>
            <a:pPr>
              <a:defRPr>
                <a:latin typeface="Arial" panose="020B0604020202020204" pitchFamily="34" charset="0"/>
                <a:cs typeface="Arial" panose="020B0604020202020204" pitchFamily="34" charset="0"/>
              </a:defRPr>
            </a:pPr>
            <a:endParaRPr lang="fr-BF"/>
          </a:p>
        </c:txPr>
        <c:crossAx val="473197808"/>
        <c:crosses val="autoZero"/>
        <c:crossBetween val="between"/>
      </c:valAx>
      <c:spPr>
        <a:solidFill>
          <a:srgbClr val="F8F8F8"/>
        </a:solidFill>
      </c:spPr>
    </c:plotArea>
    <c:plotVisOnly val="1"/>
    <c:dispBlanksAs val="gap"/>
    <c:showDLblsOverMax val="0"/>
  </c:chart>
  <c:spPr>
    <a:solidFill>
      <a:schemeClr val="accent1">
        <a:lumMod val="20000"/>
        <a:lumOff val="80000"/>
      </a:schemeClr>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044144679444E-2"/>
          <c:y val="3.8167938931297697E-2"/>
          <c:w val="0.869684399206197"/>
          <c:h val="0.80489170723888503"/>
        </c:manualLayout>
      </c:layout>
      <c:lineChart>
        <c:grouping val="standard"/>
        <c:varyColors val="0"/>
        <c:ser>
          <c:idx val="0"/>
          <c:order val="0"/>
          <c:tx>
            <c:strRef>
              <c:f>Epi_graphs!$M$9</c:f>
              <c:strCache>
                <c:ptCount val="1"/>
                <c:pt idx="0">
                  <c:v>Number of people living with HIV</c:v>
                </c:pt>
              </c:strCache>
            </c:strRef>
          </c:tx>
          <c:spPr>
            <a:ln w="50800">
              <a:solidFill>
                <a:srgbClr val="0070C0"/>
              </a:solidFill>
            </a:ln>
          </c:spPr>
          <c:marker>
            <c:symbol val="none"/>
          </c:marker>
          <c:cat>
            <c:numRef>
              <c:f>Epi_graphs!$B$88:$B$106</c:f>
              <c:numCache>
                <c:formatCode>0</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Epi_graphs!$C$88:$C$106</c:f>
              <c:numCache>
                <c:formatCode>#,##0</c:formatCode>
                <c:ptCount val="19"/>
                <c:pt idx="0">
                  <c:v>4998</c:v>
                </c:pt>
                <c:pt idx="1">
                  <c:v>5426</c:v>
                </c:pt>
                <c:pt idx="2">
                  <c:v>5778</c:v>
                </c:pt>
                <c:pt idx="3">
                  <c:v>6069</c:v>
                </c:pt>
                <c:pt idx="4">
                  <c:v>6337</c:v>
                </c:pt>
                <c:pt idx="5">
                  <c:v>6517</c:v>
                </c:pt>
                <c:pt idx="6">
                  <c:v>6188</c:v>
                </c:pt>
                <c:pt idx="7">
                  <c:v>5408</c:v>
                </c:pt>
                <c:pt idx="8">
                  <c:v>5525</c:v>
                </c:pt>
                <c:pt idx="9">
                  <c:v>4818</c:v>
                </c:pt>
                <c:pt idx="10">
                  <c:v>4114</c:v>
                </c:pt>
                <c:pt idx="11">
                  <c:v>3806</c:v>
                </c:pt>
                <c:pt idx="12">
                  <c:v>3719</c:v>
                </c:pt>
                <c:pt idx="13">
                  <c:v>3506</c:v>
                </c:pt>
                <c:pt idx="14">
                  <c:v>3810</c:v>
                </c:pt>
                <c:pt idx="15">
                  <c:v>4146</c:v>
                </c:pt>
                <c:pt idx="16">
                  <c:v>4332</c:v>
                </c:pt>
                <c:pt idx="17">
                  <c:v>4441</c:v>
                </c:pt>
                <c:pt idx="18">
                  <c:v>4267</c:v>
                </c:pt>
              </c:numCache>
            </c:numRef>
          </c:val>
          <c:smooth val="0"/>
          <c:extLst>
            <c:ext xmlns:c16="http://schemas.microsoft.com/office/drawing/2014/chart" uri="{C3380CC4-5D6E-409C-BE32-E72D297353CC}">
              <c16:uniqueId val="{00000000-70C9-4684-BE06-BBE21B53BE42}"/>
            </c:ext>
          </c:extLst>
        </c:ser>
        <c:ser>
          <c:idx val="1"/>
          <c:order val="1"/>
          <c:spPr>
            <a:ln w="15875">
              <a:solidFill>
                <a:srgbClr val="0070C0"/>
              </a:solidFill>
              <a:prstDash val="sysDash"/>
            </a:ln>
          </c:spPr>
          <c:marker>
            <c:symbol val="none"/>
          </c:marker>
          <c:cat>
            <c:numRef>
              <c:f>Epi_graphs!$B$88:$B$106</c:f>
              <c:numCache>
                <c:formatCode>0</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Epi_graphs!$D$88:$D$106</c:f>
              <c:numCache>
                <c:formatCode>#,##0</c:formatCode>
                <c:ptCount val="19"/>
                <c:pt idx="0">
                  <c:v>3423</c:v>
                </c:pt>
                <c:pt idx="1">
                  <c:v>3678</c:v>
                </c:pt>
                <c:pt idx="2">
                  <c:v>3968</c:v>
                </c:pt>
                <c:pt idx="3">
                  <c:v>4288</c:v>
                </c:pt>
                <c:pt idx="4">
                  <c:v>4612</c:v>
                </c:pt>
                <c:pt idx="5">
                  <c:v>4873</c:v>
                </c:pt>
                <c:pt idx="6">
                  <c:v>4763</c:v>
                </c:pt>
                <c:pt idx="7">
                  <c:v>4201</c:v>
                </c:pt>
                <c:pt idx="8">
                  <c:v>4326</c:v>
                </c:pt>
                <c:pt idx="9">
                  <c:v>3841</c:v>
                </c:pt>
                <c:pt idx="10">
                  <c:v>3321</c:v>
                </c:pt>
                <c:pt idx="11">
                  <c:v>3036</c:v>
                </c:pt>
                <c:pt idx="12">
                  <c:v>2957</c:v>
                </c:pt>
                <c:pt idx="13">
                  <c:v>2741</c:v>
                </c:pt>
                <c:pt idx="14">
                  <c:v>2909</c:v>
                </c:pt>
                <c:pt idx="15">
                  <c:v>3234</c:v>
                </c:pt>
                <c:pt idx="16">
                  <c:v>3353</c:v>
                </c:pt>
                <c:pt idx="17">
                  <c:v>3521</c:v>
                </c:pt>
                <c:pt idx="18">
                  <c:v>3280</c:v>
                </c:pt>
              </c:numCache>
            </c:numRef>
          </c:val>
          <c:smooth val="0"/>
          <c:extLst>
            <c:ext xmlns:c16="http://schemas.microsoft.com/office/drawing/2014/chart" uri="{C3380CC4-5D6E-409C-BE32-E72D297353CC}">
              <c16:uniqueId val="{00000001-70C9-4684-BE06-BBE21B53BE42}"/>
            </c:ext>
          </c:extLst>
        </c:ser>
        <c:ser>
          <c:idx val="2"/>
          <c:order val="2"/>
          <c:spPr>
            <a:ln w="15875">
              <a:solidFill>
                <a:srgbClr val="0070C0"/>
              </a:solidFill>
              <a:prstDash val="sysDash"/>
            </a:ln>
          </c:spPr>
          <c:marker>
            <c:symbol val="none"/>
          </c:marker>
          <c:cat>
            <c:numRef>
              <c:f>Epi_graphs!$B$88:$B$106</c:f>
              <c:numCache>
                <c:formatCode>0</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Epi_graphs!$E$88:$E$106</c:f>
              <c:numCache>
                <c:formatCode>#,##0</c:formatCode>
                <c:ptCount val="19"/>
                <c:pt idx="0">
                  <c:v>7013</c:v>
                </c:pt>
                <c:pt idx="1">
                  <c:v>7216</c:v>
                </c:pt>
                <c:pt idx="2">
                  <c:v>7375</c:v>
                </c:pt>
                <c:pt idx="3">
                  <c:v>7608</c:v>
                </c:pt>
                <c:pt idx="4">
                  <c:v>7833</c:v>
                </c:pt>
                <c:pt idx="5">
                  <c:v>7832</c:v>
                </c:pt>
                <c:pt idx="6">
                  <c:v>7416</c:v>
                </c:pt>
                <c:pt idx="7">
                  <c:v>6616</c:v>
                </c:pt>
                <c:pt idx="8">
                  <c:v>6724</c:v>
                </c:pt>
                <c:pt idx="9">
                  <c:v>5838</c:v>
                </c:pt>
                <c:pt idx="10">
                  <c:v>5048</c:v>
                </c:pt>
                <c:pt idx="11">
                  <c:v>4703</c:v>
                </c:pt>
                <c:pt idx="12">
                  <c:v>4582</c:v>
                </c:pt>
                <c:pt idx="13">
                  <c:v>4352</c:v>
                </c:pt>
                <c:pt idx="14">
                  <c:v>4748</c:v>
                </c:pt>
                <c:pt idx="15">
                  <c:v>5183</c:v>
                </c:pt>
                <c:pt idx="16">
                  <c:v>5397</c:v>
                </c:pt>
                <c:pt idx="17">
                  <c:v>5546</c:v>
                </c:pt>
                <c:pt idx="18">
                  <c:v>5385</c:v>
                </c:pt>
              </c:numCache>
            </c:numRef>
          </c:val>
          <c:smooth val="0"/>
          <c:extLst>
            <c:ext xmlns:c16="http://schemas.microsoft.com/office/drawing/2014/chart" uri="{C3380CC4-5D6E-409C-BE32-E72D297353CC}">
              <c16:uniqueId val="{00000002-70C9-4684-BE06-BBE21B53BE42}"/>
            </c:ext>
          </c:extLst>
        </c:ser>
        <c:dLbls>
          <c:showLegendKey val="0"/>
          <c:showVal val="0"/>
          <c:showCatName val="0"/>
          <c:showSerName val="0"/>
          <c:showPercent val="0"/>
          <c:showBubbleSize val="0"/>
        </c:dLbls>
        <c:smooth val="0"/>
        <c:axId val="65323440"/>
        <c:axId val="65323832"/>
      </c:lineChart>
      <c:catAx>
        <c:axId val="65323440"/>
        <c:scaling>
          <c:orientation val="minMax"/>
        </c:scaling>
        <c:delete val="0"/>
        <c:axPos val="b"/>
        <c:numFmt formatCode="0" sourceLinked="0"/>
        <c:majorTickMark val="out"/>
        <c:minorTickMark val="none"/>
        <c:tickLblPos val="nextTo"/>
        <c:spPr>
          <a:ln/>
        </c:spPr>
        <c:txPr>
          <a:bodyPr anchor="ctr" anchorCtr="1"/>
          <a:lstStyle/>
          <a:p>
            <a:pPr>
              <a:defRPr sz="1000">
                <a:latin typeface="Arial" panose="020B0604020202020204" pitchFamily="34" charset="0"/>
                <a:cs typeface="Arial" panose="020B0604020202020204" pitchFamily="34" charset="0"/>
              </a:defRPr>
            </a:pPr>
            <a:endParaRPr lang="fr-BF"/>
          </a:p>
        </c:txPr>
        <c:crossAx val="65323832"/>
        <c:crosses val="autoZero"/>
        <c:auto val="1"/>
        <c:lblAlgn val="ctr"/>
        <c:lblOffset val="100"/>
        <c:tickLblSkip val="1"/>
        <c:noMultiLvlLbl val="0"/>
      </c:catAx>
      <c:valAx>
        <c:axId val="65323832"/>
        <c:scaling>
          <c:orientation val="minMax"/>
        </c:scaling>
        <c:delete val="0"/>
        <c:axPos val="l"/>
        <c:majorGridlines/>
        <c:numFmt formatCode="#,##0" sourceLinked="0"/>
        <c:majorTickMark val="none"/>
        <c:minorTickMark val="none"/>
        <c:tickLblPos val="nextTo"/>
        <c:spPr>
          <a:ln>
            <a:noFill/>
          </a:ln>
        </c:spPr>
        <c:txPr>
          <a:bodyPr/>
          <a:lstStyle/>
          <a:p>
            <a:pPr>
              <a:defRPr b="0">
                <a:solidFill>
                  <a:schemeClr val="tx1"/>
                </a:solidFill>
                <a:latin typeface="Arial" panose="020B0604020202020204" pitchFamily="34" charset="0"/>
                <a:cs typeface="Arial" panose="020B0604020202020204" pitchFamily="34" charset="0"/>
              </a:defRPr>
            </a:pPr>
            <a:endParaRPr lang="fr-BF"/>
          </a:p>
        </c:txPr>
        <c:crossAx val="65323440"/>
        <c:crosses val="autoZero"/>
        <c:crossBetween val="between"/>
      </c:valAx>
      <c:spPr>
        <a:solidFill>
          <a:srgbClr val="F8F8F8"/>
        </a:solidFill>
      </c:spPr>
    </c:plotArea>
    <c:plotVisOnly val="1"/>
    <c:dispBlanksAs val="gap"/>
    <c:showDLblsOverMax val="0"/>
  </c:chart>
  <c:spPr>
    <a:solidFill>
      <a:schemeClr val="accent1">
        <a:lumMod val="20000"/>
        <a:lumOff val="80000"/>
      </a:schemeClr>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CASCADE!$A$13</c:f>
              <c:strCache>
                <c:ptCount val="1"/>
                <c:pt idx="0">
                  <c:v>COUVERTURE ACTUELLE</c:v>
                </c:pt>
              </c:strCache>
            </c:strRef>
          </c:tx>
          <c:spPr>
            <a:solidFill>
              <a:schemeClr val="accent1"/>
            </a:solidFill>
            <a:ln>
              <a:noFill/>
            </a:ln>
            <a:effectLst/>
            <a:sp3d/>
          </c:spPr>
          <c:invertIfNegative val="0"/>
          <c:dPt>
            <c:idx val="1"/>
            <c:invertIfNegative val="0"/>
            <c:bubble3D val="0"/>
            <c:spPr>
              <a:solidFill>
                <a:srgbClr val="00B050"/>
              </a:solidFill>
              <a:ln>
                <a:noFill/>
              </a:ln>
              <a:effectLst/>
              <a:sp3d/>
            </c:spPr>
            <c:extLst>
              <c:ext xmlns:c16="http://schemas.microsoft.com/office/drawing/2014/chart" uri="{C3380CC4-5D6E-409C-BE32-E72D297353CC}">
                <c16:uniqueId val="{00000001-338E-4896-AB77-806FFDFFA399}"/>
              </c:ext>
            </c:extLst>
          </c:dPt>
          <c:dPt>
            <c:idx val="2"/>
            <c:invertIfNegative val="0"/>
            <c:bubble3D val="0"/>
            <c:spPr>
              <a:solidFill>
                <a:srgbClr val="00B050"/>
              </a:solidFill>
              <a:ln>
                <a:noFill/>
              </a:ln>
              <a:effectLst/>
              <a:sp3d/>
            </c:spPr>
            <c:extLst>
              <c:ext xmlns:c16="http://schemas.microsoft.com/office/drawing/2014/chart" uri="{C3380CC4-5D6E-409C-BE32-E72D297353CC}">
                <c16:uniqueId val="{00000003-338E-4896-AB77-806FFDFFA399}"/>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fr-BF"/>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CASCADE!$B$12:$E$12</c:f>
              <c:strCache>
                <c:ptCount val="4"/>
                <c:pt idx="0">
                  <c:v>ESTIMEE</c:v>
                </c:pt>
                <c:pt idx="1">
                  <c:v>DEPISTAGE</c:v>
                </c:pt>
                <c:pt idx="2">
                  <c:v>TRAITEMENT</c:v>
                </c:pt>
                <c:pt idx="3">
                  <c:v>CHARGE VIRALE</c:v>
                </c:pt>
              </c:strCache>
            </c:strRef>
          </c:cat>
          <c:val>
            <c:numRef>
              <c:f>CASCADE!$B$13:$E$13</c:f>
              <c:numCache>
                <c:formatCode>0%</c:formatCode>
                <c:ptCount val="4"/>
                <c:pt idx="0">
                  <c:v>1</c:v>
                </c:pt>
                <c:pt idx="1">
                  <c:v>0.5</c:v>
                </c:pt>
                <c:pt idx="2">
                  <c:v>0.5</c:v>
                </c:pt>
                <c:pt idx="3" formatCode="0.00%">
                  <c:v>0.18</c:v>
                </c:pt>
              </c:numCache>
            </c:numRef>
          </c:val>
          <c:extLst>
            <c:ext xmlns:c16="http://schemas.microsoft.com/office/drawing/2014/chart" uri="{C3380CC4-5D6E-409C-BE32-E72D297353CC}">
              <c16:uniqueId val="{00000004-338E-4896-AB77-806FFDFFA399}"/>
            </c:ext>
          </c:extLst>
        </c:ser>
        <c:ser>
          <c:idx val="1"/>
          <c:order val="1"/>
          <c:tx>
            <c:strRef>
              <c:f>CASCADE!$A$14</c:f>
              <c:strCache>
                <c:ptCount val="1"/>
                <c:pt idx="0">
                  <c:v>GAPS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fr-BF"/>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CASCADE!$B$12:$E$12</c:f>
              <c:strCache>
                <c:ptCount val="4"/>
                <c:pt idx="0">
                  <c:v>ESTIMEE</c:v>
                </c:pt>
                <c:pt idx="1">
                  <c:v>DEPISTAGE</c:v>
                </c:pt>
                <c:pt idx="2">
                  <c:v>TRAITEMENT</c:v>
                </c:pt>
                <c:pt idx="3">
                  <c:v>CHARGE VIRALE</c:v>
                </c:pt>
              </c:strCache>
            </c:strRef>
          </c:cat>
          <c:val>
            <c:numRef>
              <c:f>CASCADE!$B$14:$E$14</c:f>
              <c:numCache>
                <c:formatCode>0%</c:formatCode>
                <c:ptCount val="4"/>
                <c:pt idx="1">
                  <c:v>0.4</c:v>
                </c:pt>
                <c:pt idx="2">
                  <c:v>0.31</c:v>
                </c:pt>
                <c:pt idx="3">
                  <c:v>0.55000000000000004</c:v>
                </c:pt>
              </c:numCache>
            </c:numRef>
          </c:val>
          <c:extLst>
            <c:ext xmlns:c16="http://schemas.microsoft.com/office/drawing/2014/chart" uri="{C3380CC4-5D6E-409C-BE32-E72D297353CC}">
              <c16:uniqueId val="{00000005-338E-4896-AB77-806FFDFFA399}"/>
            </c:ext>
          </c:extLst>
        </c:ser>
        <c:dLbls>
          <c:showLegendKey val="0"/>
          <c:showVal val="0"/>
          <c:showCatName val="0"/>
          <c:showSerName val="0"/>
          <c:showPercent val="0"/>
          <c:showBubbleSize val="0"/>
        </c:dLbls>
        <c:gapWidth val="150"/>
        <c:shape val="cylinder"/>
        <c:axId val="65323048"/>
        <c:axId val="207325648"/>
        <c:axId val="0"/>
      </c:bar3DChart>
      <c:catAx>
        <c:axId val="65323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BF"/>
          </a:p>
        </c:txPr>
        <c:crossAx val="207325648"/>
        <c:crosses val="autoZero"/>
        <c:auto val="1"/>
        <c:lblAlgn val="ctr"/>
        <c:lblOffset val="100"/>
        <c:noMultiLvlLbl val="0"/>
      </c:catAx>
      <c:valAx>
        <c:axId val="20732564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r-BF"/>
          </a:p>
        </c:txPr>
        <c:crossAx val="65323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BF"/>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BF"/>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11104677313453E-2"/>
          <c:y val="7.5594135198943799E-2"/>
          <c:w val="0.85440379838787095"/>
          <c:h val="0.77129629555665402"/>
        </c:manualLayout>
      </c:layout>
      <c:bar3DChart>
        <c:barDir val="col"/>
        <c:grouping val="standard"/>
        <c:varyColors val="0"/>
        <c:ser>
          <c:idx val="0"/>
          <c:order val="0"/>
          <c:tx>
            <c:strRef>
              <c:f>Graphique!$A$4</c:f>
              <c:strCache>
                <c:ptCount val="1"/>
                <c:pt idx="0">
                  <c:v>Données</c:v>
                </c:pt>
              </c:strCache>
            </c:strRef>
          </c:tx>
          <c:spPr>
            <a:solidFill>
              <a:schemeClr val="accent1"/>
            </a:solidFill>
            <a:ln>
              <a:noFill/>
            </a:ln>
            <a:effectLst/>
            <a:sp3d/>
          </c:spPr>
          <c:invertIfNegative val="0"/>
          <c:dPt>
            <c:idx val="0"/>
            <c:invertIfNegative val="0"/>
            <c:bubble3D val="0"/>
            <c:spPr>
              <a:solidFill>
                <a:srgbClr val="FFC000"/>
              </a:solidFill>
              <a:ln>
                <a:noFill/>
              </a:ln>
              <a:effectLst/>
              <a:sp3d/>
            </c:spPr>
            <c:extLst>
              <c:ext xmlns:c16="http://schemas.microsoft.com/office/drawing/2014/chart" uri="{C3380CC4-5D6E-409C-BE32-E72D297353CC}">
                <c16:uniqueId val="{00000001-23EF-4351-BB0F-6C6D5D08860D}"/>
              </c:ext>
            </c:extLst>
          </c:dPt>
          <c:dPt>
            <c:idx val="1"/>
            <c:invertIfNegative val="0"/>
            <c:bubble3D val="0"/>
            <c:spPr>
              <a:solidFill>
                <a:srgbClr val="00B050"/>
              </a:solidFill>
              <a:ln>
                <a:noFill/>
              </a:ln>
              <a:effectLst/>
              <a:sp3d/>
            </c:spPr>
            <c:extLst>
              <c:ext xmlns:c16="http://schemas.microsoft.com/office/drawing/2014/chart" uri="{C3380CC4-5D6E-409C-BE32-E72D297353CC}">
                <c16:uniqueId val="{00000003-23EF-4351-BB0F-6C6D5D08860D}"/>
              </c:ext>
            </c:extLst>
          </c:dPt>
          <c:dPt>
            <c:idx val="2"/>
            <c:invertIfNegative val="0"/>
            <c:bubble3D val="0"/>
            <c:spPr>
              <a:solidFill>
                <a:schemeClr val="accent4">
                  <a:lumMod val="60000"/>
                  <a:lumOff val="40000"/>
                </a:schemeClr>
              </a:solidFill>
              <a:ln>
                <a:noFill/>
              </a:ln>
              <a:effectLst/>
              <a:sp3d/>
            </c:spPr>
            <c:extLst>
              <c:ext xmlns:c16="http://schemas.microsoft.com/office/drawing/2014/chart" uri="{C3380CC4-5D6E-409C-BE32-E72D297353CC}">
                <c16:uniqueId val="{00000005-23EF-4351-BB0F-6C6D5D08860D}"/>
              </c:ext>
            </c:extLst>
          </c:dPt>
          <c:dPt>
            <c:idx val="3"/>
            <c:invertIfNegative val="0"/>
            <c:bubble3D val="0"/>
            <c:spPr>
              <a:solidFill>
                <a:srgbClr val="7030A0"/>
              </a:solidFill>
              <a:ln>
                <a:noFill/>
              </a:ln>
              <a:effectLst/>
              <a:sp3d/>
            </c:spPr>
            <c:extLst>
              <c:ext xmlns:c16="http://schemas.microsoft.com/office/drawing/2014/chart" uri="{C3380CC4-5D6E-409C-BE32-E72D297353CC}">
                <c16:uniqueId val="{00000007-23EF-4351-BB0F-6C6D5D08860D}"/>
              </c:ext>
            </c:extLst>
          </c:dPt>
          <c:dPt>
            <c:idx val="4"/>
            <c:invertIfNegative val="0"/>
            <c:bubble3D val="0"/>
            <c:spPr>
              <a:solidFill>
                <a:schemeClr val="accent2">
                  <a:lumMod val="75000"/>
                </a:schemeClr>
              </a:solidFill>
              <a:ln>
                <a:noFill/>
              </a:ln>
              <a:effectLst/>
              <a:sp3d/>
            </c:spPr>
            <c:extLst>
              <c:ext xmlns:c16="http://schemas.microsoft.com/office/drawing/2014/chart" uri="{C3380CC4-5D6E-409C-BE32-E72D297353CC}">
                <c16:uniqueId val="{00000009-23EF-4351-BB0F-6C6D5D08860D}"/>
              </c:ext>
            </c:extLst>
          </c:dPt>
          <c:dPt>
            <c:idx val="5"/>
            <c:invertIfNegative val="0"/>
            <c:bubble3D val="0"/>
            <c:spPr>
              <a:solidFill>
                <a:srgbClr val="0070C0"/>
              </a:solidFill>
              <a:ln>
                <a:noFill/>
              </a:ln>
              <a:effectLst/>
              <a:sp3d/>
            </c:spPr>
            <c:extLst>
              <c:ext xmlns:c16="http://schemas.microsoft.com/office/drawing/2014/chart" uri="{C3380CC4-5D6E-409C-BE32-E72D297353CC}">
                <c16:uniqueId val="{0000000B-23EF-4351-BB0F-6C6D5D08860D}"/>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fr-BF"/>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Graphique!$B$3:$G$3</c:f>
              <c:strCache>
                <c:ptCount val="6"/>
                <c:pt idx="0">
                  <c:v>Estimation grossesses attendues  en 2018 </c:v>
                </c:pt>
                <c:pt idx="1">
                  <c:v>Femmes enceintes dépistées pour VIH</c:v>
                </c:pt>
                <c:pt idx="2">
                  <c:v>Femmes enceintes positives au VIH </c:v>
                </c:pt>
                <c:pt idx="3">
                  <c:v>Enfants nés de mère séropositive  sous traitement prophylactique </c:v>
                </c:pt>
                <c:pt idx="4">
                  <c:v>Enfants nés de mère séropositive ayant réalisé le diagnostic précoce du VIH </c:v>
                </c:pt>
                <c:pt idx="5">
                  <c:v>Enfants nés de mères séropositives à la PCR  au VIH  </c:v>
                </c:pt>
              </c:strCache>
            </c:strRef>
          </c:cat>
          <c:val>
            <c:numRef>
              <c:f>Graphique!$B$4:$G$4</c:f>
              <c:numCache>
                <c:formatCode>0</c:formatCode>
                <c:ptCount val="6"/>
                <c:pt idx="0">
                  <c:v>534758.31000000006</c:v>
                </c:pt>
                <c:pt idx="1">
                  <c:v>232143</c:v>
                </c:pt>
                <c:pt idx="2">
                  <c:v>5000</c:v>
                </c:pt>
                <c:pt idx="3">
                  <c:v>2056</c:v>
                </c:pt>
                <c:pt idx="4">
                  <c:v>767</c:v>
                </c:pt>
                <c:pt idx="5">
                  <c:v>62</c:v>
                </c:pt>
              </c:numCache>
            </c:numRef>
          </c:val>
          <c:extLst>
            <c:ext xmlns:c16="http://schemas.microsoft.com/office/drawing/2014/chart" uri="{C3380CC4-5D6E-409C-BE32-E72D297353CC}">
              <c16:uniqueId val="{0000000C-23EF-4351-BB0F-6C6D5D08860D}"/>
            </c:ext>
          </c:extLst>
        </c:ser>
        <c:dLbls>
          <c:showLegendKey val="0"/>
          <c:showVal val="1"/>
          <c:showCatName val="0"/>
          <c:showSerName val="0"/>
          <c:showPercent val="0"/>
          <c:showBubbleSize val="0"/>
        </c:dLbls>
        <c:gapWidth val="150"/>
        <c:shape val="box"/>
        <c:axId val="477635296"/>
        <c:axId val="477638432"/>
        <c:axId val="207655344"/>
      </c:bar3DChart>
      <c:catAx>
        <c:axId val="477635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BF"/>
          </a:p>
        </c:txPr>
        <c:crossAx val="477638432"/>
        <c:crosses val="autoZero"/>
        <c:auto val="1"/>
        <c:lblAlgn val="ctr"/>
        <c:lblOffset val="100"/>
        <c:noMultiLvlLbl val="0"/>
      </c:catAx>
      <c:valAx>
        <c:axId val="477638432"/>
        <c:scaling>
          <c:orientation val="minMax"/>
          <c:max val="540000"/>
          <c:min val="10000"/>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BF"/>
          </a:p>
        </c:txPr>
        <c:crossAx val="477635296"/>
        <c:crosses val="autoZero"/>
        <c:crossBetween val="between"/>
        <c:majorUnit val="100000"/>
      </c:valAx>
      <c:serAx>
        <c:axId val="207655344"/>
        <c:scaling>
          <c:orientation val="maxMin"/>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BF"/>
          </a:p>
        </c:txPr>
        <c:crossAx val="477638432"/>
        <c:crosses val="autoZero"/>
      </c:ser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BF"/>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Feuil1!$E$4</c:f>
              <c:strCache>
                <c:ptCount val="1"/>
                <c:pt idx="0">
                  <c:v>Nbre  patients  attendus TB</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Feuil1!$D$5:$D$13</c:f>
              <c:strCache>
                <c:ptCount val="9"/>
                <c:pt idx="0">
                  <c:v>Kindia</c:v>
                </c:pt>
                <c:pt idx="1">
                  <c:v>Boké</c:v>
                </c:pt>
                <c:pt idx="2">
                  <c:v>Kankan</c:v>
                </c:pt>
                <c:pt idx="3">
                  <c:v>Faranah</c:v>
                </c:pt>
                <c:pt idx="4">
                  <c:v>Labé</c:v>
                </c:pt>
                <c:pt idx="5">
                  <c:v>Mamou</c:v>
                </c:pt>
                <c:pt idx="6">
                  <c:v>N'zerecore</c:v>
                </c:pt>
                <c:pt idx="7">
                  <c:v>Conakry</c:v>
                </c:pt>
                <c:pt idx="8">
                  <c:v>Guinée</c:v>
                </c:pt>
              </c:strCache>
            </c:strRef>
          </c:cat>
          <c:val>
            <c:numRef>
              <c:f>Feuil1!$E$5:$E$13</c:f>
              <c:numCache>
                <c:formatCode>General</c:formatCode>
                <c:ptCount val="9"/>
                <c:pt idx="8">
                  <c:v>22000</c:v>
                </c:pt>
              </c:numCache>
            </c:numRef>
          </c:val>
          <c:extLst>
            <c:ext xmlns:c16="http://schemas.microsoft.com/office/drawing/2014/chart" uri="{C3380CC4-5D6E-409C-BE32-E72D297353CC}">
              <c16:uniqueId val="{00000000-DEC1-44D8-B744-7559D129F23B}"/>
            </c:ext>
          </c:extLst>
        </c:ser>
        <c:ser>
          <c:idx val="1"/>
          <c:order val="1"/>
          <c:tx>
            <c:strRef>
              <c:f>Feuil1!$F$4</c:f>
              <c:strCache>
                <c:ptCount val="1"/>
                <c:pt idx="0">
                  <c:v>Nbre  patients dépistés TB</c:v>
                </c:pt>
              </c:strCache>
            </c:strRef>
          </c:tx>
          <c:invertIfNegative val="0"/>
          <c:cat>
            <c:strRef>
              <c:f>Feuil1!$D$5:$D$13</c:f>
              <c:strCache>
                <c:ptCount val="9"/>
                <c:pt idx="0">
                  <c:v>Kindia</c:v>
                </c:pt>
                <c:pt idx="1">
                  <c:v>Boké</c:v>
                </c:pt>
                <c:pt idx="2">
                  <c:v>Kankan</c:v>
                </c:pt>
                <c:pt idx="3">
                  <c:v>Faranah</c:v>
                </c:pt>
                <c:pt idx="4">
                  <c:v>Labé</c:v>
                </c:pt>
                <c:pt idx="5">
                  <c:v>Mamou</c:v>
                </c:pt>
                <c:pt idx="6">
                  <c:v>N'zerecore</c:v>
                </c:pt>
                <c:pt idx="7">
                  <c:v>Conakry</c:v>
                </c:pt>
                <c:pt idx="8">
                  <c:v>Guinée</c:v>
                </c:pt>
              </c:strCache>
            </c:strRef>
          </c:cat>
          <c:val>
            <c:numRef>
              <c:f>Feuil1!$F$5:$F$13</c:f>
              <c:numCache>
                <c:formatCode>General</c:formatCode>
                <c:ptCount val="9"/>
                <c:pt idx="0">
                  <c:v>2104</c:v>
                </c:pt>
                <c:pt idx="1">
                  <c:v>1028</c:v>
                </c:pt>
                <c:pt idx="2">
                  <c:v>974</c:v>
                </c:pt>
                <c:pt idx="3">
                  <c:v>661</c:v>
                </c:pt>
                <c:pt idx="4">
                  <c:v>432</c:v>
                </c:pt>
                <c:pt idx="5">
                  <c:v>437</c:v>
                </c:pt>
                <c:pt idx="6">
                  <c:v>1809</c:v>
                </c:pt>
                <c:pt idx="7">
                  <c:v>7031</c:v>
                </c:pt>
                <c:pt idx="8">
                  <c:v>14476</c:v>
                </c:pt>
              </c:numCache>
            </c:numRef>
          </c:val>
          <c:extLst>
            <c:ext xmlns:c16="http://schemas.microsoft.com/office/drawing/2014/chart" uri="{C3380CC4-5D6E-409C-BE32-E72D297353CC}">
              <c16:uniqueId val="{00000001-DEC1-44D8-B744-7559D129F23B}"/>
            </c:ext>
          </c:extLst>
        </c:ser>
        <c:ser>
          <c:idx val="2"/>
          <c:order val="2"/>
          <c:tx>
            <c:strRef>
              <c:f>Feuil1!$G$4</c:f>
              <c:strCache>
                <c:ptCount val="1"/>
                <c:pt idx="0">
                  <c:v>Nbre patients  testés VIH</c:v>
                </c:pt>
              </c:strCache>
            </c:strRef>
          </c:tx>
          <c:invertIfNegative val="0"/>
          <c:cat>
            <c:strRef>
              <c:f>Feuil1!$D$5:$D$13</c:f>
              <c:strCache>
                <c:ptCount val="9"/>
                <c:pt idx="0">
                  <c:v>Kindia</c:v>
                </c:pt>
                <c:pt idx="1">
                  <c:v>Boké</c:v>
                </c:pt>
                <c:pt idx="2">
                  <c:v>Kankan</c:v>
                </c:pt>
                <c:pt idx="3">
                  <c:v>Faranah</c:v>
                </c:pt>
                <c:pt idx="4">
                  <c:v>Labé</c:v>
                </c:pt>
                <c:pt idx="5">
                  <c:v>Mamou</c:v>
                </c:pt>
                <c:pt idx="6">
                  <c:v>N'zerecore</c:v>
                </c:pt>
                <c:pt idx="7">
                  <c:v>Conakry</c:v>
                </c:pt>
                <c:pt idx="8">
                  <c:v>Guinée</c:v>
                </c:pt>
              </c:strCache>
            </c:strRef>
          </c:cat>
          <c:val>
            <c:numRef>
              <c:f>Feuil1!$G$5:$G$13</c:f>
              <c:numCache>
                <c:formatCode>General</c:formatCode>
                <c:ptCount val="9"/>
                <c:pt idx="0">
                  <c:v>1366</c:v>
                </c:pt>
                <c:pt idx="1">
                  <c:v>663</c:v>
                </c:pt>
                <c:pt idx="2">
                  <c:v>697</c:v>
                </c:pt>
                <c:pt idx="3">
                  <c:v>473</c:v>
                </c:pt>
                <c:pt idx="4">
                  <c:v>360</c:v>
                </c:pt>
                <c:pt idx="5">
                  <c:v>414</c:v>
                </c:pt>
                <c:pt idx="6">
                  <c:v>890</c:v>
                </c:pt>
                <c:pt idx="7">
                  <c:v>6904</c:v>
                </c:pt>
                <c:pt idx="8">
                  <c:v>11767</c:v>
                </c:pt>
              </c:numCache>
            </c:numRef>
          </c:val>
          <c:extLst>
            <c:ext xmlns:c16="http://schemas.microsoft.com/office/drawing/2014/chart" uri="{C3380CC4-5D6E-409C-BE32-E72D297353CC}">
              <c16:uniqueId val="{00000002-DEC1-44D8-B744-7559D129F23B}"/>
            </c:ext>
          </c:extLst>
        </c:ser>
        <c:ser>
          <c:idx val="3"/>
          <c:order val="3"/>
          <c:tx>
            <c:strRef>
              <c:f>Feuil1!$H$4</c:f>
              <c:strCache>
                <c:ptCount val="1"/>
                <c:pt idx="0">
                  <c:v>Nbre patients séropositifS</c:v>
                </c:pt>
              </c:strCache>
            </c:strRef>
          </c:tx>
          <c:invertIfNegative val="0"/>
          <c:cat>
            <c:strRef>
              <c:f>Feuil1!$D$5:$D$13</c:f>
              <c:strCache>
                <c:ptCount val="9"/>
                <c:pt idx="0">
                  <c:v>Kindia</c:v>
                </c:pt>
                <c:pt idx="1">
                  <c:v>Boké</c:v>
                </c:pt>
                <c:pt idx="2">
                  <c:v>Kankan</c:v>
                </c:pt>
                <c:pt idx="3">
                  <c:v>Faranah</c:v>
                </c:pt>
                <c:pt idx="4">
                  <c:v>Labé</c:v>
                </c:pt>
                <c:pt idx="5">
                  <c:v>Mamou</c:v>
                </c:pt>
                <c:pt idx="6">
                  <c:v>N'zerecore</c:v>
                </c:pt>
                <c:pt idx="7">
                  <c:v>Conakry</c:v>
                </c:pt>
                <c:pt idx="8">
                  <c:v>Guinée</c:v>
                </c:pt>
              </c:strCache>
            </c:strRef>
          </c:cat>
          <c:val>
            <c:numRef>
              <c:f>Feuil1!$H$5:$H$13</c:f>
              <c:numCache>
                <c:formatCode>General</c:formatCode>
                <c:ptCount val="9"/>
                <c:pt idx="0">
                  <c:v>319</c:v>
                </c:pt>
                <c:pt idx="1">
                  <c:v>123</c:v>
                </c:pt>
                <c:pt idx="2">
                  <c:v>120</c:v>
                </c:pt>
                <c:pt idx="3">
                  <c:v>70</c:v>
                </c:pt>
                <c:pt idx="4">
                  <c:v>61</c:v>
                </c:pt>
                <c:pt idx="5">
                  <c:v>75</c:v>
                </c:pt>
                <c:pt idx="6">
                  <c:v>195</c:v>
                </c:pt>
                <c:pt idx="7">
                  <c:v>1923</c:v>
                </c:pt>
                <c:pt idx="8">
                  <c:v>2886</c:v>
                </c:pt>
              </c:numCache>
            </c:numRef>
          </c:val>
          <c:extLst>
            <c:ext xmlns:c16="http://schemas.microsoft.com/office/drawing/2014/chart" uri="{C3380CC4-5D6E-409C-BE32-E72D297353CC}">
              <c16:uniqueId val="{00000003-DEC1-44D8-B744-7559D129F23B}"/>
            </c:ext>
          </c:extLst>
        </c:ser>
        <c:ser>
          <c:idx val="4"/>
          <c:order val="4"/>
          <c:tx>
            <c:strRef>
              <c:f>Feuil1!$I$4</c:f>
              <c:strCache>
                <c:ptCount val="1"/>
                <c:pt idx="0">
                  <c:v>Nbre Patients sous Arv</c:v>
                </c:pt>
              </c:strCache>
            </c:strRef>
          </c:tx>
          <c:invertIfNegative val="0"/>
          <c:cat>
            <c:strRef>
              <c:f>Feuil1!$D$5:$D$13</c:f>
              <c:strCache>
                <c:ptCount val="9"/>
                <c:pt idx="0">
                  <c:v>Kindia</c:v>
                </c:pt>
                <c:pt idx="1">
                  <c:v>Boké</c:v>
                </c:pt>
                <c:pt idx="2">
                  <c:v>Kankan</c:v>
                </c:pt>
                <c:pt idx="3">
                  <c:v>Faranah</c:v>
                </c:pt>
                <c:pt idx="4">
                  <c:v>Labé</c:v>
                </c:pt>
                <c:pt idx="5">
                  <c:v>Mamou</c:v>
                </c:pt>
                <c:pt idx="6">
                  <c:v>N'zerecore</c:v>
                </c:pt>
                <c:pt idx="7">
                  <c:v>Conakry</c:v>
                </c:pt>
                <c:pt idx="8">
                  <c:v>Guinée</c:v>
                </c:pt>
              </c:strCache>
            </c:strRef>
          </c:cat>
          <c:val>
            <c:numRef>
              <c:f>Feuil1!$I$5:$I$13</c:f>
              <c:numCache>
                <c:formatCode>General</c:formatCode>
                <c:ptCount val="9"/>
                <c:pt idx="0">
                  <c:v>314</c:v>
                </c:pt>
                <c:pt idx="1">
                  <c:v>120</c:v>
                </c:pt>
                <c:pt idx="2">
                  <c:v>91</c:v>
                </c:pt>
                <c:pt idx="3">
                  <c:v>56</c:v>
                </c:pt>
                <c:pt idx="4">
                  <c:v>40</c:v>
                </c:pt>
                <c:pt idx="5">
                  <c:v>71</c:v>
                </c:pt>
                <c:pt idx="6">
                  <c:v>191</c:v>
                </c:pt>
                <c:pt idx="7">
                  <c:v>1850</c:v>
                </c:pt>
                <c:pt idx="8">
                  <c:v>2733</c:v>
                </c:pt>
              </c:numCache>
            </c:numRef>
          </c:val>
          <c:extLst>
            <c:ext xmlns:c16="http://schemas.microsoft.com/office/drawing/2014/chart" uri="{C3380CC4-5D6E-409C-BE32-E72D297353CC}">
              <c16:uniqueId val="{00000004-DEC1-44D8-B744-7559D129F23B}"/>
            </c:ext>
          </c:extLst>
        </c:ser>
        <c:dLbls>
          <c:showLegendKey val="0"/>
          <c:showVal val="0"/>
          <c:showCatName val="0"/>
          <c:showSerName val="0"/>
          <c:showPercent val="0"/>
          <c:showBubbleSize val="0"/>
        </c:dLbls>
        <c:gapWidth val="75"/>
        <c:overlap val="-25"/>
        <c:axId val="477639608"/>
        <c:axId val="477640784"/>
      </c:barChart>
      <c:catAx>
        <c:axId val="477639608"/>
        <c:scaling>
          <c:orientation val="minMax"/>
        </c:scaling>
        <c:delete val="0"/>
        <c:axPos val="b"/>
        <c:numFmt formatCode="General" sourceLinked="0"/>
        <c:majorTickMark val="none"/>
        <c:minorTickMark val="none"/>
        <c:tickLblPos val="nextTo"/>
        <c:crossAx val="477640784"/>
        <c:crosses val="autoZero"/>
        <c:auto val="1"/>
        <c:lblAlgn val="ctr"/>
        <c:lblOffset val="100"/>
        <c:noMultiLvlLbl val="0"/>
      </c:catAx>
      <c:valAx>
        <c:axId val="477640784"/>
        <c:scaling>
          <c:orientation val="minMax"/>
        </c:scaling>
        <c:delete val="0"/>
        <c:axPos val="l"/>
        <c:majorGridlines/>
        <c:numFmt formatCode="General" sourceLinked="1"/>
        <c:majorTickMark val="none"/>
        <c:minorTickMark val="none"/>
        <c:tickLblPos val="nextTo"/>
        <c:spPr>
          <a:ln w="9525">
            <a:noFill/>
          </a:ln>
        </c:spPr>
        <c:crossAx val="477639608"/>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15</Pages>
  <Words>3732</Words>
  <Characters>20529</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zida boureima</cp:lastModifiedBy>
  <cp:revision>3</cp:revision>
  <dcterms:created xsi:type="dcterms:W3CDTF">2020-03-04T22:45:00Z</dcterms:created>
  <dcterms:modified xsi:type="dcterms:W3CDTF">2020-03-04T22:45:00Z</dcterms:modified>
</cp:coreProperties>
</file>