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6F8" w:rsidRPr="003D361E" w:rsidRDefault="009646F8" w:rsidP="009646F8">
      <w:pPr>
        <w:jc w:val="center"/>
        <w:rPr>
          <w:b/>
          <w:bCs/>
          <w:sz w:val="28"/>
        </w:rPr>
      </w:pPr>
      <w:bookmarkStart w:id="0" w:name="_GoBack"/>
      <w:bookmarkEnd w:id="0"/>
      <w:r w:rsidRPr="003D361E">
        <w:rPr>
          <w:b/>
          <w:bCs/>
          <w:sz w:val="28"/>
        </w:rPr>
        <w:t>POLITIQUE DE DEVELOPPEMENT DES RESSOURCES HUMAINES POUR LA SANTE (RHS)</w:t>
      </w:r>
    </w:p>
    <w:p w:rsidR="0037110F" w:rsidRDefault="0037110F" w:rsidP="00717929">
      <w:pPr>
        <w:tabs>
          <w:tab w:val="left" w:pos="460"/>
        </w:tabs>
        <w:rPr>
          <w:b/>
          <w:bCs/>
        </w:rPr>
      </w:pPr>
    </w:p>
    <w:p w:rsidR="009646F8" w:rsidRDefault="0037110F" w:rsidP="0037110F">
      <w:pPr>
        <w:pStyle w:val="Titre1"/>
      </w:pPr>
      <w:r>
        <w:t>PRE</w:t>
      </w:r>
      <w:r w:rsidR="00687DB6">
        <w:t>FACE</w:t>
      </w:r>
      <w:r w:rsidR="00717929">
        <w:tab/>
      </w:r>
    </w:p>
    <w:p w:rsidR="001C7A44" w:rsidRDefault="009646F8" w:rsidP="00841600">
      <w:pPr>
        <w:pStyle w:val="Titre1"/>
        <w:spacing w:after="360"/>
        <w:ind w:left="360"/>
      </w:pPr>
      <w:r w:rsidRPr="009646F8">
        <w:t>INTRODUCTION</w:t>
      </w:r>
    </w:p>
    <w:p w:rsidR="00D50530" w:rsidRPr="00B0790B" w:rsidRDefault="00D50530" w:rsidP="00D50530">
      <w:pPr>
        <w:jc w:val="both"/>
        <w:rPr>
          <w:sz w:val="24"/>
          <w:szCs w:val="28"/>
        </w:rPr>
      </w:pPr>
      <w:r w:rsidRPr="00B0790B">
        <w:rPr>
          <w:sz w:val="24"/>
          <w:szCs w:val="28"/>
        </w:rPr>
        <w:t>L’Etat de santé de la population guinéenne se caractérise par un taux brut de mortalité national estimé à 11,2‰</w:t>
      </w:r>
      <w:r w:rsidRPr="00B0790B">
        <w:rPr>
          <w:sz w:val="24"/>
          <w:szCs w:val="28"/>
          <w:vertAlign w:val="superscript"/>
        </w:rPr>
        <w:footnoteReference w:id="1"/>
      </w:r>
      <w:r w:rsidRPr="00B0790B">
        <w:rPr>
          <w:sz w:val="24"/>
          <w:szCs w:val="28"/>
        </w:rPr>
        <w:t>, une mortalité maternelle encore élevée (550 pour 100 000 naissances vivantes</w:t>
      </w:r>
      <w:r w:rsidRPr="00B0790B">
        <w:rPr>
          <w:sz w:val="24"/>
          <w:szCs w:val="28"/>
          <w:vertAlign w:val="superscript"/>
        </w:rPr>
        <w:footnoteReference w:id="2"/>
      </w:r>
      <w:r w:rsidRPr="00B0790B">
        <w:rPr>
          <w:sz w:val="24"/>
          <w:szCs w:val="28"/>
        </w:rPr>
        <w:t>). Il en est de même de la mortalité néonatale (32‰</w:t>
      </w:r>
      <w:r w:rsidRPr="00B0790B">
        <w:rPr>
          <w:sz w:val="24"/>
          <w:szCs w:val="28"/>
          <w:vertAlign w:val="superscript"/>
        </w:rPr>
        <w:footnoteReference w:id="3"/>
      </w:r>
      <w:r w:rsidRPr="00B0790B">
        <w:rPr>
          <w:sz w:val="24"/>
          <w:szCs w:val="28"/>
          <w:vertAlign w:val="superscript"/>
        </w:rPr>
        <w:t>)</w:t>
      </w:r>
      <w:r w:rsidRPr="00B0790B">
        <w:rPr>
          <w:sz w:val="24"/>
          <w:szCs w:val="28"/>
        </w:rPr>
        <w:t xml:space="preserve"> et infanto-juvénile (111 ‰</w:t>
      </w:r>
      <w:r w:rsidRPr="00B0790B">
        <w:rPr>
          <w:sz w:val="24"/>
          <w:szCs w:val="28"/>
          <w:vertAlign w:val="superscript"/>
        </w:rPr>
        <w:footnoteReference w:id="4"/>
      </w:r>
      <w:r w:rsidRPr="00B0790B">
        <w:rPr>
          <w:sz w:val="24"/>
          <w:szCs w:val="28"/>
        </w:rPr>
        <w:t xml:space="preserve">). </w:t>
      </w:r>
    </w:p>
    <w:p w:rsidR="00D50530" w:rsidRPr="00B0790B" w:rsidRDefault="00D50530" w:rsidP="00D50530">
      <w:pPr>
        <w:tabs>
          <w:tab w:val="left" w:pos="1418"/>
        </w:tabs>
        <w:spacing w:after="0"/>
        <w:jc w:val="both"/>
        <w:rPr>
          <w:sz w:val="24"/>
          <w:szCs w:val="28"/>
        </w:rPr>
      </w:pPr>
      <w:r w:rsidRPr="00B0790B">
        <w:rPr>
          <w:sz w:val="24"/>
          <w:szCs w:val="28"/>
        </w:rPr>
        <w:t>Cette situation est en lien étroit avec le niveau de pauvreté (55% de la population vit au-dessous du seuil de pauvreté</w:t>
      </w:r>
      <w:r w:rsidR="00C43587" w:rsidRPr="00B0790B">
        <w:rPr>
          <w:rStyle w:val="Appelnotedebasdep"/>
          <w:sz w:val="24"/>
          <w:szCs w:val="28"/>
        </w:rPr>
        <w:footnoteReference w:id="5"/>
      </w:r>
      <w:r w:rsidRPr="00B0790B">
        <w:rPr>
          <w:sz w:val="24"/>
          <w:szCs w:val="28"/>
        </w:rPr>
        <w:t>)</w:t>
      </w:r>
      <w:r w:rsidR="00C43587" w:rsidRPr="00B0790B">
        <w:rPr>
          <w:sz w:val="24"/>
          <w:szCs w:val="28"/>
        </w:rPr>
        <w:t xml:space="preserve"> et d’autres facteurs</w:t>
      </w:r>
      <w:r w:rsidRPr="00B0790B">
        <w:rPr>
          <w:sz w:val="24"/>
          <w:szCs w:val="28"/>
        </w:rPr>
        <w:t>. En effet, la pauvreté monétaire et éducationnelle, implique :</w:t>
      </w:r>
    </w:p>
    <w:p w:rsidR="00D50530" w:rsidRPr="00B0790B" w:rsidRDefault="00D50530" w:rsidP="00D50530">
      <w:pPr>
        <w:pStyle w:val="Paragraphedeliste"/>
        <w:numPr>
          <w:ilvl w:val="0"/>
          <w:numId w:val="7"/>
        </w:numPr>
        <w:spacing w:after="120" w:line="240" w:lineRule="auto"/>
        <w:ind w:left="850" w:hanging="425"/>
        <w:contextualSpacing w:val="0"/>
        <w:jc w:val="both"/>
        <w:rPr>
          <w:sz w:val="24"/>
          <w:szCs w:val="28"/>
        </w:rPr>
      </w:pPr>
      <w:r w:rsidRPr="00B0790B">
        <w:rPr>
          <w:sz w:val="24"/>
          <w:szCs w:val="28"/>
        </w:rPr>
        <w:t>de mauvaises conditions d’hygiène et d’assainissement dans les ménages et les communautés, provoquant des maladies transmissibles (TB, VIH, paludisme, méningite, etc.),</w:t>
      </w:r>
    </w:p>
    <w:p w:rsidR="00D50530" w:rsidRPr="00B0790B" w:rsidRDefault="00D50530" w:rsidP="00D50530">
      <w:pPr>
        <w:pStyle w:val="Paragraphedeliste"/>
        <w:numPr>
          <w:ilvl w:val="0"/>
          <w:numId w:val="7"/>
        </w:numPr>
        <w:spacing w:after="120" w:line="240" w:lineRule="auto"/>
        <w:ind w:left="850" w:hanging="425"/>
        <w:contextualSpacing w:val="0"/>
        <w:jc w:val="both"/>
        <w:rPr>
          <w:sz w:val="24"/>
          <w:szCs w:val="28"/>
        </w:rPr>
      </w:pPr>
      <w:r w:rsidRPr="00B0790B">
        <w:rPr>
          <w:sz w:val="24"/>
          <w:szCs w:val="28"/>
        </w:rPr>
        <w:t>de mauvaises habitudes alimentaires et nutritionnelles, entrainant des maladies nutritionnelles, notamment chez les enfants et les femmes enceintes,</w:t>
      </w:r>
    </w:p>
    <w:p w:rsidR="00D50530" w:rsidRPr="00B0790B" w:rsidRDefault="00D50530" w:rsidP="00D50530">
      <w:pPr>
        <w:pStyle w:val="Paragraphedeliste"/>
        <w:numPr>
          <w:ilvl w:val="0"/>
          <w:numId w:val="7"/>
        </w:numPr>
        <w:ind w:left="850" w:hanging="425"/>
        <w:contextualSpacing w:val="0"/>
        <w:jc w:val="both"/>
        <w:rPr>
          <w:sz w:val="24"/>
          <w:szCs w:val="28"/>
        </w:rPr>
      </w:pPr>
      <w:r w:rsidRPr="00B0790B">
        <w:rPr>
          <w:sz w:val="24"/>
          <w:szCs w:val="28"/>
        </w:rPr>
        <w:t>de comportements défavorables à la santé, induisant à la fois des maladies transmissibles et des maladies non transmissibles (diabètes, maladies cardiovasculaires, cancers, etc.).</w:t>
      </w:r>
    </w:p>
    <w:p w:rsidR="00D50530" w:rsidRPr="00B0790B" w:rsidRDefault="00D50530" w:rsidP="00D50530">
      <w:pPr>
        <w:tabs>
          <w:tab w:val="left" w:pos="1418"/>
        </w:tabs>
        <w:spacing w:after="120" w:line="240" w:lineRule="auto"/>
        <w:jc w:val="both"/>
        <w:rPr>
          <w:sz w:val="24"/>
          <w:szCs w:val="28"/>
        </w:rPr>
      </w:pPr>
      <w:r w:rsidRPr="00B0790B">
        <w:rPr>
          <w:sz w:val="24"/>
          <w:szCs w:val="28"/>
        </w:rPr>
        <w:t>Les statistiques suivantes témoignent de ce qui précède :</w:t>
      </w:r>
    </w:p>
    <w:p w:rsidR="00D50530" w:rsidRPr="00B0790B" w:rsidRDefault="00D50530" w:rsidP="00D50530">
      <w:pPr>
        <w:pStyle w:val="Paragraphedeliste"/>
        <w:numPr>
          <w:ilvl w:val="0"/>
          <w:numId w:val="7"/>
        </w:numPr>
        <w:spacing w:after="120"/>
        <w:ind w:left="850" w:hanging="425"/>
        <w:contextualSpacing w:val="0"/>
        <w:jc w:val="both"/>
        <w:rPr>
          <w:sz w:val="24"/>
          <w:szCs w:val="28"/>
        </w:rPr>
      </w:pPr>
      <w:r w:rsidRPr="00B0790B">
        <w:rPr>
          <w:sz w:val="24"/>
          <w:szCs w:val="28"/>
        </w:rPr>
        <w:t>Le VIH/SIDA, avec une prévalence stable de 1,7% chez les personnes âgées de 15-49 ans</w:t>
      </w:r>
      <w:r w:rsidRPr="00B0790B">
        <w:rPr>
          <w:sz w:val="24"/>
          <w:szCs w:val="28"/>
          <w:vertAlign w:val="superscript"/>
        </w:rPr>
        <w:footnoteReference w:id="6"/>
      </w:r>
      <w:r w:rsidRPr="00B0790B">
        <w:rPr>
          <w:sz w:val="24"/>
          <w:szCs w:val="28"/>
        </w:rPr>
        <w:t>,  demeure un problème de santé publique. Bien que ce taux soit inférieur à la moyenne des pays francophones de l'Afrique subsaharienne (2%)</w:t>
      </w:r>
      <w:r w:rsidRPr="00B0790B">
        <w:rPr>
          <w:sz w:val="24"/>
          <w:szCs w:val="28"/>
          <w:vertAlign w:val="superscript"/>
        </w:rPr>
        <w:footnoteReference w:id="7"/>
      </w:r>
      <w:r w:rsidRPr="00B0790B">
        <w:rPr>
          <w:sz w:val="24"/>
          <w:szCs w:val="28"/>
        </w:rPr>
        <w:t>, il montre que la Guinée est en phase d’épidémie généralisée. En 2017, le VIH/SIDA représentait 8% des consultations dans les formations sanitaires en Guinée</w:t>
      </w:r>
      <w:r w:rsidRPr="00B0790B">
        <w:rPr>
          <w:sz w:val="24"/>
          <w:szCs w:val="28"/>
          <w:vertAlign w:val="superscript"/>
        </w:rPr>
        <w:footnoteReference w:id="8"/>
      </w:r>
      <w:r w:rsidRPr="00B0790B">
        <w:rPr>
          <w:sz w:val="24"/>
          <w:szCs w:val="28"/>
        </w:rPr>
        <w:t>. Le paludisme, malgré la forte réduction de sa fréquence (prévalence à 15%</w:t>
      </w:r>
      <w:r w:rsidRPr="00B0790B">
        <w:rPr>
          <w:sz w:val="24"/>
          <w:szCs w:val="28"/>
          <w:vertAlign w:val="superscript"/>
        </w:rPr>
        <w:footnoteReference w:id="9"/>
      </w:r>
      <w:r w:rsidRPr="00B0790B">
        <w:rPr>
          <w:sz w:val="24"/>
          <w:szCs w:val="28"/>
        </w:rPr>
        <w:t xml:space="preserve">), est encore la première cause de consultation dans les formations sanitaires et 36% des décès hospitaliers sont </w:t>
      </w:r>
      <w:r w:rsidRPr="00B0790B">
        <w:rPr>
          <w:sz w:val="24"/>
          <w:szCs w:val="28"/>
        </w:rPr>
        <w:lastRenderedPageBreak/>
        <w:t>dus au paludisme grave</w:t>
      </w:r>
      <w:r w:rsidRPr="00B0790B">
        <w:rPr>
          <w:sz w:val="24"/>
          <w:szCs w:val="28"/>
          <w:vertAlign w:val="superscript"/>
        </w:rPr>
        <w:footnoteReference w:id="10"/>
      </w:r>
      <w:r w:rsidRPr="00B0790B">
        <w:rPr>
          <w:sz w:val="24"/>
          <w:szCs w:val="28"/>
        </w:rPr>
        <w:t>. La prévalence de la tuberculose, avec 178 de TPM+ pour 100.000 habitants, reste encore élevée avec sa double charge de coïnfection avec le VIH/SIDA. A ceci s’ajoutent 15% d’épisode diarrhéique chez les enfants de moins de 5 ans</w:t>
      </w:r>
      <w:r w:rsidRPr="00B0790B">
        <w:rPr>
          <w:sz w:val="24"/>
          <w:szCs w:val="28"/>
          <w:vertAlign w:val="superscript"/>
        </w:rPr>
        <w:footnoteReference w:id="11"/>
      </w:r>
      <w:r w:rsidRPr="00B0790B">
        <w:rPr>
          <w:sz w:val="24"/>
          <w:szCs w:val="28"/>
        </w:rPr>
        <w:t>.</w:t>
      </w:r>
    </w:p>
    <w:p w:rsidR="00D50530" w:rsidRPr="00B0790B" w:rsidRDefault="00D50530" w:rsidP="00D50530">
      <w:pPr>
        <w:pStyle w:val="Paragraphedeliste"/>
        <w:numPr>
          <w:ilvl w:val="0"/>
          <w:numId w:val="7"/>
        </w:numPr>
        <w:spacing w:after="120"/>
        <w:ind w:left="850" w:hanging="425"/>
        <w:contextualSpacing w:val="0"/>
        <w:jc w:val="both"/>
        <w:rPr>
          <w:color w:val="000000" w:themeColor="text1"/>
          <w:sz w:val="24"/>
          <w:szCs w:val="28"/>
        </w:rPr>
      </w:pPr>
      <w:r w:rsidRPr="00B0790B">
        <w:rPr>
          <w:color w:val="000000" w:themeColor="text1"/>
          <w:sz w:val="24"/>
          <w:szCs w:val="28"/>
        </w:rPr>
        <w:t>La prévalence de l'insuffisance pondérale chez les enfants de moins de cinq ans, une mesure de l'état nutritionnel global de la population, est de 30%</w:t>
      </w:r>
      <w:r w:rsidRPr="00B0790B">
        <w:rPr>
          <w:color w:val="000000" w:themeColor="text1"/>
          <w:sz w:val="24"/>
          <w:szCs w:val="28"/>
          <w:vertAlign w:val="superscript"/>
        </w:rPr>
        <w:footnoteReference w:id="12"/>
      </w:r>
      <w:r w:rsidRPr="00B0790B">
        <w:rPr>
          <w:color w:val="000000" w:themeColor="text1"/>
          <w:sz w:val="24"/>
          <w:szCs w:val="28"/>
        </w:rPr>
        <w:t>.</w:t>
      </w:r>
    </w:p>
    <w:p w:rsidR="00D50530" w:rsidRPr="00B0790B" w:rsidRDefault="00D50530" w:rsidP="00D50530">
      <w:pPr>
        <w:pStyle w:val="Paragraphedeliste"/>
        <w:numPr>
          <w:ilvl w:val="0"/>
          <w:numId w:val="7"/>
        </w:numPr>
        <w:ind w:left="850" w:hanging="425"/>
        <w:contextualSpacing w:val="0"/>
        <w:jc w:val="both"/>
        <w:rPr>
          <w:color w:val="000000" w:themeColor="text1"/>
          <w:sz w:val="24"/>
          <w:szCs w:val="28"/>
        </w:rPr>
      </w:pPr>
      <w:r w:rsidRPr="00B0790B">
        <w:rPr>
          <w:color w:val="000000" w:themeColor="text1"/>
          <w:sz w:val="24"/>
          <w:szCs w:val="28"/>
        </w:rPr>
        <w:t>Les maladies chroniques deviennent de plus en plus importantes au niveau de la population.  Elles comprennent le diabète avec une prévalence de 5% chez les sujets de 15 à 64 ans, les maladies respiratoires chroniques avec 12,4% de prévalence en milieu scolaire, les maladies cardiovasculaires avec une prévalence de 28,1% d’HTA, les cancers du col de l’utérus 0,5% chez les femmes et le cancer du foie avec 31,5 p.100 000 et enfin de la drépanocytose avec une prévalence de 11,57% selon le test d’</w:t>
      </w:r>
      <w:proofErr w:type="spellStart"/>
      <w:r w:rsidRPr="00B0790B">
        <w:rPr>
          <w:color w:val="000000" w:themeColor="text1"/>
          <w:sz w:val="24"/>
          <w:szCs w:val="28"/>
        </w:rPr>
        <w:t>Emmel</w:t>
      </w:r>
      <w:proofErr w:type="spellEnd"/>
      <w:r w:rsidRPr="00B0790B">
        <w:rPr>
          <w:color w:val="000000" w:themeColor="text1"/>
          <w:sz w:val="24"/>
          <w:szCs w:val="28"/>
        </w:rPr>
        <w:t xml:space="preserve"> parmi les demandes de routine</w:t>
      </w:r>
      <w:r w:rsidRPr="00B0790B">
        <w:rPr>
          <w:color w:val="000000" w:themeColor="text1"/>
          <w:sz w:val="24"/>
          <w:szCs w:val="28"/>
          <w:vertAlign w:val="superscript"/>
        </w:rPr>
        <w:footnoteReference w:id="13"/>
      </w:r>
      <w:r w:rsidRPr="00B0790B">
        <w:rPr>
          <w:color w:val="000000" w:themeColor="text1"/>
          <w:sz w:val="24"/>
          <w:szCs w:val="28"/>
        </w:rPr>
        <w:t xml:space="preserve">. </w:t>
      </w:r>
    </w:p>
    <w:p w:rsidR="00D50530" w:rsidRPr="00B0790B" w:rsidRDefault="00D50530" w:rsidP="00D50530">
      <w:pPr>
        <w:spacing w:before="120"/>
        <w:jc w:val="both"/>
        <w:rPr>
          <w:color w:val="000000" w:themeColor="text1"/>
          <w:sz w:val="24"/>
          <w:szCs w:val="28"/>
        </w:rPr>
      </w:pPr>
      <w:r w:rsidRPr="00B0790B">
        <w:rPr>
          <w:color w:val="000000" w:themeColor="text1"/>
          <w:sz w:val="24"/>
          <w:szCs w:val="28"/>
        </w:rPr>
        <w:t>Cet état de santé est le reflet du système de santé guinéen « globalement peu performant</w:t>
      </w:r>
      <w:r w:rsidRPr="00B0790B">
        <w:rPr>
          <w:rStyle w:val="Appelnotedebasdep"/>
          <w:color w:val="000000" w:themeColor="text1"/>
          <w:sz w:val="24"/>
          <w:szCs w:val="28"/>
        </w:rPr>
        <w:footnoteReference w:id="14"/>
      </w:r>
      <w:r w:rsidRPr="00B0790B">
        <w:rPr>
          <w:color w:val="000000" w:themeColor="text1"/>
          <w:sz w:val="24"/>
          <w:szCs w:val="28"/>
        </w:rPr>
        <w:t> » à cause de la conjonction de plusieurs facteurs, comme le montrent les paragraphes ci-dessous.</w:t>
      </w:r>
    </w:p>
    <w:p w:rsidR="00D50530" w:rsidRPr="00B0790B" w:rsidRDefault="00D50530" w:rsidP="00D50530">
      <w:pPr>
        <w:spacing w:before="120" w:after="120"/>
        <w:jc w:val="both"/>
        <w:rPr>
          <w:color w:val="000000" w:themeColor="text1"/>
          <w:sz w:val="24"/>
          <w:szCs w:val="28"/>
        </w:rPr>
      </w:pPr>
      <w:r w:rsidRPr="00B0790B">
        <w:rPr>
          <w:color w:val="000000" w:themeColor="text1"/>
          <w:sz w:val="24"/>
          <w:szCs w:val="28"/>
        </w:rPr>
        <w:t>Sur le plan des infrastructures, le système est caractérisé par la prédominance du niveau primaire : 70,6% de postes de santé et 26,2% de centres de santé contre 2,7% pour les hôpitaux. Les infrastructures présentent des états physiques et fonctionnels différents à cause des décalages dans leur réalisation, dans les méthodes technologiques utilisées et surtout de leur  maintenance. Celles qui répondent aux normes sont peu nombreuses</w:t>
      </w:r>
      <w:r w:rsidRPr="00B0790B">
        <w:rPr>
          <w:color w:val="000000" w:themeColor="text1"/>
          <w:sz w:val="24"/>
          <w:szCs w:val="28"/>
          <w:vertAlign w:val="superscript"/>
        </w:rPr>
        <w:footnoteReference w:id="15"/>
      </w:r>
      <w:r w:rsidRPr="00B0790B">
        <w:rPr>
          <w:color w:val="000000" w:themeColor="text1"/>
          <w:sz w:val="24"/>
          <w:szCs w:val="28"/>
        </w:rPr>
        <w:t xml:space="preserve"> : </w:t>
      </w:r>
    </w:p>
    <w:p w:rsidR="00D50530" w:rsidRPr="00B0790B" w:rsidRDefault="00D50530" w:rsidP="00D50530">
      <w:pPr>
        <w:pStyle w:val="Paragraphedeliste"/>
        <w:numPr>
          <w:ilvl w:val="0"/>
          <w:numId w:val="7"/>
        </w:numPr>
        <w:spacing w:after="0"/>
        <w:ind w:left="850" w:hanging="425"/>
        <w:contextualSpacing w:val="0"/>
        <w:jc w:val="both"/>
        <w:rPr>
          <w:color w:val="000000" w:themeColor="text1"/>
          <w:sz w:val="24"/>
          <w:szCs w:val="28"/>
        </w:rPr>
      </w:pPr>
      <w:r w:rsidRPr="00B0790B">
        <w:rPr>
          <w:color w:val="000000" w:themeColor="text1"/>
          <w:sz w:val="24"/>
          <w:szCs w:val="28"/>
        </w:rPr>
        <w:t xml:space="preserve">hôpitaux régionaux : 3 sur 7 ; </w:t>
      </w:r>
    </w:p>
    <w:p w:rsidR="00D50530" w:rsidRPr="00B0790B" w:rsidRDefault="00D50530" w:rsidP="00D50530">
      <w:pPr>
        <w:pStyle w:val="Paragraphedeliste"/>
        <w:numPr>
          <w:ilvl w:val="0"/>
          <w:numId w:val="7"/>
        </w:numPr>
        <w:spacing w:after="0"/>
        <w:ind w:left="850" w:hanging="425"/>
        <w:contextualSpacing w:val="0"/>
        <w:jc w:val="both"/>
        <w:rPr>
          <w:color w:val="000000" w:themeColor="text1"/>
          <w:sz w:val="24"/>
          <w:szCs w:val="28"/>
        </w:rPr>
      </w:pPr>
      <w:r w:rsidRPr="00B0790B">
        <w:rPr>
          <w:color w:val="000000" w:themeColor="text1"/>
          <w:sz w:val="24"/>
          <w:szCs w:val="28"/>
        </w:rPr>
        <w:t xml:space="preserve">hôpitaux préfectoraux : 13 sur 26 ; </w:t>
      </w:r>
    </w:p>
    <w:p w:rsidR="00D50530" w:rsidRPr="00B0790B" w:rsidRDefault="00D50530" w:rsidP="00D50530">
      <w:pPr>
        <w:pStyle w:val="Paragraphedeliste"/>
        <w:numPr>
          <w:ilvl w:val="0"/>
          <w:numId w:val="7"/>
        </w:numPr>
        <w:spacing w:after="0"/>
        <w:ind w:left="850" w:hanging="425"/>
        <w:contextualSpacing w:val="0"/>
        <w:jc w:val="both"/>
        <w:rPr>
          <w:color w:val="000000" w:themeColor="text1"/>
          <w:sz w:val="24"/>
          <w:szCs w:val="28"/>
        </w:rPr>
      </w:pPr>
      <w:r w:rsidRPr="00B0790B">
        <w:rPr>
          <w:color w:val="000000" w:themeColor="text1"/>
          <w:sz w:val="24"/>
          <w:szCs w:val="28"/>
        </w:rPr>
        <w:t xml:space="preserve">Centres de santé : 115 sur 444 ; </w:t>
      </w:r>
    </w:p>
    <w:p w:rsidR="00D50530" w:rsidRPr="00B0790B" w:rsidRDefault="00D50530" w:rsidP="00D50530">
      <w:pPr>
        <w:pStyle w:val="Paragraphedeliste"/>
        <w:numPr>
          <w:ilvl w:val="0"/>
          <w:numId w:val="7"/>
        </w:numPr>
        <w:ind w:left="850" w:hanging="425"/>
        <w:contextualSpacing w:val="0"/>
        <w:jc w:val="both"/>
        <w:rPr>
          <w:color w:val="000000" w:themeColor="text1"/>
          <w:sz w:val="24"/>
          <w:szCs w:val="28"/>
        </w:rPr>
      </w:pPr>
      <w:r w:rsidRPr="00B0790B">
        <w:rPr>
          <w:color w:val="000000" w:themeColor="text1"/>
          <w:sz w:val="24"/>
          <w:szCs w:val="28"/>
        </w:rPr>
        <w:t xml:space="preserve">DRS/DPS : 4 sur 46 </w:t>
      </w:r>
    </w:p>
    <w:p w:rsidR="00D50530" w:rsidRPr="00B0790B" w:rsidRDefault="00D50530" w:rsidP="00D50530">
      <w:pPr>
        <w:spacing w:before="120"/>
        <w:jc w:val="both"/>
        <w:rPr>
          <w:color w:val="000000" w:themeColor="text1"/>
          <w:sz w:val="24"/>
          <w:szCs w:val="28"/>
        </w:rPr>
      </w:pPr>
      <w:r w:rsidRPr="00B0790B">
        <w:rPr>
          <w:color w:val="000000" w:themeColor="text1"/>
          <w:sz w:val="24"/>
          <w:szCs w:val="28"/>
        </w:rPr>
        <w:t>Le niveau des équipements correspond généralement à celui défini dans la carte sanitaire, mais avec des différences notables dans leur fonctionnalité.</w:t>
      </w:r>
    </w:p>
    <w:p w:rsidR="00D50530" w:rsidRPr="00B0790B" w:rsidRDefault="00D50530" w:rsidP="00D50530">
      <w:pPr>
        <w:jc w:val="both"/>
        <w:rPr>
          <w:color w:val="000000" w:themeColor="text1"/>
          <w:sz w:val="24"/>
          <w:szCs w:val="28"/>
        </w:rPr>
      </w:pPr>
      <w:r w:rsidRPr="00B0790B">
        <w:rPr>
          <w:color w:val="000000" w:themeColor="text1"/>
          <w:sz w:val="24"/>
          <w:szCs w:val="28"/>
        </w:rPr>
        <w:t>La capacité du Ministère à assurer la maintenance des infrastructures et équipement est faible et il n’existe pas de plan de développement des infrastructures.</w:t>
      </w:r>
    </w:p>
    <w:p w:rsidR="00D50530" w:rsidRPr="00B0790B" w:rsidRDefault="00D50530" w:rsidP="00D50530">
      <w:pPr>
        <w:spacing w:before="120"/>
        <w:jc w:val="both"/>
        <w:rPr>
          <w:color w:val="000000" w:themeColor="text1"/>
          <w:sz w:val="24"/>
          <w:szCs w:val="28"/>
        </w:rPr>
      </w:pPr>
      <w:r w:rsidRPr="00B0790B">
        <w:rPr>
          <w:color w:val="000000" w:themeColor="text1"/>
          <w:sz w:val="24"/>
          <w:szCs w:val="28"/>
        </w:rPr>
        <w:t xml:space="preserve">La régulation faible du secteur pharmaceutique contribue à la  faible disponibilité des médicaments, vaccins, autres produits médicaux et technologies de qualité. </w:t>
      </w:r>
    </w:p>
    <w:p w:rsidR="00D50530" w:rsidRPr="00B0790B" w:rsidRDefault="00D50530" w:rsidP="00D50530">
      <w:pPr>
        <w:tabs>
          <w:tab w:val="left" w:pos="7888"/>
        </w:tabs>
        <w:spacing w:before="120" w:after="120"/>
        <w:jc w:val="both"/>
        <w:rPr>
          <w:color w:val="000000" w:themeColor="text1"/>
          <w:sz w:val="24"/>
          <w:szCs w:val="28"/>
        </w:rPr>
      </w:pPr>
      <w:r w:rsidRPr="00B0790B">
        <w:rPr>
          <w:color w:val="000000" w:themeColor="text1"/>
          <w:sz w:val="24"/>
          <w:szCs w:val="28"/>
        </w:rPr>
        <w:lastRenderedPageBreak/>
        <w:t>Les services de santé sont sous-financés, avec faible contribution de l’Etat. Aussi, malgré le niveau de pauvreté très poussé de la population, les dépenses de santé sont essentiellement financées par les ménages, sous forme de paiement direct. Cela signifie que les pauvres ont peu accès aux services de santé. Pour la gestion financière, les capacités de la DAF sont faibles.</w:t>
      </w:r>
      <w:r w:rsidRPr="00B0790B">
        <w:rPr>
          <w:rStyle w:val="Appelnotedebasdep"/>
          <w:color w:val="000000" w:themeColor="text1"/>
          <w:sz w:val="24"/>
          <w:szCs w:val="28"/>
        </w:rPr>
        <w:footnoteReference w:id="16"/>
      </w:r>
    </w:p>
    <w:p w:rsidR="00D50530" w:rsidRPr="00B0790B" w:rsidRDefault="00D50530" w:rsidP="00D50530">
      <w:pPr>
        <w:tabs>
          <w:tab w:val="left" w:pos="7888"/>
        </w:tabs>
        <w:spacing w:before="120" w:after="120"/>
        <w:jc w:val="both"/>
        <w:rPr>
          <w:color w:val="000000" w:themeColor="text1"/>
          <w:sz w:val="24"/>
          <w:szCs w:val="28"/>
        </w:rPr>
      </w:pPr>
      <w:r w:rsidRPr="00B0790B">
        <w:rPr>
          <w:color w:val="000000" w:themeColor="text1"/>
          <w:sz w:val="24"/>
          <w:szCs w:val="28"/>
        </w:rPr>
        <w:t xml:space="preserve">Le système d’information sanitaire, malgré les améliorations remarquables de ces dernières années, continue à fonctionner avec quelques systèmes parallèles. De plus, la capacité des ressources humaines doit être améliorée pour l’analyse des données aux fins de prise de décision, surtout avec l’informatisation du système. </w:t>
      </w:r>
    </w:p>
    <w:p w:rsidR="00D50530" w:rsidRPr="00B0790B" w:rsidRDefault="00D50530" w:rsidP="00D50530">
      <w:pPr>
        <w:tabs>
          <w:tab w:val="left" w:pos="7888"/>
        </w:tabs>
        <w:spacing w:before="120" w:after="120"/>
        <w:jc w:val="both"/>
        <w:rPr>
          <w:color w:val="000000" w:themeColor="text1"/>
          <w:sz w:val="24"/>
          <w:szCs w:val="28"/>
        </w:rPr>
      </w:pPr>
      <w:r w:rsidRPr="00B0790B">
        <w:rPr>
          <w:color w:val="000000" w:themeColor="text1"/>
          <w:sz w:val="24"/>
          <w:szCs w:val="28"/>
        </w:rPr>
        <w:t>Au plan de la gouvernance globale du système, l’organisation des services de santé est inappropriée et leur gestion inadaptée : duplication de fonctions, relations hiérarchiques et fonctionnelles ambigües, intégration insuffisante du secteur privé). De même, le management est défaillant : manque de politique de redevabilité, d'évaluation des performances individuelles et collectives</w:t>
      </w:r>
      <w:r w:rsidRPr="00B0790B">
        <w:rPr>
          <w:rStyle w:val="Appelnotedebasdep"/>
          <w:color w:val="000000" w:themeColor="text1"/>
          <w:sz w:val="24"/>
          <w:szCs w:val="28"/>
        </w:rPr>
        <w:footnoteReference w:id="17"/>
      </w:r>
      <w:r w:rsidRPr="00B0790B">
        <w:rPr>
          <w:color w:val="000000" w:themeColor="text1"/>
          <w:sz w:val="24"/>
          <w:szCs w:val="28"/>
        </w:rPr>
        <w:t>.</w:t>
      </w:r>
    </w:p>
    <w:p w:rsidR="00D50530" w:rsidRPr="00B0790B" w:rsidRDefault="00D50530" w:rsidP="00D50530">
      <w:pPr>
        <w:jc w:val="both"/>
        <w:rPr>
          <w:color w:val="FF0000"/>
          <w:sz w:val="24"/>
          <w:szCs w:val="28"/>
        </w:rPr>
      </w:pPr>
      <w:r w:rsidRPr="00B0790B">
        <w:rPr>
          <w:color w:val="FF0000"/>
          <w:sz w:val="24"/>
          <w:szCs w:val="28"/>
        </w:rPr>
        <w:t xml:space="preserve">La problématique des ressources humaines pour la santé </w:t>
      </w:r>
      <w:r w:rsidR="008B764E" w:rsidRPr="00B0790B">
        <w:rPr>
          <w:color w:val="FF0000"/>
          <w:sz w:val="24"/>
          <w:szCs w:val="28"/>
        </w:rPr>
        <w:t>n’</w:t>
      </w:r>
      <w:r w:rsidRPr="00B0790B">
        <w:rPr>
          <w:color w:val="FF0000"/>
          <w:sz w:val="24"/>
          <w:szCs w:val="28"/>
        </w:rPr>
        <w:t xml:space="preserve">est </w:t>
      </w:r>
      <w:r w:rsidR="008B764E" w:rsidRPr="00B0790B">
        <w:rPr>
          <w:color w:val="FF0000"/>
          <w:sz w:val="24"/>
          <w:szCs w:val="28"/>
        </w:rPr>
        <w:t xml:space="preserve">pas meilleure et est </w:t>
      </w:r>
      <w:r w:rsidRPr="00B0790B">
        <w:rPr>
          <w:color w:val="FF0000"/>
          <w:sz w:val="24"/>
          <w:szCs w:val="28"/>
        </w:rPr>
        <w:t xml:space="preserve">abordée </w:t>
      </w:r>
      <w:r w:rsidR="008B764E" w:rsidRPr="00B0790B">
        <w:rPr>
          <w:color w:val="FF0000"/>
          <w:sz w:val="24"/>
          <w:szCs w:val="28"/>
        </w:rPr>
        <w:t>plus en</w:t>
      </w:r>
      <w:r w:rsidRPr="00B0790B">
        <w:rPr>
          <w:color w:val="FF0000"/>
          <w:sz w:val="24"/>
          <w:szCs w:val="28"/>
        </w:rPr>
        <w:t xml:space="preserve"> détail dans le chapitre 1 ci-dessous.</w:t>
      </w:r>
    </w:p>
    <w:p w:rsidR="00D50530" w:rsidRPr="00B0790B" w:rsidRDefault="00D50530" w:rsidP="00D50530">
      <w:pPr>
        <w:tabs>
          <w:tab w:val="left" w:pos="7888"/>
        </w:tabs>
        <w:spacing w:before="120" w:after="120"/>
        <w:jc w:val="both"/>
        <w:rPr>
          <w:color w:val="000000" w:themeColor="text1"/>
          <w:sz w:val="24"/>
          <w:szCs w:val="28"/>
        </w:rPr>
      </w:pPr>
      <w:r w:rsidRPr="00B0790B">
        <w:rPr>
          <w:color w:val="000000" w:themeColor="text1"/>
          <w:sz w:val="24"/>
          <w:szCs w:val="28"/>
        </w:rPr>
        <w:t>Tout cela se répercute négativement sur les prestations de soins et services de santé et détermine leur mauvaise qualité, une couverture en services de santé faible et inéquitable et l’insatisfaction des usagers</w:t>
      </w:r>
      <w:r w:rsidRPr="00B0790B">
        <w:rPr>
          <w:rStyle w:val="Appelnotedebasdep"/>
          <w:color w:val="000000" w:themeColor="text1"/>
          <w:sz w:val="24"/>
          <w:szCs w:val="28"/>
        </w:rPr>
        <w:footnoteReference w:id="18"/>
      </w:r>
      <w:r w:rsidRPr="00B0790B">
        <w:rPr>
          <w:color w:val="000000" w:themeColor="text1"/>
          <w:sz w:val="24"/>
          <w:szCs w:val="28"/>
        </w:rPr>
        <w:t>.</w:t>
      </w:r>
    </w:p>
    <w:p w:rsidR="00D50530" w:rsidRPr="00B0790B" w:rsidRDefault="00C168B1" w:rsidP="00D50530">
      <w:pPr>
        <w:jc w:val="both"/>
        <w:rPr>
          <w:color w:val="000000" w:themeColor="text1"/>
          <w:sz w:val="24"/>
          <w:szCs w:val="28"/>
        </w:rPr>
      </w:pPr>
      <w:r w:rsidRPr="00B0790B">
        <w:rPr>
          <w:color w:val="000000" w:themeColor="text1"/>
          <w:sz w:val="24"/>
          <w:szCs w:val="28"/>
        </w:rPr>
        <w:t>Face à cette situation non reluisante, le gouvernement s’est engagé vers la couverture sanitaire universelle (CSU)</w:t>
      </w:r>
      <w:r w:rsidR="00811F69" w:rsidRPr="00B0790B">
        <w:rPr>
          <w:color w:val="000000" w:themeColor="text1"/>
          <w:sz w:val="24"/>
          <w:szCs w:val="28"/>
        </w:rPr>
        <w:t>, telle que définie dans le plan national de développement sanitaire (PNDS)</w:t>
      </w:r>
      <w:r w:rsidRPr="00B0790B">
        <w:rPr>
          <w:color w:val="000000" w:themeColor="text1"/>
          <w:sz w:val="24"/>
          <w:szCs w:val="28"/>
        </w:rPr>
        <w:t xml:space="preserve">. Ainsi, le renforcement de l’offre de soins et services de santé, la stimulation de la demande de soins et services de santé, le développement de stratégies de financement pour la protection de la population contre les dépenses de santé et l’amélioration de la gouvernance en général et de la gouvernance locale </w:t>
      </w:r>
      <w:r w:rsidR="00E07446" w:rsidRPr="00B0790B">
        <w:rPr>
          <w:color w:val="000000" w:themeColor="text1"/>
          <w:sz w:val="24"/>
          <w:szCs w:val="28"/>
        </w:rPr>
        <w:t xml:space="preserve">pour la santé </w:t>
      </w:r>
      <w:r w:rsidRPr="00B0790B">
        <w:rPr>
          <w:color w:val="000000" w:themeColor="text1"/>
          <w:sz w:val="24"/>
          <w:szCs w:val="28"/>
        </w:rPr>
        <w:t>en particulier</w:t>
      </w:r>
      <w:r w:rsidR="00E07446" w:rsidRPr="00B0790B">
        <w:rPr>
          <w:color w:val="000000" w:themeColor="text1"/>
          <w:sz w:val="24"/>
          <w:szCs w:val="28"/>
        </w:rPr>
        <w:t>,</w:t>
      </w:r>
      <w:r w:rsidRPr="00B0790B">
        <w:rPr>
          <w:color w:val="000000" w:themeColor="text1"/>
          <w:sz w:val="24"/>
          <w:szCs w:val="28"/>
        </w:rPr>
        <w:t xml:space="preserve"> ont été entrepris. </w:t>
      </w:r>
      <w:r w:rsidR="00E07446" w:rsidRPr="00B0790B">
        <w:rPr>
          <w:color w:val="000000" w:themeColor="text1"/>
          <w:sz w:val="24"/>
          <w:szCs w:val="28"/>
        </w:rPr>
        <w:t>Ces quatre approches constituent le fondement de la santé communautaire, l</w:t>
      </w:r>
      <w:r w:rsidR="006A545D" w:rsidRPr="00B0790B">
        <w:rPr>
          <w:color w:val="000000" w:themeColor="text1"/>
          <w:sz w:val="24"/>
          <w:szCs w:val="28"/>
        </w:rPr>
        <w:t>’une des</w:t>
      </w:r>
      <w:r w:rsidR="00E07446" w:rsidRPr="00B0790B">
        <w:rPr>
          <w:color w:val="000000" w:themeColor="text1"/>
          <w:sz w:val="24"/>
          <w:szCs w:val="28"/>
        </w:rPr>
        <w:t xml:space="preserve"> priorité</w:t>
      </w:r>
      <w:r w:rsidR="006A545D" w:rsidRPr="00B0790B">
        <w:rPr>
          <w:color w:val="000000" w:themeColor="text1"/>
          <w:sz w:val="24"/>
          <w:szCs w:val="28"/>
        </w:rPr>
        <w:t>s</w:t>
      </w:r>
      <w:r w:rsidR="00E07446" w:rsidRPr="00B0790B">
        <w:rPr>
          <w:color w:val="000000" w:themeColor="text1"/>
          <w:sz w:val="24"/>
          <w:szCs w:val="28"/>
        </w:rPr>
        <w:t xml:space="preserve"> du système de santé. </w:t>
      </w:r>
      <w:r w:rsidRPr="00B0790B">
        <w:rPr>
          <w:color w:val="000000" w:themeColor="text1"/>
          <w:sz w:val="24"/>
          <w:szCs w:val="28"/>
        </w:rPr>
        <w:t xml:space="preserve">Or, aucune de ces stratégies ne peut réussir sans </w:t>
      </w:r>
      <w:r w:rsidR="00E07446" w:rsidRPr="00B0790B">
        <w:rPr>
          <w:color w:val="000000" w:themeColor="text1"/>
          <w:sz w:val="24"/>
          <w:szCs w:val="28"/>
        </w:rPr>
        <w:t>l</w:t>
      </w:r>
      <w:r w:rsidRPr="00B0790B">
        <w:rPr>
          <w:color w:val="000000" w:themeColor="text1"/>
          <w:sz w:val="24"/>
          <w:szCs w:val="28"/>
        </w:rPr>
        <w:t>es ressources humaines</w:t>
      </w:r>
      <w:r w:rsidR="00E07446" w:rsidRPr="00B0790B">
        <w:rPr>
          <w:color w:val="000000" w:themeColor="text1"/>
          <w:sz w:val="24"/>
          <w:szCs w:val="28"/>
        </w:rPr>
        <w:t xml:space="preserve"> appropriées.</w:t>
      </w:r>
    </w:p>
    <w:p w:rsidR="00E07446" w:rsidRDefault="00E07446" w:rsidP="00D50530">
      <w:pPr>
        <w:jc w:val="both"/>
        <w:rPr>
          <w:color w:val="000000" w:themeColor="text1"/>
          <w:sz w:val="28"/>
          <w:szCs w:val="28"/>
        </w:rPr>
      </w:pPr>
      <w:r w:rsidRPr="00B0790B">
        <w:rPr>
          <w:color w:val="000000" w:themeColor="text1"/>
          <w:sz w:val="24"/>
          <w:szCs w:val="28"/>
        </w:rPr>
        <w:t xml:space="preserve">C’est pourquoi, dans le processus de réformes en cours dans le secteur de la santé, une place prépondérante est accordée à la gestion et au développement des RHS. </w:t>
      </w:r>
      <w:r w:rsidR="00811F69" w:rsidRPr="00B0790B">
        <w:rPr>
          <w:color w:val="000000" w:themeColor="text1"/>
          <w:sz w:val="24"/>
          <w:szCs w:val="28"/>
        </w:rPr>
        <w:t>Dans ce c</w:t>
      </w:r>
      <w:r w:rsidR="00841600" w:rsidRPr="00B0790B">
        <w:rPr>
          <w:color w:val="000000" w:themeColor="text1"/>
          <w:sz w:val="24"/>
          <w:szCs w:val="28"/>
        </w:rPr>
        <w:t>ontexte</w:t>
      </w:r>
      <w:r w:rsidR="00811F69" w:rsidRPr="00B0790B">
        <w:rPr>
          <w:color w:val="000000" w:themeColor="text1"/>
          <w:sz w:val="24"/>
          <w:szCs w:val="28"/>
        </w:rPr>
        <w:t>, des mesures sont prise pour successivement </w:t>
      </w:r>
      <w:r w:rsidR="00841600" w:rsidRPr="00B0790B">
        <w:rPr>
          <w:color w:val="000000" w:themeColor="text1"/>
          <w:sz w:val="24"/>
          <w:szCs w:val="28"/>
        </w:rPr>
        <w:t xml:space="preserve">élaborer un ensemble de documents stratégiques. </w:t>
      </w:r>
      <w:r w:rsidR="00B04A96" w:rsidRPr="00B0790B">
        <w:rPr>
          <w:color w:val="000000" w:themeColor="text1"/>
          <w:sz w:val="24"/>
          <w:szCs w:val="28"/>
        </w:rPr>
        <w:t>Ainsi se justifie l</w:t>
      </w:r>
      <w:r w:rsidR="009E3ADA" w:rsidRPr="00B0790B">
        <w:rPr>
          <w:color w:val="000000" w:themeColor="text1"/>
          <w:sz w:val="24"/>
          <w:szCs w:val="28"/>
        </w:rPr>
        <w:t>’élaboration d</w:t>
      </w:r>
      <w:r w:rsidR="0040617D" w:rsidRPr="00B0790B">
        <w:rPr>
          <w:color w:val="000000" w:themeColor="text1"/>
          <w:sz w:val="24"/>
          <w:szCs w:val="28"/>
        </w:rPr>
        <w:t>e la</w:t>
      </w:r>
      <w:r w:rsidR="00841600" w:rsidRPr="00B0790B">
        <w:rPr>
          <w:color w:val="000000" w:themeColor="text1"/>
          <w:sz w:val="24"/>
          <w:szCs w:val="28"/>
        </w:rPr>
        <w:t xml:space="preserve"> présent</w:t>
      </w:r>
      <w:r w:rsidR="0040617D" w:rsidRPr="00B0790B">
        <w:rPr>
          <w:color w:val="000000" w:themeColor="text1"/>
          <w:sz w:val="24"/>
          <w:szCs w:val="28"/>
        </w:rPr>
        <w:t>e</w:t>
      </w:r>
      <w:r w:rsidR="00841600" w:rsidRPr="00B0790B">
        <w:rPr>
          <w:color w:val="000000" w:themeColor="text1"/>
          <w:sz w:val="24"/>
          <w:szCs w:val="28"/>
        </w:rPr>
        <w:t xml:space="preserve"> politique de développement des ressources humaines pour la santé. </w:t>
      </w:r>
    </w:p>
    <w:p w:rsidR="00E745C2" w:rsidRDefault="00E745C2" w:rsidP="00FF4036">
      <w:pPr>
        <w:pStyle w:val="Titre1"/>
        <w:numPr>
          <w:ilvl w:val="0"/>
          <w:numId w:val="4"/>
        </w:numPr>
        <w:spacing w:after="360"/>
        <w:jc w:val="both"/>
      </w:pPr>
      <w:r>
        <w:lastRenderedPageBreak/>
        <w:t>ANALYSE DE SITUATION DES RESSOURCES HUMAINES POUR LA SANTE</w:t>
      </w:r>
    </w:p>
    <w:p w:rsidR="00FF4036" w:rsidRPr="00B0790B" w:rsidRDefault="00FF4036" w:rsidP="006028F3">
      <w:pPr>
        <w:jc w:val="both"/>
        <w:rPr>
          <w:color w:val="000000" w:themeColor="text1"/>
          <w:sz w:val="24"/>
          <w:szCs w:val="28"/>
        </w:rPr>
      </w:pPr>
      <w:r w:rsidRPr="00B0790B">
        <w:rPr>
          <w:color w:val="000000" w:themeColor="text1"/>
          <w:sz w:val="24"/>
          <w:szCs w:val="28"/>
        </w:rPr>
        <w:t xml:space="preserve">Le contenu du présent chapitre est </w:t>
      </w:r>
      <w:r w:rsidR="006028F3" w:rsidRPr="00B0790B">
        <w:rPr>
          <w:color w:val="000000" w:themeColor="text1"/>
          <w:sz w:val="24"/>
          <w:szCs w:val="28"/>
        </w:rPr>
        <w:t xml:space="preserve">essentiellement </w:t>
      </w:r>
      <w:r w:rsidRPr="00B0790B">
        <w:rPr>
          <w:color w:val="000000" w:themeColor="text1"/>
          <w:sz w:val="24"/>
          <w:szCs w:val="28"/>
        </w:rPr>
        <w:t>extrait du rapport d’analyse de situation des ressources humaines pour la santé.</w:t>
      </w:r>
    </w:p>
    <w:p w:rsidR="00717929" w:rsidRDefault="00717929" w:rsidP="00FF4036">
      <w:pPr>
        <w:pStyle w:val="Titre1"/>
        <w:numPr>
          <w:ilvl w:val="1"/>
          <w:numId w:val="8"/>
        </w:numPr>
        <w:spacing w:before="360" w:after="240"/>
        <w:ind w:left="1843"/>
      </w:pPr>
      <w:r>
        <w:t>Rappel de la méthodologie</w:t>
      </w:r>
    </w:p>
    <w:p w:rsidR="00762B95" w:rsidRPr="00B0790B" w:rsidRDefault="00762B95" w:rsidP="00875E55">
      <w:pPr>
        <w:jc w:val="both"/>
        <w:rPr>
          <w:color w:val="000000" w:themeColor="text1"/>
          <w:sz w:val="24"/>
          <w:szCs w:val="28"/>
        </w:rPr>
      </w:pPr>
      <w:r w:rsidRPr="00B0790B">
        <w:rPr>
          <w:color w:val="000000" w:themeColor="text1"/>
          <w:sz w:val="24"/>
          <w:szCs w:val="28"/>
        </w:rPr>
        <w:t xml:space="preserve">La situation des RHS a été analysée en exploitant plusieurs types de documents existants, conformément à l’instruction de la Direction des Ressources humaines du MS. </w:t>
      </w:r>
      <w:r w:rsidR="00875E55" w:rsidRPr="00B0790B">
        <w:rPr>
          <w:color w:val="000000" w:themeColor="text1"/>
          <w:sz w:val="24"/>
          <w:szCs w:val="28"/>
        </w:rPr>
        <w:t>L</w:t>
      </w:r>
      <w:r w:rsidRPr="00B0790B">
        <w:rPr>
          <w:color w:val="000000" w:themeColor="text1"/>
          <w:sz w:val="24"/>
          <w:szCs w:val="28"/>
        </w:rPr>
        <w:t>e fichier des ressources humaines pour la santé existant au Ministère en charge de la Fonction publique, fourni par la Direction des Ressources Humaines (DRH) de la santé</w:t>
      </w:r>
      <w:r w:rsidR="00875E55" w:rsidRPr="00B0790B">
        <w:rPr>
          <w:color w:val="000000" w:themeColor="text1"/>
          <w:sz w:val="24"/>
          <w:szCs w:val="28"/>
        </w:rPr>
        <w:t xml:space="preserve"> a servi à la </w:t>
      </w:r>
      <w:r w:rsidRPr="00B0790B">
        <w:rPr>
          <w:color w:val="000000" w:themeColor="text1"/>
          <w:sz w:val="24"/>
          <w:szCs w:val="28"/>
        </w:rPr>
        <w:t>détermin</w:t>
      </w:r>
      <w:r w:rsidR="00875E55" w:rsidRPr="00B0790B">
        <w:rPr>
          <w:color w:val="000000" w:themeColor="text1"/>
          <w:sz w:val="24"/>
          <w:szCs w:val="28"/>
        </w:rPr>
        <w:t>ation d</w:t>
      </w:r>
      <w:r w:rsidRPr="00B0790B">
        <w:rPr>
          <w:color w:val="000000" w:themeColor="text1"/>
          <w:sz w:val="24"/>
          <w:szCs w:val="28"/>
        </w:rPr>
        <w:t xml:space="preserve">es effectifs actuels des RHS, </w:t>
      </w:r>
      <w:r w:rsidR="00960555" w:rsidRPr="00B0790B">
        <w:rPr>
          <w:color w:val="000000" w:themeColor="text1"/>
          <w:sz w:val="24"/>
          <w:szCs w:val="28"/>
        </w:rPr>
        <w:t>à l’</w:t>
      </w:r>
      <w:r w:rsidRPr="00B0790B">
        <w:rPr>
          <w:color w:val="000000" w:themeColor="text1"/>
          <w:sz w:val="24"/>
          <w:szCs w:val="28"/>
        </w:rPr>
        <w:t>étude</w:t>
      </w:r>
      <w:r w:rsidR="00960555" w:rsidRPr="00B0790B">
        <w:rPr>
          <w:color w:val="000000" w:themeColor="text1"/>
          <w:sz w:val="24"/>
          <w:szCs w:val="28"/>
        </w:rPr>
        <w:t xml:space="preserve"> de</w:t>
      </w:r>
      <w:r w:rsidRPr="00B0790B">
        <w:rPr>
          <w:color w:val="000000" w:themeColor="text1"/>
          <w:sz w:val="24"/>
          <w:szCs w:val="28"/>
        </w:rPr>
        <w:t xml:space="preserve"> leur répartition, </w:t>
      </w:r>
      <w:r w:rsidR="00960555" w:rsidRPr="00B0790B">
        <w:rPr>
          <w:color w:val="000000" w:themeColor="text1"/>
          <w:sz w:val="24"/>
          <w:szCs w:val="28"/>
        </w:rPr>
        <w:t xml:space="preserve">au </w:t>
      </w:r>
      <w:r w:rsidRPr="00B0790B">
        <w:rPr>
          <w:color w:val="000000" w:themeColor="text1"/>
          <w:sz w:val="24"/>
          <w:szCs w:val="28"/>
        </w:rPr>
        <w:t>calcul</w:t>
      </w:r>
      <w:r w:rsidR="00960555" w:rsidRPr="00B0790B">
        <w:rPr>
          <w:color w:val="000000" w:themeColor="text1"/>
          <w:sz w:val="24"/>
          <w:szCs w:val="28"/>
        </w:rPr>
        <w:t xml:space="preserve"> d</w:t>
      </w:r>
      <w:r w:rsidRPr="00B0790B">
        <w:rPr>
          <w:color w:val="000000" w:themeColor="text1"/>
          <w:sz w:val="24"/>
          <w:szCs w:val="28"/>
        </w:rPr>
        <w:t xml:space="preserve">es différents ratios et </w:t>
      </w:r>
      <w:r w:rsidR="00960555" w:rsidRPr="00B0790B">
        <w:rPr>
          <w:color w:val="000000" w:themeColor="text1"/>
          <w:sz w:val="24"/>
          <w:szCs w:val="28"/>
        </w:rPr>
        <w:t xml:space="preserve">à la </w:t>
      </w:r>
      <w:r w:rsidRPr="00B0790B">
        <w:rPr>
          <w:color w:val="000000" w:themeColor="text1"/>
          <w:sz w:val="24"/>
          <w:szCs w:val="28"/>
        </w:rPr>
        <w:t>proje</w:t>
      </w:r>
      <w:r w:rsidR="00960555" w:rsidRPr="00B0790B">
        <w:rPr>
          <w:color w:val="000000" w:themeColor="text1"/>
          <w:sz w:val="24"/>
          <w:szCs w:val="28"/>
        </w:rPr>
        <w:t>c</w:t>
      </w:r>
      <w:r w:rsidRPr="00B0790B">
        <w:rPr>
          <w:color w:val="000000" w:themeColor="text1"/>
          <w:sz w:val="24"/>
          <w:szCs w:val="28"/>
        </w:rPr>
        <w:t>t</w:t>
      </w:r>
      <w:r w:rsidR="00960555" w:rsidRPr="00B0790B">
        <w:rPr>
          <w:color w:val="000000" w:themeColor="text1"/>
          <w:sz w:val="24"/>
          <w:szCs w:val="28"/>
        </w:rPr>
        <w:t>ion d</w:t>
      </w:r>
      <w:r w:rsidRPr="00B0790B">
        <w:rPr>
          <w:color w:val="000000" w:themeColor="text1"/>
          <w:sz w:val="24"/>
          <w:szCs w:val="28"/>
        </w:rPr>
        <w:t xml:space="preserve">es départs à la retraite et </w:t>
      </w:r>
      <w:r w:rsidR="00960555" w:rsidRPr="00B0790B">
        <w:rPr>
          <w:color w:val="000000" w:themeColor="text1"/>
          <w:sz w:val="24"/>
          <w:szCs w:val="28"/>
        </w:rPr>
        <w:t>l</w:t>
      </w:r>
      <w:r w:rsidRPr="00B0790B">
        <w:rPr>
          <w:color w:val="000000" w:themeColor="text1"/>
          <w:sz w:val="24"/>
          <w:szCs w:val="28"/>
        </w:rPr>
        <w:t xml:space="preserve">’évolution prévisible des effectifs des RHS de 2019 à 2024. Les </w:t>
      </w:r>
      <w:r w:rsidR="00960555" w:rsidRPr="00B0790B">
        <w:rPr>
          <w:color w:val="000000" w:themeColor="text1"/>
          <w:sz w:val="24"/>
          <w:szCs w:val="28"/>
        </w:rPr>
        <w:t xml:space="preserve">normes de l’OMS ont été utilisées pour déterminer les </w:t>
      </w:r>
      <w:r w:rsidRPr="00B0790B">
        <w:rPr>
          <w:color w:val="000000" w:themeColor="text1"/>
          <w:sz w:val="24"/>
          <w:szCs w:val="28"/>
        </w:rPr>
        <w:t>effectifs requis</w:t>
      </w:r>
      <w:r w:rsidR="00960555" w:rsidRPr="00B0790B">
        <w:rPr>
          <w:color w:val="000000" w:themeColor="text1"/>
          <w:sz w:val="24"/>
          <w:szCs w:val="28"/>
        </w:rPr>
        <w:t>.</w:t>
      </w:r>
    </w:p>
    <w:p w:rsidR="00762B95" w:rsidRPr="00B0790B" w:rsidRDefault="00762B95" w:rsidP="00762B95">
      <w:pPr>
        <w:jc w:val="both"/>
        <w:rPr>
          <w:color w:val="000000" w:themeColor="text1"/>
          <w:sz w:val="24"/>
          <w:szCs w:val="28"/>
        </w:rPr>
      </w:pPr>
      <w:r w:rsidRPr="00B0790B">
        <w:rPr>
          <w:color w:val="000000" w:themeColor="text1"/>
          <w:sz w:val="24"/>
          <w:szCs w:val="28"/>
        </w:rPr>
        <w:t xml:space="preserve">La performance du personnel de santé a été analysée </w:t>
      </w:r>
      <w:r w:rsidR="00960555" w:rsidRPr="00B0790B">
        <w:rPr>
          <w:color w:val="000000" w:themeColor="text1"/>
          <w:sz w:val="24"/>
          <w:szCs w:val="28"/>
        </w:rPr>
        <w:t xml:space="preserve">à partir des données tirées des </w:t>
      </w:r>
      <w:r w:rsidRPr="00B0790B">
        <w:rPr>
          <w:color w:val="000000" w:themeColor="text1"/>
          <w:sz w:val="24"/>
          <w:szCs w:val="28"/>
        </w:rPr>
        <w:t xml:space="preserve">annuaires des statistiques sanitaires et </w:t>
      </w:r>
      <w:r w:rsidR="00960555" w:rsidRPr="00B0790B">
        <w:rPr>
          <w:color w:val="000000" w:themeColor="text1"/>
          <w:sz w:val="24"/>
          <w:szCs w:val="28"/>
        </w:rPr>
        <w:t>des</w:t>
      </w:r>
      <w:r w:rsidRPr="00B0790B">
        <w:rPr>
          <w:color w:val="000000" w:themeColor="text1"/>
          <w:sz w:val="24"/>
          <w:szCs w:val="28"/>
        </w:rPr>
        <w:t xml:space="preserve"> rapports d’enquêtes nationales (réalisées par le Ministère du Plan) disponibles. </w:t>
      </w:r>
    </w:p>
    <w:p w:rsidR="00762B95" w:rsidRPr="00B0790B" w:rsidRDefault="00762B95" w:rsidP="00762B95">
      <w:pPr>
        <w:jc w:val="both"/>
        <w:rPr>
          <w:color w:val="000000" w:themeColor="text1"/>
          <w:sz w:val="24"/>
          <w:szCs w:val="28"/>
        </w:rPr>
      </w:pPr>
      <w:r w:rsidRPr="00B0790B">
        <w:rPr>
          <w:color w:val="000000" w:themeColor="text1"/>
          <w:sz w:val="24"/>
          <w:szCs w:val="28"/>
        </w:rPr>
        <w:t xml:space="preserve">La population guinéenne estimée en 2018 </w:t>
      </w:r>
      <w:r w:rsidR="00960555" w:rsidRPr="00B0790B">
        <w:rPr>
          <w:color w:val="000000" w:themeColor="text1"/>
          <w:sz w:val="24"/>
          <w:szCs w:val="28"/>
        </w:rPr>
        <w:t>provient du volume « RGPH3, perspectives démographiques » du rapport du recensement général de la population et de l’habitat réalisé en 2014</w:t>
      </w:r>
      <w:r w:rsidRPr="00B0790B">
        <w:rPr>
          <w:color w:val="000000" w:themeColor="text1"/>
          <w:sz w:val="24"/>
          <w:szCs w:val="28"/>
        </w:rPr>
        <w:t xml:space="preserve">.  </w:t>
      </w:r>
    </w:p>
    <w:p w:rsidR="00762B95" w:rsidRPr="00B0790B" w:rsidRDefault="00762B95" w:rsidP="00762B95">
      <w:pPr>
        <w:pStyle w:val="Default"/>
        <w:spacing w:after="200" w:line="276" w:lineRule="auto"/>
        <w:jc w:val="both"/>
        <w:rPr>
          <w:rFonts w:asciiTheme="minorHAnsi" w:hAnsiTheme="minorHAnsi" w:cstheme="minorBidi"/>
          <w:color w:val="000000" w:themeColor="text1"/>
          <w:szCs w:val="28"/>
        </w:rPr>
      </w:pPr>
      <w:r w:rsidRPr="00B0790B">
        <w:rPr>
          <w:rFonts w:cstheme="minorBidi"/>
          <w:color w:val="000000" w:themeColor="text1"/>
          <w:szCs w:val="28"/>
        </w:rPr>
        <w:t>L’analyse du système de production des RHS du pays résulte de l’exploitation des rapports de l’</w:t>
      </w:r>
      <w:r w:rsidRPr="00B0790B">
        <w:rPr>
          <w:rFonts w:asciiTheme="minorHAnsi" w:hAnsiTheme="minorHAnsi" w:cstheme="minorBidi"/>
          <w:color w:val="000000" w:themeColor="text1"/>
          <w:szCs w:val="28"/>
        </w:rPr>
        <w:t>étude sur la réforme de l’enseignement et de la recherche en santé,  Juillet 2017, le plan de formation continue des personnels de santé, 2018, l’Etat de situation du Secteur, 2015 (METFPET) et autres.</w:t>
      </w:r>
    </w:p>
    <w:p w:rsidR="00762B95" w:rsidRPr="00B0790B" w:rsidRDefault="00762B95" w:rsidP="00762B95">
      <w:pPr>
        <w:jc w:val="both"/>
        <w:rPr>
          <w:color w:val="000000" w:themeColor="text1"/>
          <w:sz w:val="24"/>
          <w:szCs w:val="28"/>
        </w:rPr>
      </w:pPr>
      <w:r w:rsidRPr="00B0790B">
        <w:rPr>
          <w:color w:val="000000" w:themeColor="text1"/>
          <w:sz w:val="24"/>
          <w:szCs w:val="28"/>
        </w:rPr>
        <w:t>Les lois, décrets et autres documents juridiques existants relatifs aux Ressources humaines en général ou aux RHS en particulier</w:t>
      </w:r>
      <w:r w:rsidR="00960555" w:rsidRPr="00B0790B">
        <w:rPr>
          <w:color w:val="000000" w:themeColor="text1"/>
          <w:sz w:val="24"/>
          <w:szCs w:val="28"/>
        </w:rPr>
        <w:t xml:space="preserve"> ont permis de caractériser le cadre institutionnelle</w:t>
      </w:r>
      <w:r w:rsidRPr="00B0790B">
        <w:rPr>
          <w:color w:val="000000" w:themeColor="text1"/>
          <w:sz w:val="24"/>
          <w:szCs w:val="28"/>
        </w:rPr>
        <w:t>.</w:t>
      </w:r>
    </w:p>
    <w:p w:rsidR="00717929" w:rsidRDefault="00790398" w:rsidP="00960555">
      <w:pPr>
        <w:pStyle w:val="Titre1"/>
        <w:numPr>
          <w:ilvl w:val="1"/>
          <w:numId w:val="8"/>
        </w:numPr>
        <w:spacing w:before="240" w:after="240"/>
        <w:ind w:left="1843"/>
      </w:pPr>
      <w:r>
        <w:t xml:space="preserve">Situation des </w:t>
      </w:r>
      <w:r w:rsidR="00084B19">
        <w:t>RHS</w:t>
      </w:r>
    </w:p>
    <w:p w:rsidR="005B4B15" w:rsidRPr="00CA4BDA" w:rsidRDefault="005B4B15" w:rsidP="00CA4BDA">
      <w:pPr>
        <w:pStyle w:val="Titre1"/>
        <w:numPr>
          <w:ilvl w:val="2"/>
          <w:numId w:val="8"/>
        </w:numPr>
        <w:spacing w:before="240" w:after="240"/>
        <w:ind w:left="1843" w:hanging="709"/>
        <w:rPr>
          <w:rFonts w:ascii="Cambria" w:hAnsi="Cambria"/>
          <w:b w:val="0"/>
        </w:rPr>
      </w:pPr>
      <w:r w:rsidRPr="00CA4BDA">
        <w:rPr>
          <w:sz w:val="24"/>
        </w:rPr>
        <w:t>Cadre institutionnel</w:t>
      </w:r>
    </w:p>
    <w:p w:rsidR="007A7548" w:rsidRDefault="00986E20" w:rsidP="007A7548">
      <w:pPr>
        <w:pStyle w:val="Paragraphedeliste"/>
        <w:ind w:left="0"/>
        <w:jc w:val="both"/>
        <w:rPr>
          <w:color w:val="000000" w:themeColor="text1"/>
          <w:sz w:val="28"/>
          <w:szCs w:val="28"/>
        </w:rPr>
      </w:pPr>
      <w:r w:rsidRPr="00B0790B">
        <w:rPr>
          <w:color w:val="000000" w:themeColor="text1"/>
          <w:sz w:val="24"/>
          <w:szCs w:val="28"/>
        </w:rPr>
        <w:t>Depuis fin 2017 une direction des ressources humaines a été créée au Ministère de la Santé. Un cadre organique a été négocié et adopté avec le ministère en charge de la réforme de l’Etat et de la modernisation de l’Administration</w:t>
      </w:r>
      <w:r w:rsidR="00B24E25" w:rsidRPr="00B0790B">
        <w:rPr>
          <w:color w:val="000000" w:themeColor="text1"/>
          <w:sz w:val="24"/>
          <w:szCs w:val="28"/>
        </w:rPr>
        <w:t>. Cependant, le cadre institutionnel de gestion des RHS reste encore inapproprié</w:t>
      </w:r>
      <w:r w:rsidR="007A7548" w:rsidRPr="00B0790B">
        <w:rPr>
          <w:color w:val="000000" w:themeColor="text1"/>
          <w:sz w:val="24"/>
          <w:szCs w:val="28"/>
        </w:rPr>
        <w:t xml:space="preserve">. En effet, </w:t>
      </w:r>
      <w:r w:rsidR="00305222" w:rsidRPr="00B0790B">
        <w:rPr>
          <w:color w:val="000000" w:themeColor="text1"/>
          <w:sz w:val="24"/>
          <w:szCs w:val="28"/>
        </w:rPr>
        <w:t>une étude réalisée en 2016 jugeait faibles</w:t>
      </w:r>
      <w:r w:rsidR="007A7548" w:rsidRPr="00B0790B">
        <w:rPr>
          <w:color w:val="000000" w:themeColor="text1"/>
          <w:sz w:val="24"/>
          <w:szCs w:val="28"/>
        </w:rPr>
        <w:t xml:space="preserve"> les</w:t>
      </w:r>
      <w:r w:rsidR="00B24E25" w:rsidRPr="00B0790B">
        <w:rPr>
          <w:color w:val="000000" w:themeColor="text1"/>
          <w:sz w:val="24"/>
          <w:szCs w:val="28"/>
        </w:rPr>
        <w:t xml:space="preserve"> relations fonctionnelles internes pour les RHS</w:t>
      </w:r>
      <w:r w:rsidR="007A7548" w:rsidRPr="00B0790B">
        <w:rPr>
          <w:rStyle w:val="Appelnotedebasdep"/>
          <w:color w:val="000000" w:themeColor="text1"/>
          <w:sz w:val="24"/>
          <w:szCs w:val="28"/>
        </w:rPr>
        <w:footnoteReference w:id="19"/>
      </w:r>
      <w:r w:rsidR="00305222" w:rsidRPr="00B0790B">
        <w:rPr>
          <w:color w:val="000000" w:themeColor="text1"/>
          <w:sz w:val="24"/>
          <w:szCs w:val="28"/>
        </w:rPr>
        <w:t xml:space="preserve"> et rien n’indique des changements importants depuis cette date</w:t>
      </w:r>
      <w:r w:rsidR="007A7548" w:rsidRPr="00B0790B">
        <w:rPr>
          <w:color w:val="000000" w:themeColor="text1"/>
          <w:sz w:val="24"/>
          <w:szCs w:val="28"/>
        </w:rPr>
        <w:t xml:space="preserve">. </w:t>
      </w:r>
      <w:r w:rsidR="00305222" w:rsidRPr="00B0790B">
        <w:rPr>
          <w:color w:val="000000" w:themeColor="text1"/>
          <w:sz w:val="24"/>
          <w:szCs w:val="28"/>
        </w:rPr>
        <w:t>La nouvelle direction ne dispose pas de</w:t>
      </w:r>
      <w:r w:rsidR="00AF13E9" w:rsidRPr="00B0790B">
        <w:rPr>
          <w:color w:val="000000" w:themeColor="text1"/>
          <w:sz w:val="24"/>
          <w:szCs w:val="28"/>
        </w:rPr>
        <w:t>s</w:t>
      </w:r>
      <w:r w:rsidR="00305222" w:rsidRPr="00B0790B">
        <w:rPr>
          <w:color w:val="000000" w:themeColor="text1"/>
          <w:sz w:val="24"/>
          <w:szCs w:val="28"/>
        </w:rPr>
        <w:t xml:space="preserve"> capacités nécessaires </w:t>
      </w:r>
      <w:r w:rsidR="00C12CCD" w:rsidRPr="00B0790B">
        <w:rPr>
          <w:color w:val="000000" w:themeColor="text1"/>
          <w:sz w:val="24"/>
          <w:szCs w:val="28"/>
        </w:rPr>
        <w:lastRenderedPageBreak/>
        <w:t xml:space="preserve">pour assumer </w:t>
      </w:r>
      <w:r w:rsidR="00305222" w:rsidRPr="00B0790B">
        <w:rPr>
          <w:color w:val="000000" w:themeColor="text1"/>
          <w:sz w:val="24"/>
          <w:szCs w:val="28"/>
        </w:rPr>
        <w:t>efficacement s</w:t>
      </w:r>
      <w:r w:rsidR="00C12CCD" w:rsidRPr="00B0790B">
        <w:rPr>
          <w:color w:val="000000" w:themeColor="text1"/>
          <w:sz w:val="24"/>
          <w:szCs w:val="28"/>
        </w:rPr>
        <w:t>es fonction</w:t>
      </w:r>
      <w:r w:rsidR="001A061A" w:rsidRPr="00B0790B">
        <w:rPr>
          <w:color w:val="000000" w:themeColor="text1"/>
          <w:sz w:val="24"/>
          <w:szCs w:val="28"/>
        </w:rPr>
        <w:t>s</w:t>
      </w:r>
      <w:r w:rsidR="00AF13E9" w:rsidRPr="00B0790B">
        <w:rPr>
          <w:color w:val="000000" w:themeColor="text1"/>
          <w:sz w:val="24"/>
          <w:szCs w:val="28"/>
        </w:rPr>
        <w:t xml:space="preserve">. Enfin, il n’y a pas de </w:t>
      </w:r>
      <w:r w:rsidR="00305222" w:rsidRPr="00B0790B">
        <w:rPr>
          <w:color w:val="000000" w:themeColor="text1"/>
          <w:sz w:val="24"/>
          <w:szCs w:val="28"/>
        </w:rPr>
        <w:t xml:space="preserve">politique </w:t>
      </w:r>
      <w:r w:rsidR="00AF13E9" w:rsidRPr="00B0790B">
        <w:rPr>
          <w:color w:val="000000" w:themeColor="text1"/>
          <w:sz w:val="24"/>
          <w:szCs w:val="28"/>
        </w:rPr>
        <w:t xml:space="preserve">ni de plan actualisé </w:t>
      </w:r>
      <w:r w:rsidR="00305222" w:rsidRPr="00B0790B">
        <w:rPr>
          <w:color w:val="000000" w:themeColor="text1"/>
          <w:sz w:val="24"/>
          <w:szCs w:val="28"/>
        </w:rPr>
        <w:t>de développement des RHS</w:t>
      </w:r>
      <w:r w:rsidR="00AF13E9" w:rsidRPr="00B0790B">
        <w:rPr>
          <w:color w:val="000000" w:themeColor="text1"/>
          <w:sz w:val="24"/>
          <w:szCs w:val="28"/>
        </w:rPr>
        <w:t>.</w:t>
      </w:r>
    </w:p>
    <w:p w:rsidR="00B45E39" w:rsidRPr="00CA4BDA" w:rsidRDefault="00B45E39" w:rsidP="00CA4BDA">
      <w:pPr>
        <w:pStyle w:val="Titre1"/>
        <w:numPr>
          <w:ilvl w:val="2"/>
          <w:numId w:val="8"/>
        </w:numPr>
        <w:spacing w:before="240" w:after="240"/>
        <w:ind w:left="1843" w:hanging="709"/>
        <w:rPr>
          <w:rFonts w:ascii="Cambria" w:hAnsi="Cambria"/>
          <w:b w:val="0"/>
        </w:rPr>
      </w:pPr>
      <w:r w:rsidRPr="00CA4BDA">
        <w:rPr>
          <w:sz w:val="24"/>
        </w:rPr>
        <w:t>Planification</w:t>
      </w:r>
    </w:p>
    <w:p w:rsidR="005F5EA1" w:rsidRPr="004A2A3A" w:rsidRDefault="005F5EA1" w:rsidP="007A7548">
      <w:pPr>
        <w:pStyle w:val="Paragraphedeliste"/>
        <w:ind w:left="0"/>
        <w:jc w:val="both"/>
        <w:rPr>
          <w:rFonts w:ascii="Calibri" w:hAnsi="Calibri"/>
          <w:color w:val="000000" w:themeColor="text1"/>
          <w:sz w:val="28"/>
          <w:szCs w:val="28"/>
        </w:rPr>
      </w:pPr>
      <w:r w:rsidRPr="00B0790B">
        <w:rPr>
          <w:rFonts w:ascii="Calibri" w:hAnsi="Calibri"/>
          <w:sz w:val="24"/>
          <w:szCs w:val="28"/>
        </w:rPr>
        <w:t>L</w:t>
      </w:r>
      <w:r w:rsidR="00B45E39" w:rsidRPr="00B0790B">
        <w:rPr>
          <w:rFonts w:ascii="Calibri" w:hAnsi="Calibri"/>
          <w:sz w:val="24"/>
          <w:szCs w:val="28"/>
        </w:rPr>
        <w:t xml:space="preserve">a </w:t>
      </w:r>
      <w:r w:rsidRPr="00B0790B">
        <w:rPr>
          <w:rFonts w:ascii="Calibri" w:hAnsi="Calibri"/>
          <w:color w:val="000000" w:themeColor="text1"/>
          <w:sz w:val="24"/>
          <w:szCs w:val="28"/>
        </w:rPr>
        <w:t>direction des RHS ne possède pas les capacités de planification en la matière</w:t>
      </w:r>
      <w:r w:rsidRPr="00B0790B">
        <w:rPr>
          <w:rStyle w:val="Appelnotedebasdep"/>
          <w:rFonts w:ascii="Calibri" w:hAnsi="Calibri"/>
          <w:color w:val="000000" w:themeColor="text1"/>
          <w:sz w:val="24"/>
          <w:szCs w:val="28"/>
        </w:rPr>
        <w:footnoteReference w:id="20"/>
      </w:r>
      <w:r w:rsidRPr="00B0790B">
        <w:rPr>
          <w:rFonts w:ascii="Calibri" w:hAnsi="Calibri"/>
          <w:color w:val="000000" w:themeColor="text1"/>
          <w:sz w:val="24"/>
          <w:szCs w:val="28"/>
        </w:rPr>
        <w:t xml:space="preserve"> et, pour le moment, aucune disposition ne semble prise pour y remédier.</w:t>
      </w:r>
      <w:r w:rsidR="00B45E39" w:rsidRPr="00B0790B">
        <w:rPr>
          <w:rFonts w:ascii="Calibri" w:hAnsi="Calibri"/>
          <w:color w:val="000000" w:themeColor="text1"/>
          <w:sz w:val="24"/>
          <w:szCs w:val="28"/>
        </w:rPr>
        <w:t xml:space="preserve"> Cependant les mesures sont prises pour doter la direction de la politique et probablement du plan stratégique au cours de l’année en cours. Déjà un plan de formation continue est disponible. Les autres plans aussi seront élaborés à court terme.</w:t>
      </w:r>
    </w:p>
    <w:p w:rsidR="005B4B15" w:rsidRPr="00CA4BDA" w:rsidRDefault="005B4B15" w:rsidP="00CA4BDA">
      <w:pPr>
        <w:pStyle w:val="Titre1"/>
        <w:numPr>
          <w:ilvl w:val="2"/>
          <w:numId w:val="8"/>
        </w:numPr>
        <w:spacing w:before="240" w:after="240"/>
        <w:ind w:left="1843" w:hanging="709"/>
        <w:rPr>
          <w:sz w:val="24"/>
        </w:rPr>
      </w:pPr>
      <w:r w:rsidRPr="00CA4BDA">
        <w:rPr>
          <w:sz w:val="24"/>
        </w:rPr>
        <w:t>Formation</w:t>
      </w:r>
    </w:p>
    <w:p w:rsidR="00CA4BDA" w:rsidRPr="00B0790B" w:rsidRDefault="00CA4BDA" w:rsidP="00CA4BDA">
      <w:pPr>
        <w:jc w:val="both"/>
        <w:rPr>
          <w:rFonts w:ascii="Calibri" w:hAnsi="Calibri"/>
          <w:color w:val="000000" w:themeColor="text1"/>
          <w:sz w:val="24"/>
          <w:szCs w:val="28"/>
        </w:rPr>
      </w:pPr>
      <w:r w:rsidRPr="00B0790B">
        <w:rPr>
          <w:rFonts w:ascii="Calibri" w:hAnsi="Calibri"/>
          <w:color w:val="000000" w:themeColor="text1"/>
          <w:sz w:val="24"/>
          <w:szCs w:val="28"/>
        </w:rPr>
        <w:t>Cette section traite de la formation initiale, la formation de spécialisation et la formation continue des ressources humaines pour la santé ainsi que des parties prenantes de la formation des RHS.</w:t>
      </w:r>
    </w:p>
    <w:p w:rsidR="00CA4BDA" w:rsidRPr="00CA4BDA" w:rsidRDefault="00CA4BDA" w:rsidP="00271541">
      <w:pPr>
        <w:pStyle w:val="Titre1"/>
        <w:numPr>
          <w:ilvl w:val="3"/>
          <w:numId w:val="8"/>
        </w:numPr>
        <w:spacing w:before="240" w:after="240"/>
        <w:ind w:left="1843" w:hanging="709"/>
        <w:rPr>
          <w:sz w:val="22"/>
        </w:rPr>
      </w:pPr>
      <w:bookmarkStart w:id="1" w:name="_Toc534298086"/>
      <w:bookmarkStart w:id="2" w:name="_Toc534742732"/>
      <w:bookmarkStart w:id="3" w:name="_Toc534808053"/>
      <w:r w:rsidRPr="00CA4BDA">
        <w:rPr>
          <w:sz w:val="22"/>
        </w:rPr>
        <w:t>Formation initiale</w:t>
      </w:r>
      <w:bookmarkEnd w:id="1"/>
      <w:bookmarkEnd w:id="2"/>
      <w:bookmarkEnd w:id="3"/>
    </w:p>
    <w:p w:rsidR="00CA4BDA" w:rsidRDefault="00CA4BDA" w:rsidP="00CA4BDA">
      <w:pPr>
        <w:jc w:val="both"/>
        <w:rPr>
          <w:rFonts w:ascii="Calibri" w:hAnsi="Calibri"/>
          <w:color w:val="000000" w:themeColor="text1"/>
          <w:sz w:val="24"/>
          <w:szCs w:val="28"/>
        </w:rPr>
      </w:pPr>
      <w:r w:rsidRPr="00B0790B">
        <w:rPr>
          <w:rFonts w:ascii="Calibri" w:hAnsi="Calibri"/>
          <w:color w:val="000000" w:themeColor="text1"/>
          <w:sz w:val="24"/>
          <w:szCs w:val="28"/>
        </w:rPr>
        <w:t xml:space="preserve">La formation initiale des RHS </w:t>
      </w:r>
      <w:r w:rsidR="001367A9" w:rsidRPr="00B0790B">
        <w:rPr>
          <w:rFonts w:ascii="Calibri" w:hAnsi="Calibri"/>
          <w:color w:val="000000" w:themeColor="text1"/>
          <w:sz w:val="24"/>
          <w:szCs w:val="28"/>
        </w:rPr>
        <w:t xml:space="preserve">a pour but de préparer les étudiants aux professions médicales à travers diverses filières </w:t>
      </w:r>
      <w:r w:rsidR="001367A9">
        <w:rPr>
          <w:rFonts w:ascii="Calibri" w:hAnsi="Calibri"/>
          <w:color w:val="000000" w:themeColor="text1"/>
          <w:sz w:val="24"/>
          <w:szCs w:val="28"/>
        </w:rPr>
        <w:t>et</w:t>
      </w:r>
      <w:r w:rsidR="001367A9" w:rsidRPr="00B0790B">
        <w:rPr>
          <w:rFonts w:ascii="Calibri" w:hAnsi="Calibri"/>
          <w:color w:val="000000" w:themeColor="text1"/>
          <w:sz w:val="24"/>
          <w:szCs w:val="28"/>
        </w:rPr>
        <w:t xml:space="preserve"> de répondre aux besoins du marché de l’emploi.</w:t>
      </w:r>
      <w:r w:rsidR="001367A9">
        <w:rPr>
          <w:rFonts w:ascii="Calibri" w:hAnsi="Calibri"/>
          <w:color w:val="000000" w:themeColor="text1"/>
          <w:sz w:val="24"/>
          <w:szCs w:val="28"/>
        </w:rPr>
        <w:t xml:space="preserve"> Elle </w:t>
      </w:r>
      <w:r w:rsidR="00271541" w:rsidRPr="00B0790B">
        <w:rPr>
          <w:rFonts w:ascii="Calibri" w:hAnsi="Calibri"/>
          <w:color w:val="000000" w:themeColor="text1"/>
          <w:sz w:val="24"/>
          <w:szCs w:val="28"/>
        </w:rPr>
        <w:t xml:space="preserve">se subdivise en </w:t>
      </w:r>
      <w:r w:rsidRPr="00B0790B">
        <w:rPr>
          <w:rFonts w:ascii="Calibri" w:hAnsi="Calibri"/>
          <w:color w:val="000000" w:themeColor="text1"/>
          <w:sz w:val="24"/>
          <w:szCs w:val="28"/>
        </w:rPr>
        <w:t>formation universitaire et formation professionnelle.</w:t>
      </w:r>
    </w:p>
    <w:p w:rsidR="008E3512" w:rsidRPr="00B0790B" w:rsidRDefault="008E3512" w:rsidP="008E3512">
      <w:pPr>
        <w:spacing w:after="120"/>
        <w:jc w:val="both"/>
        <w:rPr>
          <w:rFonts w:ascii="Calibri" w:hAnsi="Calibri"/>
          <w:color w:val="000000" w:themeColor="text1"/>
          <w:sz w:val="24"/>
          <w:szCs w:val="28"/>
        </w:rPr>
      </w:pPr>
      <w:r w:rsidRPr="00B0790B">
        <w:rPr>
          <w:rFonts w:ascii="Calibri" w:hAnsi="Calibri"/>
          <w:color w:val="000000" w:themeColor="text1"/>
          <w:sz w:val="24"/>
          <w:szCs w:val="28"/>
        </w:rPr>
        <w:t>Pour que les professionnels </w:t>
      </w:r>
      <w:r>
        <w:rPr>
          <w:rFonts w:ascii="Calibri" w:hAnsi="Calibri"/>
          <w:color w:val="000000" w:themeColor="text1"/>
          <w:sz w:val="24"/>
          <w:szCs w:val="28"/>
        </w:rPr>
        <w:t xml:space="preserve">de santé </w:t>
      </w:r>
      <w:r w:rsidRPr="00B0790B">
        <w:rPr>
          <w:rFonts w:ascii="Calibri" w:hAnsi="Calibri"/>
          <w:color w:val="000000" w:themeColor="text1"/>
          <w:sz w:val="24"/>
          <w:szCs w:val="28"/>
        </w:rPr>
        <w:t xml:space="preserve">répondent réellement aux besoins du marché en termes de connaissances, d’habiletés et d’attitudes, dans les quantités requises, </w:t>
      </w:r>
      <w:r>
        <w:rPr>
          <w:rFonts w:ascii="Calibri" w:hAnsi="Calibri"/>
          <w:color w:val="000000" w:themeColor="text1"/>
          <w:sz w:val="24"/>
          <w:szCs w:val="28"/>
        </w:rPr>
        <w:t xml:space="preserve">tout le système de formation doit remplir </w:t>
      </w:r>
      <w:r w:rsidRPr="00B0790B">
        <w:rPr>
          <w:rFonts w:ascii="Calibri" w:hAnsi="Calibri"/>
          <w:color w:val="000000" w:themeColor="text1"/>
          <w:sz w:val="24"/>
          <w:szCs w:val="28"/>
        </w:rPr>
        <w:t>plusieurs préalables:</w:t>
      </w:r>
    </w:p>
    <w:p w:rsidR="008E3512" w:rsidRPr="00B0790B" w:rsidRDefault="008E3512" w:rsidP="008E3512">
      <w:pPr>
        <w:pStyle w:val="Paragraphedeliste"/>
        <w:numPr>
          <w:ilvl w:val="0"/>
          <w:numId w:val="24"/>
        </w:numPr>
        <w:jc w:val="both"/>
        <w:rPr>
          <w:rFonts w:ascii="Calibri" w:hAnsi="Calibri"/>
          <w:color w:val="000000" w:themeColor="text1"/>
          <w:sz w:val="24"/>
          <w:szCs w:val="28"/>
        </w:rPr>
      </w:pPr>
      <w:r w:rsidRPr="00B0790B">
        <w:rPr>
          <w:rFonts w:ascii="Calibri" w:hAnsi="Calibri"/>
          <w:color w:val="000000" w:themeColor="text1"/>
          <w:sz w:val="24"/>
          <w:szCs w:val="28"/>
        </w:rPr>
        <w:t>L’évaluation continue des besoins évolutifs du marché,</w:t>
      </w:r>
    </w:p>
    <w:p w:rsidR="008E3512" w:rsidRPr="00B0790B" w:rsidRDefault="008E3512" w:rsidP="008E3512">
      <w:pPr>
        <w:pStyle w:val="Paragraphedeliste"/>
        <w:numPr>
          <w:ilvl w:val="0"/>
          <w:numId w:val="24"/>
        </w:numPr>
        <w:jc w:val="both"/>
        <w:rPr>
          <w:rFonts w:ascii="Calibri" w:hAnsi="Calibri"/>
          <w:color w:val="000000" w:themeColor="text1"/>
          <w:sz w:val="24"/>
          <w:szCs w:val="28"/>
        </w:rPr>
      </w:pPr>
      <w:r w:rsidRPr="00B0790B">
        <w:rPr>
          <w:rFonts w:ascii="Calibri" w:hAnsi="Calibri"/>
          <w:color w:val="000000" w:themeColor="text1"/>
          <w:sz w:val="24"/>
          <w:szCs w:val="28"/>
        </w:rPr>
        <w:t>Des programmes de formation régulièrement revus et ajustés à l’évolution des besoins et répondant aux normes et standards reconnus,</w:t>
      </w:r>
    </w:p>
    <w:p w:rsidR="008E3512" w:rsidRPr="00B0790B" w:rsidRDefault="008E3512" w:rsidP="008E3512">
      <w:pPr>
        <w:pStyle w:val="Paragraphedeliste"/>
        <w:numPr>
          <w:ilvl w:val="0"/>
          <w:numId w:val="24"/>
        </w:numPr>
        <w:jc w:val="both"/>
        <w:rPr>
          <w:rFonts w:ascii="Calibri" w:hAnsi="Calibri"/>
          <w:color w:val="000000" w:themeColor="text1"/>
          <w:sz w:val="24"/>
          <w:szCs w:val="28"/>
        </w:rPr>
      </w:pPr>
      <w:r w:rsidRPr="00B0790B">
        <w:rPr>
          <w:rFonts w:ascii="Calibri" w:hAnsi="Calibri"/>
          <w:color w:val="000000" w:themeColor="text1"/>
          <w:sz w:val="24"/>
          <w:szCs w:val="28"/>
        </w:rPr>
        <w:t>Des capacités pédagogiques et didactiques à même de prendre en charge correctement les programmes de formation,</w:t>
      </w:r>
    </w:p>
    <w:p w:rsidR="008E3512" w:rsidRPr="00B0790B" w:rsidRDefault="008E3512" w:rsidP="008E3512">
      <w:pPr>
        <w:pStyle w:val="Paragraphedeliste"/>
        <w:numPr>
          <w:ilvl w:val="0"/>
          <w:numId w:val="24"/>
        </w:numPr>
        <w:jc w:val="both"/>
        <w:rPr>
          <w:rFonts w:ascii="Calibri" w:hAnsi="Calibri"/>
          <w:color w:val="000000" w:themeColor="text1"/>
          <w:sz w:val="24"/>
          <w:szCs w:val="28"/>
        </w:rPr>
      </w:pPr>
      <w:r w:rsidRPr="00B0790B">
        <w:rPr>
          <w:rFonts w:ascii="Calibri" w:hAnsi="Calibri"/>
          <w:color w:val="000000" w:themeColor="text1"/>
          <w:sz w:val="24"/>
          <w:szCs w:val="28"/>
        </w:rPr>
        <w:t>Des capacités d’accueil et d’encadrement adaptées, y compris pour les stages,</w:t>
      </w:r>
    </w:p>
    <w:p w:rsidR="008E3512" w:rsidRPr="00B0790B" w:rsidRDefault="008E3512" w:rsidP="008E3512">
      <w:pPr>
        <w:pStyle w:val="Paragraphedeliste"/>
        <w:numPr>
          <w:ilvl w:val="0"/>
          <w:numId w:val="24"/>
        </w:numPr>
        <w:ind w:left="714" w:hanging="357"/>
        <w:contextualSpacing w:val="0"/>
        <w:jc w:val="both"/>
        <w:rPr>
          <w:rFonts w:ascii="Calibri" w:hAnsi="Calibri"/>
          <w:color w:val="000000" w:themeColor="text1"/>
          <w:sz w:val="24"/>
          <w:szCs w:val="28"/>
        </w:rPr>
      </w:pPr>
      <w:r w:rsidRPr="00B0790B">
        <w:rPr>
          <w:rFonts w:ascii="Calibri" w:hAnsi="Calibri"/>
          <w:color w:val="000000" w:themeColor="text1"/>
          <w:sz w:val="24"/>
          <w:szCs w:val="28"/>
        </w:rPr>
        <w:t>Des ressources budgétaires adéquates permettant de rendre opérationnels les dispositifs de formation.</w:t>
      </w:r>
    </w:p>
    <w:p w:rsidR="008E3512" w:rsidRPr="00B0790B" w:rsidRDefault="008E3512" w:rsidP="008E3512">
      <w:pPr>
        <w:jc w:val="both"/>
        <w:rPr>
          <w:rFonts w:ascii="Calibri" w:hAnsi="Calibri"/>
          <w:color w:val="000000" w:themeColor="text1"/>
          <w:sz w:val="24"/>
          <w:szCs w:val="28"/>
        </w:rPr>
      </w:pPr>
      <w:r w:rsidRPr="00B0790B">
        <w:rPr>
          <w:rFonts w:ascii="Calibri" w:hAnsi="Calibri"/>
          <w:color w:val="000000" w:themeColor="text1"/>
          <w:sz w:val="24"/>
          <w:szCs w:val="28"/>
        </w:rPr>
        <w:t>Malheureusement, rien n’indique que les besoins du marché sont évalués et pris en compte dans les formations.</w:t>
      </w:r>
    </w:p>
    <w:p w:rsidR="00271541" w:rsidRPr="00271541" w:rsidRDefault="00271541" w:rsidP="00271541">
      <w:pPr>
        <w:pStyle w:val="Paragraphedeliste"/>
        <w:numPr>
          <w:ilvl w:val="1"/>
          <w:numId w:val="4"/>
        </w:numPr>
        <w:spacing w:after="120"/>
        <w:ind w:left="1434" w:hanging="357"/>
        <w:contextualSpacing w:val="0"/>
        <w:rPr>
          <w:rFonts w:cs="Arial"/>
          <w:b/>
          <w:i/>
          <w:szCs w:val="28"/>
        </w:rPr>
      </w:pPr>
      <w:r w:rsidRPr="00271541">
        <w:rPr>
          <w:rFonts w:cs="Arial"/>
          <w:b/>
          <w:i/>
          <w:szCs w:val="28"/>
        </w:rPr>
        <w:t>La formation universitaire</w:t>
      </w:r>
    </w:p>
    <w:p w:rsidR="00271541" w:rsidRDefault="00271541" w:rsidP="00271541">
      <w:pPr>
        <w:jc w:val="both"/>
        <w:rPr>
          <w:rFonts w:ascii="Calibri" w:hAnsi="Calibri"/>
          <w:color w:val="000000" w:themeColor="text1"/>
          <w:sz w:val="24"/>
          <w:szCs w:val="28"/>
        </w:rPr>
      </w:pPr>
      <w:r w:rsidRPr="00B0790B">
        <w:rPr>
          <w:rFonts w:ascii="Calibri" w:hAnsi="Calibri"/>
          <w:color w:val="000000" w:themeColor="text1"/>
          <w:sz w:val="24"/>
          <w:szCs w:val="28"/>
        </w:rPr>
        <w:t xml:space="preserve">La formation universitaire </w:t>
      </w:r>
      <w:r w:rsidR="00485099" w:rsidRPr="00B0790B">
        <w:rPr>
          <w:rFonts w:ascii="Calibri" w:hAnsi="Calibri"/>
          <w:color w:val="000000" w:themeColor="text1"/>
          <w:sz w:val="24"/>
          <w:szCs w:val="28"/>
        </w:rPr>
        <w:t xml:space="preserve">des professionnels </w:t>
      </w:r>
      <w:r w:rsidRPr="00B0790B">
        <w:rPr>
          <w:rFonts w:ascii="Calibri" w:hAnsi="Calibri"/>
          <w:color w:val="000000" w:themeColor="text1"/>
          <w:sz w:val="24"/>
          <w:szCs w:val="28"/>
        </w:rPr>
        <w:t xml:space="preserve">de la santé est assurée par des institutions de publiques et privées. Celles-ci sont complétées par les institutions partenaires à l’étranger. </w:t>
      </w:r>
    </w:p>
    <w:p w:rsidR="005525EC" w:rsidRPr="00B0790B" w:rsidRDefault="00485099" w:rsidP="005525EC">
      <w:pPr>
        <w:jc w:val="both"/>
        <w:rPr>
          <w:rFonts w:ascii="Calibri" w:hAnsi="Calibri"/>
          <w:color w:val="000000" w:themeColor="text1"/>
          <w:sz w:val="24"/>
          <w:szCs w:val="28"/>
        </w:rPr>
      </w:pPr>
      <w:r>
        <w:rPr>
          <w:rFonts w:ascii="Calibri" w:hAnsi="Calibri"/>
          <w:color w:val="000000" w:themeColor="text1"/>
          <w:sz w:val="24"/>
          <w:szCs w:val="28"/>
        </w:rPr>
        <w:lastRenderedPageBreak/>
        <w:t>L</w:t>
      </w:r>
      <w:r w:rsidR="005525EC" w:rsidRPr="00B0790B">
        <w:rPr>
          <w:rFonts w:ascii="Calibri" w:hAnsi="Calibri"/>
          <w:color w:val="000000" w:themeColor="text1"/>
          <w:sz w:val="24"/>
          <w:szCs w:val="28"/>
        </w:rPr>
        <w:t xml:space="preserve">a </w:t>
      </w:r>
      <w:r w:rsidR="00C50324" w:rsidRPr="00B0790B">
        <w:rPr>
          <w:rFonts w:ascii="Calibri" w:hAnsi="Calibri"/>
          <w:color w:val="000000" w:themeColor="text1"/>
          <w:sz w:val="24"/>
          <w:szCs w:val="28"/>
        </w:rPr>
        <w:t xml:space="preserve">Faculté des Sciences et Techniques de la Santé </w:t>
      </w:r>
      <w:r w:rsidR="00C50324">
        <w:rPr>
          <w:rFonts w:ascii="Calibri" w:hAnsi="Calibri"/>
          <w:color w:val="000000" w:themeColor="text1"/>
          <w:sz w:val="24"/>
          <w:szCs w:val="28"/>
        </w:rPr>
        <w:t>(</w:t>
      </w:r>
      <w:r w:rsidR="005525EC" w:rsidRPr="00B0790B">
        <w:rPr>
          <w:rFonts w:ascii="Calibri" w:hAnsi="Calibri"/>
          <w:color w:val="000000" w:themeColor="text1"/>
          <w:sz w:val="24"/>
          <w:szCs w:val="28"/>
        </w:rPr>
        <w:t>FSTS</w:t>
      </w:r>
      <w:r w:rsidR="00C50324">
        <w:rPr>
          <w:rFonts w:ascii="Calibri" w:hAnsi="Calibri"/>
          <w:color w:val="000000" w:themeColor="text1"/>
          <w:sz w:val="24"/>
          <w:szCs w:val="28"/>
        </w:rPr>
        <w:t>)</w:t>
      </w:r>
      <w:r w:rsidR="005525EC" w:rsidRPr="00B0790B">
        <w:rPr>
          <w:rFonts w:ascii="Calibri" w:hAnsi="Calibri"/>
          <w:color w:val="000000" w:themeColor="text1"/>
          <w:sz w:val="24"/>
          <w:szCs w:val="28"/>
        </w:rPr>
        <w:t xml:space="preserve"> de l’UGANC disposait, en 2017, de 247 enseignants à temps plein, répartis entre Professeurs titulaires (19), maitres de conférences (49), maitres assistants (55) et assistants (126). Globalement le nombre d’enseignants a augmenté de 64% sur la période 2011 à 2017</w:t>
      </w:r>
      <w:r w:rsidR="00212180" w:rsidRPr="00B0790B">
        <w:rPr>
          <w:rFonts w:ascii="Calibri" w:hAnsi="Calibri"/>
          <w:color w:val="000000" w:themeColor="text1"/>
          <w:sz w:val="24"/>
          <w:szCs w:val="28"/>
        </w:rPr>
        <w:t>, sauf celui des</w:t>
      </w:r>
      <w:r w:rsidR="005525EC" w:rsidRPr="00B0790B">
        <w:rPr>
          <w:rFonts w:ascii="Calibri" w:hAnsi="Calibri"/>
          <w:color w:val="000000" w:themeColor="text1"/>
          <w:sz w:val="24"/>
          <w:szCs w:val="28"/>
        </w:rPr>
        <w:t xml:space="preserve"> professeurs titulaires</w:t>
      </w:r>
      <w:r w:rsidR="00212180" w:rsidRPr="00B0790B">
        <w:rPr>
          <w:rFonts w:ascii="Calibri" w:hAnsi="Calibri"/>
          <w:color w:val="000000" w:themeColor="text1"/>
          <w:sz w:val="24"/>
          <w:szCs w:val="28"/>
        </w:rPr>
        <w:t>,</w:t>
      </w:r>
      <w:r w:rsidR="005525EC" w:rsidRPr="00B0790B">
        <w:rPr>
          <w:rFonts w:ascii="Calibri" w:hAnsi="Calibri"/>
          <w:color w:val="000000" w:themeColor="text1"/>
          <w:sz w:val="24"/>
          <w:szCs w:val="28"/>
        </w:rPr>
        <w:t xml:space="preserve"> resté stationnaire</w:t>
      </w:r>
      <w:r w:rsidR="00695AE1" w:rsidRPr="00B0790B">
        <w:rPr>
          <w:rFonts w:ascii="Calibri" w:hAnsi="Calibri"/>
          <w:color w:val="000000" w:themeColor="text1"/>
          <w:sz w:val="24"/>
          <w:szCs w:val="28"/>
        </w:rPr>
        <w:t xml:space="preserve"> avant </w:t>
      </w:r>
      <w:r w:rsidR="005525EC" w:rsidRPr="00B0790B">
        <w:rPr>
          <w:rFonts w:ascii="Calibri" w:hAnsi="Calibri"/>
          <w:color w:val="000000" w:themeColor="text1"/>
          <w:sz w:val="24"/>
          <w:szCs w:val="28"/>
        </w:rPr>
        <w:t>2017</w:t>
      </w:r>
      <w:r w:rsidR="005525EC" w:rsidRPr="00B0790B">
        <w:rPr>
          <w:rFonts w:ascii="Calibri" w:hAnsi="Calibri"/>
          <w:color w:val="000000" w:themeColor="text1"/>
          <w:sz w:val="24"/>
          <w:szCs w:val="28"/>
          <w:vertAlign w:val="superscript"/>
        </w:rPr>
        <w:footnoteReference w:id="21"/>
      </w:r>
      <w:r w:rsidR="005525EC" w:rsidRPr="00B0790B">
        <w:rPr>
          <w:rFonts w:ascii="Calibri" w:hAnsi="Calibri"/>
          <w:color w:val="000000" w:themeColor="text1"/>
          <w:sz w:val="24"/>
          <w:szCs w:val="28"/>
        </w:rPr>
        <w:t xml:space="preserve">.  </w:t>
      </w:r>
    </w:p>
    <w:p w:rsidR="00060E98" w:rsidRDefault="00DC07EE" w:rsidP="005525EC">
      <w:pPr>
        <w:jc w:val="both"/>
        <w:rPr>
          <w:rFonts w:ascii="Calibri" w:hAnsi="Calibri"/>
          <w:color w:val="000000" w:themeColor="text1"/>
          <w:sz w:val="24"/>
          <w:szCs w:val="28"/>
        </w:rPr>
      </w:pPr>
      <w:r w:rsidRPr="00B0790B">
        <w:rPr>
          <w:rFonts w:ascii="Calibri" w:hAnsi="Calibri"/>
          <w:color w:val="000000" w:themeColor="text1"/>
          <w:sz w:val="24"/>
          <w:szCs w:val="28"/>
        </w:rPr>
        <w:t>L</w:t>
      </w:r>
      <w:r w:rsidR="00060E98" w:rsidRPr="00B0790B">
        <w:rPr>
          <w:rFonts w:ascii="Calibri" w:hAnsi="Calibri"/>
          <w:color w:val="000000" w:themeColor="text1"/>
          <w:sz w:val="24"/>
          <w:szCs w:val="28"/>
        </w:rPr>
        <w:t>e secteur privé</w:t>
      </w:r>
      <w:r w:rsidRPr="00B0790B">
        <w:rPr>
          <w:rFonts w:ascii="Calibri" w:hAnsi="Calibri"/>
          <w:color w:val="000000" w:themeColor="text1"/>
          <w:sz w:val="24"/>
          <w:szCs w:val="28"/>
        </w:rPr>
        <w:t xml:space="preserve"> ne dispose pas d’</w:t>
      </w:r>
      <w:r w:rsidR="00060E98" w:rsidRPr="00B0790B">
        <w:rPr>
          <w:rFonts w:ascii="Calibri" w:hAnsi="Calibri"/>
          <w:color w:val="000000" w:themeColor="text1"/>
          <w:sz w:val="24"/>
          <w:szCs w:val="28"/>
        </w:rPr>
        <w:t>enseignant</w:t>
      </w:r>
      <w:r w:rsidRPr="00B0790B">
        <w:rPr>
          <w:rFonts w:ascii="Calibri" w:hAnsi="Calibri"/>
          <w:color w:val="000000" w:themeColor="text1"/>
          <w:sz w:val="24"/>
          <w:szCs w:val="28"/>
        </w:rPr>
        <w:t>s</w:t>
      </w:r>
      <w:r w:rsidR="00060E98" w:rsidRPr="00B0790B">
        <w:rPr>
          <w:rFonts w:ascii="Calibri" w:hAnsi="Calibri"/>
          <w:color w:val="000000" w:themeColor="text1"/>
          <w:sz w:val="24"/>
          <w:szCs w:val="28"/>
        </w:rPr>
        <w:t xml:space="preserve"> permanent</w:t>
      </w:r>
      <w:r w:rsidRPr="00B0790B">
        <w:rPr>
          <w:rFonts w:ascii="Calibri" w:hAnsi="Calibri"/>
          <w:color w:val="000000" w:themeColor="text1"/>
          <w:sz w:val="24"/>
          <w:szCs w:val="28"/>
        </w:rPr>
        <w:t>s</w:t>
      </w:r>
      <w:r w:rsidR="002D0C5B" w:rsidRPr="00B0790B">
        <w:rPr>
          <w:rFonts w:ascii="Calibri" w:hAnsi="Calibri"/>
          <w:color w:val="000000" w:themeColor="text1"/>
          <w:sz w:val="24"/>
          <w:szCs w:val="28"/>
        </w:rPr>
        <w:t xml:space="preserve"> (tous sont vacataires),</w:t>
      </w:r>
      <w:r w:rsidR="00060E98" w:rsidRPr="00B0790B">
        <w:rPr>
          <w:rFonts w:ascii="Calibri" w:hAnsi="Calibri"/>
          <w:color w:val="000000" w:themeColor="text1"/>
          <w:sz w:val="24"/>
          <w:szCs w:val="28"/>
        </w:rPr>
        <w:t xml:space="preserve"> quelle que soit la catégorie considérée. </w:t>
      </w:r>
    </w:p>
    <w:p w:rsidR="00C50324" w:rsidRPr="00B0790B" w:rsidRDefault="00C50324" w:rsidP="00C50324">
      <w:pPr>
        <w:jc w:val="both"/>
        <w:rPr>
          <w:rFonts w:ascii="Calibri" w:hAnsi="Calibri"/>
          <w:color w:val="000000" w:themeColor="text1"/>
          <w:sz w:val="24"/>
          <w:szCs w:val="28"/>
        </w:rPr>
      </w:pPr>
      <w:r>
        <w:rPr>
          <w:rFonts w:ascii="Calibri" w:hAnsi="Calibri"/>
          <w:color w:val="000000" w:themeColor="text1"/>
          <w:sz w:val="24"/>
          <w:szCs w:val="28"/>
        </w:rPr>
        <w:t xml:space="preserve">Les universités utilisent les curricula harmonisés de l’OOAS pour l’espace CEDEAO. D’autres réformes sont en cours, notamment à la </w:t>
      </w:r>
      <w:r w:rsidRPr="00B0790B">
        <w:rPr>
          <w:rFonts w:ascii="Calibri" w:hAnsi="Calibri"/>
          <w:color w:val="000000" w:themeColor="text1"/>
          <w:sz w:val="24"/>
          <w:szCs w:val="28"/>
        </w:rPr>
        <w:t>FSTS de l’UGANC</w:t>
      </w:r>
      <w:r>
        <w:rPr>
          <w:rFonts w:ascii="Calibri" w:hAnsi="Calibri"/>
          <w:color w:val="000000" w:themeColor="text1"/>
          <w:sz w:val="24"/>
          <w:szCs w:val="28"/>
        </w:rPr>
        <w:t xml:space="preserve">, en plus de celle en cours qui fera cette faculté un centre d’excellence africain pour la prévention et le contrôle des maladies transmissibles. </w:t>
      </w:r>
    </w:p>
    <w:p w:rsidR="00CA4BDA" w:rsidRDefault="00485099" w:rsidP="00A02FA8">
      <w:pPr>
        <w:jc w:val="both"/>
        <w:rPr>
          <w:rFonts w:ascii="Calibri" w:hAnsi="Calibri"/>
          <w:color w:val="000000" w:themeColor="text1"/>
          <w:sz w:val="24"/>
          <w:szCs w:val="28"/>
        </w:rPr>
      </w:pPr>
      <w:r>
        <w:rPr>
          <w:rFonts w:ascii="Calibri" w:hAnsi="Calibri"/>
          <w:color w:val="000000" w:themeColor="text1"/>
          <w:sz w:val="24"/>
          <w:szCs w:val="28"/>
        </w:rPr>
        <w:t>L</w:t>
      </w:r>
      <w:r w:rsidR="00695AE1" w:rsidRPr="00B0790B">
        <w:rPr>
          <w:rFonts w:ascii="Calibri" w:hAnsi="Calibri"/>
          <w:color w:val="000000" w:themeColor="text1"/>
          <w:sz w:val="24"/>
          <w:szCs w:val="28"/>
        </w:rPr>
        <w:t xml:space="preserve">e nombre d’étudiants </w:t>
      </w:r>
      <w:r w:rsidR="00A02FA8" w:rsidRPr="00B0790B">
        <w:rPr>
          <w:rFonts w:ascii="Calibri" w:hAnsi="Calibri"/>
          <w:color w:val="000000" w:themeColor="text1"/>
          <w:sz w:val="24"/>
          <w:szCs w:val="28"/>
        </w:rPr>
        <w:t xml:space="preserve">inscrits </w:t>
      </w:r>
      <w:r>
        <w:rPr>
          <w:rFonts w:ascii="Calibri" w:hAnsi="Calibri"/>
          <w:color w:val="000000" w:themeColor="text1"/>
          <w:sz w:val="24"/>
          <w:szCs w:val="28"/>
        </w:rPr>
        <w:t xml:space="preserve">dans les universités </w:t>
      </w:r>
      <w:r w:rsidR="00695AE1" w:rsidRPr="00B0790B">
        <w:rPr>
          <w:rFonts w:ascii="Calibri" w:hAnsi="Calibri"/>
          <w:color w:val="000000" w:themeColor="text1"/>
          <w:sz w:val="24"/>
          <w:szCs w:val="28"/>
        </w:rPr>
        <w:t>a diminué de 17% entre 2013 et 2017. Cette diminution est plus marquée dans le secteur public (-22,6%) que dans le secteur privé (-5,2%).</w:t>
      </w:r>
      <w:r w:rsidR="00A02FA8" w:rsidRPr="00B0790B">
        <w:rPr>
          <w:rFonts w:ascii="Calibri" w:hAnsi="Calibri"/>
          <w:color w:val="000000" w:themeColor="text1"/>
          <w:sz w:val="24"/>
          <w:szCs w:val="28"/>
        </w:rPr>
        <w:t xml:space="preserve"> Au même moment, </w:t>
      </w:r>
      <w:r w:rsidR="00DD29B7" w:rsidRPr="00B0790B">
        <w:rPr>
          <w:rFonts w:ascii="Calibri" w:hAnsi="Calibri"/>
          <w:color w:val="000000" w:themeColor="text1"/>
          <w:sz w:val="24"/>
          <w:szCs w:val="28"/>
        </w:rPr>
        <w:t>l’ensemble des universités (publiques et privée</w:t>
      </w:r>
      <w:r w:rsidR="00A02FA8" w:rsidRPr="00B0790B">
        <w:rPr>
          <w:rFonts w:ascii="Calibri" w:hAnsi="Calibri"/>
          <w:color w:val="000000" w:themeColor="text1"/>
          <w:sz w:val="24"/>
          <w:szCs w:val="28"/>
        </w:rPr>
        <w:t>s</w:t>
      </w:r>
      <w:r w:rsidR="00DD29B7" w:rsidRPr="00B0790B">
        <w:rPr>
          <w:rFonts w:ascii="Calibri" w:hAnsi="Calibri"/>
          <w:color w:val="000000" w:themeColor="text1"/>
          <w:sz w:val="24"/>
          <w:szCs w:val="28"/>
        </w:rPr>
        <w:t>) ont livré 5</w:t>
      </w:r>
      <w:r w:rsidR="00A02FA8" w:rsidRPr="00B0790B">
        <w:rPr>
          <w:rFonts w:ascii="Calibri" w:hAnsi="Calibri"/>
          <w:color w:val="000000" w:themeColor="text1"/>
          <w:sz w:val="24"/>
          <w:szCs w:val="28"/>
        </w:rPr>
        <w:t xml:space="preserve"> </w:t>
      </w:r>
      <w:r w:rsidR="00DD29B7" w:rsidRPr="00B0790B">
        <w:rPr>
          <w:rFonts w:ascii="Calibri" w:hAnsi="Calibri"/>
          <w:color w:val="000000" w:themeColor="text1"/>
          <w:sz w:val="24"/>
          <w:szCs w:val="28"/>
        </w:rPr>
        <w:t>556 diplômés au marché de l’emploi</w:t>
      </w:r>
      <w:r w:rsidR="00A02FA8" w:rsidRPr="00B0790B">
        <w:rPr>
          <w:rFonts w:ascii="Calibri" w:hAnsi="Calibri"/>
          <w:color w:val="000000" w:themeColor="text1"/>
          <w:sz w:val="24"/>
          <w:szCs w:val="28"/>
          <w:vertAlign w:val="superscript"/>
        </w:rPr>
        <w:footnoteReference w:id="22"/>
      </w:r>
      <w:r w:rsidR="00A02FA8" w:rsidRPr="00B0790B">
        <w:rPr>
          <w:rFonts w:ascii="Calibri" w:hAnsi="Calibri"/>
          <w:color w:val="000000" w:themeColor="text1"/>
          <w:sz w:val="24"/>
          <w:szCs w:val="28"/>
        </w:rPr>
        <w:t xml:space="preserve">. </w:t>
      </w:r>
    </w:p>
    <w:p w:rsidR="00533237" w:rsidRPr="00533237" w:rsidRDefault="00533237" w:rsidP="00533237">
      <w:pPr>
        <w:pStyle w:val="Paragraphedeliste"/>
        <w:numPr>
          <w:ilvl w:val="1"/>
          <w:numId w:val="4"/>
        </w:numPr>
        <w:spacing w:after="120"/>
        <w:ind w:left="1434" w:hanging="357"/>
        <w:contextualSpacing w:val="0"/>
        <w:rPr>
          <w:rFonts w:cs="Arial"/>
          <w:b/>
          <w:i/>
          <w:szCs w:val="28"/>
        </w:rPr>
      </w:pPr>
      <w:r w:rsidRPr="00533237">
        <w:rPr>
          <w:rFonts w:cs="Arial"/>
          <w:b/>
          <w:i/>
          <w:szCs w:val="28"/>
        </w:rPr>
        <w:t>Formation professionnelle</w:t>
      </w:r>
    </w:p>
    <w:p w:rsidR="003C754C" w:rsidRPr="00340DD1" w:rsidRDefault="00340DD1" w:rsidP="008E3512">
      <w:pPr>
        <w:autoSpaceDE w:val="0"/>
        <w:autoSpaceDN w:val="0"/>
        <w:adjustRightInd w:val="0"/>
        <w:jc w:val="both"/>
        <w:rPr>
          <w:rFonts w:ascii="Calibri" w:hAnsi="Calibri"/>
          <w:color w:val="000000" w:themeColor="text1"/>
          <w:sz w:val="24"/>
          <w:szCs w:val="28"/>
        </w:rPr>
      </w:pPr>
      <w:r w:rsidRPr="00340DD1">
        <w:rPr>
          <w:rFonts w:ascii="Calibri" w:hAnsi="Calibri"/>
          <w:color w:val="000000" w:themeColor="text1"/>
          <w:sz w:val="24"/>
          <w:szCs w:val="28"/>
        </w:rPr>
        <w:t>Le dispositif opérationnel de formation technique et professionnelle en santé comp</w:t>
      </w:r>
      <w:r w:rsidR="001367A9">
        <w:rPr>
          <w:rFonts w:ascii="Calibri" w:hAnsi="Calibri"/>
          <w:color w:val="000000" w:themeColor="text1"/>
          <w:sz w:val="24"/>
          <w:szCs w:val="28"/>
        </w:rPr>
        <w:t>t</w:t>
      </w:r>
      <w:r w:rsidRPr="00340DD1">
        <w:rPr>
          <w:rFonts w:ascii="Calibri" w:hAnsi="Calibri"/>
          <w:color w:val="000000" w:themeColor="text1"/>
          <w:sz w:val="24"/>
          <w:szCs w:val="28"/>
        </w:rPr>
        <w:t>ait</w:t>
      </w:r>
      <w:r w:rsidR="001367A9" w:rsidRPr="00340DD1">
        <w:rPr>
          <w:rFonts w:ascii="Calibri" w:hAnsi="Calibri"/>
          <w:color w:val="000000" w:themeColor="text1"/>
          <w:sz w:val="24"/>
          <w:szCs w:val="28"/>
        </w:rPr>
        <w:t xml:space="preserve"> 38 établissements dont 6 publics et 32 privés</w:t>
      </w:r>
      <w:r w:rsidRPr="00340DD1">
        <w:rPr>
          <w:rFonts w:ascii="Calibri" w:hAnsi="Calibri"/>
          <w:color w:val="000000" w:themeColor="text1"/>
          <w:sz w:val="24"/>
          <w:szCs w:val="28"/>
        </w:rPr>
        <w:t xml:space="preserve"> en 2017</w:t>
      </w:r>
      <w:r w:rsidRPr="00340DD1">
        <w:rPr>
          <w:rFonts w:ascii="Calibri" w:hAnsi="Calibri"/>
          <w:color w:val="000000" w:themeColor="text1"/>
          <w:sz w:val="24"/>
          <w:szCs w:val="28"/>
          <w:vertAlign w:val="superscript"/>
        </w:rPr>
        <w:footnoteReference w:id="23"/>
      </w:r>
      <w:r w:rsidRPr="00340DD1">
        <w:rPr>
          <w:rFonts w:ascii="Calibri" w:hAnsi="Calibri"/>
          <w:color w:val="000000" w:themeColor="text1"/>
          <w:sz w:val="24"/>
          <w:szCs w:val="28"/>
        </w:rPr>
        <w:t xml:space="preserve">. Le nombre des établissements publics </w:t>
      </w:r>
      <w:r w:rsidR="001367A9">
        <w:rPr>
          <w:rFonts w:ascii="Calibri" w:hAnsi="Calibri"/>
          <w:color w:val="000000" w:themeColor="text1"/>
          <w:sz w:val="24"/>
          <w:szCs w:val="28"/>
        </w:rPr>
        <w:t>a</w:t>
      </w:r>
      <w:r w:rsidRPr="00340DD1">
        <w:rPr>
          <w:rFonts w:ascii="Calibri" w:hAnsi="Calibri"/>
          <w:color w:val="000000" w:themeColor="text1"/>
          <w:sz w:val="24"/>
          <w:szCs w:val="28"/>
        </w:rPr>
        <w:t xml:space="preserve"> stagn</w:t>
      </w:r>
      <w:r w:rsidR="001367A9">
        <w:rPr>
          <w:rFonts w:ascii="Calibri" w:hAnsi="Calibri"/>
          <w:color w:val="000000" w:themeColor="text1"/>
          <w:sz w:val="24"/>
          <w:szCs w:val="28"/>
        </w:rPr>
        <w:t>é</w:t>
      </w:r>
      <w:r w:rsidRPr="00340DD1">
        <w:rPr>
          <w:rFonts w:ascii="Calibri" w:hAnsi="Calibri"/>
          <w:color w:val="000000" w:themeColor="text1"/>
          <w:sz w:val="24"/>
          <w:szCs w:val="28"/>
        </w:rPr>
        <w:t xml:space="preserve"> depuis 2006, tandis </w:t>
      </w:r>
      <w:r w:rsidR="001367A9">
        <w:rPr>
          <w:rFonts w:ascii="Calibri" w:hAnsi="Calibri"/>
          <w:color w:val="000000" w:themeColor="text1"/>
          <w:sz w:val="24"/>
          <w:szCs w:val="28"/>
        </w:rPr>
        <w:t xml:space="preserve">que </w:t>
      </w:r>
      <w:r w:rsidRPr="00340DD1">
        <w:rPr>
          <w:rFonts w:ascii="Calibri" w:hAnsi="Calibri"/>
          <w:color w:val="000000" w:themeColor="text1"/>
          <w:sz w:val="24"/>
          <w:szCs w:val="28"/>
        </w:rPr>
        <w:t>celui des écoles privées a augment</w:t>
      </w:r>
      <w:r w:rsidR="001367A9">
        <w:rPr>
          <w:rFonts w:ascii="Calibri" w:hAnsi="Calibri"/>
          <w:color w:val="000000" w:themeColor="text1"/>
          <w:sz w:val="24"/>
          <w:szCs w:val="28"/>
        </w:rPr>
        <w:t>é</w:t>
      </w:r>
      <w:r w:rsidRPr="00340DD1">
        <w:rPr>
          <w:rFonts w:ascii="Calibri" w:hAnsi="Calibri"/>
          <w:color w:val="000000" w:themeColor="text1"/>
          <w:sz w:val="24"/>
          <w:szCs w:val="28"/>
        </w:rPr>
        <w:t xml:space="preserve">, de 2 écoles en 2006 à 32 en 2017. </w:t>
      </w:r>
      <w:r w:rsidR="001367A9">
        <w:rPr>
          <w:rFonts w:ascii="Calibri" w:hAnsi="Calibri"/>
          <w:color w:val="000000" w:themeColor="text1"/>
          <w:sz w:val="24"/>
          <w:szCs w:val="28"/>
        </w:rPr>
        <w:t>L</w:t>
      </w:r>
      <w:r w:rsidR="003C754C">
        <w:rPr>
          <w:rFonts w:ascii="Calibri" w:hAnsi="Calibri"/>
          <w:color w:val="000000" w:themeColor="text1"/>
          <w:sz w:val="24"/>
          <w:szCs w:val="28"/>
        </w:rPr>
        <w:t>es programmes harmonisés de l’OOAS</w:t>
      </w:r>
      <w:r w:rsidR="001367A9">
        <w:rPr>
          <w:rFonts w:ascii="Calibri" w:hAnsi="Calibri"/>
          <w:color w:val="000000" w:themeColor="text1"/>
          <w:sz w:val="24"/>
          <w:szCs w:val="28"/>
        </w:rPr>
        <w:t xml:space="preserve"> y </w:t>
      </w:r>
      <w:r w:rsidR="00626BCF">
        <w:rPr>
          <w:rFonts w:ascii="Calibri" w:hAnsi="Calibri"/>
          <w:color w:val="000000" w:themeColor="text1"/>
          <w:sz w:val="24"/>
          <w:szCs w:val="28"/>
        </w:rPr>
        <w:t>s</w:t>
      </w:r>
      <w:r w:rsidR="001367A9">
        <w:rPr>
          <w:rFonts w:ascii="Calibri" w:hAnsi="Calibri"/>
          <w:color w:val="000000" w:themeColor="text1"/>
          <w:sz w:val="24"/>
          <w:szCs w:val="28"/>
        </w:rPr>
        <w:t xml:space="preserve">ont </w:t>
      </w:r>
      <w:r w:rsidR="00626BCF">
        <w:rPr>
          <w:rFonts w:ascii="Calibri" w:hAnsi="Calibri"/>
          <w:color w:val="000000" w:themeColor="text1"/>
          <w:sz w:val="24"/>
          <w:szCs w:val="28"/>
        </w:rPr>
        <w:t>dispensé</w:t>
      </w:r>
      <w:r w:rsidR="001367A9">
        <w:rPr>
          <w:rFonts w:ascii="Calibri" w:hAnsi="Calibri"/>
          <w:color w:val="000000" w:themeColor="text1"/>
          <w:sz w:val="24"/>
          <w:szCs w:val="28"/>
        </w:rPr>
        <w:t>s</w:t>
      </w:r>
      <w:r w:rsidR="003C754C">
        <w:rPr>
          <w:rFonts w:ascii="Calibri" w:hAnsi="Calibri"/>
          <w:color w:val="000000" w:themeColor="text1"/>
          <w:sz w:val="24"/>
          <w:szCs w:val="28"/>
        </w:rPr>
        <w:t xml:space="preserve">. </w:t>
      </w:r>
      <w:r w:rsidRPr="00340DD1">
        <w:rPr>
          <w:rFonts w:ascii="Calibri" w:hAnsi="Calibri"/>
          <w:color w:val="000000" w:themeColor="text1"/>
          <w:sz w:val="24"/>
          <w:szCs w:val="28"/>
        </w:rPr>
        <w:t>Ce dispositif est complété par les institutions partenaires de formation à l’étranger.</w:t>
      </w:r>
      <w:r w:rsidR="003C754C">
        <w:rPr>
          <w:rFonts w:ascii="Calibri" w:hAnsi="Calibri"/>
          <w:color w:val="000000" w:themeColor="text1"/>
          <w:sz w:val="24"/>
          <w:szCs w:val="28"/>
        </w:rPr>
        <w:t xml:space="preserve"> </w:t>
      </w:r>
    </w:p>
    <w:p w:rsidR="00425212" w:rsidRDefault="00340DD1" w:rsidP="003C754C">
      <w:pPr>
        <w:jc w:val="both"/>
        <w:rPr>
          <w:rFonts w:ascii="Calibri" w:hAnsi="Calibri"/>
          <w:color w:val="000000" w:themeColor="text1"/>
          <w:sz w:val="24"/>
          <w:szCs w:val="28"/>
        </w:rPr>
      </w:pPr>
      <w:r w:rsidRPr="00340DD1">
        <w:rPr>
          <w:rFonts w:ascii="Calibri" w:hAnsi="Calibri"/>
          <w:color w:val="000000" w:themeColor="text1"/>
          <w:sz w:val="24"/>
          <w:szCs w:val="28"/>
        </w:rPr>
        <w:t xml:space="preserve">Les effectifs </w:t>
      </w:r>
      <w:r w:rsidR="008E3512">
        <w:rPr>
          <w:rFonts w:ascii="Calibri" w:hAnsi="Calibri"/>
          <w:color w:val="000000" w:themeColor="text1"/>
          <w:sz w:val="24"/>
          <w:szCs w:val="28"/>
        </w:rPr>
        <w:t xml:space="preserve">d’apprenants </w:t>
      </w:r>
      <w:r w:rsidRPr="00340DD1">
        <w:rPr>
          <w:rFonts w:ascii="Calibri" w:hAnsi="Calibri"/>
          <w:color w:val="000000" w:themeColor="text1"/>
          <w:sz w:val="24"/>
          <w:szCs w:val="28"/>
        </w:rPr>
        <w:t xml:space="preserve">dans les écoles professionnelles de santé </w:t>
      </w:r>
      <w:r w:rsidR="008E3512">
        <w:rPr>
          <w:rFonts w:ascii="Calibri" w:hAnsi="Calibri"/>
          <w:color w:val="000000" w:themeColor="text1"/>
          <w:sz w:val="24"/>
          <w:szCs w:val="28"/>
        </w:rPr>
        <w:t>ont</w:t>
      </w:r>
      <w:r w:rsidRPr="00340DD1">
        <w:rPr>
          <w:rFonts w:ascii="Calibri" w:hAnsi="Calibri"/>
          <w:color w:val="000000" w:themeColor="text1"/>
          <w:sz w:val="24"/>
          <w:szCs w:val="28"/>
        </w:rPr>
        <w:t xml:space="preserve"> baiss</w:t>
      </w:r>
      <w:r w:rsidR="008E3512">
        <w:rPr>
          <w:rFonts w:ascii="Calibri" w:hAnsi="Calibri"/>
          <w:color w:val="000000" w:themeColor="text1"/>
          <w:sz w:val="24"/>
          <w:szCs w:val="28"/>
        </w:rPr>
        <w:t>é</w:t>
      </w:r>
      <w:r w:rsidRPr="00340DD1">
        <w:rPr>
          <w:rFonts w:ascii="Calibri" w:hAnsi="Calibri"/>
          <w:color w:val="000000" w:themeColor="text1"/>
          <w:sz w:val="24"/>
          <w:szCs w:val="28"/>
        </w:rPr>
        <w:t xml:space="preserve"> régulière</w:t>
      </w:r>
      <w:r w:rsidR="00CE7E0A">
        <w:rPr>
          <w:rFonts w:ascii="Calibri" w:hAnsi="Calibri"/>
          <w:color w:val="000000" w:themeColor="text1"/>
          <w:sz w:val="24"/>
          <w:szCs w:val="28"/>
        </w:rPr>
        <w:t>ment</w:t>
      </w:r>
      <w:r w:rsidRPr="00340DD1">
        <w:rPr>
          <w:rFonts w:ascii="Calibri" w:hAnsi="Calibri"/>
          <w:color w:val="000000" w:themeColor="text1"/>
          <w:sz w:val="24"/>
          <w:szCs w:val="28"/>
        </w:rPr>
        <w:t xml:space="preserve"> dans les écoles publiques de 2013 à 2016</w:t>
      </w:r>
      <w:r>
        <w:rPr>
          <w:rFonts w:ascii="Calibri" w:hAnsi="Calibri"/>
          <w:color w:val="000000" w:themeColor="text1"/>
          <w:sz w:val="24"/>
          <w:szCs w:val="28"/>
        </w:rPr>
        <w:t>,</w:t>
      </w:r>
      <w:r w:rsidRPr="00340DD1">
        <w:rPr>
          <w:rFonts w:ascii="Calibri" w:hAnsi="Calibri"/>
          <w:color w:val="000000" w:themeColor="text1"/>
          <w:sz w:val="24"/>
          <w:szCs w:val="28"/>
        </w:rPr>
        <w:t xml:space="preserve"> puis </w:t>
      </w:r>
      <w:r w:rsidR="008E3512">
        <w:rPr>
          <w:rFonts w:ascii="Calibri" w:hAnsi="Calibri"/>
          <w:color w:val="000000" w:themeColor="text1"/>
          <w:sz w:val="24"/>
          <w:szCs w:val="28"/>
        </w:rPr>
        <w:t>ont augmenté</w:t>
      </w:r>
      <w:r w:rsidRPr="00340DD1">
        <w:rPr>
          <w:rFonts w:ascii="Calibri" w:hAnsi="Calibri"/>
          <w:color w:val="000000" w:themeColor="text1"/>
          <w:sz w:val="24"/>
          <w:szCs w:val="28"/>
        </w:rPr>
        <w:t xml:space="preserve"> brusque</w:t>
      </w:r>
      <w:r w:rsidR="008E3512">
        <w:rPr>
          <w:rFonts w:ascii="Calibri" w:hAnsi="Calibri"/>
          <w:color w:val="000000" w:themeColor="text1"/>
          <w:sz w:val="24"/>
          <w:szCs w:val="28"/>
        </w:rPr>
        <w:t>ment</w:t>
      </w:r>
      <w:r w:rsidRPr="00340DD1">
        <w:rPr>
          <w:rFonts w:ascii="Calibri" w:hAnsi="Calibri"/>
          <w:color w:val="000000" w:themeColor="text1"/>
          <w:sz w:val="24"/>
          <w:szCs w:val="28"/>
        </w:rPr>
        <w:t xml:space="preserve"> en 2017</w:t>
      </w:r>
      <w:r w:rsidR="008E3512">
        <w:rPr>
          <w:rFonts w:ascii="Calibri" w:hAnsi="Calibri"/>
          <w:color w:val="000000" w:themeColor="text1"/>
          <w:sz w:val="24"/>
          <w:szCs w:val="28"/>
        </w:rPr>
        <w:t>. A la même période</w:t>
      </w:r>
      <w:r w:rsidRPr="00340DD1">
        <w:rPr>
          <w:rFonts w:ascii="Calibri" w:hAnsi="Calibri"/>
          <w:color w:val="000000" w:themeColor="text1"/>
          <w:sz w:val="24"/>
          <w:szCs w:val="28"/>
        </w:rPr>
        <w:t>, le</w:t>
      </w:r>
      <w:r w:rsidR="00425212">
        <w:rPr>
          <w:rFonts w:ascii="Calibri" w:hAnsi="Calibri"/>
          <w:color w:val="000000" w:themeColor="text1"/>
          <w:sz w:val="24"/>
          <w:szCs w:val="28"/>
        </w:rPr>
        <w:t xml:space="preserve"> nombre</w:t>
      </w:r>
      <w:r w:rsidRPr="00340DD1">
        <w:rPr>
          <w:rFonts w:ascii="Calibri" w:hAnsi="Calibri"/>
          <w:color w:val="000000" w:themeColor="text1"/>
          <w:sz w:val="24"/>
          <w:szCs w:val="28"/>
        </w:rPr>
        <w:t xml:space="preserve"> </w:t>
      </w:r>
      <w:r w:rsidR="00425212">
        <w:rPr>
          <w:rFonts w:ascii="Calibri" w:hAnsi="Calibri"/>
          <w:color w:val="000000" w:themeColor="text1"/>
          <w:sz w:val="24"/>
          <w:szCs w:val="28"/>
        </w:rPr>
        <w:t>d’</w:t>
      </w:r>
      <w:r w:rsidRPr="00340DD1">
        <w:rPr>
          <w:rFonts w:ascii="Calibri" w:hAnsi="Calibri"/>
          <w:color w:val="000000" w:themeColor="text1"/>
          <w:sz w:val="24"/>
          <w:szCs w:val="28"/>
        </w:rPr>
        <w:t>écoles privées</w:t>
      </w:r>
      <w:r w:rsidR="00425212">
        <w:rPr>
          <w:rFonts w:ascii="Calibri" w:hAnsi="Calibri"/>
          <w:color w:val="000000" w:themeColor="text1"/>
          <w:sz w:val="24"/>
          <w:szCs w:val="28"/>
        </w:rPr>
        <w:t xml:space="preserve"> a cru continuellement</w:t>
      </w:r>
      <w:r w:rsidRPr="00340DD1">
        <w:rPr>
          <w:rFonts w:ascii="Calibri" w:hAnsi="Calibri"/>
          <w:color w:val="000000" w:themeColor="text1"/>
          <w:sz w:val="24"/>
          <w:szCs w:val="28"/>
        </w:rPr>
        <w:t>.</w:t>
      </w:r>
      <w:r w:rsidR="00425212">
        <w:rPr>
          <w:rFonts w:ascii="Calibri" w:hAnsi="Calibri"/>
          <w:color w:val="000000" w:themeColor="text1"/>
          <w:sz w:val="24"/>
          <w:szCs w:val="28"/>
        </w:rPr>
        <w:t xml:space="preserve"> L</w:t>
      </w:r>
      <w:r w:rsidRPr="00340DD1">
        <w:rPr>
          <w:rFonts w:ascii="Calibri" w:hAnsi="Calibri"/>
          <w:color w:val="000000" w:themeColor="text1"/>
          <w:sz w:val="24"/>
          <w:szCs w:val="28"/>
        </w:rPr>
        <w:t>’épidémie de la maladie à virus Ebola qui a sévi dans le pays à la même période</w:t>
      </w:r>
      <w:r w:rsidR="005D6E06">
        <w:rPr>
          <w:rFonts w:ascii="Calibri" w:hAnsi="Calibri"/>
          <w:color w:val="000000" w:themeColor="text1"/>
          <w:sz w:val="24"/>
          <w:szCs w:val="28"/>
        </w:rPr>
        <w:t xml:space="preserve"> </w:t>
      </w:r>
      <w:r w:rsidR="00425212">
        <w:rPr>
          <w:rFonts w:ascii="Calibri" w:hAnsi="Calibri"/>
          <w:color w:val="000000" w:themeColor="text1"/>
          <w:sz w:val="24"/>
          <w:szCs w:val="28"/>
        </w:rPr>
        <w:t>ne semble pas en être la cause car</w:t>
      </w:r>
      <w:r w:rsidR="005D6E06">
        <w:rPr>
          <w:rFonts w:ascii="Calibri" w:hAnsi="Calibri"/>
          <w:color w:val="000000" w:themeColor="text1"/>
          <w:sz w:val="24"/>
          <w:szCs w:val="28"/>
        </w:rPr>
        <w:t>, logiquement</w:t>
      </w:r>
      <w:r w:rsidR="00425212">
        <w:rPr>
          <w:rFonts w:ascii="Calibri" w:hAnsi="Calibri"/>
          <w:color w:val="000000" w:themeColor="text1"/>
          <w:sz w:val="24"/>
          <w:szCs w:val="28"/>
        </w:rPr>
        <w:t>,</w:t>
      </w:r>
      <w:r w:rsidR="005D6E06">
        <w:rPr>
          <w:rFonts w:ascii="Calibri" w:hAnsi="Calibri"/>
          <w:color w:val="000000" w:themeColor="text1"/>
          <w:sz w:val="24"/>
          <w:szCs w:val="28"/>
        </w:rPr>
        <w:t xml:space="preserve"> </w:t>
      </w:r>
      <w:r w:rsidR="00FC685C">
        <w:rPr>
          <w:rFonts w:ascii="Calibri" w:hAnsi="Calibri"/>
          <w:color w:val="000000" w:themeColor="text1"/>
          <w:sz w:val="24"/>
          <w:szCs w:val="28"/>
        </w:rPr>
        <w:t>elle</w:t>
      </w:r>
      <w:r w:rsidR="00425212">
        <w:rPr>
          <w:rFonts w:ascii="Calibri" w:hAnsi="Calibri"/>
          <w:color w:val="000000" w:themeColor="text1"/>
          <w:sz w:val="24"/>
          <w:szCs w:val="28"/>
        </w:rPr>
        <w:t xml:space="preserve"> </w:t>
      </w:r>
      <w:r w:rsidR="005D6E06">
        <w:rPr>
          <w:rFonts w:ascii="Calibri" w:hAnsi="Calibri"/>
          <w:color w:val="000000" w:themeColor="text1"/>
          <w:sz w:val="24"/>
          <w:szCs w:val="28"/>
        </w:rPr>
        <w:t xml:space="preserve">aurait affecté </w:t>
      </w:r>
      <w:r w:rsidRPr="00340DD1">
        <w:rPr>
          <w:rFonts w:ascii="Calibri" w:hAnsi="Calibri"/>
          <w:color w:val="000000" w:themeColor="text1"/>
          <w:sz w:val="24"/>
          <w:szCs w:val="28"/>
        </w:rPr>
        <w:t xml:space="preserve">le secteur privé </w:t>
      </w:r>
      <w:r w:rsidR="005D6E06">
        <w:rPr>
          <w:rFonts w:ascii="Calibri" w:hAnsi="Calibri"/>
          <w:color w:val="000000" w:themeColor="text1"/>
          <w:sz w:val="24"/>
          <w:szCs w:val="28"/>
        </w:rPr>
        <w:t>de la même façon.</w:t>
      </w:r>
      <w:r w:rsidRPr="00340DD1">
        <w:rPr>
          <w:rFonts w:ascii="Calibri" w:hAnsi="Calibri"/>
          <w:color w:val="000000" w:themeColor="text1"/>
          <w:sz w:val="24"/>
          <w:szCs w:val="28"/>
        </w:rPr>
        <w:t xml:space="preserve"> </w:t>
      </w:r>
    </w:p>
    <w:p w:rsidR="00425212" w:rsidRDefault="00BD7969" w:rsidP="003C754C">
      <w:pPr>
        <w:jc w:val="both"/>
        <w:rPr>
          <w:rFonts w:ascii="Calibri" w:hAnsi="Calibri"/>
          <w:color w:val="000000" w:themeColor="text1"/>
          <w:sz w:val="24"/>
          <w:szCs w:val="28"/>
        </w:rPr>
      </w:pPr>
      <w:r>
        <w:rPr>
          <w:rFonts w:ascii="Calibri" w:hAnsi="Calibri"/>
          <w:color w:val="000000" w:themeColor="text1"/>
          <w:sz w:val="24"/>
          <w:szCs w:val="28"/>
        </w:rPr>
        <w:t xml:space="preserve">Le système a produit </w:t>
      </w:r>
      <w:r w:rsidRPr="00BD7969">
        <w:rPr>
          <w:rFonts w:ascii="Calibri" w:hAnsi="Calibri"/>
          <w:color w:val="000000" w:themeColor="text1"/>
          <w:sz w:val="24"/>
          <w:szCs w:val="28"/>
        </w:rPr>
        <w:t xml:space="preserve">3273 professionnels </w:t>
      </w:r>
      <w:r>
        <w:rPr>
          <w:rFonts w:ascii="Calibri" w:hAnsi="Calibri"/>
          <w:color w:val="000000" w:themeColor="text1"/>
          <w:sz w:val="24"/>
          <w:szCs w:val="28"/>
        </w:rPr>
        <w:t>durant cette période.</w:t>
      </w:r>
      <w:r w:rsidR="003C754C">
        <w:rPr>
          <w:rFonts w:ascii="Calibri" w:hAnsi="Calibri"/>
          <w:color w:val="000000" w:themeColor="text1"/>
          <w:sz w:val="24"/>
          <w:szCs w:val="28"/>
        </w:rPr>
        <w:t xml:space="preserve"> </w:t>
      </w:r>
    </w:p>
    <w:p w:rsidR="001367A9" w:rsidRDefault="001367A9" w:rsidP="003C754C">
      <w:pPr>
        <w:jc w:val="both"/>
        <w:rPr>
          <w:rFonts w:ascii="Calibri" w:hAnsi="Calibri"/>
          <w:color w:val="000000" w:themeColor="text1"/>
          <w:sz w:val="24"/>
          <w:szCs w:val="28"/>
        </w:rPr>
      </w:pPr>
      <w:r>
        <w:rPr>
          <w:rFonts w:ascii="Calibri" w:hAnsi="Calibri"/>
          <w:color w:val="000000" w:themeColor="text1"/>
          <w:sz w:val="24"/>
          <w:szCs w:val="28"/>
        </w:rPr>
        <w:t xml:space="preserve">Toutefois, </w:t>
      </w:r>
      <w:r w:rsidR="00425212">
        <w:rPr>
          <w:rFonts w:ascii="Calibri" w:hAnsi="Calibri"/>
          <w:color w:val="000000" w:themeColor="text1"/>
          <w:sz w:val="24"/>
          <w:szCs w:val="28"/>
        </w:rPr>
        <w:t xml:space="preserve">ce secteur de la formation </w:t>
      </w:r>
      <w:r w:rsidR="00FC685C">
        <w:rPr>
          <w:rFonts w:ascii="Calibri" w:hAnsi="Calibri"/>
          <w:color w:val="000000" w:themeColor="text1"/>
          <w:sz w:val="24"/>
          <w:szCs w:val="28"/>
        </w:rPr>
        <w:t>professionnel</w:t>
      </w:r>
      <w:r w:rsidR="00425212">
        <w:rPr>
          <w:rFonts w:ascii="Calibri" w:hAnsi="Calibri"/>
          <w:color w:val="000000" w:themeColor="text1"/>
          <w:sz w:val="24"/>
          <w:szCs w:val="28"/>
        </w:rPr>
        <w:t>le, non plus,</w:t>
      </w:r>
      <w:r>
        <w:rPr>
          <w:rFonts w:ascii="Calibri" w:hAnsi="Calibri"/>
          <w:color w:val="000000" w:themeColor="text1"/>
          <w:sz w:val="24"/>
          <w:szCs w:val="28"/>
        </w:rPr>
        <w:t xml:space="preserve"> </w:t>
      </w:r>
      <w:r w:rsidR="00425212">
        <w:rPr>
          <w:rFonts w:ascii="Calibri" w:hAnsi="Calibri"/>
          <w:color w:val="000000" w:themeColor="text1"/>
          <w:sz w:val="24"/>
          <w:szCs w:val="28"/>
        </w:rPr>
        <w:t>malgré quelques changement</w:t>
      </w:r>
      <w:r w:rsidR="00FC685C">
        <w:rPr>
          <w:rFonts w:ascii="Calibri" w:hAnsi="Calibri"/>
          <w:color w:val="000000" w:themeColor="text1"/>
          <w:sz w:val="24"/>
          <w:szCs w:val="28"/>
        </w:rPr>
        <w:t>s positifs</w:t>
      </w:r>
      <w:r w:rsidR="00425212">
        <w:rPr>
          <w:rFonts w:ascii="Calibri" w:hAnsi="Calibri"/>
          <w:color w:val="000000" w:themeColor="text1"/>
          <w:sz w:val="24"/>
          <w:szCs w:val="28"/>
        </w:rPr>
        <w:t xml:space="preserve"> en cours (adaptation de la formation aux besoins de la santé communautaire), </w:t>
      </w:r>
      <w:r w:rsidRPr="00575D04">
        <w:rPr>
          <w:rFonts w:cs="Arial"/>
          <w:szCs w:val="28"/>
        </w:rPr>
        <w:t xml:space="preserve">ne répond pas </w:t>
      </w:r>
      <w:r>
        <w:rPr>
          <w:rFonts w:cs="Arial"/>
          <w:szCs w:val="28"/>
        </w:rPr>
        <w:t xml:space="preserve">encore </w:t>
      </w:r>
      <w:r w:rsidRPr="00575D04">
        <w:rPr>
          <w:rFonts w:cs="Arial"/>
          <w:szCs w:val="28"/>
        </w:rPr>
        <w:t>adéquatement</w:t>
      </w:r>
      <w:r>
        <w:rPr>
          <w:rFonts w:cs="Arial"/>
          <w:szCs w:val="28"/>
        </w:rPr>
        <w:t xml:space="preserve"> </w:t>
      </w:r>
      <w:r w:rsidRPr="00575D04">
        <w:rPr>
          <w:rFonts w:cs="Arial"/>
          <w:szCs w:val="28"/>
        </w:rPr>
        <w:t>aux préoccupations du mar</w:t>
      </w:r>
      <w:r>
        <w:rPr>
          <w:rFonts w:cs="Arial"/>
          <w:szCs w:val="28"/>
        </w:rPr>
        <w:t>ché du travail.</w:t>
      </w:r>
      <w:r w:rsidRPr="00575D04">
        <w:rPr>
          <w:rStyle w:val="Appelnotedebasdep"/>
          <w:rFonts w:cs="Arial"/>
          <w:szCs w:val="28"/>
        </w:rPr>
        <w:footnoteReference w:id="24"/>
      </w:r>
    </w:p>
    <w:p w:rsidR="003C754C" w:rsidRPr="003C754C" w:rsidRDefault="003C754C" w:rsidP="001367A9">
      <w:pPr>
        <w:pStyle w:val="Titre1"/>
        <w:numPr>
          <w:ilvl w:val="3"/>
          <w:numId w:val="8"/>
        </w:numPr>
        <w:spacing w:before="240" w:after="240"/>
        <w:ind w:left="1843" w:hanging="709"/>
        <w:rPr>
          <w:sz w:val="22"/>
        </w:rPr>
      </w:pPr>
      <w:r w:rsidRPr="003C754C">
        <w:rPr>
          <w:sz w:val="22"/>
        </w:rPr>
        <w:lastRenderedPageBreak/>
        <w:t>Formation de spécialisation</w:t>
      </w:r>
    </w:p>
    <w:p w:rsidR="003C754C" w:rsidRPr="009F0F07" w:rsidRDefault="003C754C" w:rsidP="006D55D5">
      <w:pPr>
        <w:pStyle w:val="Paragraphedeliste"/>
        <w:ind w:left="0"/>
        <w:contextualSpacing w:val="0"/>
        <w:jc w:val="both"/>
        <w:rPr>
          <w:rFonts w:ascii="Calibri" w:hAnsi="Calibri"/>
          <w:color w:val="000000" w:themeColor="text1"/>
          <w:sz w:val="24"/>
          <w:szCs w:val="28"/>
        </w:rPr>
      </w:pPr>
      <w:r w:rsidRPr="009F0F07">
        <w:rPr>
          <w:rFonts w:ascii="Calibri" w:hAnsi="Calibri"/>
          <w:color w:val="000000" w:themeColor="text1"/>
          <w:sz w:val="24"/>
          <w:szCs w:val="28"/>
        </w:rPr>
        <w:t xml:space="preserve">Selon les données disponibles </w:t>
      </w:r>
      <w:r w:rsidR="009F0F07" w:rsidRPr="009F0F07">
        <w:rPr>
          <w:rFonts w:ascii="Calibri" w:hAnsi="Calibri"/>
          <w:color w:val="000000" w:themeColor="text1"/>
          <w:sz w:val="24"/>
          <w:szCs w:val="28"/>
        </w:rPr>
        <w:t>(incomplètes)</w:t>
      </w:r>
      <w:r w:rsidR="009F0F07">
        <w:rPr>
          <w:rFonts w:ascii="Calibri" w:hAnsi="Calibri"/>
          <w:color w:val="000000" w:themeColor="text1"/>
          <w:sz w:val="24"/>
          <w:szCs w:val="28"/>
        </w:rPr>
        <w:t>,</w:t>
      </w:r>
      <w:r w:rsidR="009F0F07" w:rsidRPr="009F0F07">
        <w:rPr>
          <w:rFonts w:ascii="Calibri" w:hAnsi="Calibri"/>
          <w:color w:val="000000" w:themeColor="text1"/>
          <w:sz w:val="24"/>
          <w:szCs w:val="28"/>
        </w:rPr>
        <w:t xml:space="preserve"> </w:t>
      </w:r>
      <w:r w:rsidRPr="009F0F07">
        <w:rPr>
          <w:rFonts w:ascii="Calibri" w:hAnsi="Calibri"/>
          <w:color w:val="000000" w:themeColor="text1"/>
          <w:sz w:val="24"/>
          <w:szCs w:val="28"/>
        </w:rPr>
        <w:t>le pays comptait en 2017 dix-sept diplômes d’études spécialisées (DES) et Master</w:t>
      </w:r>
      <w:r w:rsidR="009F0F07" w:rsidRPr="009F0F07">
        <w:rPr>
          <w:rFonts w:ascii="Calibri" w:hAnsi="Calibri"/>
          <w:color w:val="000000" w:themeColor="text1"/>
          <w:sz w:val="24"/>
          <w:vertAlign w:val="superscript"/>
        </w:rPr>
        <w:footnoteReference w:id="25"/>
      </w:r>
      <w:r w:rsidRPr="009F0F07">
        <w:rPr>
          <w:rFonts w:ascii="Calibri" w:hAnsi="Calibri"/>
          <w:color w:val="000000" w:themeColor="text1"/>
          <w:sz w:val="24"/>
          <w:szCs w:val="28"/>
        </w:rPr>
        <w:t xml:space="preserve"> couvrant les disciplines Médicales, Pharmaceutiques, Biologiques et de Santé Publique pour un cycle d’études allant de 2 ans (master) à 4 ans (DES). Il s’agit généralement de filières dans les domaines</w:t>
      </w:r>
      <w:r w:rsidR="006D55D5">
        <w:rPr>
          <w:rFonts w:ascii="Calibri" w:hAnsi="Calibri"/>
          <w:color w:val="000000" w:themeColor="text1"/>
          <w:sz w:val="24"/>
          <w:szCs w:val="28"/>
        </w:rPr>
        <w:t xml:space="preserve"> : </w:t>
      </w:r>
      <w:r w:rsidRPr="009F0F07">
        <w:rPr>
          <w:rFonts w:ascii="Calibri" w:hAnsi="Calibri"/>
          <w:color w:val="000000" w:themeColor="text1"/>
          <w:sz w:val="24"/>
          <w:szCs w:val="28"/>
        </w:rPr>
        <w:t xml:space="preserve">clinique, </w:t>
      </w:r>
      <w:r w:rsidR="006D55D5">
        <w:rPr>
          <w:rFonts w:ascii="Calibri" w:hAnsi="Calibri"/>
          <w:color w:val="000000" w:themeColor="text1"/>
          <w:sz w:val="24"/>
          <w:szCs w:val="28"/>
        </w:rPr>
        <w:t xml:space="preserve">de </w:t>
      </w:r>
      <w:r w:rsidRPr="009F0F07">
        <w:rPr>
          <w:rFonts w:ascii="Calibri" w:hAnsi="Calibri"/>
          <w:color w:val="000000" w:themeColor="text1"/>
          <w:sz w:val="24"/>
          <w:szCs w:val="28"/>
        </w:rPr>
        <w:t xml:space="preserve">santé publique,  </w:t>
      </w:r>
      <w:r w:rsidR="006D55D5">
        <w:rPr>
          <w:rFonts w:ascii="Calibri" w:hAnsi="Calibri"/>
          <w:color w:val="000000" w:themeColor="text1"/>
          <w:sz w:val="24"/>
          <w:szCs w:val="28"/>
        </w:rPr>
        <w:t xml:space="preserve">des </w:t>
      </w:r>
      <w:r w:rsidRPr="009F0F07">
        <w:rPr>
          <w:rFonts w:ascii="Calibri" w:hAnsi="Calibri"/>
          <w:color w:val="000000" w:themeColor="text1"/>
          <w:sz w:val="24"/>
          <w:szCs w:val="28"/>
        </w:rPr>
        <w:t>sciences biomédicales.</w:t>
      </w:r>
      <w:r w:rsidR="006D55D5" w:rsidRPr="006D55D5">
        <w:rPr>
          <w:rFonts w:ascii="Calibri" w:hAnsi="Calibri"/>
          <w:color w:val="000000" w:themeColor="text1"/>
          <w:sz w:val="24"/>
          <w:szCs w:val="28"/>
        </w:rPr>
        <w:t xml:space="preserve"> </w:t>
      </w:r>
      <w:r w:rsidR="006D55D5" w:rsidRPr="009F0F07">
        <w:rPr>
          <w:rFonts w:ascii="Calibri" w:hAnsi="Calibri"/>
          <w:color w:val="000000" w:themeColor="text1"/>
          <w:sz w:val="24"/>
          <w:szCs w:val="28"/>
        </w:rPr>
        <w:t xml:space="preserve">Les programmes d’études existants sont </w:t>
      </w:r>
      <w:r w:rsidR="006D55D5">
        <w:rPr>
          <w:rFonts w:ascii="Calibri" w:hAnsi="Calibri"/>
          <w:color w:val="000000" w:themeColor="text1"/>
          <w:sz w:val="24"/>
          <w:szCs w:val="28"/>
        </w:rPr>
        <w:t xml:space="preserve">ceux </w:t>
      </w:r>
      <w:r w:rsidR="006D55D5" w:rsidRPr="009F0F07">
        <w:rPr>
          <w:rFonts w:ascii="Calibri" w:hAnsi="Calibri"/>
          <w:color w:val="000000" w:themeColor="text1"/>
          <w:sz w:val="24"/>
          <w:szCs w:val="28"/>
        </w:rPr>
        <w:t xml:space="preserve">harmonisés </w:t>
      </w:r>
      <w:r w:rsidR="006D55D5">
        <w:rPr>
          <w:rFonts w:ascii="Calibri" w:hAnsi="Calibri"/>
          <w:color w:val="000000" w:themeColor="text1"/>
          <w:sz w:val="24"/>
          <w:szCs w:val="28"/>
        </w:rPr>
        <w:t>de</w:t>
      </w:r>
      <w:r w:rsidR="006D55D5" w:rsidRPr="009F0F07">
        <w:rPr>
          <w:rFonts w:ascii="Calibri" w:hAnsi="Calibri"/>
          <w:color w:val="000000" w:themeColor="text1"/>
          <w:sz w:val="24"/>
          <w:szCs w:val="28"/>
        </w:rPr>
        <w:t xml:space="preserve"> </w:t>
      </w:r>
      <w:r w:rsidR="006D55D5">
        <w:rPr>
          <w:rFonts w:ascii="Calibri" w:hAnsi="Calibri"/>
          <w:color w:val="000000" w:themeColor="text1"/>
          <w:sz w:val="24"/>
          <w:szCs w:val="28"/>
        </w:rPr>
        <w:t>l’</w:t>
      </w:r>
      <w:r w:rsidR="006D55D5" w:rsidRPr="009F0F07">
        <w:rPr>
          <w:rFonts w:ascii="Calibri" w:hAnsi="Calibri"/>
          <w:color w:val="000000" w:themeColor="text1"/>
          <w:sz w:val="24"/>
          <w:szCs w:val="28"/>
        </w:rPr>
        <w:t>OOAS.</w:t>
      </w:r>
      <w:r w:rsidR="006D55D5">
        <w:rPr>
          <w:rFonts w:ascii="Calibri" w:hAnsi="Calibri"/>
          <w:color w:val="000000" w:themeColor="text1"/>
          <w:sz w:val="24"/>
          <w:szCs w:val="28"/>
        </w:rPr>
        <w:t xml:space="preserve"> C</w:t>
      </w:r>
      <w:r w:rsidR="006D55D5" w:rsidRPr="009F0F07">
        <w:rPr>
          <w:rFonts w:ascii="Calibri" w:hAnsi="Calibri"/>
          <w:color w:val="000000" w:themeColor="text1"/>
          <w:sz w:val="24"/>
          <w:szCs w:val="28"/>
        </w:rPr>
        <w:t xml:space="preserve">e dispositif national est complété par le recours à la formation à l’étranger. </w:t>
      </w:r>
    </w:p>
    <w:p w:rsidR="003C754C" w:rsidRPr="00386EF8" w:rsidRDefault="003C754C" w:rsidP="003C754C">
      <w:pPr>
        <w:jc w:val="both"/>
        <w:rPr>
          <w:rFonts w:ascii="Calibri" w:hAnsi="Calibri"/>
          <w:color w:val="000000" w:themeColor="text1"/>
          <w:sz w:val="24"/>
          <w:szCs w:val="28"/>
        </w:rPr>
      </w:pPr>
      <w:r w:rsidRPr="00386EF8">
        <w:rPr>
          <w:rFonts w:ascii="Calibri" w:hAnsi="Calibri"/>
          <w:color w:val="000000" w:themeColor="text1"/>
          <w:sz w:val="24"/>
          <w:szCs w:val="28"/>
        </w:rPr>
        <w:t xml:space="preserve">Dans le domaine paramédical, </w:t>
      </w:r>
      <w:r w:rsidR="00386EF8" w:rsidRPr="00386EF8">
        <w:rPr>
          <w:rFonts w:ascii="Calibri" w:hAnsi="Calibri"/>
          <w:color w:val="000000" w:themeColor="text1"/>
          <w:sz w:val="24"/>
          <w:szCs w:val="28"/>
        </w:rPr>
        <w:t>aucune</w:t>
      </w:r>
      <w:r w:rsidRPr="00386EF8">
        <w:rPr>
          <w:rFonts w:ascii="Calibri" w:hAnsi="Calibri"/>
          <w:color w:val="000000" w:themeColor="text1"/>
          <w:sz w:val="24"/>
          <w:szCs w:val="28"/>
        </w:rPr>
        <w:t xml:space="preserve"> formation </w:t>
      </w:r>
      <w:r w:rsidR="00386EF8" w:rsidRPr="00386EF8">
        <w:rPr>
          <w:rFonts w:ascii="Calibri" w:hAnsi="Calibri"/>
          <w:color w:val="000000" w:themeColor="text1"/>
          <w:sz w:val="24"/>
          <w:szCs w:val="28"/>
        </w:rPr>
        <w:t>de</w:t>
      </w:r>
      <w:r w:rsidR="006D55D5" w:rsidRPr="00386EF8">
        <w:rPr>
          <w:rFonts w:ascii="Calibri" w:hAnsi="Calibri"/>
          <w:color w:val="000000" w:themeColor="text1"/>
          <w:sz w:val="24"/>
          <w:szCs w:val="28"/>
        </w:rPr>
        <w:t xml:space="preserve"> </w:t>
      </w:r>
      <w:r w:rsidR="00386EF8" w:rsidRPr="00386EF8">
        <w:rPr>
          <w:rFonts w:ascii="Calibri" w:hAnsi="Calibri"/>
          <w:color w:val="000000" w:themeColor="text1"/>
          <w:sz w:val="24"/>
          <w:szCs w:val="28"/>
        </w:rPr>
        <w:t xml:space="preserve">spécialisation n’est offerte en Guinée. </w:t>
      </w:r>
    </w:p>
    <w:p w:rsidR="00386EF8" w:rsidRDefault="00E12B36" w:rsidP="003C754C">
      <w:pPr>
        <w:jc w:val="both"/>
        <w:rPr>
          <w:rFonts w:ascii="Calibri" w:hAnsi="Calibri"/>
          <w:color w:val="000000" w:themeColor="text1"/>
          <w:sz w:val="24"/>
          <w:szCs w:val="28"/>
        </w:rPr>
      </w:pPr>
      <w:r>
        <w:rPr>
          <w:rFonts w:ascii="Calibri" w:hAnsi="Calibri"/>
          <w:color w:val="000000" w:themeColor="text1"/>
          <w:sz w:val="24"/>
          <w:szCs w:val="28"/>
        </w:rPr>
        <w:t>L</w:t>
      </w:r>
      <w:r w:rsidR="00386EF8" w:rsidRPr="00386EF8">
        <w:rPr>
          <w:rFonts w:ascii="Calibri" w:hAnsi="Calibri"/>
          <w:color w:val="000000" w:themeColor="text1"/>
          <w:sz w:val="24"/>
          <w:szCs w:val="28"/>
        </w:rPr>
        <w:t xml:space="preserve">e système de formation de spécialisation </w:t>
      </w:r>
      <w:r>
        <w:rPr>
          <w:rFonts w:ascii="Calibri" w:hAnsi="Calibri"/>
          <w:color w:val="000000" w:themeColor="text1"/>
          <w:sz w:val="24"/>
          <w:szCs w:val="28"/>
        </w:rPr>
        <w:t xml:space="preserve">se </w:t>
      </w:r>
      <w:r w:rsidR="00386EF8" w:rsidRPr="00386EF8">
        <w:rPr>
          <w:rFonts w:ascii="Calibri" w:hAnsi="Calibri"/>
          <w:color w:val="000000" w:themeColor="text1"/>
          <w:sz w:val="24"/>
          <w:szCs w:val="28"/>
        </w:rPr>
        <w:t xml:space="preserve">partage les mêmes difficultés structurelles </w:t>
      </w:r>
      <w:r>
        <w:rPr>
          <w:rFonts w:ascii="Calibri" w:hAnsi="Calibri"/>
          <w:color w:val="000000" w:themeColor="text1"/>
          <w:sz w:val="24"/>
          <w:szCs w:val="28"/>
        </w:rPr>
        <w:t xml:space="preserve">avec </w:t>
      </w:r>
      <w:r w:rsidR="00386EF8" w:rsidRPr="00386EF8">
        <w:rPr>
          <w:rFonts w:ascii="Calibri" w:hAnsi="Calibri"/>
          <w:color w:val="000000" w:themeColor="text1"/>
          <w:sz w:val="24"/>
          <w:szCs w:val="28"/>
        </w:rPr>
        <w:t>celui de la formation initiale universitaire.</w:t>
      </w:r>
    </w:p>
    <w:p w:rsidR="00E12B36" w:rsidRDefault="00E12B36" w:rsidP="003C754C">
      <w:pPr>
        <w:jc w:val="both"/>
        <w:rPr>
          <w:rFonts w:ascii="Calibri" w:hAnsi="Calibri"/>
          <w:color w:val="000000" w:themeColor="text1"/>
          <w:sz w:val="24"/>
          <w:szCs w:val="28"/>
        </w:rPr>
      </w:pPr>
      <w:r>
        <w:rPr>
          <w:rFonts w:ascii="Calibri" w:hAnsi="Calibri"/>
          <w:color w:val="000000" w:themeColor="text1"/>
          <w:sz w:val="24"/>
          <w:szCs w:val="28"/>
        </w:rPr>
        <w:t>Au total</w:t>
      </w:r>
      <w:r w:rsidRPr="00E12B36">
        <w:rPr>
          <w:rFonts w:ascii="Calibri" w:hAnsi="Calibri"/>
          <w:color w:val="000000" w:themeColor="text1"/>
          <w:sz w:val="24"/>
          <w:szCs w:val="28"/>
        </w:rPr>
        <w:t xml:space="preserve">, le système de formation </w:t>
      </w:r>
      <w:r>
        <w:rPr>
          <w:rFonts w:ascii="Calibri" w:hAnsi="Calibri"/>
          <w:color w:val="000000" w:themeColor="text1"/>
          <w:sz w:val="24"/>
          <w:szCs w:val="28"/>
        </w:rPr>
        <w:t>de</w:t>
      </w:r>
      <w:r w:rsidRPr="00E12B36">
        <w:rPr>
          <w:rFonts w:ascii="Calibri" w:hAnsi="Calibri"/>
          <w:color w:val="000000" w:themeColor="text1"/>
          <w:sz w:val="24"/>
          <w:szCs w:val="28"/>
        </w:rPr>
        <w:t xml:space="preserve"> spécialisation n’est pas le reflet d’une politique voulue, promue et conduite en tant qu’instrument de gestion des carrières, d’amélioration des capacités de prise en charge des problèmes de santé et de formation des RHS.</w:t>
      </w:r>
      <w:r w:rsidR="00E6376C">
        <w:rPr>
          <w:rFonts w:ascii="Calibri" w:hAnsi="Calibri"/>
          <w:color w:val="000000" w:themeColor="text1"/>
          <w:sz w:val="24"/>
          <w:szCs w:val="28"/>
        </w:rPr>
        <w:t xml:space="preserve"> </w:t>
      </w:r>
    </w:p>
    <w:p w:rsidR="00533237" w:rsidRPr="00BF6DEA" w:rsidRDefault="00BF6DEA" w:rsidP="00C272A0">
      <w:pPr>
        <w:pStyle w:val="Titre1"/>
        <w:numPr>
          <w:ilvl w:val="3"/>
          <w:numId w:val="8"/>
        </w:numPr>
        <w:spacing w:before="240" w:after="240"/>
        <w:ind w:left="1843" w:hanging="709"/>
        <w:rPr>
          <w:sz w:val="22"/>
        </w:rPr>
      </w:pPr>
      <w:r w:rsidRPr="00BF6DEA">
        <w:rPr>
          <w:sz w:val="22"/>
        </w:rPr>
        <w:t>Formation continue</w:t>
      </w:r>
    </w:p>
    <w:p w:rsidR="00B85B34" w:rsidRPr="00B85B34" w:rsidRDefault="00B85B34" w:rsidP="00B85B34">
      <w:pPr>
        <w:spacing w:after="160" w:line="259" w:lineRule="auto"/>
        <w:jc w:val="both"/>
        <w:rPr>
          <w:rFonts w:ascii="Calibri" w:hAnsi="Calibri"/>
          <w:color w:val="000000" w:themeColor="text1"/>
          <w:sz w:val="24"/>
          <w:szCs w:val="28"/>
        </w:rPr>
      </w:pPr>
      <w:r w:rsidRPr="00B85B34">
        <w:rPr>
          <w:rFonts w:ascii="Calibri" w:hAnsi="Calibri"/>
          <w:color w:val="000000" w:themeColor="text1"/>
          <w:sz w:val="24"/>
          <w:szCs w:val="28"/>
        </w:rPr>
        <w:t xml:space="preserve">Pour mener à bien sa mission, le Ministère de la santé doit pouvoir compter en tout temps sur des personnels qualifiés et en nombre adéquat. </w:t>
      </w:r>
      <w:r>
        <w:rPr>
          <w:rFonts w:ascii="Calibri" w:hAnsi="Calibri"/>
          <w:color w:val="000000" w:themeColor="text1"/>
          <w:sz w:val="24"/>
          <w:szCs w:val="28"/>
        </w:rPr>
        <w:t>En vue de</w:t>
      </w:r>
      <w:r w:rsidRPr="00B85B34">
        <w:rPr>
          <w:rFonts w:ascii="Calibri" w:hAnsi="Calibri"/>
          <w:color w:val="000000" w:themeColor="text1"/>
          <w:sz w:val="24"/>
          <w:szCs w:val="28"/>
        </w:rPr>
        <w:t xml:space="preserve"> répondre à ces impératifs un dispositif de formation continue a été développé</w:t>
      </w:r>
      <w:r>
        <w:rPr>
          <w:rFonts w:ascii="Calibri" w:hAnsi="Calibri"/>
          <w:color w:val="000000" w:themeColor="text1"/>
          <w:sz w:val="24"/>
          <w:szCs w:val="28"/>
        </w:rPr>
        <w:t xml:space="preserve">, qui compte </w:t>
      </w:r>
      <w:r w:rsidR="00BE2F77">
        <w:rPr>
          <w:rFonts w:ascii="Calibri" w:hAnsi="Calibri"/>
          <w:color w:val="000000" w:themeColor="text1"/>
          <w:sz w:val="24"/>
          <w:szCs w:val="28"/>
        </w:rPr>
        <w:t>3</w:t>
      </w:r>
      <w:r w:rsidRPr="00B85B34">
        <w:rPr>
          <w:rFonts w:ascii="Calibri" w:hAnsi="Calibri"/>
          <w:color w:val="000000" w:themeColor="text1"/>
          <w:sz w:val="24"/>
          <w:szCs w:val="28"/>
        </w:rPr>
        <w:t xml:space="preserve"> catégories</w:t>
      </w:r>
      <w:r>
        <w:rPr>
          <w:rFonts w:ascii="Calibri" w:hAnsi="Calibri"/>
          <w:color w:val="000000" w:themeColor="text1"/>
          <w:sz w:val="24"/>
          <w:szCs w:val="28"/>
        </w:rPr>
        <w:t xml:space="preserve"> d’institutions :</w:t>
      </w:r>
    </w:p>
    <w:p w:rsidR="00B85B34" w:rsidRPr="00B85B34" w:rsidRDefault="00B85B34" w:rsidP="00B85B34">
      <w:pPr>
        <w:numPr>
          <w:ilvl w:val="0"/>
          <w:numId w:val="26"/>
        </w:numPr>
        <w:spacing w:after="0"/>
        <w:ind w:left="714" w:hanging="357"/>
        <w:jc w:val="both"/>
        <w:rPr>
          <w:rFonts w:ascii="Calibri" w:hAnsi="Calibri"/>
          <w:color w:val="000000" w:themeColor="text1"/>
          <w:sz w:val="24"/>
          <w:szCs w:val="28"/>
        </w:rPr>
      </w:pPr>
      <w:r w:rsidRPr="00B85B34">
        <w:rPr>
          <w:rFonts w:ascii="Calibri" w:hAnsi="Calibri"/>
          <w:color w:val="000000" w:themeColor="text1"/>
          <w:sz w:val="24"/>
          <w:szCs w:val="28"/>
        </w:rPr>
        <w:t xml:space="preserve">Centres de formation </w:t>
      </w:r>
      <w:r w:rsidR="00BE2F77">
        <w:rPr>
          <w:rFonts w:ascii="Calibri" w:hAnsi="Calibri"/>
          <w:color w:val="000000" w:themeColor="text1"/>
          <w:sz w:val="24"/>
          <w:szCs w:val="28"/>
        </w:rPr>
        <w:t xml:space="preserve">dédiés, </w:t>
      </w:r>
      <w:r w:rsidR="00C272A0">
        <w:rPr>
          <w:rFonts w:ascii="Calibri" w:hAnsi="Calibri"/>
          <w:color w:val="000000" w:themeColor="text1"/>
          <w:sz w:val="24"/>
          <w:szCs w:val="28"/>
        </w:rPr>
        <w:t xml:space="preserve">ayant </w:t>
      </w:r>
      <w:r w:rsidR="00BE2F77" w:rsidRPr="00B85B34">
        <w:rPr>
          <w:rFonts w:ascii="Calibri" w:hAnsi="Calibri"/>
          <w:color w:val="000000" w:themeColor="text1"/>
          <w:sz w:val="24"/>
          <w:szCs w:val="28"/>
        </w:rPr>
        <w:t xml:space="preserve">la </w:t>
      </w:r>
      <w:r w:rsidR="00BE2F77">
        <w:rPr>
          <w:rFonts w:ascii="Calibri" w:hAnsi="Calibri"/>
          <w:color w:val="000000" w:themeColor="text1"/>
          <w:sz w:val="24"/>
          <w:szCs w:val="28"/>
        </w:rPr>
        <w:t xml:space="preserve">formation continue </w:t>
      </w:r>
      <w:r w:rsidR="00C272A0">
        <w:rPr>
          <w:rFonts w:ascii="Calibri" w:hAnsi="Calibri"/>
          <w:color w:val="000000" w:themeColor="text1"/>
          <w:sz w:val="24"/>
          <w:szCs w:val="28"/>
        </w:rPr>
        <w:t>comme mission principale (</w:t>
      </w:r>
      <w:r w:rsidRPr="00B85B34">
        <w:rPr>
          <w:rFonts w:ascii="Calibri" w:hAnsi="Calibri"/>
          <w:color w:val="000000" w:themeColor="text1"/>
          <w:sz w:val="24"/>
          <w:szCs w:val="28"/>
        </w:rPr>
        <w:t>CFRSR</w:t>
      </w:r>
      <w:r w:rsidR="00C272A0">
        <w:rPr>
          <w:rFonts w:ascii="Calibri" w:hAnsi="Calibri"/>
          <w:color w:val="000000" w:themeColor="text1"/>
          <w:sz w:val="24"/>
          <w:szCs w:val="28"/>
        </w:rPr>
        <w:t xml:space="preserve"> de</w:t>
      </w:r>
      <w:r w:rsidRPr="00B85B34">
        <w:rPr>
          <w:rFonts w:ascii="Calibri" w:hAnsi="Calibri"/>
          <w:color w:val="000000" w:themeColor="text1"/>
          <w:sz w:val="24"/>
          <w:szCs w:val="28"/>
        </w:rPr>
        <w:t xml:space="preserve"> Maf</w:t>
      </w:r>
      <w:r w:rsidR="00C272A0">
        <w:rPr>
          <w:rFonts w:ascii="Calibri" w:hAnsi="Calibri"/>
          <w:color w:val="000000" w:themeColor="text1"/>
          <w:sz w:val="24"/>
          <w:szCs w:val="28"/>
        </w:rPr>
        <w:t>é</w:t>
      </w:r>
      <w:r w:rsidRPr="00B85B34">
        <w:rPr>
          <w:rFonts w:ascii="Calibri" w:hAnsi="Calibri"/>
          <w:color w:val="000000" w:themeColor="text1"/>
          <w:sz w:val="24"/>
          <w:szCs w:val="28"/>
        </w:rPr>
        <w:t>rinya</w:t>
      </w:r>
      <w:r w:rsidR="00C272A0">
        <w:rPr>
          <w:rFonts w:ascii="Calibri" w:hAnsi="Calibri"/>
          <w:color w:val="000000" w:themeColor="text1"/>
          <w:sz w:val="24"/>
          <w:szCs w:val="28"/>
        </w:rPr>
        <w:t>h</w:t>
      </w:r>
      <w:r w:rsidRPr="00B85B34">
        <w:rPr>
          <w:rFonts w:ascii="Calibri" w:hAnsi="Calibri"/>
          <w:color w:val="000000" w:themeColor="text1"/>
          <w:sz w:val="24"/>
          <w:szCs w:val="28"/>
        </w:rPr>
        <w:t>, IPPS, Centre de formation et de recherche sur les cancers gynécologiques</w:t>
      </w:r>
      <w:r w:rsidR="00C272A0">
        <w:rPr>
          <w:rFonts w:ascii="Calibri" w:hAnsi="Calibri"/>
          <w:color w:val="000000" w:themeColor="text1"/>
          <w:sz w:val="24"/>
          <w:szCs w:val="28"/>
        </w:rPr>
        <w:t>)</w:t>
      </w:r>
    </w:p>
    <w:p w:rsidR="00B85B34" w:rsidRPr="00B85B34" w:rsidRDefault="00B85B34" w:rsidP="00B85B34">
      <w:pPr>
        <w:numPr>
          <w:ilvl w:val="0"/>
          <w:numId w:val="26"/>
        </w:numPr>
        <w:spacing w:after="0"/>
        <w:ind w:left="714" w:hanging="357"/>
        <w:jc w:val="both"/>
        <w:rPr>
          <w:rFonts w:ascii="Calibri" w:hAnsi="Calibri"/>
          <w:color w:val="000000" w:themeColor="text1"/>
          <w:sz w:val="24"/>
          <w:szCs w:val="28"/>
        </w:rPr>
      </w:pPr>
      <w:r w:rsidRPr="00B85B34">
        <w:rPr>
          <w:rFonts w:ascii="Calibri" w:hAnsi="Calibri"/>
          <w:color w:val="000000" w:themeColor="text1"/>
          <w:sz w:val="24"/>
          <w:szCs w:val="28"/>
        </w:rPr>
        <w:t>Instituts à volet Formation (INSP, INSE)</w:t>
      </w:r>
    </w:p>
    <w:p w:rsidR="00B85B34" w:rsidRPr="00B85B34" w:rsidRDefault="00B85B34" w:rsidP="00BE2F77">
      <w:pPr>
        <w:numPr>
          <w:ilvl w:val="0"/>
          <w:numId w:val="26"/>
        </w:numPr>
        <w:ind w:left="714" w:hanging="357"/>
        <w:jc w:val="both"/>
        <w:rPr>
          <w:rFonts w:ascii="Calibri" w:hAnsi="Calibri"/>
          <w:color w:val="000000" w:themeColor="text1"/>
          <w:sz w:val="24"/>
          <w:szCs w:val="28"/>
        </w:rPr>
      </w:pPr>
      <w:r w:rsidRPr="00B85B34">
        <w:rPr>
          <w:rFonts w:ascii="Calibri" w:hAnsi="Calibri"/>
          <w:color w:val="000000" w:themeColor="text1"/>
          <w:sz w:val="24"/>
          <w:szCs w:val="28"/>
        </w:rPr>
        <w:t>Centres Hospitaliers (Hôpitaux Nationaux, Hôpitaux Régionaux et même préfectoraux)</w:t>
      </w:r>
      <w:r w:rsidR="00BE2F77">
        <w:rPr>
          <w:rFonts w:ascii="Calibri" w:hAnsi="Calibri"/>
          <w:color w:val="000000" w:themeColor="text1"/>
          <w:sz w:val="24"/>
          <w:szCs w:val="28"/>
        </w:rPr>
        <w:t>.</w:t>
      </w:r>
      <w:r w:rsidRPr="00B85B34">
        <w:rPr>
          <w:rFonts w:ascii="Calibri" w:hAnsi="Calibri"/>
          <w:color w:val="000000" w:themeColor="text1"/>
          <w:sz w:val="24"/>
          <w:szCs w:val="28"/>
        </w:rPr>
        <w:t> </w:t>
      </w:r>
    </w:p>
    <w:p w:rsidR="0041770B" w:rsidRDefault="00BE2F77" w:rsidP="006A769B">
      <w:pPr>
        <w:jc w:val="both"/>
        <w:rPr>
          <w:rFonts w:ascii="Calibri" w:hAnsi="Calibri"/>
          <w:color w:val="000000" w:themeColor="text1"/>
          <w:sz w:val="24"/>
          <w:szCs w:val="28"/>
        </w:rPr>
      </w:pPr>
      <w:r w:rsidRPr="00BE2F77">
        <w:rPr>
          <w:rFonts w:ascii="Calibri" w:hAnsi="Calibri"/>
          <w:color w:val="000000" w:themeColor="text1"/>
          <w:sz w:val="24"/>
          <w:szCs w:val="28"/>
        </w:rPr>
        <w:t xml:space="preserve">A cette liste d’acteurs dédiés </w:t>
      </w:r>
      <w:r>
        <w:rPr>
          <w:rFonts w:ascii="Calibri" w:hAnsi="Calibri"/>
          <w:color w:val="000000" w:themeColor="text1"/>
          <w:sz w:val="24"/>
          <w:szCs w:val="28"/>
        </w:rPr>
        <w:t>s’</w:t>
      </w:r>
      <w:r w:rsidRPr="00BE2F77">
        <w:rPr>
          <w:rFonts w:ascii="Calibri" w:hAnsi="Calibri"/>
          <w:color w:val="000000" w:themeColor="text1"/>
          <w:sz w:val="24"/>
          <w:szCs w:val="28"/>
        </w:rPr>
        <w:t>ajoute</w:t>
      </w:r>
      <w:r>
        <w:rPr>
          <w:rFonts w:ascii="Calibri" w:hAnsi="Calibri"/>
          <w:color w:val="000000" w:themeColor="text1"/>
          <w:sz w:val="24"/>
          <w:szCs w:val="28"/>
        </w:rPr>
        <w:t>nt</w:t>
      </w:r>
      <w:r w:rsidRPr="00BE2F77">
        <w:rPr>
          <w:rFonts w:ascii="Calibri" w:hAnsi="Calibri"/>
          <w:color w:val="000000" w:themeColor="text1"/>
          <w:sz w:val="24"/>
          <w:szCs w:val="28"/>
        </w:rPr>
        <w:t xml:space="preserve"> de nombreux acteurs non dédiés :</w:t>
      </w:r>
      <w:r>
        <w:rPr>
          <w:rFonts w:ascii="Calibri" w:hAnsi="Calibri"/>
          <w:color w:val="000000" w:themeColor="text1"/>
          <w:sz w:val="24"/>
          <w:szCs w:val="28"/>
        </w:rPr>
        <w:t xml:space="preserve"> les programmes</w:t>
      </w:r>
      <w:r w:rsidRPr="00BE2F77">
        <w:rPr>
          <w:rFonts w:ascii="Calibri" w:hAnsi="Calibri"/>
          <w:color w:val="000000" w:themeColor="text1"/>
          <w:sz w:val="24"/>
          <w:szCs w:val="28"/>
        </w:rPr>
        <w:t xml:space="preserve"> de santé publique, les structures centrales du Ministère de la santé et certaines ONG étrangères. Dans la pratique, les acteurs non dédiés</w:t>
      </w:r>
      <w:r>
        <w:rPr>
          <w:rFonts w:ascii="Calibri" w:hAnsi="Calibri"/>
          <w:color w:val="000000" w:themeColor="text1"/>
          <w:sz w:val="24"/>
          <w:szCs w:val="28"/>
        </w:rPr>
        <w:t xml:space="preserve"> </w:t>
      </w:r>
      <w:r w:rsidRPr="00BE2F77">
        <w:rPr>
          <w:rFonts w:ascii="Calibri" w:hAnsi="Calibri"/>
          <w:color w:val="000000" w:themeColor="text1"/>
          <w:sz w:val="24"/>
          <w:szCs w:val="28"/>
        </w:rPr>
        <w:t>volent la vedette aux structures officiellement en charge de la mission</w:t>
      </w:r>
      <w:r>
        <w:rPr>
          <w:rFonts w:ascii="Calibri" w:hAnsi="Calibri"/>
          <w:color w:val="000000" w:themeColor="text1"/>
          <w:sz w:val="24"/>
          <w:szCs w:val="28"/>
        </w:rPr>
        <w:t>,</w:t>
      </w:r>
      <w:r w:rsidRPr="00BE2F77">
        <w:rPr>
          <w:rFonts w:ascii="Calibri" w:hAnsi="Calibri"/>
          <w:color w:val="000000" w:themeColor="text1"/>
          <w:sz w:val="24"/>
          <w:szCs w:val="28"/>
        </w:rPr>
        <w:t xml:space="preserve"> profitant de l’absence des principaux instruments de gouvernance de la formation continue.</w:t>
      </w:r>
      <w:r w:rsidR="0041770B">
        <w:rPr>
          <w:rFonts w:ascii="Calibri" w:hAnsi="Calibri"/>
          <w:color w:val="000000" w:themeColor="text1"/>
          <w:sz w:val="24"/>
          <w:szCs w:val="28"/>
        </w:rPr>
        <w:t xml:space="preserve"> </w:t>
      </w:r>
    </w:p>
    <w:p w:rsidR="006A769B" w:rsidRPr="006A769B" w:rsidRDefault="006A769B" w:rsidP="006A769B">
      <w:pPr>
        <w:jc w:val="both"/>
        <w:rPr>
          <w:rFonts w:ascii="Calibri" w:hAnsi="Calibri"/>
          <w:color w:val="000000" w:themeColor="text1"/>
          <w:sz w:val="24"/>
          <w:szCs w:val="28"/>
        </w:rPr>
      </w:pPr>
      <w:r w:rsidRPr="006A769B">
        <w:rPr>
          <w:rFonts w:ascii="Calibri" w:hAnsi="Calibri"/>
          <w:color w:val="000000" w:themeColor="text1"/>
          <w:sz w:val="24"/>
          <w:szCs w:val="28"/>
        </w:rPr>
        <w:t>Les acteurs dédiés et non dédiés de la formation continue, en général, manquent de capacités adéquates</w:t>
      </w:r>
      <w:r w:rsidR="0041770B" w:rsidRPr="0041770B">
        <w:rPr>
          <w:rFonts w:ascii="Calibri" w:hAnsi="Calibri"/>
          <w:color w:val="000000" w:themeColor="text1"/>
          <w:sz w:val="24"/>
          <w:vertAlign w:val="superscript"/>
        </w:rPr>
        <w:footnoteReference w:id="26"/>
      </w:r>
      <w:r w:rsidR="0041770B">
        <w:rPr>
          <w:rFonts w:ascii="Calibri" w:hAnsi="Calibri"/>
          <w:color w:val="000000" w:themeColor="text1"/>
          <w:sz w:val="24"/>
          <w:szCs w:val="28"/>
        </w:rPr>
        <w:t> :</w:t>
      </w:r>
    </w:p>
    <w:p w:rsidR="006A769B" w:rsidRPr="006A769B" w:rsidRDefault="006A769B" w:rsidP="006A769B">
      <w:pPr>
        <w:widowControl w:val="0"/>
        <w:numPr>
          <w:ilvl w:val="0"/>
          <w:numId w:val="27"/>
        </w:numPr>
        <w:spacing w:after="0"/>
        <w:ind w:left="284" w:hanging="284"/>
        <w:jc w:val="both"/>
        <w:rPr>
          <w:rFonts w:ascii="Calibri" w:hAnsi="Calibri"/>
          <w:color w:val="000000" w:themeColor="text1"/>
          <w:sz w:val="24"/>
          <w:szCs w:val="28"/>
        </w:rPr>
      </w:pPr>
      <w:r w:rsidRPr="006A769B">
        <w:rPr>
          <w:rFonts w:ascii="Calibri" w:hAnsi="Calibri"/>
          <w:color w:val="000000" w:themeColor="text1"/>
          <w:sz w:val="24"/>
          <w:szCs w:val="28"/>
        </w:rPr>
        <w:t xml:space="preserve">compétences </w:t>
      </w:r>
      <w:r w:rsidR="0041770B" w:rsidRPr="006A769B">
        <w:rPr>
          <w:rFonts w:ascii="Calibri" w:hAnsi="Calibri"/>
          <w:color w:val="000000" w:themeColor="text1"/>
          <w:sz w:val="24"/>
          <w:szCs w:val="28"/>
        </w:rPr>
        <w:t xml:space="preserve">des formateurs </w:t>
      </w:r>
      <w:r w:rsidRPr="006A769B">
        <w:rPr>
          <w:rFonts w:ascii="Calibri" w:hAnsi="Calibri"/>
          <w:color w:val="000000" w:themeColor="text1"/>
          <w:sz w:val="24"/>
          <w:szCs w:val="28"/>
        </w:rPr>
        <w:t xml:space="preserve">limitées en andragogie, </w:t>
      </w:r>
    </w:p>
    <w:p w:rsidR="006A769B" w:rsidRPr="006A769B" w:rsidRDefault="006A769B" w:rsidP="006A769B">
      <w:pPr>
        <w:widowControl w:val="0"/>
        <w:numPr>
          <w:ilvl w:val="0"/>
          <w:numId w:val="27"/>
        </w:numPr>
        <w:spacing w:after="0"/>
        <w:ind w:left="284" w:hanging="284"/>
        <w:jc w:val="both"/>
        <w:rPr>
          <w:rFonts w:ascii="Calibri" w:hAnsi="Calibri"/>
          <w:color w:val="000000" w:themeColor="text1"/>
          <w:sz w:val="24"/>
          <w:szCs w:val="28"/>
        </w:rPr>
      </w:pPr>
      <w:r w:rsidRPr="006A769B">
        <w:rPr>
          <w:rFonts w:ascii="Calibri" w:hAnsi="Calibri"/>
          <w:color w:val="000000" w:themeColor="text1"/>
          <w:sz w:val="24"/>
          <w:szCs w:val="28"/>
        </w:rPr>
        <w:lastRenderedPageBreak/>
        <w:t xml:space="preserve">faible </w:t>
      </w:r>
      <w:r w:rsidR="0041770B">
        <w:rPr>
          <w:rFonts w:ascii="Calibri" w:hAnsi="Calibri"/>
          <w:color w:val="000000" w:themeColor="text1"/>
          <w:sz w:val="24"/>
          <w:szCs w:val="28"/>
        </w:rPr>
        <w:t>capacité d’</w:t>
      </w:r>
      <w:r w:rsidRPr="006A769B">
        <w:rPr>
          <w:rFonts w:ascii="Calibri" w:hAnsi="Calibri"/>
          <w:color w:val="000000" w:themeColor="text1"/>
          <w:sz w:val="24"/>
          <w:szCs w:val="28"/>
        </w:rPr>
        <w:t xml:space="preserve">utilisation des TIC dans la FC, </w:t>
      </w:r>
    </w:p>
    <w:p w:rsidR="006A769B" w:rsidRPr="006A769B" w:rsidRDefault="006A769B" w:rsidP="006A769B">
      <w:pPr>
        <w:widowControl w:val="0"/>
        <w:numPr>
          <w:ilvl w:val="0"/>
          <w:numId w:val="27"/>
        </w:numPr>
        <w:spacing w:after="0"/>
        <w:ind w:left="284" w:hanging="284"/>
        <w:jc w:val="both"/>
        <w:rPr>
          <w:rFonts w:ascii="Calibri" w:hAnsi="Calibri"/>
          <w:color w:val="000000" w:themeColor="text1"/>
          <w:sz w:val="24"/>
          <w:szCs w:val="28"/>
        </w:rPr>
      </w:pPr>
      <w:r w:rsidRPr="006A769B">
        <w:rPr>
          <w:rFonts w:ascii="Calibri" w:hAnsi="Calibri"/>
          <w:color w:val="000000" w:themeColor="text1"/>
          <w:sz w:val="24"/>
          <w:szCs w:val="28"/>
        </w:rPr>
        <w:t>absence de normes et procédures pour la formation continue</w:t>
      </w:r>
    </w:p>
    <w:p w:rsidR="006A769B" w:rsidRPr="006A769B" w:rsidRDefault="006A769B" w:rsidP="006A769B">
      <w:pPr>
        <w:widowControl w:val="0"/>
        <w:numPr>
          <w:ilvl w:val="0"/>
          <w:numId w:val="27"/>
        </w:numPr>
        <w:ind w:left="284" w:hanging="284"/>
        <w:jc w:val="both"/>
        <w:rPr>
          <w:rFonts w:ascii="Calibri" w:hAnsi="Calibri"/>
          <w:color w:val="000000" w:themeColor="text1"/>
          <w:sz w:val="24"/>
          <w:szCs w:val="28"/>
        </w:rPr>
      </w:pPr>
      <w:r w:rsidRPr="006A769B">
        <w:rPr>
          <w:rFonts w:ascii="Calibri" w:hAnsi="Calibri"/>
          <w:color w:val="000000" w:themeColor="text1"/>
          <w:sz w:val="24"/>
          <w:szCs w:val="28"/>
        </w:rPr>
        <w:t>absence de référentiels des métiers et de compétences.</w:t>
      </w:r>
    </w:p>
    <w:p w:rsidR="006A769B" w:rsidRDefault="0041770B" w:rsidP="006A769B">
      <w:pPr>
        <w:jc w:val="both"/>
        <w:rPr>
          <w:rFonts w:ascii="Calibri" w:hAnsi="Calibri"/>
          <w:color w:val="000000" w:themeColor="text1"/>
          <w:sz w:val="24"/>
          <w:szCs w:val="28"/>
        </w:rPr>
      </w:pPr>
      <w:r>
        <w:rPr>
          <w:rFonts w:ascii="Calibri" w:hAnsi="Calibri"/>
          <w:color w:val="000000" w:themeColor="text1"/>
          <w:sz w:val="24"/>
          <w:szCs w:val="28"/>
        </w:rPr>
        <w:t xml:space="preserve">Plus préoccupant, </w:t>
      </w:r>
      <w:r w:rsidR="006A769B" w:rsidRPr="006A769B">
        <w:rPr>
          <w:rFonts w:ascii="Calibri" w:hAnsi="Calibri"/>
          <w:color w:val="000000" w:themeColor="text1"/>
          <w:sz w:val="24"/>
          <w:szCs w:val="28"/>
        </w:rPr>
        <w:t>le système de formation continue n’est pas connecté aux plans de carrières car ces derniers n’existent pas. Les formations se font par à-coup et au gré d</w:t>
      </w:r>
      <w:r>
        <w:rPr>
          <w:rFonts w:ascii="Calibri" w:hAnsi="Calibri"/>
          <w:color w:val="000000" w:themeColor="text1"/>
          <w:sz w:val="24"/>
          <w:szCs w:val="28"/>
        </w:rPr>
        <w:t>’</w:t>
      </w:r>
      <w:r w:rsidR="006A769B" w:rsidRPr="006A769B">
        <w:rPr>
          <w:rFonts w:ascii="Calibri" w:hAnsi="Calibri"/>
          <w:color w:val="000000" w:themeColor="text1"/>
          <w:sz w:val="24"/>
          <w:szCs w:val="28"/>
        </w:rPr>
        <w:t>acteurs non coordonnés. Le pays investit des ressources substantielles dans le système de formation continue ; mais ne profite pas des opportunités liées à l’approche d’une gestion des carrières par la formation continue.</w:t>
      </w:r>
    </w:p>
    <w:p w:rsidR="00881F6C" w:rsidRPr="00881F6C" w:rsidRDefault="00881F6C" w:rsidP="00881F6C">
      <w:pPr>
        <w:jc w:val="both"/>
        <w:rPr>
          <w:rFonts w:ascii="Calibri" w:hAnsi="Calibri"/>
          <w:color w:val="000000" w:themeColor="text1"/>
          <w:sz w:val="24"/>
          <w:szCs w:val="28"/>
        </w:rPr>
      </w:pPr>
      <w:r w:rsidRPr="00881F6C">
        <w:rPr>
          <w:rFonts w:ascii="Calibri" w:hAnsi="Calibri"/>
          <w:color w:val="000000" w:themeColor="text1"/>
          <w:sz w:val="24"/>
          <w:szCs w:val="28"/>
        </w:rPr>
        <w:t xml:space="preserve">Il découle de ce qui précède que la contribution attendue de la formation continue est fortement limitée. </w:t>
      </w:r>
      <w:r>
        <w:rPr>
          <w:rFonts w:ascii="Calibri" w:hAnsi="Calibri"/>
          <w:color w:val="000000" w:themeColor="text1"/>
          <w:sz w:val="24"/>
          <w:szCs w:val="28"/>
        </w:rPr>
        <w:t>F</w:t>
      </w:r>
      <w:r w:rsidRPr="00881F6C">
        <w:rPr>
          <w:rFonts w:ascii="Calibri" w:hAnsi="Calibri"/>
          <w:color w:val="000000" w:themeColor="text1"/>
          <w:sz w:val="24"/>
          <w:szCs w:val="28"/>
        </w:rPr>
        <w:t xml:space="preserve">aute de plans de carrière suivis, de normes et procédures de formation, de référentiels de métiers et de compétences, de mécanismes de coordination et de suivi-évaluation des interventions, le système de formation continue </w:t>
      </w:r>
      <w:r>
        <w:rPr>
          <w:rFonts w:ascii="Calibri" w:hAnsi="Calibri"/>
          <w:color w:val="000000" w:themeColor="text1"/>
          <w:sz w:val="24"/>
          <w:szCs w:val="28"/>
        </w:rPr>
        <w:t xml:space="preserve">manque totalement </w:t>
      </w:r>
      <w:r w:rsidRPr="00881F6C">
        <w:rPr>
          <w:rFonts w:ascii="Calibri" w:hAnsi="Calibri"/>
          <w:color w:val="000000" w:themeColor="text1"/>
          <w:sz w:val="24"/>
          <w:szCs w:val="28"/>
        </w:rPr>
        <w:t>de visibilité et de lisibilité, mettant en cause la pertinence, l’équité, l’efficience et l’efficacité des formations.</w:t>
      </w:r>
    </w:p>
    <w:p w:rsidR="00E004F7" w:rsidRPr="00B0790B" w:rsidRDefault="002721CE" w:rsidP="00E004F7">
      <w:pPr>
        <w:jc w:val="both"/>
        <w:rPr>
          <w:rFonts w:ascii="Calibri" w:hAnsi="Calibri"/>
          <w:color w:val="000000" w:themeColor="text1"/>
          <w:sz w:val="24"/>
          <w:szCs w:val="28"/>
        </w:rPr>
      </w:pPr>
      <w:r>
        <w:rPr>
          <w:rFonts w:ascii="Calibri" w:hAnsi="Calibri"/>
          <w:color w:val="000000" w:themeColor="text1"/>
          <w:sz w:val="24"/>
          <w:szCs w:val="28"/>
        </w:rPr>
        <w:t>Par ailleurs, l</w:t>
      </w:r>
      <w:r w:rsidR="00E004F7" w:rsidRPr="00B0790B">
        <w:rPr>
          <w:rFonts w:ascii="Calibri" w:hAnsi="Calibri"/>
          <w:color w:val="000000" w:themeColor="text1"/>
          <w:sz w:val="24"/>
          <w:szCs w:val="28"/>
        </w:rPr>
        <w:t xml:space="preserve">e financement des institutions </w:t>
      </w:r>
      <w:r w:rsidR="00BF6DEA" w:rsidRPr="00B0790B">
        <w:rPr>
          <w:rFonts w:ascii="Calibri" w:hAnsi="Calibri"/>
          <w:color w:val="000000" w:themeColor="text1"/>
          <w:sz w:val="24"/>
          <w:szCs w:val="28"/>
        </w:rPr>
        <w:t>(universités</w:t>
      </w:r>
      <w:r w:rsidR="00BF6DEA">
        <w:rPr>
          <w:rFonts w:ascii="Calibri" w:hAnsi="Calibri"/>
          <w:color w:val="000000" w:themeColor="text1"/>
          <w:sz w:val="24"/>
          <w:szCs w:val="28"/>
        </w:rPr>
        <w:t>,</w:t>
      </w:r>
      <w:r w:rsidR="00BF6DEA" w:rsidRPr="00B0790B">
        <w:rPr>
          <w:rFonts w:ascii="Calibri" w:hAnsi="Calibri"/>
          <w:color w:val="000000" w:themeColor="text1"/>
          <w:sz w:val="24"/>
          <w:szCs w:val="28"/>
        </w:rPr>
        <w:t xml:space="preserve"> </w:t>
      </w:r>
      <w:r w:rsidR="00BF6DEA">
        <w:rPr>
          <w:rFonts w:ascii="Calibri" w:hAnsi="Calibri"/>
          <w:color w:val="000000" w:themeColor="text1"/>
          <w:sz w:val="24"/>
          <w:szCs w:val="28"/>
        </w:rPr>
        <w:t xml:space="preserve">écoles, </w:t>
      </w:r>
      <w:r w:rsidR="00BF6DEA" w:rsidRPr="00B0790B">
        <w:rPr>
          <w:rFonts w:ascii="Calibri" w:hAnsi="Calibri"/>
          <w:color w:val="000000" w:themeColor="text1"/>
          <w:sz w:val="24"/>
          <w:szCs w:val="28"/>
        </w:rPr>
        <w:t>centres hospitaliers</w:t>
      </w:r>
      <w:r w:rsidR="00BF6DEA">
        <w:rPr>
          <w:rFonts w:ascii="Calibri" w:hAnsi="Calibri"/>
          <w:color w:val="000000" w:themeColor="text1"/>
          <w:sz w:val="24"/>
          <w:szCs w:val="28"/>
        </w:rPr>
        <w:t xml:space="preserve"> et autres structures de stage</w:t>
      </w:r>
      <w:r w:rsidR="00BF6DEA" w:rsidRPr="00B0790B">
        <w:rPr>
          <w:rFonts w:ascii="Calibri" w:hAnsi="Calibri"/>
          <w:color w:val="000000" w:themeColor="text1"/>
          <w:sz w:val="24"/>
          <w:szCs w:val="28"/>
        </w:rPr>
        <w:t xml:space="preserve">) </w:t>
      </w:r>
      <w:r w:rsidR="00E004F7" w:rsidRPr="00B0790B">
        <w:rPr>
          <w:rFonts w:ascii="Calibri" w:hAnsi="Calibri"/>
          <w:color w:val="000000" w:themeColor="text1"/>
          <w:sz w:val="24"/>
          <w:szCs w:val="28"/>
        </w:rPr>
        <w:t>impliquées dans l</w:t>
      </w:r>
      <w:r w:rsidR="00E6376C">
        <w:rPr>
          <w:rFonts w:ascii="Calibri" w:hAnsi="Calibri"/>
          <w:color w:val="000000" w:themeColor="text1"/>
          <w:sz w:val="24"/>
          <w:szCs w:val="28"/>
        </w:rPr>
        <w:t>es différents types de</w:t>
      </w:r>
      <w:r w:rsidR="00E004F7" w:rsidRPr="00B0790B">
        <w:rPr>
          <w:rFonts w:ascii="Calibri" w:hAnsi="Calibri"/>
          <w:color w:val="000000" w:themeColor="text1"/>
          <w:sz w:val="24"/>
          <w:szCs w:val="28"/>
        </w:rPr>
        <w:t xml:space="preserve"> formation </w:t>
      </w:r>
      <w:r w:rsidR="00BF6DEA">
        <w:rPr>
          <w:rFonts w:ascii="Calibri" w:hAnsi="Calibri"/>
          <w:color w:val="000000" w:themeColor="text1"/>
          <w:sz w:val="24"/>
          <w:szCs w:val="28"/>
        </w:rPr>
        <w:t xml:space="preserve">(initiale, continue ou de spécialisation) </w:t>
      </w:r>
      <w:r w:rsidR="00E004F7" w:rsidRPr="00B0790B">
        <w:rPr>
          <w:rFonts w:ascii="Calibri" w:hAnsi="Calibri"/>
          <w:color w:val="000000" w:themeColor="text1"/>
          <w:sz w:val="24"/>
          <w:szCs w:val="28"/>
        </w:rPr>
        <w:t>est très en-deçà de leurs besoins financiers pour se développer et garantir une formation de qualité.</w:t>
      </w:r>
      <w:r>
        <w:rPr>
          <w:rFonts w:ascii="Calibri" w:hAnsi="Calibri"/>
          <w:color w:val="000000" w:themeColor="text1"/>
          <w:sz w:val="24"/>
          <w:szCs w:val="28"/>
        </w:rPr>
        <w:t xml:space="preserve"> </w:t>
      </w:r>
    </w:p>
    <w:p w:rsidR="00A02FA8" w:rsidRPr="00B0790B" w:rsidRDefault="00E6376C" w:rsidP="00A02FA8">
      <w:pPr>
        <w:jc w:val="both"/>
        <w:rPr>
          <w:rFonts w:ascii="Calibri" w:hAnsi="Calibri"/>
          <w:color w:val="000000" w:themeColor="text1"/>
          <w:sz w:val="24"/>
          <w:szCs w:val="28"/>
        </w:rPr>
      </w:pPr>
      <w:r>
        <w:rPr>
          <w:rFonts w:ascii="Calibri" w:hAnsi="Calibri"/>
          <w:color w:val="000000" w:themeColor="text1"/>
          <w:sz w:val="24"/>
          <w:szCs w:val="28"/>
        </w:rPr>
        <w:t>Quelle que soit le type de formation, l</w:t>
      </w:r>
      <w:r w:rsidR="00A02FA8" w:rsidRPr="00B0790B">
        <w:rPr>
          <w:rFonts w:ascii="Calibri" w:hAnsi="Calibri"/>
          <w:color w:val="000000" w:themeColor="text1"/>
          <w:sz w:val="24"/>
          <w:szCs w:val="28"/>
        </w:rPr>
        <w:t>es effectifs d’étudiants débordent largement les capacités d’accueil et d’encadrement disponibles. L’encadrement des stages se caractérise par une mauvaise organisation</w:t>
      </w:r>
      <w:r w:rsidR="00CA5F52" w:rsidRPr="00B0790B">
        <w:rPr>
          <w:rStyle w:val="Appelnotedebasdep"/>
          <w:rFonts w:ascii="Calibri" w:hAnsi="Calibri"/>
          <w:color w:val="000000" w:themeColor="text1"/>
          <w:sz w:val="24"/>
          <w:szCs w:val="28"/>
        </w:rPr>
        <w:footnoteReference w:id="27"/>
      </w:r>
      <w:r w:rsidR="00A02FA8" w:rsidRPr="00B0790B">
        <w:rPr>
          <w:rFonts w:ascii="Calibri" w:hAnsi="Calibri"/>
          <w:color w:val="000000" w:themeColor="text1"/>
          <w:sz w:val="24"/>
          <w:szCs w:val="28"/>
        </w:rPr>
        <w:t>. Cette observation est en cohérence avec le</w:t>
      </w:r>
      <w:r w:rsidR="00E004F7">
        <w:rPr>
          <w:rFonts w:ascii="Calibri" w:hAnsi="Calibri"/>
          <w:color w:val="000000" w:themeColor="text1"/>
          <w:sz w:val="24"/>
          <w:szCs w:val="28"/>
        </w:rPr>
        <w:t>s</w:t>
      </w:r>
      <w:r w:rsidR="00A02FA8" w:rsidRPr="00B0790B">
        <w:rPr>
          <w:rFonts w:ascii="Calibri" w:hAnsi="Calibri"/>
          <w:color w:val="000000" w:themeColor="text1"/>
          <w:sz w:val="24"/>
          <w:szCs w:val="28"/>
        </w:rPr>
        <w:t xml:space="preserve"> </w:t>
      </w:r>
      <w:r w:rsidR="00E004F7">
        <w:rPr>
          <w:rFonts w:ascii="Calibri" w:hAnsi="Calibri"/>
          <w:color w:val="000000" w:themeColor="text1"/>
          <w:sz w:val="24"/>
          <w:szCs w:val="28"/>
        </w:rPr>
        <w:t>é</w:t>
      </w:r>
      <w:r w:rsidR="00A02FA8" w:rsidRPr="00B0790B">
        <w:rPr>
          <w:rFonts w:ascii="Calibri" w:hAnsi="Calibri"/>
          <w:color w:val="000000" w:themeColor="text1"/>
          <w:sz w:val="24"/>
          <w:szCs w:val="28"/>
        </w:rPr>
        <w:t>tude</w:t>
      </w:r>
      <w:r w:rsidR="00E004F7">
        <w:rPr>
          <w:rFonts w:ascii="Calibri" w:hAnsi="Calibri"/>
          <w:color w:val="000000" w:themeColor="text1"/>
          <w:sz w:val="24"/>
          <w:szCs w:val="28"/>
        </w:rPr>
        <w:t>s</w:t>
      </w:r>
      <w:r w:rsidR="00A02FA8" w:rsidRPr="00B0790B">
        <w:rPr>
          <w:rFonts w:ascii="Calibri" w:hAnsi="Calibri"/>
          <w:color w:val="000000" w:themeColor="text1"/>
          <w:sz w:val="24"/>
          <w:szCs w:val="28"/>
        </w:rPr>
        <w:t xml:space="preserve"> </w:t>
      </w:r>
      <w:r w:rsidR="00E004F7">
        <w:rPr>
          <w:rFonts w:ascii="Calibri" w:hAnsi="Calibri"/>
          <w:color w:val="000000" w:themeColor="text1"/>
          <w:sz w:val="24"/>
          <w:szCs w:val="28"/>
        </w:rPr>
        <w:t>disponibles</w:t>
      </w:r>
      <w:r w:rsidR="00A02FA8" w:rsidRPr="00B0790B">
        <w:rPr>
          <w:rFonts w:ascii="Calibri" w:hAnsi="Calibri"/>
          <w:color w:val="000000" w:themeColor="text1"/>
          <w:sz w:val="24"/>
          <w:szCs w:val="28"/>
        </w:rPr>
        <w:t>, cité</w:t>
      </w:r>
      <w:r w:rsidR="00E004F7">
        <w:rPr>
          <w:rFonts w:ascii="Calibri" w:hAnsi="Calibri"/>
          <w:color w:val="000000" w:themeColor="text1"/>
          <w:sz w:val="24"/>
          <w:szCs w:val="28"/>
        </w:rPr>
        <w:t>es</w:t>
      </w:r>
      <w:r w:rsidR="00A02FA8" w:rsidRPr="00B0790B">
        <w:rPr>
          <w:rFonts w:ascii="Calibri" w:hAnsi="Calibri"/>
          <w:color w:val="000000" w:themeColor="text1"/>
          <w:sz w:val="24"/>
          <w:szCs w:val="28"/>
        </w:rPr>
        <w:t xml:space="preserve"> dans le rapport sur l’état des lieux de la formation continue en Guinée</w:t>
      </w:r>
      <w:r w:rsidR="00E004F7">
        <w:rPr>
          <w:rFonts w:ascii="Calibri" w:hAnsi="Calibri"/>
          <w:color w:val="000000" w:themeColor="text1"/>
          <w:sz w:val="24"/>
          <w:szCs w:val="28"/>
        </w:rPr>
        <w:t xml:space="preserve"> et le rapport d’analyse de situation des RHS</w:t>
      </w:r>
      <w:r w:rsidR="00A02FA8" w:rsidRPr="00B0790B">
        <w:rPr>
          <w:rFonts w:ascii="Calibri" w:hAnsi="Calibri"/>
          <w:color w:val="000000" w:themeColor="text1"/>
          <w:sz w:val="24"/>
          <w:szCs w:val="28"/>
        </w:rPr>
        <w:t xml:space="preserve">. </w:t>
      </w:r>
    </w:p>
    <w:p w:rsidR="00CA5F52" w:rsidRPr="00D8455F" w:rsidRDefault="00B0790B" w:rsidP="005B0D4B">
      <w:pPr>
        <w:jc w:val="both"/>
        <w:rPr>
          <w:rFonts w:ascii="Arial Black" w:hAnsi="Arial Black" w:cs="Arial"/>
          <w:sz w:val="28"/>
          <w:szCs w:val="28"/>
        </w:rPr>
      </w:pPr>
      <w:r w:rsidRPr="00A006C9">
        <w:rPr>
          <w:rFonts w:ascii="Calibri" w:hAnsi="Calibri"/>
          <w:color w:val="000000" w:themeColor="text1"/>
          <w:sz w:val="24"/>
          <w:szCs w:val="28"/>
        </w:rPr>
        <w:t xml:space="preserve">Il ressort </w:t>
      </w:r>
      <w:r w:rsidR="00E6376C">
        <w:rPr>
          <w:rFonts w:ascii="Calibri" w:hAnsi="Calibri"/>
          <w:color w:val="000000" w:themeColor="text1"/>
          <w:sz w:val="24"/>
          <w:szCs w:val="28"/>
        </w:rPr>
        <w:t xml:space="preserve">de cette analyse </w:t>
      </w:r>
      <w:r w:rsidRPr="00A006C9">
        <w:rPr>
          <w:rFonts w:ascii="Calibri" w:hAnsi="Calibri"/>
          <w:color w:val="000000" w:themeColor="text1"/>
          <w:sz w:val="24"/>
          <w:szCs w:val="28"/>
        </w:rPr>
        <w:t xml:space="preserve">que les préalables à la formation de qualité des personnels de santé ne sont pas </w:t>
      </w:r>
      <w:r w:rsidR="005B0D4B" w:rsidRPr="00A006C9">
        <w:rPr>
          <w:rFonts w:ascii="Calibri" w:hAnsi="Calibri"/>
          <w:color w:val="000000" w:themeColor="text1"/>
          <w:sz w:val="24"/>
          <w:szCs w:val="28"/>
        </w:rPr>
        <w:t xml:space="preserve">encore </w:t>
      </w:r>
      <w:r w:rsidR="00AD7163" w:rsidRPr="00A006C9">
        <w:rPr>
          <w:rFonts w:ascii="Calibri" w:hAnsi="Calibri"/>
          <w:color w:val="000000" w:themeColor="text1"/>
          <w:sz w:val="24"/>
          <w:szCs w:val="28"/>
        </w:rPr>
        <w:t>entièrement remplis</w:t>
      </w:r>
      <w:r w:rsidR="005B0D4B" w:rsidRPr="00A006C9">
        <w:rPr>
          <w:rFonts w:ascii="Calibri" w:hAnsi="Calibri"/>
          <w:color w:val="000000" w:themeColor="text1"/>
          <w:sz w:val="24"/>
          <w:szCs w:val="28"/>
        </w:rPr>
        <w:t>. C</w:t>
      </w:r>
      <w:r w:rsidR="00CA5F52" w:rsidRPr="00A006C9">
        <w:rPr>
          <w:rFonts w:ascii="Calibri" w:hAnsi="Calibri"/>
          <w:color w:val="000000" w:themeColor="text1"/>
          <w:sz w:val="24"/>
          <w:szCs w:val="28"/>
        </w:rPr>
        <w:t>e défaut de bonnes conditions d</w:t>
      </w:r>
      <w:r w:rsidR="005B0D4B" w:rsidRPr="00A006C9">
        <w:rPr>
          <w:rFonts w:ascii="Calibri" w:hAnsi="Calibri"/>
          <w:color w:val="000000" w:themeColor="text1"/>
          <w:sz w:val="24"/>
          <w:szCs w:val="28"/>
        </w:rPr>
        <w:t xml:space="preserve">’enseignement et </w:t>
      </w:r>
      <w:r w:rsidR="00CA5F52" w:rsidRPr="00A006C9">
        <w:rPr>
          <w:rFonts w:ascii="Calibri" w:hAnsi="Calibri"/>
          <w:color w:val="000000" w:themeColor="text1"/>
          <w:sz w:val="24"/>
          <w:szCs w:val="28"/>
        </w:rPr>
        <w:t>e</w:t>
      </w:r>
      <w:r w:rsidR="005B0D4B" w:rsidRPr="00A006C9">
        <w:rPr>
          <w:rFonts w:ascii="Calibri" w:hAnsi="Calibri"/>
          <w:color w:val="000000" w:themeColor="text1"/>
          <w:sz w:val="24"/>
          <w:szCs w:val="28"/>
        </w:rPr>
        <w:t xml:space="preserve">ncadrement </w:t>
      </w:r>
      <w:r w:rsidR="00CA5F52" w:rsidRPr="00A006C9">
        <w:rPr>
          <w:rFonts w:ascii="Calibri" w:hAnsi="Calibri"/>
          <w:color w:val="000000" w:themeColor="text1"/>
          <w:sz w:val="24"/>
          <w:szCs w:val="28"/>
        </w:rPr>
        <w:t xml:space="preserve">expliquerait en partie que les diplômés qui sortent des écoles et facultés de formation initiale ne possèdent pas  les capacités attendues en termes de </w:t>
      </w:r>
      <w:r w:rsidR="005B0D4B" w:rsidRPr="00A006C9">
        <w:rPr>
          <w:rFonts w:ascii="Calibri" w:hAnsi="Calibri"/>
          <w:color w:val="000000" w:themeColor="text1"/>
          <w:sz w:val="24"/>
          <w:szCs w:val="28"/>
        </w:rPr>
        <w:t>connaissances, habiletés et attitudes. Il expliquerait également les réformes en cours, tant dans les ministères et institutions de formation qu’au ministère de la santé, pour changer la situation.</w:t>
      </w:r>
      <w:r w:rsidR="005B0D4B">
        <w:rPr>
          <w:rFonts w:eastAsia="Calibri"/>
          <w:szCs w:val="28"/>
        </w:rPr>
        <w:t xml:space="preserve"> </w:t>
      </w:r>
    </w:p>
    <w:p w:rsidR="00CA5F52" w:rsidRDefault="00CA5F52" w:rsidP="00A02FA8">
      <w:pPr>
        <w:jc w:val="both"/>
        <w:rPr>
          <w:rFonts w:ascii="Calibri" w:hAnsi="Calibri"/>
          <w:color w:val="000000" w:themeColor="text1"/>
          <w:sz w:val="28"/>
          <w:szCs w:val="28"/>
        </w:rPr>
      </w:pPr>
    </w:p>
    <w:p w:rsidR="00CA5F52" w:rsidRPr="00A02FA8" w:rsidRDefault="00CA5F52" w:rsidP="00A02FA8">
      <w:pPr>
        <w:jc w:val="both"/>
        <w:rPr>
          <w:rFonts w:ascii="Calibri" w:hAnsi="Calibri"/>
          <w:color w:val="000000" w:themeColor="text1"/>
          <w:sz w:val="28"/>
          <w:szCs w:val="28"/>
        </w:rPr>
      </w:pPr>
    </w:p>
    <w:p w:rsidR="00A02FA8" w:rsidRPr="00A02FA8" w:rsidRDefault="00A02FA8" w:rsidP="00A02FA8">
      <w:pPr>
        <w:jc w:val="both"/>
        <w:rPr>
          <w:rFonts w:ascii="Calibri" w:hAnsi="Calibri"/>
          <w:color w:val="000000" w:themeColor="text1"/>
          <w:sz w:val="28"/>
          <w:szCs w:val="28"/>
        </w:rPr>
      </w:pPr>
    </w:p>
    <w:p w:rsidR="00CA4BDA" w:rsidRDefault="00CA4BDA" w:rsidP="00EF1903"/>
    <w:p w:rsidR="00CA4BDA" w:rsidRDefault="00CA4BDA" w:rsidP="00EF1903"/>
    <w:p w:rsidR="00CA4BDA" w:rsidRDefault="00CA4BDA" w:rsidP="00CA4BDA">
      <w:r>
        <w:t>Gestion</w:t>
      </w:r>
    </w:p>
    <w:p w:rsidR="00EF1903" w:rsidRDefault="00EF1903" w:rsidP="00EF1903">
      <w:pPr>
        <w:ind w:left="360"/>
      </w:pPr>
    </w:p>
    <w:p w:rsidR="00E04813" w:rsidRDefault="005B4B15" w:rsidP="005B4B15">
      <w:pPr>
        <w:pStyle w:val="Paragraphedeliste"/>
        <w:numPr>
          <w:ilvl w:val="0"/>
          <w:numId w:val="19"/>
        </w:numPr>
      </w:pPr>
      <w:r>
        <w:t xml:space="preserve">Effectifs par corps </w:t>
      </w:r>
    </w:p>
    <w:p w:rsidR="005B4B15" w:rsidRDefault="00E04813" w:rsidP="005B4B15">
      <w:pPr>
        <w:pStyle w:val="Paragraphedeliste"/>
        <w:numPr>
          <w:ilvl w:val="0"/>
          <w:numId w:val="19"/>
        </w:numPr>
      </w:pPr>
      <w:r>
        <w:t>Effectifs par</w:t>
      </w:r>
      <w:r w:rsidR="005B4B15">
        <w:t xml:space="preserve"> spécialité</w:t>
      </w:r>
    </w:p>
    <w:p w:rsidR="005B4B15" w:rsidRDefault="005B4B15" w:rsidP="005B4B15">
      <w:pPr>
        <w:pStyle w:val="Paragraphedeliste"/>
        <w:numPr>
          <w:ilvl w:val="0"/>
          <w:numId w:val="19"/>
        </w:numPr>
      </w:pPr>
      <w:r>
        <w:t>Densité globale et spécifique pour certains corps</w:t>
      </w:r>
    </w:p>
    <w:p w:rsidR="005B4B15" w:rsidRDefault="005B4B15" w:rsidP="005B4B15">
      <w:r>
        <w:t>Recrutement</w:t>
      </w:r>
    </w:p>
    <w:p w:rsidR="005B4B15" w:rsidRDefault="005B4B15" w:rsidP="005B4B15">
      <w:pPr>
        <w:pStyle w:val="Paragraphedeliste"/>
        <w:numPr>
          <w:ilvl w:val="0"/>
          <w:numId w:val="21"/>
        </w:numPr>
      </w:pPr>
      <w:r>
        <w:t>Distribution</w:t>
      </w:r>
    </w:p>
    <w:p w:rsidR="005B4B15" w:rsidRDefault="005B4B15" w:rsidP="005B4B15">
      <w:pPr>
        <w:pStyle w:val="Paragraphedeliste"/>
        <w:numPr>
          <w:ilvl w:val="0"/>
          <w:numId w:val="21"/>
        </w:numPr>
      </w:pPr>
      <w:r>
        <w:t>…</w:t>
      </w:r>
    </w:p>
    <w:p w:rsidR="005B4B15" w:rsidRDefault="005B4B15" w:rsidP="005B4B15"/>
    <w:p w:rsidR="005B4B15" w:rsidRDefault="005B4B15" w:rsidP="005B4B15"/>
    <w:p w:rsidR="005B4B15" w:rsidRPr="005B4B15" w:rsidRDefault="005B4B15" w:rsidP="005B4B15"/>
    <w:p w:rsidR="00EA3525" w:rsidRPr="00867296" w:rsidRDefault="004944CA" w:rsidP="004944CA">
      <w:pPr>
        <w:autoSpaceDE w:val="0"/>
        <w:autoSpaceDN w:val="0"/>
        <w:adjustRightInd w:val="0"/>
        <w:jc w:val="both"/>
        <w:rPr>
          <w:color w:val="000000" w:themeColor="text1"/>
          <w:sz w:val="28"/>
          <w:szCs w:val="28"/>
        </w:rPr>
      </w:pPr>
      <w:r>
        <w:rPr>
          <w:color w:val="000000" w:themeColor="text1"/>
          <w:sz w:val="28"/>
          <w:szCs w:val="28"/>
        </w:rPr>
        <w:t>L</w:t>
      </w:r>
      <w:r w:rsidR="00EA3525" w:rsidRPr="004944CA">
        <w:rPr>
          <w:color w:val="000000" w:themeColor="text1"/>
          <w:sz w:val="28"/>
          <w:szCs w:val="28"/>
        </w:rPr>
        <w:t xml:space="preserve">’effectif total des personnels de santé du sous-secteur public s’élève à 11.290 travailleurs. </w:t>
      </w:r>
      <w:r>
        <w:rPr>
          <w:color w:val="000000" w:themeColor="text1"/>
          <w:sz w:val="28"/>
          <w:szCs w:val="28"/>
        </w:rPr>
        <w:t xml:space="preserve">Ce </w:t>
      </w:r>
      <w:r w:rsidR="00EA3525" w:rsidRPr="004944CA">
        <w:rPr>
          <w:color w:val="000000" w:themeColor="text1"/>
          <w:sz w:val="28"/>
          <w:szCs w:val="28"/>
        </w:rPr>
        <w:t xml:space="preserve">personnel </w:t>
      </w:r>
      <w:r>
        <w:rPr>
          <w:color w:val="000000" w:themeColor="text1"/>
          <w:sz w:val="28"/>
          <w:szCs w:val="28"/>
        </w:rPr>
        <w:t xml:space="preserve">est composé en majorité </w:t>
      </w:r>
      <w:r w:rsidR="00EA3525" w:rsidRPr="004944CA">
        <w:rPr>
          <w:color w:val="000000" w:themeColor="text1"/>
          <w:sz w:val="28"/>
          <w:szCs w:val="28"/>
        </w:rPr>
        <w:t xml:space="preserve">(93,5%) de professionnels du domaine, c'est-à-dire </w:t>
      </w:r>
      <w:r>
        <w:rPr>
          <w:color w:val="000000" w:themeColor="text1"/>
          <w:sz w:val="28"/>
          <w:szCs w:val="28"/>
        </w:rPr>
        <w:t xml:space="preserve">de personnes </w:t>
      </w:r>
      <w:r w:rsidR="00EA3525" w:rsidRPr="004944CA">
        <w:rPr>
          <w:color w:val="000000" w:themeColor="text1"/>
          <w:sz w:val="28"/>
          <w:szCs w:val="28"/>
        </w:rPr>
        <w:t>qui dispose</w:t>
      </w:r>
      <w:r>
        <w:rPr>
          <w:color w:val="000000" w:themeColor="text1"/>
          <w:sz w:val="28"/>
          <w:szCs w:val="28"/>
        </w:rPr>
        <w:t>nt</w:t>
      </w:r>
      <w:r w:rsidR="00EA3525" w:rsidRPr="004944CA">
        <w:rPr>
          <w:color w:val="000000" w:themeColor="text1"/>
          <w:sz w:val="28"/>
          <w:szCs w:val="28"/>
        </w:rPr>
        <w:t xml:space="preserve"> d'un diplôme livré suite à une formation en la matière. Les âges moyen et médian sont respectivement de 44 ans et 42 ans</w:t>
      </w:r>
      <w:r>
        <w:rPr>
          <w:color w:val="000000" w:themeColor="text1"/>
          <w:sz w:val="28"/>
          <w:szCs w:val="28"/>
        </w:rPr>
        <w:t>, signe de vieillissement du personnel</w:t>
      </w:r>
      <w:r w:rsidR="00FF10A6">
        <w:rPr>
          <w:rStyle w:val="Appelnotedebasdep"/>
          <w:color w:val="000000" w:themeColor="text1"/>
          <w:sz w:val="28"/>
          <w:szCs w:val="28"/>
        </w:rPr>
        <w:footnoteReference w:id="28"/>
      </w:r>
      <w:r w:rsidR="00EA3525" w:rsidRPr="004944CA">
        <w:rPr>
          <w:color w:val="000000" w:themeColor="text1"/>
          <w:sz w:val="28"/>
          <w:szCs w:val="28"/>
        </w:rPr>
        <w:t>.</w:t>
      </w:r>
    </w:p>
    <w:p w:rsidR="00734097" w:rsidRDefault="004944CA" w:rsidP="00734097">
      <w:pPr>
        <w:tabs>
          <w:tab w:val="left" w:pos="7888"/>
        </w:tabs>
        <w:spacing w:before="120"/>
        <w:jc w:val="both"/>
        <w:rPr>
          <w:color w:val="000000" w:themeColor="text1"/>
          <w:sz w:val="28"/>
          <w:szCs w:val="28"/>
        </w:rPr>
      </w:pPr>
      <w:r>
        <w:rPr>
          <w:color w:val="000000" w:themeColor="text1"/>
          <w:sz w:val="28"/>
          <w:szCs w:val="28"/>
        </w:rPr>
        <w:t>L</w:t>
      </w:r>
      <w:r w:rsidR="005C6215">
        <w:rPr>
          <w:color w:val="000000" w:themeColor="text1"/>
          <w:sz w:val="28"/>
          <w:szCs w:val="28"/>
        </w:rPr>
        <w:t xml:space="preserve">a densité de personnel de santé </w:t>
      </w:r>
      <w:r w:rsidR="005C6215" w:rsidRPr="005C6215">
        <w:rPr>
          <w:color w:val="000000" w:themeColor="text1"/>
          <w:sz w:val="28"/>
          <w:szCs w:val="28"/>
        </w:rPr>
        <w:t>est de 9 professionnels de santé pour 10 000 habitants</w:t>
      </w:r>
      <w:r w:rsidR="00657660">
        <w:rPr>
          <w:color w:val="000000" w:themeColor="text1"/>
          <w:sz w:val="28"/>
          <w:szCs w:val="28"/>
        </w:rPr>
        <w:t xml:space="preserve"> </w:t>
      </w:r>
      <w:r>
        <w:rPr>
          <w:color w:val="000000" w:themeColor="text1"/>
          <w:sz w:val="28"/>
          <w:szCs w:val="28"/>
        </w:rPr>
        <w:t>alors que, selon l’OMS, elle devrait être de 23 pour 10 000 habitant</w:t>
      </w:r>
      <w:r w:rsidR="00657660">
        <w:rPr>
          <w:color w:val="000000" w:themeColor="text1"/>
          <w:sz w:val="28"/>
          <w:szCs w:val="28"/>
        </w:rPr>
        <w:t>s</w:t>
      </w:r>
      <w:r w:rsidR="005C6215" w:rsidRPr="005C6215">
        <w:rPr>
          <w:color w:val="000000" w:themeColor="text1"/>
          <w:sz w:val="28"/>
          <w:szCs w:val="28"/>
        </w:rPr>
        <w:t>.</w:t>
      </w:r>
      <w:r w:rsidR="00FF10A6">
        <w:rPr>
          <w:rStyle w:val="Appelnotedebasdep"/>
          <w:color w:val="000000" w:themeColor="text1"/>
          <w:sz w:val="28"/>
          <w:szCs w:val="28"/>
        </w:rPr>
        <w:footnoteReference w:id="29"/>
      </w:r>
      <w:r w:rsidR="005C6215" w:rsidRPr="005C6215">
        <w:rPr>
          <w:color w:val="000000" w:themeColor="text1"/>
          <w:sz w:val="28"/>
          <w:szCs w:val="28"/>
        </w:rPr>
        <w:t xml:space="preserve"> </w:t>
      </w:r>
      <w:r w:rsidR="005C6215">
        <w:rPr>
          <w:color w:val="000000" w:themeColor="text1"/>
          <w:sz w:val="28"/>
          <w:szCs w:val="28"/>
        </w:rPr>
        <w:t>Cet indicateur</w:t>
      </w:r>
      <w:r w:rsidR="005C6215" w:rsidRPr="005C6215">
        <w:rPr>
          <w:color w:val="000000" w:themeColor="text1"/>
          <w:sz w:val="28"/>
          <w:szCs w:val="28"/>
        </w:rPr>
        <w:t xml:space="preserve"> est</w:t>
      </w:r>
      <w:r w:rsidR="005C6215">
        <w:rPr>
          <w:color w:val="000000" w:themeColor="text1"/>
          <w:sz w:val="28"/>
          <w:szCs w:val="28"/>
        </w:rPr>
        <w:t>, comme on le voit,</w:t>
      </w:r>
      <w:r w:rsidR="005C6215" w:rsidRPr="005C6215">
        <w:rPr>
          <w:color w:val="000000" w:themeColor="text1"/>
          <w:sz w:val="28"/>
          <w:szCs w:val="28"/>
        </w:rPr>
        <w:t xml:space="preserve"> très faible</w:t>
      </w:r>
      <w:r w:rsidR="00657660">
        <w:rPr>
          <w:color w:val="000000" w:themeColor="text1"/>
          <w:sz w:val="28"/>
          <w:szCs w:val="28"/>
        </w:rPr>
        <w:t xml:space="preserve"> (39,1% de la densité requise)</w:t>
      </w:r>
      <w:r w:rsidR="005C6215">
        <w:rPr>
          <w:color w:val="000000" w:themeColor="text1"/>
          <w:sz w:val="28"/>
          <w:szCs w:val="28"/>
        </w:rPr>
        <w:t>. Il</w:t>
      </w:r>
      <w:r w:rsidR="005C6215" w:rsidRPr="005C6215">
        <w:rPr>
          <w:color w:val="000000" w:themeColor="text1"/>
          <w:sz w:val="28"/>
          <w:szCs w:val="28"/>
        </w:rPr>
        <w:t xml:space="preserve"> varie d’une région à une autre passant de 6 à Kankan à 16 à Conakry</w:t>
      </w:r>
      <w:r w:rsidR="005C6215">
        <w:rPr>
          <w:color w:val="000000" w:themeColor="text1"/>
          <w:sz w:val="28"/>
          <w:szCs w:val="28"/>
        </w:rPr>
        <w:t xml:space="preserve">, </w:t>
      </w:r>
      <w:r w:rsidR="005C6215" w:rsidRPr="005C6215">
        <w:rPr>
          <w:color w:val="000000" w:themeColor="text1"/>
          <w:sz w:val="28"/>
          <w:szCs w:val="28"/>
        </w:rPr>
        <w:t xml:space="preserve">et de Conakry </w:t>
      </w:r>
      <w:r w:rsidR="005C6215">
        <w:rPr>
          <w:color w:val="000000" w:themeColor="text1"/>
          <w:sz w:val="28"/>
          <w:szCs w:val="28"/>
        </w:rPr>
        <w:t>étant les seules régions ayant</w:t>
      </w:r>
      <w:r w:rsidR="005C6215" w:rsidRPr="005C6215">
        <w:rPr>
          <w:color w:val="000000" w:themeColor="text1"/>
          <w:sz w:val="28"/>
          <w:szCs w:val="28"/>
        </w:rPr>
        <w:t xml:space="preserve"> une densité égale ou supérieure à la moyenne nationale. Ces chiffres montrent clairement l'insuffisance numérique de</w:t>
      </w:r>
      <w:r w:rsidR="005C6215">
        <w:rPr>
          <w:color w:val="000000" w:themeColor="text1"/>
          <w:sz w:val="28"/>
          <w:szCs w:val="28"/>
        </w:rPr>
        <w:t>s ressources humaines pour la</w:t>
      </w:r>
      <w:r w:rsidR="005C6215" w:rsidRPr="005C6215">
        <w:rPr>
          <w:color w:val="000000" w:themeColor="text1"/>
          <w:sz w:val="28"/>
          <w:szCs w:val="28"/>
        </w:rPr>
        <w:t xml:space="preserve"> santé</w:t>
      </w:r>
      <w:r w:rsidR="005C6215">
        <w:rPr>
          <w:color w:val="000000" w:themeColor="text1"/>
          <w:sz w:val="28"/>
          <w:szCs w:val="28"/>
        </w:rPr>
        <w:t>,</w:t>
      </w:r>
      <w:r w:rsidR="005C6215" w:rsidRPr="005C6215">
        <w:rPr>
          <w:color w:val="000000" w:themeColor="text1"/>
          <w:sz w:val="28"/>
          <w:szCs w:val="28"/>
        </w:rPr>
        <w:t xml:space="preserve"> au vue de la taille de la population</w:t>
      </w:r>
      <w:r w:rsidR="005C6215">
        <w:rPr>
          <w:color w:val="000000" w:themeColor="text1"/>
          <w:sz w:val="28"/>
          <w:szCs w:val="28"/>
        </w:rPr>
        <w:t>.</w:t>
      </w:r>
      <w:r w:rsidR="00D16BED">
        <w:rPr>
          <w:color w:val="000000" w:themeColor="text1"/>
          <w:sz w:val="28"/>
          <w:szCs w:val="28"/>
        </w:rPr>
        <w:t xml:space="preserve"> Par ailleurs, le personnel disponible est mal distribué, au détriment des zones rurales où vivent environ 70% de la population guinéenne.</w:t>
      </w:r>
    </w:p>
    <w:p w:rsidR="00662E03" w:rsidRDefault="00662E03" w:rsidP="00662E03">
      <w:pPr>
        <w:jc w:val="both"/>
        <w:rPr>
          <w:rFonts w:eastAsiaTheme="majorEastAsia" w:cstheme="minorHAnsi"/>
          <w:color w:val="333333"/>
        </w:rPr>
      </w:pPr>
    </w:p>
    <w:p w:rsidR="00662E03" w:rsidRPr="00662E03" w:rsidRDefault="00662E03" w:rsidP="00662E03">
      <w:pPr>
        <w:jc w:val="both"/>
        <w:rPr>
          <w:rFonts w:eastAsiaTheme="majorEastAsia" w:cstheme="minorHAnsi"/>
          <w:color w:val="333333"/>
        </w:rPr>
      </w:pPr>
    </w:p>
    <w:p w:rsidR="00084B19" w:rsidRDefault="00C82FC0" w:rsidP="00C82FC0">
      <w:r>
        <w:tab/>
      </w:r>
    </w:p>
    <w:p w:rsidR="00084B19" w:rsidRDefault="00084B19" w:rsidP="004D046C">
      <w:pPr>
        <w:pStyle w:val="Paragraphedeliste"/>
        <w:numPr>
          <w:ilvl w:val="0"/>
          <w:numId w:val="6"/>
        </w:numPr>
        <w:ind w:left="2835"/>
        <w:jc w:val="both"/>
      </w:pPr>
      <w:r>
        <w:lastRenderedPageBreak/>
        <w:t>Principaux résultats</w:t>
      </w:r>
    </w:p>
    <w:p w:rsidR="00084B19" w:rsidRDefault="00084B19" w:rsidP="004D046C">
      <w:pPr>
        <w:pStyle w:val="Paragraphedeliste"/>
        <w:numPr>
          <w:ilvl w:val="1"/>
          <w:numId w:val="6"/>
        </w:numPr>
        <w:ind w:left="3402"/>
        <w:jc w:val="both"/>
      </w:pPr>
      <w:r>
        <w:t>Disponibilité des RHS</w:t>
      </w:r>
    </w:p>
    <w:p w:rsidR="00084B19" w:rsidRDefault="00084B19" w:rsidP="004D046C">
      <w:pPr>
        <w:pStyle w:val="Paragraphedeliste"/>
        <w:numPr>
          <w:ilvl w:val="1"/>
          <w:numId w:val="6"/>
        </w:numPr>
        <w:ind w:left="3402"/>
        <w:jc w:val="both"/>
      </w:pPr>
      <w:r>
        <w:t>Répartition actuelle</w:t>
      </w:r>
    </w:p>
    <w:p w:rsidR="00084B19" w:rsidRDefault="00084B19" w:rsidP="004D046C">
      <w:pPr>
        <w:pStyle w:val="Paragraphedeliste"/>
        <w:numPr>
          <w:ilvl w:val="1"/>
          <w:numId w:val="6"/>
        </w:numPr>
        <w:ind w:left="3402"/>
        <w:jc w:val="both"/>
      </w:pPr>
      <w:r>
        <w:t>Départ à la retraite horizon 2018-2024</w:t>
      </w:r>
    </w:p>
    <w:p w:rsidR="00084B19" w:rsidRDefault="00084B19" w:rsidP="004D046C">
      <w:pPr>
        <w:pStyle w:val="Paragraphedeliste"/>
        <w:numPr>
          <w:ilvl w:val="0"/>
          <w:numId w:val="6"/>
        </w:numPr>
        <w:ind w:left="2835"/>
        <w:jc w:val="both"/>
      </w:pPr>
      <w:r>
        <w:t>Cadre réglementaire</w:t>
      </w:r>
    </w:p>
    <w:p w:rsidR="00084B19" w:rsidRDefault="00084B19" w:rsidP="004D046C">
      <w:pPr>
        <w:pStyle w:val="Paragraphedeliste"/>
        <w:numPr>
          <w:ilvl w:val="0"/>
          <w:numId w:val="6"/>
        </w:numPr>
        <w:ind w:left="2835"/>
        <w:jc w:val="both"/>
      </w:pPr>
      <w:r>
        <w:t>Prévision horizon 2024</w:t>
      </w:r>
    </w:p>
    <w:p w:rsidR="00084B19" w:rsidRDefault="00084B19" w:rsidP="004D046C">
      <w:pPr>
        <w:pStyle w:val="Paragraphedeliste"/>
        <w:numPr>
          <w:ilvl w:val="0"/>
          <w:numId w:val="6"/>
        </w:numPr>
        <w:ind w:left="2835"/>
        <w:jc w:val="both"/>
      </w:pPr>
      <w:r>
        <w:t>Formation</w:t>
      </w:r>
    </w:p>
    <w:p w:rsidR="00084B19" w:rsidRDefault="00084B19" w:rsidP="004D046C">
      <w:pPr>
        <w:pStyle w:val="Paragraphedeliste"/>
        <w:numPr>
          <w:ilvl w:val="1"/>
          <w:numId w:val="6"/>
        </w:numPr>
        <w:ind w:left="3402"/>
        <w:jc w:val="both"/>
      </w:pPr>
      <w:r>
        <w:t>Initiale</w:t>
      </w:r>
    </w:p>
    <w:p w:rsidR="00084B19" w:rsidRDefault="00084B19" w:rsidP="004D046C">
      <w:pPr>
        <w:pStyle w:val="Paragraphedeliste"/>
        <w:numPr>
          <w:ilvl w:val="1"/>
          <w:numId w:val="6"/>
        </w:numPr>
        <w:ind w:left="3402"/>
        <w:jc w:val="both"/>
      </w:pPr>
      <w:r>
        <w:t>Continue</w:t>
      </w:r>
    </w:p>
    <w:p w:rsidR="00084B19" w:rsidRDefault="00084B19" w:rsidP="004D046C">
      <w:pPr>
        <w:pStyle w:val="Paragraphedeliste"/>
        <w:numPr>
          <w:ilvl w:val="1"/>
          <w:numId w:val="6"/>
        </w:numPr>
        <w:ind w:left="3402"/>
        <w:jc w:val="both"/>
      </w:pPr>
      <w:r>
        <w:t>Spécialisation</w:t>
      </w:r>
    </w:p>
    <w:p w:rsidR="00084B19" w:rsidRDefault="00084B19" w:rsidP="004D046C">
      <w:pPr>
        <w:pStyle w:val="Paragraphedeliste"/>
        <w:numPr>
          <w:ilvl w:val="0"/>
          <w:numId w:val="6"/>
        </w:numPr>
        <w:ind w:left="2835"/>
        <w:jc w:val="both"/>
      </w:pPr>
      <w:r>
        <w:t>Pratique de gestion</w:t>
      </w:r>
    </w:p>
    <w:p w:rsidR="00084B19" w:rsidRPr="00084B19" w:rsidRDefault="00084B19" w:rsidP="00084B19"/>
    <w:p w:rsidR="00084B19" w:rsidRDefault="00084B19" w:rsidP="004D046C">
      <w:pPr>
        <w:pStyle w:val="Titre1"/>
        <w:numPr>
          <w:ilvl w:val="1"/>
          <w:numId w:val="8"/>
        </w:numPr>
        <w:spacing w:after="240"/>
        <w:ind w:left="1843"/>
      </w:pPr>
      <w:r>
        <w:t>Problèmes prioritaires</w:t>
      </w:r>
    </w:p>
    <w:p w:rsidR="00720FBC" w:rsidRPr="00D67BDE" w:rsidRDefault="00720FBC" w:rsidP="00720FBC">
      <w:pPr>
        <w:widowControl w:val="0"/>
        <w:autoSpaceDE w:val="0"/>
        <w:autoSpaceDN w:val="0"/>
        <w:adjustRightInd w:val="0"/>
        <w:spacing w:after="0" w:line="275" w:lineRule="auto"/>
        <w:ind w:right="73"/>
        <w:jc w:val="both"/>
        <w:rPr>
          <w:bCs/>
          <w:iCs/>
          <w:sz w:val="28"/>
          <w:szCs w:val="28"/>
        </w:rPr>
      </w:pPr>
      <w:r w:rsidRPr="00D67BDE">
        <w:rPr>
          <w:sz w:val="28"/>
          <w:szCs w:val="28"/>
        </w:rPr>
        <w:t>Il ressort de l’analyse de situation des RHS notamment sur le plan de l</w:t>
      </w:r>
      <w:r w:rsidRPr="00D67BDE">
        <w:rPr>
          <w:bCs/>
          <w:iCs/>
          <w:sz w:val="28"/>
          <w:szCs w:val="28"/>
        </w:rPr>
        <w:t>’utilisation et gestion rationnelles des personnels</w:t>
      </w:r>
      <w:r>
        <w:rPr>
          <w:bCs/>
          <w:iCs/>
          <w:sz w:val="28"/>
          <w:szCs w:val="28"/>
        </w:rPr>
        <w:t>,</w:t>
      </w:r>
      <w:r w:rsidRPr="00D67BDE">
        <w:rPr>
          <w:bCs/>
          <w:iCs/>
          <w:sz w:val="28"/>
          <w:szCs w:val="28"/>
        </w:rPr>
        <w:t xml:space="preserve"> les principaux problèmes suivants : </w:t>
      </w:r>
    </w:p>
    <w:p w:rsidR="00720FBC" w:rsidRDefault="00720FBC" w:rsidP="004D046C">
      <w:pPr>
        <w:pStyle w:val="Paragraphedeliste"/>
        <w:numPr>
          <w:ilvl w:val="0"/>
          <w:numId w:val="7"/>
        </w:numPr>
        <w:spacing w:after="0" w:line="240" w:lineRule="auto"/>
        <w:ind w:left="851" w:hanging="425"/>
        <w:jc w:val="both"/>
        <w:rPr>
          <w:color w:val="000000" w:themeColor="text1"/>
          <w:sz w:val="28"/>
          <w:szCs w:val="28"/>
        </w:rPr>
      </w:pPr>
      <w:r w:rsidRPr="00152DF0">
        <w:rPr>
          <w:sz w:val="28"/>
          <w:szCs w:val="28"/>
        </w:rPr>
        <w:t>Absence</w:t>
      </w:r>
      <w:r w:rsidRPr="00BA07A7">
        <w:rPr>
          <w:color w:val="000000" w:themeColor="text1"/>
          <w:sz w:val="28"/>
          <w:szCs w:val="28"/>
        </w:rPr>
        <w:t xml:space="preserve"> des principaux instruments de référence pour la gestion des RHS : </w:t>
      </w:r>
      <w:r>
        <w:rPr>
          <w:color w:val="000000" w:themeColor="text1"/>
          <w:sz w:val="28"/>
          <w:szCs w:val="28"/>
        </w:rPr>
        <w:t>descriptions de poste</w:t>
      </w:r>
      <w:r w:rsidRPr="00BA07A7">
        <w:rPr>
          <w:color w:val="000000" w:themeColor="text1"/>
          <w:sz w:val="28"/>
          <w:szCs w:val="28"/>
        </w:rPr>
        <w:t>, normes et procédures</w:t>
      </w:r>
      <w:r>
        <w:rPr>
          <w:color w:val="000000" w:themeColor="text1"/>
          <w:sz w:val="28"/>
          <w:szCs w:val="28"/>
        </w:rPr>
        <w:t>,</w:t>
      </w:r>
    </w:p>
    <w:p w:rsidR="00720FBC" w:rsidRPr="00A02293" w:rsidRDefault="00720FBC" w:rsidP="004D046C">
      <w:pPr>
        <w:pStyle w:val="Paragraphedeliste"/>
        <w:numPr>
          <w:ilvl w:val="0"/>
          <w:numId w:val="7"/>
        </w:numPr>
        <w:spacing w:after="0" w:line="240" w:lineRule="auto"/>
        <w:ind w:left="851" w:hanging="425"/>
        <w:jc w:val="both"/>
        <w:rPr>
          <w:color w:val="000000" w:themeColor="text1"/>
          <w:sz w:val="28"/>
          <w:szCs w:val="28"/>
        </w:rPr>
      </w:pPr>
      <w:r>
        <w:rPr>
          <w:color w:val="000000" w:themeColor="text1"/>
          <w:sz w:val="28"/>
          <w:szCs w:val="28"/>
        </w:rPr>
        <w:t>Inadéquation dans la répartition des RHS entre régions et préfectures,</w:t>
      </w:r>
    </w:p>
    <w:p w:rsidR="00720FBC" w:rsidRPr="00BA07A7" w:rsidRDefault="00720FBC" w:rsidP="004D046C">
      <w:pPr>
        <w:pStyle w:val="Paragraphedeliste"/>
        <w:numPr>
          <w:ilvl w:val="0"/>
          <w:numId w:val="7"/>
        </w:numPr>
        <w:spacing w:after="0" w:line="240" w:lineRule="auto"/>
        <w:ind w:left="851" w:hanging="425"/>
        <w:jc w:val="both"/>
        <w:rPr>
          <w:color w:val="000000" w:themeColor="text1"/>
          <w:sz w:val="28"/>
          <w:szCs w:val="28"/>
        </w:rPr>
      </w:pPr>
      <w:r w:rsidRPr="0026121E">
        <w:rPr>
          <w:sz w:val="28"/>
          <w:szCs w:val="28"/>
        </w:rPr>
        <w:t>Recrutement aléatoire des RHS</w:t>
      </w:r>
      <w:r>
        <w:rPr>
          <w:sz w:val="28"/>
          <w:szCs w:val="28"/>
        </w:rPr>
        <w:t xml:space="preserve"> dans le secteur public</w:t>
      </w:r>
      <w:r w:rsidRPr="0026121E">
        <w:rPr>
          <w:sz w:val="28"/>
          <w:szCs w:val="28"/>
        </w:rPr>
        <w:t>, contrairement à la loi en vigueur</w:t>
      </w:r>
      <w:r>
        <w:rPr>
          <w:sz w:val="28"/>
          <w:szCs w:val="28"/>
        </w:rPr>
        <w:t>,</w:t>
      </w:r>
      <w:r w:rsidRPr="0026121E">
        <w:rPr>
          <w:sz w:val="28"/>
          <w:szCs w:val="28"/>
        </w:rPr>
        <w:t xml:space="preserve"> </w:t>
      </w:r>
    </w:p>
    <w:p w:rsidR="00720FBC" w:rsidRPr="0026121E" w:rsidRDefault="00720FBC" w:rsidP="004D046C">
      <w:pPr>
        <w:pStyle w:val="Paragraphedeliste"/>
        <w:numPr>
          <w:ilvl w:val="0"/>
          <w:numId w:val="7"/>
        </w:numPr>
        <w:spacing w:after="0" w:line="240" w:lineRule="auto"/>
        <w:ind w:left="851" w:hanging="425"/>
        <w:jc w:val="both"/>
        <w:rPr>
          <w:color w:val="000000" w:themeColor="text1"/>
          <w:sz w:val="28"/>
          <w:szCs w:val="28"/>
        </w:rPr>
      </w:pPr>
      <w:r w:rsidRPr="0026121E">
        <w:rPr>
          <w:color w:val="000000" w:themeColor="text1"/>
          <w:sz w:val="28"/>
          <w:szCs w:val="28"/>
        </w:rPr>
        <w:t>Mauvaise</w:t>
      </w:r>
      <w:r>
        <w:rPr>
          <w:color w:val="000000" w:themeColor="text1"/>
          <w:sz w:val="28"/>
          <w:szCs w:val="28"/>
        </w:rPr>
        <w:t>s</w:t>
      </w:r>
      <w:r w:rsidRPr="0026121E">
        <w:rPr>
          <w:color w:val="000000" w:themeColor="text1"/>
          <w:sz w:val="28"/>
          <w:szCs w:val="28"/>
        </w:rPr>
        <w:t xml:space="preserve"> tenue et gestion des cadres organiques des structures</w:t>
      </w:r>
      <w:r>
        <w:rPr>
          <w:color w:val="000000" w:themeColor="text1"/>
          <w:sz w:val="28"/>
          <w:szCs w:val="28"/>
        </w:rPr>
        <w:t>,</w:t>
      </w:r>
      <w:r w:rsidRPr="0026121E">
        <w:rPr>
          <w:color w:val="000000" w:themeColor="text1"/>
          <w:sz w:val="28"/>
          <w:szCs w:val="28"/>
        </w:rPr>
        <w:t xml:space="preserve"> </w:t>
      </w:r>
    </w:p>
    <w:p w:rsidR="00720FBC" w:rsidRPr="00D67BDE" w:rsidRDefault="00720FBC" w:rsidP="004D046C">
      <w:pPr>
        <w:pStyle w:val="Paragraphedeliste"/>
        <w:numPr>
          <w:ilvl w:val="0"/>
          <w:numId w:val="7"/>
        </w:numPr>
        <w:spacing w:after="0" w:line="240" w:lineRule="auto"/>
        <w:ind w:left="851" w:hanging="425"/>
        <w:jc w:val="both"/>
        <w:rPr>
          <w:color w:val="000000" w:themeColor="text1"/>
          <w:sz w:val="28"/>
          <w:szCs w:val="28"/>
        </w:rPr>
      </w:pPr>
      <w:r>
        <w:rPr>
          <w:color w:val="000000" w:themeColor="text1"/>
          <w:sz w:val="28"/>
          <w:szCs w:val="28"/>
        </w:rPr>
        <w:t>Non-maitrise des e</w:t>
      </w:r>
      <w:r w:rsidRPr="00D67BDE">
        <w:rPr>
          <w:color w:val="000000" w:themeColor="text1"/>
          <w:sz w:val="28"/>
          <w:szCs w:val="28"/>
        </w:rPr>
        <w:t>ffectifs</w:t>
      </w:r>
      <w:r>
        <w:rPr>
          <w:color w:val="000000" w:themeColor="text1"/>
          <w:sz w:val="28"/>
          <w:szCs w:val="28"/>
        </w:rPr>
        <w:t xml:space="preserve"> des RHS</w:t>
      </w:r>
      <w:r w:rsidRPr="00D67BDE">
        <w:rPr>
          <w:color w:val="000000" w:themeColor="text1"/>
          <w:sz w:val="28"/>
          <w:szCs w:val="28"/>
        </w:rPr>
        <w:t xml:space="preserve">, </w:t>
      </w:r>
    </w:p>
    <w:p w:rsidR="00720FBC" w:rsidRDefault="00720FBC" w:rsidP="004D046C">
      <w:pPr>
        <w:pStyle w:val="Paragraphedeliste"/>
        <w:numPr>
          <w:ilvl w:val="0"/>
          <w:numId w:val="7"/>
        </w:numPr>
        <w:spacing w:after="0" w:line="240" w:lineRule="auto"/>
        <w:ind w:left="851" w:hanging="425"/>
        <w:jc w:val="both"/>
        <w:rPr>
          <w:color w:val="000000" w:themeColor="text1"/>
          <w:sz w:val="28"/>
          <w:szCs w:val="28"/>
        </w:rPr>
      </w:pPr>
      <w:r>
        <w:rPr>
          <w:color w:val="000000" w:themeColor="text1"/>
          <w:sz w:val="28"/>
          <w:szCs w:val="28"/>
        </w:rPr>
        <w:t>Absence de gestion de la performance des personnels,</w:t>
      </w:r>
    </w:p>
    <w:p w:rsidR="00720FBC" w:rsidRPr="00D67BDE" w:rsidRDefault="00720FBC" w:rsidP="004D046C">
      <w:pPr>
        <w:pStyle w:val="Paragraphedeliste"/>
        <w:numPr>
          <w:ilvl w:val="0"/>
          <w:numId w:val="7"/>
        </w:numPr>
        <w:spacing w:after="0" w:line="240" w:lineRule="auto"/>
        <w:ind w:left="851" w:hanging="425"/>
        <w:jc w:val="both"/>
        <w:rPr>
          <w:color w:val="000000" w:themeColor="text1"/>
          <w:sz w:val="28"/>
          <w:szCs w:val="28"/>
        </w:rPr>
      </w:pPr>
      <w:r>
        <w:rPr>
          <w:color w:val="000000" w:themeColor="text1"/>
          <w:sz w:val="28"/>
          <w:szCs w:val="28"/>
        </w:rPr>
        <w:t xml:space="preserve">Absence de gestion prévisionnelle des RHS, </w:t>
      </w:r>
    </w:p>
    <w:p w:rsidR="00720FBC" w:rsidRDefault="00720FBC" w:rsidP="004D046C">
      <w:pPr>
        <w:pStyle w:val="Paragraphedeliste"/>
        <w:numPr>
          <w:ilvl w:val="0"/>
          <w:numId w:val="7"/>
        </w:numPr>
        <w:spacing w:after="0" w:line="240" w:lineRule="auto"/>
        <w:ind w:left="851" w:hanging="425"/>
        <w:jc w:val="both"/>
        <w:rPr>
          <w:color w:val="000000" w:themeColor="text1"/>
          <w:sz w:val="28"/>
          <w:szCs w:val="28"/>
        </w:rPr>
      </w:pPr>
      <w:r w:rsidRPr="0026121E">
        <w:rPr>
          <w:color w:val="000000" w:themeColor="text1"/>
          <w:sz w:val="28"/>
          <w:szCs w:val="28"/>
        </w:rPr>
        <w:t>Absence d’orientation ou de préparation d</w:t>
      </w:r>
      <w:r>
        <w:rPr>
          <w:color w:val="000000" w:themeColor="text1"/>
          <w:sz w:val="28"/>
          <w:szCs w:val="28"/>
        </w:rPr>
        <w:t>es nouveaux personnels à leurs postes d’affectation,</w:t>
      </w:r>
      <w:r w:rsidRPr="0026121E">
        <w:rPr>
          <w:color w:val="000000" w:themeColor="text1"/>
          <w:sz w:val="28"/>
          <w:szCs w:val="28"/>
        </w:rPr>
        <w:t xml:space="preserve"> </w:t>
      </w:r>
    </w:p>
    <w:p w:rsidR="00720FBC" w:rsidRPr="0026121E" w:rsidRDefault="00720FBC" w:rsidP="004D046C">
      <w:pPr>
        <w:pStyle w:val="Paragraphedeliste"/>
        <w:numPr>
          <w:ilvl w:val="0"/>
          <w:numId w:val="7"/>
        </w:numPr>
        <w:spacing w:after="0" w:line="240" w:lineRule="auto"/>
        <w:ind w:left="851" w:hanging="425"/>
        <w:jc w:val="both"/>
        <w:rPr>
          <w:color w:val="000000" w:themeColor="text1"/>
          <w:sz w:val="28"/>
          <w:szCs w:val="28"/>
        </w:rPr>
      </w:pPr>
      <w:r w:rsidRPr="0026121E">
        <w:rPr>
          <w:color w:val="000000" w:themeColor="text1"/>
          <w:sz w:val="28"/>
          <w:szCs w:val="28"/>
        </w:rPr>
        <w:t>Absence stratégie efficace de gestion des carrières</w:t>
      </w:r>
      <w:r>
        <w:rPr>
          <w:color w:val="000000" w:themeColor="text1"/>
          <w:sz w:val="28"/>
          <w:szCs w:val="28"/>
        </w:rPr>
        <w:t>,</w:t>
      </w:r>
    </w:p>
    <w:p w:rsidR="00720FBC" w:rsidRDefault="00720FBC" w:rsidP="004D046C">
      <w:pPr>
        <w:pStyle w:val="Paragraphedeliste"/>
        <w:numPr>
          <w:ilvl w:val="0"/>
          <w:numId w:val="7"/>
        </w:numPr>
        <w:spacing w:after="0" w:line="240" w:lineRule="auto"/>
        <w:ind w:left="851" w:hanging="425"/>
        <w:jc w:val="both"/>
        <w:rPr>
          <w:sz w:val="28"/>
          <w:szCs w:val="28"/>
        </w:rPr>
      </w:pPr>
      <w:r>
        <w:rPr>
          <w:sz w:val="28"/>
          <w:szCs w:val="28"/>
        </w:rPr>
        <w:t xml:space="preserve">Non-adéquation entre </w:t>
      </w:r>
      <w:r w:rsidRPr="00D67BDE">
        <w:rPr>
          <w:sz w:val="28"/>
          <w:szCs w:val="28"/>
        </w:rPr>
        <w:t xml:space="preserve">les rémunérations dans le sous-secteur public de santé </w:t>
      </w:r>
      <w:r>
        <w:rPr>
          <w:sz w:val="28"/>
          <w:szCs w:val="28"/>
        </w:rPr>
        <w:t>et</w:t>
      </w:r>
      <w:r w:rsidRPr="00D67BDE">
        <w:rPr>
          <w:sz w:val="28"/>
          <w:szCs w:val="28"/>
        </w:rPr>
        <w:t xml:space="preserve"> les conditions de travail</w:t>
      </w:r>
      <w:r>
        <w:rPr>
          <w:sz w:val="28"/>
          <w:szCs w:val="28"/>
        </w:rPr>
        <w:t>,</w:t>
      </w:r>
      <w:r w:rsidRPr="00D67BDE">
        <w:rPr>
          <w:sz w:val="28"/>
          <w:szCs w:val="28"/>
        </w:rPr>
        <w:t xml:space="preserve"> la perf</w:t>
      </w:r>
      <w:r>
        <w:rPr>
          <w:sz w:val="28"/>
          <w:szCs w:val="28"/>
        </w:rPr>
        <w:t>ormance et la cherté de la vie,</w:t>
      </w:r>
    </w:p>
    <w:p w:rsidR="00720FBC" w:rsidRDefault="00720FBC" w:rsidP="004D046C">
      <w:pPr>
        <w:pStyle w:val="Paragraphedeliste"/>
        <w:numPr>
          <w:ilvl w:val="0"/>
          <w:numId w:val="7"/>
        </w:numPr>
        <w:spacing w:after="0" w:line="240" w:lineRule="auto"/>
        <w:ind w:left="851" w:hanging="425"/>
        <w:jc w:val="both"/>
        <w:rPr>
          <w:sz w:val="28"/>
          <w:szCs w:val="28"/>
        </w:rPr>
      </w:pPr>
      <w:r>
        <w:rPr>
          <w:sz w:val="28"/>
          <w:szCs w:val="28"/>
        </w:rPr>
        <w:t>Insuffisance</w:t>
      </w:r>
      <w:r w:rsidRPr="002E34FE">
        <w:rPr>
          <w:sz w:val="28"/>
          <w:szCs w:val="28"/>
        </w:rPr>
        <w:t xml:space="preserve"> des stratégies de motivation et de fidélisation</w:t>
      </w:r>
      <w:r>
        <w:rPr>
          <w:sz w:val="28"/>
          <w:szCs w:val="28"/>
        </w:rPr>
        <w:t xml:space="preserve"> des personnels,</w:t>
      </w:r>
      <w:r w:rsidRPr="002E34FE">
        <w:rPr>
          <w:sz w:val="28"/>
          <w:szCs w:val="28"/>
        </w:rPr>
        <w:t xml:space="preserve"> </w:t>
      </w:r>
      <w:r>
        <w:rPr>
          <w:sz w:val="28"/>
          <w:szCs w:val="28"/>
        </w:rPr>
        <w:t>très préjudiciables aux zones défavorisées,</w:t>
      </w:r>
    </w:p>
    <w:p w:rsidR="00720FBC" w:rsidRPr="002E34FE" w:rsidRDefault="00720FBC" w:rsidP="004D046C">
      <w:pPr>
        <w:pStyle w:val="Paragraphedeliste"/>
        <w:numPr>
          <w:ilvl w:val="0"/>
          <w:numId w:val="7"/>
        </w:numPr>
        <w:spacing w:after="0" w:line="240" w:lineRule="auto"/>
        <w:ind w:left="851" w:hanging="425"/>
        <w:jc w:val="both"/>
        <w:rPr>
          <w:sz w:val="28"/>
          <w:szCs w:val="28"/>
        </w:rPr>
      </w:pPr>
      <w:r>
        <w:rPr>
          <w:sz w:val="28"/>
          <w:szCs w:val="28"/>
        </w:rPr>
        <w:t>P</w:t>
      </w:r>
      <w:r w:rsidRPr="002E34FE">
        <w:rPr>
          <w:sz w:val="28"/>
          <w:szCs w:val="28"/>
        </w:rPr>
        <w:t xml:space="preserve">rimes de zone </w:t>
      </w:r>
      <w:r>
        <w:rPr>
          <w:sz w:val="28"/>
          <w:szCs w:val="28"/>
        </w:rPr>
        <w:t xml:space="preserve">et autres </w:t>
      </w:r>
      <w:r w:rsidRPr="002E34FE">
        <w:rPr>
          <w:sz w:val="28"/>
          <w:szCs w:val="28"/>
        </w:rPr>
        <w:t xml:space="preserve">en vigueur </w:t>
      </w:r>
      <w:r>
        <w:rPr>
          <w:sz w:val="28"/>
          <w:szCs w:val="28"/>
        </w:rPr>
        <w:t xml:space="preserve">insignifiantes, </w:t>
      </w:r>
    </w:p>
    <w:p w:rsidR="00720FBC" w:rsidRPr="00306B74" w:rsidRDefault="00720FBC" w:rsidP="004D046C">
      <w:pPr>
        <w:pStyle w:val="Paragraphedeliste"/>
        <w:numPr>
          <w:ilvl w:val="0"/>
          <w:numId w:val="7"/>
        </w:numPr>
        <w:spacing w:after="0" w:line="240" w:lineRule="auto"/>
        <w:ind w:left="851" w:hanging="425"/>
        <w:jc w:val="both"/>
        <w:rPr>
          <w:bCs/>
          <w:iCs/>
          <w:sz w:val="28"/>
          <w:szCs w:val="28"/>
        </w:rPr>
      </w:pPr>
      <w:r>
        <w:rPr>
          <w:sz w:val="28"/>
          <w:szCs w:val="28"/>
        </w:rPr>
        <w:t xml:space="preserve">Absence de transparence dans </w:t>
      </w:r>
      <w:r w:rsidRPr="00D67BDE">
        <w:rPr>
          <w:sz w:val="28"/>
          <w:szCs w:val="28"/>
        </w:rPr>
        <w:t xml:space="preserve">la nomination aux postes de responsabilité, </w:t>
      </w:r>
    </w:p>
    <w:p w:rsidR="00720FBC" w:rsidRPr="00025FAF" w:rsidRDefault="00720FBC" w:rsidP="004D046C">
      <w:pPr>
        <w:pStyle w:val="Paragraphedeliste"/>
        <w:numPr>
          <w:ilvl w:val="0"/>
          <w:numId w:val="7"/>
        </w:numPr>
        <w:spacing w:after="0" w:line="240" w:lineRule="auto"/>
        <w:ind w:left="851" w:hanging="425"/>
        <w:jc w:val="both"/>
        <w:rPr>
          <w:bCs/>
          <w:iCs/>
          <w:sz w:val="28"/>
          <w:szCs w:val="28"/>
        </w:rPr>
      </w:pPr>
      <w:r>
        <w:rPr>
          <w:sz w:val="28"/>
          <w:szCs w:val="28"/>
        </w:rPr>
        <w:t xml:space="preserve">Mauvaise préparation à la mise à la retraite et faiblesse des dispositifs d’accompagnement des départs à la retraite et la séparation, </w:t>
      </w:r>
    </w:p>
    <w:p w:rsidR="00720FBC" w:rsidRPr="00025FAF" w:rsidRDefault="00720FBC" w:rsidP="004D046C">
      <w:pPr>
        <w:pStyle w:val="Paragraphedeliste"/>
        <w:numPr>
          <w:ilvl w:val="0"/>
          <w:numId w:val="7"/>
        </w:numPr>
        <w:spacing w:after="0" w:line="240" w:lineRule="auto"/>
        <w:ind w:left="851" w:hanging="425"/>
        <w:jc w:val="both"/>
        <w:rPr>
          <w:bCs/>
          <w:iCs/>
          <w:sz w:val="28"/>
          <w:szCs w:val="28"/>
        </w:rPr>
      </w:pPr>
      <w:r w:rsidRPr="00025FAF">
        <w:rPr>
          <w:sz w:val="28"/>
          <w:szCs w:val="28"/>
        </w:rPr>
        <w:lastRenderedPageBreak/>
        <w:t xml:space="preserve">faiblesse des mécanismes de dialogue et coordination </w:t>
      </w:r>
      <w:r>
        <w:rPr>
          <w:sz w:val="28"/>
          <w:szCs w:val="28"/>
        </w:rPr>
        <w:t>dans la gestion des RHS.</w:t>
      </w:r>
    </w:p>
    <w:p w:rsidR="009646F8" w:rsidRPr="00D52E18" w:rsidRDefault="00717929" w:rsidP="004D046C">
      <w:pPr>
        <w:pStyle w:val="Titre1"/>
        <w:numPr>
          <w:ilvl w:val="0"/>
          <w:numId w:val="4"/>
        </w:numPr>
        <w:spacing w:after="360"/>
      </w:pPr>
      <w:r w:rsidRPr="00D52E18">
        <w:t>ORIENTATIONS</w:t>
      </w:r>
      <w:r w:rsidR="005302A3" w:rsidRPr="00D52E18">
        <w:t xml:space="preserve"> STRATEGIQUES</w:t>
      </w:r>
    </w:p>
    <w:p w:rsidR="0054510D" w:rsidRPr="00D52E18" w:rsidRDefault="0054510D" w:rsidP="0054510D">
      <w:pPr>
        <w:jc w:val="both"/>
        <w:rPr>
          <w:sz w:val="28"/>
          <w:szCs w:val="28"/>
        </w:rPr>
      </w:pPr>
      <w:r w:rsidRPr="00D52E18">
        <w:rPr>
          <w:sz w:val="28"/>
          <w:szCs w:val="28"/>
        </w:rPr>
        <w:t>Une</w:t>
      </w:r>
      <w:r w:rsidRPr="00D52E18">
        <w:rPr>
          <w:spacing w:val="-20"/>
          <w:sz w:val="28"/>
          <w:szCs w:val="28"/>
        </w:rPr>
        <w:t xml:space="preserve"> </w:t>
      </w:r>
      <w:r w:rsidRPr="00D52E18">
        <w:rPr>
          <w:sz w:val="28"/>
          <w:szCs w:val="28"/>
        </w:rPr>
        <w:t xml:space="preserve">gestion </w:t>
      </w:r>
      <w:r w:rsidR="00D52E18" w:rsidRPr="00D52E18">
        <w:rPr>
          <w:sz w:val="28"/>
          <w:szCs w:val="28"/>
        </w:rPr>
        <w:t xml:space="preserve">saine </w:t>
      </w:r>
      <w:r w:rsidRPr="00D52E18">
        <w:rPr>
          <w:sz w:val="28"/>
          <w:szCs w:val="28"/>
        </w:rPr>
        <w:t>des ressources humaines assure non seulement un climat de travail motivant</w:t>
      </w:r>
      <w:r w:rsidRPr="00D52E18">
        <w:rPr>
          <w:spacing w:val="-18"/>
          <w:sz w:val="28"/>
          <w:szCs w:val="28"/>
        </w:rPr>
        <w:t xml:space="preserve"> </w:t>
      </w:r>
      <w:r w:rsidRPr="00D52E18">
        <w:rPr>
          <w:sz w:val="28"/>
          <w:szCs w:val="28"/>
        </w:rPr>
        <w:t>et</w:t>
      </w:r>
      <w:r w:rsidRPr="00D52E18">
        <w:rPr>
          <w:spacing w:val="-17"/>
          <w:sz w:val="28"/>
          <w:szCs w:val="28"/>
        </w:rPr>
        <w:t xml:space="preserve"> </w:t>
      </w:r>
      <w:r w:rsidRPr="00D52E18">
        <w:rPr>
          <w:sz w:val="28"/>
          <w:szCs w:val="28"/>
        </w:rPr>
        <w:t>stimulant,</w:t>
      </w:r>
      <w:r w:rsidRPr="00D52E18">
        <w:rPr>
          <w:spacing w:val="-18"/>
          <w:sz w:val="28"/>
          <w:szCs w:val="28"/>
        </w:rPr>
        <w:t xml:space="preserve"> </w:t>
      </w:r>
      <w:r w:rsidRPr="00D52E18">
        <w:rPr>
          <w:sz w:val="28"/>
          <w:szCs w:val="28"/>
        </w:rPr>
        <w:t>mais</w:t>
      </w:r>
      <w:r w:rsidRPr="00D52E18">
        <w:rPr>
          <w:spacing w:val="-17"/>
          <w:sz w:val="28"/>
          <w:szCs w:val="28"/>
        </w:rPr>
        <w:t xml:space="preserve"> </w:t>
      </w:r>
      <w:r w:rsidRPr="00D52E18">
        <w:rPr>
          <w:sz w:val="28"/>
          <w:szCs w:val="28"/>
        </w:rPr>
        <w:t>mobilise</w:t>
      </w:r>
      <w:r w:rsidRPr="00D52E18">
        <w:rPr>
          <w:spacing w:val="-18"/>
          <w:sz w:val="28"/>
          <w:szCs w:val="28"/>
        </w:rPr>
        <w:t xml:space="preserve"> </w:t>
      </w:r>
      <w:r w:rsidRPr="00D52E18">
        <w:rPr>
          <w:sz w:val="28"/>
          <w:szCs w:val="28"/>
        </w:rPr>
        <w:t>le</w:t>
      </w:r>
      <w:r w:rsidRPr="00D52E18">
        <w:rPr>
          <w:spacing w:val="-17"/>
          <w:sz w:val="28"/>
          <w:szCs w:val="28"/>
        </w:rPr>
        <w:t xml:space="preserve"> </w:t>
      </w:r>
      <w:r w:rsidRPr="00D52E18">
        <w:rPr>
          <w:sz w:val="28"/>
          <w:szCs w:val="28"/>
        </w:rPr>
        <w:t>personnel</w:t>
      </w:r>
      <w:r w:rsidRPr="00D52E18">
        <w:rPr>
          <w:spacing w:val="-18"/>
          <w:sz w:val="28"/>
          <w:szCs w:val="28"/>
        </w:rPr>
        <w:t xml:space="preserve"> </w:t>
      </w:r>
      <w:r w:rsidRPr="00D52E18">
        <w:rPr>
          <w:sz w:val="28"/>
          <w:szCs w:val="28"/>
        </w:rPr>
        <w:t>dans</w:t>
      </w:r>
      <w:r w:rsidRPr="00D52E18">
        <w:rPr>
          <w:spacing w:val="-17"/>
          <w:sz w:val="28"/>
          <w:szCs w:val="28"/>
        </w:rPr>
        <w:t xml:space="preserve"> </w:t>
      </w:r>
      <w:r w:rsidRPr="00D52E18">
        <w:rPr>
          <w:sz w:val="28"/>
          <w:szCs w:val="28"/>
        </w:rPr>
        <w:t>l’atteinte</w:t>
      </w:r>
      <w:r w:rsidRPr="00D52E18">
        <w:rPr>
          <w:spacing w:val="-18"/>
          <w:sz w:val="28"/>
          <w:szCs w:val="28"/>
        </w:rPr>
        <w:t xml:space="preserve"> </w:t>
      </w:r>
      <w:r w:rsidRPr="00D52E18">
        <w:rPr>
          <w:sz w:val="28"/>
          <w:szCs w:val="28"/>
        </w:rPr>
        <w:t>des</w:t>
      </w:r>
      <w:r w:rsidRPr="00D52E18">
        <w:rPr>
          <w:spacing w:val="-17"/>
          <w:sz w:val="28"/>
          <w:szCs w:val="28"/>
        </w:rPr>
        <w:t xml:space="preserve"> </w:t>
      </w:r>
      <w:r w:rsidRPr="00D52E18">
        <w:rPr>
          <w:sz w:val="28"/>
          <w:szCs w:val="28"/>
        </w:rPr>
        <w:t>objectifs</w:t>
      </w:r>
      <w:r w:rsidRPr="00D52E18">
        <w:rPr>
          <w:spacing w:val="-18"/>
          <w:sz w:val="28"/>
          <w:szCs w:val="28"/>
        </w:rPr>
        <w:t xml:space="preserve"> </w:t>
      </w:r>
      <w:r w:rsidRPr="00D52E18">
        <w:rPr>
          <w:sz w:val="28"/>
          <w:szCs w:val="28"/>
        </w:rPr>
        <w:t xml:space="preserve">de l’organisation, maximise </w:t>
      </w:r>
      <w:r w:rsidR="00D52E18">
        <w:rPr>
          <w:sz w:val="28"/>
          <w:szCs w:val="28"/>
        </w:rPr>
        <w:t xml:space="preserve">son </w:t>
      </w:r>
      <w:r w:rsidRPr="00D52E18">
        <w:rPr>
          <w:sz w:val="28"/>
          <w:szCs w:val="28"/>
        </w:rPr>
        <w:t xml:space="preserve">engagement et </w:t>
      </w:r>
      <w:r w:rsidR="00D52E18">
        <w:rPr>
          <w:sz w:val="28"/>
          <w:szCs w:val="28"/>
        </w:rPr>
        <w:t xml:space="preserve">favorise son </w:t>
      </w:r>
      <w:r w:rsidRPr="00D52E18">
        <w:rPr>
          <w:sz w:val="28"/>
          <w:szCs w:val="28"/>
        </w:rPr>
        <w:t xml:space="preserve">adhésion à la mission. </w:t>
      </w:r>
    </w:p>
    <w:p w:rsidR="001666DC" w:rsidRPr="00D52E18" w:rsidRDefault="001666DC" w:rsidP="004D046C">
      <w:pPr>
        <w:pStyle w:val="Titre2"/>
        <w:numPr>
          <w:ilvl w:val="1"/>
          <w:numId w:val="5"/>
        </w:numPr>
        <w:spacing w:before="0" w:after="240"/>
        <w:ind w:left="1134" w:hanging="709"/>
        <w:rPr>
          <w:sz w:val="28"/>
          <w:szCs w:val="28"/>
        </w:rPr>
      </w:pPr>
      <w:r w:rsidRPr="00D52E18">
        <w:rPr>
          <w:sz w:val="28"/>
          <w:szCs w:val="28"/>
        </w:rPr>
        <w:t>L</w:t>
      </w:r>
      <w:r w:rsidR="00B94E34" w:rsidRPr="00D52E18">
        <w:rPr>
          <w:sz w:val="28"/>
          <w:szCs w:val="28"/>
        </w:rPr>
        <w:t xml:space="preserve">a vision </w:t>
      </w:r>
    </w:p>
    <w:p w:rsidR="00963EE5" w:rsidRDefault="000665F8" w:rsidP="00AA30DF">
      <w:pPr>
        <w:autoSpaceDE w:val="0"/>
        <w:autoSpaceDN w:val="0"/>
        <w:adjustRightInd w:val="0"/>
        <w:jc w:val="both"/>
        <w:rPr>
          <w:b/>
          <w:i/>
          <w:sz w:val="28"/>
          <w:szCs w:val="28"/>
        </w:rPr>
      </w:pPr>
      <w:r w:rsidRPr="00D52E18">
        <w:rPr>
          <w:sz w:val="28"/>
          <w:szCs w:val="28"/>
        </w:rPr>
        <w:t>Déduite de l’option prise dans</w:t>
      </w:r>
      <w:r w:rsidR="00963EE5" w:rsidRPr="00D52E18">
        <w:rPr>
          <w:sz w:val="28"/>
          <w:szCs w:val="28"/>
        </w:rPr>
        <w:t xml:space="preserve"> </w:t>
      </w:r>
      <w:r w:rsidR="00461CA0">
        <w:rPr>
          <w:sz w:val="28"/>
          <w:szCs w:val="28"/>
        </w:rPr>
        <w:t>la Loi fondamentale le plan national de développement économique et social (PNDES)</w:t>
      </w:r>
      <w:r w:rsidR="00963EE5" w:rsidRPr="00D52E18">
        <w:rPr>
          <w:sz w:val="28"/>
          <w:szCs w:val="28"/>
        </w:rPr>
        <w:t xml:space="preserve">, la vision </w:t>
      </w:r>
      <w:r w:rsidR="00C0415B">
        <w:rPr>
          <w:sz w:val="28"/>
          <w:szCs w:val="28"/>
        </w:rPr>
        <w:t>de</w:t>
      </w:r>
      <w:r w:rsidR="00963EE5" w:rsidRPr="00D52E18">
        <w:rPr>
          <w:sz w:val="28"/>
          <w:szCs w:val="28"/>
        </w:rPr>
        <w:t xml:space="preserve"> la politique nationale de santé</w:t>
      </w:r>
      <w:r w:rsidRPr="00D52E18">
        <w:rPr>
          <w:sz w:val="28"/>
          <w:szCs w:val="28"/>
        </w:rPr>
        <w:t>,</w:t>
      </w:r>
      <w:r w:rsidR="00963EE5" w:rsidRPr="00D52E18">
        <w:rPr>
          <w:sz w:val="28"/>
          <w:szCs w:val="28"/>
        </w:rPr>
        <w:t xml:space="preserve"> est: </w:t>
      </w:r>
      <w:r w:rsidR="00AA30DF">
        <w:rPr>
          <w:sz w:val="28"/>
          <w:szCs w:val="28"/>
        </w:rPr>
        <w:t>« </w:t>
      </w:r>
      <w:r w:rsidR="00AA30DF" w:rsidRPr="00AA30DF">
        <w:rPr>
          <w:sz w:val="28"/>
          <w:szCs w:val="28"/>
        </w:rPr>
        <w:t>une Guinée où toutes les populations sont en bonne santé, économiquement et socialement productives, bénéficiant d’un accès universel à des services et soins de santé de qualité avec leur pleine participation. »</w:t>
      </w:r>
      <w:r w:rsidR="00AA30DF">
        <w:rPr>
          <w:rFonts w:ascii="Times New Roman" w:hAnsi="Times New Roman"/>
          <w:lang w:val="fr-BE"/>
        </w:rPr>
        <w:t xml:space="preserve"> </w:t>
      </w:r>
      <w:r w:rsidR="00322029" w:rsidRPr="00D52E18">
        <w:rPr>
          <w:sz w:val="28"/>
          <w:szCs w:val="28"/>
        </w:rPr>
        <w:t xml:space="preserve">Aussi, le Ministère de la santé </w:t>
      </w:r>
      <w:r w:rsidR="00C0415B">
        <w:rPr>
          <w:sz w:val="28"/>
          <w:szCs w:val="28"/>
        </w:rPr>
        <w:t>rêve de</w:t>
      </w:r>
      <w:r w:rsidR="005919B9" w:rsidRPr="00D52E18">
        <w:rPr>
          <w:b/>
          <w:i/>
          <w:sz w:val="28"/>
          <w:szCs w:val="28"/>
        </w:rPr>
        <w:t xml:space="preserve"> ressources humaines</w:t>
      </w:r>
      <w:r w:rsidR="00C0415B">
        <w:rPr>
          <w:b/>
          <w:i/>
          <w:sz w:val="28"/>
          <w:szCs w:val="28"/>
        </w:rPr>
        <w:t xml:space="preserve"> </w:t>
      </w:r>
      <w:r w:rsidR="001D738E" w:rsidRPr="00D52E18">
        <w:rPr>
          <w:b/>
          <w:i/>
          <w:sz w:val="28"/>
          <w:szCs w:val="28"/>
        </w:rPr>
        <w:t>qui accomplissent</w:t>
      </w:r>
      <w:r w:rsidR="001D738E" w:rsidRPr="001D738E">
        <w:rPr>
          <w:b/>
          <w:i/>
          <w:sz w:val="28"/>
          <w:szCs w:val="28"/>
        </w:rPr>
        <w:t xml:space="preserve"> </w:t>
      </w:r>
      <w:r w:rsidR="001D738E">
        <w:rPr>
          <w:b/>
          <w:i/>
          <w:sz w:val="28"/>
          <w:szCs w:val="28"/>
        </w:rPr>
        <w:t xml:space="preserve">efficacement </w:t>
      </w:r>
      <w:r w:rsidR="001D738E" w:rsidRPr="00D52E18">
        <w:rPr>
          <w:b/>
          <w:i/>
          <w:sz w:val="28"/>
          <w:szCs w:val="28"/>
        </w:rPr>
        <w:t xml:space="preserve">toutes les fonctions du système de santé, </w:t>
      </w:r>
      <w:r w:rsidR="001D738E">
        <w:rPr>
          <w:b/>
          <w:i/>
          <w:sz w:val="28"/>
          <w:szCs w:val="28"/>
        </w:rPr>
        <w:t xml:space="preserve">individuellement et </w:t>
      </w:r>
      <w:r w:rsidR="001D738E" w:rsidRPr="00D52E18">
        <w:rPr>
          <w:b/>
          <w:i/>
          <w:sz w:val="28"/>
          <w:szCs w:val="28"/>
        </w:rPr>
        <w:t>collective</w:t>
      </w:r>
      <w:r w:rsidR="001D738E">
        <w:rPr>
          <w:b/>
          <w:i/>
          <w:sz w:val="28"/>
          <w:szCs w:val="28"/>
        </w:rPr>
        <w:t>ment</w:t>
      </w:r>
      <w:r w:rsidR="001D738E" w:rsidRPr="00D52E18">
        <w:rPr>
          <w:b/>
          <w:i/>
          <w:sz w:val="28"/>
          <w:szCs w:val="28"/>
        </w:rPr>
        <w:t xml:space="preserve">, </w:t>
      </w:r>
      <w:r w:rsidR="00231ED2" w:rsidRPr="00D52E18">
        <w:rPr>
          <w:b/>
          <w:i/>
          <w:sz w:val="28"/>
          <w:szCs w:val="28"/>
        </w:rPr>
        <w:t>de manière complémentaire</w:t>
      </w:r>
      <w:r w:rsidR="00231ED2">
        <w:rPr>
          <w:b/>
          <w:i/>
          <w:sz w:val="28"/>
          <w:szCs w:val="28"/>
        </w:rPr>
        <w:t xml:space="preserve"> et solidaire,</w:t>
      </w:r>
      <w:r w:rsidR="00231ED2" w:rsidRPr="00D52E18">
        <w:rPr>
          <w:b/>
          <w:i/>
          <w:sz w:val="28"/>
          <w:szCs w:val="28"/>
        </w:rPr>
        <w:t xml:space="preserve"> </w:t>
      </w:r>
      <w:r w:rsidR="001D738E">
        <w:rPr>
          <w:b/>
          <w:i/>
          <w:sz w:val="28"/>
          <w:szCs w:val="28"/>
        </w:rPr>
        <w:t>au moment</w:t>
      </w:r>
      <w:r w:rsidR="00C0415B">
        <w:rPr>
          <w:b/>
          <w:i/>
          <w:sz w:val="28"/>
          <w:szCs w:val="28"/>
        </w:rPr>
        <w:t xml:space="preserve"> et lieu</w:t>
      </w:r>
      <w:r w:rsidR="001D738E">
        <w:rPr>
          <w:b/>
          <w:i/>
          <w:sz w:val="28"/>
          <w:szCs w:val="28"/>
        </w:rPr>
        <w:t xml:space="preserve"> opportuns</w:t>
      </w:r>
      <w:r w:rsidR="00EA1927" w:rsidRPr="00D52E18">
        <w:rPr>
          <w:b/>
          <w:i/>
          <w:sz w:val="28"/>
          <w:szCs w:val="28"/>
        </w:rPr>
        <w:t xml:space="preserve"> </w:t>
      </w:r>
      <w:r w:rsidR="001D738E">
        <w:rPr>
          <w:b/>
          <w:i/>
          <w:sz w:val="28"/>
          <w:szCs w:val="28"/>
        </w:rPr>
        <w:t xml:space="preserve">et </w:t>
      </w:r>
      <w:r w:rsidR="00AA30DF">
        <w:rPr>
          <w:b/>
          <w:i/>
          <w:sz w:val="28"/>
          <w:szCs w:val="28"/>
        </w:rPr>
        <w:t>en partenariat avec les communautés</w:t>
      </w:r>
      <w:r w:rsidR="000F6A10" w:rsidRPr="00D52E18">
        <w:rPr>
          <w:b/>
          <w:i/>
          <w:sz w:val="28"/>
          <w:szCs w:val="28"/>
        </w:rPr>
        <w:t>.</w:t>
      </w:r>
    </w:p>
    <w:p w:rsidR="00346382" w:rsidRPr="00D52E18" w:rsidRDefault="00B94E34" w:rsidP="004D046C">
      <w:pPr>
        <w:pStyle w:val="Titre2"/>
        <w:numPr>
          <w:ilvl w:val="1"/>
          <w:numId w:val="5"/>
        </w:numPr>
        <w:spacing w:after="240"/>
        <w:ind w:left="1134" w:hanging="709"/>
        <w:rPr>
          <w:sz w:val="28"/>
          <w:szCs w:val="28"/>
        </w:rPr>
      </w:pPr>
      <w:r w:rsidRPr="00D52E18">
        <w:rPr>
          <w:sz w:val="28"/>
          <w:szCs w:val="28"/>
        </w:rPr>
        <w:t>Principes directeurs et valeurs de la politique</w:t>
      </w:r>
      <w:r w:rsidR="00E32588">
        <w:rPr>
          <w:sz w:val="28"/>
          <w:szCs w:val="28"/>
        </w:rPr>
        <w:t xml:space="preserve"> </w:t>
      </w:r>
    </w:p>
    <w:p w:rsidR="00764FD7" w:rsidRPr="00527877" w:rsidRDefault="00E32588"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sidRPr="00527877">
        <w:rPr>
          <w:rStyle w:val="hps"/>
          <w:rFonts w:eastAsiaTheme="majorEastAsia" w:cstheme="minorHAnsi"/>
          <w:color w:val="333333"/>
          <w:sz w:val="28"/>
        </w:rPr>
        <w:t>L’Efficience : L’atteinte d’un maximum des résultats devra correspondre à une utilisation rationnelle  des  ressources  humaines</w:t>
      </w:r>
      <w:r w:rsidR="00764FD7" w:rsidRPr="00527877">
        <w:rPr>
          <w:rStyle w:val="hps"/>
          <w:rFonts w:eastAsiaTheme="majorEastAsia" w:cstheme="minorHAnsi"/>
          <w:color w:val="333333"/>
          <w:sz w:val="28"/>
        </w:rPr>
        <w:t xml:space="preserve"> disponibles. </w:t>
      </w:r>
      <w:r w:rsidRPr="00527877">
        <w:rPr>
          <w:rStyle w:val="hps"/>
          <w:rFonts w:eastAsiaTheme="majorEastAsia" w:cstheme="minorHAnsi"/>
          <w:color w:val="333333"/>
          <w:sz w:val="28"/>
        </w:rPr>
        <w:t>Ceci sous-tend la promotion d</w:t>
      </w:r>
      <w:r w:rsidR="00764FD7" w:rsidRPr="00527877">
        <w:rPr>
          <w:rStyle w:val="hps"/>
          <w:rFonts w:eastAsiaTheme="majorEastAsia" w:cstheme="minorHAnsi"/>
          <w:color w:val="333333"/>
          <w:sz w:val="28"/>
        </w:rPr>
        <w:t xml:space="preserve">’une gestion </w:t>
      </w:r>
      <w:r w:rsidRPr="00527877">
        <w:rPr>
          <w:rStyle w:val="hps"/>
          <w:rFonts w:eastAsiaTheme="majorEastAsia" w:cstheme="minorHAnsi"/>
          <w:color w:val="333333"/>
          <w:sz w:val="28"/>
        </w:rPr>
        <w:t>fondée sur des preuves</w:t>
      </w:r>
      <w:r w:rsidR="0088543E">
        <w:rPr>
          <w:rStyle w:val="hps"/>
          <w:rFonts w:eastAsiaTheme="majorEastAsia" w:cstheme="minorHAnsi"/>
          <w:color w:val="333333"/>
          <w:sz w:val="28"/>
        </w:rPr>
        <w:t>.</w:t>
      </w:r>
      <w:r w:rsidR="00764FD7" w:rsidRPr="00527877">
        <w:rPr>
          <w:rStyle w:val="hps"/>
          <w:rFonts w:eastAsiaTheme="majorEastAsia" w:cstheme="minorHAnsi"/>
          <w:color w:val="333333"/>
          <w:sz w:val="28"/>
        </w:rPr>
        <w:t xml:space="preserve"> </w:t>
      </w:r>
    </w:p>
    <w:p w:rsidR="00E32588" w:rsidRPr="00527877" w:rsidRDefault="00E32588"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sidRPr="00527877">
        <w:rPr>
          <w:rStyle w:val="hps"/>
          <w:rFonts w:eastAsiaTheme="majorEastAsia" w:cstheme="minorHAnsi"/>
          <w:color w:val="333333"/>
          <w:sz w:val="28"/>
        </w:rPr>
        <w:t xml:space="preserve">Les Soins centrés sur les personnes et les services intégrés : Les </w:t>
      </w:r>
      <w:r w:rsidR="00764FD7" w:rsidRPr="00527877">
        <w:rPr>
          <w:rStyle w:val="hps"/>
          <w:rFonts w:eastAsiaTheme="majorEastAsia" w:cstheme="minorHAnsi"/>
          <w:color w:val="333333"/>
          <w:sz w:val="28"/>
        </w:rPr>
        <w:t xml:space="preserve">RHS offriront des prestations de </w:t>
      </w:r>
      <w:r w:rsidRPr="00527877">
        <w:rPr>
          <w:rStyle w:val="hps"/>
          <w:rFonts w:eastAsiaTheme="majorEastAsia" w:cstheme="minorHAnsi"/>
          <w:color w:val="333333"/>
          <w:sz w:val="28"/>
        </w:rPr>
        <w:t>soins</w:t>
      </w:r>
      <w:r w:rsidR="00764FD7" w:rsidRPr="00527877">
        <w:rPr>
          <w:rStyle w:val="hps"/>
          <w:rFonts w:eastAsiaTheme="majorEastAsia" w:cstheme="minorHAnsi"/>
          <w:color w:val="333333"/>
          <w:sz w:val="28"/>
        </w:rPr>
        <w:t xml:space="preserve"> et services</w:t>
      </w:r>
      <w:r w:rsidRPr="00527877">
        <w:rPr>
          <w:rStyle w:val="hps"/>
          <w:rFonts w:eastAsiaTheme="majorEastAsia" w:cstheme="minorHAnsi"/>
          <w:color w:val="333333"/>
          <w:sz w:val="28"/>
        </w:rPr>
        <w:t xml:space="preserve"> </w:t>
      </w:r>
      <w:r w:rsidR="00256769">
        <w:rPr>
          <w:rStyle w:val="hps"/>
          <w:rFonts w:eastAsiaTheme="majorEastAsia" w:cstheme="minorHAnsi"/>
          <w:color w:val="333333"/>
          <w:sz w:val="28"/>
        </w:rPr>
        <w:t>en lien avec les</w:t>
      </w:r>
      <w:r w:rsidRPr="00527877">
        <w:rPr>
          <w:rStyle w:val="hps"/>
          <w:rFonts w:eastAsiaTheme="majorEastAsia" w:cstheme="minorHAnsi"/>
          <w:color w:val="333333"/>
          <w:sz w:val="28"/>
        </w:rPr>
        <w:t xml:space="preserve"> besoins et attentes des personnes et des communautés plutôt que sur les maladies. Les réformes </w:t>
      </w:r>
      <w:r w:rsidR="00676B42" w:rsidRPr="00527877">
        <w:rPr>
          <w:rStyle w:val="hps"/>
          <w:rFonts w:eastAsiaTheme="majorEastAsia" w:cstheme="minorHAnsi"/>
          <w:color w:val="333333"/>
          <w:sz w:val="28"/>
        </w:rPr>
        <w:t xml:space="preserve">que cela implique amèneront les RHS à mieux collaborer avec les </w:t>
      </w:r>
      <w:r w:rsidRPr="00527877">
        <w:rPr>
          <w:rStyle w:val="hps"/>
          <w:rFonts w:eastAsiaTheme="majorEastAsia" w:cstheme="minorHAnsi"/>
          <w:color w:val="333333"/>
          <w:sz w:val="28"/>
        </w:rPr>
        <w:t xml:space="preserve">individus, </w:t>
      </w:r>
      <w:r w:rsidR="00676B42" w:rsidRPr="00527877">
        <w:rPr>
          <w:rStyle w:val="hps"/>
          <w:rFonts w:eastAsiaTheme="majorEastAsia" w:cstheme="minorHAnsi"/>
          <w:color w:val="333333"/>
          <w:sz w:val="28"/>
        </w:rPr>
        <w:t>l</w:t>
      </w:r>
      <w:r w:rsidRPr="00527877">
        <w:rPr>
          <w:rStyle w:val="hps"/>
          <w:rFonts w:eastAsiaTheme="majorEastAsia" w:cstheme="minorHAnsi"/>
          <w:color w:val="333333"/>
          <w:sz w:val="28"/>
        </w:rPr>
        <w:t xml:space="preserve">es familles, </w:t>
      </w:r>
      <w:r w:rsidR="00676B42" w:rsidRPr="00527877">
        <w:rPr>
          <w:rStyle w:val="hps"/>
          <w:rFonts w:eastAsiaTheme="majorEastAsia" w:cstheme="minorHAnsi"/>
          <w:color w:val="333333"/>
          <w:sz w:val="28"/>
        </w:rPr>
        <w:t xml:space="preserve">les communautés et </w:t>
      </w:r>
      <w:r w:rsidRPr="00527877">
        <w:rPr>
          <w:rStyle w:val="hps"/>
          <w:rFonts w:eastAsiaTheme="majorEastAsia" w:cstheme="minorHAnsi"/>
          <w:color w:val="333333"/>
          <w:sz w:val="28"/>
        </w:rPr>
        <w:t>la société civile</w:t>
      </w:r>
      <w:r w:rsidR="0088543E">
        <w:rPr>
          <w:rStyle w:val="hps"/>
          <w:rFonts w:eastAsiaTheme="majorEastAsia" w:cstheme="minorHAnsi"/>
          <w:color w:val="333333"/>
          <w:sz w:val="28"/>
        </w:rPr>
        <w:t>.</w:t>
      </w:r>
    </w:p>
    <w:p w:rsidR="00E32588" w:rsidRPr="00527877" w:rsidRDefault="00E32588"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sidRPr="00527877">
        <w:rPr>
          <w:rStyle w:val="hps"/>
          <w:rFonts w:eastAsiaTheme="majorEastAsia" w:cstheme="minorHAnsi"/>
          <w:color w:val="333333"/>
          <w:sz w:val="28"/>
        </w:rPr>
        <w:t xml:space="preserve">La Gestion axée sur les résultats : l’option prise de passer de la planification par objectifs à celle axée sur les résultats aura comme conséquence une meilleure articulation entre les </w:t>
      </w:r>
      <w:r w:rsidR="00676B42" w:rsidRPr="00527877">
        <w:rPr>
          <w:rStyle w:val="hps"/>
          <w:rFonts w:eastAsiaTheme="majorEastAsia" w:cstheme="minorHAnsi"/>
          <w:color w:val="333333"/>
          <w:sz w:val="28"/>
        </w:rPr>
        <w:t>RHS</w:t>
      </w:r>
      <w:r w:rsidRPr="00527877">
        <w:rPr>
          <w:rStyle w:val="hps"/>
          <w:rFonts w:eastAsiaTheme="majorEastAsia" w:cstheme="minorHAnsi"/>
          <w:color w:val="333333"/>
          <w:sz w:val="28"/>
        </w:rPr>
        <w:t xml:space="preserve">  et  les  performances  à  réaliser  avec  un  accent  particulier  sur  la redevabilité.</w:t>
      </w:r>
    </w:p>
    <w:p w:rsidR="00E32588" w:rsidRPr="00527877" w:rsidRDefault="00E32588"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sidRPr="00152DF0">
        <w:rPr>
          <w:szCs w:val="28"/>
        </w:rPr>
        <w:lastRenderedPageBreak/>
        <w:t>La</w:t>
      </w:r>
      <w:r w:rsidRPr="00527877">
        <w:rPr>
          <w:rStyle w:val="hps"/>
          <w:rFonts w:eastAsiaTheme="majorEastAsia" w:cstheme="minorHAnsi"/>
          <w:color w:val="333333"/>
          <w:sz w:val="28"/>
        </w:rPr>
        <w:t xml:space="preserve"> Décentralisation/déconcentration : </w:t>
      </w:r>
      <w:r w:rsidR="00275B00">
        <w:rPr>
          <w:rStyle w:val="hps"/>
          <w:rFonts w:eastAsiaTheme="majorEastAsia" w:cstheme="minorHAnsi"/>
          <w:color w:val="333333"/>
          <w:sz w:val="28"/>
        </w:rPr>
        <w:t xml:space="preserve">Le code des collectivités locales transfert </w:t>
      </w:r>
      <w:r w:rsidRPr="00527877">
        <w:rPr>
          <w:rStyle w:val="hps"/>
          <w:rFonts w:eastAsiaTheme="majorEastAsia" w:cstheme="minorHAnsi"/>
          <w:color w:val="333333"/>
          <w:sz w:val="28"/>
        </w:rPr>
        <w:t xml:space="preserve">les </w:t>
      </w:r>
      <w:r w:rsidR="00676B42" w:rsidRPr="00527877">
        <w:rPr>
          <w:rStyle w:val="hps"/>
          <w:rFonts w:eastAsiaTheme="majorEastAsia" w:cstheme="minorHAnsi"/>
          <w:color w:val="333333"/>
          <w:sz w:val="28"/>
        </w:rPr>
        <w:t xml:space="preserve">compétences dans le domaine de la santé </w:t>
      </w:r>
      <w:r w:rsidR="00275B00">
        <w:rPr>
          <w:rStyle w:val="hps"/>
          <w:rFonts w:eastAsiaTheme="majorEastAsia" w:cstheme="minorHAnsi"/>
          <w:color w:val="333333"/>
          <w:sz w:val="28"/>
        </w:rPr>
        <w:t>auxdites</w:t>
      </w:r>
      <w:r w:rsidR="00676B42" w:rsidRPr="00527877">
        <w:rPr>
          <w:rStyle w:val="hps"/>
          <w:rFonts w:eastAsiaTheme="majorEastAsia" w:cstheme="minorHAnsi"/>
          <w:color w:val="333333"/>
          <w:sz w:val="28"/>
        </w:rPr>
        <w:t xml:space="preserve"> </w:t>
      </w:r>
      <w:r w:rsidRPr="00527877">
        <w:rPr>
          <w:rStyle w:val="hps"/>
          <w:rFonts w:eastAsiaTheme="majorEastAsia" w:cstheme="minorHAnsi"/>
          <w:color w:val="333333"/>
          <w:sz w:val="28"/>
        </w:rPr>
        <w:t>collectivités locales</w:t>
      </w:r>
      <w:r w:rsidR="00676B42" w:rsidRPr="00527877">
        <w:rPr>
          <w:rStyle w:val="Appelnotedebasdep"/>
          <w:rFonts w:eastAsiaTheme="majorEastAsia"/>
          <w:color w:val="333333"/>
          <w:sz w:val="28"/>
        </w:rPr>
        <w:footnoteReference w:id="30"/>
      </w:r>
      <w:r w:rsidR="00275B00">
        <w:rPr>
          <w:rStyle w:val="hps"/>
          <w:rFonts w:eastAsiaTheme="majorEastAsia" w:cstheme="minorHAnsi"/>
          <w:color w:val="333333"/>
          <w:sz w:val="28"/>
        </w:rPr>
        <w:t>.</w:t>
      </w:r>
      <w:r w:rsidRPr="00527877">
        <w:rPr>
          <w:rStyle w:val="hps"/>
          <w:rFonts w:eastAsiaTheme="majorEastAsia" w:cstheme="minorHAnsi"/>
          <w:color w:val="333333"/>
          <w:sz w:val="28"/>
        </w:rPr>
        <w:t xml:space="preserve"> </w:t>
      </w:r>
      <w:r w:rsidR="00275B00">
        <w:rPr>
          <w:rStyle w:val="hps"/>
          <w:rFonts w:eastAsiaTheme="majorEastAsia" w:cstheme="minorHAnsi"/>
          <w:color w:val="333333"/>
          <w:sz w:val="28"/>
        </w:rPr>
        <w:t>Cette</w:t>
      </w:r>
      <w:r w:rsidRPr="00527877">
        <w:rPr>
          <w:rStyle w:val="hps"/>
          <w:rFonts w:eastAsiaTheme="majorEastAsia" w:cstheme="minorHAnsi"/>
          <w:color w:val="333333"/>
          <w:sz w:val="28"/>
        </w:rPr>
        <w:t xml:space="preserve"> option implique, pour son efficacité, </w:t>
      </w:r>
      <w:r w:rsidR="00905976" w:rsidRPr="00527877">
        <w:rPr>
          <w:rStyle w:val="hps"/>
          <w:rFonts w:eastAsiaTheme="majorEastAsia" w:cstheme="minorHAnsi"/>
          <w:color w:val="333333"/>
          <w:sz w:val="28"/>
        </w:rPr>
        <w:t>le transfert des ressources financières et matérielles, et le</w:t>
      </w:r>
      <w:r w:rsidR="00D27D22">
        <w:rPr>
          <w:rStyle w:val="hps"/>
          <w:rFonts w:eastAsiaTheme="majorEastAsia" w:cstheme="minorHAnsi"/>
          <w:color w:val="333333"/>
          <w:sz w:val="28"/>
        </w:rPr>
        <w:t xml:space="preserve"> renforcement de</w:t>
      </w:r>
      <w:r w:rsidR="00905976" w:rsidRPr="00527877">
        <w:rPr>
          <w:rStyle w:val="hps"/>
          <w:rFonts w:eastAsiaTheme="majorEastAsia" w:cstheme="minorHAnsi"/>
          <w:color w:val="333333"/>
          <w:sz w:val="28"/>
        </w:rPr>
        <w:t>s capacités techniques nécessaires pour recruter et gérer les RHS pour le système de santé local</w:t>
      </w:r>
      <w:r w:rsidR="00D27D22">
        <w:rPr>
          <w:rStyle w:val="hps"/>
          <w:rFonts w:eastAsiaTheme="majorEastAsia" w:cstheme="minorHAnsi"/>
          <w:color w:val="333333"/>
          <w:sz w:val="28"/>
        </w:rPr>
        <w:t xml:space="preserve"> (personnel des centres et postes de santé, agents de santé </w:t>
      </w:r>
      <w:r w:rsidR="00A16914">
        <w:rPr>
          <w:rStyle w:val="hps"/>
          <w:rFonts w:eastAsiaTheme="majorEastAsia" w:cstheme="minorHAnsi"/>
          <w:color w:val="333333"/>
          <w:sz w:val="28"/>
        </w:rPr>
        <w:t>et relais</w:t>
      </w:r>
      <w:r w:rsidR="00D27D22">
        <w:rPr>
          <w:rStyle w:val="hps"/>
          <w:rFonts w:eastAsiaTheme="majorEastAsia" w:cstheme="minorHAnsi"/>
          <w:color w:val="333333"/>
          <w:sz w:val="28"/>
        </w:rPr>
        <w:t xml:space="preserve"> communautaires)</w:t>
      </w:r>
      <w:r w:rsidRPr="00527877">
        <w:rPr>
          <w:rStyle w:val="hps"/>
          <w:rFonts w:eastAsiaTheme="majorEastAsia" w:cstheme="minorHAnsi"/>
          <w:color w:val="333333"/>
          <w:sz w:val="28"/>
        </w:rPr>
        <w:t>.</w:t>
      </w:r>
    </w:p>
    <w:p w:rsidR="00E32588" w:rsidRPr="00D27D22" w:rsidRDefault="00E32588"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sidRPr="00D27D22">
        <w:rPr>
          <w:rStyle w:val="hps"/>
          <w:rFonts w:eastAsiaTheme="majorEastAsia" w:cstheme="minorHAnsi"/>
          <w:color w:val="333333"/>
          <w:sz w:val="28"/>
        </w:rPr>
        <w:t xml:space="preserve">Le Partenariat: La dimension multisectorielle de la santé et </w:t>
      </w:r>
      <w:r w:rsidR="00905976" w:rsidRPr="00D27D22">
        <w:rPr>
          <w:rStyle w:val="hps"/>
          <w:rFonts w:eastAsiaTheme="majorEastAsia" w:cstheme="minorHAnsi"/>
          <w:color w:val="333333"/>
          <w:sz w:val="28"/>
        </w:rPr>
        <w:t xml:space="preserve">du développement des RHS </w:t>
      </w:r>
      <w:r w:rsidRPr="00D27D22">
        <w:rPr>
          <w:rStyle w:val="hps"/>
          <w:rFonts w:eastAsiaTheme="majorEastAsia" w:cstheme="minorHAnsi"/>
          <w:color w:val="333333"/>
          <w:sz w:val="28"/>
        </w:rPr>
        <w:t xml:space="preserve">commande </w:t>
      </w:r>
      <w:r w:rsidR="00D27D22" w:rsidRPr="00D27D22">
        <w:rPr>
          <w:rStyle w:val="hps"/>
          <w:rFonts w:eastAsiaTheme="majorEastAsia" w:cstheme="minorHAnsi"/>
          <w:color w:val="333333"/>
          <w:sz w:val="28"/>
        </w:rPr>
        <w:t xml:space="preserve">un engagement politique fort pour </w:t>
      </w:r>
      <w:r w:rsidRPr="00D27D22">
        <w:rPr>
          <w:rStyle w:val="hps"/>
          <w:rFonts w:eastAsiaTheme="majorEastAsia" w:cstheme="minorHAnsi"/>
          <w:color w:val="333333"/>
          <w:sz w:val="28"/>
        </w:rPr>
        <w:t xml:space="preserve">la mise en place de dispositifs de dialogue politique et </w:t>
      </w:r>
      <w:r w:rsidR="00905976" w:rsidRPr="00D27D22">
        <w:rPr>
          <w:rStyle w:val="hps"/>
          <w:rFonts w:eastAsiaTheme="majorEastAsia" w:cstheme="minorHAnsi"/>
          <w:color w:val="333333"/>
          <w:sz w:val="28"/>
        </w:rPr>
        <w:t xml:space="preserve">la </w:t>
      </w:r>
      <w:r w:rsidRPr="00D27D22">
        <w:rPr>
          <w:rStyle w:val="hps"/>
          <w:rFonts w:eastAsiaTheme="majorEastAsia" w:cstheme="minorHAnsi"/>
          <w:color w:val="333333"/>
          <w:sz w:val="28"/>
        </w:rPr>
        <w:t xml:space="preserve">formalisation de la collaboration </w:t>
      </w:r>
      <w:r w:rsidR="00D27D22" w:rsidRPr="00D27D22">
        <w:rPr>
          <w:rStyle w:val="hps"/>
          <w:rFonts w:eastAsiaTheme="majorEastAsia" w:cstheme="minorHAnsi"/>
          <w:color w:val="333333"/>
          <w:sz w:val="28"/>
        </w:rPr>
        <w:t>en vue de</w:t>
      </w:r>
      <w:r w:rsidRPr="00D27D22">
        <w:rPr>
          <w:rStyle w:val="hps"/>
          <w:rFonts w:eastAsiaTheme="majorEastAsia" w:cstheme="minorHAnsi"/>
          <w:color w:val="333333"/>
          <w:sz w:val="28"/>
        </w:rPr>
        <w:t xml:space="preserve"> </w:t>
      </w:r>
      <w:r w:rsidR="0088543E">
        <w:rPr>
          <w:rStyle w:val="hps"/>
          <w:rFonts w:eastAsiaTheme="majorEastAsia" w:cstheme="minorHAnsi"/>
          <w:color w:val="333333"/>
          <w:sz w:val="28"/>
        </w:rPr>
        <w:t xml:space="preserve">partager les </w:t>
      </w:r>
      <w:r w:rsidRPr="00D27D22">
        <w:rPr>
          <w:rStyle w:val="hps"/>
          <w:rFonts w:eastAsiaTheme="majorEastAsia" w:cstheme="minorHAnsi"/>
          <w:color w:val="333333"/>
          <w:sz w:val="28"/>
        </w:rPr>
        <w:t>responsabili</w:t>
      </w:r>
      <w:r w:rsidR="0088543E">
        <w:rPr>
          <w:rStyle w:val="hps"/>
          <w:rFonts w:eastAsiaTheme="majorEastAsia" w:cstheme="minorHAnsi"/>
          <w:color w:val="333333"/>
          <w:sz w:val="28"/>
        </w:rPr>
        <w:t>tés avec</w:t>
      </w:r>
      <w:r w:rsidRPr="00D27D22">
        <w:rPr>
          <w:rStyle w:val="hps"/>
          <w:rFonts w:eastAsiaTheme="majorEastAsia" w:cstheme="minorHAnsi"/>
          <w:color w:val="333333"/>
          <w:sz w:val="28"/>
        </w:rPr>
        <w:t xml:space="preserve"> l’ensemble des</w:t>
      </w:r>
      <w:r w:rsidR="0088543E">
        <w:rPr>
          <w:rStyle w:val="hps"/>
          <w:rFonts w:eastAsiaTheme="majorEastAsia" w:cstheme="minorHAnsi"/>
          <w:color w:val="333333"/>
          <w:sz w:val="28"/>
        </w:rPr>
        <w:t xml:space="preserve"> parties prenantes</w:t>
      </w:r>
      <w:r w:rsidRPr="00D27D22">
        <w:rPr>
          <w:rStyle w:val="hps"/>
          <w:rFonts w:eastAsiaTheme="majorEastAsia" w:cstheme="minorHAnsi"/>
          <w:color w:val="333333"/>
          <w:sz w:val="28"/>
        </w:rPr>
        <w:t>.</w:t>
      </w:r>
      <w:r w:rsidR="00D27D22" w:rsidRPr="00D27D22">
        <w:rPr>
          <w:rStyle w:val="hps"/>
          <w:rFonts w:eastAsiaTheme="majorEastAsia" w:cstheme="minorHAnsi"/>
          <w:color w:val="333333"/>
          <w:sz w:val="28"/>
        </w:rPr>
        <w:t xml:space="preserve"> </w:t>
      </w:r>
    </w:p>
    <w:p w:rsidR="00461CDB" w:rsidRPr="00527877" w:rsidRDefault="009F389D"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sidRPr="00527877">
        <w:rPr>
          <w:rStyle w:val="hps"/>
          <w:rFonts w:eastAsiaTheme="majorEastAsia" w:cstheme="minorHAnsi"/>
          <w:color w:val="333333"/>
          <w:sz w:val="28"/>
        </w:rPr>
        <w:t>L</w:t>
      </w:r>
      <w:r w:rsidR="000F6A10" w:rsidRPr="00527877">
        <w:rPr>
          <w:rStyle w:val="hps"/>
          <w:rFonts w:eastAsiaTheme="majorEastAsia" w:cstheme="minorHAnsi"/>
          <w:color w:val="333333"/>
          <w:sz w:val="28"/>
        </w:rPr>
        <w:t>’intégration : l</w:t>
      </w:r>
      <w:r w:rsidRPr="00527877">
        <w:rPr>
          <w:rStyle w:val="hps"/>
          <w:rFonts w:eastAsiaTheme="majorEastAsia" w:cstheme="minorHAnsi"/>
          <w:color w:val="333333"/>
          <w:sz w:val="28"/>
        </w:rPr>
        <w:t xml:space="preserve">e processus du développement des ressources humaines pour la santé </w:t>
      </w:r>
      <w:r w:rsidR="000F6A10" w:rsidRPr="00527877">
        <w:rPr>
          <w:rStyle w:val="hps"/>
          <w:rFonts w:eastAsiaTheme="majorEastAsia" w:cstheme="minorHAnsi"/>
          <w:color w:val="333333"/>
          <w:sz w:val="28"/>
        </w:rPr>
        <w:t>(RHS) fait partie</w:t>
      </w:r>
      <w:r w:rsidRPr="00527877">
        <w:rPr>
          <w:rStyle w:val="hps"/>
          <w:rFonts w:eastAsiaTheme="majorEastAsia" w:cstheme="minorHAnsi"/>
          <w:color w:val="333333"/>
          <w:sz w:val="28"/>
        </w:rPr>
        <w:t xml:space="preserve"> </w:t>
      </w:r>
      <w:r w:rsidR="00E32588" w:rsidRPr="00527877">
        <w:rPr>
          <w:rStyle w:val="hps"/>
          <w:rFonts w:eastAsiaTheme="majorEastAsia" w:cstheme="minorHAnsi"/>
          <w:color w:val="333333"/>
          <w:sz w:val="28"/>
        </w:rPr>
        <w:t xml:space="preserve">du </w:t>
      </w:r>
      <w:r w:rsidRPr="00527877">
        <w:rPr>
          <w:rStyle w:val="hps"/>
          <w:rFonts w:eastAsiaTheme="majorEastAsia" w:cstheme="minorHAnsi"/>
          <w:color w:val="333333"/>
          <w:sz w:val="28"/>
        </w:rPr>
        <w:t xml:space="preserve">processus global de développement du système de santé.  </w:t>
      </w:r>
      <w:r w:rsidR="009E4108" w:rsidRPr="00527877">
        <w:rPr>
          <w:rStyle w:val="hps"/>
          <w:rFonts w:eastAsiaTheme="majorEastAsia" w:cstheme="minorHAnsi"/>
          <w:color w:val="333333"/>
          <w:sz w:val="28"/>
        </w:rPr>
        <w:t>Il en est une composante et, de ce fait, i</w:t>
      </w:r>
      <w:r w:rsidRPr="00527877">
        <w:rPr>
          <w:rStyle w:val="hps"/>
          <w:rFonts w:eastAsiaTheme="majorEastAsia" w:cstheme="minorHAnsi"/>
          <w:color w:val="333333"/>
          <w:sz w:val="28"/>
        </w:rPr>
        <w:t>l ne peut pas en être séparé</w:t>
      </w:r>
      <w:r w:rsidR="000F6A10" w:rsidRPr="00527877">
        <w:rPr>
          <w:rStyle w:val="hps"/>
          <w:rFonts w:eastAsiaTheme="majorEastAsia" w:cstheme="minorHAnsi"/>
          <w:color w:val="333333"/>
          <w:sz w:val="28"/>
        </w:rPr>
        <w:t>.</w:t>
      </w:r>
    </w:p>
    <w:p w:rsidR="00EE6845" w:rsidRPr="00527877" w:rsidRDefault="005919B9"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sidRPr="00152DF0">
        <w:rPr>
          <w:szCs w:val="28"/>
        </w:rPr>
        <w:t>La</w:t>
      </w:r>
      <w:r w:rsidRPr="00527877">
        <w:rPr>
          <w:rStyle w:val="hps"/>
          <w:rFonts w:eastAsiaTheme="majorEastAsia" w:cstheme="minorHAnsi"/>
          <w:color w:val="333333"/>
          <w:sz w:val="28"/>
        </w:rPr>
        <w:t xml:space="preserve"> p</w:t>
      </w:r>
      <w:r w:rsidR="000F6A10" w:rsidRPr="00527877">
        <w:rPr>
          <w:rStyle w:val="hps"/>
          <w:rFonts w:eastAsiaTheme="majorEastAsia" w:cstheme="minorHAnsi"/>
          <w:color w:val="333333"/>
          <w:sz w:val="28"/>
        </w:rPr>
        <w:t xml:space="preserve">ertinence : </w:t>
      </w:r>
      <w:r w:rsidR="00EE6845" w:rsidRPr="00527877">
        <w:rPr>
          <w:rStyle w:val="hps"/>
          <w:rFonts w:eastAsiaTheme="majorEastAsia" w:cstheme="minorHAnsi"/>
          <w:color w:val="333333"/>
          <w:sz w:val="28"/>
        </w:rPr>
        <w:t>Chaque corps professionnel</w:t>
      </w:r>
      <w:r w:rsidR="000F6A10" w:rsidRPr="00527877">
        <w:rPr>
          <w:rStyle w:val="hps"/>
          <w:rFonts w:eastAsiaTheme="majorEastAsia" w:cstheme="minorHAnsi"/>
          <w:color w:val="333333"/>
          <w:sz w:val="28"/>
        </w:rPr>
        <w:t xml:space="preserve"> </w:t>
      </w:r>
      <w:r w:rsidR="00EE6845" w:rsidRPr="00527877">
        <w:rPr>
          <w:rStyle w:val="hps"/>
          <w:rFonts w:eastAsiaTheme="majorEastAsia" w:cstheme="minorHAnsi"/>
          <w:color w:val="333333"/>
          <w:sz w:val="28"/>
        </w:rPr>
        <w:t>d</w:t>
      </w:r>
      <w:r w:rsidR="000F6A10" w:rsidRPr="00527877">
        <w:rPr>
          <w:rStyle w:val="hps"/>
          <w:rFonts w:eastAsiaTheme="majorEastAsia" w:cstheme="minorHAnsi"/>
          <w:color w:val="333333"/>
          <w:sz w:val="28"/>
        </w:rPr>
        <w:t xml:space="preserve">es RHS doit répondre à un besoin </w:t>
      </w:r>
      <w:r w:rsidR="00E673E9" w:rsidRPr="00527877">
        <w:rPr>
          <w:rStyle w:val="hps"/>
          <w:rFonts w:eastAsiaTheme="majorEastAsia" w:cstheme="minorHAnsi"/>
          <w:color w:val="333333"/>
          <w:sz w:val="28"/>
        </w:rPr>
        <w:t xml:space="preserve">clair </w:t>
      </w:r>
      <w:r w:rsidR="000F6A10" w:rsidRPr="00527877">
        <w:rPr>
          <w:rStyle w:val="hps"/>
          <w:rFonts w:eastAsiaTheme="majorEastAsia" w:cstheme="minorHAnsi"/>
          <w:color w:val="333333"/>
          <w:sz w:val="28"/>
        </w:rPr>
        <w:t>dans une des fonction</w:t>
      </w:r>
      <w:r w:rsidR="00E673E9" w:rsidRPr="00527877">
        <w:rPr>
          <w:rStyle w:val="hps"/>
          <w:rFonts w:eastAsiaTheme="majorEastAsia" w:cstheme="minorHAnsi"/>
          <w:color w:val="333333"/>
          <w:sz w:val="28"/>
        </w:rPr>
        <w:t>s</w:t>
      </w:r>
      <w:r w:rsidR="00E673E9" w:rsidRPr="00527877">
        <w:rPr>
          <w:rStyle w:val="hps"/>
          <w:rFonts w:eastAsiaTheme="majorEastAsia" w:cstheme="minorHAnsi"/>
          <w:color w:val="333333"/>
          <w:sz w:val="28"/>
          <w:vertAlign w:val="superscript"/>
        </w:rPr>
        <w:footnoteReference w:id="31"/>
      </w:r>
      <w:r w:rsidR="000F6A10" w:rsidRPr="00527877">
        <w:rPr>
          <w:rStyle w:val="hps"/>
          <w:rFonts w:eastAsiaTheme="majorEastAsia" w:cstheme="minorHAnsi"/>
          <w:color w:val="333333"/>
          <w:sz w:val="28"/>
        </w:rPr>
        <w:t xml:space="preserve"> du système de santé, en lien avec </w:t>
      </w:r>
      <w:r w:rsidR="00D4241C">
        <w:rPr>
          <w:rStyle w:val="hps"/>
          <w:rFonts w:eastAsiaTheme="majorEastAsia" w:cstheme="minorHAnsi"/>
          <w:color w:val="333333"/>
          <w:sz w:val="28"/>
        </w:rPr>
        <w:t>la</w:t>
      </w:r>
      <w:r w:rsidR="000F6A10" w:rsidRPr="00527877">
        <w:rPr>
          <w:rStyle w:val="hps"/>
          <w:rFonts w:eastAsiaTheme="majorEastAsia" w:cstheme="minorHAnsi"/>
          <w:color w:val="333333"/>
          <w:sz w:val="28"/>
        </w:rPr>
        <w:t xml:space="preserve"> santé de la population. </w:t>
      </w:r>
      <w:r w:rsidR="009E4108" w:rsidRPr="00527877">
        <w:rPr>
          <w:rStyle w:val="hps"/>
          <w:rFonts w:eastAsiaTheme="majorEastAsia" w:cstheme="minorHAnsi"/>
          <w:color w:val="333333"/>
          <w:sz w:val="28"/>
        </w:rPr>
        <w:t>Il</w:t>
      </w:r>
      <w:r w:rsidR="009F389D" w:rsidRPr="00527877">
        <w:rPr>
          <w:rStyle w:val="hps"/>
          <w:rFonts w:eastAsiaTheme="majorEastAsia" w:cstheme="minorHAnsi"/>
          <w:color w:val="333333"/>
          <w:sz w:val="28"/>
        </w:rPr>
        <w:t xml:space="preserve"> doit </w:t>
      </w:r>
      <w:r w:rsidR="002F2D28" w:rsidRPr="00527877">
        <w:rPr>
          <w:rStyle w:val="hps"/>
          <w:rFonts w:eastAsiaTheme="majorEastAsia" w:cstheme="minorHAnsi"/>
          <w:color w:val="333333"/>
          <w:sz w:val="28"/>
        </w:rPr>
        <w:t>contribuer à</w:t>
      </w:r>
      <w:r w:rsidR="00BF2E79" w:rsidRPr="00527877">
        <w:rPr>
          <w:rStyle w:val="hps"/>
          <w:rFonts w:eastAsiaTheme="majorEastAsia" w:cstheme="minorHAnsi"/>
          <w:color w:val="333333"/>
          <w:sz w:val="28"/>
        </w:rPr>
        <w:t xml:space="preserve">  </w:t>
      </w:r>
      <w:r w:rsidR="002F2D28" w:rsidRPr="00527877">
        <w:rPr>
          <w:rStyle w:val="hps"/>
          <w:rFonts w:eastAsiaTheme="majorEastAsia" w:cstheme="minorHAnsi"/>
          <w:color w:val="333333"/>
          <w:sz w:val="28"/>
        </w:rPr>
        <w:t>l’</w:t>
      </w:r>
      <w:r w:rsidR="00BF2E79" w:rsidRPr="00527877">
        <w:rPr>
          <w:rStyle w:val="hps"/>
          <w:rFonts w:eastAsiaTheme="majorEastAsia" w:cstheme="minorHAnsi"/>
          <w:color w:val="333333"/>
          <w:sz w:val="28"/>
        </w:rPr>
        <w:t>offre des prestations</w:t>
      </w:r>
      <w:r w:rsidR="00D4241C">
        <w:rPr>
          <w:rStyle w:val="hps"/>
          <w:rFonts w:eastAsiaTheme="majorEastAsia" w:cstheme="minorHAnsi"/>
          <w:color w:val="333333"/>
          <w:sz w:val="28"/>
        </w:rPr>
        <w:t xml:space="preserve"> de soins et services de santé. </w:t>
      </w:r>
      <w:r w:rsidR="00EE6845" w:rsidRPr="00527877">
        <w:rPr>
          <w:rStyle w:val="hps"/>
          <w:rFonts w:eastAsiaTheme="majorEastAsia" w:cstheme="minorHAnsi"/>
          <w:color w:val="333333"/>
          <w:sz w:val="28"/>
        </w:rPr>
        <w:t>A cet effet, le gouvernement ambitionne faire de la gestion et du développement des RHS, le principal moteur de la prestation des services de santé.</w:t>
      </w:r>
    </w:p>
    <w:p w:rsidR="007A4DDC" w:rsidRPr="00527877" w:rsidRDefault="005919B9"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sidRPr="00527877">
        <w:rPr>
          <w:rStyle w:val="hps"/>
          <w:rFonts w:eastAsiaTheme="majorEastAsia" w:cstheme="minorHAnsi"/>
          <w:color w:val="333333"/>
          <w:sz w:val="28"/>
        </w:rPr>
        <w:t>L’équité :</w:t>
      </w:r>
      <w:r w:rsidR="00EE6845" w:rsidRPr="00527877">
        <w:rPr>
          <w:rStyle w:val="hps"/>
          <w:rFonts w:eastAsiaTheme="majorEastAsia" w:cstheme="minorHAnsi"/>
          <w:color w:val="333333"/>
          <w:sz w:val="28"/>
        </w:rPr>
        <w:t xml:space="preserve"> Les efforts seront fournis pour </w:t>
      </w:r>
      <w:r w:rsidR="00BF2249" w:rsidRPr="00527877">
        <w:rPr>
          <w:rStyle w:val="hps"/>
          <w:rFonts w:eastAsiaTheme="majorEastAsia" w:cstheme="minorHAnsi"/>
          <w:color w:val="333333"/>
          <w:sz w:val="28"/>
        </w:rPr>
        <w:t xml:space="preserve">que </w:t>
      </w:r>
      <w:r w:rsidR="00EE6845" w:rsidRPr="00527877">
        <w:rPr>
          <w:rStyle w:val="hps"/>
          <w:rFonts w:eastAsiaTheme="majorEastAsia" w:cstheme="minorHAnsi"/>
          <w:color w:val="333333"/>
          <w:sz w:val="28"/>
        </w:rPr>
        <w:t xml:space="preserve">les RHS soient distribuées de manière que tout habitant de la Guinée accède </w:t>
      </w:r>
      <w:r w:rsidR="009E4108" w:rsidRPr="00527877">
        <w:rPr>
          <w:rStyle w:val="hps"/>
          <w:rFonts w:eastAsiaTheme="majorEastAsia" w:cstheme="minorHAnsi"/>
          <w:color w:val="333333"/>
          <w:sz w:val="28"/>
        </w:rPr>
        <w:t xml:space="preserve">aisément </w:t>
      </w:r>
      <w:r w:rsidR="00EE6845" w:rsidRPr="00527877">
        <w:rPr>
          <w:rStyle w:val="hps"/>
          <w:rFonts w:eastAsiaTheme="majorEastAsia" w:cstheme="minorHAnsi"/>
          <w:color w:val="333333"/>
          <w:sz w:val="28"/>
        </w:rPr>
        <w:t>aux services de santé dont il a besoin</w:t>
      </w:r>
      <w:r w:rsidR="00E43D72">
        <w:rPr>
          <w:rStyle w:val="hps"/>
          <w:rFonts w:eastAsiaTheme="majorEastAsia" w:cstheme="minorHAnsi"/>
          <w:color w:val="333333"/>
          <w:sz w:val="28"/>
        </w:rPr>
        <w:t>, o</w:t>
      </w:r>
      <w:r w:rsidR="00E51187">
        <w:rPr>
          <w:rStyle w:val="hps"/>
          <w:rFonts w:eastAsiaTheme="majorEastAsia" w:cstheme="minorHAnsi"/>
          <w:color w:val="333333"/>
          <w:sz w:val="28"/>
        </w:rPr>
        <w:t>ù qu’il habite</w:t>
      </w:r>
      <w:r w:rsidR="009E4108" w:rsidRPr="00527877">
        <w:rPr>
          <w:rStyle w:val="hps"/>
          <w:rFonts w:eastAsiaTheme="majorEastAsia" w:cstheme="minorHAnsi"/>
          <w:color w:val="333333"/>
          <w:sz w:val="28"/>
        </w:rPr>
        <w:t>.</w:t>
      </w:r>
      <w:r w:rsidR="007A4DDC" w:rsidRPr="00527877">
        <w:rPr>
          <w:rStyle w:val="hps"/>
          <w:rFonts w:eastAsiaTheme="majorEastAsia" w:cstheme="minorHAnsi"/>
          <w:color w:val="333333"/>
          <w:sz w:val="28"/>
        </w:rPr>
        <w:t xml:space="preserve"> Les opportunités de formation </w:t>
      </w:r>
      <w:r w:rsidR="00E43D72">
        <w:rPr>
          <w:rStyle w:val="hps"/>
          <w:rFonts w:eastAsiaTheme="majorEastAsia" w:cstheme="minorHAnsi"/>
          <w:color w:val="333333"/>
          <w:sz w:val="28"/>
        </w:rPr>
        <w:t xml:space="preserve">et de nomination aux postes de responsabilité </w:t>
      </w:r>
      <w:r w:rsidR="00D4241C" w:rsidRPr="00527877">
        <w:rPr>
          <w:rStyle w:val="hps"/>
          <w:rFonts w:eastAsiaTheme="majorEastAsia" w:cstheme="minorHAnsi"/>
          <w:color w:val="333333"/>
          <w:sz w:val="28"/>
        </w:rPr>
        <w:t xml:space="preserve">et les conditions de participation explicites </w:t>
      </w:r>
      <w:r w:rsidR="007A4DDC" w:rsidRPr="00527877">
        <w:rPr>
          <w:rStyle w:val="hps"/>
          <w:rFonts w:eastAsiaTheme="majorEastAsia" w:cstheme="minorHAnsi"/>
          <w:color w:val="333333"/>
          <w:sz w:val="28"/>
        </w:rPr>
        <w:t>doivent être portées à la connaissance des potentiels bénéficiaires.</w:t>
      </w:r>
    </w:p>
    <w:p w:rsidR="005919B9" w:rsidRPr="00527877" w:rsidRDefault="005919B9"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sidRPr="00527877">
        <w:rPr>
          <w:rStyle w:val="hps"/>
          <w:rFonts w:eastAsiaTheme="majorEastAsia" w:cstheme="minorHAnsi"/>
          <w:color w:val="333333"/>
          <w:sz w:val="28"/>
        </w:rPr>
        <w:t xml:space="preserve">Le genre : </w:t>
      </w:r>
      <w:r w:rsidR="009E4108" w:rsidRPr="00527877">
        <w:rPr>
          <w:rStyle w:val="hps"/>
          <w:rFonts w:eastAsiaTheme="majorEastAsia" w:cstheme="minorHAnsi"/>
          <w:color w:val="333333"/>
          <w:sz w:val="28"/>
        </w:rPr>
        <w:t>la parité des sexes sera systématiquement recherchée pendant le recrutement et la nomination aux postes de responsabilité</w:t>
      </w:r>
      <w:r w:rsidR="004E38A4">
        <w:rPr>
          <w:rStyle w:val="hps"/>
          <w:rFonts w:eastAsiaTheme="majorEastAsia" w:cstheme="minorHAnsi"/>
          <w:color w:val="333333"/>
          <w:sz w:val="28"/>
        </w:rPr>
        <w:t>.</w:t>
      </w:r>
    </w:p>
    <w:p w:rsidR="007A4DDC" w:rsidRPr="00527877" w:rsidRDefault="007A4DDC"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sidRPr="00527877">
        <w:rPr>
          <w:rStyle w:val="hps"/>
          <w:rFonts w:eastAsiaTheme="majorEastAsia" w:cstheme="minorHAnsi"/>
          <w:color w:val="333333"/>
          <w:sz w:val="28"/>
        </w:rPr>
        <w:t>Le respect de l’éthique et de la déontologie professionnelle.</w:t>
      </w:r>
    </w:p>
    <w:p w:rsidR="00E43D72" w:rsidRPr="00E43D72" w:rsidRDefault="00E43D72" w:rsidP="004D046C">
      <w:pPr>
        <w:pStyle w:val="Paragraphedeliste"/>
        <w:numPr>
          <w:ilvl w:val="0"/>
          <w:numId w:val="7"/>
        </w:numPr>
        <w:spacing w:after="0" w:line="240" w:lineRule="auto"/>
        <w:ind w:left="851" w:hanging="425"/>
        <w:jc w:val="both"/>
        <w:rPr>
          <w:rStyle w:val="hps"/>
          <w:rFonts w:eastAsiaTheme="majorEastAsia" w:cstheme="minorHAnsi"/>
          <w:color w:val="333333"/>
          <w:sz w:val="28"/>
        </w:rPr>
      </w:pPr>
      <w:r>
        <w:rPr>
          <w:rStyle w:val="hps"/>
          <w:rFonts w:eastAsiaTheme="majorEastAsia" w:cstheme="minorHAnsi"/>
          <w:color w:val="333333"/>
          <w:sz w:val="28"/>
        </w:rPr>
        <w:t>Le respect d</w:t>
      </w:r>
      <w:r w:rsidRPr="00E43D72">
        <w:rPr>
          <w:rStyle w:val="hps"/>
          <w:rFonts w:eastAsiaTheme="majorEastAsia" w:cstheme="minorHAnsi"/>
          <w:color w:val="333333"/>
          <w:sz w:val="28"/>
        </w:rPr>
        <w:t>es droits individuels et professionnels de tous le</w:t>
      </w:r>
      <w:r>
        <w:rPr>
          <w:rStyle w:val="hps"/>
          <w:rFonts w:eastAsiaTheme="majorEastAsia" w:cstheme="minorHAnsi"/>
          <w:color w:val="333333"/>
          <w:sz w:val="28"/>
        </w:rPr>
        <w:t xml:space="preserve"> personnel</w:t>
      </w:r>
      <w:r w:rsidRPr="00E43D72">
        <w:rPr>
          <w:rStyle w:val="hps"/>
          <w:rFonts w:eastAsiaTheme="majorEastAsia" w:cstheme="minorHAnsi"/>
          <w:color w:val="333333"/>
          <w:sz w:val="28"/>
        </w:rPr>
        <w:t xml:space="preserve">, notamment le droit à un environnement de travail décent et sûr, </w:t>
      </w:r>
      <w:r>
        <w:rPr>
          <w:rStyle w:val="hps"/>
          <w:rFonts w:eastAsiaTheme="majorEastAsia" w:cstheme="minorHAnsi"/>
          <w:color w:val="333333"/>
          <w:sz w:val="28"/>
        </w:rPr>
        <w:t>à la formation, sans</w:t>
      </w:r>
      <w:r w:rsidRPr="00E43D72">
        <w:rPr>
          <w:rStyle w:val="hps"/>
          <w:rFonts w:eastAsiaTheme="majorEastAsia" w:cstheme="minorHAnsi"/>
          <w:color w:val="333333"/>
          <w:sz w:val="28"/>
        </w:rPr>
        <w:t xml:space="preserve"> discrimination</w:t>
      </w:r>
      <w:r>
        <w:rPr>
          <w:rStyle w:val="hps"/>
          <w:rFonts w:eastAsiaTheme="majorEastAsia" w:cstheme="minorHAnsi"/>
          <w:color w:val="333333"/>
          <w:sz w:val="28"/>
        </w:rPr>
        <w:t xml:space="preserve"> ni</w:t>
      </w:r>
      <w:r w:rsidRPr="00E43D72">
        <w:rPr>
          <w:rStyle w:val="hps"/>
          <w:rFonts w:eastAsiaTheme="majorEastAsia" w:cstheme="minorHAnsi"/>
          <w:color w:val="333333"/>
          <w:sz w:val="28"/>
        </w:rPr>
        <w:t xml:space="preserve"> coercition. </w:t>
      </w:r>
    </w:p>
    <w:p w:rsidR="001666DC" w:rsidRPr="00D52E18" w:rsidRDefault="005302A3" w:rsidP="004D046C">
      <w:pPr>
        <w:pStyle w:val="Titre2"/>
        <w:numPr>
          <w:ilvl w:val="1"/>
          <w:numId w:val="5"/>
        </w:numPr>
        <w:spacing w:after="240"/>
        <w:ind w:left="1134" w:hanging="709"/>
        <w:rPr>
          <w:sz w:val="28"/>
          <w:szCs w:val="28"/>
        </w:rPr>
      </w:pPr>
      <w:r w:rsidRPr="00D52E18">
        <w:rPr>
          <w:sz w:val="28"/>
          <w:szCs w:val="28"/>
        </w:rPr>
        <w:lastRenderedPageBreak/>
        <w:t>O</w:t>
      </w:r>
      <w:r w:rsidR="00B94E34" w:rsidRPr="00D52E18">
        <w:rPr>
          <w:sz w:val="28"/>
          <w:szCs w:val="28"/>
        </w:rPr>
        <w:t>bjectifs</w:t>
      </w:r>
    </w:p>
    <w:p w:rsidR="000654C0" w:rsidRPr="00D52E18" w:rsidRDefault="000654C0" w:rsidP="004D046C">
      <w:pPr>
        <w:pStyle w:val="Titre2"/>
        <w:numPr>
          <w:ilvl w:val="2"/>
          <w:numId w:val="5"/>
        </w:numPr>
        <w:spacing w:after="120"/>
        <w:ind w:left="1985" w:hanging="851"/>
        <w:rPr>
          <w:sz w:val="28"/>
          <w:szCs w:val="28"/>
        </w:rPr>
      </w:pPr>
      <w:r w:rsidRPr="00D52E18">
        <w:rPr>
          <w:sz w:val="28"/>
          <w:szCs w:val="28"/>
        </w:rPr>
        <w:t>Objectif général</w:t>
      </w:r>
    </w:p>
    <w:p w:rsidR="000654C0" w:rsidRDefault="000654C0" w:rsidP="000654C0">
      <w:pPr>
        <w:jc w:val="both"/>
        <w:rPr>
          <w:sz w:val="28"/>
          <w:szCs w:val="28"/>
        </w:rPr>
      </w:pPr>
      <w:r w:rsidRPr="00D52E18">
        <w:rPr>
          <w:sz w:val="28"/>
          <w:szCs w:val="28"/>
        </w:rPr>
        <w:t xml:space="preserve">Garantir la disponibilité en quantité et en qualité </w:t>
      </w:r>
      <w:r w:rsidR="00930A1E">
        <w:rPr>
          <w:sz w:val="28"/>
          <w:szCs w:val="28"/>
        </w:rPr>
        <w:t>adéqua</w:t>
      </w:r>
      <w:r w:rsidRPr="00D52E18">
        <w:rPr>
          <w:sz w:val="28"/>
          <w:szCs w:val="28"/>
        </w:rPr>
        <w:t xml:space="preserve">tes, à tous les </w:t>
      </w:r>
      <w:r w:rsidR="00930A1E">
        <w:rPr>
          <w:sz w:val="28"/>
          <w:szCs w:val="28"/>
        </w:rPr>
        <w:t>postes</w:t>
      </w:r>
      <w:r w:rsidRPr="00D52E18">
        <w:rPr>
          <w:sz w:val="28"/>
          <w:szCs w:val="28"/>
        </w:rPr>
        <w:t xml:space="preserve"> professionnels</w:t>
      </w:r>
      <w:r w:rsidRPr="00D52E18">
        <w:rPr>
          <w:spacing w:val="-13"/>
          <w:sz w:val="28"/>
          <w:szCs w:val="28"/>
        </w:rPr>
        <w:t xml:space="preserve"> </w:t>
      </w:r>
      <w:r w:rsidRPr="00D52E18">
        <w:rPr>
          <w:sz w:val="28"/>
          <w:szCs w:val="28"/>
        </w:rPr>
        <w:t>et</w:t>
      </w:r>
      <w:r w:rsidRPr="00D52E18">
        <w:rPr>
          <w:spacing w:val="-14"/>
          <w:sz w:val="28"/>
          <w:szCs w:val="28"/>
        </w:rPr>
        <w:t xml:space="preserve"> </w:t>
      </w:r>
      <w:r w:rsidRPr="00D52E18">
        <w:rPr>
          <w:sz w:val="28"/>
          <w:szCs w:val="28"/>
        </w:rPr>
        <w:t>techniques,</w:t>
      </w:r>
      <w:r w:rsidRPr="00D52E18">
        <w:rPr>
          <w:spacing w:val="-15"/>
          <w:sz w:val="28"/>
          <w:szCs w:val="28"/>
        </w:rPr>
        <w:t xml:space="preserve"> </w:t>
      </w:r>
      <w:r w:rsidR="00BF07D9">
        <w:rPr>
          <w:sz w:val="28"/>
          <w:szCs w:val="28"/>
        </w:rPr>
        <w:t>au</w:t>
      </w:r>
      <w:r w:rsidRPr="00D52E18">
        <w:rPr>
          <w:spacing w:val="-12"/>
          <w:sz w:val="28"/>
          <w:szCs w:val="28"/>
        </w:rPr>
        <w:t xml:space="preserve"> </w:t>
      </w:r>
      <w:r w:rsidRPr="00D52E18">
        <w:rPr>
          <w:sz w:val="28"/>
          <w:szCs w:val="28"/>
        </w:rPr>
        <w:t>moment</w:t>
      </w:r>
      <w:r w:rsidRPr="00D52E18">
        <w:rPr>
          <w:spacing w:val="-12"/>
          <w:sz w:val="28"/>
          <w:szCs w:val="28"/>
        </w:rPr>
        <w:t xml:space="preserve"> </w:t>
      </w:r>
      <w:r w:rsidRPr="00D52E18">
        <w:rPr>
          <w:sz w:val="28"/>
          <w:szCs w:val="28"/>
        </w:rPr>
        <w:t>opportun,</w:t>
      </w:r>
      <w:r w:rsidRPr="00D52E18">
        <w:rPr>
          <w:spacing w:val="43"/>
          <w:sz w:val="28"/>
          <w:szCs w:val="28"/>
        </w:rPr>
        <w:t xml:space="preserve"> </w:t>
      </w:r>
      <w:r w:rsidRPr="00D52E18">
        <w:rPr>
          <w:sz w:val="28"/>
          <w:szCs w:val="28"/>
        </w:rPr>
        <w:t>de</w:t>
      </w:r>
      <w:r w:rsidRPr="00D52E18">
        <w:rPr>
          <w:spacing w:val="-16"/>
          <w:sz w:val="28"/>
          <w:szCs w:val="28"/>
        </w:rPr>
        <w:t xml:space="preserve"> </w:t>
      </w:r>
      <w:r w:rsidRPr="00D52E18">
        <w:rPr>
          <w:sz w:val="28"/>
          <w:szCs w:val="28"/>
        </w:rPr>
        <w:t>travailleurs de</w:t>
      </w:r>
      <w:r w:rsidRPr="00D52E18">
        <w:rPr>
          <w:spacing w:val="-8"/>
          <w:sz w:val="28"/>
          <w:szCs w:val="28"/>
        </w:rPr>
        <w:t xml:space="preserve"> </w:t>
      </w:r>
      <w:r w:rsidRPr="00D52E18">
        <w:rPr>
          <w:sz w:val="28"/>
          <w:szCs w:val="28"/>
        </w:rPr>
        <w:t>la</w:t>
      </w:r>
      <w:r w:rsidRPr="00D52E18">
        <w:rPr>
          <w:spacing w:val="-5"/>
          <w:sz w:val="28"/>
          <w:szCs w:val="28"/>
        </w:rPr>
        <w:t xml:space="preserve"> </w:t>
      </w:r>
      <w:r w:rsidRPr="00D52E18">
        <w:rPr>
          <w:sz w:val="28"/>
          <w:szCs w:val="28"/>
        </w:rPr>
        <w:t>santé</w:t>
      </w:r>
      <w:r w:rsidRPr="00D52E18">
        <w:rPr>
          <w:spacing w:val="-8"/>
          <w:sz w:val="28"/>
          <w:szCs w:val="28"/>
        </w:rPr>
        <w:t xml:space="preserve"> </w:t>
      </w:r>
      <w:r w:rsidRPr="00D52E18">
        <w:rPr>
          <w:sz w:val="28"/>
          <w:szCs w:val="28"/>
        </w:rPr>
        <w:t>bien</w:t>
      </w:r>
      <w:r w:rsidRPr="00D52E18">
        <w:rPr>
          <w:spacing w:val="-4"/>
          <w:sz w:val="28"/>
          <w:szCs w:val="28"/>
        </w:rPr>
        <w:t xml:space="preserve"> </w:t>
      </w:r>
      <w:r w:rsidRPr="00D52E18">
        <w:rPr>
          <w:sz w:val="28"/>
          <w:szCs w:val="28"/>
        </w:rPr>
        <w:t>motivés</w:t>
      </w:r>
      <w:r w:rsidR="001D738E">
        <w:rPr>
          <w:sz w:val="28"/>
          <w:szCs w:val="28"/>
        </w:rPr>
        <w:t>,</w:t>
      </w:r>
      <w:r w:rsidRPr="00D52E18">
        <w:rPr>
          <w:spacing w:val="-7"/>
          <w:sz w:val="28"/>
          <w:szCs w:val="28"/>
        </w:rPr>
        <w:t xml:space="preserve"> </w:t>
      </w:r>
      <w:r w:rsidR="009C7F54" w:rsidRPr="00D52E18">
        <w:rPr>
          <w:spacing w:val="-7"/>
          <w:sz w:val="28"/>
          <w:szCs w:val="28"/>
        </w:rPr>
        <w:t xml:space="preserve">engagés </w:t>
      </w:r>
      <w:r w:rsidR="001D738E">
        <w:rPr>
          <w:spacing w:val="-7"/>
          <w:sz w:val="28"/>
          <w:szCs w:val="28"/>
        </w:rPr>
        <w:t xml:space="preserve">individuellement et collectivement </w:t>
      </w:r>
      <w:r w:rsidR="009C7F54" w:rsidRPr="00D52E18">
        <w:rPr>
          <w:spacing w:val="-7"/>
          <w:sz w:val="28"/>
          <w:szCs w:val="28"/>
        </w:rPr>
        <w:t>à</w:t>
      </w:r>
      <w:r w:rsidRPr="00D52E18">
        <w:rPr>
          <w:spacing w:val="-7"/>
          <w:sz w:val="28"/>
          <w:szCs w:val="28"/>
        </w:rPr>
        <w:t xml:space="preserve"> </w:t>
      </w:r>
      <w:r w:rsidRPr="00D52E18">
        <w:rPr>
          <w:sz w:val="28"/>
          <w:szCs w:val="28"/>
        </w:rPr>
        <w:t>remplir</w:t>
      </w:r>
      <w:r w:rsidRPr="00D52E18">
        <w:rPr>
          <w:spacing w:val="-4"/>
          <w:sz w:val="28"/>
          <w:szCs w:val="28"/>
        </w:rPr>
        <w:t xml:space="preserve"> </w:t>
      </w:r>
      <w:r w:rsidRPr="00D52E18">
        <w:rPr>
          <w:sz w:val="28"/>
          <w:szCs w:val="28"/>
        </w:rPr>
        <w:t>leurs</w:t>
      </w:r>
      <w:r w:rsidRPr="00D52E18">
        <w:rPr>
          <w:spacing w:val="-4"/>
          <w:sz w:val="28"/>
          <w:szCs w:val="28"/>
        </w:rPr>
        <w:t xml:space="preserve"> </w:t>
      </w:r>
      <w:r w:rsidRPr="00D52E18">
        <w:rPr>
          <w:sz w:val="28"/>
          <w:szCs w:val="28"/>
        </w:rPr>
        <w:t>fonctions</w:t>
      </w:r>
      <w:r w:rsidR="00A54A6D" w:rsidRPr="00D52E18">
        <w:rPr>
          <w:sz w:val="28"/>
          <w:szCs w:val="28"/>
        </w:rPr>
        <w:t>.</w:t>
      </w:r>
    </w:p>
    <w:p w:rsidR="00930A1E" w:rsidRDefault="00930A1E" w:rsidP="004D046C">
      <w:pPr>
        <w:pStyle w:val="Titre2"/>
        <w:numPr>
          <w:ilvl w:val="2"/>
          <w:numId w:val="5"/>
        </w:numPr>
        <w:spacing w:after="120"/>
        <w:ind w:left="1985" w:hanging="851"/>
        <w:rPr>
          <w:sz w:val="28"/>
          <w:szCs w:val="28"/>
        </w:rPr>
      </w:pPr>
      <w:r w:rsidRPr="00D52E18">
        <w:rPr>
          <w:sz w:val="28"/>
          <w:szCs w:val="28"/>
        </w:rPr>
        <w:t>Objectif</w:t>
      </w:r>
      <w:r w:rsidR="00385CD9">
        <w:rPr>
          <w:sz w:val="28"/>
          <w:szCs w:val="28"/>
        </w:rPr>
        <w:t>s</w:t>
      </w:r>
      <w:r w:rsidRPr="00D52E18">
        <w:rPr>
          <w:sz w:val="28"/>
          <w:szCs w:val="28"/>
        </w:rPr>
        <w:t xml:space="preserve"> </w:t>
      </w:r>
      <w:r w:rsidR="00385CD9">
        <w:rPr>
          <w:sz w:val="28"/>
          <w:szCs w:val="28"/>
        </w:rPr>
        <w:t>spécifiques</w:t>
      </w:r>
    </w:p>
    <w:p w:rsidR="00BF07D9" w:rsidRPr="00D8005F" w:rsidRDefault="00BF07D9" w:rsidP="004D046C">
      <w:pPr>
        <w:pStyle w:val="Paragraphedeliste"/>
        <w:numPr>
          <w:ilvl w:val="0"/>
          <w:numId w:val="7"/>
        </w:numPr>
        <w:spacing w:after="0" w:line="240" w:lineRule="auto"/>
        <w:ind w:left="851" w:hanging="425"/>
        <w:jc w:val="both"/>
        <w:rPr>
          <w:sz w:val="28"/>
          <w:szCs w:val="28"/>
        </w:rPr>
      </w:pPr>
      <w:r w:rsidRPr="00D8005F">
        <w:rPr>
          <w:sz w:val="28"/>
          <w:szCs w:val="28"/>
        </w:rPr>
        <w:t>D</w:t>
      </w:r>
      <w:r w:rsidR="00D8005F" w:rsidRPr="00D8005F">
        <w:rPr>
          <w:sz w:val="28"/>
          <w:szCs w:val="28"/>
        </w:rPr>
        <w:t>oter le Ministère de la santé des capacités de prévision des besoin</w:t>
      </w:r>
      <w:r w:rsidRPr="00D8005F">
        <w:rPr>
          <w:sz w:val="28"/>
          <w:szCs w:val="28"/>
        </w:rPr>
        <w:t>s</w:t>
      </w:r>
      <w:r w:rsidR="00D8005F" w:rsidRPr="00D8005F">
        <w:rPr>
          <w:sz w:val="28"/>
          <w:szCs w:val="28"/>
        </w:rPr>
        <w:t xml:space="preserve"> en RHS pour le pays</w:t>
      </w:r>
      <w:r w:rsidRPr="00D8005F">
        <w:rPr>
          <w:sz w:val="28"/>
          <w:szCs w:val="28"/>
        </w:rPr>
        <w:t xml:space="preserve">; </w:t>
      </w:r>
    </w:p>
    <w:p w:rsidR="00B91ECF" w:rsidRDefault="00B91ECF" w:rsidP="004D046C">
      <w:pPr>
        <w:pStyle w:val="Paragraphedeliste"/>
        <w:numPr>
          <w:ilvl w:val="0"/>
          <w:numId w:val="7"/>
        </w:numPr>
        <w:spacing w:after="0" w:line="240" w:lineRule="auto"/>
        <w:ind w:left="851" w:hanging="425"/>
        <w:jc w:val="both"/>
        <w:rPr>
          <w:color w:val="FF0000"/>
          <w:sz w:val="28"/>
          <w:szCs w:val="28"/>
        </w:rPr>
      </w:pPr>
      <w:r>
        <w:rPr>
          <w:sz w:val="28"/>
          <w:szCs w:val="28"/>
        </w:rPr>
        <w:t xml:space="preserve">Aligner les formations (initiale, continue et de spécialisation) sur les besoins du secteur de la </w:t>
      </w:r>
      <w:r w:rsidR="00B36FD4">
        <w:rPr>
          <w:sz w:val="28"/>
          <w:szCs w:val="28"/>
        </w:rPr>
        <w:t>santé en ressources humaines grâce à l’engagement des parties prenantes du système éducatif</w:t>
      </w:r>
      <w:r w:rsidR="001E3212">
        <w:rPr>
          <w:sz w:val="28"/>
          <w:szCs w:val="28"/>
        </w:rPr>
        <w:t> ;</w:t>
      </w:r>
    </w:p>
    <w:p w:rsidR="00B36FD4" w:rsidRPr="00B36FD4" w:rsidRDefault="00B36FD4" w:rsidP="004D046C">
      <w:pPr>
        <w:pStyle w:val="Paragraphedeliste"/>
        <w:numPr>
          <w:ilvl w:val="0"/>
          <w:numId w:val="7"/>
        </w:numPr>
        <w:spacing w:after="0" w:line="240" w:lineRule="auto"/>
        <w:ind w:left="851" w:hanging="425"/>
        <w:jc w:val="both"/>
        <w:rPr>
          <w:sz w:val="28"/>
          <w:szCs w:val="28"/>
        </w:rPr>
      </w:pPr>
      <w:r w:rsidRPr="00B36FD4">
        <w:rPr>
          <w:sz w:val="28"/>
          <w:szCs w:val="28"/>
        </w:rPr>
        <w:t>Aligner les procédures et pratiques</w:t>
      </w:r>
      <w:r>
        <w:rPr>
          <w:sz w:val="28"/>
          <w:szCs w:val="28"/>
        </w:rPr>
        <w:t xml:space="preserve"> des parties prenantes</w:t>
      </w:r>
      <w:r w:rsidRPr="00B36FD4">
        <w:rPr>
          <w:sz w:val="28"/>
          <w:szCs w:val="28"/>
        </w:rPr>
        <w:t xml:space="preserve"> de </w:t>
      </w:r>
      <w:r>
        <w:rPr>
          <w:sz w:val="28"/>
          <w:szCs w:val="28"/>
        </w:rPr>
        <w:t xml:space="preserve">la </w:t>
      </w:r>
      <w:r w:rsidRPr="00B36FD4">
        <w:rPr>
          <w:sz w:val="28"/>
          <w:szCs w:val="28"/>
        </w:rPr>
        <w:t xml:space="preserve">gestion des </w:t>
      </w:r>
      <w:r w:rsidR="0011268A">
        <w:rPr>
          <w:sz w:val="28"/>
          <w:szCs w:val="28"/>
        </w:rPr>
        <w:t>ressources humaines</w:t>
      </w:r>
      <w:r>
        <w:rPr>
          <w:sz w:val="28"/>
          <w:szCs w:val="28"/>
        </w:rPr>
        <w:t xml:space="preserve"> sur les besoins </w:t>
      </w:r>
      <w:r w:rsidR="0011268A">
        <w:rPr>
          <w:sz w:val="28"/>
          <w:szCs w:val="28"/>
        </w:rPr>
        <w:t xml:space="preserve">spécifiques </w:t>
      </w:r>
      <w:r w:rsidR="001E3212">
        <w:rPr>
          <w:sz w:val="28"/>
          <w:szCs w:val="28"/>
        </w:rPr>
        <w:t>d</w:t>
      </w:r>
      <w:r>
        <w:rPr>
          <w:sz w:val="28"/>
          <w:szCs w:val="28"/>
        </w:rPr>
        <w:t xml:space="preserve">u secteur de la santé </w:t>
      </w:r>
      <w:r w:rsidR="0011268A">
        <w:rPr>
          <w:sz w:val="28"/>
          <w:szCs w:val="28"/>
        </w:rPr>
        <w:t>en termes de mobilisation et gestion des RHS</w:t>
      </w:r>
      <w:r w:rsidR="001E3212">
        <w:rPr>
          <w:sz w:val="28"/>
          <w:szCs w:val="28"/>
        </w:rPr>
        <w:t> ;</w:t>
      </w:r>
    </w:p>
    <w:p w:rsidR="00B36FD4" w:rsidRPr="00B36FD4" w:rsidRDefault="00B36FD4" w:rsidP="004D046C">
      <w:pPr>
        <w:pStyle w:val="Paragraphedeliste"/>
        <w:numPr>
          <w:ilvl w:val="0"/>
          <w:numId w:val="7"/>
        </w:numPr>
        <w:spacing w:after="0" w:line="240" w:lineRule="auto"/>
        <w:ind w:left="851" w:hanging="425"/>
        <w:jc w:val="both"/>
      </w:pPr>
      <w:r w:rsidRPr="00B36FD4">
        <w:rPr>
          <w:sz w:val="28"/>
          <w:szCs w:val="28"/>
        </w:rPr>
        <w:t xml:space="preserve">Obtenir des décideurs </w:t>
      </w:r>
      <w:r w:rsidR="001E3212">
        <w:rPr>
          <w:sz w:val="28"/>
          <w:szCs w:val="28"/>
        </w:rPr>
        <w:t xml:space="preserve">(à tous les niveaux) </w:t>
      </w:r>
      <w:r w:rsidRPr="00B36FD4">
        <w:rPr>
          <w:sz w:val="28"/>
          <w:szCs w:val="28"/>
        </w:rPr>
        <w:t xml:space="preserve">et autres parties prenantes les régulations </w:t>
      </w:r>
      <w:r w:rsidR="00793C75">
        <w:rPr>
          <w:sz w:val="28"/>
          <w:szCs w:val="28"/>
        </w:rPr>
        <w:t xml:space="preserve">et appuis </w:t>
      </w:r>
      <w:r w:rsidRPr="00B36FD4">
        <w:rPr>
          <w:sz w:val="28"/>
          <w:szCs w:val="28"/>
        </w:rPr>
        <w:t>nécessaires à la production et à la gestion des RHS en cohérence avec les besoins en RH du système de santé</w:t>
      </w:r>
      <w:r w:rsidR="002B4445">
        <w:rPr>
          <w:sz w:val="28"/>
          <w:szCs w:val="28"/>
        </w:rPr>
        <w:t>.</w:t>
      </w:r>
    </w:p>
    <w:p w:rsidR="00346382" w:rsidRDefault="005302A3" w:rsidP="004D046C">
      <w:pPr>
        <w:pStyle w:val="Titre2"/>
        <w:numPr>
          <w:ilvl w:val="1"/>
          <w:numId w:val="5"/>
        </w:numPr>
        <w:spacing w:after="240"/>
        <w:ind w:left="1134" w:hanging="709"/>
        <w:rPr>
          <w:sz w:val="28"/>
          <w:szCs w:val="28"/>
        </w:rPr>
      </w:pPr>
      <w:r w:rsidRPr="00D52E18">
        <w:rPr>
          <w:sz w:val="28"/>
          <w:szCs w:val="28"/>
        </w:rPr>
        <w:t>Axe</w:t>
      </w:r>
      <w:r w:rsidR="00B94E34" w:rsidRPr="00D52E18">
        <w:rPr>
          <w:sz w:val="28"/>
          <w:szCs w:val="28"/>
        </w:rPr>
        <w:t>s stratégiques</w:t>
      </w:r>
    </w:p>
    <w:p w:rsidR="00A7387B" w:rsidRPr="00E10B48" w:rsidRDefault="00E10B48" w:rsidP="00A7387B">
      <w:pPr>
        <w:spacing w:after="120" w:line="240" w:lineRule="auto"/>
        <w:jc w:val="both"/>
        <w:rPr>
          <w:bCs/>
          <w:iCs/>
          <w:sz w:val="28"/>
          <w:szCs w:val="28"/>
        </w:rPr>
      </w:pPr>
      <w:r>
        <w:rPr>
          <w:bCs/>
          <w:iCs/>
          <w:sz w:val="28"/>
          <w:szCs w:val="28"/>
        </w:rPr>
        <w:t>Les objectifs ci-dessus seront atteints en développant les interventions ciblées sous les axes stratégiques ci-après.</w:t>
      </w:r>
    </w:p>
    <w:p w:rsidR="001D299F" w:rsidRPr="006A0EC1" w:rsidRDefault="001D299F" w:rsidP="004D046C">
      <w:pPr>
        <w:pStyle w:val="Titre2"/>
        <w:numPr>
          <w:ilvl w:val="2"/>
          <w:numId w:val="5"/>
        </w:numPr>
        <w:spacing w:after="120"/>
        <w:ind w:left="1985" w:hanging="851"/>
        <w:rPr>
          <w:sz w:val="28"/>
          <w:szCs w:val="28"/>
        </w:rPr>
      </w:pPr>
      <w:r w:rsidRPr="006A0EC1">
        <w:rPr>
          <w:sz w:val="28"/>
          <w:szCs w:val="28"/>
        </w:rPr>
        <w:t xml:space="preserve">Renforcement du cadre et des capacités </w:t>
      </w:r>
      <w:r w:rsidR="000107A0" w:rsidRPr="006A0EC1">
        <w:rPr>
          <w:sz w:val="28"/>
          <w:szCs w:val="28"/>
        </w:rPr>
        <w:t>institutionnel</w:t>
      </w:r>
      <w:r w:rsidRPr="006A0EC1">
        <w:rPr>
          <w:sz w:val="28"/>
          <w:szCs w:val="28"/>
        </w:rPr>
        <w:t xml:space="preserve">s de planification du développement des RHS </w:t>
      </w:r>
    </w:p>
    <w:p w:rsidR="00C25BEE" w:rsidRDefault="00491472" w:rsidP="00C25BEE">
      <w:pPr>
        <w:jc w:val="both"/>
        <w:rPr>
          <w:bCs/>
          <w:iCs/>
          <w:sz w:val="28"/>
          <w:szCs w:val="28"/>
        </w:rPr>
      </w:pPr>
      <w:r w:rsidRPr="008E1052">
        <w:rPr>
          <w:bCs/>
          <w:iCs/>
          <w:sz w:val="28"/>
          <w:szCs w:val="28"/>
        </w:rPr>
        <w:t xml:space="preserve">La planification </w:t>
      </w:r>
      <w:r w:rsidR="003D4BD9">
        <w:rPr>
          <w:bCs/>
          <w:iCs/>
          <w:sz w:val="28"/>
          <w:szCs w:val="28"/>
        </w:rPr>
        <w:t xml:space="preserve">du </w:t>
      </w:r>
      <w:r w:rsidRPr="008E1052">
        <w:rPr>
          <w:bCs/>
          <w:iCs/>
          <w:sz w:val="28"/>
          <w:szCs w:val="28"/>
        </w:rPr>
        <w:t xml:space="preserve">développement des RHS consiste </w:t>
      </w:r>
      <w:r w:rsidR="008E1052">
        <w:rPr>
          <w:bCs/>
          <w:iCs/>
          <w:sz w:val="28"/>
          <w:szCs w:val="28"/>
        </w:rPr>
        <w:t>en</w:t>
      </w:r>
      <w:r w:rsidRPr="008E1052">
        <w:rPr>
          <w:bCs/>
          <w:iCs/>
          <w:sz w:val="28"/>
          <w:szCs w:val="28"/>
        </w:rPr>
        <w:t xml:space="preserve"> </w:t>
      </w:r>
      <w:r w:rsidR="008E1052">
        <w:rPr>
          <w:bCs/>
          <w:iCs/>
          <w:sz w:val="28"/>
          <w:szCs w:val="28"/>
        </w:rPr>
        <w:t>un processus d’</w:t>
      </w:r>
      <w:r w:rsidRPr="008E1052">
        <w:rPr>
          <w:bCs/>
          <w:iCs/>
          <w:sz w:val="28"/>
          <w:szCs w:val="28"/>
        </w:rPr>
        <w:t>anticip</w:t>
      </w:r>
      <w:r w:rsidR="008E1052">
        <w:rPr>
          <w:bCs/>
          <w:iCs/>
          <w:sz w:val="28"/>
          <w:szCs w:val="28"/>
        </w:rPr>
        <w:t>ation d</w:t>
      </w:r>
      <w:r w:rsidRPr="008E1052">
        <w:rPr>
          <w:bCs/>
          <w:iCs/>
          <w:sz w:val="28"/>
          <w:szCs w:val="28"/>
        </w:rPr>
        <w:t>e</w:t>
      </w:r>
      <w:r w:rsidR="008E1052" w:rsidRPr="008E1052">
        <w:rPr>
          <w:bCs/>
          <w:iCs/>
          <w:sz w:val="28"/>
          <w:szCs w:val="28"/>
        </w:rPr>
        <w:t xml:space="preserve">s besoins </w:t>
      </w:r>
      <w:r w:rsidR="00190758" w:rsidRPr="008E1052">
        <w:rPr>
          <w:bCs/>
          <w:iCs/>
          <w:sz w:val="28"/>
          <w:szCs w:val="28"/>
        </w:rPr>
        <w:t xml:space="preserve">présents et à venir </w:t>
      </w:r>
      <w:r w:rsidR="008E1052" w:rsidRPr="008E1052">
        <w:rPr>
          <w:bCs/>
          <w:iCs/>
          <w:sz w:val="28"/>
          <w:szCs w:val="28"/>
        </w:rPr>
        <w:t xml:space="preserve">en ressources humaines et </w:t>
      </w:r>
      <w:r w:rsidR="00190758">
        <w:rPr>
          <w:bCs/>
          <w:iCs/>
          <w:sz w:val="28"/>
          <w:szCs w:val="28"/>
        </w:rPr>
        <w:t xml:space="preserve">de </w:t>
      </w:r>
      <w:r w:rsidR="008E1052" w:rsidRPr="008E1052">
        <w:rPr>
          <w:bCs/>
          <w:iCs/>
          <w:sz w:val="28"/>
          <w:szCs w:val="28"/>
        </w:rPr>
        <w:t>propos</w:t>
      </w:r>
      <w:r w:rsidR="00190758">
        <w:rPr>
          <w:bCs/>
          <w:iCs/>
          <w:sz w:val="28"/>
          <w:szCs w:val="28"/>
        </w:rPr>
        <w:t>ition</w:t>
      </w:r>
      <w:r w:rsidR="008E1052" w:rsidRPr="008E1052">
        <w:rPr>
          <w:bCs/>
          <w:iCs/>
          <w:sz w:val="28"/>
          <w:szCs w:val="28"/>
        </w:rPr>
        <w:t xml:space="preserve"> de stratégies pour leur production et leur utilisation</w:t>
      </w:r>
      <w:r w:rsidRPr="008E1052">
        <w:rPr>
          <w:bCs/>
          <w:iCs/>
          <w:sz w:val="28"/>
          <w:szCs w:val="28"/>
        </w:rPr>
        <w:t>, s</w:t>
      </w:r>
      <w:r w:rsidR="00A7387B" w:rsidRPr="008E1052">
        <w:rPr>
          <w:bCs/>
          <w:iCs/>
          <w:sz w:val="28"/>
          <w:szCs w:val="28"/>
        </w:rPr>
        <w:t>ur la base des besoins de santé actuels et prévisibles et</w:t>
      </w:r>
      <w:r w:rsidR="008E1052">
        <w:rPr>
          <w:bCs/>
          <w:iCs/>
          <w:sz w:val="28"/>
          <w:szCs w:val="28"/>
        </w:rPr>
        <w:t xml:space="preserve"> d</w:t>
      </w:r>
      <w:r w:rsidR="00A7387B" w:rsidRPr="008E1052">
        <w:rPr>
          <w:bCs/>
          <w:iCs/>
          <w:sz w:val="28"/>
          <w:szCs w:val="28"/>
        </w:rPr>
        <w:t>es prestations de se</w:t>
      </w:r>
      <w:r w:rsidR="008E1052">
        <w:rPr>
          <w:bCs/>
          <w:iCs/>
          <w:sz w:val="28"/>
          <w:szCs w:val="28"/>
        </w:rPr>
        <w:t>rvices nécessaires à y répondre.</w:t>
      </w:r>
      <w:r w:rsidR="00243A21">
        <w:rPr>
          <w:bCs/>
          <w:iCs/>
          <w:sz w:val="28"/>
          <w:szCs w:val="28"/>
        </w:rPr>
        <w:t xml:space="preserve"> </w:t>
      </w:r>
    </w:p>
    <w:p w:rsidR="00501B8E" w:rsidRDefault="00AE1242" w:rsidP="000429CE">
      <w:pPr>
        <w:jc w:val="both"/>
        <w:rPr>
          <w:bCs/>
          <w:iCs/>
          <w:sz w:val="28"/>
          <w:szCs w:val="28"/>
        </w:rPr>
      </w:pPr>
      <w:r>
        <w:rPr>
          <w:bCs/>
          <w:iCs/>
          <w:sz w:val="28"/>
          <w:szCs w:val="28"/>
        </w:rPr>
        <w:t>Cela suppose l’existence d’un cadre et des capacités institutionnelles appropriées à cet effet.</w:t>
      </w:r>
    </w:p>
    <w:p w:rsidR="00A8598E" w:rsidRDefault="006E41A6" w:rsidP="00A8598E">
      <w:pPr>
        <w:spacing w:after="0"/>
        <w:jc w:val="both"/>
        <w:rPr>
          <w:bCs/>
          <w:iCs/>
          <w:sz w:val="28"/>
          <w:szCs w:val="28"/>
        </w:rPr>
      </w:pPr>
      <w:r>
        <w:rPr>
          <w:bCs/>
          <w:iCs/>
          <w:sz w:val="28"/>
          <w:szCs w:val="28"/>
        </w:rPr>
        <w:t>Aussi</w:t>
      </w:r>
      <w:r w:rsidR="00D8467D">
        <w:rPr>
          <w:bCs/>
          <w:iCs/>
          <w:sz w:val="28"/>
          <w:szCs w:val="28"/>
        </w:rPr>
        <w:t xml:space="preserve">, </w:t>
      </w:r>
      <w:r>
        <w:rPr>
          <w:bCs/>
          <w:iCs/>
          <w:sz w:val="28"/>
          <w:szCs w:val="28"/>
        </w:rPr>
        <w:t>le Ministère de la Santé (MS) veillera à ce que s</w:t>
      </w:r>
      <w:r w:rsidR="00D8467D">
        <w:rPr>
          <w:bCs/>
          <w:iCs/>
          <w:sz w:val="28"/>
          <w:szCs w:val="28"/>
        </w:rPr>
        <w:t xml:space="preserve">a Direction des ressources humaines </w:t>
      </w:r>
      <w:r w:rsidR="00C81656">
        <w:rPr>
          <w:bCs/>
          <w:iCs/>
          <w:sz w:val="28"/>
          <w:szCs w:val="28"/>
        </w:rPr>
        <w:t xml:space="preserve">(DRH) </w:t>
      </w:r>
      <w:r>
        <w:rPr>
          <w:bCs/>
          <w:iCs/>
          <w:sz w:val="28"/>
          <w:szCs w:val="28"/>
        </w:rPr>
        <w:t>soit</w:t>
      </w:r>
      <w:r w:rsidR="00D8467D">
        <w:rPr>
          <w:bCs/>
          <w:iCs/>
          <w:sz w:val="28"/>
          <w:szCs w:val="28"/>
        </w:rPr>
        <w:t xml:space="preserve"> dot</w:t>
      </w:r>
      <w:r>
        <w:rPr>
          <w:bCs/>
          <w:iCs/>
          <w:sz w:val="28"/>
          <w:szCs w:val="28"/>
        </w:rPr>
        <w:t>é</w:t>
      </w:r>
      <w:r w:rsidR="00E91045">
        <w:rPr>
          <w:bCs/>
          <w:iCs/>
          <w:sz w:val="28"/>
          <w:szCs w:val="28"/>
        </w:rPr>
        <w:t>e</w:t>
      </w:r>
      <w:r w:rsidR="00D8467D">
        <w:rPr>
          <w:bCs/>
          <w:iCs/>
          <w:sz w:val="28"/>
          <w:szCs w:val="28"/>
        </w:rPr>
        <w:t xml:space="preserve"> d’un organe multisectoriel et pluridisciplinaire </w:t>
      </w:r>
      <w:r w:rsidR="00D8467D">
        <w:rPr>
          <w:bCs/>
          <w:iCs/>
          <w:sz w:val="28"/>
          <w:szCs w:val="28"/>
        </w:rPr>
        <w:lastRenderedPageBreak/>
        <w:t xml:space="preserve">chargé de débattre de toutes les questions techniques concernant les RHS. </w:t>
      </w:r>
      <w:r w:rsidR="009F04EA">
        <w:rPr>
          <w:bCs/>
          <w:iCs/>
          <w:sz w:val="28"/>
          <w:szCs w:val="28"/>
        </w:rPr>
        <w:t>Ses membres seront sélectionnés parmi</w:t>
      </w:r>
      <w:r w:rsidR="00A8598E">
        <w:rPr>
          <w:bCs/>
          <w:iCs/>
          <w:sz w:val="28"/>
          <w:szCs w:val="28"/>
        </w:rPr>
        <w:t> </w:t>
      </w:r>
      <w:r w:rsidR="00D457DB">
        <w:rPr>
          <w:bCs/>
          <w:iCs/>
          <w:sz w:val="28"/>
          <w:szCs w:val="28"/>
        </w:rPr>
        <w:t xml:space="preserve">toutes les parties prenantes </w:t>
      </w:r>
      <w:r w:rsidR="00A8598E">
        <w:rPr>
          <w:bCs/>
          <w:iCs/>
          <w:sz w:val="28"/>
          <w:szCs w:val="28"/>
        </w:rPr>
        <w:t>:</w:t>
      </w:r>
      <w:r w:rsidR="009F04EA">
        <w:rPr>
          <w:bCs/>
          <w:iCs/>
          <w:sz w:val="28"/>
          <w:szCs w:val="28"/>
        </w:rPr>
        <w:t xml:space="preserve"> </w:t>
      </w:r>
    </w:p>
    <w:p w:rsidR="00A8598E" w:rsidRDefault="009F04EA" w:rsidP="004D046C">
      <w:pPr>
        <w:pStyle w:val="Paragraphedeliste"/>
        <w:numPr>
          <w:ilvl w:val="0"/>
          <w:numId w:val="7"/>
        </w:numPr>
        <w:ind w:left="709"/>
        <w:jc w:val="both"/>
        <w:rPr>
          <w:bCs/>
          <w:iCs/>
          <w:sz w:val="28"/>
          <w:szCs w:val="28"/>
        </w:rPr>
      </w:pPr>
      <w:r w:rsidRPr="00A8598E">
        <w:rPr>
          <w:bCs/>
          <w:iCs/>
          <w:sz w:val="28"/>
          <w:szCs w:val="28"/>
        </w:rPr>
        <w:t xml:space="preserve">les administrateurs du secteur de la santé, </w:t>
      </w:r>
    </w:p>
    <w:p w:rsidR="00A8598E" w:rsidRDefault="009F04EA" w:rsidP="004D046C">
      <w:pPr>
        <w:pStyle w:val="Paragraphedeliste"/>
        <w:numPr>
          <w:ilvl w:val="0"/>
          <w:numId w:val="7"/>
        </w:numPr>
        <w:ind w:left="709"/>
        <w:jc w:val="both"/>
        <w:rPr>
          <w:bCs/>
          <w:iCs/>
          <w:sz w:val="28"/>
          <w:szCs w:val="28"/>
        </w:rPr>
      </w:pPr>
      <w:r w:rsidRPr="00A8598E">
        <w:rPr>
          <w:bCs/>
          <w:iCs/>
          <w:sz w:val="28"/>
          <w:szCs w:val="28"/>
        </w:rPr>
        <w:t xml:space="preserve">les prestataires cliniciens, </w:t>
      </w:r>
    </w:p>
    <w:p w:rsidR="00A8598E" w:rsidRDefault="009F04EA" w:rsidP="004D046C">
      <w:pPr>
        <w:pStyle w:val="Paragraphedeliste"/>
        <w:numPr>
          <w:ilvl w:val="0"/>
          <w:numId w:val="7"/>
        </w:numPr>
        <w:ind w:left="709"/>
        <w:jc w:val="both"/>
        <w:rPr>
          <w:bCs/>
          <w:iCs/>
          <w:sz w:val="28"/>
          <w:szCs w:val="28"/>
        </w:rPr>
      </w:pPr>
      <w:r w:rsidRPr="00A8598E">
        <w:rPr>
          <w:bCs/>
          <w:iCs/>
          <w:sz w:val="28"/>
          <w:szCs w:val="28"/>
        </w:rPr>
        <w:t xml:space="preserve">les prestataires de santé publique, </w:t>
      </w:r>
    </w:p>
    <w:p w:rsidR="00A8598E" w:rsidRDefault="009F04EA" w:rsidP="004D046C">
      <w:pPr>
        <w:pStyle w:val="Paragraphedeliste"/>
        <w:numPr>
          <w:ilvl w:val="0"/>
          <w:numId w:val="7"/>
        </w:numPr>
        <w:ind w:left="709"/>
        <w:jc w:val="both"/>
        <w:rPr>
          <w:bCs/>
          <w:iCs/>
          <w:sz w:val="28"/>
          <w:szCs w:val="28"/>
        </w:rPr>
      </w:pPr>
      <w:r w:rsidRPr="00A8598E">
        <w:rPr>
          <w:bCs/>
          <w:iCs/>
          <w:sz w:val="28"/>
          <w:szCs w:val="28"/>
        </w:rPr>
        <w:t xml:space="preserve">les gestionnaires des ressources humaines (MS et Ministère en charge de la fonction publique), </w:t>
      </w:r>
    </w:p>
    <w:p w:rsidR="00A8598E" w:rsidRDefault="009F04EA" w:rsidP="004D046C">
      <w:pPr>
        <w:pStyle w:val="Paragraphedeliste"/>
        <w:numPr>
          <w:ilvl w:val="0"/>
          <w:numId w:val="7"/>
        </w:numPr>
        <w:ind w:left="709"/>
        <w:jc w:val="both"/>
        <w:rPr>
          <w:bCs/>
          <w:iCs/>
          <w:sz w:val="28"/>
          <w:szCs w:val="28"/>
        </w:rPr>
      </w:pPr>
      <w:r w:rsidRPr="00A8598E">
        <w:rPr>
          <w:bCs/>
          <w:iCs/>
          <w:sz w:val="28"/>
          <w:szCs w:val="28"/>
        </w:rPr>
        <w:t xml:space="preserve">les administrateurs des ministères et des institutions de formation (initiale, continue et de spécialisation), </w:t>
      </w:r>
    </w:p>
    <w:p w:rsidR="00A8598E" w:rsidRDefault="009F04EA" w:rsidP="004D046C">
      <w:pPr>
        <w:pStyle w:val="Paragraphedeliste"/>
        <w:numPr>
          <w:ilvl w:val="0"/>
          <w:numId w:val="7"/>
        </w:numPr>
        <w:ind w:left="709"/>
        <w:jc w:val="both"/>
        <w:rPr>
          <w:bCs/>
          <w:iCs/>
          <w:sz w:val="28"/>
          <w:szCs w:val="28"/>
        </w:rPr>
      </w:pPr>
      <w:r w:rsidRPr="00A8598E">
        <w:rPr>
          <w:bCs/>
          <w:iCs/>
          <w:sz w:val="28"/>
          <w:szCs w:val="28"/>
        </w:rPr>
        <w:t xml:space="preserve">les enseignants, </w:t>
      </w:r>
    </w:p>
    <w:p w:rsidR="00A8598E" w:rsidRDefault="009F04EA" w:rsidP="004D046C">
      <w:pPr>
        <w:pStyle w:val="Paragraphedeliste"/>
        <w:numPr>
          <w:ilvl w:val="0"/>
          <w:numId w:val="7"/>
        </w:numPr>
        <w:ind w:left="709"/>
        <w:jc w:val="both"/>
        <w:rPr>
          <w:bCs/>
          <w:iCs/>
          <w:sz w:val="28"/>
          <w:szCs w:val="28"/>
        </w:rPr>
      </w:pPr>
      <w:r w:rsidRPr="00A8598E">
        <w:rPr>
          <w:bCs/>
          <w:iCs/>
          <w:sz w:val="28"/>
          <w:szCs w:val="28"/>
        </w:rPr>
        <w:t xml:space="preserve">le ministère en charge de la décentralisation, </w:t>
      </w:r>
    </w:p>
    <w:p w:rsidR="00A8598E" w:rsidRDefault="009F04EA" w:rsidP="004D046C">
      <w:pPr>
        <w:pStyle w:val="Paragraphedeliste"/>
        <w:numPr>
          <w:ilvl w:val="0"/>
          <w:numId w:val="7"/>
        </w:numPr>
        <w:ind w:left="709"/>
        <w:jc w:val="both"/>
        <w:rPr>
          <w:bCs/>
          <w:iCs/>
          <w:sz w:val="28"/>
          <w:szCs w:val="28"/>
        </w:rPr>
      </w:pPr>
      <w:r w:rsidRPr="00A8598E">
        <w:rPr>
          <w:bCs/>
          <w:iCs/>
          <w:sz w:val="28"/>
          <w:szCs w:val="28"/>
        </w:rPr>
        <w:t xml:space="preserve">les </w:t>
      </w:r>
      <w:r w:rsidR="00A8598E">
        <w:rPr>
          <w:bCs/>
          <w:iCs/>
          <w:sz w:val="28"/>
          <w:szCs w:val="28"/>
        </w:rPr>
        <w:t xml:space="preserve">cadres des </w:t>
      </w:r>
      <w:r w:rsidRPr="00A8598E">
        <w:rPr>
          <w:bCs/>
          <w:iCs/>
          <w:sz w:val="28"/>
          <w:szCs w:val="28"/>
        </w:rPr>
        <w:t xml:space="preserve">collectivités locales, </w:t>
      </w:r>
    </w:p>
    <w:p w:rsidR="006E41A6" w:rsidRDefault="009F04EA" w:rsidP="004D046C">
      <w:pPr>
        <w:pStyle w:val="Paragraphedeliste"/>
        <w:numPr>
          <w:ilvl w:val="0"/>
          <w:numId w:val="7"/>
        </w:numPr>
        <w:ind w:left="709"/>
        <w:jc w:val="both"/>
        <w:rPr>
          <w:bCs/>
          <w:iCs/>
          <w:sz w:val="28"/>
          <w:szCs w:val="28"/>
        </w:rPr>
      </w:pPr>
      <w:r w:rsidRPr="00A8598E">
        <w:rPr>
          <w:bCs/>
          <w:iCs/>
          <w:sz w:val="28"/>
          <w:szCs w:val="28"/>
        </w:rPr>
        <w:t>les ministères en charge des finances et du budget</w:t>
      </w:r>
      <w:r w:rsidR="006E41A6">
        <w:rPr>
          <w:bCs/>
          <w:iCs/>
          <w:sz w:val="28"/>
          <w:szCs w:val="28"/>
        </w:rPr>
        <w:t xml:space="preserve"> et </w:t>
      </w:r>
    </w:p>
    <w:p w:rsidR="00D8467D" w:rsidRDefault="006E41A6" w:rsidP="004D046C">
      <w:pPr>
        <w:pStyle w:val="Paragraphedeliste"/>
        <w:numPr>
          <w:ilvl w:val="0"/>
          <w:numId w:val="7"/>
        </w:numPr>
        <w:ind w:left="709"/>
        <w:jc w:val="both"/>
        <w:rPr>
          <w:bCs/>
          <w:iCs/>
          <w:sz w:val="28"/>
          <w:szCs w:val="28"/>
        </w:rPr>
      </w:pPr>
      <w:r>
        <w:rPr>
          <w:bCs/>
          <w:iCs/>
          <w:sz w:val="28"/>
          <w:szCs w:val="28"/>
        </w:rPr>
        <w:t xml:space="preserve">toute autre structure dont </w:t>
      </w:r>
      <w:r w:rsidR="000A6362">
        <w:rPr>
          <w:bCs/>
          <w:iCs/>
          <w:sz w:val="28"/>
          <w:szCs w:val="28"/>
        </w:rPr>
        <w:t xml:space="preserve">le </w:t>
      </w:r>
      <w:r>
        <w:rPr>
          <w:bCs/>
          <w:iCs/>
          <w:sz w:val="28"/>
          <w:szCs w:val="28"/>
        </w:rPr>
        <w:t xml:space="preserve">rôle </w:t>
      </w:r>
      <w:r w:rsidR="000A6362">
        <w:rPr>
          <w:bCs/>
          <w:iCs/>
          <w:sz w:val="28"/>
          <w:szCs w:val="28"/>
        </w:rPr>
        <w:t xml:space="preserve">important </w:t>
      </w:r>
      <w:r>
        <w:rPr>
          <w:bCs/>
          <w:iCs/>
          <w:sz w:val="28"/>
          <w:szCs w:val="28"/>
        </w:rPr>
        <w:t xml:space="preserve">dans le développement des RHS </w:t>
      </w:r>
      <w:r w:rsidR="000A6362">
        <w:rPr>
          <w:bCs/>
          <w:iCs/>
          <w:sz w:val="28"/>
          <w:szCs w:val="28"/>
        </w:rPr>
        <w:t>est</w:t>
      </w:r>
      <w:r>
        <w:rPr>
          <w:bCs/>
          <w:iCs/>
          <w:sz w:val="28"/>
          <w:szCs w:val="28"/>
        </w:rPr>
        <w:t xml:space="preserve"> </w:t>
      </w:r>
      <w:r w:rsidR="000A6362">
        <w:rPr>
          <w:bCs/>
          <w:iCs/>
          <w:sz w:val="28"/>
          <w:szCs w:val="28"/>
        </w:rPr>
        <w:t>reconnu</w:t>
      </w:r>
      <w:r>
        <w:rPr>
          <w:bCs/>
          <w:iCs/>
          <w:sz w:val="28"/>
          <w:szCs w:val="28"/>
        </w:rPr>
        <w:t xml:space="preserve">. </w:t>
      </w:r>
    </w:p>
    <w:p w:rsidR="004967EB" w:rsidRPr="004967EB" w:rsidRDefault="004967EB" w:rsidP="004967EB">
      <w:pPr>
        <w:jc w:val="both"/>
        <w:rPr>
          <w:bCs/>
          <w:iCs/>
          <w:sz w:val="28"/>
          <w:szCs w:val="28"/>
        </w:rPr>
      </w:pPr>
      <w:r>
        <w:rPr>
          <w:bCs/>
          <w:iCs/>
          <w:sz w:val="28"/>
          <w:szCs w:val="28"/>
        </w:rPr>
        <w:t xml:space="preserve">Chaque membre devra </w:t>
      </w:r>
      <w:r w:rsidR="00F46F03">
        <w:rPr>
          <w:bCs/>
          <w:iCs/>
          <w:sz w:val="28"/>
          <w:szCs w:val="28"/>
        </w:rPr>
        <w:t xml:space="preserve">avoir la capacité et l’engagement nécessaires </w:t>
      </w:r>
      <w:r>
        <w:rPr>
          <w:bCs/>
          <w:iCs/>
          <w:sz w:val="28"/>
          <w:szCs w:val="28"/>
        </w:rPr>
        <w:t xml:space="preserve">à </w:t>
      </w:r>
      <w:r w:rsidR="00223FD9">
        <w:rPr>
          <w:bCs/>
          <w:iCs/>
          <w:sz w:val="28"/>
          <w:szCs w:val="28"/>
        </w:rPr>
        <w:t>promouvoir</w:t>
      </w:r>
      <w:r w:rsidR="00F46F03">
        <w:rPr>
          <w:bCs/>
          <w:iCs/>
          <w:sz w:val="28"/>
          <w:szCs w:val="28"/>
        </w:rPr>
        <w:t>, auprès de l’autorité politique au plus haut niveau de son institution, l</w:t>
      </w:r>
      <w:r>
        <w:rPr>
          <w:bCs/>
          <w:iCs/>
          <w:sz w:val="28"/>
          <w:szCs w:val="28"/>
        </w:rPr>
        <w:t xml:space="preserve">es </w:t>
      </w:r>
      <w:r w:rsidR="00F46F03">
        <w:rPr>
          <w:bCs/>
          <w:iCs/>
          <w:sz w:val="28"/>
          <w:szCs w:val="28"/>
        </w:rPr>
        <w:t>priorit</w:t>
      </w:r>
      <w:r w:rsidR="00E55677">
        <w:rPr>
          <w:bCs/>
          <w:iCs/>
          <w:sz w:val="28"/>
          <w:szCs w:val="28"/>
        </w:rPr>
        <w:t>és</w:t>
      </w:r>
      <w:r w:rsidR="00F46F03">
        <w:rPr>
          <w:bCs/>
          <w:iCs/>
          <w:sz w:val="28"/>
          <w:szCs w:val="28"/>
        </w:rPr>
        <w:t xml:space="preserve"> </w:t>
      </w:r>
      <w:r>
        <w:rPr>
          <w:bCs/>
          <w:iCs/>
          <w:sz w:val="28"/>
          <w:szCs w:val="28"/>
        </w:rPr>
        <w:t xml:space="preserve">de développement des RHS </w:t>
      </w:r>
      <w:r w:rsidR="00F46F03">
        <w:rPr>
          <w:bCs/>
          <w:iCs/>
          <w:sz w:val="28"/>
          <w:szCs w:val="28"/>
        </w:rPr>
        <w:t>retenues dans la présente politique</w:t>
      </w:r>
      <w:r>
        <w:rPr>
          <w:bCs/>
          <w:iCs/>
          <w:sz w:val="28"/>
          <w:szCs w:val="28"/>
        </w:rPr>
        <w:t>.</w:t>
      </w:r>
    </w:p>
    <w:p w:rsidR="003516F7" w:rsidRDefault="00C5396D" w:rsidP="000429CE">
      <w:pPr>
        <w:jc w:val="both"/>
        <w:rPr>
          <w:bCs/>
          <w:iCs/>
          <w:sz w:val="28"/>
          <w:szCs w:val="28"/>
        </w:rPr>
      </w:pPr>
      <w:r>
        <w:rPr>
          <w:bCs/>
          <w:iCs/>
          <w:sz w:val="28"/>
          <w:szCs w:val="28"/>
        </w:rPr>
        <w:t>Cet organe</w:t>
      </w:r>
      <w:r w:rsidR="00C81656">
        <w:rPr>
          <w:bCs/>
          <w:iCs/>
          <w:sz w:val="28"/>
          <w:szCs w:val="28"/>
        </w:rPr>
        <w:t xml:space="preserve">, sous le leadership de la DRH, pilotera l’élaboration </w:t>
      </w:r>
      <w:r w:rsidR="00F376D8">
        <w:rPr>
          <w:bCs/>
          <w:iCs/>
          <w:sz w:val="28"/>
          <w:szCs w:val="28"/>
        </w:rPr>
        <w:t xml:space="preserve">et la mise en œuvre </w:t>
      </w:r>
      <w:r w:rsidR="00C81656">
        <w:rPr>
          <w:bCs/>
          <w:iCs/>
          <w:sz w:val="28"/>
          <w:szCs w:val="28"/>
        </w:rPr>
        <w:t xml:space="preserve">du plan de développement des RHS. </w:t>
      </w:r>
    </w:p>
    <w:p w:rsidR="00EA39B2" w:rsidRDefault="006E41A6" w:rsidP="002400A6">
      <w:pPr>
        <w:jc w:val="both"/>
        <w:rPr>
          <w:sz w:val="28"/>
          <w:szCs w:val="28"/>
        </w:rPr>
      </w:pPr>
      <w:r>
        <w:rPr>
          <w:bCs/>
          <w:iCs/>
          <w:sz w:val="28"/>
          <w:szCs w:val="28"/>
        </w:rPr>
        <w:t>Le MS</w:t>
      </w:r>
      <w:r w:rsidR="002400A6">
        <w:rPr>
          <w:bCs/>
          <w:iCs/>
          <w:sz w:val="28"/>
          <w:szCs w:val="28"/>
        </w:rPr>
        <w:t xml:space="preserve">, en collaboration avec toutes les parties prenantes, </w:t>
      </w:r>
      <w:r>
        <w:rPr>
          <w:bCs/>
          <w:iCs/>
          <w:sz w:val="28"/>
          <w:szCs w:val="28"/>
        </w:rPr>
        <w:t xml:space="preserve"> veillera à ce que c</w:t>
      </w:r>
      <w:r w:rsidR="00C81656">
        <w:rPr>
          <w:bCs/>
          <w:iCs/>
          <w:sz w:val="28"/>
          <w:szCs w:val="28"/>
        </w:rPr>
        <w:t xml:space="preserve">e </w:t>
      </w:r>
      <w:r w:rsidR="00A8598E">
        <w:rPr>
          <w:bCs/>
          <w:iCs/>
          <w:sz w:val="28"/>
          <w:szCs w:val="28"/>
        </w:rPr>
        <w:t>plan</w:t>
      </w:r>
      <w:r w:rsidR="00C81656">
        <w:rPr>
          <w:bCs/>
          <w:iCs/>
          <w:sz w:val="28"/>
          <w:szCs w:val="28"/>
        </w:rPr>
        <w:t xml:space="preserve">, </w:t>
      </w:r>
      <w:r w:rsidR="00C5396D">
        <w:rPr>
          <w:bCs/>
          <w:iCs/>
          <w:sz w:val="28"/>
          <w:szCs w:val="28"/>
        </w:rPr>
        <w:t xml:space="preserve">en </w:t>
      </w:r>
      <w:r>
        <w:rPr>
          <w:bCs/>
          <w:iCs/>
          <w:sz w:val="28"/>
          <w:szCs w:val="28"/>
        </w:rPr>
        <w:t xml:space="preserve">se </w:t>
      </w:r>
      <w:r w:rsidR="00C5396D">
        <w:rPr>
          <w:bCs/>
          <w:iCs/>
          <w:sz w:val="28"/>
          <w:szCs w:val="28"/>
        </w:rPr>
        <w:t>fon</w:t>
      </w:r>
      <w:r>
        <w:rPr>
          <w:bCs/>
          <w:iCs/>
          <w:sz w:val="28"/>
          <w:szCs w:val="28"/>
        </w:rPr>
        <w:t xml:space="preserve">dant sur le </w:t>
      </w:r>
      <w:r w:rsidR="00C5396D">
        <w:rPr>
          <w:bCs/>
          <w:iCs/>
          <w:sz w:val="28"/>
          <w:szCs w:val="28"/>
        </w:rPr>
        <w:t xml:space="preserve">plan </w:t>
      </w:r>
      <w:r w:rsidR="000B6AFB">
        <w:rPr>
          <w:bCs/>
          <w:iCs/>
          <w:sz w:val="28"/>
          <w:szCs w:val="28"/>
        </w:rPr>
        <w:t xml:space="preserve">stratégique </w:t>
      </w:r>
      <w:r w:rsidR="00C5396D">
        <w:rPr>
          <w:bCs/>
          <w:iCs/>
          <w:sz w:val="28"/>
          <w:szCs w:val="28"/>
        </w:rPr>
        <w:t xml:space="preserve">de développement </w:t>
      </w:r>
      <w:r w:rsidR="006F4B76">
        <w:rPr>
          <w:bCs/>
          <w:iCs/>
          <w:sz w:val="28"/>
          <w:szCs w:val="28"/>
        </w:rPr>
        <w:t>sanitaire</w:t>
      </w:r>
      <w:r w:rsidR="00C5396D">
        <w:rPr>
          <w:bCs/>
          <w:iCs/>
          <w:sz w:val="28"/>
          <w:szCs w:val="28"/>
        </w:rPr>
        <w:t xml:space="preserve">, </w:t>
      </w:r>
      <w:r>
        <w:rPr>
          <w:bCs/>
          <w:iCs/>
          <w:sz w:val="28"/>
          <w:szCs w:val="28"/>
        </w:rPr>
        <w:t xml:space="preserve">détermine </w:t>
      </w:r>
      <w:r w:rsidR="00A8598E">
        <w:rPr>
          <w:bCs/>
          <w:iCs/>
          <w:sz w:val="28"/>
          <w:szCs w:val="28"/>
        </w:rPr>
        <w:t xml:space="preserve">les besoins en RHS, y compris </w:t>
      </w:r>
      <w:r w:rsidR="00C5396D">
        <w:rPr>
          <w:bCs/>
          <w:iCs/>
          <w:sz w:val="28"/>
          <w:szCs w:val="28"/>
        </w:rPr>
        <w:t>les nouveaux corps de personnel</w:t>
      </w:r>
      <w:r w:rsidR="006F4B76">
        <w:rPr>
          <w:bCs/>
          <w:iCs/>
          <w:sz w:val="28"/>
          <w:szCs w:val="28"/>
        </w:rPr>
        <w:t>s</w:t>
      </w:r>
      <w:r w:rsidR="00D33A9A">
        <w:rPr>
          <w:bCs/>
          <w:iCs/>
          <w:sz w:val="28"/>
          <w:szCs w:val="28"/>
        </w:rPr>
        <w:t xml:space="preserve"> incluant les gestionnaires des RHS.</w:t>
      </w:r>
      <w:r w:rsidR="002F414C">
        <w:rPr>
          <w:bCs/>
          <w:iCs/>
          <w:sz w:val="28"/>
          <w:szCs w:val="28"/>
        </w:rPr>
        <w:t xml:space="preserve"> </w:t>
      </w:r>
      <w:r w:rsidR="003516F7">
        <w:rPr>
          <w:bCs/>
          <w:iCs/>
          <w:sz w:val="28"/>
          <w:szCs w:val="28"/>
        </w:rPr>
        <w:t xml:space="preserve">Il veillera également à ce que </w:t>
      </w:r>
      <w:r w:rsidR="002400A6">
        <w:rPr>
          <w:bCs/>
          <w:iCs/>
          <w:sz w:val="28"/>
          <w:szCs w:val="28"/>
        </w:rPr>
        <w:t xml:space="preserve">ce plan définisse les mesures par lesquelles </w:t>
      </w:r>
      <w:r w:rsidR="003516F7">
        <w:rPr>
          <w:bCs/>
          <w:iCs/>
          <w:sz w:val="28"/>
          <w:szCs w:val="28"/>
        </w:rPr>
        <w:t>l</w:t>
      </w:r>
      <w:r w:rsidR="004F5AB8" w:rsidRPr="00D52E18">
        <w:rPr>
          <w:sz w:val="28"/>
          <w:szCs w:val="28"/>
        </w:rPr>
        <w:t xml:space="preserve">es compétences requises </w:t>
      </w:r>
      <w:r w:rsidR="00D33A9A">
        <w:rPr>
          <w:sz w:val="28"/>
          <w:szCs w:val="28"/>
        </w:rPr>
        <w:t xml:space="preserve">par corps </w:t>
      </w:r>
      <w:r w:rsidR="004F5AB8" w:rsidRPr="00D52E18">
        <w:rPr>
          <w:sz w:val="28"/>
          <w:szCs w:val="28"/>
        </w:rPr>
        <w:t>pour offrir les prestations prioritaires so</w:t>
      </w:r>
      <w:r w:rsidR="003516F7">
        <w:rPr>
          <w:sz w:val="28"/>
          <w:szCs w:val="28"/>
        </w:rPr>
        <w:t>ie</w:t>
      </w:r>
      <w:r w:rsidR="004F5AB8" w:rsidRPr="00D52E18">
        <w:rPr>
          <w:sz w:val="28"/>
          <w:szCs w:val="28"/>
        </w:rPr>
        <w:t>nt déterminées</w:t>
      </w:r>
      <w:r w:rsidR="004F5AB8">
        <w:rPr>
          <w:sz w:val="28"/>
          <w:szCs w:val="28"/>
        </w:rPr>
        <w:t xml:space="preserve">. </w:t>
      </w:r>
      <w:r w:rsidR="002400A6">
        <w:rPr>
          <w:sz w:val="28"/>
          <w:szCs w:val="28"/>
        </w:rPr>
        <w:t xml:space="preserve">Ces référentiels de compétence devront guider </w:t>
      </w:r>
      <w:r w:rsidR="004C2E9B">
        <w:rPr>
          <w:sz w:val="28"/>
          <w:szCs w:val="28"/>
        </w:rPr>
        <w:t xml:space="preserve">toutes les formations </w:t>
      </w:r>
      <w:r w:rsidR="004C2E9B" w:rsidRPr="00BD2ABB">
        <w:rPr>
          <w:sz w:val="28"/>
          <w:szCs w:val="28"/>
        </w:rPr>
        <w:t>(initiale, continue et de spécialisation)</w:t>
      </w:r>
      <w:r w:rsidR="002400A6">
        <w:rPr>
          <w:sz w:val="28"/>
          <w:szCs w:val="28"/>
        </w:rPr>
        <w:t>.</w:t>
      </w:r>
      <w:r w:rsidR="00EA39B2">
        <w:rPr>
          <w:sz w:val="28"/>
          <w:szCs w:val="28"/>
        </w:rPr>
        <w:t xml:space="preserve"> </w:t>
      </w:r>
    </w:p>
    <w:p w:rsidR="004C2E9B" w:rsidRPr="00D52E18" w:rsidRDefault="0099233E" w:rsidP="004C2E9B">
      <w:pPr>
        <w:tabs>
          <w:tab w:val="left" w:pos="1418"/>
        </w:tabs>
        <w:jc w:val="both"/>
        <w:rPr>
          <w:sz w:val="28"/>
          <w:szCs w:val="28"/>
        </w:rPr>
      </w:pPr>
      <w:r>
        <w:rPr>
          <w:sz w:val="28"/>
          <w:szCs w:val="28"/>
        </w:rPr>
        <w:t xml:space="preserve">Le MS </w:t>
      </w:r>
      <w:r w:rsidR="004C2E9B">
        <w:rPr>
          <w:sz w:val="28"/>
          <w:szCs w:val="28"/>
        </w:rPr>
        <w:t xml:space="preserve">élaborera </w:t>
      </w:r>
      <w:r w:rsidR="004C2E9B" w:rsidRPr="00D52E18">
        <w:rPr>
          <w:sz w:val="28"/>
          <w:szCs w:val="28"/>
        </w:rPr>
        <w:t xml:space="preserve">un plan de formation continue </w:t>
      </w:r>
      <w:r w:rsidR="004C2E9B">
        <w:rPr>
          <w:sz w:val="28"/>
          <w:szCs w:val="28"/>
        </w:rPr>
        <w:t>de son</w:t>
      </w:r>
      <w:r w:rsidR="004C2E9B" w:rsidRPr="00D52E18">
        <w:rPr>
          <w:sz w:val="28"/>
          <w:szCs w:val="28"/>
        </w:rPr>
        <w:t xml:space="preserve"> personnel</w:t>
      </w:r>
      <w:r w:rsidR="004C2E9B">
        <w:rPr>
          <w:sz w:val="28"/>
          <w:szCs w:val="28"/>
        </w:rPr>
        <w:t xml:space="preserve"> pour le rendre plus performant et négociera </w:t>
      </w:r>
      <w:r w:rsidR="006F4B76">
        <w:rPr>
          <w:sz w:val="28"/>
          <w:szCs w:val="28"/>
        </w:rPr>
        <w:t xml:space="preserve">des programmes et </w:t>
      </w:r>
      <w:r w:rsidR="004C2E9B">
        <w:rPr>
          <w:sz w:val="28"/>
          <w:szCs w:val="28"/>
        </w:rPr>
        <w:t>plan</w:t>
      </w:r>
      <w:r w:rsidR="006F4B76">
        <w:rPr>
          <w:sz w:val="28"/>
          <w:szCs w:val="28"/>
        </w:rPr>
        <w:t>s</w:t>
      </w:r>
      <w:r w:rsidR="004C2E9B">
        <w:rPr>
          <w:sz w:val="28"/>
          <w:szCs w:val="28"/>
        </w:rPr>
        <w:t xml:space="preserve"> de formation initiale des RHS avec toutes les parties prenantes pour satisfaire les besoins du système par corps de professionnels.</w:t>
      </w:r>
      <w:r>
        <w:rPr>
          <w:sz w:val="28"/>
          <w:szCs w:val="28"/>
        </w:rPr>
        <w:t xml:space="preserve"> De même il </w:t>
      </w:r>
      <w:r w:rsidR="006F4B76">
        <w:rPr>
          <w:sz w:val="28"/>
          <w:szCs w:val="28"/>
        </w:rPr>
        <w:t>négociera l’</w:t>
      </w:r>
      <w:r>
        <w:rPr>
          <w:sz w:val="28"/>
          <w:szCs w:val="28"/>
        </w:rPr>
        <w:t>élabor</w:t>
      </w:r>
      <w:r w:rsidR="006F4B76">
        <w:rPr>
          <w:sz w:val="28"/>
          <w:szCs w:val="28"/>
        </w:rPr>
        <w:t xml:space="preserve">ation des </w:t>
      </w:r>
      <w:r>
        <w:rPr>
          <w:sz w:val="28"/>
          <w:szCs w:val="28"/>
        </w:rPr>
        <w:lastRenderedPageBreak/>
        <w:t>plan</w:t>
      </w:r>
      <w:r w:rsidR="006F4B76">
        <w:rPr>
          <w:sz w:val="28"/>
          <w:szCs w:val="28"/>
        </w:rPr>
        <w:t>s</w:t>
      </w:r>
      <w:r>
        <w:rPr>
          <w:sz w:val="28"/>
          <w:szCs w:val="28"/>
        </w:rPr>
        <w:t xml:space="preserve"> de recrutement </w:t>
      </w:r>
      <w:r w:rsidR="006F4B76">
        <w:rPr>
          <w:sz w:val="28"/>
          <w:szCs w:val="28"/>
        </w:rPr>
        <w:t xml:space="preserve">et de carrière du personnel de santé </w:t>
      </w:r>
      <w:r>
        <w:rPr>
          <w:sz w:val="28"/>
          <w:szCs w:val="28"/>
        </w:rPr>
        <w:t>conformément a</w:t>
      </w:r>
      <w:r w:rsidR="00157628">
        <w:rPr>
          <w:sz w:val="28"/>
          <w:szCs w:val="28"/>
        </w:rPr>
        <w:t>ux prévisions de ses besoins</w:t>
      </w:r>
      <w:r>
        <w:rPr>
          <w:sz w:val="28"/>
          <w:szCs w:val="28"/>
        </w:rPr>
        <w:t>.</w:t>
      </w:r>
    </w:p>
    <w:p w:rsidR="004C2E9B" w:rsidRDefault="004C2E9B" w:rsidP="004C2E9B">
      <w:pPr>
        <w:tabs>
          <w:tab w:val="left" w:pos="1418"/>
        </w:tabs>
        <w:jc w:val="both"/>
        <w:rPr>
          <w:sz w:val="28"/>
          <w:szCs w:val="28"/>
        </w:rPr>
      </w:pPr>
      <w:r>
        <w:rPr>
          <w:sz w:val="28"/>
          <w:szCs w:val="28"/>
        </w:rPr>
        <w:t xml:space="preserve">Le MS veillera, en partenariat avec toutes les parties prenantes, à </w:t>
      </w:r>
      <w:r w:rsidR="00EA39B2">
        <w:rPr>
          <w:sz w:val="28"/>
          <w:szCs w:val="28"/>
        </w:rPr>
        <w:t xml:space="preserve">accorder la priorité pour </w:t>
      </w:r>
      <w:r>
        <w:rPr>
          <w:sz w:val="28"/>
          <w:szCs w:val="28"/>
        </w:rPr>
        <w:t xml:space="preserve">la formation </w:t>
      </w:r>
      <w:r w:rsidRPr="00BD2ABB">
        <w:rPr>
          <w:sz w:val="28"/>
          <w:szCs w:val="28"/>
        </w:rPr>
        <w:t>(initiale, continue et la formation de spécialisation)</w:t>
      </w:r>
      <w:r>
        <w:rPr>
          <w:sz w:val="28"/>
          <w:szCs w:val="28"/>
        </w:rPr>
        <w:t xml:space="preserve"> </w:t>
      </w:r>
      <w:r w:rsidR="00EA39B2">
        <w:rPr>
          <w:sz w:val="28"/>
          <w:szCs w:val="28"/>
        </w:rPr>
        <w:t>aux</w:t>
      </w:r>
      <w:r w:rsidRPr="00D52E18">
        <w:rPr>
          <w:sz w:val="28"/>
          <w:szCs w:val="28"/>
        </w:rPr>
        <w:t xml:space="preserve"> corps </w:t>
      </w:r>
      <w:r>
        <w:rPr>
          <w:sz w:val="28"/>
          <w:szCs w:val="28"/>
        </w:rPr>
        <w:t xml:space="preserve">professionnels </w:t>
      </w:r>
      <w:r w:rsidR="00EA39B2">
        <w:rPr>
          <w:sz w:val="28"/>
          <w:szCs w:val="28"/>
        </w:rPr>
        <w:t xml:space="preserve">rares, mais </w:t>
      </w:r>
      <w:r>
        <w:rPr>
          <w:sz w:val="28"/>
          <w:szCs w:val="28"/>
        </w:rPr>
        <w:t>import</w:t>
      </w:r>
      <w:r w:rsidRPr="00D52E18">
        <w:rPr>
          <w:sz w:val="28"/>
          <w:szCs w:val="28"/>
        </w:rPr>
        <w:t>an</w:t>
      </w:r>
      <w:r>
        <w:rPr>
          <w:sz w:val="28"/>
          <w:szCs w:val="28"/>
        </w:rPr>
        <w:t>t</w:t>
      </w:r>
      <w:r w:rsidR="00EA39B2">
        <w:rPr>
          <w:sz w:val="28"/>
          <w:szCs w:val="28"/>
        </w:rPr>
        <w:t>s</w:t>
      </w:r>
      <w:r>
        <w:rPr>
          <w:sz w:val="28"/>
          <w:szCs w:val="28"/>
        </w:rPr>
        <w:t xml:space="preserve"> </w:t>
      </w:r>
      <w:r w:rsidRPr="00D52E18">
        <w:rPr>
          <w:sz w:val="28"/>
          <w:szCs w:val="28"/>
        </w:rPr>
        <w:t xml:space="preserve">dans l’offre des </w:t>
      </w:r>
      <w:r>
        <w:rPr>
          <w:sz w:val="28"/>
          <w:szCs w:val="28"/>
        </w:rPr>
        <w:t xml:space="preserve">prestations de soins et </w:t>
      </w:r>
      <w:r w:rsidRPr="00D52E18">
        <w:rPr>
          <w:sz w:val="28"/>
          <w:szCs w:val="28"/>
        </w:rPr>
        <w:t>services de santé</w:t>
      </w:r>
      <w:r>
        <w:rPr>
          <w:sz w:val="28"/>
          <w:szCs w:val="28"/>
        </w:rPr>
        <w:t xml:space="preserve"> de qualité à la population</w:t>
      </w:r>
      <w:r w:rsidRPr="00D52E18">
        <w:rPr>
          <w:sz w:val="28"/>
          <w:szCs w:val="28"/>
        </w:rPr>
        <w:t xml:space="preserve">. </w:t>
      </w:r>
    </w:p>
    <w:p w:rsidR="00D04EFA" w:rsidRDefault="004A551C" w:rsidP="000429CE">
      <w:pPr>
        <w:tabs>
          <w:tab w:val="left" w:pos="1418"/>
        </w:tabs>
        <w:jc w:val="both"/>
        <w:rPr>
          <w:sz w:val="28"/>
          <w:szCs w:val="28"/>
        </w:rPr>
      </w:pPr>
      <w:r w:rsidRPr="00D52E18">
        <w:rPr>
          <w:sz w:val="28"/>
          <w:szCs w:val="28"/>
        </w:rPr>
        <w:t>Ce</w:t>
      </w:r>
      <w:r w:rsidR="0044436E" w:rsidRPr="00D52E18">
        <w:rPr>
          <w:sz w:val="28"/>
          <w:szCs w:val="28"/>
        </w:rPr>
        <w:t xml:space="preserve">s mesures </w:t>
      </w:r>
      <w:r w:rsidR="004F582E" w:rsidRPr="00D52E18">
        <w:rPr>
          <w:sz w:val="28"/>
          <w:szCs w:val="28"/>
        </w:rPr>
        <w:t>exiger</w:t>
      </w:r>
      <w:r w:rsidR="0044436E" w:rsidRPr="00D52E18">
        <w:rPr>
          <w:sz w:val="28"/>
          <w:szCs w:val="28"/>
        </w:rPr>
        <w:t>ont</w:t>
      </w:r>
      <w:r w:rsidR="004F582E" w:rsidRPr="00D52E18">
        <w:rPr>
          <w:sz w:val="28"/>
          <w:szCs w:val="28"/>
        </w:rPr>
        <w:t xml:space="preserve"> </w:t>
      </w:r>
      <w:r w:rsidR="0044436E" w:rsidRPr="00D52E18">
        <w:rPr>
          <w:sz w:val="28"/>
          <w:szCs w:val="28"/>
        </w:rPr>
        <w:t>d’importantes réformes dans les facultés des universités et dans les écoles d’enseignement technique et professionnel (publiques ou privées) qui forment des professionnels de la santé ou des techniciens utiles à la santé</w:t>
      </w:r>
      <w:r w:rsidR="00157628">
        <w:rPr>
          <w:sz w:val="28"/>
          <w:szCs w:val="28"/>
        </w:rPr>
        <w:t xml:space="preserve">. </w:t>
      </w:r>
      <w:r w:rsidR="001B36C1" w:rsidRPr="00D52E18">
        <w:rPr>
          <w:sz w:val="28"/>
          <w:szCs w:val="28"/>
        </w:rPr>
        <w:t xml:space="preserve">A cet </w:t>
      </w:r>
      <w:r w:rsidR="0044436E" w:rsidRPr="00D52E18">
        <w:rPr>
          <w:sz w:val="28"/>
          <w:szCs w:val="28"/>
        </w:rPr>
        <w:t>e</w:t>
      </w:r>
      <w:r w:rsidR="001B36C1" w:rsidRPr="00D52E18">
        <w:rPr>
          <w:sz w:val="28"/>
          <w:szCs w:val="28"/>
        </w:rPr>
        <w:t xml:space="preserve">ffet, le </w:t>
      </w:r>
      <w:r w:rsidR="00233152">
        <w:rPr>
          <w:sz w:val="28"/>
          <w:szCs w:val="28"/>
        </w:rPr>
        <w:t xml:space="preserve">MS veillera à construire </w:t>
      </w:r>
      <w:r w:rsidR="001B36C1" w:rsidRPr="00D52E18">
        <w:rPr>
          <w:sz w:val="28"/>
          <w:szCs w:val="28"/>
        </w:rPr>
        <w:t xml:space="preserve">le partenariat </w:t>
      </w:r>
      <w:r w:rsidR="00D04EFA">
        <w:rPr>
          <w:sz w:val="28"/>
          <w:szCs w:val="28"/>
        </w:rPr>
        <w:t>avec les</w:t>
      </w:r>
      <w:r w:rsidR="001B36C1" w:rsidRPr="00D52E18">
        <w:rPr>
          <w:sz w:val="28"/>
          <w:szCs w:val="28"/>
        </w:rPr>
        <w:t xml:space="preserve"> départements et institutions de formation</w:t>
      </w:r>
      <w:r w:rsidR="00233152">
        <w:rPr>
          <w:sz w:val="28"/>
          <w:szCs w:val="28"/>
        </w:rPr>
        <w:t xml:space="preserve">, de manière à </w:t>
      </w:r>
      <w:r w:rsidR="0044436E" w:rsidRPr="00D52E18">
        <w:rPr>
          <w:sz w:val="28"/>
          <w:szCs w:val="28"/>
        </w:rPr>
        <w:t xml:space="preserve">participer activement à la définition et à la conduite des réformes </w:t>
      </w:r>
      <w:r w:rsidR="00233152">
        <w:rPr>
          <w:sz w:val="28"/>
          <w:szCs w:val="28"/>
        </w:rPr>
        <w:t xml:space="preserve">nécessaires du </w:t>
      </w:r>
      <w:r w:rsidR="001B36C1" w:rsidRPr="00D52E18">
        <w:rPr>
          <w:sz w:val="28"/>
          <w:szCs w:val="28"/>
        </w:rPr>
        <w:t xml:space="preserve">système de formation des RHS. </w:t>
      </w:r>
      <w:r w:rsidR="00D04EFA">
        <w:rPr>
          <w:sz w:val="28"/>
          <w:szCs w:val="28"/>
        </w:rPr>
        <w:t>Parmi l</w:t>
      </w:r>
      <w:r w:rsidR="00233152">
        <w:rPr>
          <w:sz w:val="28"/>
          <w:szCs w:val="28"/>
        </w:rPr>
        <w:t xml:space="preserve">es réformes </w:t>
      </w:r>
      <w:r w:rsidR="00D04EFA">
        <w:rPr>
          <w:sz w:val="28"/>
          <w:szCs w:val="28"/>
        </w:rPr>
        <w:t xml:space="preserve">à engager </w:t>
      </w:r>
      <w:r w:rsidR="00233152">
        <w:rPr>
          <w:sz w:val="28"/>
          <w:szCs w:val="28"/>
        </w:rPr>
        <w:t>figurent l’adaptation</w:t>
      </w:r>
      <w:r w:rsidR="00D04EFA">
        <w:rPr>
          <w:sz w:val="28"/>
          <w:szCs w:val="28"/>
        </w:rPr>
        <w:t> :</w:t>
      </w:r>
    </w:p>
    <w:p w:rsidR="00D04EFA" w:rsidRDefault="00233152" w:rsidP="004D046C">
      <w:pPr>
        <w:pStyle w:val="Paragraphedeliste"/>
        <w:numPr>
          <w:ilvl w:val="0"/>
          <w:numId w:val="7"/>
        </w:numPr>
        <w:spacing w:after="0" w:line="240" w:lineRule="auto"/>
        <w:ind w:left="851" w:hanging="425"/>
        <w:jc w:val="both"/>
        <w:rPr>
          <w:sz w:val="28"/>
          <w:szCs w:val="28"/>
        </w:rPr>
      </w:pPr>
      <w:r w:rsidRPr="00D04EFA">
        <w:rPr>
          <w:sz w:val="28"/>
          <w:szCs w:val="28"/>
        </w:rPr>
        <w:t>des programmes de formation (initiale, continue et de spécialisation)</w:t>
      </w:r>
      <w:r w:rsidR="00D04EFA" w:rsidRPr="00D04EFA">
        <w:rPr>
          <w:sz w:val="28"/>
          <w:szCs w:val="28"/>
        </w:rPr>
        <w:t xml:space="preserve"> aux besoins du système de santé guinéen (sans oublier l’intégration sous-régionale)</w:t>
      </w:r>
      <w:r w:rsidRPr="00D04EFA">
        <w:rPr>
          <w:sz w:val="28"/>
          <w:szCs w:val="28"/>
        </w:rPr>
        <w:t xml:space="preserve">, </w:t>
      </w:r>
    </w:p>
    <w:p w:rsidR="00D04EFA" w:rsidRDefault="00637306" w:rsidP="004D046C">
      <w:pPr>
        <w:pStyle w:val="Paragraphedeliste"/>
        <w:numPr>
          <w:ilvl w:val="0"/>
          <w:numId w:val="7"/>
        </w:numPr>
        <w:spacing w:after="0" w:line="240" w:lineRule="auto"/>
        <w:ind w:left="851" w:hanging="425"/>
        <w:jc w:val="both"/>
        <w:rPr>
          <w:sz w:val="28"/>
          <w:szCs w:val="28"/>
        </w:rPr>
      </w:pPr>
      <w:r w:rsidRPr="00D04EFA">
        <w:rPr>
          <w:sz w:val="28"/>
          <w:szCs w:val="28"/>
        </w:rPr>
        <w:t xml:space="preserve">des cadres juridiques qui régissent la formation, </w:t>
      </w:r>
    </w:p>
    <w:p w:rsidR="00D04EFA" w:rsidRDefault="00233152" w:rsidP="004D046C">
      <w:pPr>
        <w:pStyle w:val="Paragraphedeliste"/>
        <w:numPr>
          <w:ilvl w:val="0"/>
          <w:numId w:val="7"/>
        </w:numPr>
        <w:spacing w:after="0" w:line="240" w:lineRule="auto"/>
        <w:ind w:left="851" w:hanging="425"/>
        <w:jc w:val="both"/>
        <w:rPr>
          <w:sz w:val="28"/>
          <w:szCs w:val="28"/>
        </w:rPr>
      </w:pPr>
      <w:r w:rsidRPr="00D04EFA">
        <w:rPr>
          <w:sz w:val="28"/>
          <w:szCs w:val="28"/>
        </w:rPr>
        <w:t xml:space="preserve">des procédures de sélection des candidats, </w:t>
      </w:r>
    </w:p>
    <w:p w:rsidR="00D04EFA" w:rsidRDefault="00637306" w:rsidP="004D046C">
      <w:pPr>
        <w:pStyle w:val="Paragraphedeliste"/>
        <w:numPr>
          <w:ilvl w:val="0"/>
          <w:numId w:val="7"/>
        </w:numPr>
        <w:spacing w:after="0" w:line="240" w:lineRule="auto"/>
        <w:ind w:left="851" w:hanging="425"/>
        <w:jc w:val="both"/>
        <w:rPr>
          <w:sz w:val="28"/>
          <w:szCs w:val="28"/>
        </w:rPr>
      </w:pPr>
      <w:r w:rsidRPr="00D04EFA">
        <w:rPr>
          <w:sz w:val="28"/>
          <w:szCs w:val="28"/>
        </w:rPr>
        <w:t xml:space="preserve">des méthodes d’enseignement, </w:t>
      </w:r>
    </w:p>
    <w:p w:rsidR="0044436E" w:rsidRPr="00D04EFA" w:rsidRDefault="00233152" w:rsidP="004D046C">
      <w:pPr>
        <w:pStyle w:val="Paragraphedeliste"/>
        <w:numPr>
          <w:ilvl w:val="0"/>
          <w:numId w:val="7"/>
        </w:numPr>
        <w:ind w:left="850" w:hanging="425"/>
        <w:contextualSpacing w:val="0"/>
        <w:jc w:val="both"/>
        <w:rPr>
          <w:sz w:val="28"/>
          <w:szCs w:val="28"/>
        </w:rPr>
      </w:pPr>
      <w:r w:rsidRPr="00D04EFA">
        <w:rPr>
          <w:sz w:val="28"/>
          <w:szCs w:val="28"/>
        </w:rPr>
        <w:t>des modes de recrutement et de gestion des RHS.</w:t>
      </w:r>
    </w:p>
    <w:p w:rsidR="00760B90" w:rsidRPr="00760B90" w:rsidRDefault="00692FAA" w:rsidP="008845E6">
      <w:pPr>
        <w:jc w:val="both"/>
        <w:rPr>
          <w:bCs/>
          <w:iCs/>
          <w:sz w:val="28"/>
          <w:szCs w:val="28"/>
        </w:rPr>
      </w:pPr>
      <w:r>
        <w:rPr>
          <w:bCs/>
          <w:iCs/>
          <w:sz w:val="28"/>
          <w:szCs w:val="28"/>
        </w:rPr>
        <w:t>Afin que les mesures ci-dessus se réalisent de manière coordonnée et efficace, la DR</w:t>
      </w:r>
      <w:r w:rsidR="00157628">
        <w:rPr>
          <w:bCs/>
          <w:iCs/>
          <w:sz w:val="28"/>
          <w:szCs w:val="28"/>
        </w:rPr>
        <w:t>H</w:t>
      </w:r>
      <w:r>
        <w:rPr>
          <w:bCs/>
          <w:iCs/>
          <w:sz w:val="28"/>
          <w:szCs w:val="28"/>
        </w:rPr>
        <w:t xml:space="preserve">S a besoins de cadres </w:t>
      </w:r>
      <w:r w:rsidR="00FD3752">
        <w:rPr>
          <w:bCs/>
          <w:iCs/>
          <w:sz w:val="28"/>
          <w:szCs w:val="28"/>
        </w:rPr>
        <w:t>compétents</w:t>
      </w:r>
      <w:r w:rsidR="00760B90">
        <w:rPr>
          <w:bCs/>
          <w:iCs/>
          <w:sz w:val="28"/>
          <w:szCs w:val="28"/>
        </w:rPr>
        <w:t xml:space="preserve"> et de moyens de travail</w:t>
      </w:r>
      <w:r>
        <w:rPr>
          <w:bCs/>
          <w:iCs/>
          <w:sz w:val="28"/>
          <w:szCs w:val="28"/>
        </w:rPr>
        <w:t xml:space="preserve">. </w:t>
      </w:r>
      <w:r w:rsidR="00FD3752">
        <w:rPr>
          <w:bCs/>
          <w:iCs/>
          <w:sz w:val="28"/>
          <w:szCs w:val="28"/>
        </w:rPr>
        <w:t>Aussi, le MS veillera à améliorer en permanence les capacités en leadership et management des cadres de cette direction, notamment les premiers responsables, les chefs de division et de section, pour dépasser leur simple cohabitation dans le même service et en faire une équipe de travail solide. Certains parmi eux seront spécialisés en gestion prévisionnelle des RH</w:t>
      </w:r>
      <w:r w:rsidR="00281396">
        <w:rPr>
          <w:bCs/>
          <w:iCs/>
          <w:sz w:val="28"/>
          <w:szCs w:val="28"/>
        </w:rPr>
        <w:t>S</w:t>
      </w:r>
      <w:r w:rsidR="00FD3752">
        <w:rPr>
          <w:bCs/>
          <w:iCs/>
          <w:sz w:val="28"/>
          <w:szCs w:val="28"/>
        </w:rPr>
        <w:t>.</w:t>
      </w:r>
      <w:r w:rsidR="00760B90">
        <w:rPr>
          <w:bCs/>
          <w:iCs/>
          <w:color w:val="FF0000"/>
          <w:sz w:val="28"/>
          <w:szCs w:val="28"/>
        </w:rPr>
        <w:t xml:space="preserve"> </w:t>
      </w:r>
    </w:p>
    <w:p w:rsidR="001D299F" w:rsidRPr="006A0EC1" w:rsidRDefault="001D299F" w:rsidP="004D046C">
      <w:pPr>
        <w:pStyle w:val="Titre2"/>
        <w:numPr>
          <w:ilvl w:val="2"/>
          <w:numId w:val="5"/>
        </w:numPr>
        <w:spacing w:after="120"/>
        <w:ind w:left="1985" w:hanging="851"/>
        <w:jc w:val="both"/>
        <w:rPr>
          <w:sz w:val="28"/>
          <w:szCs w:val="28"/>
        </w:rPr>
      </w:pPr>
      <w:r w:rsidRPr="006A0EC1">
        <w:rPr>
          <w:sz w:val="28"/>
          <w:szCs w:val="28"/>
        </w:rPr>
        <w:t>Renforcement du cadre et des capacités institutionnelles de Formation initiale, continue et de spécialisation des RHS</w:t>
      </w:r>
    </w:p>
    <w:p w:rsidR="00642B17" w:rsidRPr="00642B17" w:rsidRDefault="00642B17" w:rsidP="00642B17">
      <w:pPr>
        <w:spacing w:before="1"/>
        <w:jc w:val="both"/>
        <w:rPr>
          <w:rFonts w:cs="Arial"/>
          <w:sz w:val="28"/>
          <w:szCs w:val="28"/>
        </w:rPr>
      </w:pPr>
      <w:r w:rsidRPr="00642B17">
        <w:rPr>
          <w:rFonts w:cs="Arial"/>
          <w:sz w:val="28"/>
          <w:szCs w:val="28"/>
        </w:rPr>
        <w:t>Pour relever les défis et recentrer durablement le système de formation des RHS sur les besoins quantitatifs et qualitatifs du système de santé, trois interventions principales seront développées. Ce sont :</w:t>
      </w:r>
    </w:p>
    <w:p w:rsidR="00642B17" w:rsidRPr="00642B17" w:rsidRDefault="00642B17" w:rsidP="004D046C">
      <w:pPr>
        <w:pStyle w:val="Paragraphedeliste"/>
        <w:numPr>
          <w:ilvl w:val="0"/>
          <w:numId w:val="7"/>
        </w:numPr>
        <w:spacing w:after="0" w:line="240" w:lineRule="auto"/>
        <w:ind w:left="851" w:hanging="425"/>
        <w:jc w:val="both"/>
        <w:rPr>
          <w:rFonts w:cs="Arial"/>
          <w:sz w:val="28"/>
          <w:szCs w:val="28"/>
        </w:rPr>
      </w:pPr>
      <w:r w:rsidRPr="00152DF0">
        <w:rPr>
          <w:sz w:val="28"/>
          <w:szCs w:val="28"/>
        </w:rPr>
        <w:lastRenderedPageBreak/>
        <w:t>Le</w:t>
      </w:r>
      <w:r w:rsidRPr="00642B17">
        <w:rPr>
          <w:rFonts w:cs="Arial"/>
          <w:sz w:val="28"/>
          <w:szCs w:val="28"/>
        </w:rPr>
        <w:t xml:space="preserve"> renforcement des capacités des institutions de formation initiale, continue et de spécialisation ;</w:t>
      </w:r>
    </w:p>
    <w:p w:rsidR="00642B17" w:rsidRPr="00642B17" w:rsidRDefault="00642B17" w:rsidP="004D046C">
      <w:pPr>
        <w:pStyle w:val="Paragraphedeliste"/>
        <w:numPr>
          <w:ilvl w:val="0"/>
          <w:numId w:val="7"/>
        </w:numPr>
        <w:spacing w:after="0" w:line="240" w:lineRule="auto"/>
        <w:ind w:left="851" w:hanging="425"/>
        <w:jc w:val="both"/>
        <w:rPr>
          <w:rFonts w:cs="Arial"/>
          <w:sz w:val="28"/>
          <w:szCs w:val="28"/>
        </w:rPr>
      </w:pPr>
      <w:r w:rsidRPr="00152DF0">
        <w:rPr>
          <w:sz w:val="28"/>
          <w:szCs w:val="28"/>
        </w:rPr>
        <w:t>L’amélioration</w:t>
      </w:r>
      <w:r w:rsidRPr="00642B17">
        <w:rPr>
          <w:rFonts w:cs="Arial"/>
          <w:sz w:val="28"/>
          <w:szCs w:val="28"/>
        </w:rPr>
        <w:t xml:space="preserve"> de la gouvernance du système de formation initiale et continue</w:t>
      </w:r>
      <w:r>
        <w:rPr>
          <w:rFonts w:cs="Arial"/>
          <w:sz w:val="28"/>
          <w:szCs w:val="28"/>
        </w:rPr>
        <w:t xml:space="preserve"> et</w:t>
      </w:r>
      <w:r w:rsidRPr="00642B17">
        <w:rPr>
          <w:rFonts w:cs="Arial"/>
          <w:sz w:val="28"/>
          <w:szCs w:val="28"/>
        </w:rPr>
        <w:t>;</w:t>
      </w:r>
    </w:p>
    <w:p w:rsidR="00642B17" w:rsidRPr="00642B17" w:rsidRDefault="00642B17" w:rsidP="004D046C">
      <w:pPr>
        <w:pStyle w:val="Paragraphedeliste"/>
        <w:numPr>
          <w:ilvl w:val="0"/>
          <w:numId w:val="7"/>
        </w:numPr>
        <w:ind w:left="850" w:hanging="425"/>
        <w:contextualSpacing w:val="0"/>
        <w:jc w:val="both"/>
        <w:rPr>
          <w:rFonts w:cs="Arial"/>
          <w:sz w:val="28"/>
          <w:szCs w:val="28"/>
        </w:rPr>
      </w:pPr>
      <w:r w:rsidRPr="00152DF0">
        <w:rPr>
          <w:sz w:val="28"/>
          <w:szCs w:val="28"/>
        </w:rPr>
        <w:t>La</w:t>
      </w:r>
      <w:r>
        <w:rPr>
          <w:rFonts w:cs="Arial"/>
          <w:sz w:val="28"/>
          <w:szCs w:val="28"/>
        </w:rPr>
        <w:t xml:space="preserve"> </w:t>
      </w:r>
      <w:r w:rsidRPr="00642B17">
        <w:rPr>
          <w:rFonts w:cs="Arial"/>
          <w:sz w:val="28"/>
          <w:szCs w:val="28"/>
        </w:rPr>
        <w:t xml:space="preserve"> mise en œuvre de réformes.</w:t>
      </w:r>
    </w:p>
    <w:p w:rsidR="00642B17" w:rsidRPr="00A20023" w:rsidRDefault="00642B17" w:rsidP="004D046C">
      <w:pPr>
        <w:pStyle w:val="Paragraphedeliste"/>
        <w:numPr>
          <w:ilvl w:val="0"/>
          <w:numId w:val="11"/>
        </w:numPr>
        <w:tabs>
          <w:tab w:val="left" w:pos="3402"/>
        </w:tabs>
        <w:jc w:val="both"/>
        <w:rPr>
          <w:rFonts w:cs="Arial"/>
          <w:b/>
          <w:i/>
          <w:sz w:val="28"/>
          <w:szCs w:val="28"/>
        </w:rPr>
      </w:pPr>
      <w:r w:rsidRPr="00A20023">
        <w:rPr>
          <w:rFonts w:cs="Arial"/>
          <w:b/>
          <w:i/>
          <w:sz w:val="28"/>
          <w:szCs w:val="28"/>
        </w:rPr>
        <w:t>Renforcement des capacités des institutions de formation initiale, continue et de spécialisation</w:t>
      </w:r>
    </w:p>
    <w:p w:rsidR="00642B17" w:rsidRPr="00642B17" w:rsidRDefault="00642B17" w:rsidP="00642B17">
      <w:pPr>
        <w:widowControl w:val="0"/>
        <w:spacing w:after="120"/>
        <w:jc w:val="both"/>
        <w:rPr>
          <w:rFonts w:cs="Arial"/>
          <w:sz w:val="28"/>
          <w:szCs w:val="28"/>
        </w:rPr>
      </w:pPr>
      <w:r w:rsidRPr="00642B17">
        <w:rPr>
          <w:rFonts w:cs="Arial"/>
          <w:sz w:val="28"/>
          <w:szCs w:val="28"/>
        </w:rPr>
        <w:t xml:space="preserve">Dans le cadre de cette intervention, les actions prioritaires qui suivent seront menées: </w:t>
      </w:r>
    </w:p>
    <w:p w:rsidR="00642B17" w:rsidRPr="00642B17" w:rsidRDefault="00642B17" w:rsidP="004D046C">
      <w:pPr>
        <w:pStyle w:val="Paragraphedeliste"/>
        <w:numPr>
          <w:ilvl w:val="0"/>
          <w:numId w:val="7"/>
        </w:numPr>
        <w:spacing w:after="120"/>
        <w:ind w:left="850" w:hanging="425"/>
        <w:contextualSpacing w:val="0"/>
        <w:jc w:val="both"/>
        <w:rPr>
          <w:rFonts w:cs="Arial"/>
          <w:i/>
          <w:sz w:val="28"/>
          <w:szCs w:val="28"/>
        </w:rPr>
      </w:pPr>
      <w:r w:rsidRPr="00642B17">
        <w:rPr>
          <w:rFonts w:cs="Arial"/>
          <w:i/>
          <w:sz w:val="28"/>
          <w:szCs w:val="28"/>
        </w:rPr>
        <w:t>renforcer les capacités pédagogiques et didactiques des  institutions de formation.</w:t>
      </w:r>
    </w:p>
    <w:p w:rsidR="00642B17" w:rsidRPr="00642B17" w:rsidRDefault="00A20023" w:rsidP="00A65ECF">
      <w:pPr>
        <w:pStyle w:val="Corpsdetexte"/>
        <w:spacing w:before="1" w:after="200" w:line="276" w:lineRule="auto"/>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t>Il</w:t>
      </w:r>
      <w:r w:rsidR="00642B17" w:rsidRPr="00642B17">
        <w:rPr>
          <w:rFonts w:asciiTheme="minorHAnsi" w:eastAsiaTheme="minorHAnsi" w:hAnsiTheme="minorHAnsi" w:cs="Arial"/>
          <w:sz w:val="28"/>
          <w:szCs w:val="28"/>
          <w:lang w:val="fr-FR"/>
        </w:rPr>
        <w:t xml:space="preserve"> s’agira de soutenir des initiatives d’amélioration  des compétences des enseignants dans le système de formation initiale des niveaux universitaire et professionnel. Dans ce cadre, une  attention particulière sera accordée par le Ministère de la santé aux conditions d’identification et d’accompagnement du personnel enseignant bi-appartenant.</w:t>
      </w:r>
    </w:p>
    <w:p w:rsidR="00642B17" w:rsidRPr="00642B17" w:rsidRDefault="00642B17" w:rsidP="00A65ECF">
      <w:pPr>
        <w:pStyle w:val="Corpsdetexte"/>
        <w:spacing w:before="1" w:after="200" w:line="276" w:lineRule="auto"/>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t xml:space="preserve">Par ailleurs, l’accent sera mis sur le développement des infrastructures, des technologies de formation et sur l’accès aux bibliothèques virtuelles. Les technologies de l’information seront mises à profit pour </w:t>
      </w:r>
      <w:r w:rsidRPr="00B10500">
        <w:rPr>
          <w:rFonts w:asciiTheme="minorHAnsi" w:eastAsiaTheme="minorHAnsi" w:hAnsiTheme="minorHAnsi" w:cs="Arial"/>
          <w:sz w:val="28"/>
          <w:szCs w:val="28"/>
          <w:lang w:val="fr-FR"/>
        </w:rPr>
        <w:t>élargir les capacités d’animation et d’illustration des cours et de</w:t>
      </w:r>
      <w:r w:rsidRPr="00642B17">
        <w:rPr>
          <w:rFonts w:asciiTheme="minorHAnsi" w:eastAsiaTheme="minorHAnsi" w:hAnsiTheme="minorHAnsi" w:cs="Arial"/>
          <w:sz w:val="28"/>
          <w:szCs w:val="28"/>
          <w:lang w:val="fr-FR"/>
        </w:rPr>
        <w:t xml:space="preserve"> développer la stratégie de la formation à distance.</w:t>
      </w:r>
    </w:p>
    <w:p w:rsidR="00642B17" w:rsidRPr="00642B17" w:rsidRDefault="00642B17" w:rsidP="00B10500">
      <w:pPr>
        <w:pStyle w:val="Corpsdetexte"/>
        <w:spacing w:before="1" w:after="240"/>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t>Dans tous ces domaines d’intérêt commun pour la formation des RHS, les parties prenantes mutualiseront leurs efforts pour accroitre la robustesse et la profitabilité des acquis de part et d’autre en vue de favoriser l’accès des apprenants aux meilleures conditions d’accueil et d’apprentissage</w:t>
      </w:r>
      <w:r w:rsidR="00B10500">
        <w:rPr>
          <w:rFonts w:asciiTheme="minorHAnsi" w:eastAsiaTheme="minorHAnsi" w:hAnsiTheme="minorHAnsi" w:cs="Arial"/>
          <w:sz w:val="28"/>
          <w:szCs w:val="28"/>
          <w:lang w:val="fr-FR"/>
        </w:rPr>
        <w:t xml:space="preserve">. Ce principe est applicable </w:t>
      </w:r>
      <w:r w:rsidRPr="00642B17">
        <w:rPr>
          <w:rFonts w:asciiTheme="minorHAnsi" w:eastAsiaTheme="minorHAnsi" w:hAnsiTheme="minorHAnsi" w:cs="Arial"/>
          <w:sz w:val="28"/>
          <w:szCs w:val="28"/>
          <w:lang w:val="fr-FR"/>
        </w:rPr>
        <w:t xml:space="preserve">où que la formation </w:t>
      </w:r>
      <w:r w:rsidR="00B10500">
        <w:rPr>
          <w:rFonts w:asciiTheme="minorHAnsi" w:eastAsiaTheme="minorHAnsi" w:hAnsiTheme="minorHAnsi" w:cs="Arial"/>
          <w:sz w:val="28"/>
          <w:szCs w:val="28"/>
          <w:lang w:val="fr-FR"/>
        </w:rPr>
        <w:t>(initiale, continue ou de spécialisation)</w:t>
      </w:r>
      <w:r w:rsidRPr="00642B17">
        <w:rPr>
          <w:rFonts w:asciiTheme="minorHAnsi" w:eastAsiaTheme="minorHAnsi" w:hAnsiTheme="minorHAnsi" w:cs="Arial"/>
          <w:sz w:val="28"/>
          <w:szCs w:val="28"/>
          <w:lang w:val="fr-FR"/>
        </w:rPr>
        <w:t xml:space="preserve">. </w:t>
      </w:r>
    </w:p>
    <w:p w:rsidR="00642B17" w:rsidRPr="00B10500" w:rsidRDefault="00B10500" w:rsidP="004D046C">
      <w:pPr>
        <w:pStyle w:val="Paragraphedeliste"/>
        <w:numPr>
          <w:ilvl w:val="0"/>
          <w:numId w:val="7"/>
        </w:numPr>
        <w:spacing w:after="120"/>
        <w:ind w:left="850" w:hanging="425"/>
        <w:contextualSpacing w:val="0"/>
        <w:jc w:val="both"/>
        <w:rPr>
          <w:rFonts w:cs="Arial"/>
          <w:i/>
          <w:sz w:val="28"/>
          <w:szCs w:val="28"/>
        </w:rPr>
      </w:pPr>
      <w:r>
        <w:rPr>
          <w:rFonts w:cs="Arial"/>
          <w:i/>
          <w:sz w:val="28"/>
          <w:szCs w:val="28"/>
        </w:rPr>
        <w:t>A</w:t>
      </w:r>
      <w:r w:rsidR="00642B17" w:rsidRPr="00B10500">
        <w:rPr>
          <w:rFonts w:cs="Arial"/>
          <w:i/>
          <w:sz w:val="28"/>
          <w:szCs w:val="28"/>
        </w:rPr>
        <w:t>méliorer les capacités d’accueil et d’encadrement des stages </w:t>
      </w:r>
    </w:p>
    <w:p w:rsidR="00642B17" w:rsidRPr="00642B17" w:rsidRDefault="00642B17" w:rsidP="00A65ECF">
      <w:pPr>
        <w:pStyle w:val="Corpsdetexte"/>
        <w:spacing w:before="1" w:after="200" w:line="276" w:lineRule="auto"/>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t>Les parties prenantes au système de formation accorderont une attention soutenue à l’accès aux sites de stages dans les meilleures conditions, dès la phase de recrutement des étudiants, aussi bien dans le public que dans le privé. Ainsi, la possibilité d’accès à un stage adéquat pendant la formation sera un des critères du calibrage du volume des inscriptions dans les écoles publiques et privées de formation en santé.</w:t>
      </w:r>
    </w:p>
    <w:p w:rsidR="00642B17" w:rsidRPr="00642B17" w:rsidRDefault="00642B17" w:rsidP="00B10500">
      <w:pPr>
        <w:pStyle w:val="Corpsdetexte"/>
        <w:spacing w:before="1" w:after="240"/>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lastRenderedPageBreak/>
        <w:t xml:space="preserve"> Le développement des sites de stage et des capacités d’encadrement des apprenants sur ces sites sera un des axes du partenariat que le Ministère de la santé établira avec les Ministères et institutions en charge de la formation des RHS.</w:t>
      </w:r>
    </w:p>
    <w:p w:rsidR="00642B17" w:rsidRPr="00B10500" w:rsidRDefault="00642B17" w:rsidP="004D046C">
      <w:pPr>
        <w:pStyle w:val="Paragraphedeliste"/>
        <w:numPr>
          <w:ilvl w:val="0"/>
          <w:numId w:val="7"/>
        </w:numPr>
        <w:spacing w:after="120"/>
        <w:ind w:left="850" w:hanging="425"/>
        <w:contextualSpacing w:val="0"/>
        <w:jc w:val="both"/>
        <w:rPr>
          <w:rFonts w:cs="Arial"/>
          <w:i/>
          <w:sz w:val="28"/>
          <w:szCs w:val="28"/>
        </w:rPr>
      </w:pPr>
      <w:r w:rsidRPr="00642B17">
        <w:rPr>
          <w:rFonts w:cs="Arial"/>
          <w:sz w:val="28"/>
          <w:szCs w:val="28"/>
        </w:rPr>
        <w:t xml:space="preserve"> </w:t>
      </w:r>
      <w:r w:rsidRPr="00152DF0">
        <w:rPr>
          <w:sz w:val="28"/>
          <w:szCs w:val="28"/>
        </w:rPr>
        <w:t>aligner</w:t>
      </w:r>
      <w:r w:rsidRPr="00B10500">
        <w:rPr>
          <w:rFonts w:cs="Arial"/>
          <w:i/>
          <w:sz w:val="28"/>
          <w:szCs w:val="28"/>
        </w:rPr>
        <w:t xml:space="preserve"> les programmes de formation initiale,  continue et de spécialisation sur les besoins en compétences du système de santé</w:t>
      </w:r>
    </w:p>
    <w:p w:rsidR="00642B17" w:rsidRPr="00642B17" w:rsidRDefault="00642B17" w:rsidP="00BE6CCB">
      <w:pPr>
        <w:pStyle w:val="Corpsdetexte"/>
        <w:spacing w:before="1" w:after="240"/>
        <w:jc w:val="both"/>
        <w:rPr>
          <w:rFonts w:asciiTheme="minorHAnsi" w:eastAsiaTheme="minorHAnsi" w:hAnsiTheme="minorHAnsi" w:cs="Arial"/>
          <w:sz w:val="28"/>
          <w:szCs w:val="28"/>
          <w:lang w:val="fr-FR"/>
        </w:rPr>
      </w:pPr>
      <w:r w:rsidRPr="00BE6CCB">
        <w:rPr>
          <w:rFonts w:asciiTheme="minorHAnsi" w:eastAsiaTheme="minorHAnsi" w:hAnsiTheme="minorHAnsi" w:cs="Arial"/>
          <w:sz w:val="28"/>
          <w:szCs w:val="28"/>
          <w:lang w:val="fr-FR"/>
        </w:rPr>
        <w:t>Pour corriger les écarts constatés entre les produits de la formation et les besoins du système de santé, un</w:t>
      </w:r>
      <w:r w:rsidRPr="00642B17">
        <w:rPr>
          <w:rFonts w:asciiTheme="minorHAnsi" w:eastAsiaTheme="minorHAnsi" w:hAnsiTheme="minorHAnsi" w:cs="Arial"/>
          <w:sz w:val="28"/>
          <w:szCs w:val="28"/>
          <w:lang w:val="fr-FR"/>
        </w:rPr>
        <w:t xml:space="preserve"> accent particulier sera mis, par les parties prenantes, sur l’identification et la mise en œuvre de stratégies de mise en cohérence entre le développement des filières de formation, le calibrage des admissions par filière, et la mise à jour des programmes d’études avec les besoins en compétences du système de santé. Dans ce cadre les parties prenantes mettront au centre du développement des programmes d’études et d’apprentissage les besoins de santé des populations et particulièrement les paquets d’activités des formations sanitaires sans perdre de vue </w:t>
      </w:r>
      <w:r w:rsidRPr="00BE6CCB">
        <w:rPr>
          <w:rFonts w:asciiTheme="minorHAnsi" w:eastAsiaTheme="minorHAnsi" w:hAnsiTheme="minorHAnsi" w:cs="Arial"/>
          <w:sz w:val="28"/>
          <w:szCs w:val="28"/>
          <w:lang w:val="fr-FR"/>
        </w:rPr>
        <w:t>la nécessité de prendre en compte</w:t>
      </w:r>
      <w:r w:rsidRPr="00642B17">
        <w:rPr>
          <w:rFonts w:asciiTheme="minorHAnsi" w:eastAsiaTheme="minorHAnsi" w:hAnsiTheme="minorHAnsi" w:cs="Arial"/>
          <w:sz w:val="28"/>
          <w:szCs w:val="28"/>
          <w:lang w:val="fr-FR"/>
        </w:rPr>
        <w:t xml:space="preserve"> la transition épidémiologique en cours.</w:t>
      </w:r>
    </w:p>
    <w:p w:rsidR="00642B17" w:rsidRPr="00BE6CCB" w:rsidRDefault="00642B17" w:rsidP="00BE6CCB">
      <w:pPr>
        <w:pStyle w:val="Corpsdetexte"/>
        <w:spacing w:before="1" w:after="240"/>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t xml:space="preserve">Dans le système de formation continue, il s’agit de sortir de l’amateurisme et de professionnaliser la formation en dotant l’ensemble des formateurs de compétences en andragogie. Il s’agira également de les doter des programmes </w:t>
      </w:r>
      <w:r w:rsidRPr="00BE6CCB">
        <w:rPr>
          <w:rFonts w:asciiTheme="minorHAnsi" w:eastAsiaTheme="minorHAnsi" w:hAnsiTheme="minorHAnsi" w:cs="Arial"/>
          <w:sz w:val="28"/>
          <w:szCs w:val="28"/>
          <w:lang w:val="fr-FR"/>
        </w:rPr>
        <w:t>de formation</w:t>
      </w:r>
      <w:r w:rsidRPr="00642B17">
        <w:rPr>
          <w:rFonts w:asciiTheme="minorHAnsi" w:eastAsiaTheme="minorHAnsi" w:hAnsiTheme="minorHAnsi" w:cs="Arial"/>
          <w:sz w:val="28"/>
          <w:szCs w:val="28"/>
          <w:lang w:val="fr-FR"/>
        </w:rPr>
        <w:t xml:space="preserve"> mis aux normes de bonnes pratiques pédagogiques.</w:t>
      </w:r>
    </w:p>
    <w:p w:rsidR="00642B17" w:rsidRPr="00BE6CCB" w:rsidRDefault="00642B17" w:rsidP="004D046C">
      <w:pPr>
        <w:pStyle w:val="Paragraphedeliste"/>
        <w:numPr>
          <w:ilvl w:val="0"/>
          <w:numId w:val="11"/>
        </w:numPr>
        <w:tabs>
          <w:tab w:val="left" w:pos="3402"/>
        </w:tabs>
        <w:jc w:val="both"/>
        <w:rPr>
          <w:rFonts w:cs="Arial"/>
          <w:b/>
          <w:i/>
          <w:sz w:val="28"/>
          <w:szCs w:val="28"/>
        </w:rPr>
      </w:pPr>
      <w:r w:rsidRPr="00BE6CCB">
        <w:rPr>
          <w:rFonts w:cs="Arial"/>
          <w:b/>
          <w:i/>
          <w:sz w:val="28"/>
          <w:szCs w:val="28"/>
        </w:rPr>
        <w:t>Renforcement de la gouvernance du système de formation</w:t>
      </w:r>
    </w:p>
    <w:p w:rsidR="00642B17" w:rsidRPr="00642B17" w:rsidRDefault="00642B17" w:rsidP="00BE6CCB">
      <w:pPr>
        <w:pStyle w:val="Corpsdetexte"/>
        <w:spacing w:before="1" w:after="240"/>
        <w:jc w:val="both"/>
        <w:rPr>
          <w:rFonts w:asciiTheme="minorHAnsi" w:eastAsiaTheme="minorHAnsi" w:hAnsiTheme="minorHAnsi" w:cs="Arial"/>
          <w:sz w:val="28"/>
          <w:szCs w:val="28"/>
          <w:lang w:val="fr-FR"/>
        </w:rPr>
      </w:pPr>
      <w:r w:rsidRPr="00BE6CCB">
        <w:rPr>
          <w:rFonts w:asciiTheme="minorHAnsi" w:eastAsiaTheme="minorHAnsi" w:hAnsiTheme="minorHAnsi" w:cs="Arial"/>
          <w:sz w:val="28"/>
          <w:szCs w:val="28"/>
          <w:lang w:val="fr-FR"/>
        </w:rPr>
        <w:t>Pour assurer au système de formation des RHS une efficacité interne et externe, la mise en place de plusieurs instruments de gouvernance est nécessaire. Dans ce cadre,</w:t>
      </w:r>
      <w:r w:rsidRPr="00642B17">
        <w:rPr>
          <w:rFonts w:asciiTheme="minorHAnsi" w:eastAsiaTheme="minorHAnsi" w:hAnsiTheme="minorHAnsi" w:cs="Arial"/>
          <w:sz w:val="28"/>
          <w:szCs w:val="28"/>
          <w:lang w:val="fr-FR"/>
        </w:rPr>
        <w:t xml:space="preserve"> les actions principales </w:t>
      </w:r>
      <w:r w:rsidR="00BE6CCB">
        <w:rPr>
          <w:rFonts w:asciiTheme="minorHAnsi" w:eastAsiaTheme="minorHAnsi" w:hAnsiTheme="minorHAnsi" w:cs="Arial"/>
          <w:sz w:val="28"/>
          <w:szCs w:val="28"/>
          <w:lang w:val="fr-FR"/>
        </w:rPr>
        <w:t>suivantes</w:t>
      </w:r>
      <w:r w:rsidRPr="00642B17">
        <w:rPr>
          <w:rFonts w:asciiTheme="minorHAnsi" w:eastAsiaTheme="minorHAnsi" w:hAnsiTheme="minorHAnsi" w:cs="Arial"/>
          <w:sz w:val="28"/>
          <w:szCs w:val="28"/>
          <w:lang w:val="fr-FR"/>
        </w:rPr>
        <w:t xml:space="preserve"> seront développées : </w:t>
      </w:r>
    </w:p>
    <w:p w:rsidR="00642B17" w:rsidRPr="00A20023" w:rsidRDefault="00642B17" w:rsidP="004D046C">
      <w:pPr>
        <w:pStyle w:val="Paragraphedeliste"/>
        <w:numPr>
          <w:ilvl w:val="0"/>
          <w:numId w:val="12"/>
        </w:numPr>
        <w:spacing w:after="120"/>
        <w:ind w:left="993" w:hanging="567"/>
        <w:jc w:val="both"/>
        <w:rPr>
          <w:rFonts w:cs="Arial"/>
          <w:i/>
          <w:sz w:val="28"/>
          <w:szCs w:val="28"/>
        </w:rPr>
      </w:pPr>
      <w:r w:rsidRPr="00A20023">
        <w:rPr>
          <w:sz w:val="28"/>
          <w:szCs w:val="28"/>
        </w:rPr>
        <w:t>Mettre</w:t>
      </w:r>
      <w:r w:rsidRPr="00A20023">
        <w:rPr>
          <w:rFonts w:cs="Arial"/>
          <w:i/>
          <w:sz w:val="28"/>
          <w:szCs w:val="28"/>
        </w:rPr>
        <w:t xml:space="preserve"> en place les principaux instruments  de références pour la formation</w:t>
      </w:r>
    </w:p>
    <w:p w:rsidR="00642B17" w:rsidRPr="00642B17" w:rsidRDefault="00642B17" w:rsidP="00642B17">
      <w:pPr>
        <w:pStyle w:val="Corpsdetexte"/>
        <w:spacing w:before="1"/>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t xml:space="preserve">Il s’agit de définir et mettre en place les lignes directrices qui vont encadrer  les processus opérationnels à </w:t>
      </w:r>
      <w:r w:rsidR="00BE6CCB">
        <w:rPr>
          <w:rFonts w:asciiTheme="minorHAnsi" w:eastAsiaTheme="minorHAnsi" w:hAnsiTheme="minorHAnsi" w:cs="Arial"/>
          <w:sz w:val="28"/>
          <w:szCs w:val="28"/>
          <w:lang w:val="fr-FR"/>
        </w:rPr>
        <w:t>observer</w:t>
      </w:r>
      <w:r w:rsidRPr="00642B17">
        <w:rPr>
          <w:rFonts w:asciiTheme="minorHAnsi" w:eastAsiaTheme="minorHAnsi" w:hAnsiTheme="minorHAnsi" w:cs="Arial"/>
          <w:sz w:val="28"/>
          <w:szCs w:val="28"/>
          <w:lang w:val="fr-FR"/>
        </w:rPr>
        <w:t xml:space="preserve"> pour identifier, prioriser, structurer, mettre en œuvre, suivre et évaluer les activités de formation en conformité avec les orientations de la politique nationale de santé.</w:t>
      </w:r>
      <w:r w:rsidR="00BE6CCB">
        <w:rPr>
          <w:rFonts w:asciiTheme="minorHAnsi" w:eastAsiaTheme="minorHAnsi" w:hAnsiTheme="minorHAnsi" w:cs="Arial"/>
          <w:sz w:val="28"/>
          <w:szCs w:val="28"/>
          <w:lang w:val="fr-FR"/>
        </w:rPr>
        <w:t xml:space="preserve"> </w:t>
      </w:r>
      <w:r w:rsidR="009C3ECC">
        <w:rPr>
          <w:rFonts w:asciiTheme="minorHAnsi" w:eastAsiaTheme="minorHAnsi" w:hAnsiTheme="minorHAnsi" w:cs="Arial"/>
          <w:sz w:val="28"/>
          <w:szCs w:val="28"/>
          <w:lang w:val="fr-FR"/>
        </w:rPr>
        <w:t xml:space="preserve">Ces instruments sont : les </w:t>
      </w:r>
      <w:r w:rsidR="009C3ECC" w:rsidRPr="009C3ECC">
        <w:rPr>
          <w:rFonts w:asciiTheme="minorHAnsi" w:hAnsiTheme="minorHAnsi" w:cs="Arial"/>
          <w:sz w:val="28"/>
          <w:szCs w:val="28"/>
          <w:lang w:val="fr-FR"/>
        </w:rPr>
        <w:t xml:space="preserve">normes et procédures, </w:t>
      </w:r>
      <w:r w:rsidR="009C3ECC">
        <w:rPr>
          <w:rFonts w:asciiTheme="minorHAnsi" w:hAnsiTheme="minorHAnsi" w:cs="Arial"/>
          <w:sz w:val="28"/>
          <w:szCs w:val="28"/>
          <w:lang w:val="fr-FR"/>
        </w:rPr>
        <w:t xml:space="preserve">les </w:t>
      </w:r>
      <w:r w:rsidR="009C3ECC" w:rsidRPr="009C3ECC">
        <w:rPr>
          <w:rFonts w:asciiTheme="minorHAnsi" w:hAnsiTheme="minorHAnsi" w:cs="Arial"/>
          <w:sz w:val="28"/>
          <w:szCs w:val="28"/>
          <w:lang w:val="fr-FR"/>
        </w:rPr>
        <w:t>référentiels des métiers et des compétences</w:t>
      </w:r>
      <w:r w:rsidR="009C3ECC">
        <w:rPr>
          <w:rFonts w:asciiTheme="minorHAnsi" w:hAnsiTheme="minorHAnsi" w:cs="Arial"/>
          <w:sz w:val="28"/>
          <w:szCs w:val="28"/>
          <w:lang w:val="fr-FR"/>
        </w:rPr>
        <w:t xml:space="preserve"> et le </w:t>
      </w:r>
      <w:r w:rsidR="009C3ECC" w:rsidRPr="009C3ECC">
        <w:rPr>
          <w:rFonts w:asciiTheme="minorHAnsi" w:hAnsiTheme="minorHAnsi" w:cs="Arial"/>
          <w:sz w:val="28"/>
          <w:szCs w:val="28"/>
          <w:lang w:val="fr-FR"/>
        </w:rPr>
        <w:t>système de suivi-évaluation</w:t>
      </w:r>
      <w:r w:rsidR="009C3ECC">
        <w:rPr>
          <w:rFonts w:asciiTheme="minorHAnsi" w:hAnsiTheme="minorHAnsi" w:cs="Arial"/>
          <w:sz w:val="28"/>
          <w:szCs w:val="28"/>
          <w:lang w:val="fr-FR"/>
        </w:rPr>
        <w:t>.</w:t>
      </w:r>
    </w:p>
    <w:p w:rsidR="00642B17" w:rsidRPr="00642B17" w:rsidRDefault="00642B17" w:rsidP="00642B17">
      <w:pPr>
        <w:pStyle w:val="Corpsdetexte"/>
        <w:spacing w:before="1"/>
        <w:ind w:left="1171"/>
        <w:jc w:val="both"/>
        <w:rPr>
          <w:rFonts w:asciiTheme="minorHAnsi" w:hAnsiTheme="minorHAnsi" w:cs="Arial"/>
          <w:sz w:val="28"/>
          <w:szCs w:val="28"/>
          <w:lang w:val="fr-FR"/>
        </w:rPr>
      </w:pPr>
    </w:p>
    <w:p w:rsidR="00642B17" w:rsidRPr="009C3ECC" w:rsidRDefault="00642B17" w:rsidP="004D046C">
      <w:pPr>
        <w:pStyle w:val="Paragraphedeliste"/>
        <w:numPr>
          <w:ilvl w:val="0"/>
          <w:numId w:val="12"/>
        </w:numPr>
        <w:spacing w:after="120"/>
        <w:ind w:left="993" w:hanging="567"/>
        <w:jc w:val="both"/>
        <w:rPr>
          <w:rFonts w:cs="Arial"/>
          <w:i/>
          <w:sz w:val="28"/>
          <w:szCs w:val="28"/>
        </w:rPr>
      </w:pPr>
      <w:r w:rsidRPr="00A20023">
        <w:rPr>
          <w:sz w:val="28"/>
          <w:szCs w:val="28"/>
        </w:rPr>
        <w:lastRenderedPageBreak/>
        <w:t>Renforcer</w:t>
      </w:r>
      <w:r w:rsidRPr="009C3ECC">
        <w:rPr>
          <w:rFonts w:cs="Arial"/>
          <w:i/>
          <w:sz w:val="28"/>
          <w:szCs w:val="28"/>
        </w:rPr>
        <w:t xml:space="preserve"> le</w:t>
      </w:r>
      <w:r w:rsidR="009C3ECC">
        <w:rPr>
          <w:rFonts w:cs="Arial"/>
          <w:i/>
          <w:sz w:val="28"/>
          <w:szCs w:val="28"/>
        </w:rPr>
        <w:t>s capacités</w:t>
      </w:r>
      <w:r w:rsidRPr="009C3ECC">
        <w:rPr>
          <w:rFonts w:cs="Arial"/>
          <w:i/>
          <w:sz w:val="28"/>
          <w:szCs w:val="28"/>
        </w:rPr>
        <w:t xml:space="preserve"> institutionnel</w:t>
      </w:r>
      <w:r w:rsidR="009C3ECC">
        <w:rPr>
          <w:rFonts w:cs="Arial"/>
          <w:i/>
          <w:sz w:val="28"/>
          <w:szCs w:val="28"/>
        </w:rPr>
        <w:t>les</w:t>
      </w:r>
      <w:r w:rsidRPr="009C3ECC">
        <w:rPr>
          <w:rFonts w:cs="Arial"/>
          <w:i/>
          <w:sz w:val="28"/>
          <w:szCs w:val="28"/>
        </w:rPr>
        <w:t xml:space="preserve"> du Ministère de la santé en matière de </w:t>
      </w:r>
      <w:r w:rsidR="009C3ECC">
        <w:rPr>
          <w:rFonts w:cs="Arial"/>
          <w:i/>
          <w:sz w:val="28"/>
          <w:szCs w:val="28"/>
        </w:rPr>
        <w:t xml:space="preserve">gestion de la </w:t>
      </w:r>
      <w:r w:rsidRPr="009C3ECC">
        <w:rPr>
          <w:rFonts w:cs="Arial"/>
          <w:i/>
          <w:sz w:val="28"/>
          <w:szCs w:val="28"/>
        </w:rPr>
        <w:t>formation</w:t>
      </w:r>
      <w:r w:rsidR="009C3ECC">
        <w:rPr>
          <w:rFonts w:cs="Arial"/>
          <w:i/>
          <w:sz w:val="28"/>
          <w:szCs w:val="28"/>
        </w:rPr>
        <w:t xml:space="preserve"> des RHS</w:t>
      </w:r>
    </w:p>
    <w:p w:rsidR="00642B17" w:rsidRPr="00642B17" w:rsidRDefault="00642B17" w:rsidP="00642B17">
      <w:pPr>
        <w:pStyle w:val="Corpsdetexte"/>
        <w:spacing w:before="1"/>
        <w:jc w:val="both"/>
        <w:rPr>
          <w:rFonts w:asciiTheme="minorHAnsi" w:hAnsiTheme="minorHAnsi"/>
          <w:sz w:val="28"/>
          <w:szCs w:val="28"/>
          <w:lang w:val="fr-FR"/>
        </w:rPr>
      </w:pPr>
      <w:r w:rsidRPr="00642B17">
        <w:rPr>
          <w:rFonts w:asciiTheme="minorHAnsi" w:eastAsiaTheme="minorHAnsi" w:hAnsiTheme="minorHAnsi" w:cs="Arial"/>
          <w:sz w:val="28"/>
          <w:szCs w:val="28"/>
          <w:lang w:val="fr-FR"/>
        </w:rPr>
        <w:t>Avec</w:t>
      </w:r>
      <w:r w:rsidRPr="00642B17">
        <w:rPr>
          <w:rFonts w:asciiTheme="minorHAnsi" w:hAnsiTheme="minorHAnsi"/>
          <w:sz w:val="28"/>
          <w:szCs w:val="28"/>
          <w:lang w:val="fr-FR"/>
        </w:rPr>
        <w:t xml:space="preserve"> la création de la direction des RHS au MS, un cadre organique fixant les postes et positions au niveau central, régional et préfectoral, a été défini.</w:t>
      </w:r>
    </w:p>
    <w:p w:rsidR="00642B17" w:rsidRPr="00642B17" w:rsidRDefault="00642B17" w:rsidP="00642B17">
      <w:pPr>
        <w:pStyle w:val="Corpsdetexte"/>
        <w:spacing w:before="1"/>
        <w:jc w:val="both"/>
        <w:rPr>
          <w:rFonts w:asciiTheme="minorHAnsi" w:hAnsiTheme="minorHAnsi"/>
          <w:sz w:val="28"/>
          <w:szCs w:val="28"/>
          <w:lang w:val="fr-FR"/>
        </w:rPr>
      </w:pPr>
      <w:r w:rsidRPr="00642B17">
        <w:rPr>
          <w:rFonts w:asciiTheme="minorHAnsi" w:hAnsiTheme="minorHAnsi"/>
          <w:sz w:val="28"/>
          <w:szCs w:val="28"/>
          <w:lang w:val="fr-FR"/>
        </w:rPr>
        <w:t xml:space="preserve">Il </w:t>
      </w:r>
      <w:r w:rsidRPr="00642B17">
        <w:rPr>
          <w:rFonts w:asciiTheme="minorHAnsi" w:eastAsiaTheme="minorHAnsi" w:hAnsiTheme="minorHAnsi" w:cs="Arial"/>
          <w:sz w:val="28"/>
          <w:szCs w:val="28"/>
          <w:lang w:val="fr-FR"/>
        </w:rPr>
        <w:t>s’agira</w:t>
      </w:r>
      <w:r w:rsidRPr="00642B17">
        <w:rPr>
          <w:rFonts w:asciiTheme="minorHAnsi" w:hAnsiTheme="minorHAnsi"/>
          <w:sz w:val="28"/>
          <w:szCs w:val="28"/>
          <w:lang w:val="fr-FR"/>
        </w:rPr>
        <w:t xml:space="preserve"> de rendre opérationnel ce nouveau chainon du système de gestion des RHS devant prendre une part importante dans la gouvernance de la formation des personnels de santé. Dans ce cadre, le Ministère prendra les mesures appropriées pour : meubler ce cadre organique, héberger, former et équiper les cadres et agents.</w:t>
      </w:r>
    </w:p>
    <w:p w:rsidR="00642B17" w:rsidRPr="00642B17" w:rsidRDefault="00642B17" w:rsidP="00642B17">
      <w:pPr>
        <w:pStyle w:val="Corpsdetexte"/>
        <w:spacing w:before="1"/>
        <w:jc w:val="both"/>
        <w:rPr>
          <w:rFonts w:asciiTheme="minorHAnsi" w:hAnsiTheme="minorHAnsi"/>
          <w:sz w:val="28"/>
          <w:szCs w:val="28"/>
          <w:lang w:val="fr-FR"/>
        </w:rPr>
      </w:pPr>
      <w:r w:rsidRPr="00642B17">
        <w:rPr>
          <w:rFonts w:asciiTheme="minorHAnsi" w:hAnsiTheme="minorHAnsi"/>
          <w:sz w:val="28"/>
          <w:szCs w:val="28"/>
          <w:lang w:val="fr-FR"/>
        </w:rPr>
        <w:t xml:space="preserve">Les procédures et outils de travail ainsi que les paquets d’activités et budgets seront définis. </w:t>
      </w:r>
    </w:p>
    <w:p w:rsidR="00642B17" w:rsidRPr="00C46382" w:rsidRDefault="00642B17" w:rsidP="00C46382">
      <w:pPr>
        <w:pStyle w:val="Corpsdetexte"/>
        <w:spacing w:before="1" w:after="240"/>
        <w:jc w:val="both"/>
        <w:rPr>
          <w:rFonts w:asciiTheme="minorHAnsi" w:hAnsiTheme="minorHAnsi"/>
          <w:sz w:val="28"/>
          <w:szCs w:val="28"/>
          <w:lang w:val="fr-FR"/>
        </w:rPr>
      </w:pPr>
      <w:r w:rsidRPr="00642B17">
        <w:rPr>
          <w:rFonts w:asciiTheme="minorHAnsi" w:hAnsiTheme="minorHAnsi"/>
          <w:sz w:val="28"/>
          <w:szCs w:val="28"/>
          <w:lang w:val="fr-FR"/>
        </w:rPr>
        <w:t>Cette structure sera la cheville ouvrière du développement des partenariats entre le Ministère de la santé et toutes les parties prenantes de la gestion des RHS dont la formation qui occupe une place centrale.</w:t>
      </w:r>
    </w:p>
    <w:p w:rsidR="00642B17" w:rsidRPr="00C46382" w:rsidRDefault="00642B17" w:rsidP="004D046C">
      <w:pPr>
        <w:pStyle w:val="Paragraphedeliste"/>
        <w:numPr>
          <w:ilvl w:val="0"/>
          <w:numId w:val="12"/>
        </w:numPr>
        <w:spacing w:after="120"/>
        <w:ind w:left="993" w:hanging="567"/>
        <w:jc w:val="both"/>
        <w:rPr>
          <w:rFonts w:cs="Arial"/>
          <w:i/>
          <w:sz w:val="28"/>
          <w:szCs w:val="28"/>
        </w:rPr>
      </w:pPr>
      <w:r w:rsidRPr="00C46382">
        <w:rPr>
          <w:rFonts w:cs="Arial"/>
          <w:i/>
          <w:sz w:val="28"/>
          <w:szCs w:val="28"/>
        </w:rPr>
        <w:t>Développer les mécanismes de dialogue et de coordination du système de formation </w:t>
      </w:r>
    </w:p>
    <w:p w:rsidR="00642B17" w:rsidRPr="00C46382" w:rsidRDefault="00642B17" w:rsidP="00642B17">
      <w:pPr>
        <w:pStyle w:val="Corpsdetexte"/>
        <w:spacing w:before="1"/>
        <w:jc w:val="both"/>
        <w:rPr>
          <w:rFonts w:asciiTheme="minorHAnsi" w:hAnsiTheme="minorHAnsi" w:cs="Arial"/>
          <w:sz w:val="28"/>
          <w:szCs w:val="28"/>
          <w:lang w:val="fr-FR"/>
        </w:rPr>
      </w:pPr>
      <w:r w:rsidRPr="00C46382">
        <w:rPr>
          <w:rFonts w:asciiTheme="minorHAnsi" w:hAnsiTheme="minorHAnsi" w:cs="Arial"/>
          <w:sz w:val="28"/>
          <w:szCs w:val="28"/>
          <w:lang w:val="fr-FR"/>
        </w:rPr>
        <w:t>L’analyse de la situation de la formation des RHS a permis de relever que la faible harmonisation des politiques, programmes et pratiques développés par les différentes parties prenantes au système de formation, explique que celui-ci ne soit pas aligné sur les besoins qualitatifs et quantitatifs du système de santé. Aussi, cette situation est source de gaspillage des ressources investies dans ce secteur</w:t>
      </w:r>
      <w:r w:rsidR="00C46382" w:rsidRPr="00C46382">
        <w:rPr>
          <w:rFonts w:asciiTheme="minorHAnsi" w:hAnsiTheme="minorHAnsi" w:cs="Arial"/>
          <w:sz w:val="28"/>
          <w:szCs w:val="28"/>
          <w:lang w:val="fr-FR"/>
        </w:rPr>
        <w:t>,</w:t>
      </w:r>
      <w:r w:rsidRPr="00C46382">
        <w:rPr>
          <w:rFonts w:asciiTheme="minorHAnsi" w:hAnsiTheme="minorHAnsi" w:cs="Arial"/>
          <w:sz w:val="28"/>
          <w:szCs w:val="28"/>
          <w:lang w:val="fr-FR"/>
        </w:rPr>
        <w:t xml:space="preserve"> et facteur de retard du développement du pays tout entier. Les cadres de collaboration intra et intersectoriels existant n’ont pas fait la preuve de leur efficacité.</w:t>
      </w:r>
    </w:p>
    <w:p w:rsidR="00642B17" w:rsidRPr="00642B17" w:rsidRDefault="00642B17" w:rsidP="00642B17">
      <w:pPr>
        <w:pStyle w:val="Corpsdetexte"/>
        <w:spacing w:before="1"/>
        <w:jc w:val="both"/>
        <w:rPr>
          <w:rFonts w:asciiTheme="minorHAnsi" w:hAnsiTheme="minorHAnsi" w:cs="Arial"/>
          <w:sz w:val="28"/>
          <w:szCs w:val="28"/>
          <w:highlight w:val="yellow"/>
          <w:lang w:val="fr-FR"/>
        </w:rPr>
      </w:pPr>
      <w:r w:rsidRPr="00C46382">
        <w:rPr>
          <w:rFonts w:asciiTheme="minorHAnsi" w:hAnsiTheme="minorHAnsi" w:cs="Arial"/>
          <w:sz w:val="28"/>
          <w:szCs w:val="28"/>
          <w:lang w:val="fr-FR"/>
        </w:rPr>
        <w:t>Pour que les objectifs et les priorités retenues dans le cadre de la présente politique se réalisent et  contribuent  significativement à la correction de cette situation, il est essentiel que des espaces de dialogue et de coordination entre les parties prenantes soient ouverts et/ ou renforcés. Dans ce cadre, les actions prioritaires ci-après seront développées.</w:t>
      </w:r>
    </w:p>
    <w:p w:rsidR="00642B17" w:rsidRPr="00642B17" w:rsidRDefault="00642B17" w:rsidP="00642B17">
      <w:pPr>
        <w:pStyle w:val="Corpsdetexte"/>
        <w:spacing w:before="1"/>
        <w:jc w:val="both"/>
        <w:rPr>
          <w:rFonts w:asciiTheme="minorHAnsi" w:hAnsiTheme="minorHAnsi" w:cs="Arial"/>
          <w:sz w:val="28"/>
          <w:szCs w:val="28"/>
          <w:highlight w:val="yellow"/>
          <w:lang w:val="fr-FR"/>
        </w:rPr>
      </w:pPr>
    </w:p>
    <w:p w:rsidR="00642B17" w:rsidRPr="009164AF" w:rsidRDefault="00642B17" w:rsidP="00642B17">
      <w:pPr>
        <w:pStyle w:val="Corpsdetexte"/>
        <w:numPr>
          <w:ilvl w:val="1"/>
          <w:numId w:val="1"/>
        </w:numPr>
        <w:spacing w:before="1"/>
        <w:jc w:val="both"/>
        <w:rPr>
          <w:rFonts w:asciiTheme="minorHAnsi" w:hAnsiTheme="minorHAnsi" w:cs="Arial"/>
          <w:sz w:val="28"/>
          <w:szCs w:val="28"/>
          <w:lang w:val="fr-FR"/>
        </w:rPr>
      </w:pPr>
      <w:r w:rsidRPr="009164AF">
        <w:rPr>
          <w:rFonts w:asciiTheme="minorHAnsi" w:hAnsiTheme="minorHAnsi" w:cs="Arial"/>
          <w:sz w:val="28"/>
          <w:szCs w:val="28"/>
          <w:lang w:val="fr-FR"/>
        </w:rPr>
        <w:t>Renforcer les capacités de communication et de plaidoyer du Ministère de la santé auprès de ses partenaires nationaux et internationaux en matière de formation: études</w:t>
      </w:r>
      <w:r w:rsidR="009164AF" w:rsidRPr="009164AF">
        <w:rPr>
          <w:rFonts w:asciiTheme="minorHAnsi" w:hAnsiTheme="minorHAnsi" w:cs="Arial"/>
          <w:sz w:val="28"/>
          <w:szCs w:val="28"/>
          <w:lang w:val="fr-FR"/>
        </w:rPr>
        <w:t>/recherche</w:t>
      </w:r>
      <w:r w:rsidRPr="009164AF">
        <w:rPr>
          <w:rFonts w:asciiTheme="minorHAnsi" w:hAnsiTheme="minorHAnsi" w:cs="Arial"/>
          <w:sz w:val="28"/>
          <w:szCs w:val="28"/>
          <w:lang w:val="fr-FR"/>
        </w:rPr>
        <w:t xml:space="preserve"> et documentation, rapports de suivi…;</w:t>
      </w:r>
    </w:p>
    <w:p w:rsidR="00642B17" w:rsidRPr="009164AF" w:rsidRDefault="00642B17" w:rsidP="00642B17">
      <w:pPr>
        <w:pStyle w:val="Corpsdetexte"/>
        <w:numPr>
          <w:ilvl w:val="1"/>
          <w:numId w:val="1"/>
        </w:numPr>
        <w:spacing w:before="1"/>
        <w:jc w:val="both"/>
        <w:rPr>
          <w:rFonts w:asciiTheme="minorHAnsi" w:hAnsiTheme="minorHAnsi" w:cs="Arial"/>
          <w:sz w:val="28"/>
          <w:szCs w:val="28"/>
          <w:lang w:val="fr-FR"/>
        </w:rPr>
      </w:pPr>
      <w:r w:rsidRPr="009164AF">
        <w:rPr>
          <w:rFonts w:asciiTheme="minorHAnsi" w:hAnsiTheme="minorHAnsi" w:cs="Arial"/>
          <w:sz w:val="28"/>
          <w:szCs w:val="28"/>
          <w:lang w:val="fr-FR"/>
        </w:rPr>
        <w:t xml:space="preserve">Initier et organiser de rencontres régulières sur des sujets </w:t>
      </w:r>
      <w:proofErr w:type="spellStart"/>
      <w:r w:rsidRPr="009164AF">
        <w:rPr>
          <w:rFonts w:asciiTheme="minorHAnsi" w:hAnsiTheme="minorHAnsi" w:cs="Arial"/>
          <w:sz w:val="28"/>
          <w:szCs w:val="28"/>
          <w:lang w:val="fr-FR"/>
        </w:rPr>
        <w:t>co</w:t>
      </w:r>
      <w:proofErr w:type="spellEnd"/>
      <w:r w:rsidRPr="009164AF">
        <w:rPr>
          <w:rFonts w:asciiTheme="minorHAnsi" w:hAnsiTheme="minorHAnsi" w:cs="Arial"/>
          <w:sz w:val="28"/>
          <w:szCs w:val="28"/>
          <w:lang w:val="fr-FR"/>
        </w:rPr>
        <w:t>-ciblées avec les partenaires concernés en vue de générer des solutions pratiques à différentes problématiques ou obtenir un soutien et des engagements à propos d’une initiative, etc… </w:t>
      </w:r>
    </w:p>
    <w:p w:rsidR="00642B17" w:rsidRPr="00642B17" w:rsidRDefault="00642B17" w:rsidP="00642B17">
      <w:pPr>
        <w:pStyle w:val="Corpsdetexte"/>
        <w:spacing w:before="1"/>
        <w:ind w:left="1440"/>
        <w:jc w:val="both"/>
        <w:rPr>
          <w:rFonts w:asciiTheme="minorHAnsi" w:hAnsiTheme="minorHAnsi" w:cs="Arial"/>
          <w:sz w:val="28"/>
          <w:szCs w:val="28"/>
          <w:highlight w:val="yellow"/>
          <w:lang w:val="fr-FR"/>
        </w:rPr>
      </w:pPr>
    </w:p>
    <w:p w:rsidR="00642B17" w:rsidRPr="00FC7D2F" w:rsidRDefault="00642B17" w:rsidP="004D046C">
      <w:pPr>
        <w:pStyle w:val="Paragraphedeliste"/>
        <w:numPr>
          <w:ilvl w:val="0"/>
          <w:numId w:val="12"/>
        </w:numPr>
        <w:spacing w:after="120"/>
        <w:ind w:left="993" w:hanging="567"/>
        <w:jc w:val="both"/>
        <w:rPr>
          <w:rFonts w:cs="Arial"/>
          <w:i/>
          <w:sz w:val="28"/>
          <w:szCs w:val="28"/>
        </w:rPr>
      </w:pPr>
      <w:r w:rsidRPr="00FC7D2F">
        <w:rPr>
          <w:rFonts w:cs="Arial"/>
          <w:i/>
          <w:sz w:val="28"/>
          <w:szCs w:val="28"/>
        </w:rPr>
        <w:t xml:space="preserve">Intégrer la formation </w:t>
      </w:r>
      <w:r w:rsidR="00FC7D2F">
        <w:rPr>
          <w:rFonts w:cs="Arial"/>
          <w:i/>
          <w:sz w:val="28"/>
          <w:szCs w:val="28"/>
        </w:rPr>
        <w:t xml:space="preserve">comme </w:t>
      </w:r>
      <w:r w:rsidRPr="00FC7D2F">
        <w:rPr>
          <w:rFonts w:cs="Arial"/>
          <w:i/>
          <w:sz w:val="28"/>
          <w:szCs w:val="28"/>
        </w:rPr>
        <w:t xml:space="preserve">stratégie de gestion des carrières et de la fidélisation des personnels de santé </w:t>
      </w:r>
    </w:p>
    <w:p w:rsidR="00642B17" w:rsidRPr="003341FD" w:rsidRDefault="00642B17" w:rsidP="00E228A0">
      <w:pPr>
        <w:pStyle w:val="Corpsdetexte"/>
        <w:spacing w:before="1" w:after="200" w:line="276" w:lineRule="auto"/>
        <w:jc w:val="both"/>
        <w:rPr>
          <w:rFonts w:asciiTheme="minorHAnsi" w:hAnsiTheme="minorHAnsi" w:cs="Arial"/>
          <w:sz w:val="28"/>
          <w:szCs w:val="28"/>
          <w:lang w:val="fr-FR"/>
        </w:rPr>
      </w:pPr>
      <w:r w:rsidRPr="003341FD">
        <w:rPr>
          <w:rFonts w:asciiTheme="minorHAnsi" w:hAnsiTheme="minorHAnsi" w:cs="Arial"/>
          <w:sz w:val="28"/>
          <w:szCs w:val="28"/>
          <w:lang w:val="fr-FR"/>
        </w:rPr>
        <w:t>L’analyse de la situation a montré que l</w:t>
      </w:r>
      <w:r w:rsidR="00FC7D2F" w:rsidRPr="003341FD">
        <w:rPr>
          <w:rFonts w:asciiTheme="minorHAnsi" w:hAnsiTheme="minorHAnsi" w:cs="Arial"/>
          <w:sz w:val="28"/>
          <w:szCs w:val="28"/>
          <w:lang w:val="fr-FR"/>
        </w:rPr>
        <w:t xml:space="preserve">a </w:t>
      </w:r>
      <w:r w:rsidRPr="003341FD">
        <w:rPr>
          <w:rFonts w:asciiTheme="minorHAnsi" w:hAnsiTheme="minorHAnsi" w:cs="Arial"/>
          <w:sz w:val="28"/>
          <w:szCs w:val="28"/>
          <w:lang w:val="fr-FR"/>
        </w:rPr>
        <w:t>formation n</w:t>
      </w:r>
      <w:r w:rsidR="00FC7D2F" w:rsidRPr="003341FD">
        <w:rPr>
          <w:rFonts w:asciiTheme="minorHAnsi" w:hAnsiTheme="minorHAnsi" w:cs="Arial"/>
          <w:sz w:val="28"/>
          <w:szCs w:val="28"/>
          <w:lang w:val="fr-FR"/>
        </w:rPr>
        <w:t>’</w:t>
      </w:r>
      <w:r w:rsidRPr="003341FD">
        <w:rPr>
          <w:rFonts w:asciiTheme="minorHAnsi" w:hAnsiTheme="minorHAnsi" w:cs="Arial"/>
          <w:sz w:val="28"/>
          <w:szCs w:val="28"/>
          <w:lang w:val="fr-FR"/>
        </w:rPr>
        <w:t>est pas utilisée comme levier pour fidéliser les personnels de santé dans les zones défavorisées et/ou aider les agents de santé à renforcer leur position de carrière</w:t>
      </w:r>
      <w:r w:rsidR="007E6ADE" w:rsidRPr="003341FD">
        <w:rPr>
          <w:rFonts w:asciiTheme="minorHAnsi" w:hAnsiTheme="minorHAnsi" w:cs="Arial"/>
          <w:sz w:val="28"/>
          <w:szCs w:val="28"/>
          <w:lang w:val="fr-FR"/>
        </w:rPr>
        <w:t xml:space="preserve">. A titre d’exemple, la formation n’est pas indexée sur </w:t>
      </w:r>
      <w:r w:rsidRPr="003341FD">
        <w:rPr>
          <w:rFonts w:asciiTheme="minorHAnsi" w:hAnsiTheme="minorHAnsi" w:cs="Arial"/>
          <w:sz w:val="28"/>
          <w:szCs w:val="28"/>
          <w:lang w:val="fr-FR"/>
        </w:rPr>
        <w:t xml:space="preserve">la perspective d’accès à des </w:t>
      </w:r>
      <w:r w:rsidR="007E6ADE" w:rsidRPr="003341FD">
        <w:rPr>
          <w:rFonts w:asciiTheme="minorHAnsi" w:hAnsiTheme="minorHAnsi" w:cs="Arial"/>
          <w:sz w:val="28"/>
          <w:szCs w:val="28"/>
          <w:lang w:val="fr-FR"/>
        </w:rPr>
        <w:t xml:space="preserve">postes de </w:t>
      </w:r>
      <w:r w:rsidRPr="003341FD">
        <w:rPr>
          <w:rFonts w:asciiTheme="minorHAnsi" w:hAnsiTheme="minorHAnsi" w:cs="Arial"/>
          <w:sz w:val="28"/>
          <w:szCs w:val="28"/>
          <w:lang w:val="fr-FR"/>
        </w:rPr>
        <w:t xml:space="preserve">responsabilités plus élevées ou à des grades supérieurs. </w:t>
      </w:r>
      <w:r w:rsidR="00347606" w:rsidRPr="003341FD">
        <w:rPr>
          <w:rFonts w:asciiTheme="minorHAnsi" w:hAnsiTheme="minorHAnsi" w:cs="Arial"/>
          <w:sz w:val="28"/>
          <w:szCs w:val="28"/>
          <w:lang w:val="fr-FR"/>
        </w:rPr>
        <w:t>Par ailleurs</w:t>
      </w:r>
      <w:r w:rsidRPr="003341FD">
        <w:rPr>
          <w:rFonts w:asciiTheme="minorHAnsi" w:hAnsiTheme="minorHAnsi" w:cs="Arial"/>
          <w:sz w:val="28"/>
          <w:szCs w:val="28"/>
          <w:lang w:val="fr-FR"/>
        </w:rPr>
        <w:t>, le sous</w:t>
      </w:r>
      <w:r w:rsidR="00076E85" w:rsidRPr="003341FD">
        <w:rPr>
          <w:rFonts w:asciiTheme="minorHAnsi" w:hAnsiTheme="minorHAnsi" w:cs="Arial"/>
          <w:sz w:val="28"/>
          <w:szCs w:val="28"/>
          <w:lang w:val="fr-FR"/>
        </w:rPr>
        <w:t>-</w:t>
      </w:r>
      <w:r w:rsidRPr="003341FD">
        <w:rPr>
          <w:rFonts w:asciiTheme="minorHAnsi" w:hAnsiTheme="minorHAnsi" w:cs="Arial"/>
          <w:sz w:val="28"/>
          <w:szCs w:val="28"/>
          <w:lang w:val="fr-FR"/>
        </w:rPr>
        <w:t xml:space="preserve">financement de la formation de spécialisation, est un </w:t>
      </w:r>
      <w:r w:rsidR="00347606" w:rsidRPr="003341FD">
        <w:rPr>
          <w:rFonts w:asciiTheme="minorHAnsi" w:hAnsiTheme="minorHAnsi" w:cs="Arial"/>
          <w:sz w:val="28"/>
          <w:szCs w:val="28"/>
          <w:lang w:val="fr-FR"/>
        </w:rPr>
        <w:t xml:space="preserve">autre </w:t>
      </w:r>
      <w:r w:rsidRPr="003341FD">
        <w:rPr>
          <w:rFonts w:asciiTheme="minorHAnsi" w:hAnsiTheme="minorHAnsi" w:cs="Arial"/>
          <w:sz w:val="28"/>
          <w:szCs w:val="28"/>
          <w:lang w:val="fr-FR"/>
        </w:rPr>
        <w:t>marqueur de l’absence de vision sur l’utilisation de la formation comme levier de motivation des personnels de santé.</w:t>
      </w:r>
    </w:p>
    <w:p w:rsidR="00642B17" w:rsidRPr="003341FD" w:rsidRDefault="00642B17" w:rsidP="00E228A0">
      <w:pPr>
        <w:pStyle w:val="Corpsdetexte"/>
        <w:spacing w:before="1" w:after="200" w:line="276" w:lineRule="auto"/>
        <w:jc w:val="both"/>
        <w:rPr>
          <w:rFonts w:asciiTheme="minorHAnsi" w:hAnsiTheme="minorHAnsi" w:cs="Arial"/>
          <w:sz w:val="28"/>
          <w:szCs w:val="28"/>
          <w:lang w:val="fr-FR"/>
        </w:rPr>
      </w:pPr>
      <w:r w:rsidRPr="003341FD">
        <w:rPr>
          <w:rFonts w:asciiTheme="minorHAnsi" w:hAnsiTheme="minorHAnsi" w:cs="Arial"/>
          <w:sz w:val="28"/>
          <w:szCs w:val="28"/>
          <w:lang w:val="fr-FR"/>
        </w:rPr>
        <w:t>C’est pourquoi, le Ministère de la santé, sous le leadership de la direction des ressources humaines dont les capacités seront renforcées, veillera à ce que les formations aient un lien explicite avec des objectifs partagés employer-employeur selon le principe gagnant-gagnant.</w:t>
      </w:r>
    </w:p>
    <w:p w:rsidR="00642B17" w:rsidRPr="00642B17" w:rsidRDefault="00642B17" w:rsidP="003341FD">
      <w:pPr>
        <w:pStyle w:val="Corpsdetexte"/>
        <w:spacing w:before="1"/>
        <w:jc w:val="both"/>
        <w:rPr>
          <w:rFonts w:asciiTheme="minorHAnsi" w:hAnsiTheme="minorHAnsi" w:cs="Arial"/>
          <w:sz w:val="28"/>
          <w:szCs w:val="28"/>
          <w:lang w:val="fr-FR"/>
        </w:rPr>
      </w:pPr>
      <w:r w:rsidRPr="003341FD">
        <w:rPr>
          <w:rFonts w:asciiTheme="minorHAnsi" w:hAnsiTheme="minorHAnsi" w:cs="Arial"/>
          <w:sz w:val="28"/>
          <w:szCs w:val="28"/>
          <w:lang w:val="fr-FR"/>
        </w:rPr>
        <w:t>Ainsi, cette nouvelle approche sera promue dans le processus de formation depuis l’identification des besoins, la priorisation, la programmation, le financement y compris les bourses d’études jusqu’au suivi post</w:t>
      </w:r>
      <w:r w:rsidR="00FC7D2F" w:rsidRPr="003341FD">
        <w:rPr>
          <w:rFonts w:asciiTheme="minorHAnsi" w:hAnsiTheme="minorHAnsi" w:cs="Arial"/>
          <w:sz w:val="28"/>
          <w:szCs w:val="28"/>
          <w:lang w:val="fr-FR"/>
        </w:rPr>
        <w:t>-</w:t>
      </w:r>
      <w:r w:rsidRPr="003341FD">
        <w:rPr>
          <w:rFonts w:asciiTheme="minorHAnsi" w:hAnsiTheme="minorHAnsi" w:cs="Arial"/>
          <w:sz w:val="28"/>
          <w:szCs w:val="28"/>
          <w:lang w:val="fr-FR"/>
        </w:rPr>
        <w:t xml:space="preserve">formation. </w:t>
      </w:r>
    </w:p>
    <w:p w:rsidR="00642B17" w:rsidRPr="00961244" w:rsidRDefault="00642B17" w:rsidP="004D046C">
      <w:pPr>
        <w:pStyle w:val="Paragraphedeliste"/>
        <w:numPr>
          <w:ilvl w:val="0"/>
          <w:numId w:val="11"/>
        </w:numPr>
        <w:tabs>
          <w:tab w:val="left" w:pos="3402"/>
        </w:tabs>
        <w:ind w:left="714" w:hanging="357"/>
        <w:contextualSpacing w:val="0"/>
        <w:jc w:val="both"/>
        <w:rPr>
          <w:rFonts w:cs="Arial"/>
          <w:b/>
          <w:i/>
          <w:sz w:val="28"/>
          <w:szCs w:val="28"/>
        </w:rPr>
      </w:pPr>
      <w:r w:rsidRPr="00961244">
        <w:rPr>
          <w:rFonts w:cs="Arial"/>
          <w:b/>
          <w:i/>
          <w:sz w:val="28"/>
          <w:szCs w:val="28"/>
        </w:rPr>
        <w:t>Réformes</w:t>
      </w:r>
    </w:p>
    <w:p w:rsidR="00642B17" w:rsidRPr="00A20023" w:rsidRDefault="00642B17" w:rsidP="004D046C">
      <w:pPr>
        <w:pStyle w:val="Paragraphedeliste"/>
        <w:numPr>
          <w:ilvl w:val="0"/>
          <w:numId w:val="13"/>
        </w:numPr>
        <w:tabs>
          <w:tab w:val="left" w:pos="993"/>
        </w:tabs>
        <w:spacing w:after="120"/>
        <w:jc w:val="both"/>
        <w:rPr>
          <w:rFonts w:cs="Arial"/>
          <w:i/>
          <w:sz w:val="28"/>
          <w:szCs w:val="28"/>
        </w:rPr>
      </w:pPr>
      <w:r w:rsidRPr="00A20023">
        <w:rPr>
          <w:rFonts w:cs="Arial"/>
          <w:i/>
          <w:sz w:val="28"/>
          <w:szCs w:val="28"/>
        </w:rPr>
        <w:t>Réforme du système de l’éducation nationale</w:t>
      </w:r>
    </w:p>
    <w:p w:rsidR="00642B17" w:rsidRPr="00642B17" w:rsidRDefault="00642B17" w:rsidP="00A20023">
      <w:pPr>
        <w:pStyle w:val="Corpsdetexte"/>
        <w:spacing w:before="1" w:after="200" w:line="276" w:lineRule="auto"/>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t xml:space="preserve">Pour créer les conditions optimales de mise en œuvre de de la politique, des réformes sont nécessaires. Il s’agira de promouvoir, dans les cycles d’études du primaire et du secondaire, des candidatures de bonne qualité pour la formation aux métiers de la santé en réformant les programmes scolaires. </w:t>
      </w:r>
    </w:p>
    <w:p w:rsidR="00642B17" w:rsidRPr="00642B17" w:rsidRDefault="00642B17" w:rsidP="00A20023">
      <w:pPr>
        <w:pStyle w:val="Corpsdetexte"/>
        <w:spacing w:before="1" w:after="200" w:line="276" w:lineRule="auto"/>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t xml:space="preserve">A cet effet, il sera mis en avant des programmes d’études primaires et secondaires promouvant l’ouverture du goût des élèves aux sciences de la santé. </w:t>
      </w:r>
    </w:p>
    <w:p w:rsidR="00642B17" w:rsidRPr="00642B17" w:rsidRDefault="00642B17" w:rsidP="00961244">
      <w:pPr>
        <w:pStyle w:val="Corpsdetexte"/>
        <w:spacing w:before="1"/>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t>En cela le Ministère de la santé aura traduit le concept « la santé dans toutes les politiques publiques » dans le secteur de l’éducation nationale. Ceci s’obtiendra à travers le renforcement du partenariat intersectoriel.</w:t>
      </w:r>
    </w:p>
    <w:p w:rsidR="00642B17" w:rsidRPr="00642B17" w:rsidRDefault="00642B17" w:rsidP="00642B17">
      <w:pPr>
        <w:pStyle w:val="Corpsdetexte"/>
        <w:spacing w:before="1"/>
        <w:jc w:val="both"/>
        <w:rPr>
          <w:rFonts w:asciiTheme="minorHAnsi" w:eastAsiaTheme="minorHAnsi" w:hAnsiTheme="minorHAnsi" w:cs="Arial"/>
          <w:sz w:val="28"/>
          <w:szCs w:val="28"/>
          <w:lang w:val="fr-FR"/>
        </w:rPr>
      </w:pPr>
    </w:p>
    <w:p w:rsidR="00642B17" w:rsidRPr="00961244" w:rsidRDefault="00642B17" w:rsidP="004D046C">
      <w:pPr>
        <w:pStyle w:val="Paragraphedeliste"/>
        <w:numPr>
          <w:ilvl w:val="0"/>
          <w:numId w:val="13"/>
        </w:numPr>
        <w:tabs>
          <w:tab w:val="left" w:pos="993"/>
        </w:tabs>
        <w:spacing w:after="120"/>
        <w:jc w:val="both"/>
        <w:rPr>
          <w:rFonts w:cs="Arial"/>
          <w:i/>
          <w:sz w:val="28"/>
          <w:szCs w:val="28"/>
        </w:rPr>
      </w:pPr>
      <w:r w:rsidRPr="00961244">
        <w:rPr>
          <w:rFonts w:cs="Arial"/>
          <w:i/>
          <w:sz w:val="28"/>
          <w:szCs w:val="28"/>
        </w:rPr>
        <w:t>Développement d’un observatoire des RHS</w:t>
      </w:r>
    </w:p>
    <w:p w:rsidR="00642B17" w:rsidRPr="00642B17" w:rsidRDefault="00642B17" w:rsidP="00961244">
      <w:pPr>
        <w:pStyle w:val="Corpsdetexte"/>
        <w:spacing w:before="1"/>
        <w:jc w:val="both"/>
        <w:rPr>
          <w:rFonts w:asciiTheme="minorHAnsi" w:eastAsiaTheme="minorHAnsi" w:hAnsiTheme="minorHAnsi" w:cs="Arial"/>
          <w:sz w:val="28"/>
          <w:szCs w:val="28"/>
          <w:lang w:val="fr-FR"/>
        </w:rPr>
      </w:pPr>
      <w:r w:rsidRPr="00642B17">
        <w:rPr>
          <w:rFonts w:asciiTheme="minorHAnsi" w:eastAsiaTheme="minorHAnsi" w:hAnsiTheme="minorHAnsi" w:cs="Arial"/>
          <w:sz w:val="28"/>
          <w:szCs w:val="28"/>
          <w:lang w:val="fr-FR"/>
        </w:rPr>
        <w:t xml:space="preserve">Il s’agira développer un observatoire pour documenter et suivre les variables </w:t>
      </w:r>
      <w:r w:rsidRPr="00642B17">
        <w:rPr>
          <w:rFonts w:asciiTheme="minorHAnsi" w:eastAsiaTheme="minorHAnsi" w:hAnsiTheme="minorHAnsi" w:cs="Arial"/>
          <w:sz w:val="28"/>
          <w:szCs w:val="28"/>
          <w:lang w:val="fr-FR"/>
        </w:rPr>
        <w:lastRenderedPageBreak/>
        <w:t>marqueurs des RHS dans le système de santé et son environnement externe: migrations internes et internationales, migrations interprofessionnelles, productivité et chômage des professionnels de santé, dynamiques du secteur privé de soins et du système de formation des RHS, tendances démographiques, épidémiologique, socio-économique et internationales.</w:t>
      </w:r>
    </w:p>
    <w:p w:rsidR="001D299F" w:rsidRPr="00642B17" w:rsidRDefault="00642B17" w:rsidP="00642B17">
      <w:pPr>
        <w:spacing w:after="120" w:line="240" w:lineRule="auto"/>
        <w:jc w:val="both"/>
        <w:rPr>
          <w:sz w:val="28"/>
          <w:szCs w:val="28"/>
        </w:rPr>
      </w:pPr>
      <w:r w:rsidRPr="00642B17">
        <w:rPr>
          <w:rFonts w:cs="Arial"/>
          <w:sz w:val="28"/>
          <w:szCs w:val="28"/>
        </w:rPr>
        <w:t>Un tel dispositif, bien tenu à jour permettra de développer des stratégies conséquentes de développement des RHS y compris pour la formation.</w:t>
      </w:r>
    </w:p>
    <w:p w:rsidR="001D299F" w:rsidRPr="006A0EC1" w:rsidRDefault="001D299F" w:rsidP="004D046C">
      <w:pPr>
        <w:pStyle w:val="Titre2"/>
        <w:numPr>
          <w:ilvl w:val="2"/>
          <w:numId w:val="5"/>
        </w:numPr>
        <w:spacing w:after="120"/>
        <w:ind w:left="1985" w:hanging="851"/>
        <w:jc w:val="both"/>
        <w:rPr>
          <w:sz w:val="28"/>
          <w:szCs w:val="28"/>
        </w:rPr>
      </w:pPr>
      <w:r w:rsidRPr="006A0EC1">
        <w:rPr>
          <w:sz w:val="28"/>
          <w:szCs w:val="28"/>
        </w:rPr>
        <w:t>Renforcement du cadre et des capacités institutionnelles de Gestion/utilisation des RHS.</w:t>
      </w:r>
    </w:p>
    <w:p w:rsidR="006A0EC1" w:rsidRPr="00AC016F" w:rsidRDefault="006A0EC1" w:rsidP="00AC016F">
      <w:pPr>
        <w:pStyle w:val="Corpsdetexte"/>
        <w:rPr>
          <w:lang w:val="fr-FR"/>
        </w:rPr>
      </w:pPr>
      <w:r w:rsidRPr="00AC016F">
        <w:rPr>
          <w:lang w:val="fr-FR"/>
        </w:rPr>
        <w:t xml:space="preserve">Pour changer durablement </w:t>
      </w:r>
      <w:r w:rsidR="00AC016F" w:rsidRPr="00AC016F">
        <w:rPr>
          <w:lang w:val="fr-FR"/>
        </w:rPr>
        <w:t>les insuffisances de gestion des RHS relev</w:t>
      </w:r>
      <w:r w:rsidR="00AC016F">
        <w:rPr>
          <w:lang w:val="fr-FR"/>
        </w:rPr>
        <w:t>é</w:t>
      </w:r>
      <w:r w:rsidR="00AC016F" w:rsidRPr="00AC016F">
        <w:rPr>
          <w:lang w:val="fr-FR"/>
        </w:rPr>
        <w:t>es dans l’analyse de situation</w:t>
      </w:r>
      <w:r w:rsidRPr="00AC016F">
        <w:rPr>
          <w:lang w:val="fr-FR"/>
        </w:rPr>
        <w:t xml:space="preserve"> au profit du système de santé, les </w:t>
      </w:r>
      <w:r w:rsidR="00AC016F">
        <w:rPr>
          <w:lang w:val="fr-FR"/>
        </w:rPr>
        <w:t>interven</w:t>
      </w:r>
      <w:r w:rsidRPr="00AC016F">
        <w:rPr>
          <w:lang w:val="fr-FR"/>
        </w:rPr>
        <w:t xml:space="preserve">tions prioritaires ci-après </w:t>
      </w:r>
      <w:r w:rsidR="009F23A5" w:rsidRPr="00AC016F">
        <w:rPr>
          <w:lang w:val="fr-FR"/>
        </w:rPr>
        <w:t>seront développ</w:t>
      </w:r>
      <w:r w:rsidRPr="00AC016F">
        <w:rPr>
          <w:lang w:val="fr-FR"/>
        </w:rPr>
        <w:t xml:space="preserve">ées :   </w:t>
      </w:r>
    </w:p>
    <w:p w:rsidR="006A0EC1" w:rsidRPr="00D67BDE" w:rsidRDefault="006A0EC1" w:rsidP="004D046C">
      <w:pPr>
        <w:pStyle w:val="Paragraphedeliste"/>
        <w:numPr>
          <w:ilvl w:val="0"/>
          <w:numId w:val="7"/>
        </w:numPr>
        <w:spacing w:after="0" w:line="240" w:lineRule="auto"/>
        <w:ind w:left="851" w:hanging="425"/>
        <w:jc w:val="both"/>
        <w:rPr>
          <w:bCs/>
          <w:iCs/>
          <w:sz w:val="28"/>
          <w:szCs w:val="28"/>
        </w:rPr>
      </w:pPr>
      <w:r w:rsidRPr="00D67BDE">
        <w:rPr>
          <w:bCs/>
          <w:iCs/>
          <w:sz w:val="28"/>
          <w:szCs w:val="28"/>
        </w:rPr>
        <w:t>le renforcement du cadre institutionnel de recrutement</w:t>
      </w:r>
    </w:p>
    <w:p w:rsidR="006A0EC1" w:rsidRPr="00D67BDE" w:rsidRDefault="006A0EC1" w:rsidP="004D046C">
      <w:pPr>
        <w:pStyle w:val="Paragraphedeliste"/>
        <w:numPr>
          <w:ilvl w:val="0"/>
          <w:numId w:val="7"/>
        </w:numPr>
        <w:spacing w:after="0" w:line="240" w:lineRule="auto"/>
        <w:ind w:left="851" w:hanging="425"/>
        <w:jc w:val="both"/>
        <w:rPr>
          <w:bCs/>
          <w:iCs/>
          <w:sz w:val="28"/>
          <w:szCs w:val="28"/>
        </w:rPr>
      </w:pPr>
      <w:r w:rsidRPr="00152DF0">
        <w:rPr>
          <w:rFonts w:cs="Arial"/>
          <w:i/>
          <w:sz w:val="28"/>
          <w:szCs w:val="28"/>
        </w:rPr>
        <w:t>la</w:t>
      </w:r>
      <w:r w:rsidRPr="00D67BDE">
        <w:rPr>
          <w:bCs/>
          <w:iCs/>
          <w:sz w:val="28"/>
          <w:szCs w:val="28"/>
        </w:rPr>
        <w:t xml:space="preserve"> mise en place d’une stratégie d’accueil et d’intégration des nouveaux agents </w:t>
      </w:r>
    </w:p>
    <w:p w:rsidR="00AC016F" w:rsidRPr="003D7663" w:rsidRDefault="006A0EC1" w:rsidP="004D046C">
      <w:pPr>
        <w:pStyle w:val="Paragraphedeliste"/>
        <w:numPr>
          <w:ilvl w:val="0"/>
          <w:numId w:val="7"/>
        </w:numPr>
        <w:spacing w:after="0" w:line="240" w:lineRule="auto"/>
        <w:ind w:left="851" w:hanging="425"/>
        <w:jc w:val="both"/>
        <w:rPr>
          <w:bCs/>
          <w:iCs/>
          <w:sz w:val="28"/>
          <w:szCs w:val="28"/>
        </w:rPr>
      </w:pPr>
      <w:r w:rsidRPr="00152DF0">
        <w:rPr>
          <w:rFonts w:cs="Arial"/>
          <w:i/>
          <w:sz w:val="28"/>
          <w:szCs w:val="28"/>
        </w:rPr>
        <w:t>la</w:t>
      </w:r>
      <w:r w:rsidRPr="00D67BDE">
        <w:rPr>
          <w:bCs/>
          <w:iCs/>
          <w:sz w:val="28"/>
          <w:szCs w:val="28"/>
        </w:rPr>
        <w:t xml:space="preserve"> mise en œuvre d’une stratégie de</w:t>
      </w:r>
      <w:r w:rsidR="00AC016F">
        <w:rPr>
          <w:bCs/>
          <w:iCs/>
          <w:sz w:val="28"/>
          <w:szCs w:val="28"/>
        </w:rPr>
        <w:t xml:space="preserve"> motivation et de</w:t>
      </w:r>
      <w:r w:rsidRPr="00D67BDE">
        <w:rPr>
          <w:bCs/>
          <w:iCs/>
          <w:sz w:val="28"/>
          <w:szCs w:val="28"/>
        </w:rPr>
        <w:t xml:space="preserve"> fidélisation </w:t>
      </w:r>
      <w:r w:rsidR="00AC016F">
        <w:rPr>
          <w:bCs/>
          <w:iCs/>
          <w:sz w:val="28"/>
          <w:szCs w:val="28"/>
        </w:rPr>
        <w:t xml:space="preserve">des personnels </w:t>
      </w:r>
    </w:p>
    <w:p w:rsidR="00AC016F" w:rsidRPr="003D7663" w:rsidRDefault="006A0EC1" w:rsidP="004D046C">
      <w:pPr>
        <w:pStyle w:val="Paragraphedeliste"/>
        <w:numPr>
          <w:ilvl w:val="0"/>
          <w:numId w:val="7"/>
        </w:numPr>
        <w:spacing w:after="0" w:line="240" w:lineRule="auto"/>
        <w:ind w:left="851" w:hanging="425"/>
        <w:jc w:val="both"/>
        <w:rPr>
          <w:bCs/>
          <w:iCs/>
          <w:sz w:val="28"/>
          <w:szCs w:val="28"/>
        </w:rPr>
      </w:pPr>
      <w:r w:rsidRPr="00152DF0">
        <w:rPr>
          <w:rFonts w:cs="Arial"/>
          <w:i/>
          <w:sz w:val="28"/>
          <w:szCs w:val="28"/>
        </w:rPr>
        <w:t>l’amélioration</w:t>
      </w:r>
      <w:r w:rsidRPr="00D67BDE">
        <w:rPr>
          <w:bCs/>
          <w:iCs/>
          <w:sz w:val="28"/>
          <w:szCs w:val="28"/>
        </w:rPr>
        <w:t xml:space="preserve"> du cadre institutionnel </w:t>
      </w:r>
      <w:r w:rsidR="00AC016F">
        <w:rPr>
          <w:bCs/>
          <w:iCs/>
          <w:sz w:val="28"/>
          <w:szCs w:val="28"/>
        </w:rPr>
        <w:t xml:space="preserve">de gestion des carrières </w:t>
      </w:r>
    </w:p>
    <w:p w:rsidR="005B1256" w:rsidRPr="005B1256" w:rsidRDefault="006A0EC1" w:rsidP="004D046C">
      <w:pPr>
        <w:pStyle w:val="Paragraphedeliste"/>
        <w:numPr>
          <w:ilvl w:val="0"/>
          <w:numId w:val="7"/>
        </w:numPr>
        <w:spacing w:after="0" w:line="240" w:lineRule="auto"/>
        <w:ind w:left="851" w:hanging="425"/>
        <w:jc w:val="both"/>
        <w:rPr>
          <w:bCs/>
          <w:iCs/>
          <w:sz w:val="28"/>
          <w:szCs w:val="28"/>
        </w:rPr>
      </w:pPr>
      <w:r w:rsidRPr="00152DF0">
        <w:rPr>
          <w:rFonts w:cs="Arial"/>
          <w:i/>
          <w:sz w:val="28"/>
          <w:szCs w:val="28"/>
        </w:rPr>
        <w:t>le</w:t>
      </w:r>
      <w:r w:rsidRPr="00D67BDE">
        <w:rPr>
          <w:bCs/>
          <w:iCs/>
          <w:sz w:val="28"/>
          <w:szCs w:val="28"/>
        </w:rPr>
        <w:t xml:space="preserve"> renforcement de la collaboration </w:t>
      </w:r>
      <w:r>
        <w:rPr>
          <w:bCs/>
          <w:iCs/>
          <w:sz w:val="28"/>
          <w:szCs w:val="28"/>
        </w:rPr>
        <w:t>entre les parties prenantes</w:t>
      </w:r>
    </w:p>
    <w:p w:rsidR="006A0EC1" w:rsidRPr="00DB00E3" w:rsidRDefault="00961244" w:rsidP="004D046C">
      <w:pPr>
        <w:pStyle w:val="Titre2"/>
        <w:numPr>
          <w:ilvl w:val="0"/>
          <w:numId w:val="14"/>
        </w:numPr>
        <w:tabs>
          <w:tab w:val="left" w:pos="851"/>
        </w:tabs>
        <w:spacing w:after="240"/>
        <w:ind w:left="993" w:hanging="567"/>
        <w:rPr>
          <w:i/>
          <w:color w:val="auto"/>
          <w:sz w:val="28"/>
          <w:szCs w:val="28"/>
        </w:rPr>
      </w:pPr>
      <w:r w:rsidRPr="00DB00E3">
        <w:rPr>
          <w:i/>
          <w:color w:val="auto"/>
          <w:sz w:val="28"/>
          <w:szCs w:val="28"/>
        </w:rPr>
        <w:t>Renforcement</w:t>
      </w:r>
      <w:r w:rsidR="006A0EC1" w:rsidRPr="00DB00E3">
        <w:rPr>
          <w:i/>
          <w:color w:val="auto"/>
          <w:sz w:val="28"/>
          <w:szCs w:val="28"/>
        </w:rPr>
        <w:t xml:space="preserve"> du cadre institutionnel de recrutement des RHS</w:t>
      </w:r>
    </w:p>
    <w:p w:rsidR="006A0EC1" w:rsidRPr="004733D6" w:rsidRDefault="006A0EC1" w:rsidP="004733D6">
      <w:pPr>
        <w:jc w:val="both"/>
        <w:rPr>
          <w:color w:val="000000" w:themeColor="text1"/>
          <w:sz w:val="28"/>
          <w:szCs w:val="28"/>
        </w:rPr>
      </w:pPr>
      <w:r w:rsidRPr="004733D6">
        <w:rPr>
          <w:color w:val="000000" w:themeColor="text1"/>
          <w:sz w:val="28"/>
          <w:szCs w:val="28"/>
        </w:rPr>
        <w:t xml:space="preserve">Le </w:t>
      </w:r>
      <w:r w:rsidRPr="004733D6">
        <w:rPr>
          <w:bCs/>
          <w:iCs/>
          <w:sz w:val="28"/>
          <w:szCs w:val="28"/>
        </w:rPr>
        <w:t>processus</w:t>
      </w:r>
      <w:r w:rsidRPr="004733D6">
        <w:rPr>
          <w:color w:val="000000" w:themeColor="text1"/>
          <w:sz w:val="28"/>
          <w:szCs w:val="28"/>
        </w:rPr>
        <w:t xml:space="preserve"> de recrutement vise à augmenter la capacité du secteur de répondre à la demande (i) en remplaçant les départs, (ii) en comblant les autres postes vacants ou (iii) en ajoutant de nouvelles compétences pour répondre à de nouveaux besoins de prestations.  </w:t>
      </w:r>
    </w:p>
    <w:p w:rsidR="006A0EC1" w:rsidRPr="004733D6" w:rsidRDefault="006A0EC1" w:rsidP="006A0EC1">
      <w:pPr>
        <w:spacing w:after="0"/>
        <w:jc w:val="both"/>
        <w:rPr>
          <w:color w:val="000000" w:themeColor="text1"/>
          <w:sz w:val="28"/>
          <w:szCs w:val="28"/>
        </w:rPr>
      </w:pPr>
      <w:r>
        <w:rPr>
          <w:color w:val="000000" w:themeColor="text1"/>
          <w:sz w:val="28"/>
          <w:szCs w:val="28"/>
        </w:rPr>
        <w:t xml:space="preserve">Pour répondre efficacement à ces impératifs, </w:t>
      </w:r>
      <w:r w:rsidRPr="004733D6">
        <w:rPr>
          <w:color w:val="000000" w:themeColor="text1"/>
          <w:sz w:val="28"/>
          <w:szCs w:val="28"/>
        </w:rPr>
        <w:t>le</w:t>
      </w:r>
      <w:r>
        <w:rPr>
          <w:color w:val="000000" w:themeColor="text1"/>
          <w:sz w:val="28"/>
          <w:szCs w:val="28"/>
        </w:rPr>
        <w:t xml:space="preserve"> MS, en</w:t>
      </w:r>
      <w:r w:rsidRPr="00D67BDE">
        <w:rPr>
          <w:color w:val="000000" w:themeColor="text1"/>
          <w:sz w:val="28"/>
          <w:szCs w:val="28"/>
        </w:rPr>
        <w:t xml:space="preserve"> collaboration</w:t>
      </w:r>
      <w:r>
        <w:rPr>
          <w:color w:val="000000" w:themeColor="text1"/>
          <w:sz w:val="28"/>
          <w:szCs w:val="28"/>
        </w:rPr>
        <w:t xml:space="preserve"> avec les partenaires concernés,</w:t>
      </w:r>
      <w:r w:rsidRPr="00F0056D">
        <w:rPr>
          <w:color w:val="000000" w:themeColor="text1"/>
          <w:sz w:val="28"/>
          <w:szCs w:val="28"/>
        </w:rPr>
        <w:t xml:space="preserve"> </w:t>
      </w:r>
      <w:r>
        <w:rPr>
          <w:color w:val="000000" w:themeColor="text1"/>
          <w:sz w:val="28"/>
          <w:szCs w:val="28"/>
        </w:rPr>
        <w:t>mettra en place le dispositif approprié, c</w:t>
      </w:r>
      <w:r w:rsidRPr="004733D6">
        <w:rPr>
          <w:color w:val="000000" w:themeColor="text1"/>
          <w:sz w:val="28"/>
          <w:szCs w:val="28"/>
        </w:rPr>
        <w:t>onforme aux lois et règlements en vigueur. L’application effective de la fonction publique locale constituera une opportunité à exploiter</w:t>
      </w:r>
      <w:r w:rsidR="00B84C5B">
        <w:rPr>
          <w:color w:val="000000" w:themeColor="text1"/>
          <w:sz w:val="28"/>
          <w:szCs w:val="28"/>
        </w:rPr>
        <w:t>.</w:t>
      </w:r>
      <w:r w:rsidRPr="004733D6">
        <w:rPr>
          <w:color w:val="000000" w:themeColor="text1"/>
          <w:sz w:val="28"/>
          <w:szCs w:val="28"/>
        </w:rPr>
        <w:t xml:space="preserve"> </w:t>
      </w:r>
    </w:p>
    <w:p w:rsidR="006A0EC1" w:rsidRPr="004733D6" w:rsidRDefault="006A0EC1" w:rsidP="006A0EC1">
      <w:pPr>
        <w:spacing w:after="0"/>
        <w:jc w:val="both"/>
        <w:rPr>
          <w:color w:val="000000" w:themeColor="text1"/>
          <w:sz w:val="28"/>
          <w:szCs w:val="28"/>
        </w:rPr>
      </w:pPr>
    </w:p>
    <w:p w:rsidR="004559EF" w:rsidRDefault="006A0EC1" w:rsidP="006A0EC1">
      <w:pPr>
        <w:spacing w:after="0"/>
        <w:jc w:val="both"/>
        <w:rPr>
          <w:color w:val="000000" w:themeColor="text1"/>
          <w:sz w:val="28"/>
          <w:szCs w:val="28"/>
        </w:rPr>
      </w:pPr>
      <w:r w:rsidRPr="004733D6">
        <w:rPr>
          <w:color w:val="000000" w:themeColor="text1"/>
          <w:sz w:val="28"/>
          <w:szCs w:val="28"/>
        </w:rPr>
        <w:t>Afin d’assurer que ce dispositif fonctionne de façon optimale, le MS prendra les mesures et procédures appropriés</w:t>
      </w:r>
      <w:r w:rsidR="004559EF">
        <w:rPr>
          <w:color w:val="000000" w:themeColor="text1"/>
          <w:sz w:val="28"/>
          <w:szCs w:val="28"/>
        </w:rPr>
        <w:t xml:space="preserve">. </w:t>
      </w:r>
      <w:r w:rsidR="00E73D71">
        <w:rPr>
          <w:color w:val="000000" w:themeColor="text1"/>
          <w:sz w:val="28"/>
          <w:szCs w:val="28"/>
        </w:rPr>
        <w:t>I</w:t>
      </w:r>
      <w:r w:rsidR="004559EF">
        <w:rPr>
          <w:color w:val="000000" w:themeColor="text1"/>
          <w:sz w:val="28"/>
          <w:szCs w:val="28"/>
        </w:rPr>
        <w:t>l s’agira de :</w:t>
      </w:r>
    </w:p>
    <w:p w:rsidR="004559EF" w:rsidRDefault="004559EF" w:rsidP="004D046C">
      <w:pPr>
        <w:pStyle w:val="Paragraphedeliste"/>
        <w:numPr>
          <w:ilvl w:val="0"/>
          <w:numId w:val="7"/>
        </w:numPr>
        <w:spacing w:after="0" w:line="240" w:lineRule="auto"/>
        <w:ind w:left="851" w:hanging="425"/>
        <w:jc w:val="both"/>
        <w:rPr>
          <w:color w:val="000000" w:themeColor="text1"/>
          <w:sz w:val="28"/>
          <w:szCs w:val="28"/>
        </w:rPr>
      </w:pPr>
      <w:r w:rsidRPr="00152DF0">
        <w:rPr>
          <w:rFonts w:cs="Arial"/>
          <w:i/>
          <w:sz w:val="28"/>
          <w:szCs w:val="28"/>
        </w:rPr>
        <w:t>P</w:t>
      </w:r>
      <w:r w:rsidR="006A0EC1" w:rsidRPr="00152DF0">
        <w:rPr>
          <w:rFonts w:cs="Arial"/>
          <w:i/>
          <w:sz w:val="28"/>
          <w:szCs w:val="28"/>
        </w:rPr>
        <w:t>rodui</w:t>
      </w:r>
      <w:r w:rsidRPr="00152DF0">
        <w:rPr>
          <w:rFonts w:cs="Arial"/>
          <w:i/>
          <w:sz w:val="28"/>
          <w:szCs w:val="28"/>
        </w:rPr>
        <w:t>re</w:t>
      </w:r>
      <w:r>
        <w:rPr>
          <w:color w:val="000000" w:themeColor="text1"/>
          <w:sz w:val="28"/>
          <w:szCs w:val="28"/>
        </w:rPr>
        <w:t xml:space="preserve"> </w:t>
      </w:r>
      <w:r w:rsidR="006A0EC1" w:rsidRPr="004559EF">
        <w:rPr>
          <w:color w:val="000000" w:themeColor="text1"/>
          <w:sz w:val="28"/>
          <w:szCs w:val="28"/>
        </w:rPr>
        <w:t>les informations pertinentes</w:t>
      </w:r>
      <w:r>
        <w:rPr>
          <w:color w:val="000000" w:themeColor="text1"/>
          <w:sz w:val="28"/>
          <w:szCs w:val="28"/>
        </w:rPr>
        <w:t>,</w:t>
      </w:r>
    </w:p>
    <w:p w:rsidR="004559EF" w:rsidRDefault="004559EF" w:rsidP="004D046C">
      <w:pPr>
        <w:pStyle w:val="Paragraphedeliste"/>
        <w:numPr>
          <w:ilvl w:val="0"/>
          <w:numId w:val="7"/>
        </w:numPr>
        <w:spacing w:after="0" w:line="240" w:lineRule="auto"/>
        <w:ind w:left="851" w:hanging="425"/>
        <w:jc w:val="both"/>
        <w:rPr>
          <w:color w:val="000000" w:themeColor="text1"/>
          <w:sz w:val="28"/>
          <w:szCs w:val="28"/>
        </w:rPr>
      </w:pPr>
      <w:r>
        <w:rPr>
          <w:color w:val="000000" w:themeColor="text1"/>
          <w:sz w:val="28"/>
          <w:szCs w:val="28"/>
        </w:rPr>
        <w:t>Actualiser les besoins en RHS en tenant compte du cadre organique, des départs à la retraite et des nouveaux besoins induits par le développement du secteur,</w:t>
      </w:r>
    </w:p>
    <w:p w:rsidR="00352FD4" w:rsidRDefault="00352FD4" w:rsidP="004D046C">
      <w:pPr>
        <w:pStyle w:val="Paragraphedeliste"/>
        <w:numPr>
          <w:ilvl w:val="0"/>
          <w:numId w:val="7"/>
        </w:numPr>
        <w:spacing w:after="0" w:line="240" w:lineRule="auto"/>
        <w:ind w:left="851" w:hanging="425"/>
        <w:jc w:val="both"/>
        <w:rPr>
          <w:color w:val="000000" w:themeColor="text1"/>
          <w:sz w:val="28"/>
          <w:szCs w:val="28"/>
        </w:rPr>
      </w:pPr>
      <w:r w:rsidRPr="00152DF0">
        <w:rPr>
          <w:rFonts w:cs="Arial"/>
          <w:i/>
          <w:sz w:val="28"/>
          <w:szCs w:val="28"/>
        </w:rPr>
        <w:lastRenderedPageBreak/>
        <w:t>Elaborer</w:t>
      </w:r>
      <w:r>
        <w:rPr>
          <w:color w:val="000000" w:themeColor="text1"/>
          <w:sz w:val="28"/>
          <w:szCs w:val="28"/>
        </w:rPr>
        <w:t xml:space="preserve"> un plan de recrutement pluriannuel en partenariat avec le Ministère den charge de la fonction publique</w:t>
      </w:r>
    </w:p>
    <w:p w:rsidR="00352FD4" w:rsidRDefault="004559EF" w:rsidP="004D046C">
      <w:pPr>
        <w:pStyle w:val="Paragraphedeliste"/>
        <w:numPr>
          <w:ilvl w:val="0"/>
          <w:numId w:val="7"/>
        </w:numPr>
        <w:spacing w:after="0" w:line="240" w:lineRule="auto"/>
        <w:ind w:left="851" w:hanging="425"/>
        <w:jc w:val="both"/>
        <w:rPr>
          <w:color w:val="000000" w:themeColor="text1"/>
          <w:sz w:val="28"/>
          <w:szCs w:val="28"/>
        </w:rPr>
      </w:pPr>
      <w:r w:rsidRPr="00152DF0">
        <w:rPr>
          <w:rFonts w:cs="Arial"/>
          <w:i/>
          <w:sz w:val="28"/>
          <w:szCs w:val="28"/>
        </w:rPr>
        <w:t>Mobiliser</w:t>
      </w:r>
      <w:r>
        <w:rPr>
          <w:color w:val="000000" w:themeColor="text1"/>
          <w:sz w:val="28"/>
          <w:szCs w:val="28"/>
        </w:rPr>
        <w:t xml:space="preserve"> les fonds nécessaires </w:t>
      </w:r>
      <w:r w:rsidR="00352FD4">
        <w:rPr>
          <w:color w:val="000000" w:themeColor="text1"/>
          <w:sz w:val="28"/>
          <w:szCs w:val="28"/>
        </w:rPr>
        <w:t xml:space="preserve">à la mise en œuvre de ce plan </w:t>
      </w:r>
      <w:r>
        <w:rPr>
          <w:color w:val="000000" w:themeColor="text1"/>
          <w:sz w:val="28"/>
          <w:szCs w:val="28"/>
        </w:rPr>
        <w:t xml:space="preserve">en négociant </w:t>
      </w:r>
      <w:r w:rsidR="00352FD4">
        <w:rPr>
          <w:color w:val="000000" w:themeColor="text1"/>
          <w:sz w:val="28"/>
          <w:szCs w:val="28"/>
        </w:rPr>
        <w:t xml:space="preserve">son inclusion dans le </w:t>
      </w:r>
      <w:r>
        <w:rPr>
          <w:color w:val="000000" w:themeColor="text1"/>
          <w:sz w:val="28"/>
          <w:szCs w:val="28"/>
        </w:rPr>
        <w:t xml:space="preserve">budget-programme </w:t>
      </w:r>
      <w:r w:rsidR="00352FD4">
        <w:rPr>
          <w:color w:val="000000" w:themeColor="text1"/>
          <w:sz w:val="28"/>
          <w:szCs w:val="28"/>
        </w:rPr>
        <w:t xml:space="preserve">du MS </w:t>
      </w:r>
      <w:r>
        <w:rPr>
          <w:color w:val="000000" w:themeColor="text1"/>
          <w:sz w:val="28"/>
          <w:szCs w:val="28"/>
        </w:rPr>
        <w:t>avec les Ministères en charge des finances et du budget et les PTF</w:t>
      </w:r>
      <w:r w:rsidR="00352FD4">
        <w:rPr>
          <w:color w:val="000000" w:themeColor="text1"/>
          <w:sz w:val="28"/>
          <w:szCs w:val="28"/>
        </w:rPr>
        <w:t>,</w:t>
      </w:r>
    </w:p>
    <w:p w:rsidR="006A0EC1" w:rsidRDefault="00352FD4" w:rsidP="004D046C">
      <w:pPr>
        <w:pStyle w:val="Paragraphedeliste"/>
        <w:numPr>
          <w:ilvl w:val="0"/>
          <w:numId w:val="7"/>
        </w:numPr>
        <w:spacing w:after="0" w:line="240" w:lineRule="auto"/>
        <w:ind w:left="851" w:hanging="425"/>
        <w:jc w:val="both"/>
        <w:rPr>
          <w:color w:val="000000" w:themeColor="text1"/>
          <w:sz w:val="28"/>
          <w:szCs w:val="28"/>
        </w:rPr>
      </w:pPr>
      <w:r w:rsidRPr="00152DF0">
        <w:rPr>
          <w:rFonts w:cs="Arial"/>
          <w:i/>
          <w:sz w:val="28"/>
          <w:szCs w:val="28"/>
        </w:rPr>
        <w:t>Promouvoir</w:t>
      </w:r>
      <w:r>
        <w:rPr>
          <w:color w:val="000000" w:themeColor="text1"/>
          <w:sz w:val="28"/>
          <w:szCs w:val="28"/>
        </w:rPr>
        <w:t xml:space="preserve"> le recrutement par les collectivités locales dans le cadre de la décentralisation qui y transfère les compétences en matière de santé</w:t>
      </w:r>
      <w:r w:rsidR="00E73D71">
        <w:rPr>
          <w:color w:val="000000" w:themeColor="text1"/>
          <w:sz w:val="28"/>
          <w:szCs w:val="28"/>
        </w:rPr>
        <w:t>.</w:t>
      </w:r>
    </w:p>
    <w:p w:rsidR="007E20F5" w:rsidRPr="007E20F5" w:rsidRDefault="007E20F5" w:rsidP="007E20F5">
      <w:pPr>
        <w:spacing w:after="0"/>
        <w:jc w:val="both"/>
        <w:rPr>
          <w:color w:val="000000" w:themeColor="text1"/>
          <w:sz w:val="28"/>
          <w:szCs w:val="28"/>
        </w:rPr>
      </w:pPr>
      <w:r>
        <w:rPr>
          <w:color w:val="000000" w:themeColor="text1"/>
          <w:sz w:val="28"/>
          <w:szCs w:val="28"/>
        </w:rPr>
        <w:t>Le ministère veillera scrupuleusement au respect des lois et règlements en la matière.</w:t>
      </w:r>
    </w:p>
    <w:p w:rsidR="006A0EC1" w:rsidRPr="000F1506" w:rsidRDefault="006A0EC1" w:rsidP="004D046C">
      <w:pPr>
        <w:pStyle w:val="Titre2"/>
        <w:numPr>
          <w:ilvl w:val="0"/>
          <w:numId w:val="14"/>
        </w:numPr>
        <w:tabs>
          <w:tab w:val="left" w:pos="851"/>
        </w:tabs>
        <w:spacing w:after="240"/>
        <w:ind w:left="851" w:hanging="425"/>
        <w:jc w:val="both"/>
        <w:rPr>
          <w:i/>
          <w:color w:val="auto"/>
          <w:sz w:val="28"/>
          <w:szCs w:val="28"/>
        </w:rPr>
      </w:pPr>
      <w:r w:rsidRPr="00DB00E3">
        <w:rPr>
          <w:i/>
          <w:color w:val="auto"/>
          <w:sz w:val="28"/>
          <w:szCs w:val="28"/>
        </w:rPr>
        <w:t xml:space="preserve">Mise en place d’une stratégie d’accueil et d’intégration des nouveaux </w:t>
      </w:r>
      <w:r w:rsidR="000F1506">
        <w:rPr>
          <w:i/>
          <w:color w:val="auto"/>
          <w:sz w:val="28"/>
          <w:szCs w:val="28"/>
        </w:rPr>
        <w:t>personnels dans les lieux d’affectation</w:t>
      </w:r>
    </w:p>
    <w:p w:rsidR="006A0EC1" w:rsidRPr="00D67BDE" w:rsidRDefault="006A0EC1" w:rsidP="006A0EC1">
      <w:pPr>
        <w:widowControl w:val="0"/>
        <w:autoSpaceDE w:val="0"/>
        <w:autoSpaceDN w:val="0"/>
        <w:adjustRightInd w:val="0"/>
        <w:spacing w:after="0" w:line="275" w:lineRule="auto"/>
        <w:ind w:right="73"/>
        <w:jc w:val="both"/>
        <w:rPr>
          <w:bCs/>
          <w:iCs/>
          <w:sz w:val="28"/>
          <w:szCs w:val="28"/>
        </w:rPr>
      </w:pPr>
      <w:r w:rsidRPr="00D67BDE">
        <w:rPr>
          <w:bCs/>
          <w:iCs/>
          <w:sz w:val="28"/>
          <w:szCs w:val="28"/>
        </w:rPr>
        <w:t xml:space="preserve">La mise en place d’une stratégie d’accueil et d’intégration crée généralement un impact important sur la durée d’emploi, l’engagement de l’employé au sein de l’organisation ou service ainsi que sur sa mobilisation et son adhésion à la mission. Il importe donc de transmettre aux nouveaux employés un maximum de renseignements sur </w:t>
      </w:r>
      <w:r>
        <w:rPr>
          <w:bCs/>
          <w:iCs/>
          <w:sz w:val="28"/>
          <w:szCs w:val="28"/>
        </w:rPr>
        <w:t>les normes et procédures</w:t>
      </w:r>
      <w:r w:rsidRPr="00D67BDE">
        <w:rPr>
          <w:bCs/>
          <w:iCs/>
          <w:sz w:val="28"/>
          <w:szCs w:val="28"/>
        </w:rPr>
        <w:t>, les valeurs et les attentes de l’organisation à la prise de service</w:t>
      </w:r>
      <w:r w:rsidR="000F1506">
        <w:rPr>
          <w:bCs/>
          <w:iCs/>
          <w:sz w:val="28"/>
          <w:szCs w:val="28"/>
        </w:rPr>
        <w:t xml:space="preserve"> et les exigences du poste</w:t>
      </w:r>
      <w:r w:rsidRPr="00D67BDE">
        <w:rPr>
          <w:bCs/>
          <w:iCs/>
          <w:sz w:val="28"/>
          <w:szCs w:val="28"/>
        </w:rPr>
        <w:t>. Plus l’accueil d’un employé est structuré et efficace, plus</w:t>
      </w:r>
      <w:r>
        <w:rPr>
          <w:bCs/>
          <w:iCs/>
          <w:sz w:val="28"/>
          <w:szCs w:val="28"/>
        </w:rPr>
        <w:t xml:space="preserve"> vite</w:t>
      </w:r>
      <w:r w:rsidRPr="00D67BDE">
        <w:rPr>
          <w:bCs/>
          <w:iCs/>
          <w:sz w:val="28"/>
          <w:szCs w:val="28"/>
        </w:rPr>
        <w:t xml:space="preserve"> il atteindra un niveau de performance satisfaisant.</w:t>
      </w:r>
      <w:r>
        <w:rPr>
          <w:bCs/>
          <w:iCs/>
          <w:sz w:val="28"/>
          <w:szCs w:val="28"/>
        </w:rPr>
        <w:t xml:space="preserve"> A cet effet, le MS mettra en œuvre un programme d’accueil et d’intégration des personnels nouvellement recrutés</w:t>
      </w:r>
      <w:r w:rsidR="00EA2A9C">
        <w:rPr>
          <w:bCs/>
          <w:iCs/>
          <w:sz w:val="28"/>
          <w:szCs w:val="28"/>
        </w:rPr>
        <w:t xml:space="preserve"> ou affecté</w:t>
      </w:r>
      <w:r>
        <w:rPr>
          <w:bCs/>
          <w:iCs/>
          <w:sz w:val="28"/>
          <w:szCs w:val="28"/>
        </w:rPr>
        <w:t xml:space="preserve">. </w:t>
      </w:r>
    </w:p>
    <w:p w:rsidR="006A0EC1" w:rsidRPr="00EA2A9C" w:rsidRDefault="006A0EC1" w:rsidP="004D046C">
      <w:pPr>
        <w:pStyle w:val="Titre2"/>
        <w:numPr>
          <w:ilvl w:val="0"/>
          <w:numId w:val="14"/>
        </w:numPr>
        <w:tabs>
          <w:tab w:val="left" w:pos="851"/>
        </w:tabs>
        <w:spacing w:after="240"/>
        <w:ind w:left="993" w:hanging="567"/>
        <w:rPr>
          <w:i/>
          <w:color w:val="auto"/>
          <w:sz w:val="28"/>
          <w:szCs w:val="28"/>
        </w:rPr>
      </w:pPr>
      <w:r w:rsidRPr="00DB00E3">
        <w:rPr>
          <w:i/>
          <w:color w:val="auto"/>
          <w:sz w:val="28"/>
          <w:szCs w:val="28"/>
        </w:rPr>
        <w:t>Amélioration de la répartition des personnels de santé</w:t>
      </w:r>
    </w:p>
    <w:p w:rsidR="006A0EC1" w:rsidRPr="00D67BDE" w:rsidRDefault="006A0EC1" w:rsidP="004733D6">
      <w:pPr>
        <w:jc w:val="both"/>
        <w:rPr>
          <w:bCs/>
          <w:iCs/>
          <w:sz w:val="28"/>
          <w:szCs w:val="28"/>
        </w:rPr>
      </w:pPr>
      <w:r w:rsidRPr="004733D6">
        <w:rPr>
          <w:bCs/>
          <w:iCs/>
          <w:sz w:val="28"/>
          <w:szCs w:val="28"/>
        </w:rPr>
        <w:t>Dans le cadre de la gestion administrative des structures de santé, la loi exige la tenue à jour des cadres organiques dans toutes les structures publiques</w:t>
      </w:r>
      <w:r w:rsidRPr="00EA2A9C">
        <w:rPr>
          <w:bCs/>
          <w:iCs/>
          <w:vertAlign w:val="superscript"/>
        </w:rPr>
        <w:footnoteReference w:id="32"/>
      </w:r>
      <w:r w:rsidRPr="004733D6">
        <w:rPr>
          <w:bCs/>
          <w:iCs/>
          <w:sz w:val="28"/>
          <w:szCs w:val="28"/>
        </w:rPr>
        <w:t>. Ce qui crée un environnement institutionnel favorable à une gestion rationnelle des effectifs</w:t>
      </w:r>
      <w:r w:rsidR="00EA2A9C">
        <w:rPr>
          <w:bCs/>
          <w:iCs/>
          <w:sz w:val="28"/>
          <w:szCs w:val="28"/>
        </w:rPr>
        <w:t>…</w:t>
      </w:r>
      <w:r w:rsidR="00EA2A9C">
        <w:rPr>
          <w:bCs/>
          <w:iCs/>
          <w:color w:val="FF0000"/>
          <w:sz w:val="28"/>
          <w:szCs w:val="28"/>
        </w:rPr>
        <w:t>………………………………………………………</w:t>
      </w:r>
      <w:r w:rsidRPr="004733D6">
        <w:rPr>
          <w:bCs/>
          <w:iCs/>
          <w:sz w:val="28"/>
          <w:szCs w:val="28"/>
        </w:rPr>
        <w:t xml:space="preserve"> </w:t>
      </w:r>
    </w:p>
    <w:p w:rsidR="006A0EC1" w:rsidRPr="004733D6" w:rsidRDefault="006A0EC1" w:rsidP="004D046C">
      <w:pPr>
        <w:pStyle w:val="Titre2"/>
        <w:numPr>
          <w:ilvl w:val="0"/>
          <w:numId w:val="14"/>
        </w:numPr>
        <w:tabs>
          <w:tab w:val="left" w:pos="851"/>
        </w:tabs>
        <w:spacing w:after="240"/>
        <w:ind w:left="993" w:hanging="567"/>
        <w:rPr>
          <w:i/>
          <w:color w:val="auto"/>
          <w:sz w:val="28"/>
          <w:szCs w:val="28"/>
        </w:rPr>
      </w:pPr>
      <w:r w:rsidRPr="00DB00E3">
        <w:rPr>
          <w:i/>
          <w:color w:val="auto"/>
          <w:sz w:val="28"/>
          <w:szCs w:val="28"/>
        </w:rPr>
        <w:t xml:space="preserve">Mise en œuvre d’une stratégie de motivation et de fidélisation </w:t>
      </w:r>
    </w:p>
    <w:p w:rsidR="006A0EC1" w:rsidRPr="00D67BDE" w:rsidRDefault="006A0EC1" w:rsidP="006A0EC1">
      <w:pPr>
        <w:widowControl w:val="0"/>
        <w:autoSpaceDE w:val="0"/>
        <w:autoSpaceDN w:val="0"/>
        <w:adjustRightInd w:val="0"/>
        <w:spacing w:after="0" w:line="275" w:lineRule="auto"/>
        <w:ind w:right="73"/>
        <w:jc w:val="both"/>
        <w:rPr>
          <w:bCs/>
          <w:iCs/>
          <w:sz w:val="28"/>
          <w:szCs w:val="28"/>
        </w:rPr>
      </w:pPr>
      <w:r w:rsidRPr="00D67BDE">
        <w:rPr>
          <w:bCs/>
          <w:iCs/>
          <w:sz w:val="28"/>
          <w:szCs w:val="28"/>
        </w:rPr>
        <w:t xml:space="preserve">Les traitements et salaires du personnel de santé sont </w:t>
      </w:r>
      <w:r w:rsidRPr="004733D6">
        <w:rPr>
          <w:bCs/>
          <w:iCs/>
          <w:sz w:val="28"/>
          <w:szCs w:val="28"/>
        </w:rPr>
        <w:t xml:space="preserve">régis par le régime général de la fonction publique. En particulier, dans les établissements de soins, il existe d’autres formes de rétributions allant des primes de rendement, de garde et d’astreinte aux primes de zones. Si ces dernières constituent des facteurs de rétention et d’attraction de meilleur personnel, aujourd’hui, au regard du contexte, les conditions de travail, la performance et la cherté de la </w:t>
      </w:r>
      <w:r w:rsidRPr="004733D6">
        <w:rPr>
          <w:bCs/>
          <w:iCs/>
          <w:sz w:val="28"/>
          <w:szCs w:val="28"/>
        </w:rPr>
        <w:lastRenderedPageBreak/>
        <w:t>vie…ces mesures sont insuffisantes. Des efforts supplémentaires doivent déployés dans le sens du renforcement des initiatives et mesures incitatives et de fidélisation des personnels de santé : améliorer la rémunération, élaborer et vulgariser des critères de nomination aux postes de responsabilité et accélérer l’application effective et intégrale des dispositions du statut particulier de la santé.</w:t>
      </w:r>
    </w:p>
    <w:p w:rsidR="009B3327" w:rsidRDefault="009B3327" w:rsidP="009B3327">
      <w:pPr>
        <w:spacing w:after="120" w:line="240" w:lineRule="auto"/>
        <w:jc w:val="both"/>
        <w:rPr>
          <w:color w:val="FF0000"/>
          <w:sz w:val="28"/>
          <w:szCs w:val="28"/>
        </w:rPr>
      </w:pPr>
    </w:p>
    <w:p w:rsidR="009B3327" w:rsidRDefault="009B3327" w:rsidP="009B3327">
      <w:pPr>
        <w:spacing w:after="120" w:line="240" w:lineRule="auto"/>
        <w:jc w:val="both"/>
        <w:rPr>
          <w:color w:val="FF0000"/>
          <w:sz w:val="28"/>
          <w:szCs w:val="28"/>
        </w:rPr>
      </w:pPr>
    </w:p>
    <w:p w:rsidR="009B3327" w:rsidRDefault="009B3327" w:rsidP="009B3327">
      <w:pPr>
        <w:spacing w:after="120" w:line="240" w:lineRule="auto"/>
        <w:jc w:val="both"/>
        <w:rPr>
          <w:color w:val="FF0000"/>
          <w:sz w:val="28"/>
          <w:szCs w:val="28"/>
        </w:rPr>
      </w:pPr>
    </w:p>
    <w:p w:rsidR="00AC016F" w:rsidRPr="00AC016F" w:rsidRDefault="00AC016F" w:rsidP="00AC016F">
      <w:pPr>
        <w:widowControl w:val="0"/>
        <w:autoSpaceDE w:val="0"/>
        <w:autoSpaceDN w:val="0"/>
        <w:adjustRightInd w:val="0"/>
        <w:spacing w:after="0" w:line="263" w:lineRule="exact"/>
        <w:ind w:left="360"/>
        <w:jc w:val="both"/>
        <w:rPr>
          <w:bCs/>
          <w:iCs/>
          <w:color w:val="FF0000"/>
          <w:sz w:val="28"/>
          <w:szCs w:val="28"/>
        </w:rPr>
      </w:pPr>
      <w:proofErr w:type="gramStart"/>
      <w:r w:rsidRPr="00AC016F">
        <w:rPr>
          <w:bCs/>
          <w:iCs/>
          <w:color w:val="FF0000"/>
          <w:sz w:val="28"/>
          <w:szCs w:val="28"/>
        </w:rPr>
        <w:t>à</w:t>
      </w:r>
      <w:proofErr w:type="gramEnd"/>
      <w:r w:rsidRPr="00AC016F">
        <w:rPr>
          <w:bCs/>
          <w:iCs/>
          <w:color w:val="FF0000"/>
          <w:sz w:val="28"/>
          <w:szCs w:val="28"/>
        </w:rPr>
        <w:t xml:space="preserve"> travers un système de motivation efficace susceptible de satisfaire, d’une part, les besoins du système y compris dans les zones défavorisées en personnels qualifiés, et d’autre part, les attentes des personnels eux-mêmes</w:t>
      </w:r>
    </w:p>
    <w:p w:rsidR="009B3327" w:rsidRDefault="009B3327" w:rsidP="009B3327">
      <w:pPr>
        <w:spacing w:after="120" w:line="240" w:lineRule="auto"/>
        <w:jc w:val="both"/>
        <w:rPr>
          <w:color w:val="FF0000"/>
          <w:sz w:val="28"/>
          <w:szCs w:val="28"/>
        </w:rPr>
      </w:pPr>
    </w:p>
    <w:p w:rsidR="003D7663" w:rsidRPr="003D7663" w:rsidRDefault="003D7663" w:rsidP="003D7663">
      <w:pPr>
        <w:widowControl w:val="0"/>
        <w:autoSpaceDE w:val="0"/>
        <w:autoSpaceDN w:val="0"/>
        <w:adjustRightInd w:val="0"/>
        <w:spacing w:after="0" w:line="263" w:lineRule="exact"/>
        <w:ind w:left="360"/>
        <w:jc w:val="both"/>
        <w:rPr>
          <w:bCs/>
          <w:iCs/>
          <w:color w:val="FF0000"/>
          <w:sz w:val="28"/>
          <w:szCs w:val="28"/>
        </w:rPr>
      </w:pPr>
      <w:proofErr w:type="gramStart"/>
      <w:r w:rsidRPr="003D7663">
        <w:rPr>
          <w:bCs/>
          <w:iCs/>
          <w:color w:val="FF0000"/>
          <w:sz w:val="28"/>
          <w:szCs w:val="28"/>
        </w:rPr>
        <w:t>cheminement</w:t>
      </w:r>
      <w:proofErr w:type="gramEnd"/>
      <w:r w:rsidRPr="003D7663">
        <w:rPr>
          <w:bCs/>
          <w:iCs/>
          <w:color w:val="FF0000"/>
          <w:sz w:val="28"/>
          <w:szCs w:val="28"/>
        </w:rPr>
        <w:t xml:space="preserve"> ou développement des personnels à travers l’évaluation du rendement.</w:t>
      </w:r>
    </w:p>
    <w:p w:rsidR="009B3327" w:rsidRDefault="009B3327" w:rsidP="003D7663">
      <w:pPr>
        <w:tabs>
          <w:tab w:val="left" w:pos="1500"/>
        </w:tabs>
        <w:spacing w:after="120" w:line="240" w:lineRule="auto"/>
        <w:jc w:val="both"/>
        <w:rPr>
          <w:color w:val="FF0000"/>
          <w:sz w:val="28"/>
          <w:szCs w:val="28"/>
        </w:rPr>
      </w:pPr>
    </w:p>
    <w:p w:rsidR="009B3327" w:rsidRPr="001D299F" w:rsidRDefault="009B3327" w:rsidP="009B3327">
      <w:pPr>
        <w:spacing w:after="120" w:line="240" w:lineRule="auto"/>
        <w:jc w:val="both"/>
        <w:rPr>
          <w:color w:val="FF0000"/>
          <w:sz w:val="28"/>
          <w:szCs w:val="28"/>
        </w:rPr>
      </w:pPr>
    </w:p>
    <w:p w:rsidR="00346382" w:rsidRDefault="00B94E34" w:rsidP="004D046C">
      <w:pPr>
        <w:numPr>
          <w:ilvl w:val="1"/>
          <w:numId w:val="2"/>
        </w:numPr>
        <w:spacing w:after="120" w:line="240" w:lineRule="auto"/>
        <w:ind w:left="1434" w:hanging="357"/>
        <w:jc w:val="both"/>
        <w:rPr>
          <w:sz w:val="28"/>
          <w:szCs w:val="28"/>
        </w:rPr>
      </w:pPr>
      <w:r w:rsidRPr="00D52E18">
        <w:rPr>
          <w:sz w:val="28"/>
          <w:szCs w:val="28"/>
        </w:rPr>
        <w:t xml:space="preserve">le cadre de gestion des RHS: cadre juridique, </w:t>
      </w:r>
      <w:r w:rsidR="00C22223" w:rsidRPr="00D52E18">
        <w:rPr>
          <w:sz w:val="28"/>
          <w:szCs w:val="28"/>
        </w:rPr>
        <w:t xml:space="preserve">cadre institutionnel, </w:t>
      </w:r>
      <w:r w:rsidRPr="00D52E18">
        <w:rPr>
          <w:sz w:val="28"/>
          <w:szCs w:val="28"/>
        </w:rPr>
        <w:t>rôles complémentaires des principaux acteurs, cadre de coordination/concertation</w:t>
      </w:r>
      <w:r w:rsidR="001C7A44" w:rsidRPr="00D52E18">
        <w:rPr>
          <w:sz w:val="28"/>
          <w:szCs w:val="28"/>
        </w:rPr>
        <w:t xml:space="preserve"> (information pour la gestion des RHS</w:t>
      </w:r>
      <w:r w:rsidRPr="00D52E18">
        <w:rPr>
          <w:sz w:val="28"/>
          <w:szCs w:val="28"/>
        </w:rPr>
        <w:t xml:space="preserve"> </w:t>
      </w:r>
    </w:p>
    <w:p w:rsidR="009B3327" w:rsidRDefault="009B3327" w:rsidP="009B3327">
      <w:pPr>
        <w:spacing w:after="120" w:line="240" w:lineRule="auto"/>
        <w:jc w:val="both"/>
        <w:rPr>
          <w:sz w:val="28"/>
          <w:szCs w:val="28"/>
        </w:rPr>
      </w:pPr>
    </w:p>
    <w:p w:rsidR="009B3327" w:rsidRDefault="009B3327" w:rsidP="009B3327">
      <w:pPr>
        <w:spacing w:after="120" w:line="240" w:lineRule="auto"/>
        <w:jc w:val="both"/>
        <w:rPr>
          <w:sz w:val="28"/>
          <w:szCs w:val="28"/>
        </w:rPr>
      </w:pPr>
    </w:p>
    <w:p w:rsidR="009B3327" w:rsidRPr="00D52E18" w:rsidRDefault="009B3327" w:rsidP="009B3327">
      <w:pPr>
        <w:spacing w:after="120" w:line="240" w:lineRule="auto"/>
        <w:jc w:val="both"/>
        <w:rPr>
          <w:sz w:val="28"/>
          <w:szCs w:val="28"/>
        </w:rPr>
      </w:pPr>
    </w:p>
    <w:p w:rsidR="009B3327" w:rsidRDefault="005302A3" w:rsidP="004D046C">
      <w:pPr>
        <w:numPr>
          <w:ilvl w:val="1"/>
          <w:numId w:val="2"/>
        </w:numPr>
        <w:spacing w:after="120" w:line="240" w:lineRule="auto"/>
        <w:ind w:left="1434" w:hanging="357"/>
        <w:jc w:val="both"/>
        <w:rPr>
          <w:sz w:val="28"/>
          <w:szCs w:val="28"/>
        </w:rPr>
      </w:pPr>
      <w:r w:rsidRPr="00D52E18">
        <w:rPr>
          <w:sz w:val="28"/>
          <w:szCs w:val="28"/>
        </w:rPr>
        <w:t>r</w:t>
      </w:r>
      <w:r w:rsidR="009B3327">
        <w:rPr>
          <w:sz w:val="28"/>
          <w:szCs w:val="28"/>
        </w:rPr>
        <w:t xml:space="preserve">éformes nécessaires  </w:t>
      </w:r>
    </w:p>
    <w:p w:rsidR="009B3327" w:rsidRDefault="009B3327" w:rsidP="009B3327">
      <w:pPr>
        <w:spacing w:after="120" w:line="240" w:lineRule="auto"/>
        <w:jc w:val="both"/>
        <w:rPr>
          <w:sz w:val="28"/>
          <w:szCs w:val="28"/>
        </w:rPr>
      </w:pPr>
    </w:p>
    <w:p w:rsidR="009B3327" w:rsidRDefault="009B3327" w:rsidP="009B3327">
      <w:pPr>
        <w:spacing w:after="120" w:line="240" w:lineRule="auto"/>
        <w:jc w:val="both"/>
        <w:rPr>
          <w:sz w:val="28"/>
          <w:szCs w:val="28"/>
        </w:rPr>
      </w:pPr>
    </w:p>
    <w:p w:rsidR="009B3327" w:rsidRPr="00D52E18" w:rsidRDefault="009B3327" w:rsidP="009B3327">
      <w:pPr>
        <w:spacing w:after="120" w:line="240" w:lineRule="auto"/>
        <w:jc w:val="both"/>
        <w:rPr>
          <w:sz w:val="28"/>
          <w:szCs w:val="28"/>
        </w:rPr>
      </w:pPr>
    </w:p>
    <w:p w:rsidR="00346382" w:rsidRDefault="00B94E34" w:rsidP="004D046C">
      <w:pPr>
        <w:numPr>
          <w:ilvl w:val="1"/>
          <w:numId w:val="2"/>
        </w:numPr>
        <w:ind w:left="1434" w:hanging="357"/>
        <w:jc w:val="both"/>
        <w:rPr>
          <w:sz w:val="28"/>
          <w:szCs w:val="28"/>
        </w:rPr>
      </w:pPr>
      <w:r w:rsidRPr="00D52E18">
        <w:rPr>
          <w:sz w:val="28"/>
          <w:szCs w:val="28"/>
        </w:rPr>
        <w:t>la recher</w:t>
      </w:r>
      <w:r w:rsidR="009B3327">
        <w:rPr>
          <w:sz w:val="28"/>
          <w:szCs w:val="28"/>
        </w:rPr>
        <w:t>che sur les ressources humaines</w:t>
      </w:r>
    </w:p>
    <w:p w:rsidR="009B3327" w:rsidRDefault="009B3327" w:rsidP="009B3327">
      <w:pPr>
        <w:jc w:val="both"/>
        <w:rPr>
          <w:sz w:val="28"/>
          <w:szCs w:val="28"/>
        </w:rPr>
      </w:pPr>
    </w:p>
    <w:p w:rsidR="009B3327" w:rsidRPr="00D52E18" w:rsidRDefault="009B3327" w:rsidP="009B3327">
      <w:pPr>
        <w:jc w:val="both"/>
        <w:rPr>
          <w:sz w:val="28"/>
          <w:szCs w:val="28"/>
        </w:rPr>
      </w:pPr>
    </w:p>
    <w:p w:rsidR="00346382" w:rsidRPr="00D52E18" w:rsidRDefault="005302A3" w:rsidP="004D046C">
      <w:pPr>
        <w:pStyle w:val="Titre1"/>
        <w:numPr>
          <w:ilvl w:val="0"/>
          <w:numId w:val="14"/>
        </w:numPr>
        <w:spacing w:after="360"/>
      </w:pPr>
      <w:r w:rsidRPr="00D52E18">
        <w:lastRenderedPageBreak/>
        <w:t>CADRE DE MISE EN ŒUVRE DE LA POLITIQUE</w:t>
      </w:r>
    </w:p>
    <w:p w:rsidR="007B3004" w:rsidRPr="007B3004" w:rsidRDefault="007B3004" w:rsidP="007B3004">
      <w:pPr>
        <w:ind w:left="360"/>
        <w:jc w:val="both"/>
        <w:rPr>
          <w:rFonts w:ascii="Arial Black" w:hAnsi="Arial Black"/>
          <w:sz w:val="28"/>
        </w:rPr>
      </w:pPr>
      <w:r w:rsidRPr="007B3004">
        <w:rPr>
          <w:rFonts w:ascii="Arial Black" w:hAnsi="Arial Black"/>
          <w:sz w:val="28"/>
        </w:rPr>
        <w:t xml:space="preserve">Les RHS sont au cœur des questions de développement et font l’objet de préoccupations des gouvernements et des PTF tant l’écart est marqué entre l’offre de professionnels de la santé et la demande pour leurs services. Et en causes plusieurs facteurs complexes et interdépendants comme le sous financement des systèmes de santé et de formation, le faible alignement des politiques et programmes publics sur les besoins du système de santé en RH, les conditions de travail insatisfaisantes et l'insuffisance des méthodes actives de gestion des ressources humaines. La Guinée, confrontée aux mêmes  défis et enjeux, met en avant la présente politique de développement des RHS pour y répondre. Cette politique se situe à l’interconnexion de plusieurs  politiques et programmes publics relevant de divers Départements et institutions : Fonction publique, santé, Enseignement supérieur, Enseignement professionnel, des finances et des PTF.  </w:t>
      </w:r>
    </w:p>
    <w:p w:rsidR="007B3004" w:rsidRPr="007B3004" w:rsidRDefault="007B3004" w:rsidP="007B3004">
      <w:pPr>
        <w:ind w:left="360"/>
        <w:jc w:val="both"/>
        <w:rPr>
          <w:rFonts w:ascii="Arial Black" w:hAnsi="Arial Black"/>
          <w:sz w:val="28"/>
        </w:rPr>
      </w:pPr>
      <w:r w:rsidRPr="007B3004">
        <w:rPr>
          <w:rFonts w:ascii="Arial Black" w:hAnsi="Arial Black"/>
          <w:sz w:val="28"/>
        </w:rPr>
        <w:t xml:space="preserve">Ainsi, sa mise en œuvre se fera à travers les cadres institutionnels et organisationnels, programmatiques et budgétaires, cadres de dialogue et de coordination, système de suivi-évaluation. </w:t>
      </w:r>
    </w:p>
    <w:p w:rsidR="007B3004" w:rsidRPr="007B3004" w:rsidRDefault="007B3004" w:rsidP="007B3004">
      <w:pPr>
        <w:ind w:left="360"/>
        <w:jc w:val="both"/>
        <w:rPr>
          <w:rFonts w:ascii="Arial Black" w:hAnsi="Arial Black"/>
          <w:sz w:val="28"/>
        </w:rPr>
      </w:pPr>
      <w:r w:rsidRPr="007B3004">
        <w:rPr>
          <w:rFonts w:ascii="Arial Black" w:hAnsi="Arial Black"/>
          <w:sz w:val="28"/>
        </w:rPr>
        <w:t>Ce processus se situe donc dans un contexte dynamique d’efforts constants de dialogues, d’ajustements et d’initiatives.</w:t>
      </w:r>
    </w:p>
    <w:p w:rsidR="007B3004" w:rsidRPr="007B3004" w:rsidRDefault="007B3004" w:rsidP="007B3004">
      <w:pPr>
        <w:ind w:left="360"/>
        <w:jc w:val="both"/>
        <w:rPr>
          <w:rFonts w:ascii="Arial Black" w:hAnsi="Arial Black"/>
          <w:sz w:val="28"/>
        </w:rPr>
      </w:pPr>
      <w:r w:rsidRPr="007B3004">
        <w:rPr>
          <w:rFonts w:ascii="Arial Black" w:hAnsi="Arial Black"/>
          <w:sz w:val="28"/>
        </w:rPr>
        <w:t xml:space="preserve">Les RHS sont au cœur des questions de développement et font l’objet de préoccupations des gouvernements et des PTF tant l’écart est marqué entre l’offre de </w:t>
      </w:r>
      <w:r w:rsidRPr="007B3004">
        <w:rPr>
          <w:rFonts w:ascii="Arial Black" w:hAnsi="Arial Black"/>
          <w:sz w:val="28"/>
        </w:rPr>
        <w:lastRenderedPageBreak/>
        <w:t xml:space="preserve">professionnels de la santé et la demande pour leurs services. Et en causes plusieurs facteurs complexes et interdépendants comme le sous financement des systèmes de santé et de formation, le faible alignement des politiques et programmes publics sur les besoins du système de santé en RH, les conditions de travail insatisfaisantes et l'insuffisance des méthodes actives de gestion des ressources humaines. La Guinée, confrontée aux mêmes  défis et enjeux, met en avant la présente politique de développement des RHS pour y répondre. Cette politique se situe à l’interconnexion de plusieurs  politiques et programmes publics relevant de divers Départements et institutions : Fonction publique, santé, Enseignement supérieur, Enseignement professionnel, des finances et des PTF.  </w:t>
      </w:r>
    </w:p>
    <w:p w:rsidR="007B3004" w:rsidRPr="007B3004" w:rsidRDefault="007B3004" w:rsidP="007B3004">
      <w:pPr>
        <w:ind w:left="360"/>
        <w:jc w:val="both"/>
        <w:rPr>
          <w:rFonts w:ascii="Arial Black" w:hAnsi="Arial Black"/>
          <w:sz w:val="28"/>
        </w:rPr>
      </w:pPr>
      <w:r w:rsidRPr="007B3004">
        <w:rPr>
          <w:rFonts w:ascii="Arial Black" w:hAnsi="Arial Black"/>
          <w:sz w:val="28"/>
        </w:rPr>
        <w:t xml:space="preserve">Ainsi, sa mise en œuvre se fera à travers les cadres institutionnels et organisationnels, programmatiques et budgétaires, cadres de dialogue et de coordination, système de suivi-évaluation. </w:t>
      </w:r>
    </w:p>
    <w:p w:rsidR="007B3004" w:rsidRPr="007B3004" w:rsidRDefault="007B3004" w:rsidP="007B3004">
      <w:pPr>
        <w:ind w:left="360"/>
        <w:jc w:val="both"/>
        <w:rPr>
          <w:rFonts w:ascii="Arial Black" w:hAnsi="Arial Black"/>
          <w:sz w:val="28"/>
        </w:rPr>
      </w:pPr>
      <w:r w:rsidRPr="007B3004">
        <w:rPr>
          <w:rFonts w:ascii="Arial Black" w:hAnsi="Arial Black"/>
          <w:sz w:val="28"/>
        </w:rPr>
        <w:t>Ce processus se situe donc dans un contexte dynamique d’efforts constants de dialogues, d’ajustements et d’initiatives.</w:t>
      </w:r>
    </w:p>
    <w:p w:rsidR="007B3004" w:rsidRDefault="007B3004" w:rsidP="007B3004">
      <w:pPr>
        <w:spacing w:after="120" w:line="240" w:lineRule="auto"/>
        <w:jc w:val="both"/>
        <w:rPr>
          <w:sz w:val="28"/>
          <w:szCs w:val="28"/>
        </w:rPr>
      </w:pPr>
    </w:p>
    <w:p w:rsidR="007B3004" w:rsidRPr="00A67140" w:rsidRDefault="007B3004" w:rsidP="004D046C">
      <w:pPr>
        <w:pStyle w:val="Paragraphedeliste"/>
        <w:numPr>
          <w:ilvl w:val="0"/>
          <w:numId w:val="10"/>
        </w:numPr>
        <w:spacing w:after="160" w:line="259" w:lineRule="auto"/>
        <w:jc w:val="both"/>
        <w:rPr>
          <w:rFonts w:ascii="Arial Black" w:hAnsi="Arial Black"/>
          <w:sz w:val="28"/>
        </w:rPr>
      </w:pPr>
      <w:r>
        <w:rPr>
          <w:rFonts w:ascii="Arial Black" w:hAnsi="Arial Black"/>
          <w:sz w:val="28"/>
        </w:rPr>
        <w:t xml:space="preserve">Cadres institutionnels </w:t>
      </w:r>
      <w:r w:rsidRPr="00A67140">
        <w:rPr>
          <w:rFonts w:ascii="Arial Black" w:hAnsi="Arial Black"/>
          <w:sz w:val="28"/>
        </w:rPr>
        <w:t>de gestion des RHS du MS/FP par niveau :</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Central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Régional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Préfectoral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Communal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Fonction publique locale</w:t>
      </w:r>
    </w:p>
    <w:p w:rsidR="007B3004" w:rsidRPr="00435A08" w:rsidRDefault="007B3004" w:rsidP="004D046C">
      <w:pPr>
        <w:pStyle w:val="Paragraphedeliste"/>
        <w:numPr>
          <w:ilvl w:val="0"/>
          <w:numId w:val="10"/>
        </w:numPr>
        <w:spacing w:after="160" w:line="259" w:lineRule="auto"/>
        <w:jc w:val="both"/>
        <w:rPr>
          <w:rFonts w:ascii="Arial Black" w:hAnsi="Arial Black"/>
          <w:sz w:val="28"/>
        </w:rPr>
      </w:pPr>
      <w:r>
        <w:rPr>
          <w:rFonts w:ascii="Arial Black" w:hAnsi="Arial Black"/>
          <w:sz w:val="28"/>
        </w:rPr>
        <w:lastRenderedPageBreak/>
        <w:t>Cadres de dialogue et de coordination</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Intra-sectoriel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intersectoriel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cadre de travail avec les PTF</w:t>
      </w:r>
    </w:p>
    <w:p w:rsidR="007B3004" w:rsidRDefault="007B3004" w:rsidP="004D046C">
      <w:pPr>
        <w:pStyle w:val="Paragraphedeliste"/>
        <w:numPr>
          <w:ilvl w:val="0"/>
          <w:numId w:val="10"/>
        </w:numPr>
        <w:spacing w:after="160" w:line="259" w:lineRule="auto"/>
        <w:jc w:val="both"/>
        <w:rPr>
          <w:rFonts w:ascii="Arial Black" w:hAnsi="Arial Black"/>
          <w:sz w:val="28"/>
        </w:rPr>
      </w:pPr>
      <w:r>
        <w:rPr>
          <w:rFonts w:ascii="Arial Black" w:hAnsi="Arial Black"/>
          <w:sz w:val="28"/>
        </w:rPr>
        <w:t xml:space="preserve">Cadres programmatiques </w:t>
      </w:r>
      <w:r w:rsidRPr="00947F18">
        <w:rPr>
          <w:rFonts w:ascii="Arial Black" w:hAnsi="Arial Black"/>
          <w:sz w:val="28"/>
          <w:highlight w:val="green"/>
        </w:rPr>
        <w:t>et budgétaires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PNS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PNDS</w:t>
      </w:r>
    </w:p>
    <w:p w:rsidR="007B3004" w:rsidRDefault="007B3004" w:rsidP="004D046C">
      <w:pPr>
        <w:pStyle w:val="Paragraphedeliste"/>
        <w:numPr>
          <w:ilvl w:val="1"/>
          <w:numId w:val="9"/>
        </w:numPr>
        <w:spacing w:after="160" w:line="259" w:lineRule="auto"/>
        <w:jc w:val="both"/>
        <w:rPr>
          <w:rFonts w:ascii="Arial Black" w:hAnsi="Arial Black"/>
          <w:sz w:val="28"/>
        </w:rPr>
      </w:pPr>
      <w:r w:rsidRPr="005B7DC8">
        <w:rPr>
          <w:rFonts w:ascii="Arial Black" w:hAnsi="Arial Black"/>
          <w:sz w:val="28"/>
          <w:highlight w:val="yellow"/>
        </w:rPr>
        <w:t>Plans des</w:t>
      </w:r>
      <w:r>
        <w:rPr>
          <w:rFonts w:ascii="Arial Black" w:hAnsi="Arial Black"/>
          <w:sz w:val="28"/>
        </w:rPr>
        <w:t xml:space="preserve"> programmes </w:t>
      </w:r>
      <w:r w:rsidRPr="008F5726">
        <w:rPr>
          <w:rFonts w:ascii="Arial Black" w:hAnsi="Arial Black"/>
          <w:sz w:val="28"/>
          <w:highlight w:val="green"/>
        </w:rPr>
        <w:t>intra et intersectoriels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Projets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Politiques sectorielles / PNDES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Plan stratégique de développement des RHS</w:t>
      </w:r>
    </w:p>
    <w:p w:rsidR="007B3004" w:rsidRPr="008F5726" w:rsidRDefault="007B3004" w:rsidP="004D046C">
      <w:pPr>
        <w:pStyle w:val="Paragraphedeliste"/>
        <w:numPr>
          <w:ilvl w:val="1"/>
          <w:numId w:val="9"/>
        </w:numPr>
        <w:spacing w:after="160" w:line="259" w:lineRule="auto"/>
        <w:jc w:val="both"/>
        <w:rPr>
          <w:rFonts w:ascii="Arial Black" w:hAnsi="Arial Black"/>
          <w:sz w:val="28"/>
          <w:highlight w:val="green"/>
        </w:rPr>
      </w:pPr>
      <w:r w:rsidRPr="008F5726">
        <w:rPr>
          <w:rFonts w:ascii="Arial Black" w:hAnsi="Arial Black"/>
          <w:sz w:val="28"/>
          <w:highlight w:val="green"/>
        </w:rPr>
        <w:t>Politique de formation initiale et continue</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PAO</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Plan d’effectifs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CDMT</w:t>
      </w:r>
    </w:p>
    <w:p w:rsidR="007B3004" w:rsidRPr="009F5063" w:rsidRDefault="007B3004" w:rsidP="004D046C">
      <w:pPr>
        <w:pStyle w:val="Paragraphedeliste"/>
        <w:numPr>
          <w:ilvl w:val="1"/>
          <w:numId w:val="9"/>
        </w:numPr>
        <w:spacing w:after="160" w:line="259" w:lineRule="auto"/>
        <w:jc w:val="both"/>
        <w:rPr>
          <w:rFonts w:ascii="Arial Black" w:hAnsi="Arial Black"/>
          <w:sz w:val="28"/>
        </w:rPr>
      </w:pPr>
      <w:r w:rsidRPr="009F5063">
        <w:rPr>
          <w:rFonts w:ascii="Arial Black" w:hAnsi="Arial Black"/>
          <w:sz w:val="28"/>
        </w:rPr>
        <w:t>Plans de suivi évaluation </w:t>
      </w:r>
    </w:p>
    <w:p w:rsidR="007B3004" w:rsidRPr="009F5063" w:rsidRDefault="007B3004" w:rsidP="007B3004">
      <w:pPr>
        <w:jc w:val="both"/>
        <w:rPr>
          <w:rFonts w:ascii="Arial Black" w:hAnsi="Arial Black"/>
          <w:sz w:val="28"/>
        </w:rPr>
      </w:pPr>
      <w:r>
        <w:rPr>
          <w:rFonts w:ascii="Arial Black" w:hAnsi="Arial Black"/>
          <w:sz w:val="28"/>
        </w:rPr>
        <w:t>Sous le leadership du Ministère de la santé, la Direction des ressources humaines sera la cheville ouvrière de la mise en œuvre de la présente politique. A cet effet elle veillera à  faire inscrire dans les différents agendas du MS et des partenaires sectoriels et internationaux les sujets d’intérêt commun en relation avec le développement des RHS. En outre, cette structure, en partenariat avec les parties prenantes, organisera la collecte des données et informations utiles pour documenter  les fora de discussions et la prise de décision pour le développement des RHS : enquêtes, rapports périodiques des structures, systèmes d’informations etc.</w:t>
      </w:r>
    </w:p>
    <w:p w:rsidR="007B3004" w:rsidRPr="00A67140" w:rsidRDefault="007B3004" w:rsidP="004D046C">
      <w:pPr>
        <w:pStyle w:val="Paragraphedeliste"/>
        <w:numPr>
          <w:ilvl w:val="0"/>
          <w:numId w:val="10"/>
        </w:numPr>
        <w:spacing w:after="160" w:line="259" w:lineRule="auto"/>
        <w:jc w:val="both"/>
        <w:rPr>
          <w:rFonts w:ascii="Arial Black" w:hAnsi="Arial Black"/>
          <w:sz w:val="28"/>
        </w:rPr>
      </w:pPr>
      <w:r>
        <w:rPr>
          <w:rFonts w:ascii="Arial Black" w:hAnsi="Arial Black"/>
          <w:sz w:val="28"/>
        </w:rPr>
        <w:t xml:space="preserve">Cadres institutionnels </w:t>
      </w:r>
      <w:r w:rsidRPr="00A67140">
        <w:rPr>
          <w:rFonts w:ascii="Arial Black" w:hAnsi="Arial Black"/>
          <w:sz w:val="28"/>
        </w:rPr>
        <w:t>de gestion des RHS du MS/FP par niveau :</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Central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lastRenderedPageBreak/>
        <w:t>Régional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Préfectoral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Communal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Fonction publique locale</w:t>
      </w:r>
    </w:p>
    <w:p w:rsidR="007B3004" w:rsidRPr="00435A08" w:rsidRDefault="007B3004" w:rsidP="004D046C">
      <w:pPr>
        <w:pStyle w:val="Paragraphedeliste"/>
        <w:numPr>
          <w:ilvl w:val="0"/>
          <w:numId w:val="10"/>
        </w:numPr>
        <w:spacing w:after="160" w:line="259" w:lineRule="auto"/>
        <w:jc w:val="both"/>
        <w:rPr>
          <w:rFonts w:ascii="Arial Black" w:hAnsi="Arial Black"/>
          <w:sz w:val="28"/>
        </w:rPr>
      </w:pPr>
      <w:r>
        <w:rPr>
          <w:rFonts w:ascii="Arial Black" w:hAnsi="Arial Black"/>
          <w:sz w:val="28"/>
        </w:rPr>
        <w:t>Cadres de dialogue et de coordination</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Intra-sectoriel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intersectoriel</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cadre de travail avec les PTF</w:t>
      </w:r>
    </w:p>
    <w:p w:rsidR="007B3004" w:rsidRDefault="007B3004" w:rsidP="004D046C">
      <w:pPr>
        <w:pStyle w:val="Paragraphedeliste"/>
        <w:numPr>
          <w:ilvl w:val="0"/>
          <w:numId w:val="10"/>
        </w:numPr>
        <w:spacing w:after="160" w:line="259" w:lineRule="auto"/>
        <w:jc w:val="both"/>
        <w:rPr>
          <w:rFonts w:ascii="Arial Black" w:hAnsi="Arial Black"/>
          <w:sz w:val="28"/>
        </w:rPr>
      </w:pPr>
      <w:r>
        <w:rPr>
          <w:rFonts w:ascii="Arial Black" w:hAnsi="Arial Black"/>
          <w:sz w:val="28"/>
        </w:rPr>
        <w:t xml:space="preserve">Cadres programmatiques </w:t>
      </w:r>
      <w:r w:rsidRPr="00947F18">
        <w:rPr>
          <w:rFonts w:ascii="Arial Black" w:hAnsi="Arial Black"/>
          <w:sz w:val="28"/>
          <w:highlight w:val="green"/>
        </w:rPr>
        <w:t>et budgétaires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PNS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PNDS</w:t>
      </w:r>
    </w:p>
    <w:p w:rsidR="007B3004" w:rsidRDefault="007B3004" w:rsidP="004D046C">
      <w:pPr>
        <w:pStyle w:val="Paragraphedeliste"/>
        <w:numPr>
          <w:ilvl w:val="1"/>
          <w:numId w:val="9"/>
        </w:numPr>
        <w:spacing w:after="160" w:line="259" w:lineRule="auto"/>
        <w:jc w:val="both"/>
        <w:rPr>
          <w:rFonts w:ascii="Arial Black" w:hAnsi="Arial Black"/>
          <w:sz w:val="28"/>
        </w:rPr>
      </w:pPr>
      <w:r w:rsidRPr="005B7DC8">
        <w:rPr>
          <w:rFonts w:ascii="Arial Black" w:hAnsi="Arial Black"/>
          <w:sz w:val="28"/>
          <w:highlight w:val="yellow"/>
        </w:rPr>
        <w:t>Plans des</w:t>
      </w:r>
      <w:r>
        <w:rPr>
          <w:rFonts w:ascii="Arial Black" w:hAnsi="Arial Black"/>
          <w:sz w:val="28"/>
        </w:rPr>
        <w:t xml:space="preserve"> programmes </w:t>
      </w:r>
      <w:r w:rsidRPr="008F5726">
        <w:rPr>
          <w:rFonts w:ascii="Arial Black" w:hAnsi="Arial Black"/>
          <w:sz w:val="28"/>
          <w:highlight w:val="green"/>
        </w:rPr>
        <w:t>intra et intersectoriels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Projets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Politiques sectorielles / PNDES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Plan stratégique de développement des RHS</w:t>
      </w:r>
    </w:p>
    <w:p w:rsidR="007B3004" w:rsidRPr="008F5726" w:rsidRDefault="007B3004" w:rsidP="004D046C">
      <w:pPr>
        <w:pStyle w:val="Paragraphedeliste"/>
        <w:numPr>
          <w:ilvl w:val="1"/>
          <w:numId w:val="9"/>
        </w:numPr>
        <w:spacing w:after="160" w:line="259" w:lineRule="auto"/>
        <w:jc w:val="both"/>
        <w:rPr>
          <w:rFonts w:ascii="Arial Black" w:hAnsi="Arial Black"/>
          <w:sz w:val="28"/>
          <w:highlight w:val="green"/>
        </w:rPr>
      </w:pPr>
      <w:r w:rsidRPr="008F5726">
        <w:rPr>
          <w:rFonts w:ascii="Arial Black" w:hAnsi="Arial Black"/>
          <w:sz w:val="28"/>
          <w:highlight w:val="green"/>
        </w:rPr>
        <w:t>Politique de formation initiale et continue</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PAO</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Plan d’effectifs</w:t>
      </w:r>
    </w:p>
    <w:p w:rsidR="007B3004" w:rsidRDefault="007B3004" w:rsidP="004D046C">
      <w:pPr>
        <w:pStyle w:val="Paragraphedeliste"/>
        <w:numPr>
          <w:ilvl w:val="1"/>
          <w:numId w:val="9"/>
        </w:numPr>
        <w:spacing w:after="160" w:line="259" w:lineRule="auto"/>
        <w:jc w:val="both"/>
        <w:rPr>
          <w:rFonts w:ascii="Arial Black" w:hAnsi="Arial Black"/>
          <w:sz w:val="28"/>
        </w:rPr>
      </w:pPr>
      <w:r>
        <w:rPr>
          <w:rFonts w:ascii="Arial Black" w:hAnsi="Arial Black"/>
          <w:sz w:val="28"/>
        </w:rPr>
        <w:t>CDMT</w:t>
      </w:r>
    </w:p>
    <w:p w:rsidR="007B3004" w:rsidRPr="009F5063" w:rsidRDefault="007B3004" w:rsidP="004D046C">
      <w:pPr>
        <w:pStyle w:val="Paragraphedeliste"/>
        <w:numPr>
          <w:ilvl w:val="1"/>
          <w:numId w:val="9"/>
        </w:numPr>
        <w:spacing w:after="160" w:line="259" w:lineRule="auto"/>
        <w:jc w:val="both"/>
        <w:rPr>
          <w:rFonts w:ascii="Arial Black" w:hAnsi="Arial Black"/>
          <w:sz w:val="28"/>
        </w:rPr>
      </w:pPr>
      <w:r w:rsidRPr="009F5063">
        <w:rPr>
          <w:rFonts w:ascii="Arial Black" w:hAnsi="Arial Black"/>
          <w:sz w:val="28"/>
        </w:rPr>
        <w:t>Plans de suivi évaluation </w:t>
      </w:r>
    </w:p>
    <w:p w:rsidR="007B3004" w:rsidRPr="009F5063" w:rsidRDefault="007B3004" w:rsidP="007B3004">
      <w:pPr>
        <w:jc w:val="both"/>
        <w:rPr>
          <w:rFonts w:ascii="Arial Black" w:hAnsi="Arial Black"/>
          <w:sz w:val="28"/>
        </w:rPr>
      </w:pPr>
      <w:r>
        <w:rPr>
          <w:rFonts w:ascii="Arial Black" w:hAnsi="Arial Black"/>
          <w:sz w:val="28"/>
        </w:rPr>
        <w:t xml:space="preserve">Sous le leadership du Ministère de la santé, la Direction des ressources humaines sera la cheville ouvrière de la mise en œuvre de la présente politique. A cet effet elle veillera à  faire inscrire dans les différents agendas du MS et des partenaires sectoriels et internationaux les sujets d’intérêt commun en relation avec le développement des RHS. En outre, cette structure, en partenariat avec les parties prenantes, organisera la collecte des données et informations utiles pour documenter  les fora de discussions et la prise de décision pour le développement </w:t>
      </w:r>
      <w:r>
        <w:rPr>
          <w:rFonts w:ascii="Arial Black" w:hAnsi="Arial Black"/>
          <w:sz w:val="28"/>
        </w:rPr>
        <w:lastRenderedPageBreak/>
        <w:t>des RHS : enquêtes, rapports périodiques des structures, systèmes d’informations etc.</w:t>
      </w:r>
    </w:p>
    <w:p w:rsidR="007B3004" w:rsidRDefault="007B3004" w:rsidP="007B3004">
      <w:pPr>
        <w:spacing w:after="120" w:line="240" w:lineRule="auto"/>
        <w:jc w:val="both"/>
        <w:rPr>
          <w:sz w:val="28"/>
          <w:szCs w:val="28"/>
        </w:rPr>
      </w:pPr>
    </w:p>
    <w:p w:rsidR="007B3004" w:rsidRDefault="007B3004" w:rsidP="007B3004">
      <w:pPr>
        <w:spacing w:after="120" w:line="240" w:lineRule="auto"/>
        <w:jc w:val="both"/>
        <w:rPr>
          <w:sz w:val="28"/>
          <w:szCs w:val="28"/>
        </w:rPr>
      </w:pPr>
    </w:p>
    <w:p w:rsidR="007B3004" w:rsidRDefault="007B3004" w:rsidP="007B3004">
      <w:pPr>
        <w:spacing w:after="120" w:line="240" w:lineRule="auto"/>
        <w:jc w:val="both"/>
        <w:rPr>
          <w:sz w:val="28"/>
          <w:szCs w:val="28"/>
        </w:rPr>
      </w:pPr>
    </w:p>
    <w:p w:rsidR="00346382" w:rsidRDefault="00B94E34" w:rsidP="004D046C">
      <w:pPr>
        <w:numPr>
          <w:ilvl w:val="1"/>
          <w:numId w:val="2"/>
        </w:numPr>
        <w:spacing w:after="120" w:line="240" w:lineRule="auto"/>
        <w:ind w:left="1434" w:hanging="357"/>
        <w:jc w:val="both"/>
        <w:rPr>
          <w:sz w:val="28"/>
          <w:szCs w:val="28"/>
        </w:rPr>
      </w:pPr>
      <w:r w:rsidRPr="00D52E18">
        <w:rPr>
          <w:sz w:val="28"/>
          <w:szCs w:val="28"/>
        </w:rPr>
        <w:t>Plan stratégique de développement des RHS</w:t>
      </w:r>
    </w:p>
    <w:p w:rsidR="009B3327" w:rsidRPr="00D52E18" w:rsidRDefault="009B3327" w:rsidP="009B3327">
      <w:pPr>
        <w:spacing w:after="120" w:line="240" w:lineRule="auto"/>
        <w:jc w:val="both"/>
        <w:rPr>
          <w:sz w:val="28"/>
          <w:szCs w:val="28"/>
        </w:rPr>
      </w:pPr>
    </w:p>
    <w:p w:rsidR="00346382" w:rsidRPr="00D52E18" w:rsidRDefault="00B94E34" w:rsidP="004D046C">
      <w:pPr>
        <w:numPr>
          <w:ilvl w:val="1"/>
          <w:numId w:val="2"/>
        </w:numPr>
        <w:ind w:left="1434" w:hanging="357"/>
        <w:jc w:val="both"/>
        <w:rPr>
          <w:sz w:val="28"/>
          <w:szCs w:val="28"/>
        </w:rPr>
      </w:pPr>
      <w:r w:rsidRPr="00D52E18">
        <w:rPr>
          <w:sz w:val="28"/>
          <w:szCs w:val="28"/>
        </w:rPr>
        <w:t>Plans opérationnels annuels</w:t>
      </w:r>
    </w:p>
    <w:p w:rsidR="00346382" w:rsidRPr="00D52E18" w:rsidRDefault="005302A3" w:rsidP="004D046C">
      <w:pPr>
        <w:pStyle w:val="Titre1"/>
        <w:numPr>
          <w:ilvl w:val="0"/>
          <w:numId w:val="14"/>
        </w:numPr>
        <w:spacing w:after="360"/>
      </w:pPr>
      <w:r w:rsidRPr="00D52E18">
        <w:t>MECANISME DE SUIVI ET EVALUATION DE LA POLITIQUE</w:t>
      </w:r>
    </w:p>
    <w:p w:rsidR="00346382" w:rsidRPr="00D52E18" w:rsidRDefault="00B94E34" w:rsidP="004D046C">
      <w:pPr>
        <w:numPr>
          <w:ilvl w:val="1"/>
          <w:numId w:val="2"/>
        </w:numPr>
        <w:ind w:left="1434" w:hanging="357"/>
        <w:jc w:val="both"/>
        <w:rPr>
          <w:sz w:val="28"/>
          <w:szCs w:val="28"/>
        </w:rPr>
      </w:pPr>
      <w:r w:rsidRPr="00D52E18">
        <w:rPr>
          <w:sz w:val="28"/>
          <w:szCs w:val="28"/>
        </w:rPr>
        <w:t>Plan stratégique de développement des RHS</w:t>
      </w:r>
    </w:p>
    <w:p w:rsidR="00346382" w:rsidRPr="00D52E18" w:rsidRDefault="00B94E34" w:rsidP="004D046C">
      <w:pPr>
        <w:numPr>
          <w:ilvl w:val="0"/>
          <w:numId w:val="3"/>
        </w:numPr>
        <w:spacing w:after="120" w:line="240" w:lineRule="auto"/>
        <w:ind w:left="714" w:hanging="357"/>
        <w:jc w:val="both"/>
        <w:rPr>
          <w:sz w:val="28"/>
          <w:szCs w:val="28"/>
        </w:rPr>
      </w:pPr>
      <w:r w:rsidRPr="00D52E18">
        <w:rPr>
          <w:sz w:val="28"/>
          <w:szCs w:val="28"/>
        </w:rPr>
        <w:t>Conclusion</w:t>
      </w:r>
    </w:p>
    <w:p w:rsidR="00346382" w:rsidRPr="00D52E18" w:rsidRDefault="00B94E34" w:rsidP="004D046C">
      <w:pPr>
        <w:numPr>
          <w:ilvl w:val="1"/>
          <w:numId w:val="2"/>
        </w:numPr>
        <w:ind w:left="1434" w:hanging="357"/>
        <w:jc w:val="both"/>
        <w:rPr>
          <w:sz w:val="28"/>
          <w:szCs w:val="28"/>
        </w:rPr>
      </w:pPr>
      <w:r w:rsidRPr="00D52E18">
        <w:rPr>
          <w:sz w:val="28"/>
          <w:szCs w:val="28"/>
        </w:rPr>
        <w:t>déclarations d'ensemble sur l'engagement du gouvernement à mettre en œuvre la politique RHS</w:t>
      </w:r>
    </w:p>
    <w:p w:rsidR="00346382" w:rsidRPr="00D52E18" w:rsidRDefault="00B94E34" w:rsidP="004D046C">
      <w:pPr>
        <w:numPr>
          <w:ilvl w:val="1"/>
          <w:numId w:val="2"/>
        </w:numPr>
        <w:ind w:left="1434" w:hanging="357"/>
        <w:jc w:val="both"/>
        <w:rPr>
          <w:sz w:val="28"/>
          <w:szCs w:val="28"/>
        </w:rPr>
      </w:pPr>
      <w:r w:rsidRPr="00D52E18">
        <w:rPr>
          <w:sz w:val="28"/>
          <w:szCs w:val="28"/>
        </w:rPr>
        <w:t>orientations sur la marche à suivre.</w:t>
      </w:r>
    </w:p>
    <w:p w:rsidR="00CB3135" w:rsidRPr="00D52E18" w:rsidRDefault="00CB3135" w:rsidP="005824AD">
      <w:pPr>
        <w:jc w:val="both"/>
        <w:rPr>
          <w:sz w:val="28"/>
          <w:szCs w:val="28"/>
        </w:rPr>
      </w:pPr>
    </w:p>
    <w:sectPr w:rsidR="00CB3135" w:rsidRPr="00D52E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AD" w:rsidRDefault="00286BAD" w:rsidP="001666DC">
      <w:pPr>
        <w:spacing w:after="0" w:line="240" w:lineRule="auto"/>
      </w:pPr>
      <w:r>
        <w:separator/>
      </w:r>
    </w:p>
  </w:endnote>
  <w:endnote w:type="continuationSeparator" w:id="0">
    <w:p w:rsidR="00286BAD" w:rsidRDefault="00286BAD" w:rsidP="0016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ヒラギノ角ゴ Pro W3">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AD" w:rsidRDefault="00286BAD" w:rsidP="001666DC">
      <w:pPr>
        <w:spacing w:after="0" w:line="240" w:lineRule="auto"/>
      </w:pPr>
      <w:r>
        <w:separator/>
      </w:r>
    </w:p>
  </w:footnote>
  <w:footnote w:type="continuationSeparator" w:id="0">
    <w:p w:rsidR="00286BAD" w:rsidRDefault="00286BAD" w:rsidP="001666DC">
      <w:pPr>
        <w:spacing w:after="0" w:line="240" w:lineRule="auto"/>
      </w:pPr>
      <w:r>
        <w:continuationSeparator/>
      </w:r>
    </w:p>
  </w:footnote>
  <w:footnote w:id="1">
    <w:p w:rsidR="001367A9" w:rsidRPr="00387F75" w:rsidRDefault="001367A9" w:rsidP="00D50530">
      <w:pPr>
        <w:pStyle w:val="Notedebasdepage"/>
        <w:rPr>
          <w:lang w:val="en-US"/>
        </w:rPr>
      </w:pPr>
      <w:r>
        <w:rPr>
          <w:rStyle w:val="Appelnotedebasdep"/>
        </w:rPr>
        <w:footnoteRef/>
      </w:r>
      <w:r w:rsidRPr="00387F75">
        <w:rPr>
          <w:lang w:val="en-US"/>
        </w:rPr>
        <w:t xml:space="preserve"> </w:t>
      </w:r>
      <w:r w:rsidRPr="00387F75">
        <w:rPr>
          <w:sz w:val="16"/>
          <w:lang w:val="en-US"/>
        </w:rPr>
        <w:t>RGPH, 2014</w:t>
      </w:r>
    </w:p>
  </w:footnote>
  <w:footnote w:id="2">
    <w:p w:rsidR="001367A9" w:rsidRPr="00387F75" w:rsidRDefault="001367A9" w:rsidP="00D50530">
      <w:pPr>
        <w:pStyle w:val="Notedebasdepage"/>
        <w:rPr>
          <w:sz w:val="16"/>
          <w:lang w:val="en-US"/>
        </w:rPr>
      </w:pPr>
      <w:r w:rsidRPr="009567E6">
        <w:rPr>
          <w:rStyle w:val="Appelnotedebasdep"/>
          <w:rFonts w:eastAsia="Trebuchet MS"/>
          <w:sz w:val="16"/>
        </w:rPr>
        <w:footnoteRef/>
      </w:r>
      <w:r w:rsidRPr="00387F75">
        <w:rPr>
          <w:sz w:val="16"/>
          <w:lang w:val="en-US"/>
        </w:rPr>
        <w:t xml:space="preserve"> Rapport MICS_2016</w:t>
      </w:r>
    </w:p>
  </w:footnote>
  <w:footnote w:id="3">
    <w:p w:rsidR="001367A9" w:rsidRPr="00387F75" w:rsidRDefault="001367A9" w:rsidP="00D50530">
      <w:pPr>
        <w:pStyle w:val="Notedebasdepage"/>
        <w:rPr>
          <w:lang w:val="en-US"/>
        </w:rPr>
      </w:pPr>
      <w:r>
        <w:rPr>
          <w:rStyle w:val="Appelnotedebasdep"/>
          <w:rFonts w:eastAsia="Trebuchet MS"/>
        </w:rPr>
        <w:footnoteRef/>
      </w:r>
      <w:r w:rsidRPr="00387F75">
        <w:rPr>
          <w:lang w:val="en-US"/>
        </w:rPr>
        <w:t xml:space="preserve"> </w:t>
      </w:r>
      <w:r w:rsidRPr="00387F75">
        <w:rPr>
          <w:sz w:val="16"/>
          <w:lang w:val="en-US"/>
        </w:rPr>
        <w:t>EDS-V-2018</w:t>
      </w:r>
    </w:p>
  </w:footnote>
  <w:footnote w:id="4">
    <w:p w:rsidR="001367A9" w:rsidRPr="00387F75" w:rsidRDefault="001367A9" w:rsidP="00D50530">
      <w:pPr>
        <w:pStyle w:val="Notedebasdepage"/>
        <w:rPr>
          <w:lang w:val="en-US"/>
        </w:rPr>
      </w:pPr>
      <w:r>
        <w:rPr>
          <w:rStyle w:val="Appelnotedebasdep"/>
          <w:rFonts w:eastAsia="Trebuchet MS"/>
        </w:rPr>
        <w:footnoteRef/>
      </w:r>
      <w:r w:rsidRPr="00387F75">
        <w:rPr>
          <w:lang w:val="en-US"/>
        </w:rPr>
        <w:t xml:space="preserve"> </w:t>
      </w:r>
      <w:r w:rsidRPr="00387F75">
        <w:rPr>
          <w:sz w:val="16"/>
          <w:lang w:val="en-US"/>
        </w:rPr>
        <w:t>EDS-V-2018</w:t>
      </w:r>
    </w:p>
  </w:footnote>
  <w:footnote w:id="5">
    <w:p w:rsidR="001367A9" w:rsidRPr="00387F75" w:rsidRDefault="001367A9">
      <w:pPr>
        <w:pStyle w:val="Notedebasdepage"/>
        <w:rPr>
          <w:lang w:val="en-US"/>
        </w:rPr>
      </w:pPr>
      <w:r>
        <w:rPr>
          <w:rStyle w:val="Appelnotedebasdep"/>
        </w:rPr>
        <w:footnoteRef/>
      </w:r>
      <w:r w:rsidRPr="00387F75">
        <w:rPr>
          <w:lang w:val="en-US"/>
        </w:rPr>
        <w:t xml:space="preserve"> ELEP 2012</w:t>
      </w:r>
    </w:p>
  </w:footnote>
  <w:footnote w:id="6">
    <w:p w:rsidR="001367A9" w:rsidRPr="00387F75" w:rsidRDefault="001367A9" w:rsidP="00D50530">
      <w:pPr>
        <w:pStyle w:val="Notedebasdepage"/>
        <w:rPr>
          <w:sz w:val="18"/>
          <w:lang w:val="en-US"/>
        </w:rPr>
      </w:pPr>
      <w:r w:rsidRPr="00CB78D7">
        <w:rPr>
          <w:rStyle w:val="Appelnotedebasdep"/>
          <w:rFonts w:eastAsia="Trebuchet MS"/>
          <w:sz w:val="18"/>
        </w:rPr>
        <w:footnoteRef/>
      </w:r>
      <w:r w:rsidRPr="00387F75">
        <w:rPr>
          <w:sz w:val="18"/>
          <w:lang w:val="en-US"/>
        </w:rPr>
        <w:t xml:space="preserve"> ONUSIDA_2016 </w:t>
      </w:r>
    </w:p>
  </w:footnote>
  <w:footnote w:id="7">
    <w:p w:rsidR="001367A9" w:rsidRDefault="001367A9" w:rsidP="00D50530">
      <w:pPr>
        <w:pStyle w:val="Notedebasdepage"/>
      </w:pPr>
      <w:r>
        <w:rPr>
          <w:rStyle w:val="Appelnotedebasdep"/>
          <w:rFonts w:eastAsia="Trebuchet MS"/>
        </w:rPr>
        <w:footnoteRef/>
      </w:r>
      <w:r>
        <w:t xml:space="preserve"> </w:t>
      </w:r>
      <w:r w:rsidRPr="00CB78D7">
        <w:rPr>
          <w:sz w:val="18"/>
        </w:rPr>
        <w:t>ONUSIDA</w:t>
      </w:r>
      <w:r w:rsidRPr="00CB78D7">
        <w:rPr>
          <w:sz w:val="22"/>
        </w:rPr>
        <w:t xml:space="preserve">, </w:t>
      </w:r>
      <w:r w:rsidRPr="00CB78D7">
        <w:rPr>
          <w:rFonts w:cs="Avenir 35 Light"/>
          <w:color w:val="000000"/>
          <w:sz w:val="16"/>
          <w:szCs w:val="81"/>
        </w:rPr>
        <w:t>Maintenir l’élan vers la fin du sida dans les pays de la Francophonie, 2018</w:t>
      </w:r>
    </w:p>
  </w:footnote>
  <w:footnote w:id="8">
    <w:p w:rsidR="001367A9" w:rsidRPr="00CB78D7" w:rsidRDefault="001367A9" w:rsidP="00D50530">
      <w:pPr>
        <w:pStyle w:val="Notedebasdepage"/>
        <w:rPr>
          <w:sz w:val="18"/>
        </w:rPr>
      </w:pPr>
      <w:r w:rsidRPr="00CB78D7">
        <w:rPr>
          <w:rStyle w:val="Appelnotedebasdep"/>
          <w:rFonts w:eastAsia="Trebuchet MS"/>
          <w:sz w:val="18"/>
        </w:rPr>
        <w:footnoteRef/>
      </w:r>
      <w:r w:rsidRPr="00CB78D7">
        <w:rPr>
          <w:sz w:val="18"/>
        </w:rPr>
        <w:t xml:space="preserve"> </w:t>
      </w:r>
      <w:r>
        <w:rPr>
          <w:sz w:val="18"/>
        </w:rPr>
        <w:t xml:space="preserve">Ministère de la santé, </w:t>
      </w:r>
      <w:r w:rsidRPr="007D7214">
        <w:rPr>
          <w:sz w:val="18"/>
        </w:rPr>
        <w:t>Annuaire statistiques</w:t>
      </w:r>
      <w:r>
        <w:rPr>
          <w:sz w:val="18"/>
        </w:rPr>
        <w:t xml:space="preserve">, </w:t>
      </w:r>
      <w:r w:rsidRPr="00CB78D7">
        <w:rPr>
          <w:sz w:val="18"/>
        </w:rPr>
        <w:t>2017</w:t>
      </w:r>
    </w:p>
  </w:footnote>
  <w:footnote w:id="9">
    <w:p w:rsidR="001367A9" w:rsidRDefault="001367A9" w:rsidP="00D50530">
      <w:pPr>
        <w:pStyle w:val="Notedebasdepage"/>
      </w:pPr>
      <w:r>
        <w:rPr>
          <w:rStyle w:val="Appelnotedebasdep"/>
        </w:rPr>
        <w:footnoteRef/>
      </w:r>
      <w:r>
        <w:t xml:space="preserve"> Ministère du plan et du Développement économique, </w:t>
      </w:r>
      <w:r w:rsidRPr="007D7214">
        <w:rPr>
          <w:i/>
        </w:rPr>
        <w:t>MICS</w:t>
      </w:r>
      <w:r>
        <w:t>, 2016</w:t>
      </w:r>
    </w:p>
  </w:footnote>
  <w:footnote w:id="10">
    <w:p w:rsidR="001367A9" w:rsidRPr="00CB78D7" w:rsidRDefault="001367A9" w:rsidP="00D50530">
      <w:pPr>
        <w:pStyle w:val="Notedebasdepage"/>
        <w:rPr>
          <w:sz w:val="18"/>
        </w:rPr>
      </w:pPr>
      <w:r w:rsidRPr="00CB78D7">
        <w:rPr>
          <w:rStyle w:val="Appelnotedebasdep"/>
          <w:rFonts w:eastAsia="Trebuchet MS"/>
          <w:sz w:val="18"/>
        </w:rPr>
        <w:footnoteRef/>
      </w:r>
      <w:r w:rsidRPr="00CB78D7">
        <w:rPr>
          <w:sz w:val="18"/>
        </w:rPr>
        <w:t xml:space="preserve"> </w:t>
      </w:r>
      <w:r>
        <w:rPr>
          <w:sz w:val="18"/>
        </w:rPr>
        <w:t xml:space="preserve">Ministère de la santé, </w:t>
      </w:r>
      <w:r w:rsidRPr="007D7214">
        <w:rPr>
          <w:sz w:val="18"/>
        </w:rPr>
        <w:t>Annuaire statistiques</w:t>
      </w:r>
      <w:r>
        <w:rPr>
          <w:sz w:val="18"/>
        </w:rPr>
        <w:t xml:space="preserve">, </w:t>
      </w:r>
      <w:r w:rsidRPr="00CB78D7">
        <w:rPr>
          <w:sz w:val="18"/>
        </w:rPr>
        <w:t>2017</w:t>
      </w:r>
    </w:p>
  </w:footnote>
  <w:footnote w:id="11">
    <w:p w:rsidR="001367A9" w:rsidRPr="007D7214" w:rsidRDefault="001367A9" w:rsidP="00D50530">
      <w:pPr>
        <w:pStyle w:val="Notedebasdepage"/>
      </w:pPr>
      <w:r w:rsidRPr="00C3420C">
        <w:rPr>
          <w:rStyle w:val="Appelnotedebasdep"/>
          <w:rFonts w:eastAsia="Trebuchet MS"/>
          <w:sz w:val="18"/>
        </w:rPr>
        <w:footnoteRef/>
      </w:r>
      <w:r w:rsidRPr="007D7214">
        <w:rPr>
          <w:sz w:val="18"/>
        </w:rPr>
        <w:t xml:space="preserve"> </w:t>
      </w:r>
      <w:r>
        <w:t xml:space="preserve">Ministère du Plan et du Développement économique, </w:t>
      </w:r>
      <w:r>
        <w:rPr>
          <w:i/>
        </w:rPr>
        <w:t>Enquête démographique et de santé (</w:t>
      </w:r>
      <w:r w:rsidRPr="0015397B">
        <w:rPr>
          <w:sz w:val="16"/>
        </w:rPr>
        <w:t>EDS</w:t>
      </w:r>
      <w:r>
        <w:rPr>
          <w:sz w:val="16"/>
        </w:rPr>
        <w:t xml:space="preserve">), </w:t>
      </w:r>
      <w:r w:rsidRPr="0015397B">
        <w:rPr>
          <w:sz w:val="16"/>
        </w:rPr>
        <w:t>2018</w:t>
      </w:r>
    </w:p>
  </w:footnote>
  <w:footnote w:id="12">
    <w:p w:rsidR="001367A9" w:rsidRPr="0015397B" w:rsidRDefault="001367A9" w:rsidP="00D50530">
      <w:pPr>
        <w:pStyle w:val="Notedebasdepage"/>
      </w:pPr>
      <w:r>
        <w:rPr>
          <w:rStyle w:val="Appelnotedebasdep"/>
          <w:rFonts w:eastAsia="Trebuchet MS"/>
        </w:rPr>
        <w:footnoteRef/>
      </w:r>
      <w:r w:rsidRPr="0015397B">
        <w:t xml:space="preserve"> </w:t>
      </w:r>
      <w:r>
        <w:t xml:space="preserve">Ministère du Plan et du Développement économique, </w:t>
      </w:r>
      <w:r>
        <w:rPr>
          <w:i/>
        </w:rPr>
        <w:t>Enquête démographique et de santé (</w:t>
      </w:r>
      <w:r w:rsidRPr="0015397B">
        <w:rPr>
          <w:sz w:val="16"/>
        </w:rPr>
        <w:t>EDS</w:t>
      </w:r>
      <w:r>
        <w:rPr>
          <w:sz w:val="16"/>
        </w:rPr>
        <w:t xml:space="preserve">), </w:t>
      </w:r>
      <w:r w:rsidRPr="0015397B">
        <w:rPr>
          <w:sz w:val="16"/>
        </w:rPr>
        <w:t>2018</w:t>
      </w:r>
    </w:p>
  </w:footnote>
  <w:footnote w:id="13">
    <w:p w:rsidR="001367A9" w:rsidRPr="0015397B" w:rsidRDefault="001367A9" w:rsidP="00D50530">
      <w:pPr>
        <w:pStyle w:val="Notedebasdepage"/>
      </w:pPr>
      <w:r>
        <w:rPr>
          <w:rStyle w:val="Appelnotedebasdep"/>
          <w:rFonts w:eastAsia="Trebuchet MS"/>
        </w:rPr>
        <w:footnoteRef/>
      </w:r>
      <w:r w:rsidRPr="0015397B">
        <w:t xml:space="preserve"> </w:t>
      </w:r>
      <w:r>
        <w:t xml:space="preserve">Plan de relance et de résilience du système de santé (PRRSS) </w:t>
      </w:r>
      <w:r w:rsidRPr="0015397B">
        <w:rPr>
          <w:sz w:val="16"/>
        </w:rPr>
        <w:t>2015-2017</w:t>
      </w:r>
    </w:p>
  </w:footnote>
  <w:footnote w:id="14">
    <w:p w:rsidR="001367A9" w:rsidRPr="00B37E12" w:rsidRDefault="001367A9" w:rsidP="00D50530">
      <w:pPr>
        <w:pStyle w:val="Notedebasdepage"/>
        <w:rPr>
          <w:i/>
        </w:rPr>
      </w:pPr>
      <w:r>
        <w:rPr>
          <w:rStyle w:val="Appelnotedebasdep"/>
        </w:rPr>
        <w:footnoteRef/>
      </w:r>
      <w:r>
        <w:t xml:space="preserve"> </w:t>
      </w:r>
      <w:r>
        <w:rPr>
          <w:i/>
        </w:rPr>
        <w:t xml:space="preserve">Audit institutionnel, organisationnel et fonctionnel du Ministère de la santé, </w:t>
      </w:r>
      <w:r w:rsidRPr="00B37E12">
        <w:t>novembre 2016</w:t>
      </w:r>
    </w:p>
  </w:footnote>
  <w:footnote w:id="15">
    <w:p w:rsidR="001367A9" w:rsidRDefault="001367A9" w:rsidP="00D50530">
      <w:pPr>
        <w:pStyle w:val="Notedebasdepage"/>
      </w:pPr>
      <w:r>
        <w:rPr>
          <w:rStyle w:val="Appelnotedebasdep"/>
          <w:rFonts w:eastAsia="Trebuchet MS"/>
        </w:rPr>
        <w:footnoteRef/>
      </w:r>
      <w:r>
        <w:t xml:space="preserve"> Cartographie des Infrastructures sanitaires 2017 DNEHHH/MS</w:t>
      </w:r>
    </w:p>
  </w:footnote>
  <w:footnote w:id="16">
    <w:p w:rsidR="001367A9" w:rsidRDefault="001367A9" w:rsidP="00D50530">
      <w:pPr>
        <w:pStyle w:val="Notedebasdepage"/>
      </w:pPr>
      <w:r>
        <w:rPr>
          <w:rStyle w:val="Appelnotedebasdep"/>
        </w:rPr>
        <w:footnoteRef/>
      </w:r>
      <w:r>
        <w:t xml:space="preserve"> </w:t>
      </w:r>
      <w:r>
        <w:rPr>
          <w:i/>
        </w:rPr>
        <w:t xml:space="preserve">Audit institutionnel, organisationnel et fonctionnel du Ministère de la santé, </w:t>
      </w:r>
      <w:r w:rsidRPr="00B37E12">
        <w:t>novembre 2016</w:t>
      </w:r>
    </w:p>
    <w:p w:rsidR="001367A9" w:rsidRDefault="001367A9" w:rsidP="00D50530">
      <w:pPr>
        <w:pStyle w:val="Notedebasdepage"/>
      </w:pPr>
    </w:p>
  </w:footnote>
  <w:footnote w:id="17">
    <w:p w:rsidR="001367A9" w:rsidRDefault="001367A9" w:rsidP="00D50530">
      <w:pPr>
        <w:pStyle w:val="Notedebasdepage"/>
      </w:pPr>
      <w:r>
        <w:rPr>
          <w:rStyle w:val="Appelnotedebasdep"/>
        </w:rPr>
        <w:footnoteRef/>
      </w:r>
      <w:r>
        <w:t xml:space="preserve"> </w:t>
      </w:r>
      <w:r>
        <w:rPr>
          <w:i/>
        </w:rPr>
        <w:t xml:space="preserve">Audit institutionnel, organisationnel et fonctionnel du Ministère de la santé, </w:t>
      </w:r>
      <w:r w:rsidRPr="00B37E12">
        <w:t>novembre 2016</w:t>
      </w:r>
    </w:p>
  </w:footnote>
  <w:footnote w:id="18">
    <w:p w:rsidR="001367A9" w:rsidRDefault="001367A9" w:rsidP="00D50530">
      <w:pPr>
        <w:pStyle w:val="Notedebasdepage"/>
      </w:pPr>
      <w:r>
        <w:rPr>
          <w:rStyle w:val="Appelnotedebasdep"/>
        </w:rPr>
        <w:footnoteRef/>
      </w:r>
      <w:r>
        <w:t xml:space="preserve"> </w:t>
      </w:r>
      <w:r>
        <w:rPr>
          <w:i/>
        </w:rPr>
        <w:t xml:space="preserve">Audit institutionnel, organisationnel et fonctionnel du Ministère de la santé, </w:t>
      </w:r>
      <w:r w:rsidRPr="00B37E12">
        <w:t>novembre 2016</w:t>
      </w:r>
    </w:p>
  </w:footnote>
  <w:footnote w:id="19">
    <w:p w:rsidR="001367A9" w:rsidRDefault="001367A9" w:rsidP="007A7548">
      <w:pPr>
        <w:pStyle w:val="Notedebasdepage"/>
      </w:pPr>
      <w:r>
        <w:rPr>
          <w:rStyle w:val="Appelnotedebasdep"/>
        </w:rPr>
        <w:footnoteRef/>
      </w:r>
      <w:r>
        <w:t xml:space="preserve"> </w:t>
      </w:r>
      <w:r>
        <w:rPr>
          <w:i/>
        </w:rPr>
        <w:t xml:space="preserve">Audit institutionnel, organisationnel et fonctionnel du Ministère de la santé, </w:t>
      </w:r>
      <w:r w:rsidRPr="00B37E12">
        <w:t>novembre 2016</w:t>
      </w:r>
    </w:p>
  </w:footnote>
  <w:footnote w:id="20">
    <w:p w:rsidR="001367A9" w:rsidRDefault="001367A9" w:rsidP="005F5EA1">
      <w:pPr>
        <w:pStyle w:val="Notedebasdepage"/>
      </w:pPr>
      <w:r>
        <w:rPr>
          <w:rStyle w:val="Appelnotedebasdep"/>
        </w:rPr>
        <w:footnoteRef/>
      </w:r>
      <w:r>
        <w:t xml:space="preserve"> Ministère de la santé, Analyse de situation des ressources humaines pour la santé, décembre 2018.</w:t>
      </w:r>
    </w:p>
  </w:footnote>
  <w:footnote w:id="21">
    <w:p w:rsidR="001367A9" w:rsidRPr="00457D2B" w:rsidRDefault="001367A9" w:rsidP="00A02FA8">
      <w:pPr>
        <w:pStyle w:val="Default"/>
        <w:jc w:val="both"/>
        <w:rPr>
          <w:rFonts w:ascii="Constantia" w:hAnsi="Constantia" w:cs="Constantia"/>
          <w:b/>
          <w:bCs/>
          <w:sz w:val="31"/>
          <w:szCs w:val="31"/>
        </w:rPr>
      </w:pPr>
      <w:r>
        <w:rPr>
          <w:rStyle w:val="Appelnotedebasdep"/>
        </w:rPr>
        <w:footnoteRef/>
      </w:r>
      <w:r>
        <w:t xml:space="preserve">  </w:t>
      </w:r>
      <w:r>
        <w:rPr>
          <w:rFonts w:asciiTheme="minorHAnsi" w:hAnsiTheme="minorHAnsi" w:cs="Constantia"/>
          <w:bCs/>
          <w:sz w:val="18"/>
          <w:szCs w:val="18"/>
        </w:rPr>
        <w:t xml:space="preserve">Ministère de la santé, </w:t>
      </w:r>
      <w:r w:rsidRPr="00FC685C">
        <w:rPr>
          <w:rFonts w:asciiTheme="minorHAnsi" w:hAnsiTheme="minorHAnsi" w:cs="Constantia"/>
          <w:bCs/>
          <w:i/>
          <w:sz w:val="18"/>
          <w:szCs w:val="18"/>
        </w:rPr>
        <w:t>rapport de l’analyse de situation des RHS</w:t>
      </w:r>
      <w:r>
        <w:rPr>
          <w:rFonts w:asciiTheme="minorHAnsi" w:hAnsiTheme="minorHAnsi" w:cs="Constantia"/>
          <w:bCs/>
          <w:sz w:val="18"/>
          <w:szCs w:val="18"/>
        </w:rPr>
        <w:t>, décembre 2018</w:t>
      </w:r>
    </w:p>
  </w:footnote>
  <w:footnote w:id="22">
    <w:p w:rsidR="001367A9" w:rsidRDefault="001367A9" w:rsidP="00A02FA8">
      <w:pPr>
        <w:pStyle w:val="Notedebasdepage"/>
        <w:ind w:left="284" w:hanging="284"/>
      </w:pPr>
      <w:r>
        <w:rPr>
          <w:rStyle w:val="Appelnotedebasdep"/>
          <w:rFonts w:eastAsia="Trebuchet MS"/>
        </w:rPr>
        <w:footnoteRef/>
      </w:r>
      <w:r>
        <w:t xml:space="preserve">   </w:t>
      </w:r>
      <w:r w:rsidRPr="001B2C5D">
        <w:rPr>
          <w:rFonts w:cs="Constantia"/>
          <w:bCs/>
          <w:sz w:val="18"/>
          <w:szCs w:val="18"/>
        </w:rPr>
        <w:t>République de Guinée, ministère de l’enseignement supérieur et de la recherche scient</w:t>
      </w:r>
      <w:r>
        <w:rPr>
          <w:rFonts w:cs="Constantia"/>
          <w:bCs/>
          <w:sz w:val="18"/>
          <w:szCs w:val="18"/>
        </w:rPr>
        <w:t xml:space="preserve">ifique, </w:t>
      </w:r>
      <w:r w:rsidRPr="00FC685C">
        <w:rPr>
          <w:rFonts w:cs="Constantia"/>
          <w:bCs/>
          <w:i/>
          <w:sz w:val="18"/>
          <w:szCs w:val="18"/>
        </w:rPr>
        <w:t>étude sur la réforme de    l’enseignement et de la recherche en santé rapport</w:t>
      </w:r>
      <w:r w:rsidRPr="001B2C5D">
        <w:rPr>
          <w:rFonts w:cs="Constantia"/>
          <w:bCs/>
          <w:sz w:val="18"/>
          <w:szCs w:val="18"/>
        </w:rPr>
        <w:t xml:space="preserve">, </w:t>
      </w:r>
      <w:r w:rsidRPr="001B2C5D">
        <w:rPr>
          <w:rFonts w:cs="Constantia"/>
          <w:sz w:val="18"/>
          <w:szCs w:val="18"/>
        </w:rPr>
        <w:t xml:space="preserve"> </w:t>
      </w:r>
      <w:r w:rsidRPr="001B2C5D">
        <w:rPr>
          <w:rFonts w:cs="Constantia"/>
          <w:bCs/>
          <w:sz w:val="18"/>
          <w:szCs w:val="18"/>
        </w:rPr>
        <w:t>Juillet 2017</w:t>
      </w:r>
    </w:p>
  </w:footnote>
  <w:footnote w:id="23">
    <w:p w:rsidR="001367A9" w:rsidRDefault="001367A9" w:rsidP="00FC685C">
      <w:pPr>
        <w:pStyle w:val="Notedebasdepage"/>
        <w:ind w:left="284" w:hanging="284"/>
      </w:pPr>
      <w:r>
        <w:rPr>
          <w:rStyle w:val="Appelnotedebasdep"/>
          <w:rFonts w:eastAsia="Trebuchet MS"/>
        </w:rPr>
        <w:footnoteRef/>
      </w:r>
      <w:r>
        <w:t xml:space="preserve"> </w:t>
      </w:r>
      <w:r w:rsidR="00FC685C">
        <w:t xml:space="preserve">  </w:t>
      </w:r>
      <w:r w:rsidRPr="001B2C5D">
        <w:rPr>
          <w:rFonts w:cs="Constantia"/>
          <w:bCs/>
          <w:sz w:val="18"/>
          <w:szCs w:val="18"/>
        </w:rPr>
        <w:t xml:space="preserve">République de Guinée, ministère de l’enseignement supérieur et de la recherche scientifique, </w:t>
      </w:r>
      <w:r w:rsidRPr="00FC685C">
        <w:rPr>
          <w:rFonts w:cs="Constantia"/>
          <w:bCs/>
          <w:i/>
          <w:sz w:val="18"/>
          <w:szCs w:val="18"/>
        </w:rPr>
        <w:t>étude sur la réforme de l’enseignement et de la recherche en santé rapport</w:t>
      </w:r>
      <w:r w:rsidRPr="001B2C5D">
        <w:rPr>
          <w:rFonts w:cs="Constantia"/>
          <w:bCs/>
          <w:sz w:val="18"/>
          <w:szCs w:val="18"/>
        </w:rPr>
        <w:t xml:space="preserve">, </w:t>
      </w:r>
      <w:r w:rsidRPr="001B2C5D">
        <w:rPr>
          <w:rFonts w:cs="Constantia"/>
          <w:sz w:val="18"/>
          <w:szCs w:val="18"/>
        </w:rPr>
        <w:t xml:space="preserve"> </w:t>
      </w:r>
      <w:r w:rsidRPr="001B2C5D">
        <w:rPr>
          <w:rFonts w:cs="Constantia"/>
          <w:bCs/>
          <w:sz w:val="18"/>
          <w:szCs w:val="18"/>
        </w:rPr>
        <w:t>Juillet 2017</w:t>
      </w:r>
    </w:p>
  </w:footnote>
  <w:footnote w:id="24">
    <w:p w:rsidR="001367A9" w:rsidRPr="001A16A8" w:rsidRDefault="001367A9" w:rsidP="001367A9">
      <w:pPr>
        <w:spacing w:after="0" w:line="240" w:lineRule="auto"/>
        <w:rPr>
          <w:rFonts w:eastAsia="Calibri"/>
          <w:color w:val="000000"/>
          <w:sz w:val="20"/>
        </w:rPr>
      </w:pPr>
      <w:r w:rsidRPr="00F377CF">
        <w:rPr>
          <w:rStyle w:val="Appelnotedebasdep"/>
          <w:sz w:val="16"/>
        </w:rPr>
        <w:footnoteRef/>
      </w:r>
      <w:r w:rsidRPr="00F377CF">
        <w:rPr>
          <w:sz w:val="16"/>
        </w:rPr>
        <w:t xml:space="preserve"> </w:t>
      </w:r>
      <w:r w:rsidRPr="00F377CF">
        <w:rPr>
          <w:rFonts w:ascii="Arial Black" w:eastAsia="Calibri" w:hAnsi="Arial Black"/>
          <w:b/>
          <w:sz w:val="32"/>
          <w:lang w:eastAsia="x-none"/>
        </w:rPr>
        <w:t xml:space="preserve"> </w:t>
      </w:r>
      <w:r w:rsidRPr="001A16A8">
        <w:rPr>
          <w:rFonts w:eastAsia="Calibri"/>
          <w:color w:val="000000"/>
          <w:sz w:val="20"/>
        </w:rPr>
        <w:t>M</w:t>
      </w:r>
      <w:r w:rsidR="00FC685C">
        <w:rPr>
          <w:rFonts w:eastAsia="Calibri"/>
          <w:color w:val="000000"/>
          <w:sz w:val="20"/>
        </w:rPr>
        <w:t>inistère de l’</w:t>
      </w:r>
      <w:r w:rsidRPr="001A16A8">
        <w:rPr>
          <w:rFonts w:eastAsia="Calibri"/>
          <w:color w:val="000000"/>
          <w:sz w:val="20"/>
        </w:rPr>
        <w:t>E</w:t>
      </w:r>
      <w:r w:rsidR="00FC685C">
        <w:rPr>
          <w:rFonts w:eastAsia="Calibri"/>
          <w:color w:val="000000"/>
          <w:sz w:val="20"/>
        </w:rPr>
        <w:t xml:space="preserve">nseignement </w:t>
      </w:r>
      <w:r w:rsidRPr="001A16A8">
        <w:rPr>
          <w:rFonts w:eastAsia="Calibri"/>
          <w:color w:val="000000"/>
          <w:sz w:val="20"/>
        </w:rPr>
        <w:t>T</w:t>
      </w:r>
      <w:r w:rsidR="00FC685C">
        <w:rPr>
          <w:rFonts w:eastAsia="Calibri"/>
          <w:color w:val="000000"/>
          <w:sz w:val="20"/>
        </w:rPr>
        <w:t xml:space="preserve">echnique, de la </w:t>
      </w:r>
      <w:r w:rsidRPr="001A16A8">
        <w:rPr>
          <w:rFonts w:eastAsia="Calibri"/>
          <w:color w:val="000000"/>
          <w:sz w:val="20"/>
        </w:rPr>
        <w:t>F</w:t>
      </w:r>
      <w:r w:rsidR="00FC685C">
        <w:rPr>
          <w:rFonts w:eastAsia="Calibri"/>
          <w:color w:val="000000"/>
          <w:sz w:val="20"/>
        </w:rPr>
        <w:t xml:space="preserve">ormation </w:t>
      </w:r>
      <w:r w:rsidRPr="001A16A8">
        <w:rPr>
          <w:rFonts w:eastAsia="Calibri"/>
          <w:color w:val="000000"/>
          <w:sz w:val="20"/>
        </w:rPr>
        <w:t>P</w:t>
      </w:r>
      <w:r w:rsidR="00FC685C">
        <w:rPr>
          <w:rFonts w:eastAsia="Calibri"/>
          <w:color w:val="000000"/>
          <w:sz w:val="20"/>
        </w:rPr>
        <w:t>rofessionnelle, de l’</w:t>
      </w:r>
      <w:r w:rsidRPr="001A16A8">
        <w:rPr>
          <w:rFonts w:eastAsia="Calibri"/>
          <w:color w:val="000000"/>
          <w:sz w:val="20"/>
        </w:rPr>
        <w:t>E</w:t>
      </w:r>
      <w:r w:rsidR="00FC685C">
        <w:rPr>
          <w:rFonts w:eastAsia="Calibri"/>
          <w:color w:val="000000"/>
          <w:sz w:val="20"/>
        </w:rPr>
        <w:t xml:space="preserve">mploi et du </w:t>
      </w:r>
      <w:r w:rsidRPr="001A16A8">
        <w:rPr>
          <w:rFonts w:eastAsia="Calibri"/>
          <w:color w:val="000000"/>
          <w:sz w:val="20"/>
        </w:rPr>
        <w:t>T</w:t>
      </w:r>
      <w:r w:rsidR="00FC685C">
        <w:rPr>
          <w:rFonts w:eastAsia="Calibri"/>
          <w:color w:val="000000"/>
          <w:sz w:val="20"/>
        </w:rPr>
        <w:t>ravail</w:t>
      </w:r>
      <w:r w:rsidRPr="001A16A8">
        <w:rPr>
          <w:rFonts w:eastAsia="Calibri"/>
          <w:color w:val="000000"/>
          <w:sz w:val="20"/>
        </w:rPr>
        <w:t xml:space="preserve">, </w:t>
      </w:r>
      <w:r w:rsidRPr="00FC685C">
        <w:rPr>
          <w:rFonts w:eastAsia="Calibri"/>
          <w:i/>
          <w:color w:val="000000"/>
          <w:sz w:val="20"/>
        </w:rPr>
        <w:t>Etat de situation du Secteur</w:t>
      </w:r>
      <w:r w:rsidRPr="001A16A8">
        <w:rPr>
          <w:rFonts w:eastAsia="Calibri"/>
          <w:color w:val="000000"/>
          <w:sz w:val="20"/>
        </w:rPr>
        <w:t>, 2015</w:t>
      </w:r>
    </w:p>
    <w:p w:rsidR="001367A9" w:rsidRDefault="001367A9" w:rsidP="001367A9">
      <w:pPr>
        <w:pStyle w:val="Notedebasdepage"/>
      </w:pPr>
    </w:p>
  </w:footnote>
  <w:footnote w:id="25">
    <w:p w:rsidR="009F0F07" w:rsidRDefault="009F0F07" w:rsidP="00FC685C">
      <w:pPr>
        <w:pStyle w:val="Notedebasdepage"/>
        <w:ind w:left="284" w:hanging="284"/>
      </w:pPr>
      <w:r>
        <w:rPr>
          <w:rStyle w:val="Appelnotedebasdep"/>
          <w:rFonts w:eastAsia="Trebuchet MS"/>
        </w:rPr>
        <w:footnoteRef/>
      </w:r>
      <w:r>
        <w:t xml:space="preserve"> </w:t>
      </w:r>
      <w:r w:rsidR="00FC685C">
        <w:t xml:space="preserve"> </w:t>
      </w:r>
      <w:r w:rsidR="006F089C">
        <w:t xml:space="preserve"> </w:t>
      </w:r>
      <w:r>
        <w:rPr>
          <w:sz w:val="18"/>
        </w:rPr>
        <w:t>Rapport de l’</w:t>
      </w:r>
      <w:r w:rsidRPr="00ED5C7E">
        <w:rPr>
          <w:sz w:val="18"/>
        </w:rPr>
        <w:t xml:space="preserve">Etude sur la réforme de l’enseignement et de la recherche en santé.  Ministère de l’enseignement </w:t>
      </w:r>
      <w:r w:rsidR="006F089C">
        <w:rPr>
          <w:sz w:val="18"/>
        </w:rPr>
        <w:t xml:space="preserve">  </w:t>
      </w:r>
      <w:r w:rsidRPr="00FC685C">
        <w:rPr>
          <w:rFonts w:cs="Constantia"/>
          <w:bCs/>
          <w:sz w:val="18"/>
          <w:szCs w:val="18"/>
        </w:rPr>
        <w:t>supérieur</w:t>
      </w:r>
      <w:r w:rsidRPr="00ED5C7E">
        <w:rPr>
          <w:sz w:val="18"/>
        </w:rPr>
        <w:t xml:space="preserve"> </w:t>
      </w:r>
      <w:r w:rsidR="00FC685C">
        <w:rPr>
          <w:sz w:val="18"/>
        </w:rPr>
        <w:t xml:space="preserve">   </w:t>
      </w:r>
      <w:r w:rsidRPr="00ED5C7E">
        <w:rPr>
          <w:sz w:val="18"/>
        </w:rPr>
        <w:t>de la Guinée. Juillet 2017</w:t>
      </w:r>
    </w:p>
  </w:footnote>
  <w:footnote w:id="26">
    <w:p w:rsidR="0041770B" w:rsidRDefault="0041770B" w:rsidP="0041770B">
      <w:pPr>
        <w:pStyle w:val="Notedebasdepage"/>
      </w:pPr>
      <w:r>
        <w:rPr>
          <w:rStyle w:val="Appelnotedebasdep"/>
          <w:rFonts w:eastAsia="Trebuchet MS"/>
        </w:rPr>
        <w:footnoteRef/>
      </w:r>
      <w:r>
        <w:t xml:space="preserve">    </w:t>
      </w:r>
      <w:r w:rsidRPr="006F089C">
        <w:rPr>
          <w:sz w:val="18"/>
        </w:rPr>
        <w:t>MS, 2018, rapport sur l’état des lieux de la formation continue des ressources humaines de la santé</w:t>
      </w:r>
      <w:r>
        <w:t xml:space="preserve"> </w:t>
      </w:r>
    </w:p>
    <w:p w:rsidR="0041770B" w:rsidRDefault="0041770B" w:rsidP="0041770B">
      <w:pPr>
        <w:pStyle w:val="Notedebasdepage"/>
      </w:pPr>
    </w:p>
  </w:footnote>
  <w:footnote w:id="27">
    <w:p w:rsidR="001367A9" w:rsidRDefault="001367A9" w:rsidP="00CA5F52">
      <w:pPr>
        <w:pStyle w:val="Notedebasdepage"/>
        <w:ind w:left="284" w:hanging="284"/>
      </w:pPr>
      <w:r>
        <w:rPr>
          <w:rStyle w:val="Appelnotedebasdep"/>
        </w:rPr>
        <w:footnoteRef/>
      </w:r>
      <w:r>
        <w:t xml:space="preserve">   </w:t>
      </w:r>
      <w:r w:rsidR="00FC685C">
        <w:t xml:space="preserve"> </w:t>
      </w:r>
      <w:r w:rsidRPr="001B2C5D">
        <w:rPr>
          <w:rFonts w:cs="Constantia"/>
          <w:bCs/>
          <w:sz w:val="18"/>
          <w:szCs w:val="18"/>
        </w:rPr>
        <w:t xml:space="preserve">République de Guinée, ministère de l’enseignement supérieur et de la recherche scientifique, étude sur la réforme de l’enseignement et de la recherche en santé rapport, </w:t>
      </w:r>
      <w:r w:rsidRPr="001B2C5D">
        <w:rPr>
          <w:rFonts w:cs="Constantia"/>
          <w:sz w:val="18"/>
          <w:szCs w:val="18"/>
        </w:rPr>
        <w:t xml:space="preserve"> </w:t>
      </w:r>
      <w:r w:rsidRPr="001B2C5D">
        <w:rPr>
          <w:rFonts w:cs="Constantia"/>
          <w:bCs/>
          <w:sz w:val="18"/>
          <w:szCs w:val="18"/>
        </w:rPr>
        <w:t>Juillet 2017</w:t>
      </w:r>
    </w:p>
  </w:footnote>
  <w:footnote w:id="28">
    <w:p w:rsidR="001367A9" w:rsidRDefault="001367A9">
      <w:pPr>
        <w:pStyle w:val="Notedebasdepage"/>
      </w:pPr>
      <w:r>
        <w:rPr>
          <w:rStyle w:val="Appelnotedebasdep"/>
        </w:rPr>
        <w:footnoteRef/>
      </w:r>
      <w:r>
        <w:t xml:space="preserve"> Ministère de la santé, Analyse de situation des ressources humaines pour la santé, décembre 2018.</w:t>
      </w:r>
    </w:p>
  </w:footnote>
  <w:footnote w:id="29">
    <w:p w:rsidR="001367A9" w:rsidRDefault="001367A9">
      <w:pPr>
        <w:pStyle w:val="Notedebasdepage"/>
      </w:pPr>
      <w:r>
        <w:rPr>
          <w:rStyle w:val="Appelnotedebasdep"/>
        </w:rPr>
        <w:footnoteRef/>
      </w:r>
      <w:r>
        <w:t xml:space="preserve"> Ministère de la santé, Analyse de situation des ressources humaines pour la santé, décembre 2018.</w:t>
      </w:r>
    </w:p>
  </w:footnote>
  <w:footnote w:id="30">
    <w:p w:rsidR="001367A9" w:rsidRDefault="001367A9">
      <w:pPr>
        <w:pStyle w:val="Notedebasdepage"/>
      </w:pPr>
      <w:r>
        <w:rPr>
          <w:rStyle w:val="Appelnotedebasdep"/>
        </w:rPr>
        <w:footnoteRef/>
      </w:r>
      <w:r>
        <w:t xml:space="preserve"> </w:t>
      </w:r>
      <w:r w:rsidRPr="00676B42">
        <w:rPr>
          <w:rFonts w:eastAsiaTheme="minorHAnsi"/>
          <w:sz w:val="16"/>
          <w:szCs w:val="16"/>
        </w:rPr>
        <w:t>Code de</w:t>
      </w:r>
      <w:r>
        <w:rPr>
          <w:rFonts w:eastAsiaTheme="minorHAnsi"/>
          <w:sz w:val="16"/>
          <w:szCs w:val="16"/>
        </w:rPr>
        <w:t>s</w:t>
      </w:r>
      <w:r w:rsidRPr="00676B42">
        <w:rPr>
          <w:rFonts w:eastAsiaTheme="minorHAnsi"/>
          <w:sz w:val="16"/>
          <w:szCs w:val="16"/>
        </w:rPr>
        <w:t xml:space="preserve"> Collectivités Locales</w:t>
      </w:r>
      <w:r>
        <w:rPr>
          <w:rFonts w:eastAsiaTheme="minorHAnsi"/>
          <w:sz w:val="16"/>
          <w:szCs w:val="16"/>
        </w:rPr>
        <w:t>,</w:t>
      </w:r>
      <w:r w:rsidRPr="00676B42">
        <w:rPr>
          <w:rFonts w:eastAsiaTheme="minorHAnsi"/>
          <w:sz w:val="16"/>
          <w:szCs w:val="16"/>
        </w:rPr>
        <w:t xml:space="preserve"> Article 29.</w:t>
      </w:r>
    </w:p>
  </w:footnote>
  <w:footnote w:id="31">
    <w:p w:rsidR="001367A9" w:rsidRPr="002F2D28" w:rsidRDefault="001367A9">
      <w:pPr>
        <w:pStyle w:val="Notedebasdepage"/>
        <w:rPr>
          <w:rFonts w:eastAsiaTheme="minorHAnsi"/>
          <w:sz w:val="16"/>
          <w:szCs w:val="16"/>
        </w:rPr>
      </w:pPr>
      <w:r>
        <w:rPr>
          <w:rStyle w:val="Appelnotedebasdep"/>
        </w:rPr>
        <w:footnoteRef/>
      </w:r>
      <w:r>
        <w:t xml:space="preserve"> </w:t>
      </w:r>
      <w:r w:rsidRPr="002F2D28">
        <w:rPr>
          <w:rFonts w:eastAsiaTheme="minorHAnsi"/>
          <w:sz w:val="16"/>
          <w:szCs w:val="16"/>
        </w:rPr>
        <w:t>Les fonctions ou piliers du système de santé, selon l’OMS, sont : la gouvernance (ou administration générale), le financement, les ressources humaines pour la santé, les produits de santé, les infrastructures et la technologie, l’information sanitaire et les prestations.</w:t>
      </w:r>
    </w:p>
  </w:footnote>
  <w:footnote w:id="32">
    <w:p w:rsidR="001367A9" w:rsidRDefault="001367A9" w:rsidP="006A0EC1">
      <w:pPr>
        <w:pStyle w:val="Notedebasdepage"/>
      </w:pPr>
      <w:r>
        <w:rPr>
          <w:rStyle w:val="Appelnotedebasdep"/>
        </w:rPr>
        <w:footnoteRef/>
      </w:r>
      <w:r w:rsidRPr="003A15BE">
        <w:rPr>
          <w:sz w:val="22"/>
          <w:szCs w:val="22"/>
        </w:rPr>
        <w:t>Loi 029 portant principes fondamentaux de création et d’organisation des services publics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414"/>
    <w:multiLevelType w:val="hybridMultilevel"/>
    <w:tmpl w:val="DC6845AC"/>
    <w:lvl w:ilvl="0" w:tplc="F5AC7A1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EA1575"/>
    <w:multiLevelType w:val="hybridMultilevel"/>
    <w:tmpl w:val="9678E978"/>
    <w:lvl w:ilvl="0" w:tplc="3C6C681E">
      <w:start w:val="1"/>
      <w:numFmt w:val="bullet"/>
      <w:lvlText w:val="•"/>
      <w:lvlJc w:val="left"/>
      <w:pPr>
        <w:tabs>
          <w:tab w:val="num" w:pos="720"/>
        </w:tabs>
        <w:ind w:left="720" w:hanging="360"/>
      </w:pPr>
      <w:rPr>
        <w:rFonts w:ascii="Arial" w:hAnsi="Arial" w:hint="default"/>
      </w:rPr>
    </w:lvl>
    <w:lvl w:ilvl="1" w:tplc="9F32BD68">
      <w:start w:val="98"/>
      <w:numFmt w:val="bullet"/>
      <w:lvlText w:val="–"/>
      <w:lvlJc w:val="left"/>
      <w:pPr>
        <w:tabs>
          <w:tab w:val="num" w:pos="1440"/>
        </w:tabs>
        <w:ind w:left="1440" w:hanging="360"/>
      </w:pPr>
      <w:rPr>
        <w:rFonts w:ascii="Arial" w:hAnsi="Arial" w:hint="default"/>
      </w:rPr>
    </w:lvl>
    <w:lvl w:ilvl="2" w:tplc="F97A4B30">
      <w:start w:val="1"/>
      <w:numFmt w:val="bullet"/>
      <w:lvlText w:val="•"/>
      <w:lvlJc w:val="left"/>
      <w:pPr>
        <w:tabs>
          <w:tab w:val="num" w:pos="2160"/>
        </w:tabs>
        <w:ind w:left="2160" w:hanging="360"/>
      </w:pPr>
      <w:rPr>
        <w:rFonts w:ascii="Arial" w:hAnsi="Arial" w:hint="default"/>
      </w:rPr>
    </w:lvl>
    <w:lvl w:ilvl="3" w:tplc="006099CE">
      <w:start w:val="1"/>
      <w:numFmt w:val="bullet"/>
      <w:lvlText w:val="•"/>
      <w:lvlJc w:val="left"/>
      <w:pPr>
        <w:tabs>
          <w:tab w:val="num" w:pos="2880"/>
        </w:tabs>
        <w:ind w:left="2880" w:hanging="360"/>
      </w:pPr>
      <w:rPr>
        <w:rFonts w:ascii="Arial" w:hAnsi="Arial" w:hint="default"/>
      </w:rPr>
    </w:lvl>
    <w:lvl w:ilvl="4" w:tplc="002CD52C" w:tentative="1">
      <w:start w:val="1"/>
      <w:numFmt w:val="bullet"/>
      <w:lvlText w:val="•"/>
      <w:lvlJc w:val="left"/>
      <w:pPr>
        <w:tabs>
          <w:tab w:val="num" w:pos="3600"/>
        </w:tabs>
        <w:ind w:left="3600" w:hanging="360"/>
      </w:pPr>
      <w:rPr>
        <w:rFonts w:ascii="Arial" w:hAnsi="Arial" w:hint="default"/>
      </w:rPr>
    </w:lvl>
    <w:lvl w:ilvl="5" w:tplc="A01CBF50" w:tentative="1">
      <w:start w:val="1"/>
      <w:numFmt w:val="bullet"/>
      <w:lvlText w:val="•"/>
      <w:lvlJc w:val="left"/>
      <w:pPr>
        <w:tabs>
          <w:tab w:val="num" w:pos="4320"/>
        </w:tabs>
        <w:ind w:left="4320" w:hanging="360"/>
      </w:pPr>
      <w:rPr>
        <w:rFonts w:ascii="Arial" w:hAnsi="Arial" w:hint="default"/>
      </w:rPr>
    </w:lvl>
    <w:lvl w:ilvl="6" w:tplc="18DE3F12" w:tentative="1">
      <w:start w:val="1"/>
      <w:numFmt w:val="bullet"/>
      <w:lvlText w:val="•"/>
      <w:lvlJc w:val="left"/>
      <w:pPr>
        <w:tabs>
          <w:tab w:val="num" w:pos="5040"/>
        </w:tabs>
        <w:ind w:left="5040" w:hanging="360"/>
      </w:pPr>
      <w:rPr>
        <w:rFonts w:ascii="Arial" w:hAnsi="Arial" w:hint="default"/>
      </w:rPr>
    </w:lvl>
    <w:lvl w:ilvl="7" w:tplc="001ED4A8" w:tentative="1">
      <w:start w:val="1"/>
      <w:numFmt w:val="bullet"/>
      <w:lvlText w:val="•"/>
      <w:lvlJc w:val="left"/>
      <w:pPr>
        <w:tabs>
          <w:tab w:val="num" w:pos="5760"/>
        </w:tabs>
        <w:ind w:left="5760" w:hanging="360"/>
      </w:pPr>
      <w:rPr>
        <w:rFonts w:ascii="Arial" w:hAnsi="Arial" w:hint="default"/>
      </w:rPr>
    </w:lvl>
    <w:lvl w:ilvl="8" w:tplc="D1C623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3007C0"/>
    <w:multiLevelType w:val="hybridMultilevel"/>
    <w:tmpl w:val="F39089CC"/>
    <w:lvl w:ilvl="0" w:tplc="8054AA8C">
      <w:start w:val="5"/>
      <w:numFmt w:val="bullet"/>
      <w:lvlText w:val="-"/>
      <w:lvlJc w:val="left"/>
      <w:pPr>
        <w:ind w:left="720" w:hanging="360"/>
      </w:pPr>
      <w:rPr>
        <w:rFonts w:ascii="Consolas" w:eastAsia="ヒラギノ角ゴ Pro W3" w:hAnsi="Consolas" w:cs="Consola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FB6172"/>
    <w:multiLevelType w:val="hybridMultilevel"/>
    <w:tmpl w:val="C142AAB4"/>
    <w:lvl w:ilvl="0" w:tplc="442A798E">
      <w:start w:val="1"/>
      <w:numFmt w:val="lowerRoman"/>
      <w:lvlText w:val="(%1)"/>
      <w:lvlJc w:val="left"/>
      <w:pPr>
        <w:ind w:left="1145" w:hanging="720"/>
      </w:pPr>
      <w:rPr>
        <w:rFonts w:cstheme="minorBidi" w:hint="default"/>
        <w:i w:val="0"/>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09802D39"/>
    <w:multiLevelType w:val="hybridMultilevel"/>
    <w:tmpl w:val="2968F2DE"/>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D4BAB"/>
    <w:multiLevelType w:val="hybridMultilevel"/>
    <w:tmpl w:val="35E875C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0FE627E4"/>
    <w:multiLevelType w:val="hybridMultilevel"/>
    <w:tmpl w:val="5C0498CE"/>
    <w:lvl w:ilvl="0" w:tplc="A20AE39A">
      <w:start w:val="98"/>
      <w:numFmt w:val="bullet"/>
      <w:lvlText w:val="–"/>
      <w:lvlJc w:val="left"/>
      <w:pPr>
        <w:ind w:left="1800" w:hanging="360"/>
      </w:pPr>
      <w:rPr>
        <w:rFonts w:ascii="Arial" w:hAnsi="Arial" w:hint="default"/>
        <w:color w:val="auto"/>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127412D4"/>
    <w:multiLevelType w:val="hybridMultilevel"/>
    <w:tmpl w:val="5B203B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B671FA"/>
    <w:multiLevelType w:val="hybridMultilevel"/>
    <w:tmpl w:val="5A68BC28"/>
    <w:lvl w:ilvl="0" w:tplc="D8D03CA0">
      <w:start w:val="1"/>
      <w:numFmt w:val="lowerRoman"/>
      <w:lvlText w:val="(%1)"/>
      <w:lvlJc w:val="left"/>
      <w:pPr>
        <w:ind w:left="1145" w:hanging="72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159A62D5"/>
    <w:multiLevelType w:val="hybridMultilevel"/>
    <w:tmpl w:val="15BC1ADA"/>
    <w:lvl w:ilvl="0" w:tplc="4CC23AD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B362D00"/>
    <w:multiLevelType w:val="hybridMultilevel"/>
    <w:tmpl w:val="4A0E5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486E81"/>
    <w:multiLevelType w:val="hybridMultilevel"/>
    <w:tmpl w:val="9D4AC6C4"/>
    <w:lvl w:ilvl="0" w:tplc="DC7645D2">
      <w:start w:val="1"/>
      <w:numFmt w:val="bullet"/>
      <w:lvlText w:val="•"/>
      <w:lvlJc w:val="left"/>
      <w:pPr>
        <w:tabs>
          <w:tab w:val="num" w:pos="720"/>
        </w:tabs>
        <w:ind w:left="720" w:hanging="360"/>
      </w:pPr>
      <w:rPr>
        <w:rFonts w:ascii="Arial" w:hAnsi="Arial" w:hint="default"/>
      </w:rPr>
    </w:lvl>
    <w:lvl w:ilvl="1" w:tplc="040C000B">
      <w:start w:val="1"/>
      <w:numFmt w:val="bullet"/>
      <w:lvlText w:val=""/>
      <w:lvlJc w:val="left"/>
      <w:pPr>
        <w:tabs>
          <w:tab w:val="num" w:pos="1440"/>
        </w:tabs>
        <w:ind w:left="1440" w:hanging="360"/>
      </w:pPr>
      <w:rPr>
        <w:rFonts w:ascii="Wingdings" w:hAnsi="Wingdings" w:hint="default"/>
      </w:rPr>
    </w:lvl>
    <w:lvl w:ilvl="2" w:tplc="1534B0EE" w:tentative="1">
      <w:start w:val="1"/>
      <w:numFmt w:val="bullet"/>
      <w:lvlText w:val="•"/>
      <w:lvlJc w:val="left"/>
      <w:pPr>
        <w:tabs>
          <w:tab w:val="num" w:pos="2160"/>
        </w:tabs>
        <w:ind w:left="2160" w:hanging="360"/>
      </w:pPr>
      <w:rPr>
        <w:rFonts w:ascii="Arial" w:hAnsi="Arial" w:hint="default"/>
      </w:rPr>
    </w:lvl>
    <w:lvl w:ilvl="3" w:tplc="25A47B92" w:tentative="1">
      <w:start w:val="1"/>
      <w:numFmt w:val="bullet"/>
      <w:lvlText w:val="•"/>
      <w:lvlJc w:val="left"/>
      <w:pPr>
        <w:tabs>
          <w:tab w:val="num" w:pos="2880"/>
        </w:tabs>
        <w:ind w:left="2880" w:hanging="360"/>
      </w:pPr>
      <w:rPr>
        <w:rFonts w:ascii="Arial" w:hAnsi="Arial" w:hint="default"/>
      </w:rPr>
    </w:lvl>
    <w:lvl w:ilvl="4" w:tplc="0E2E73F2" w:tentative="1">
      <w:start w:val="1"/>
      <w:numFmt w:val="bullet"/>
      <w:lvlText w:val="•"/>
      <w:lvlJc w:val="left"/>
      <w:pPr>
        <w:tabs>
          <w:tab w:val="num" w:pos="3600"/>
        </w:tabs>
        <w:ind w:left="3600" w:hanging="360"/>
      </w:pPr>
      <w:rPr>
        <w:rFonts w:ascii="Arial" w:hAnsi="Arial" w:hint="default"/>
      </w:rPr>
    </w:lvl>
    <w:lvl w:ilvl="5" w:tplc="A6A49256" w:tentative="1">
      <w:start w:val="1"/>
      <w:numFmt w:val="bullet"/>
      <w:lvlText w:val="•"/>
      <w:lvlJc w:val="left"/>
      <w:pPr>
        <w:tabs>
          <w:tab w:val="num" w:pos="4320"/>
        </w:tabs>
        <w:ind w:left="4320" w:hanging="360"/>
      </w:pPr>
      <w:rPr>
        <w:rFonts w:ascii="Arial" w:hAnsi="Arial" w:hint="default"/>
      </w:rPr>
    </w:lvl>
    <w:lvl w:ilvl="6" w:tplc="94FE780E" w:tentative="1">
      <w:start w:val="1"/>
      <w:numFmt w:val="bullet"/>
      <w:lvlText w:val="•"/>
      <w:lvlJc w:val="left"/>
      <w:pPr>
        <w:tabs>
          <w:tab w:val="num" w:pos="5040"/>
        </w:tabs>
        <w:ind w:left="5040" w:hanging="360"/>
      </w:pPr>
      <w:rPr>
        <w:rFonts w:ascii="Arial" w:hAnsi="Arial" w:hint="default"/>
      </w:rPr>
    </w:lvl>
    <w:lvl w:ilvl="7" w:tplc="44862648" w:tentative="1">
      <w:start w:val="1"/>
      <w:numFmt w:val="bullet"/>
      <w:lvlText w:val="•"/>
      <w:lvlJc w:val="left"/>
      <w:pPr>
        <w:tabs>
          <w:tab w:val="num" w:pos="5760"/>
        </w:tabs>
        <w:ind w:left="5760" w:hanging="360"/>
      </w:pPr>
      <w:rPr>
        <w:rFonts w:ascii="Arial" w:hAnsi="Arial" w:hint="default"/>
      </w:rPr>
    </w:lvl>
    <w:lvl w:ilvl="8" w:tplc="253027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7366D4"/>
    <w:multiLevelType w:val="multilevel"/>
    <w:tmpl w:val="53E4C228"/>
    <w:lvl w:ilvl="0">
      <w:start w:val="2"/>
      <w:numFmt w:val="decimal"/>
      <w:lvlText w:val="%1."/>
      <w:lvlJc w:val="left"/>
      <w:pPr>
        <w:ind w:left="450" w:hanging="450"/>
      </w:pPr>
      <w:rPr>
        <w:rFonts w:asciiTheme="majorHAnsi" w:hAnsiTheme="majorHAnsi"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A3A3812"/>
    <w:multiLevelType w:val="hybridMultilevel"/>
    <w:tmpl w:val="B88C6DC0"/>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1622BD"/>
    <w:multiLevelType w:val="hybridMultilevel"/>
    <w:tmpl w:val="AE683A92"/>
    <w:lvl w:ilvl="0" w:tplc="3AE6F4FE">
      <w:start w:val="1"/>
      <w:numFmt w:val="bullet"/>
      <w:lvlText w:val=""/>
      <w:lvlJc w:val="left"/>
      <w:pPr>
        <w:ind w:left="1856" w:hanging="360"/>
      </w:pPr>
      <w:rPr>
        <w:rFonts w:ascii="Symbol" w:hAnsi="Symbol" w:hint="default"/>
        <w:caps w:val="0"/>
        <w:strike w:val="0"/>
        <w:dstrike w:val="0"/>
        <w:vanish w:val="0"/>
        <w:color w:val="auto"/>
        <w:vertAlign w:val="baseline"/>
      </w:rPr>
    </w:lvl>
    <w:lvl w:ilvl="1" w:tplc="040C0003" w:tentative="1">
      <w:start w:val="1"/>
      <w:numFmt w:val="bullet"/>
      <w:lvlText w:val="o"/>
      <w:lvlJc w:val="left"/>
      <w:pPr>
        <w:ind w:left="2576" w:hanging="360"/>
      </w:pPr>
      <w:rPr>
        <w:rFonts w:ascii="Courier New" w:hAnsi="Courier New" w:cs="Courier New"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cs="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cs="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15" w15:restartNumberingAfterBreak="0">
    <w:nsid w:val="44B76659"/>
    <w:multiLevelType w:val="hybridMultilevel"/>
    <w:tmpl w:val="7F6E2488"/>
    <w:lvl w:ilvl="0" w:tplc="AB9029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0D3EF6"/>
    <w:multiLevelType w:val="multilevel"/>
    <w:tmpl w:val="39A00000"/>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55987345"/>
    <w:multiLevelType w:val="hybridMultilevel"/>
    <w:tmpl w:val="C6846D6C"/>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CC5AFE"/>
    <w:multiLevelType w:val="hybridMultilevel"/>
    <w:tmpl w:val="213C6C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AC7572"/>
    <w:multiLevelType w:val="hybridMultilevel"/>
    <w:tmpl w:val="8B641A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496277"/>
    <w:multiLevelType w:val="multilevel"/>
    <w:tmpl w:val="C4903C3E"/>
    <w:lvl w:ilvl="0">
      <w:start w:val="1"/>
      <w:numFmt w:val="decimal"/>
      <w:lvlText w:val="%1."/>
      <w:lvlJc w:val="left"/>
      <w:pPr>
        <w:ind w:left="450" w:hanging="45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b/>
        <w:sz w:val="24"/>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21" w15:restartNumberingAfterBreak="0">
    <w:nsid w:val="628961E0"/>
    <w:multiLevelType w:val="hybridMultilevel"/>
    <w:tmpl w:val="28A0FCA2"/>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6D1545"/>
    <w:multiLevelType w:val="hybridMultilevel"/>
    <w:tmpl w:val="987653D4"/>
    <w:lvl w:ilvl="0" w:tplc="7AD824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F9874F5"/>
    <w:multiLevelType w:val="hybridMultilevel"/>
    <w:tmpl w:val="4F780B14"/>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057523"/>
    <w:multiLevelType w:val="hybridMultilevel"/>
    <w:tmpl w:val="0590BC7A"/>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D96F19"/>
    <w:multiLevelType w:val="hybridMultilevel"/>
    <w:tmpl w:val="DA58130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663F71"/>
    <w:multiLevelType w:val="hybridMultilevel"/>
    <w:tmpl w:val="880CA004"/>
    <w:lvl w:ilvl="0" w:tplc="9F32BD68">
      <w:start w:val="98"/>
      <w:numFmt w:val="bullet"/>
      <w:lvlText w:val="–"/>
      <w:lvlJc w:val="left"/>
      <w:pPr>
        <w:ind w:left="3192" w:hanging="360"/>
      </w:pPr>
      <w:rPr>
        <w:rFonts w:ascii="Arial" w:hAnsi="Arial" w:hint="default"/>
      </w:rPr>
    </w:lvl>
    <w:lvl w:ilvl="1" w:tplc="040C000D">
      <w:start w:val="1"/>
      <w:numFmt w:val="bullet"/>
      <w:lvlText w:val=""/>
      <w:lvlJc w:val="left"/>
      <w:pPr>
        <w:ind w:left="3912" w:hanging="360"/>
      </w:pPr>
      <w:rPr>
        <w:rFonts w:ascii="Wingdings" w:hAnsi="Wingdings" w:hint="default"/>
      </w:rPr>
    </w:lvl>
    <w:lvl w:ilvl="2" w:tplc="040C0005">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11"/>
  </w:num>
  <w:num w:numId="2">
    <w:abstractNumId w:val="18"/>
  </w:num>
  <w:num w:numId="3">
    <w:abstractNumId w:val="1"/>
  </w:num>
  <w:num w:numId="4">
    <w:abstractNumId w:val="0"/>
  </w:num>
  <w:num w:numId="5">
    <w:abstractNumId w:val="16"/>
  </w:num>
  <w:num w:numId="6">
    <w:abstractNumId w:val="26"/>
  </w:num>
  <w:num w:numId="7">
    <w:abstractNumId w:val="6"/>
  </w:num>
  <w:num w:numId="8">
    <w:abstractNumId w:val="20"/>
  </w:num>
  <w:num w:numId="9">
    <w:abstractNumId w:val="25"/>
  </w:num>
  <w:num w:numId="10">
    <w:abstractNumId w:val="22"/>
  </w:num>
  <w:num w:numId="11">
    <w:abstractNumId w:val="7"/>
  </w:num>
  <w:num w:numId="12">
    <w:abstractNumId w:val="3"/>
  </w:num>
  <w:num w:numId="13">
    <w:abstractNumId w:val="8"/>
  </w:num>
  <w:num w:numId="14">
    <w:abstractNumId w:val="9"/>
  </w:num>
  <w:num w:numId="15">
    <w:abstractNumId w:val="15"/>
  </w:num>
  <w:num w:numId="16">
    <w:abstractNumId w:val="24"/>
  </w:num>
  <w:num w:numId="17">
    <w:abstractNumId w:val="13"/>
  </w:num>
  <w:num w:numId="18">
    <w:abstractNumId w:val="21"/>
  </w:num>
  <w:num w:numId="19">
    <w:abstractNumId w:val="4"/>
  </w:num>
  <w:num w:numId="20">
    <w:abstractNumId w:val="17"/>
  </w:num>
  <w:num w:numId="21">
    <w:abstractNumId w:val="23"/>
  </w:num>
  <w:num w:numId="22">
    <w:abstractNumId w:val="12"/>
  </w:num>
  <w:num w:numId="23">
    <w:abstractNumId w:val="19"/>
  </w:num>
  <w:num w:numId="24">
    <w:abstractNumId w:val="10"/>
  </w:num>
  <w:num w:numId="25">
    <w:abstractNumId w:val="5"/>
  </w:num>
  <w:num w:numId="26">
    <w:abstractNumId w:val="2"/>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F8"/>
    <w:rsid w:val="00002BA6"/>
    <w:rsid w:val="00005CB8"/>
    <w:rsid w:val="000107A0"/>
    <w:rsid w:val="000429CE"/>
    <w:rsid w:val="00045032"/>
    <w:rsid w:val="00054878"/>
    <w:rsid w:val="00057474"/>
    <w:rsid w:val="00060E98"/>
    <w:rsid w:val="000654C0"/>
    <w:rsid w:val="000665F8"/>
    <w:rsid w:val="00076E85"/>
    <w:rsid w:val="00084B19"/>
    <w:rsid w:val="00085E6D"/>
    <w:rsid w:val="00096BB7"/>
    <w:rsid w:val="000A6362"/>
    <w:rsid w:val="000A6FDC"/>
    <w:rsid w:val="000B6AFB"/>
    <w:rsid w:val="000B6C30"/>
    <w:rsid w:val="000F1506"/>
    <w:rsid w:val="000F45C7"/>
    <w:rsid w:val="000F67F8"/>
    <w:rsid w:val="000F6A10"/>
    <w:rsid w:val="0011268A"/>
    <w:rsid w:val="00136761"/>
    <w:rsid w:val="001367A9"/>
    <w:rsid w:val="001420F0"/>
    <w:rsid w:val="00145067"/>
    <w:rsid w:val="00147C93"/>
    <w:rsid w:val="00152DF0"/>
    <w:rsid w:val="0015397B"/>
    <w:rsid w:val="0015439E"/>
    <w:rsid w:val="00157628"/>
    <w:rsid w:val="001666DC"/>
    <w:rsid w:val="00174C7A"/>
    <w:rsid w:val="00183DAE"/>
    <w:rsid w:val="00190758"/>
    <w:rsid w:val="001A061A"/>
    <w:rsid w:val="001B36C1"/>
    <w:rsid w:val="001C7A44"/>
    <w:rsid w:val="001D299F"/>
    <w:rsid w:val="001D738E"/>
    <w:rsid w:val="001E3212"/>
    <w:rsid w:val="001E3A3C"/>
    <w:rsid w:val="001E62FF"/>
    <w:rsid w:val="001F0F73"/>
    <w:rsid w:val="00204A79"/>
    <w:rsid w:val="00212180"/>
    <w:rsid w:val="002149C2"/>
    <w:rsid w:val="00223FD9"/>
    <w:rsid w:val="00231ED2"/>
    <w:rsid w:val="00233152"/>
    <w:rsid w:val="002400A6"/>
    <w:rsid w:val="0024352A"/>
    <w:rsid w:val="00243A21"/>
    <w:rsid w:val="002546F5"/>
    <w:rsid w:val="00256769"/>
    <w:rsid w:val="002633DE"/>
    <w:rsid w:val="00271541"/>
    <w:rsid w:val="002721CE"/>
    <w:rsid w:val="00275B00"/>
    <w:rsid w:val="00281396"/>
    <w:rsid w:val="00286BAD"/>
    <w:rsid w:val="002A3B9A"/>
    <w:rsid w:val="002B4445"/>
    <w:rsid w:val="002D0C5B"/>
    <w:rsid w:val="002D5AE1"/>
    <w:rsid w:val="002F2D28"/>
    <w:rsid w:val="002F414C"/>
    <w:rsid w:val="002F6842"/>
    <w:rsid w:val="0030337E"/>
    <w:rsid w:val="00305222"/>
    <w:rsid w:val="003070BC"/>
    <w:rsid w:val="00315CBE"/>
    <w:rsid w:val="00322029"/>
    <w:rsid w:val="003341FD"/>
    <w:rsid w:val="00340DD1"/>
    <w:rsid w:val="00341053"/>
    <w:rsid w:val="0034275A"/>
    <w:rsid w:val="00343253"/>
    <w:rsid w:val="00346382"/>
    <w:rsid w:val="00347606"/>
    <w:rsid w:val="003516F7"/>
    <w:rsid w:val="00352FD4"/>
    <w:rsid w:val="003543EA"/>
    <w:rsid w:val="00360BC0"/>
    <w:rsid w:val="00365F67"/>
    <w:rsid w:val="0037110F"/>
    <w:rsid w:val="00374560"/>
    <w:rsid w:val="00385CD9"/>
    <w:rsid w:val="00386EF8"/>
    <w:rsid w:val="00387F75"/>
    <w:rsid w:val="003B4886"/>
    <w:rsid w:val="003B5A09"/>
    <w:rsid w:val="003B62CB"/>
    <w:rsid w:val="003C754C"/>
    <w:rsid w:val="003D361E"/>
    <w:rsid w:val="003D3725"/>
    <w:rsid w:val="003D4BD9"/>
    <w:rsid w:val="003D7663"/>
    <w:rsid w:val="003F06C9"/>
    <w:rsid w:val="00402177"/>
    <w:rsid w:val="0040617D"/>
    <w:rsid w:val="00406DBD"/>
    <w:rsid w:val="004143D0"/>
    <w:rsid w:val="0041770B"/>
    <w:rsid w:val="00425212"/>
    <w:rsid w:val="0044436E"/>
    <w:rsid w:val="004559EF"/>
    <w:rsid w:val="004600CD"/>
    <w:rsid w:val="00461CA0"/>
    <w:rsid w:val="00461CDB"/>
    <w:rsid w:val="00464F68"/>
    <w:rsid w:val="00467BA9"/>
    <w:rsid w:val="004733D6"/>
    <w:rsid w:val="004817F2"/>
    <w:rsid w:val="00485099"/>
    <w:rsid w:val="00491472"/>
    <w:rsid w:val="004944CA"/>
    <w:rsid w:val="004967EB"/>
    <w:rsid w:val="004A2A3A"/>
    <w:rsid w:val="004A551C"/>
    <w:rsid w:val="004A58CE"/>
    <w:rsid w:val="004C2E9B"/>
    <w:rsid w:val="004D046C"/>
    <w:rsid w:val="004E38A4"/>
    <w:rsid w:val="004F582E"/>
    <w:rsid w:val="004F5AB8"/>
    <w:rsid w:val="005012D4"/>
    <w:rsid w:val="00501B8E"/>
    <w:rsid w:val="005159CF"/>
    <w:rsid w:val="00520F7C"/>
    <w:rsid w:val="00527877"/>
    <w:rsid w:val="005302A3"/>
    <w:rsid w:val="0053031A"/>
    <w:rsid w:val="00533237"/>
    <w:rsid w:val="00534090"/>
    <w:rsid w:val="0054510D"/>
    <w:rsid w:val="005525EC"/>
    <w:rsid w:val="00552B14"/>
    <w:rsid w:val="005576E7"/>
    <w:rsid w:val="005824AD"/>
    <w:rsid w:val="005843B1"/>
    <w:rsid w:val="005919B9"/>
    <w:rsid w:val="005943A3"/>
    <w:rsid w:val="00595CC4"/>
    <w:rsid w:val="005B0D4B"/>
    <w:rsid w:val="005B1256"/>
    <w:rsid w:val="005B4B15"/>
    <w:rsid w:val="005C6215"/>
    <w:rsid w:val="005D17E9"/>
    <w:rsid w:val="005D6E06"/>
    <w:rsid w:val="005D75B8"/>
    <w:rsid w:val="005E2345"/>
    <w:rsid w:val="005E7B62"/>
    <w:rsid w:val="005F5E20"/>
    <w:rsid w:val="005F5EA1"/>
    <w:rsid w:val="0060171E"/>
    <w:rsid w:val="006028F3"/>
    <w:rsid w:val="00621F50"/>
    <w:rsid w:val="00626BCF"/>
    <w:rsid w:val="00626FFF"/>
    <w:rsid w:val="006356B5"/>
    <w:rsid w:val="00637306"/>
    <w:rsid w:val="00642B17"/>
    <w:rsid w:val="00643283"/>
    <w:rsid w:val="006440E9"/>
    <w:rsid w:val="0064464F"/>
    <w:rsid w:val="00657660"/>
    <w:rsid w:val="00662E03"/>
    <w:rsid w:val="00676B42"/>
    <w:rsid w:val="006829A8"/>
    <w:rsid w:val="006851CB"/>
    <w:rsid w:val="006872A9"/>
    <w:rsid w:val="00687DB6"/>
    <w:rsid w:val="00692FAA"/>
    <w:rsid w:val="006958E1"/>
    <w:rsid w:val="00695AE1"/>
    <w:rsid w:val="00697C2D"/>
    <w:rsid w:val="006A0EC1"/>
    <w:rsid w:val="006A545D"/>
    <w:rsid w:val="006A5B16"/>
    <w:rsid w:val="006A769B"/>
    <w:rsid w:val="006B0206"/>
    <w:rsid w:val="006D55D5"/>
    <w:rsid w:val="006D5ECF"/>
    <w:rsid w:val="006E41A6"/>
    <w:rsid w:val="006F089C"/>
    <w:rsid w:val="006F4B76"/>
    <w:rsid w:val="0070487C"/>
    <w:rsid w:val="00717929"/>
    <w:rsid w:val="00720FBC"/>
    <w:rsid w:val="00721750"/>
    <w:rsid w:val="007269FB"/>
    <w:rsid w:val="00734097"/>
    <w:rsid w:val="007374B6"/>
    <w:rsid w:val="00760B90"/>
    <w:rsid w:val="00761095"/>
    <w:rsid w:val="00762B95"/>
    <w:rsid w:val="00764FD7"/>
    <w:rsid w:val="00790398"/>
    <w:rsid w:val="00793C75"/>
    <w:rsid w:val="007979B7"/>
    <w:rsid w:val="007A4DDC"/>
    <w:rsid w:val="007A7548"/>
    <w:rsid w:val="007B3004"/>
    <w:rsid w:val="007B74AC"/>
    <w:rsid w:val="007D7214"/>
    <w:rsid w:val="007E20F5"/>
    <w:rsid w:val="007E6ADE"/>
    <w:rsid w:val="007F3970"/>
    <w:rsid w:val="007F5158"/>
    <w:rsid w:val="00802A6F"/>
    <w:rsid w:val="00802FF9"/>
    <w:rsid w:val="00803071"/>
    <w:rsid w:val="00811F69"/>
    <w:rsid w:val="0082134E"/>
    <w:rsid w:val="00841600"/>
    <w:rsid w:val="00856C08"/>
    <w:rsid w:val="008666E0"/>
    <w:rsid w:val="00867296"/>
    <w:rsid w:val="00875E55"/>
    <w:rsid w:val="00881F6C"/>
    <w:rsid w:val="008845E6"/>
    <w:rsid w:val="0088543E"/>
    <w:rsid w:val="00890744"/>
    <w:rsid w:val="008B59A1"/>
    <w:rsid w:val="008B764E"/>
    <w:rsid w:val="008C7B46"/>
    <w:rsid w:val="008D117C"/>
    <w:rsid w:val="008E1052"/>
    <w:rsid w:val="008E1F4E"/>
    <w:rsid w:val="008E33D1"/>
    <w:rsid w:val="008E3512"/>
    <w:rsid w:val="008E4BF4"/>
    <w:rsid w:val="008F1E23"/>
    <w:rsid w:val="009049BD"/>
    <w:rsid w:val="00905976"/>
    <w:rsid w:val="00907AC0"/>
    <w:rsid w:val="009151E9"/>
    <w:rsid w:val="009164AF"/>
    <w:rsid w:val="00925DC3"/>
    <w:rsid w:val="00930A1E"/>
    <w:rsid w:val="00945601"/>
    <w:rsid w:val="009475CF"/>
    <w:rsid w:val="00950C0C"/>
    <w:rsid w:val="00960555"/>
    <w:rsid w:val="00961244"/>
    <w:rsid w:val="00963EE5"/>
    <w:rsid w:val="009646F8"/>
    <w:rsid w:val="00967484"/>
    <w:rsid w:val="009864AA"/>
    <w:rsid w:val="00986E20"/>
    <w:rsid w:val="0099233E"/>
    <w:rsid w:val="0099254A"/>
    <w:rsid w:val="009A4255"/>
    <w:rsid w:val="009B0793"/>
    <w:rsid w:val="009B3327"/>
    <w:rsid w:val="009C3ECC"/>
    <w:rsid w:val="009C5369"/>
    <w:rsid w:val="009C7F54"/>
    <w:rsid w:val="009D251F"/>
    <w:rsid w:val="009D7113"/>
    <w:rsid w:val="009E3ADA"/>
    <w:rsid w:val="009E4108"/>
    <w:rsid w:val="009F04EA"/>
    <w:rsid w:val="009F0F07"/>
    <w:rsid w:val="009F23A5"/>
    <w:rsid w:val="009F389D"/>
    <w:rsid w:val="00A006C9"/>
    <w:rsid w:val="00A02FA8"/>
    <w:rsid w:val="00A05142"/>
    <w:rsid w:val="00A05D1E"/>
    <w:rsid w:val="00A16914"/>
    <w:rsid w:val="00A20023"/>
    <w:rsid w:val="00A53838"/>
    <w:rsid w:val="00A54A6D"/>
    <w:rsid w:val="00A65316"/>
    <w:rsid w:val="00A65ECF"/>
    <w:rsid w:val="00A66068"/>
    <w:rsid w:val="00A67B76"/>
    <w:rsid w:val="00A67FBF"/>
    <w:rsid w:val="00A7387B"/>
    <w:rsid w:val="00A8598E"/>
    <w:rsid w:val="00A9386C"/>
    <w:rsid w:val="00AA30DF"/>
    <w:rsid w:val="00AA545D"/>
    <w:rsid w:val="00AB64D8"/>
    <w:rsid w:val="00AC016F"/>
    <w:rsid w:val="00AD3016"/>
    <w:rsid w:val="00AD7163"/>
    <w:rsid w:val="00AD7BFC"/>
    <w:rsid w:val="00AE1242"/>
    <w:rsid w:val="00AE4B1F"/>
    <w:rsid w:val="00AF13E9"/>
    <w:rsid w:val="00B00525"/>
    <w:rsid w:val="00B04A96"/>
    <w:rsid w:val="00B0790B"/>
    <w:rsid w:val="00B10500"/>
    <w:rsid w:val="00B24E25"/>
    <w:rsid w:val="00B2526E"/>
    <w:rsid w:val="00B34545"/>
    <w:rsid w:val="00B3596D"/>
    <w:rsid w:val="00B36FD4"/>
    <w:rsid w:val="00B37E12"/>
    <w:rsid w:val="00B45E39"/>
    <w:rsid w:val="00B5482C"/>
    <w:rsid w:val="00B54F83"/>
    <w:rsid w:val="00B748CF"/>
    <w:rsid w:val="00B84C5B"/>
    <w:rsid w:val="00B85B34"/>
    <w:rsid w:val="00B91ECF"/>
    <w:rsid w:val="00B9392D"/>
    <w:rsid w:val="00B94E34"/>
    <w:rsid w:val="00BB0297"/>
    <w:rsid w:val="00BD189B"/>
    <w:rsid w:val="00BD2ABB"/>
    <w:rsid w:val="00BD7969"/>
    <w:rsid w:val="00BE2F77"/>
    <w:rsid w:val="00BE6CCB"/>
    <w:rsid w:val="00BF0111"/>
    <w:rsid w:val="00BF07D9"/>
    <w:rsid w:val="00BF2249"/>
    <w:rsid w:val="00BF2E79"/>
    <w:rsid w:val="00BF6DEA"/>
    <w:rsid w:val="00C0415B"/>
    <w:rsid w:val="00C07474"/>
    <w:rsid w:val="00C12CCD"/>
    <w:rsid w:val="00C143A7"/>
    <w:rsid w:val="00C168B1"/>
    <w:rsid w:val="00C22223"/>
    <w:rsid w:val="00C25BEE"/>
    <w:rsid w:val="00C272A0"/>
    <w:rsid w:val="00C3747D"/>
    <w:rsid w:val="00C43587"/>
    <w:rsid w:val="00C46382"/>
    <w:rsid w:val="00C50324"/>
    <w:rsid w:val="00C5396D"/>
    <w:rsid w:val="00C5777A"/>
    <w:rsid w:val="00C81656"/>
    <w:rsid w:val="00C82FC0"/>
    <w:rsid w:val="00C84A2F"/>
    <w:rsid w:val="00CA4BDA"/>
    <w:rsid w:val="00CA5F52"/>
    <w:rsid w:val="00CB07F1"/>
    <w:rsid w:val="00CB3135"/>
    <w:rsid w:val="00CB6E76"/>
    <w:rsid w:val="00CC5609"/>
    <w:rsid w:val="00CD7A23"/>
    <w:rsid w:val="00CE7E0A"/>
    <w:rsid w:val="00D04EFA"/>
    <w:rsid w:val="00D16BED"/>
    <w:rsid w:val="00D27D22"/>
    <w:rsid w:val="00D32B57"/>
    <w:rsid w:val="00D33A9A"/>
    <w:rsid w:val="00D4087F"/>
    <w:rsid w:val="00D4241C"/>
    <w:rsid w:val="00D457DB"/>
    <w:rsid w:val="00D50530"/>
    <w:rsid w:val="00D50600"/>
    <w:rsid w:val="00D52E18"/>
    <w:rsid w:val="00D5441B"/>
    <w:rsid w:val="00D628F3"/>
    <w:rsid w:val="00D6393E"/>
    <w:rsid w:val="00D65EA4"/>
    <w:rsid w:val="00D71230"/>
    <w:rsid w:val="00D754EC"/>
    <w:rsid w:val="00D8002E"/>
    <w:rsid w:val="00D8005F"/>
    <w:rsid w:val="00D8467D"/>
    <w:rsid w:val="00DA4FFE"/>
    <w:rsid w:val="00DB00E3"/>
    <w:rsid w:val="00DC07EE"/>
    <w:rsid w:val="00DD29B7"/>
    <w:rsid w:val="00DF5AEB"/>
    <w:rsid w:val="00E004F7"/>
    <w:rsid w:val="00E04813"/>
    <w:rsid w:val="00E07446"/>
    <w:rsid w:val="00E0791A"/>
    <w:rsid w:val="00E10B48"/>
    <w:rsid w:val="00E12B36"/>
    <w:rsid w:val="00E228A0"/>
    <w:rsid w:val="00E32588"/>
    <w:rsid w:val="00E43D72"/>
    <w:rsid w:val="00E501F5"/>
    <w:rsid w:val="00E5056D"/>
    <w:rsid w:val="00E51187"/>
    <w:rsid w:val="00E55677"/>
    <w:rsid w:val="00E6376C"/>
    <w:rsid w:val="00E64834"/>
    <w:rsid w:val="00E673E9"/>
    <w:rsid w:val="00E73D71"/>
    <w:rsid w:val="00E745C2"/>
    <w:rsid w:val="00E91045"/>
    <w:rsid w:val="00EA1927"/>
    <w:rsid w:val="00EA2A9C"/>
    <w:rsid w:val="00EA3525"/>
    <w:rsid w:val="00EA39B2"/>
    <w:rsid w:val="00EA4DB7"/>
    <w:rsid w:val="00EA7C63"/>
    <w:rsid w:val="00EC0415"/>
    <w:rsid w:val="00EE6845"/>
    <w:rsid w:val="00EF1903"/>
    <w:rsid w:val="00F00B44"/>
    <w:rsid w:val="00F013E1"/>
    <w:rsid w:val="00F35199"/>
    <w:rsid w:val="00F376D8"/>
    <w:rsid w:val="00F37832"/>
    <w:rsid w:val="00F40126"/>
    <w:rsid w:val="00F46F03"/>
    <w:rsid w:val="00F61398"/>
    <w:rsid w:val="00F9089A"/>
    <w:rsid w:val="00FA623A"/>
    <w:rsid w:val="00FA6624"/>
    <w:rsid w:val="00FC685C"/>
    <w:rsid w:val="00FC7D2F"/>
    <w:rsid w:val="00FD3752"/>
    <w:rsid w:val="00FE32AD"/>
    <w:rsid w:val="00FF10A6"/>
    <w:rsid w:val="00FF4036"/>
    <w:rsid w:val="00FF67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DF87A-2F1B-42E9-90DA-3A34F2F3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64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82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46F8"/>
    <w:rPr>
      <w:rFonts w:asciiTheme="majorHAnsi" w:eastAsiaTheme="majorEastAsia" w:hAnsiTheme="majorHAnsi" w:cstheme="majorBidi"/>
      <w:b/>
      <w:bCs/>
      <w:color w:val="365F91" w:themeColor="accent1" w:themeShade="BF"/>
      <w:sz w:val="28"/>
      <w:szCs w:val="28"/>
    </w:rPr>
  </w:style>
  <w:style w:type="paragraph" w:styleId="Paragraphedeliste">
    <w:name w:val="List Paragraph"/>
    <w:aliases w:val="References,MCHIP_list paragraph,List Paragraph1,Recommendation,Bullet List,FooterText,Bioforce zListePuce,Bullets,Numbered List Paragraph,ReferencesCxSpLast,List Paragraph (numbered (a)),List Paragraph nowy,Liste 1,List_Paragraph,lp1"/>
    <w:basedOn w:val="Normal"/>
    <w:link w:val="ParagraphedelisteCar"/>
    <w:qFormat/>
    <w:rsid w:val="009646F8"/>
    <w:pPr>
      <w:ind w:left="720"/>
      <w:contextualSpacing/>
    </w:pPr>
  </w:style>
  <w:style w:type="character" w:customStyle="1" w:styleId="Titre2Car">
    <w:name w:val="Titre 2 Car"/>
    <w:basedOn w:val="Policepardfaut"/>
    <w:link w:val="Titre2"/>
    <w:uiPriority w:val="9"/>
    <w:rsid w:val="005824AD"/>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1666DC"/>
    <w:pPr>
      <w:tabs>
        <w:tab w:val="center" w:pos="4536"/>
        <w:tab w:val="right" w:pos="9072"/>
      </w:tabs>
      <w:spacing w:after="0" w:line="240" w:lineRule="auto"/>
    </w:pPr>
  </w:style>
  <w:style w:type="character" w:customStyle="1" w:styleId="En-tteCar">
    <w:name w:val="En-tête Car"/>
    <w:basedOn w:val="Policepardfaut"/>
    <w:link w:val="En-tte"/>
    <w:uiPriority w:val="99"/>
    <w:rsid w:val="001666DC"/>
  </w:style>
  <w:style w:type="paragraph" w:styleId="Pieddepage">
    <w:name w:val="footer"/>
    <w:basedOn w:val="Normal"/>
    <w:link w:val="PieddepageCar"/>
    <w:uiPriority w:val="99"/>
    <w:unhideWhenUsed/>
    <w:rsid w:val="00166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6DC"/>
  </w:style>
  <w:style w:type="paragraph" w:styleId="Notedebasdepage">
    <w:name w:val="footnote text"/>
    <w:aliases w:val="Footnote Text Char1 Char,Footnote Text Char Char Char1,Footnote Text Char1 Char Char Char1,Footnote Text Char1 Char1 Char,Footnote Text Char Char Char Char,Footnote Text Char1 Char Char Char Char,FOOTNOTES,fn,ADB,f,Footnote Text Char"/>
    <w:basedOn w:val="Normal"/>
    <w:link w:val="NotedebasdepageCar"/>
    <w:uiPriority w:val="99"/>
    <w:unhideWhenUsed/>
    <w:qFormat/>
    <w:rsid w:val="00963EE5"/>
    <w:pPr>
      <w:spacing w:after="0" w:line="240" w:lineRule="auto"/>
      <w:jc w:val="both"/>
    </w:pPr>
    <w:rPr>
      <w:rFonts w:eastAsia="Times New Roman"/>
      <w:sz w:val="20"/>
      <w:szCs w:val="20"/>
    </w:rPr>
  </w:style>
  <w:style w:type="character" w:customStyle="1" w:styleId="NotedebasdepageCar">
    <w:name w:val="Note de bas de page Car"/>
    <w:aliases w:val="Footnote Text Char1 Char Car,Footnote Text Char Char Char1 Car,Footnote Text Char1 Char Char Char1 Car,Footnote Text Char1 Char1 Char Car,Footnote Text Char Char Char Char Car,Footnote Text Char1 Char Char Char Char Car,fn Car"/>
    <w:basedOn w:val="Policepardfaut"/>
    <w:link w:val="Notedebasdepage"/>
    <w:uiPriority w:val="99"/>
    <w:rsid w:val="00963EE5"/>
    <w:rPr>
      <w:rFonts w:eastAsia="Times New Roman"/>
      <w:sz w:val="20"/>
      <w:szCs w:val="20"/>
    </w:rPr>
  </w:style>
  <w:style w:type="character" w:styleId="Appelnotedebasdep">
    <w:name w:val="footnote reference"/>
    <w:aliases w:val="note bp, Car Car Char Car Char Car Car Char Car Char Char, Car Car Car Car Car Car Car Car Char Car Car Char Car Car Car Char Car Char Char Char,ftref,Car Car Char Car Char Car Car Char Car Char Char,SUPERS,16 Point"/>
    <w:basedOn w:val="Policepardfaut"/>
    <w:link w:val="BVIfnrCarCar1Car"/>
    <w:uiPriority w:val="99"/>
    <w:unhideWhenUsed/>
    <w:rsid w:val="00963EE5"/>
    <w:rPr>
      <w:rFonts w:cs="Times New Roman"/>
      <w:vertAlign w:val="superscript"/>
    </w:rPr>
  </w:style>
  <w:style w:type="character" w:customStyle="1" w:styleId="A3">
    <w:name w:val="A3"/>
    <w:uiPriority w:val="99"/>
    <w:rsid w:val="001E3A3C"/>
    <w:rPr>
      <w:rFonts w:cs="Univers 45 Light"/>
      <w:color w:val="000000"/>
    </w:rPr>
  </w:style>
  <w:style w:type="character" w:customStyle="1" w:styleId="ParagraphedelisteCar">
    <w:name w:val="Paragraphe de liste Car"/>
    <w:aliases w:val="References Car,MCHIP_list paragraph Car,List Paragraph1 Car,Recommendation Car,Bullet List Car,FooterText Car,Bioforce zListePuce Car,Bullets Car,Numbered List Paragraph Car,ReferencesCxSpLast Car,List Paragraph nowy Car,lp1 Car"/>
    <w:link w:val="Paragraphedeliste"/>
    <w:rsid w:val="00E32588"/>
  </w:style>
  <w:style w:type="character" w:customStyle="1" w:styleId="hps">
    <w:name w:val="hps"/>
    <w:basedOn w:val="Policepardfaut"/>
    <w:rsid w:val="00E32588"/>
    <w:rPr>
      <w:rFonts w:cs="Times New Roman"/>
    </w:rPr>
  </w:style>
  <w:style w:type="character" w:styleId="Marquedecommentaire">
    <w:name w:val="annotation reference"/>
    <w:basedOn w:val="Policepardfaut"/>
    <w:uiPriority w:val="99"/>
    <w:semiHidden/>
    <w:unhideWhenUsed/>
    <w:rsid w:val="00D32B57"/>
    <w:rPr>
      <w:sz w:val="16"/>
      <w:szCs w:val="16"/>
    </w:rPr>
  </w:style>
  <w:style w:type="paragraph" w:styleId="Commentaire">
    <w:name w:val="annotation text"/>
    <w:basedOn w:val="Normal"/>
    <w:link w:val="CommentaireCar"/>
    <w:uiPriority w:val="99"/>
    <w:semiHidden/>
    <w:unhideWhenUsed/>
    <w:rsid w:val="00D32B57"/>
    <w:pPr>
      <w:spacing w:line="240" w:lineRule="auto"/>
    </w:pPr>
    <w:rPr>
      <w:sz w:val="20"/>
      <w:szCs w:val="20"/>
    </w:rPr>
  </w:style>
  <w:style w:type="character" w:customStyle="1" w:styleId="CommentaireCar">
    <w:name w:val="Commentaire Car"/>
    <w:basedOn w:val="Policepardfaut"/>
    <w:link w:val="Commentaire"/>
    <w:uiPriority w:val="99"/>
    <w:semiHidden/>
    <w:rsid w:val="00D32B57"/>
    <w:rPr>
      <w:sz w:val="20"/>
      <w:szCs w:val="20"/>
    </w:rPr>
  </w:style>
  <w:style w:type="paragraph" w:styleId="Objetducommentaire">
    <w:name w:val="annotation subject"/>
    <w:basedOn w:val="Commentaire"/>
    <w:next w:val="Commentaire"/>
    <w:link w:val="ObjetducommentaireCar"/>
    <w:uiPriority w:val="99"/>
    <w:semiHidden/>
    <w:unhideWhenUsed/>
    <w:rsid w:val="00D32B57"/>
    <w:rPr>
      <w:b/>
      <w:bCs/>
    </w:rPr>
  </w:style>
  <w:style w:type="character" w:customStyle="1" w:styleId="ObjetducommentaireCar">
    <w:name w:val="Objet du commentaire Car"/>
    <w:basedOn w:val="CommentaireCar"/>
    <w:link w:val="Objetducommentaire"/>
    <w:uiPriority w:val="99"/>
    <w:semiHidden/>
    <w:rsid w:val="00D32B57"/>
    <w:rPr>
      <w:b/>
      <w:bCs/>
      <w:sz w:val="20"/>
      <w:szCs w:val="20"/>
    </w:rPr>
  </w:style>
  <w:style w:type="paragraph" w:styleId="Textedebulles">
    <w:name w:val="Balloon Text"/>
    <w:basedOn w:val="Normal"/>
    <w:link w:val="TextedebullesCar"/>
    <w:uiPriority w:val="99"/>
    <w:semiHidden/>
    <w:unhideWhenUsed/>
    <w:rsid w:val="00D32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B57"/>
    <w:rPr>
      <w:rFonts w:ascii="Tahoma" w:hAnsi="Tahoma" w:cs="Tahoma"/>
      <w:sz w:val="16"/>
      <w:szCs w:val="16"/>
    </w:rPr>
  </w:style>
  <w:style w:type="paragraph" w:customStyle="1" w:styleId="Default">
    <w:name w:val="Default"/>
    <w:rsid w:val="00E43D72"/>
    <w:pPr>
      <w:autoSpaceDE w:val="0"/>
      <w:autoSpaceDN w:val="0"/>
      <w:adjustRightInd w:val="0"/>
      <w:spacing w:after="0" w:line="240" w:lineRule="auto"/>
    </w:pPr>
    <w:rPr>
      <w:rFonts w:ascii="Calibri" w:hAnsi="Calibri" w:cs="Calibri"/>
      <w:color w:val="000000"/>
      <w:sz w:val="24"/>
      <w:szCs w:val="24"/>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Appelnotedebasdep"/>
    <w:uiPriority w:val="99"/>
    <w:rsid w:val="006A0EC1"/>
    <w:pPr>
      <w:spacing w:after="160" w:line="240" w:lineRule="exact"/>
      <w:ind w:left="2160"/>
      <w:jc w:val="both"/>
    </w:pPr>
    <w:rPr>
      <w:rFonts w:cs="Times New Roman"/>
      <w:vertAlign w:val="superscript"/>
    </w:rPr>
  </w:style>
  <w:style w:type="paragraph" w:styleId="Corpsdetexte">
    <w:name w:val="Body Text"/>
    <w:basedOn w:val="Normal"/>
    <w:link w:val="CorpsdetexteCar"/>
    <w:uiPriority w:val="1"/>
    <w:qFormat/>
    <w:rsid w:val="00642B17"/>
    <w:pPr>
      <w:widowControl w:val="0"/>
      <w:autoSpaceDE w:val="0"/>
      <w:autoSpaceDN w:val="0"/>
      <w:spacing w:after="0" w:line="240" w:lineRule="auto"/>
    </w:pPr>
    <w:rPr>
      <w:rFonts w:ascii="Trebuchet MS" w:eastAsia="Trebuchet MS" w:hAnsi="Trebuchet MS" w:cs="Trebuchet MS"/>
      <w:sz w:val="23"/>
      <w:szCs w:val="23"/>
      <w:lang w:val="en-US"/>
    </w:rPr>
  </w:style>
  <w:style w:type="character" w:customStyle="1" w:styleId="CorpsdetexteCar">
    <w:name w:val="Corps de texte Car"/>
    <w:basedOn w:val="Policepardfaut"/>
    <w:link w:val="Corpsdetexte"/>
    <w:uiPriority w:val="1"/>
    <w:rsid w:val="00642B17"/>
    <w:rPr>
      <w:rFonts w:ascii="Trebuchet MS" w:eastAsia="Trebuchet MS" w:hAnsi="Trebuchet MS" w:cs="Trebuchet MS"/>
      <w:sz w:val="23"/>
      <w:szCs w:val="23"/>
      <w:lang w:val="en-US"/>
    </w:rPr>
  </w:style>
  <w:style w:type="paragraph" w:styleId="NormalWeb">
    <w:name w:val="Normal (Web)"/>
    <w:basedOn w:val="Normal"/>
    <w:uiPriority w:val="99"/>
    <w:semiHidden/>
    <w:unhideWhenUsed/>
    <w:rsid w:val="009D71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3265">
      <w:bodyDiv w:val="1"/>
      <w:marLeft w:val="0"/>
      <w:marRight w:val="0"/>
      <w:marTop w:val="0"/>
      <w:marBottom w:val="0"/>
      <w:divBdr>
        <w:top w:val="none" w:sz="0" w:space="0" w:color="auto"/>
        <w:left w:val="none" w:sz="0" w:space="0" w:color="auto"/>
        <w:bottom w:val="none" w:sz="0" w:space="0" w:color="auto"/>
        <w:right w:val="none" w:sz="0" w:space="0" w:color="auto"/>
      </w:divBdr>
      <w:divsChild>
        <w:div w:id="253516410">
          <w:marLeft w:val="547"/>
          <w:marRight w:val="0"/>
          <w:marTop w:val="144"/>
          <w:marBottom w:val="0"/>
          <w:divBdr>
            <w:top w:val="none" w:sz="0" w:space="0" w:color="auto"/>
            <w:left w:val="none" w:sz="0" w:space="0" w:color="auto"/>
            <w:bottom w:val="none" w:sz="0" w:space="0" w:color="auto"/>
            <w:right w:val="none" w:sz="0" w:space="0" w:color="auto"/>
          </w:divBdr>
        </w:div>
        <w:div w:id="703097847">
          <w:marLeft w:val="547"/>
          <w:marRight w:val="0"/>
          <w:marTop w:val="144"/>
          <w:marBottom w:val="360"/>
          <w:divBdr>
            <w:top w:val="none" w:sz="0" w:space="0" w:color="auto"/>
            <w:left w:val="none" w:sz="0" w:space="0" w:color="auto"/>
            <w:bottom w:val="none" w:sz="0" w:space="0" w:color="auto"/>
            <w:right w:val="none" w:sz="0" w:space="0" w:color="auto"/>
          </w:divBdr>
        </w:div>
        <w:div w:id="1469546481">
          <w:marLeft w:val="547"/>
          <w:marRight w:val="0"/>
          <w:marTop w:val="144"/>
          <w:marBottom w:val="360"/>
          <w:divBdr>
            <w:top w:val="none" w:sz="0" w:space="0" w:color="auto"/>
            <w:left w:val="none" w:sz="0" w:space="0" w:color="auto"/>
            <w:bottom w:val="none" w:sz="0" w:space="0" w:color="auto"/>
            <w:right w:val="none" w:sz="0" w:space="0" w:color="auto"/>
          </w:divBdr>
        </w:div>
      </w:divsChild>
    </w:div>
    <w:div w:id="346375022">
      <w:bodyDiv w:val="1"/>
      <w:marLeft w:val="0"/>
      <w:marRight w:val="0"/>
      <w:marTop w:val="0"/>
      <w:marBottom w:val="0"/>
      <w:divBdr>
        <w:top w:val="none" w:sz="0" w:space="0" w:color="auto"/>
        <w:left w:val="none" w:sz="0" w:space="0" w:color="auto"/>
        <w:bottom w:val="none" w:sz="0" w:space="0" w:color="auto"/>
        <w:right w:val="none" w:sz="0" w:space="0" w:color="auto"/>
      </w:divBdr>
    </w:div>
    <w:div w:id="392314197">
      <w:bodyDiv w:val="1"/>
      <w:marLeft w:val="0"/>
      <w:marRight w:val="0"/>
      <w:marTop w:val="0"/>
      <w:marBottom w:val="0"/>
      <w:divBdr>
        <w:top w:val="none" w:sz="0" w:space="0" w:color="auto"/>
        <w:left w:val="none" w:sz="0" w:space="0" w:color="auto"/>
        <w:bottom w:val="none" w:sz="0" w:space="0" w:color="auto"/>
        <w:right w:val="none" w:sz="0" w:space="0" w:color="auto"/>
      </w:divBdr>
    </w:div>
    <w:div w:id="449477324">
      <w:bodyDiv w:val="1"/>
      <w:marLeft w:val="0"/>
      <w:marRight w:val="0"/>
      <w:marTop w:val="0"/>
      <w:marBottom w:val="0"/>
      <w:divBdr>
        <w:top w:val="none" w:sz="0" w:space="0" w:color="auto"/>
        <w:left w:val="none" w:sz="0" w:space="0" w:color="auto"/>
        <w:bottom w:val="none" w:sz="0" w:space="0" w:color="auto"/>
        <w:right w:val="none" w:sz="0" w:space="0" w:color="auto"/>
      </w:divBdr>
      <w:divsChild>
        <w:div w:id="36439478">
          <w:marLeft w:val="1699"/>
          <w:marRight w:val="0"/>
          <w:marTop w:val="134"/>
          <w:marBottom w:val="0"/>
          <w:divBdr>
            <w:top w:val="none" w:sz="0" w:space="0" w:color="auto"/>
            <w:left w:val="none" w:sz="0" w:space="0" w:color="auto"/>
            <w:bottom w:val="none" w:sz="0" w:space="0" w:color="auto"/>
            <w:right w:val="none" w:sz="0" w:space="0" w:color="auto"/>
          </w:divBdr>
        </w:div>
        <w:div w:id="189607445">
          <w:marLeft w:val="706"/>
          <w:marRight w:val="0"/>
          <w:marTop w:val="154"/>
          <w:marBottom w:val="0"/>
          <w:divBdr>
            <w:top w:val="none" w:sz="0" w:space="0" w:color="auto"/>
            <w:left w:val="none" w:sz="0" w:space="0" w:color="auto"/>
            <w:bottom w:val="none" w:sz="0" w:space="0" w:color="auto"/>
            <w:right w:val="none" w:sz="0" w:space="0" w:color="auto"/>
          </w:divBdr>
        </w:div>
        <w:div w:id="525487589">
          <w:marLeft w:val="706"/>
          <w:marRight w:val="0"/>
          <w:marTop w:val="154"/>
          <w:marBottom w:val="0"/>
          <w:divBdr>
            <w:top w:val="none" w:sz="0" w:space="0" w:color="auto"/>
            <w:left w:val="none" w:sz="0" w:space="0" w:color="auto"/>
            <w:bottom w:val="none" w:sz="0" w:space="0" w:color="auto"/>
            <w:right w:val="none" w:sz="0" w:space="0" w:color="auto"/>
          </w:divBdr>
        </w:div>
        <w:div w:id="972566382">
          <w:marLeft w:val="1699"/>
          <w:marRight w:val="0"/>
          <w:marTop w:val="134"/>
          <w:marBottom w:val="0"/>
          <w:divBdr>
            <w:top w:val="none" w:sz="0" w:space="0" w:color="auto"/>
            <w:left w:val="none" w:sz="0" w:space="0" w:color="auto"/>
            <w:bottom w:val="none" w:sz="0" w:space="0" w:color="auto"/>
            <w:right w:val="none" w:sz="0" w:space="0" w:color="auto"/>
          </w:divBdr>
        </w:div>
        <w:div w:id="1106583478">
          <w:marLeft w:val="1699"/>
          <w:marRight w:val="0"/>
          <w:marTop w:val="134"/>
          <w:marBottom w:val="0"/>
          <w:divBdr>
            <w:top w:val="none" w:sz="0" w:space="0" w:color="auto"/>
            <w:left w:val="none" w:sz="0" w:space="0" w:color="auto"/>
            <w:bottom w:val="none" w:sz="0" w:space="0" w:color="auto"/>
            <w:right w:val="none" w:sz="0" w:space="0" w:color="auto"/>
          </w:divBdr>
        </w:div>
      </w:divsChild>
    </w:div>
    <w:div w:id="483475438">
      <w:bodyDiv w:val="1"/>
      <w:marLeft w:val="0"/>
      <w:marRight w:val="0"/>
      <w:marTop w:val="0"/>
      <w:marBottom w:val="0"/>
      <w:divBdr>
        <w:top w:val="none" w:sz="0" w:space="0" w:color="auto"/>
        <w:left w:val="none" w:sz="0" w:space="0" w:color="auto"/>
        <w:bottom w:val="none" w:sz="0" w:space="0" w:color="auto"/>
        <w:right w:val="none" w:sz="0" w:space="0" w:color="auto"/>
      </w:divBdr>
      <w:divsChild>
        <w:div w:id="478806376">
          <w:marLeft w:val="547"/>
          <w:marRight w:val="0"/>
          <w:marTop w:val="154"/>
          <w:marBottom w:val="120"/>
          <w:divBdr>
            <w:top w:val="none" w:sz="0" w:space="0" w:color="auto"/>
            <w:left w:val="none" w:sz="0" w:space="0" w:color="auto"/>
            <w:bottom w:val="none" w:sz="0" w:space="0" w:color="auto"/>
            <w:right w:val="none" w:sz="0" w:space="0" w:color="auto"/>
          </w:divBdr>
        </w:div>
        <w:div w:id="521364664">
          <w:marLeft w:val="1166"/>
          <w:marRight w:val="0"/>
          <w:marTop w:val="154"/>
          <w:marBottom w:val="240"/>
          <w:divBdr>
            <w:top w:val="none" w:sz="0" w:space="0" w:color="auto"/>
            <w:left w:val="none" w:sz="0" w:space="0" w:color="auto"/>
            <w:bottom w:val="none" w:sz="0" w:space="0" w:color="auto"/>
            <w:right w:val="none" w:sz="0" w:space="0" w:color="auto"/>
          </w:divBdr>
        </w:div>
        <w:div w:id="853424407">
          <w:marLeft w:val="1166"/>
          <w:marRight w:val="0"/>
          <w:marTop w:val="154"/>
          <w:marBottom w:val="360"/>
          <w:divBdr>
            <w:top w:val="none" w:sz="0" w:space="0" w:color="auto"/>
            <w:left w:val="none" w:sz="0" w:space="0" w:color="auto"/>
            <w:bottom w:val="none" w:sz="0" w:space="0" w:color="auto"/>
            <w:right w:val="none" w:sz="0" w:space="0" w:color="auto"/>
          </w:divBdr>
        </w:div>
      </w:divsChild>
    </w:div>
    <w:div w:id="554897532">
      <w:bodyDiv w:val="1"/>
      <w:marLeft w:val="0"/>
      <w:marRight w:val="0"/>
      <w:marTop w:val="0"/>
      <w:marBottom w:val="0"/>
      <w:divBdr>
        <w:top w:val="none" w:sz="0" w:space="0" w:color="auto"/>
        <w:left w:val="none" w:sz="0" w:space="0" w:color="auto"/>
        <w:bottom w:val="none" w:sz="0" w:space="0" w:color="auto"/>
        <w:right w:val="none" w:sz="0" w:space="0" w:color="auto"/>
      </w:divBdr>
      <w:divsChild>
        <w:div w:id="64765577">
          <w:marLeft w:val="562"/>
          <w:marRight w:val="0"/>
          <w:marTop w:val="154"/>
          <w:marBottom w:val="0"/>
          <w:divBdr>
            <w:top w:val="none" w:sz="0" w:space="0" w:color="auto"/>
            <w:left w:val="none" w:sz="0" w:space="0" w:color="auto"/>
            <w:bottom w:val="none" w:sz="0" w:space="0" w:color="auto"/>
            <w:right w:val="none" w:sz="0" w:space="0" w:color="auto"/>
          </w:divBdr>
        </w:div>
        <w:div w:id="2133132690">
          <w:marLeft w:val="562"/>
          <w:marRight w:val="0"/>
          <w:marTop w:val="154"/>
          <w:marBottom w:val="360"/>
          <w:divBdr>
            <w:top w:val="none" w:sz="0" w:space="0" w:color="auto"/>
            <w:left w:val="none" w:sz="0" w:space="0" w:color="auto"/>
            <w:bottom w:val="none" w:sz="0" w:space="0" w:color="auto"/>
            <w:right w:val="none" w:sz="0" w:space="0" w:color="auto"/>
          </w:divBdr>
        </w:div>
      </w:divsChild>
    </w:div>
    <w:div w:id="679625599">
      <w:bodyDiv w:val="1"/>
      <w:marLeft w:val="0"/>
      <w:marRight w:val="0"/>
      <w:marTop w:val="0"/>
      <w:marBottom w:val="0"/>
      <w:divBdr>
        <w:top w:val="none" w:sz="0" w:space="0" w:color="auto"/>
        <w:left w:val="none" w:sz="0" w:space="0" w:color="auto"/>
        <w:bottom w:val="none" w:sz="0" w:space="0" w:color="auto"/>
        <w:right w:val="none" w:sz="0" w:space="0" w:color="auto"/>
      </w:divBdr>
      <w:divsChild>
        <w:div w:id="802846020">
          <w:marLeft w:val="1166"/>
          <w:marRight w:val="0"/>
          <w:marTop w:val="154"/>
          <w:marBottom w:val="360"/>
          <w:divBdr>
            <w:top w:val="none" w:sz="0" w:space="0" w:color="auto"/>
            <w:left w:val="none" w:sz="0" w:space="0" w:color="auto"/>
            <w:bottom w:val="none" w:sz="0" w:space="0" w:color="auto"/>
            <w:right w:val="none" w:sz="0" w:space="0" w:color="auto"/>
          </w:divBdr>
        </w:div>
        <w:div w:id="842473328">
          <w:marLeft w:val="1166"/>
          <w:marRight w:val="0"/>
          <w:marTop w:val="154"/>
          <w:marBottom w:val="0"/>
          <w:divBdr>
            <w:top w:val="none" w:sz="0" w:space="0" w:color="auto"/>
            <w:left w:val="none" w:sz="0" w:space="0" w:color="auto"/>
            <w:bottom w:val="none" w:sz="0" w:space="0" w:color="auto"/>
            <w:right w:val="none" w:sz="0" w:space="0" w:color="auto"/>
          </w:divBdr>
        </w:div>
        <w:div w:id="1586259439">
          <w:marLeft w:val="547"/>
          <w:marRight w:val="0"/>
          <w:marTop w:val="154"/>
          <w:marBottom w:val="120"/>
          <w:divBdr>
            <w:top w:val="none" w:sz="0" w:space="0" w:color="auto"/>
            <w:left w:val="none" w:sz="0" w:space="0" w:color="auto"/>
            <w:bottom w:val="none" w:sz="0" w:space="0" w:color="auto"/>
            <w:right w:val="none" w:sz="0" w:space="0" w:color="auto"/>
          </w:divBdr>
        </w:div>
      </w:divsChild>
    </w:div>
    <w:div w:id="755828937">
      <w:bodyDiv w:val="1"/>
      <w:marLeft w:val="0"/>
      <w:marRight w:val="0"/>
      <w:marTop w:val="0"/>
      <w:marBottom w:val="0"/>
      <w:divBdr>
        <w:top w:val="none" w:sz="0" w:space="0" w:color="auto"/>
        <w:left w:val="none" w:sz="0" w:space="0" w:color="auto"/>
        <w:bottom w:val="none" w:sz="0" w:space="0" w:color="auto"/>
        <w:right w:val="none" w:sz="0" w:space="0" w:color="auto"/>
      </w:divBdr>
      <w:divsChild>
        <w:div w:id="1377007032">
          <w:marLeft w:val="2117"/>
          <w:marRight w:val="0"/>
          <w:marTop w:val="134"/>
          <w:marBottom w:val="0"/>
          <w:divBdr>
            <w:top w:val="none" w:sz="0" w:space="0" w:color="auto"/>
            <w:left w:val="none" w:sz="0" w:space="0" w:color="auto"/>
            <w:bottom w:val="none" w:sz="0" w:space="0" w:color="auto"/>
            <w:right w:val="none" w:sz="0" w:space="0" w:color="auto"/>
          </w:divBdr>
        </w:div>
        <w:div w:id="1391999845">
          <w:marLeft w:val="691"/>
          <w:marRight w:val="0"/>
          <w:marTop w:val="154"/>
          <w:marBottom w:val="120"/>
          <w:divBdr>
            <w:top w:val="none" w:sz="0" w:space="0" w:color="auto"/>
            <w:left w:val="none" w:sz="0" w:space="0" w:color="auto"/>
            <w:bottom w:val="none" w:sz="0" w:space="0" w:color="auto"/>
            <w:right w:val="none" w:sz="0" w:space="0" w:color="auto"/>
          </w:divBdr>
        </w:div>
        <w:div w:id="1959994081">
          <w:marLeft w:val="2117"/>
          <w:marRight w:val="0"/>
          <w:marTop w:val="134"/>
          <w:marBottom w:val="240"/>
          <w:divBdr>
            <w:top w:val="none" w:sz="0" w:space="0" w:color="auto"/>
            <w:left w:val="none" w:sz="0" w:space="0" w:color="auto"/>
            <w:bottom w:val="none" w:sz="0" w:space="0" w:color="auto"/>
            <w:right w:val="none" w:sz="0" w:space="0" w:color="auto"/>
          </w:divBdr>
        </w:div>
      </w:divsChild>
    </w:div>
    <w:div w:id="820122433">
      <w:bodyDiv w:val="1"/>
      <w:marLeft w:val="0"/>
      <w:marRight w:val="0"/>
      <w:marTop w:val="0"/>
      <w:marBottom w:val="0"/>
      <w:divBdr>
        <w:top w:val="none" w:sz="0" w:space="0" w:color="auto"/>
        <w:left w:val="none" w:sz="0" w:space="0" w:color="auto"/>
        <w:bottom w:val="none" w:sz="0" w:space="0" w:color="auto"/>
        <w:right w:val="none" w:sz="0" w:space="0" w:color="auto"/>
      </w:divBdr>
    </w:div>
    <w:div w:id="857964205">
      <w:bodyDiv w:val="1"/>
      <w:marLeft w:val="0"/>
      <w:marRight w:val="0"/>
      <w:marTop w:val="0"/>
      <w:marBottom w:val="0"/>
      <w:divBdr>
        <w:top w:val="none" w:sz="0" w:space="0" w:color="auto"/>
        <w:left w:val="none" w:sz="0" w:space="0" w:color="auto"/>
        <w:bottom w:val="none" w:sz="0" w:space="0" w:color="auto"/>
        <w:right w:val="none" w:sz="0" w:space="0" w:color="auto"/>
      </w:divBdr>
    </w:div>
    <w:div w:id="987251550">
      <w:bodyDiv w:val="1"/>
      <w:marLeft w:val="0"/>
      <w:marRight w:val="0"/>
      <w:marTop w:val="0"/>
      <w:marBottom w:val="0"/>
      <w:divBdr>
        <w:top w:val="none" w:sz="0" w:space="0" w:color="auto"/>
        <w:left w:val="none" w:sz="0" w:space="0" w:color="auto"/>
        <w:bottom w:val="none" w:sz="0" w:space="0" w:color="auto"/>
        <w:right w:val="none" w:sz="0" w:space="0" w:color="auto"/>
      </w:divBdr>
    </w:div>
    <w:div w:id="995230070">
      <w:bodyDiv w:val="1"/>
      <w:marLeft w:val="0"/>
      <w:marRight w:val="0"/>
      <w:marTop w:val="0"/>
      <w:marBottom w:val="0"/>
      <w:divBdr>
        <w:top w:val="none" w:sz="0" w:space="0" w:color="auto"/>
        <w:left w:val="none" w:sz="0" w:space="0" w:color="auto"/>
        <w:bottom w:val="none" w:sz="0" w:space="0" w:color="auto"/>
        <w:right w:val="none" w:sz="0" w:space="0" w:color="auto"/>
      </w:divBdr>
      <w:divsChild>
        <w:div w:id="1075785069">
          <w:marLeft w:val="1843"/>
          <w:marRight w:val="0"/>
          <w:marTop w:val="134"/>
          <w:marBottom w:val="240"/>
          <w:divBdr>
            <w:top w:val="none" w:sz="0" w:space="0" w:color="auto"/>
            <w:left w:val="none" w:sz="0" w:space="0" w:color="auto"/>
            <w:bottom w:val="none" w:sz="0" w:space="0" w:color="auto"/>
            <w:right w:val="none" w:sz="0" w:space="0" w:color="auto"/>
          </w:divBdr>
        </w:div>
        <w:div w:id="1993101209">
          <w:marLeft w:val="1843"/>
          <w:marRight w:val="0"/>
          <w:marTop w:val="134"/>
          <w:marBottom w:val="0"/>
          <w:divBdr>
            <w:top w:val="none" w:sz="0" w:space="0" w:color="auto"/>
            <w:left w:val="none" w:sz="0" w:space="0" w:color="auto"/>
            <w:bottom w:val="none" w:sz="0" w:space="0" w:color="auto"/>
            <w:right w:val="none" w:sz="0" w:space="0" w:color="auto"/>
          </w:divBdr>
        </w:div>
      </w:divsChild>
    </w:div>
    <w:div w:id="1128163530">
      <w:bodyDiv w:val="1"/>
      <w:marLeft w:val="0"/>
      <w:marRight w:val="0"/>
      <w:marTop w:val="0"/>
      <w:marBottom w:val="0"/>
      <w:divBdr>
        <w:top w:val="none" w:sz="0" w:space="0" w:color="auto"/>
        <w:left w:val="none" w:sz="0" w:space="0" w:color="auto"/>
        <w:bottom w:val="none" w:sz="0" w:space="0" w:color="auto"/>
        <w:right w:val="none" w:sz="0" w:space="0" w:color="auto"/>
      </w:divBdr>
    </w:div>
    <w:div w:id="1206680152">
      <w:bodyDiv w:val="1"/>
      <w:marLeft w:val="0"/>
      <w:marRight w:val="0"/>
      <w:marTop w:val="0"/>
      <w:marBottom w:val="0"/>
      <w:divBdr>
        <w:top w:val="none" w:sz="0" w:space="0" w:color="auto"/>
        <w:left w:val="none" w:sz="0" w:space="0" w:color="auto"/>
        <w:bottom w:val="none" w:sz="0" w:space="0" w:color="auto"/>
        <w:right w:val="none" w:sz="0" w:space="0" w:color="auto"/>
      </w:divBdr>
      <w:divsChild>
        <w:div w:id="988897936">
          <w:marLeft w:val="706"/>
          <w:marRight w:val="0"/>
          <w:marTop w:val="154"/>
          <w:marBottom w:val="0"/>
          <w:divBdr>
            <w:top w:val="none" w:sz="0" w:space="0" w:color="auto"/>
            <w:left w:val="none" w:sz="0" w:space="0" w:color="auto"/>
            <w:bottom w:val="none" w:sz="0" w:space="0" w:color="auto"/>
            <w:right w:val="none" w:sz="0" w:space="0" w:color="auto"/>
          </w:divBdr>
        </w:div>
      </w:divsChild>
    </w:div>
    <w:div w:id="1288243188">
      <w:bodyDiv w:val="1"/>
      <w:marLeft w:val="0"/>
      <w:marRight w:val="0"/>
      <w:marTop w:val="0"/>
      <w:marBottom w:val="0"/>
      <w:divBdr>
        <w:top w:val="none" w:sz="0" w:space="0" w:color="auto"/>
        <w:left w:val="none" w:sz="0" w:space="0" w:color="auto"/>
        <w:bottom w:val="none" w:sz="0" w:space="0" w:color="auto"/>
        <w:right w:val="none" w:sz="0" w:space="0" w:color="auto"/>
      </w:divBdr>
    </w:div>
    <w:div w:id="1578704635">
      <w:bodyDiv w:val="1"/>
      <w:marLeft w:val="0"/>
      <w:marRight w:val="0"/>
      <w:marTop w:val="0"/>
      <w:marBottom w:val="0"/>
      <w:divBdr>
        <w:top w:val="none" w:sz="0" w:space="0" w:color="auto"/>
        <w:left w:val="none" w:sz="0" w:space="0" w:color="auto"/>
        <w:bottom w:val="none" w:sz="0" w:space="0" w:color="auto"/>
        <w:right w:val="none" w:sz="0" w:space="0" w:color="auto"/>
      </w:divBdr>
      <w:divsChild>
        <w:div w:id="288780724">
          <w:marLeft w:val="1166"/>
          <w:marRight w:val="0"/>
          <w:marTop w:val="134"/>
          <w:marBottom w:val="360"/>
          <w:divBdr>
            <w:top w:val="none" w:sz="0" w:space="0" w:color="auto"/>
            <w:left w:val="none" w:sz="0" w:space="0" w:color="auto"/>
            <w:bottom w:val="none" w:sz="0" w:space="0" w:color="auto"/>
            <w:right w:val="none" w:sz="0" w:space="0" w:color="auto"/>
          </w:divBdr>
        </w:div>
        <w:div w:id="402460015">
          <w:marLeft w:val="547"/>
          <w:marRight w:val="0"/>
          <w:marTop w:val="154"/>
          <w:marBottom w:val="120"/>
          <w:divBdr>
            <w:top w:val="none" w:sz="0" w:space="0" w:color="auto"/>
            <w:left w:val="none" w:sz="0" w:space="0" w:color="auto"/>
            <w:bottom w:val="none" w:sz="0" w:space="0" w:color="auto"/>
            <w:right w:val="none" w:sz="0" w:space="0" w:color="auto"/>
          </w:divBdr>
        </w:div>
        <w:div w:id="466778246">
          <w:marLeft w:val="1166"/>
          <w:marRight w:val="0"/>
          <w:marTop w:val="134"/>
          <w:marBottom w:val="0"/>
          <w:divBdr>
            <w:top w:val="none" w:sz="0" w:space="0" w:color="auto"/>
            <w:left w:val="none" w:sz="0" w:space="0" w:color="auto"/>
            <w:bottom w:val="none" w:sz="0" w:space="0" w:color="auto"/>
            <w:right w:val="none" w:sz="0" w:space="0" w:color="auto"/>
          </w:divBdr>
        </w:div>
        <w:div w:id="750272391">
          <w:marLeft w:val="1166"/>
          <w:marRight w:val="0"/>
          <w:marTop w:val="154"/>
          <w:marBottom w:val="360"/>
          <w:divBdr>
            <w:top w:val="none" w:sz="0" w:space="0" w:color="auto"/>
            <w:left w:val="none" w:sz="0" w:space="0" w:color="auto"/>
            <w:bottom w:val="none" w:sz="0" w:space="0" w:color="auto"/>
            <w:right w:val="none" w:sz="0" w:space="0" w:color="auto"/>
          </w:divBdr>
        </w:div>
        <w:div w:id="2097360259">
          <w:marLeft w:val="1166"/>
          <w:marRight w:val="0"/>
          <w:marTop w:val="134"/>
          <w:marBottom w:val="360"/>
          <w:divBdr>
            <w:top w:val="none" w:sz="0" w:space="0" w:color="auto"/>
            <w:left w:val="none" w:sz="0" w:space="0" w:color="auto"/>
            <w:bottom w:val="none" w:sz="0" w:space="0" w:color="auto"/>
            <w:right w:val="none" w:sz="0" w:space="0" w:color="auto"/>
          </w:divBdr>
        </w:div>
      </w:divsChild>
    </w:div>
    <w:div w:id="1604649828">
      <w:bodyDiv w:val="1"/>
      <w:marLeft w:val="0"/>
      <w:marRight w:val="0"/>
      <w:marTop w:val="0"/>
      <w:marBottom w:val="0"/>
      <w:divBdr>
        <w:top w:val="none" w:sz="0" w:space="0" w:color="auto"/>
        <w:left w:val="none" w:sz="0" w:space="0" w:color="auto"/>
        <w:bottom w:val="none" w:sz="0" w:space="0" w:color="auto"/>
        <w:right w:val="none" w:sz="0" w:space="0" w:color="auto"/>
      </w:divBdr>
      <w:divsChild>
        <w:div w:id="41634997">
          <w:marLeft w:val="1282"/>
          <w:marRight w:val="0"/>
          <w:marTop w:val="154"/>
          <w:marBottom w:val="0"/>
          <w:divBdr>
            <w:top w:val="none" w:sz="0" w:space="0" w:color="auto"/>
            <w:left w:val="none" w:sz="0" w:space="0" w:color="auto"/>
            <w:bottom w:val="none" w:sz="0" w:space="0" w:color="auto"/>
            <w:right w:val="none" w:sz="0" w:space="0" w:color="auto"/>
          </w:divBdr>
        </w:div>
        <w:div w:id="323439007">
          <w:marLeft w:val="2002"/>
          <w:marRight w:val="0"/>
          <w:marTop w:val="134"/>
          <w:marBottom w:val="0"/>
          <w:divBdr>
            <w:top w:val="none" w:sz="0" w:space="0" w:color="auto"/>
            <w:left w:val="none" w:sz="0" w:space="0" w:color="auto"/>
            <w:bottom w:val="none" w:sz="0" w:space="0" w:color="auto"/>
            <w:right w:val="none" w:sz="0" w:space="0" w:color="auto"/>
          </w:divBdr>
        </w:div>
        <w:div w:id="1962372953">
          <w:marLeft w:val="2002"/>
          <w:marRight w:val="0"/>
          <w:marTop w:val="134"/>
          <w:marBottom w:val="0"/>
          <w:divBdr>
            <w:top w:val="none" w:sz="0" w:space="0" w:color="auto"/>
            <w:left w:val="none" w:sz="0" w:space="0" w:color="auto"/>
            <w:bottom w:val="none" w:sz="0" w:space="0" w:color="auto"/>
            <w:right w:val="none" w:sz="0" w:space="0" w:color="auto"/>
          </w:divBdr>
        </w:div>
      </w:divsChild>
    </w:div>
    <w:div w:id="1783958038">
      <w:bodyDiv w:val="1"/>
      <w:marLeft w:val="0"/>
      <w:marRight w:val="0"/>
      <w:marTop w:val="0"/>
      <w:marBottom w:val="0"/>
      <w:divBdr>
        <w:top w:val="none" w:sz="0" w:space="0" w:color="auto"/>
        <w:left w:val="none" w:sz="0" w:space="0" w:color="auto"/>
        <w:bottom w:val="none" w:sz="0" w:space="0" w:color="auto"/>
        <w:right w:val="none" w:sz="0" w:space="0" w:color="auto"/>
      </w:divBdr>
    </w:div>
    <w:div w:id="1940604116">
      <w:bodyDiv w:val="1"/>
      <w:marLeft w:val="0"/>
      <w:marRight w:val="0"/>
      <w:marTop w:val="0"/>
      <w:marBottom w:val="0"/>
      <w:divBdr>
        <w:top w:val="none" w:sz="0" w:space="0" w:color="auto"/>
        <w:left w:val="none" w:sz="0" w:space="0" w:color="auto"/>
        <w:bottom w:val="none" w:sz="0" w:space="0" w:color="auto"/>
        <w:right w:val="none" w:sz="0" w:space="0" w:color="auto"/>
      </w:divBdr>
      <w:divsChild>
        <w:div w:id="1176115421">
          <w:marLeft w:val="835"/>
          <w:marRight w:val="0"/>
          <w:marTop w:val="154"/>
          <w:marBottom w:val="0"/>
          <w:divBdr>
            <w:top w:val="none" w:sz="0" w:space="0" w:color="auto"/>
            <w:left w:val="none" w:sz="0" w:space="0" w:color="auto"/>
            <w:bottom w:val="none" w:sz="0" w:space="0" w:color="auto"/>
            <w:right w:val="none" w:sz="0" w:space="0" w:color="auto"/>
          </w:divBdr>
        </w:div>
        <w:div w:id="1427921959">
          <w:marLeft w:val="1699"/>
          <w:marRight w:val="0"/>
          <w:marTop w:val="134"/>
          <w:marBottom w:val="0"/>
          <w:divBdr>
            <w:top w:val="none" w:sz="0" w:space="0" w:color="auto"/>
            <w:left w:val="none" w:sz="0" w:space="0" w:color="auto"/>
            <w:bottom w:val="none" w:sz="0" w:space="0" w:color="auto"/>
            <w:right w:val="none" w:sz="0" w:space="0" w:color="auto"/>
          </w:divBdr>
        </w:div>
        <w:div w:id="1560167427">
          <w:marLeft w:val="835"/>
          <w:marRight w:val="0"/>
          <w:marTop w:val="154"/>
          <w:marBottom w:val="120"/>
          <w:divBdr>
            <w:top w:val="none" w:sz="0" w:space="0" w:color="auto"/>
            <w:left w:val="none" w:sz="0" w:space="0" w:color="auto"/>
            <w:bottom w:val="none" w:sz="0" w:space="0" w:color="auto"/>
            <w:right w:val="none" w:sz="0" w:space="0" w:color="auto"/>
          </w:divBdr>
        </w:div>
        <w:div w:id="1772777726">
          <w:marLeft w:val="1699"/>
          <w:marRight w:val="0"/>
          <w:marTop w:val="134"/>
          <w:marBottom w:val="360"/>
          <w:divBdr>
            <w:top w:val="none" w:sz="0" w:space="0" w:color="auto"/>
            <w:left w:val="none" w:sz="0" w:space="0" w:color="auto"/>
            <w:bottom w:val="none" w:sz="0" w:space="0" w:color="auto"/>
            <w:right w:val="none" w:sz="0" w:space="0" w:color="auto"/>
          </w:divBdr>
        </w:div>
      </w:divsChild>
    </w:div>
    <w:div w:id="2015036004">
      <w:bodyDiv w:val="1"/>
      <w:marLeft w:val="0"/>
      <w:marRight w:val="0"/>
      <w:marTop w:val="0"/>
      <w:marBottom w:val="0"/>
      <w:divBdr>
        <w:top w:val="none" w:sz="0" w:space="0" w:color="auto"/>
        <w:left w:val="none" w:sz="0" w:space="0" w:color="auto"/>
        <w:bottom w:val="none" w:sz="0" w:space="0" w:color="auto"/>
        <w:right w:val="none" w:sz="0" w:space="0" w:color="auto"/>
      </w:divBdr>
    </w:div>
    <w:div w:id="2082554366">
      <w:bodyDiv w:val="1"/>
      <w:marLeft w:val="0"/>
      <w:marRight w:val="0"/>
      <w:marTop w:val="0"/>
      <w:marBottom w:val="0"/>
      <w:divBdr>
        <w:top w:val="none" w:sz="0" w:space="0" w:color="auto"/>
        <w:left w:val="none" w:sz="0" w:space="0" w:color="auto"/>
        <w:bottom w:val="none" w:sz="0" w:space="0" w:color="auto"/>
        <w:right w:val="none" w:sz="0" w:space="0" w:color="auto"/>
      </w:divBdr>
      <w:divsChild>
        <w:div w:id="371198162">
          <w:marLeft w:val="1699"/>
          <w:marRight w:val="0"/>
          <w:marTop w:val="134"/>
          <w:marBottom w:val="360"/>
          <w:divBdr>
            <w:top w:val="none" w:sz="0" w:space="0" w:color="auto"/>
            <w:left w:val="none" w:sz="0" w:space="0" w:color="auto"/>
            <w:bottom w:val="none" w:sz="0" w:space="0" w:color="auto"/>
            <w:right w:val="none" w:sz="0" w:space="0" w:color="auto"/>
          </w:divBdr>
        </w:div>
        <w:div w:id="970672476">
          <w:marLeft w:val="576"/>
          <w:marRight w:val="0"/>
          <w:marTop w:val="15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AEF9-EAD2-488C-87F1-813306F7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6747</Words>
  <Characters>42509</Characters>
  <Application>Microsoft Office Word</Application>
  <DocSecurity>0</DocSecurity>
  <Lines>354</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Camara YeroBoye</dc:creator>
  <cp:lastModifiedBy>Chesnay, Marie GIZ GN</cp:lastModifiedBy>
  <cp:revision>2</cp:revision>
  <dcterms:created xsi:type="dcterms:W3CDTF">2019-06-27T18:15:00Z</dcterms:created>
  <dcterms:modified xsi:type="dcterms:W3CDTF">2019-06-27T18:15:00Z</dcterms:modified>
</cp:coreProperties>
</file>