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53EF" w14:textId="77777777" w:rsidR="0097670B" w:rsidRPr="00F9473F" w:rsidRDefault="0097670B" w:rsidP="0011509F">
      <w:pPr>
        <w:spacing w:after="0" w:line="240" w:lineRule="auto"/>
        <w:rPr>
          <w:bCs/>
          <w:sz w:val="24"/>
          <w:szCs w:val="18"/>
        </w:rPr>
      </w:pPr>
    </w:p>
    <w:p w14:paraId="05A0E479" w14:textId="77777777" w:rsidR="0011509F" w:rsidRPr="0011509F" w:rsidRDefault="0011509F" w:rsidP="0011509F">
      <w:pPr>
        <w:spacing w:after="0" w:line="240" w:lineRule="auto"/>
        <w:jc w:val="both"/>
        <w:rPr>
          <w:b/>
          <w:bCs/>
          <w:sz w:val="8"/>
          <w:szCs w:val="18"/>
        </w:rPr>
      </w:pPr>
    </w:p>
    <w:p w14:paraId="0869B81F" w14:textId="77777777" w:rsidR="0011509F" w:rsidRPr="0011509F" w:rsidRDefault="0011509F" w:rsidP="0011509F">
      <w:pPr>
        <w:spacing w:after="0" w:line="240" w:lineRule="auto"/>
        <w:jc w:val="both"/>
        <w:rPr>
          <w:b/>
          <w:bCs/>
          <w:sz w:val="8"/>
          <w:szCs w:val="18"/>
        </w:rPr>
      </w:pPr>
    </w:p>
    <w:p w14:paraId="5AC93FA6" w14:textId="77777777" w:rsidR="005B3201" w:rsidRPr="00516DB2" w:rsidRDefault="005B3201" w:rsidP="005B3201">
      <w:pPr>
        <w:spacing w:line="240" w:lineRule="auto"/>
        <w:jc w:val="center"/>
        <w:rPr>
          <w:rFonts w:cs="Arial"/>
          <w:b/>
          <w:sz w:val="28"/>
          <w:szCs w:val="28"/>
        </w:rPr>
      </w:pPr>
      <w:r w:rsidRPr="00516DB2">
        <w:rPr>
          <w:rFonts w:cs="Arial"/>
          <w:b/>
          <w:sz w:val="28"/>
          <w:szCs w:val="28"/>
        </w:rPr>
        <w:t>REPUBLIQUE DE GUINEE</w:t>
      </w:r>
    </w:p>
    <w:p w14:paraId="759B9A98" w14:textId="77777777" w:rsidR="005B3201" w:rsidRPr="00516DB2" w:rsidRDefault="005B3201" w:rsidP="005B3201">
      <w:pPr>
        <w:spacing w:line="240" w:lineRule="auto"/>
        <w:jc w:val="center"/>
        <w:rPr>
          <w:b/>
          <w:sz w:val="28"/>
          <w:szCs w:val="28"/>
        </w:rPr>
      </w:pPr>
      <w:r w:rsidRPr="00516DB2">
        <w:rPr>
          <w:rFonts w:cs="Arial"/>
          <w:b/>
        </w:rPr>
        <w:t>Travail</w:t>
      </w:r>
      <w:r w:rsidRPr="00516DB2">
        <w:rPr>
          <w:rFonts w:cs="Arial"/>
        </w:rPr>
        <w:t xml:space="preserve"> -</w:t>
      </w:r>
      <w:r w:rsidRPr="00516DB2">
        <w:rPr>
          <w:rFonts w:cs="Arial"/>
          <w:b/>
        </w:rPr>
        <w:t>Justice</w:t>
      </w:r>
      <w:r w:rsidRPr="00516DB2">
        <w:rPr>
          <w:rFonts w:cs="Arial"/>
        </w:rPr>
        <w:t xml:space="preserve"> -</w:t>
      </w:r>
      <w:r w:rsidRPr="00516DB2">
        <w:rPr>
          <w:rFonts w:cs="Arial"/>
          <w:b/>
        </w:rPr>
        <w:t>Solidarité</w:t>
      </w:r>
    </w:p>
    <w:p w14:paraId="6D86AA82" w14:textId="77777777" w:rsidR="0011509F" w:rsidRDefault="005B3201" w:rsidP="0011509F">
      <w:pPr>
        <w:jc w:val="both"/>
        <w:rPr>
          <w:b/>
          <w:bCs/>
          <w:sz w:val="28"/>
        </w:rPr>
      </w:pPr>
      <w:r w:rsidRPr="00516DB2">
        <w:rPr>
          <w:b/>
          <w:noProof/>
          <w:sz w:val="28"/>
          <w:szCs w:val="28"/>
          <w:lang w:eastAsia="fr-FR"/>
        </w:rPr>
        <w:drawing>
          <wp:anchor distT="0" distB="0" distL="114300" distR="114300" simplePos="0" relativeHeight="251663360" behindDoc="0" locked="0" layoutInCell="1" allowOverlap="1" wp14:anchorId="57F288FC" wp14:editId="0E7E083D">
            <wp:simplePos x="0" y="0"/>
            <wp:positionH relativeFrom="column">
              <wp:posOffset>2375703</wp:posOffset>
            </wp:positionH>
            <wp:positionV relativeFrom="paragraph">
              <wp:posOffset>4555</wp:posOffset>
            </wp:positionV>
            <wp:extent cx="891540" cy="976108"/>
            <wp:effectExtent l="0" t="0" r="3810" b="0"/>
            <wp:wrapNone/>
            <wp:docPr id="2" name="Imag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cstate="print"/>
                    <a:srcRect/>
                    <a:stretch>
                      <a:fillRect/>
                    </a:stretch>
                  </pic:blipFill>
                  <pic:spPr bwMode="auto">
                    <a:xfrm>
                      <a:off x="0" y="0"/>
                      <a:ext cx="895582" cy="980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482FA4" w14:textId="77777777" w:rsidR="0011509F" w:rsidRDefault="0011509F" w:rsidP="005B3201">
      <w:pPr>
        <w:jc w:val="center"/>
        <w:rPr>
          <w:b/>
          <w:bCs/>
          <w:sz w:val="28"/>
        </w:rPr>
      </w:pPr>
    </w:p>
    <w:p w14:paraId="06588E82" w14:textId="77777777" w:rsidR="005B3201" w:rsidRDefault="005B3201" w:rsidP="005B3201">
      <w:pPr>
        <w:jc w:val="both"/>
        <w:rPr>
          <w:b/>
          <w:bCs/>
          <w:sz w:val="28"/>
        </w:rPr>
      </w:pPr>
      <w:r w:rsidRPr="00516DB2">
        <w:rPr>
          <w:b/>
        </w:rPr>
        <w:t xml:space="preserve"> </w:t>
      </w:r>
      <w:r w:rsidRPr="00516DB2">
        <w:rPr>
          <w:b/>
          <w:sz w:val="28"/>
          <w:szCs w:val="28"/>
        </w:rPr>
        <w:t xml:space="preserve">  </w:t>
      </w:r>
    </w:p>
    <w:p w14:paraId="0E5FC23C" w14:textId="77777777" w:rsidR="005657CD" w:rsidRDefault="005657CD" w:rsidP="005B3201">
      <w:pPr>
        <w:jc w:val="center"/>
        <w:rPr>
          <w:b/>
          <w:sz w:val="28"/>
          <w:szCs w:val="28"/>
        </w:rPr>
      </w:pPr>
    </w:p>
    <w:p w14:paraId="0AAB2355" w14:textId="77777777" w:rsidR="0011509F" w:rsidRPr="005657CD" w:rsidRDefault="005B3201" w:rsidP="000E0266">
      <w:pPr>
        <w:jc w:val="center"/>
        <w:rPr>
          <w:b/>
          <w:sz w:val="32"/>
          <w:szCs w:val="28"/>
        </w:rPr>
      </w:pPr>
      <w:r w:rsidRPr="005657CD">
        <w:rPr>
          <w:b/>
          <w:sz w:val="32"/>
          <w:szCs w:val="28"/>
        </w:rPr>
        <w:t>MINISTERE DE LA SANTE</w:t>
      </w:r>
    </w:p>
    <w:p w14:paraId="62773BCF" w14:textId="77777777" w:rsidR="0011509F" w:rsidRPr="005657CD" w:rsidRDefault="005657CD" w:rsidP="005657CD">
      <w:pPr>
        <w:jc w:val="center"/>
        <w:rPr>
          <w:b/>
          <w:bCs/>
          <w:sz w:val="36"/>
        </w:rPr>
      </w:pPr>
      <w:r w:rsidRPr="005657CD">
        <w:rPr>
          <w:b/>
          <w:bCs/>
          <w:sz w:val="36"/>
        </w:rPr>
        <w:t xml:space="preserve">DIRECTION DES RESSOURCES HUMAINES </w:t>
      </w:r>
    </w:p>
    <w:p w14:paraId="133E5C6D" w14:textId="77777777" w:rsidR="005657CD" w:rsidRDefault="005657CD" w:rsidP="0011509F">
      <w:pPr>
        <w:jc w:val="both"/>
        <w:rPr>
          <w:b/>
          <w:bCs/>
          <w:sz w:val="28"/>
        </w:rPr>
      </w:pPr>
    </w:p>
    <w:p w14:paraId="5A6C8E79" w14:textId="77777777" w:rsidR="005657CD" w:rsidRDefault="005657CD" w:rsidP="0011509F">
      <w:pPr>
        <w:jc w:val="both"/>
        <w:rPr>
          <w:b/>
          <w:bCs/>
          <w:sz w:val="28"/>
        </w:rPr>
      </w:pPr>
    </w:p>
    <w:p w14:paraId="11A29FBC" w14:textId="77777777" w:rsidR="009646F8" w:rsidRPr="005B3201" w:rsidRDefault="009646F8" w:rsidP="0011509F">
      <w:pPr>
        <w:jc w:val="center"/>
        <w:rPr>
          <w:b/>
          <w:bCs/>
          <w:i/>
          <w:color w:val="0000FF"/>
          <w:sz w:val="40"/>
        </w:rPr>
      </w:pPr>
      <w:r w:rsidRPr="005B3201">
        <w:rPr>
          <w:b/>
          <w:bCs/>
          <w:i/>
          <w:color w:val="0000FF"/>
          <w:sz w:val="40"/>
        </w:rPr>
        <w:t>POLITIQUE DE DEVELOPPEMENT DES RESSOURCES HUMAINES POUR LA SANTE (</w:t>
      </w:r>
      <w:r w:rsidR="005B3201" w:rsidRPr="005B3201">
        <w:rPr>
          <w:b/>
          <w:bCs/>
          <w:i/>
          <w:color w:val="0000FF"/>
          <w:sz w:val="40"/>
        </w:rPr>
        <w:t>PD</w:t>
      </w:r>
      <w:r w:rsidRPr="005B3201">
        <w:rPr>
          <w:b/>
          <w:bCs/>
          <w:i/>
          <w:color w:val="0000FF"/>
          <w:sz w:val="40"/>
        </w:rPr>
        <w:t>RHS)</w:t>
      </w:r>
    </w:p>
    <w:p w14:paraId="26D6B8BA" w14:textId="77777777" w:rsidR="005657CD" w:rsidRDefault="005657CD" w:rsidP="003C558F">
      <w:pPr>
        <w:pStyle w:val="Titre1"/>
        <w:spacing w:after="360"/>
      </w:pPr>
    </w:p>
    <w:p w14:paraId="167991B6" w14:textId="77777777" w:rsidR="005657CD" w:rsidRDefault="005657CD" w:rsidP="003C558F">
      <w:pPr>
        <w:pStyle w:val="Titre1"/>
        <w:spacing w:after="360"/>
      </w:pPr>
    </w:p>
    <w:p w14:paraId="50D7BA4C" w14:textId="77777777" w:rsidR="005657CD" w:rsidRDefault="005657CD" w:rsidP="003C558F">
      <w:pPr>
        <w:pStyle w:val="Titre1"/>
        <w:spacing w:after="360"/>
      </w:pPr>
    </w:p>
    <w:p w14:paraId="7F12E4E0" w14:textId="77777777" w:rsidR="005657CD" w:rsidRDefault="005657CD" w:rsidP="003C558F">
      <w:pPr>
        <w:pStyle w:val="Titre1"/>
        <w:spacing w:after="360"/>
      </w:pPr>
    </w:p>
    <w:p w14:paraId="12E35B77" w14:textId="77777777" w:rsidR="005657CD" w:rsidRDefault="005657CD" w:rsidP="005657CD">
      <w:pPr>
        <w:pStyle w:val="Titre1"/>
        <w:spacing w:after="360"/>
        <w:jc w:val="center"/>
      </w:pPr>
    </w:p>
    <w:p w14:paraId="3738A1E6" w14:textId="77777777" w:rsidR="005657CD" w:rsidRPr="000142F6" w:rsidRDefault="005657CD" w:rsidP="000142F6">
      <w:pPr>
        <w:jc w:val="center"/>
        <w:rPr>
          <w:sz w:val="24"/>
          <w:szCs w:val="28"/>
        </w:rPr>
      </w:pPr>
      <w:r w:rsidRPr="000142F6">
        <w:rPr>
          <w:sz w:val="24"/>
          <w:szCs w:val="28"/>
        </w:rPr>
        <w:t>Février 2019</w:t>
      </w:r>
    </w:p>
    <w:p w14:paraId="12A7BAD7" w14:textId="77777777" w:rsidR="005657CD" w:rsidRDefault="005657CD">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lang w:eastAsia="en-US"/>
        </w:rPr>
        <w:id w:val="139771102"/>
        <w:docPartObj>
          <w:docPartGallery w:val="Table of Contents"/>
          <w:docPartUnique/>
        </w:docPartObj>
      </w:sdtPr>
      <w:sdtEndPr>
        <w:rPr>
          <w:b/>
          <w:bCs/>
        </w:rPr>
      </w:sdtEndPr>
      <w:sdtContent>
        <w:p w14:paraId="47B78C1E" w14:textId="77777777" w:rsidR="000142F6" w:rsidRDefault="000142F6" w:rsidP="00C23EA8">
          <w:pPr>
            <w:pStyle w:val="En-ttedetabledesmatires"/>
          </w:pPr>
          <w:r>
            <w:t>Table des matières</w:t>
          </w:r>
        </w:p>
        <w:p w14:paraId="678735B6" w14:textId="6EC7D8F7" w:rsidR="00904B1A" w:rsidRDefault="000142F6">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21586225" w:history="1">
            <w:r w:rsidR="00904B1A" w:rsidRPr="00873609">
              <w:rPr>
                <w:rStyle w:val="Lienhypertexte"/>
                <w:noProof/>
              </w:rPr>
              <w:t>PREFACE</w:t>
            </w:r>
            <w:r w:rsidR="00904B1A">
              <w:rPr>
                <w:noProof/>
                <w:webHidden/>
              </w:rPr>
              <w:tab/>
            </w:r>
            <w:r w:rsidR="00904B1A">
              <w:rPr>
                <w:noProof/>
                <w:webHidden/>
              </w:rPr>
              <w:fldChar w:fldCharType="begin"/>
            </w:r>
            <w:r w:rsidR="00904B1A">
              <w:rPr>
                <w:noProof/>
                <w:webHidden/>
              </w:rPr>
              <w:instrText xml:space="preserve"> PAGEREF _Toc21586225 \h </w:instrText>
            </w:r>
            <w:r w:rsidR="00904B1A">
              <w:rPr>
                <w:noProof/>
                <w:webHidden/>
              </w:rPr>
            </w:r>
            <w:r w:rsidR="00904B1A">
              <w:rPr>
                <w:noProof/>
                <w:webHidden/>
              </w:rPr>
              <w:fldChar w:fldCharType="separate"/>
            </w:r>
            <w:r w:rsidR="00651752">
              <w:rPr>
                <w:noProof/>
                <w:webHidden/>
              </w:rPr>
              <w:t>4</w:t>
            </w:r>
            <w:r w:rsidR="00904B1A">
              <w:rPr>
                <w:noProof/>
                <w:webHidden/>
              </w:rPr>
              <w:fldChar w:fldCharType="end"/>
            </w:r>
          </w:hyperlink>
        </w:p>
        <w:p w14:paraId="492466A7" w14:textId="03DB6AC7" w:rsidR="00904B1A" w:rsidRDefault="00651752">
          <w:pPr>
            <w:pStyle w:val="TM1"/>
            <w:tabs>
              <w:tab w:val="right" w:leader="dot" w:pos="9060"/>
            </w:tabs>
            <w:rPr>
              <w:rFonts w:eastAsiaTheme="minorEastAsia"/>
              <w:noProof/>
              <w:lang w:eastAsia="fr-FR"/>
            </w:rPr>
          </w:pPr>
          <w:hyperlink w:anchor="_Toc21586226" w:history="1">
            <w:r w:rsidR="00904B1A" w:rsidRPr="00873609">
              <w:rPr>
                <w:rStyle w:val="Lienhypertexte"/>
                <w:noProof/>
              </w:rPr>
              <w:t>INTRODUCTION</w:t>
            </w:r>
            <w:r w:rsidR="00904B1A">
              <w:rPr>
                <w:noProof/>
                <w:webHidden/>
              </w:rPr>
              <w:tab/>
            </w:r>
            <w:r w:rsidR="00904B1A">
              <w:rPr>
                <w:noProof/>
                <w:webHidden/>
              </w:rPr>
              <w:fldChar w:fldCharType="begin"/>
            </w:r>
            <w:r w:rsidR="00904B1A">
              <w:rPr>
                <w:noProof/>
                <w:webHidden/>
              </w:rPr>
              <w:instrText xml:space="preserve"> PAGEREF _Toc21586226 \h </w:instrText>
            </w:r>
            <w:r w:rsidR="00904B1A">
              <w:rPr>
                <w:noProof/>
                <w:webHidden/>
              </w:rPr>
            </w:r>
            <w:r w:rsidR="00904B1A">
              <w:rPr>
                <w:noProof/>
                <w:webHidden/>
              </w:rPr>
              <w:fldChar w:fldCharType="separate"/>
            </w:r>
            <w:r>
              <w:rPr>
                <w:noProof/>
                <w:webHidden/>
              </w:rPr>
              <w:t>5</w:t>
            </w:r>
            <w:r w:rsidR="00904B1A">
              <w:rPr>
                <w:noProof/>
                <w:webHidden/>
              </w:rPr>
              <w:fldChar w:fldCharType="end"/>
            </w:r>
          </w:hyperlink>
        </w:p>
        <w:p w14:paraId="1482DEDA" w14:textId="139C0F44" w:rsidR="00904B1A" w:rsidRDefault="00651752">
          <w:pPr>
            <w:pStyle w:val="TM1"/>
            <w:tabs>
              <w:tab w:val="left" w:pos="440"/>
              <w:tab w:val="right" w:leader="dot" w:pos="9060"/>
            </w:tabs>
            <w:rPr>
              <w:rFonts w:eastAsiaTheme="minorEastAsia"/>
              <w:noProof/>
              <w:lang w:eastAsia="fr-FR"/>
            </w:rPr>
          </w:pPr>
          <w:hyperlink w:anchor="_Toc21586227" w:history="1">
            <w:r w:rsidR="00904B1A" w:rsidRPr="00873609">
              <w:rPr>
                <w:rStyle w:val="Lienhypertexte"/>
                <w:noProof/>
              </w:rPr>
              <w:t>I.</w:t>
            </w:r>
            <w:r w:rsidR="00904B1A">
              <w:rPr>
                <w:rFonts w:eastAsiaTheme="minorEastAsia"/>
                <w:noProof/>
                <w:lang w:eastAsia="fr-FR"/>
              </w:rPr>
              <w:tab/>
            </w:r>
            <w:r w:rsidR="00904B1A" w:rsidRPr="00873609">
              <w:rPr>
                <w:rStyle w:val="Lienhypertexte"/>
                <w:noProof/>
              </w:rPr>
              <w:t>ANALYSE DE SITUATION DES RESSOURCES HUMAINES POUR LA SANTE</w:t>
            </w:r>
            <w:r w:rsidR="00904B1A">
              <w:rPr>
                <w:noProof/>
                <w:webHidden/>
              </w:rPr>
              <w:tab/>
            </w:r>
            <w:r w:rsidR="00904B1A">
              <w:rPr>
                <w:noProof/>
                <w:webHidden/>
              </w:rPr>
              <w:fldChar w:fldCharType="begin"/>
            </w:r>
            <w:r w:rsidR="00904B1A">
              <w:rPr>
                <w:noProof/>
                <w:webHidden/>
              </w:rPr>
              <w:instrText xml:space="preserve"> PAGEREF _Toc21586227 \h </w:instrText>
            </w:r>
            <w:r w:rsidR="00904B1A">
              <w:rPr>
                <w:noProof/>
                <w:webHidden/>
              </w:rPr>
            </w:r>
            <w:r w:rsidR="00904B1A">
              <w:rPr>
                <w:noProof/>
                <w:webHidden/>
              </w:rPr>
              <w:fldChar w:fldCharType="separate"/>
            </w:r>
            <w:r>
              <w:rPr>
                <w:noProof/>
                <w:webHidden/>
              </w:rPr>
              <w:t>7</w:t>
            </w:r>
            <w:r w:rsidR="00904B1A">
              <w:rPr>
                <w:noProof/>
                <w:webHidden/>
              </w:rPr>
              <w:fldChar w:fldCharType="end"/>
            </w:r>
          </w:hyperlink>
        </w:p>
        <w:p w14:paraId="7BABFDED" w14:textId="6502554E" w:rsidR="00904B1A" w:rsidRDefault="00651752">
          <w:pPr>
            <w:pStyle w:val="TM1"/>
            <w:tabs>
              <w:tab w:val="left" w:pos="660"/>
              <w:tab w:val="right" w:leader="dot" w:pos="9060"/>
            </w:tabs>
            <w:rPr>
              <w:rFonts w:eastAsiaTheme="minorEastAsia"/>
              <w:noProof/>
              <w:lang w:eastAsia="fr-FR"/>
            </w:rPr>
          </w:pPr>
          <w:hyperlink w:anchor="_Toc21586228" w:history="1">
            <w:r w:rsidR="00904B1A" w:rsidRPr="00873609">
              <w:rPr>
                <w:rStyle w:val="Lienhypertexte"/>
                <w:noProof/>
              </w:rPr>
              <w:t>1.1.</w:t>
            </w:r>
            <w:r w:rsidR="00904B1A">
              <w:rPr>
                <w:rFonts w:eastAsiaTheme="minorEastAsia"/>
                <w:noProof/>
                <w:lang w:eastAsia="fr-FR"/>
              </w:rPr>
              <w:tab/>
            </w:r>
            <w:r w:rsidR="00904B1A" w:rsidRPr="00873609">
              <w:rPr>
                <w:rStyle w:val="Lienhypertexte"/>
                <w:noProof/>
              </w:rPr>
              <w:t>Situation des RHS</w:t>
            </w:r>
            <w:r w:rsidR="00904B1A">
              <w:rPr>
                <w:noProof/>
                <w:webHidden/>
              </w:rPr>
              <w:tab/>
            </w:r>
            <w:r w:rsidR="00904B1A">
              <w:rPr>
                <w:noProof/>
                <w:webHidden/>
              </w:rPr>
              <w:fldChar w:fldCharType="begin"/>
            </w:r>
            <w:r w:rsidR="00904B1A">
              <w:rPr>
                <w:noProof/>
                <w:webHidden/>
              </w:rPr>
              <w:instrText xml:space="preserve"> PAGEREF _Toc21586228 \h </w:instrText>
            </w:r>
            <w:r w:rsidR="00904B1A">
              <w:rPr>
                <w:noProof/>
                <w:webHidden/>
              </w:rPr>
            </w:r>
            <w:r w:rsidR="00904B1A">
              <w:rPr>
                <w:noProof/>
                <w:webHidden/>
              </w:rPr>
              <w:fldChar w:fldCharType="separate"/>
            </w:r>
            <w:r>
              <w:rPr>
                <w:noProof/>
                <w:webHidden/>
              </w:rPr>
              <w:t>8</w:t>
            </w:r>
            <w:r w:rsidR="00904B1A">
              <w:rPr>
                <w:noProof/>
                <w:webHidden/>
              </w:rPr>
              <w:fldChar w:fldCharType="end"/>
            </w:r>
          </w:hyperlink>
        </w:p>
        <w:p w14:paraId="103957CC" w14:textId="258F749E" w:rsidR="00904B1A" w:rsidRDefault="00651752">
          <w:pPr>
            <w:pStyle w:val="TM1"/>
            <w:tabs>
              <w:tab w:val="left" w:pos="880"/>
              <w:tab w:val="right" w:leader="dot" w:pos="9060"/>
            </w:tabs>
            <w:rPr>
              <w:rFonts w:eastAsiaTheme="minorEastAsia"/>
              <w:noProof/>
              <w:lang w:eastAsia="fr-FR"/>
            </w:rPr>
          </w:pPr>
          <w:hyperlink w:anchor="_Toc21586229" w:history="1">
            <w:r w:rsidR="00904B1A" w:rsidRPr="00873609">
              <w:rPr>
                <w:rStyle w:val="Lienhypertexte"/>
                <w:noProof/>
              </w:rPr>
              <w:t>1.1.1.</w:t>
            </w:r>
            <w:r w:rsidR="00904B1A">
              <w:rPr>
                <w:rFonts w:eastAsiaTheme="minorEastAsia"/>
                <w:noProof/>
                <w:lang w:eastAsia="fr-FR"/>
              </w:rPr>
              <w:tab/>
            </w:r>
            <w:r w:rsidR="00904B1A" w:rsidRPr="00873609">
              <w:rPr>
                <w:rStyle w:val="Lienhypertexte"/>
                <w:noProof/>
              </w:rPr>
              <w:t>Vue générale sur les ressources hum</w:t>
            </w:r>
            <w:bookmarkStart w:id="0" w:name="_GoBack"/>
            <w:bookmarkEnd w:id="0"/>
            <w:r w:rsidR="00904B1A" w:rsidRPr="00873609">
              <w:rPr>
                <w:rStyle w:val="Lienhypertexte"/>
                <w:noProof/>
              </w:rPr>
              <w:t>aines pour la santé</w:t>
            </w:r>
            <w:r w:rsidR="00904B1A">
              <w:rPr>
                <w:noProof/>
                <w:webHidden/>
              </w:rPr>
              <w:tab/>
            </w:r>
            <w:r w:rsidR="00904B1A">
              <w:rPr>
                <w:noProof/>
                <w:webHidden/>
              </w:rPr>
              <w:fldChar w:fldCharType="begin"/>
            </w:r>
            <w:r w:rsidR="00904B1A">
              <w:rPr>
                <w:noProof/>
                <w:webHidden/>
              </w:rPr>
              <w:instrText xml:space="preserve"> PAGEREF _Toc21586229 \h </w:instrText>
            </w:r>
            <w:r w:rsidR="00904B1A">
              <w:rPr>
                <w:noProof/>
                <w:webHidden/>
              </w:rPr>
            </w:r>
            <w:r w:rsidR="00904B1A">
              <w:rPr>
                <w:noProof/>
                <w:webHidden/>
              </w:rPr>
              <w:fldChar w:fldCharType="separate"/>
            </w:r>
            <w:r>
              <w:rPr>
                <w:noProof/>
                <w:webHidden/>
              </w:rPr>
              <w:t>8</w:t>
            </w:r>
            <w:r w:rsidR="00904B1A">
              <w:rPr>
                <w:noProof/>
                <w:webHidden/>
              </w:rPr>
              <w:fldChar w:fldCharType="end"/>
            </w:r>
          </w:hyperlink>
        </w:p>
        <w:p w14:paraId="02E9F9C4" w14:textId="0B799EBA" w:rsidR="00904B1A" w:rsidRDefault="00651752">
          <w:pPr>
            <w:pStyle w:val="TM1"/>
            <w:tabs>
              <w:tab w:val="left" w:pos="880"/>
              <w:tab w:val="right" w:leader="dot" w:pos="9060"/>
            </w:tabs>
            <w:rPr>
              <w:rFonts w:eastAsiaTheme="minorEastAsia"/>
              <w:noProof/>
              <w:lang w:eastAsia="fr-FR"/>
            </w:rPr>
          </w:pPr>
          <w:hyperlink w:anchor="_Toc21586230" w:history="1">
            <w:r w:rsidR="00904B1A" w:rsidRPr="00873609">
              <w:rPr>
                <w:rStyle w:val="Lienhypertexte"/>
                <w:rFonts w:ascii="Cambria" w:hAnsi="Cambria"/>
                <w:noProof/>
              </w:rPr>
              <w:t>1.1.2.</w:t>
            </w:r>
            <w:r w:rsidR="00904B1A">
              <w:rPr>
                <w:rFonts w:eastAsiaTheme="minorEastAsia"/>
                <w:noProof/>
                <w:lang w:eastAsia="fr-FR"/>
              </w:rPr>
              <w:tab/>
            </w:r>
            <w:r w:rsidR="00904B1A" w:rsidRPr="00873609">
              <w:rPr>
                <w:rStyle w:val="Lienhypertexte"/>
                <w:noProof/>
              </w:rPr>
              <w:t>Cadre institutionnel</w:t>
            </w:r>
            <w:r w:rsidR="00904B1A">
              <w:rPr>
                <w:noProof/>
                <w:webHidden/>
              </w:rPr>
              <w:tab/>
            </w:r>
            <w:r w:rsidR="00904B1A">
              <w:rPr>
                <w:noProof/>
                <w:webHidden/>
              </w:rPr>
              <w:fldChar w:fldCharType="begin"/>
            </w:r>
            <w:r w:rsidR="00904B1A">
              <w:rPr>
                <w:noProof/>
                <w:webHidden/>
              </w:rPr>
              <w:instrText xml:space="preserve"> PAGEREF _Toc21586230 \h </w:instrText>
            </w:r>
            <w:r w:rsidR="00904B1A">
              <w:rPr>
                <w:noProof/>
                <w:webHidden/>
              </w:rPr>
            </w:r>
            <w:r w:rsidR="00904B1A">
              <w:rPr>
                <w:noProof/>
                <w:webHidden/>
              </w:rPr>
              <w:fldChar w:fldCharType="separate"/>
            </w:r>
            <w:r>
              <w:rPr>
                <w:noProof/>
                <w:webHidden/>
              </w:rPr>
              <w:t>10</w:t>
            </w:r>
            <w:r w:rsidR="00904B1A">
              <w:rPr>
                <w:noProof/>
                <w:webHidden/>
              </w:rPr>
              <w:fldChar w:fldCharType="end"/>
            </w:r>
          </w:hyperlink>
        </w:p>
        <w:p w14:paraId="651F80B5" w14:textId="53CB0A6E" w:rsidR="00904B1A" w:rsidRDefault="00651752">
          <w:pPr>
            <w:pStyle w:val="TM1"/>
            <w:tabs>
              <w:tab w:val="left" w:pos="880"/>
              <w:tab w:val="right" w:leader="dot" w:pos="9060"/>
            </w:tabs>
            <w:rPr>
              <w:rFonts w:eastAsiaTheme="minorEastAsia"/>
              <w:noProof/>
              <w:lang w:eastAsia="fr-FR"/>
            </w:rPr>
          </w:pPr>
          <w:hyperlink w:anchor="_Toc21586231" w:history="1">
            <w:r w:rsidR="00904B1A" w:rsidRPr="00873609">
              <w:rPr>
                <w:rStyle w:val="Lienhypertexte"/>
                <w:rFonts w:ascii="Cambria" w:hAnsi="Cambria"/>
                <w:noProof/>
              </w:rPr>
              <w:t>1.1.3.</w:t>
            </w:r>
            <w:r w:rsidR="00904B1A">
              <w:rPr>
                <w:rFonts w:eastAsiaTheme="minorEastAsia"/>
                <w:noProof/>
                <w:lang w:eastAsia="fr-FR"/>
              </w:rPr>
              <w:tab/>
            </w:r>
            <w:r w:rsidR="00904B1A" w:rsidRPr="00873609">
              <w:rPr>
                <w:rStyle w:val="Lienhypertexte"/>
                <w:noProof/>
              </w:rPr>
              <w:t>Planification</w:t>
            </w:r>
            <w:r w:rsidR="00904B1A">
              <w:rPr>
                <w:noProof/>
                <w:webHidden/>
              </w:rPr>
              <w:tab/>
            </w:r>
            <w:r w:rsidR="00904B1A">
              <w:rPr>
                <w:noProof/>
                <w:webHidden/>
              </w:rPr>
              <w:fldChar w:fldCharType="begin"/>
            </w:r>
            <w:r w:rsidR="00904B1A">
              <w:rPr>
                <w:noProof/>
                <w:webHidden/>
              </w:rPr>
              <w:instrText xml:space="preserve"> PAGEREF _Toc21586231 \h </w:instrText>
            </w:r>
            <w:r w:rsidR="00904B1A">
              <w:rPr>
                <w:noProof/>
                <w:webHidden/>
              </w:rPr>
            </w:r>
            <w:r w:rsidR="00904B1A">
              <w:rPr>
                <w:noProof/>
                <w:webHidden/>
              </w:rPr>
              <w:fldChar w:fldCharType="separate"/>
            </w:r>
            <w:r>
              <w:rPr>
                <w:noProof/>
                <w:webHidden/>
              </w:rPr>
              <w:t>10</w:t>
            </w:r>
            <w:r w:rsidR="00904B1A">
              <w:rPr>
                <w:noProof/>
                <w:webHidden/>
              </w:rPr>
              <w:fldChar w:fldCharType="end"/>
            </w:r>
          </w:hyperlink>
        </w:p>
        <w:p w14:paraId="04999BEB" w14:textId="2F5BF507" w:rsidR="00904B1A" w:rsidRDefault="00651752">
          <w:pPr>
            <w:pStyle w:val="TM1"/>
            <w:tabs>
              <w:tab w:val="left" w:pos="880"/>
              <w:tab w:val="right" w:leader="dot" w:pos="9060"/>
            </w:tabs>
            <w:rPr>
              <w:rFonts w:eastAsiaTheme="minorEastAsia"/>
              <w:noProof/>
              <w:lang w:eastAsia="fr-FR"/>
            </w:rPr>
          </w:pPr>
          <w:hyperlink w:anchor="_Toc21586232" w:history="1">
            <w:r w:rsidR="00904B1A" w:rsidRPr="00873609">
              <w:rPr>
                <w:rStyle w:val="Lienhypertexte"/>
                <w:noProof/>
              </w:rPr>
              <w:t>1.1.4.</w:t>
            </w:r>
            <w:r w:rsidR="00904B1A">
              <w:rPr>
                <w:rFonts w:eastAsiaTheme="minorEastAsia"/>
                <w:noProof/>
                <w:lang w:eastAsia="fr-FR"/>
              </w:rPr>
              <w:tab/>
            </w:r>
            <w:r w:rsidR="00904B1A" w:rsidRPr="00873609">
              <w:rPr>
                <w:rStyle w:val="Lienhypertexte"/>
                <w:noProof/>
              </w:rPr>
              <w:t>Formation</w:t>
            </w:r>
            <w:r w:rsidR="00904B1A">
              <w:rPr>
                <w:noProof/>
                <w:webHidden/>
              </w:rPr>
              <w:tab/>
            </w:r>
            <w:r w:rsidR="00904B1A">
              <w:rPr>
                <w:noProof/>
                <w:webHidden/>
              </w:rPr>
              <w:fldChar w:fldCharType="begin"/>
            </w:r>
            <w:r w:rsidR="00904B1A">
              <w:rPr>
                <w:noProof/>
                <w:webHidden/>
              </w:rPr>
              <w:instrText xml:space="preserve"> PAGEREF _Toc21586232 \h </w:instrText>
            </w:r>
            <w:r w:rsidR="00904B1A">
              <w:rPr>
                <w:noProof/>
                <w:webHidden/>
              </w:rPr>
            </w:r>
            <w:r w:rsidR="00904B1A">
              <w:rPr>
                <w:noProof/>
                <w:webHidden/>
              </w:rPr>
              <w:fldChar w:fldCharType="separate"/>
            </w:r>
            <w:r>
              <w:rPr>
                <w:noProof/>
                <w:webHidden/>
              </w:rPr>
              <w:t>10</w:t>
            </w:r>
            <w:r w:rsidR="00904B1A">
              <w:rPr>
                <w:noProof/>
                <w:webHidden/>
              </w:rPr>
              <w:fldChar w:fldCharType="end"/>
            </w:r>
          </w:hyperlink>
        </w:p>
        <w:p w14:paraId="13FF29AA" w14:textId="75D3E9ED" w:rsidR="00904B1A" w:rsidRDefault="00651752">
          <w:pPr>
            <w:pStyle w:val="TM1"/>
            <w:tabs>
              <w:tab w:val="left" w:pos="1100"/>
              <w:tab w:val="right" w:leader="dot" w:pos="9060"/>
            </w:tabs>
            <w:rPr>
              <w:rFonts w:eastAsiaTheme="minorEastAsia"/>
              <w:noProof/>
              <w:lang w:eastAsia="fr-FR"/>
            </w:rPr>
          </w:pPr>
          <w:hyperlink w:anchor="_Toc21586233" w:history="1">
            <w:r w:rsidR="00904B1A" w:rsidRPr="00873609">
              <w:rPr>
                <w:rStyle w:val="Lienhypertexte"/>
                <w:noProof/>
              </w:rPr>
              <w:t>1.1.4.1.</w:t>
            </w:r>
            <w:r w:rsidR="00904B1A">
              <w:rPr>
                <w:rFonts w:eastAsiaTheme="minorEastAsia"/>
                <w:noProof/>
                <w:lang w:eastAsia="fr-FR"/>
              </w:rPr>
              <w:tab/>
            </w:r>
            <w:r w:rsidR="00904B1A" w:rsidRPr="00873609">
              <w:rPr>
                <w:rStyle w:val="Lienhypertexte"/>
                <w:noProof/>
              </w:rPr>
              <w:t>Formation initiale</w:t>
            </w:r>
            <w:r w:rsidR="00904B1A">
              <w:rPr>
                <w:noProof/>
                <w:webHidden/>
              </w:rPr>
              <w:tab/>
            </w:r>
            <w:r w:rsidR="00904B1A">
              <w:rPr>
                <w:noProof/>
                <w:webHidden/>
              </w:rPr>
              <w:fldChar w:fldCharType="begin"/>
            </w:r>
            <w:r w:rsidR="00904B1A">
              <w:rPr>
                <w:noProof/>
                <w:webHidden/>
              </w:rPr>
              <w:instrText xml:space="preserve"> PAGEREF _Toc21586233 \h </w:instrText>
            </w:r>
            <w:r w:rsidR="00904B1A">
              <w:rPr>
                <w:noProof/>
                <w:webHidden/>
              </w:rPr>
            </w:r>
            <w:r w:rsidR="00904B1A">
              <w:rPr>
                <w:noProof/>
                <w:webHidden/>
              </w:rPr>
              <w:fldChar w:fldCharType="separate"/>
            </w:r>
            <w:r>
              <w:rPr>
                <w:noProof/>
                <w:webHidden/>
              </w:rPr>
              <w:t>11</w:t>
            </w:r>
            <w:r w:rsidR="00904B1A">
              <w:rPr>
                <w:noProof/>
                <w:webHidden/>
              </w:rPr>
              <w:fldChar w:fldCharType="end"/>
            </w:r>
          </w:hyperlink>
        </w:p>
        <w:p w14:paraId="3EEE2770" w14:textId="5DC227E0" w:rsidR="00904B1A" w:rsidRDefault="00651752">
          <w:pPr>
            <w:pStyle w:val="TM1"/>
            <w:tabs>
              <w:tab w:val="left" w:pos="1100"/>
              <w:tab w:val="right" w:leader="dot" w:pos="9060"/>
            </w:tabs>
            <w:rPr>
              <w:rFonts w:eastAsiaTheme="minorEastAsia"/>
              <w:noProof/>
              <w:lang w:eastAsia="fr-FR"/>
            </w:rPr>
          </w:pPr>
          <w:hyperlink w:anchor="_Toc21586234" w:history="1">
            <w:r w:rsidR="00904B1A" w:rsidRPr="00873609">
              <w:rPr>
                <w:rStyle w:val="Lienhypertexte"/>
                <w:noProof/>
              </w:rPr>
              <w:t>1.1.4.2.</w:t>
            </w:r>
            <w:r w:rsidR="00904B1A">
              <w:rPr>
                <w:rFonts w:eastAsiaTheme="minorEastAsia"/>
                <w:noProof/>
                <w:lang w:eastAsia="fr-FR"/>
              </w:rPr>
              <w:tab/>
            </w:r>
            <w:r w:rsidR="00904B1A" w:rsidRPr="00873609">
              <w:rPr>
                <w:rStyle w:val="Lienhypertexte"/>
                <w:noProof/>
              </w:rPr>
              <w:t>Formation de spécialisation</w:t>
            </w:r>
            <w:r w:rsidR="00904B1A">
              <w:rPr>
                <w:noProof/>
                <w:webHidden/>
              </w:rPr>
              <w:tab/>
            </w:r>
            <w:r w:rsidR="00904B1A">
              <w:rPr>
                <w:noProof/>
                <w:webHidden/>
              </w:rPr>
              <w:fldChar w:fldCharType="begin"/>
            </w:r>
            <w:r w:rsidR="00904B1A">
              <w:rPr>
                <w:noProof/>
                <w:webHidden/>
              </w:rPr>
              <w:instrText xml:space="preserve"> PAGEREF _Toc21586234 \h </w:instrText>
            </w:r>
            <w:r w:rsidR="00904B1A">
              <w:rPr>
                <w:noProof/>
                <w:webHidden/>
              </w:rPr>
            </w:r>
            <w:r w:rsidR="00904B1A">
              <w:rPr>
                <w:noProof/>
                <w:webHidden/>
              </w:rPr>
              <w:fldChar w:fldCharType="separate"/>
            </w:r>
            <w:r>
              <w:rPr>
                <w:noProof/>
                <w:webHidden/>
              </w:rPr>
              <w:t>12</w:t>
            </w:r>
            <w:r w:rsidR="00904B1A">
              <w:rPr>
                <w:noProof/>
                <w:webHidden/>
              </w:rPr>
              <w:fldChar w:fldCharType="end"/>
            </w:r>
          </w:hyperlink>
        </w:p>
        <w:p w14:paraId="516BD4DE" w14:textId="7C80A319" w:rsidR="00904B1A" w:rsidRDefault="00651752">
          <w:pPr>
            <w:pStyle w:val="TM1"/>
            <w:tabs>
              <w:tab w:val="left" w:pos="1100"/>
              <w:tab w:val="right" w:leader="dot" w:pos="9060"/>
            </w:tabs>
            <w:rPr>
              <w:rFonts w:eastAsiaTheme="minorEastAsia"/>
              <w:noProof/>
              <w:lang w:eastAsia="fr-FR"/>
            </w:rPr>
          </w:pPr>
          <w:hyperlink w:anchor="_Toc21586235" w:history="1">
            <w:r w:rsidR="00904B1A" w:rsidRPr="00873609">
              <w:rPr>
                <w:rStyle w:val="Lienhypertexte"/>
                <w:noProof/>
              </w:rPr>
              <w:t>1.1.4.3.</w:t>
            </w:r>
            <w:r w:rsidR="00904B1A">
              <w:rPr>
                <w:rFonts w:eastAsiaTheme="minorEastAsia"/>
                <w:noProof/>
                <w:lang w:eastAsia="fr-FR"/>
              </w:rPr>
              <w:tab/>
            </w:r>
            <w:r w:rsidR="00904B1A" w:rsidRPr="00873609">
              <w:rPr>
                <w:rStyle w:val="Lienhypertexte"/>
                <w:noProof/>
              </w:rPr>
              <w:t>Formation continue</w:t>
            </w:r>
            <w:r w:rsidR="00904B1A">
              <w:rPr>
                <w:noProof/>
                <w:webHidden/>
              </w:rPr>
              <w:tab/>
            </w:r>
            <w:r w:rsidR="00904B1A">
              <w:rPr>
                <w:noProof/>
                <w:webHidden/>
              </w:rPr>
              <w:fldChar w:fldCharType="begin"/>
            </w:r>
            <w:r w:rsidR="00904B1A">
              <w:rPr>
                <w:noProof/>
                <w:webHidden/>
              </w:rPr>
              <w:instrText xml:space="preserve"> PAGEREF _Toc21586235 \h </w:instrText>
            </w:r>
            <w:r w:rsidR="00904B1A">
              <w:rPr>
                <w:noProof/>
                <w:webHidden/>
              </w:rPr>
            </w:r>
            <w:r w:rsidR="00904B1A">
              <w:rPr>
                <w:noProof/>
                <w:webHidden/>
              </w:rPr>
              <w:fldChar w:fldCharType="separate"/>
            </w:r>
            <w:r>
              <w:rPr>
                <w:noProof/>
                <w:webHidden/>
              </w:rPr>
              <w:t>13</w:t>
            </w:r>
            <w:r w:rsidR="00904B1A">
              <w:rPr>
                <w:noProof/>
                <w:webHidden/>
              </w:rPr>
              <w:fldChar w:fldCharType="end"/>
            </w:r>
          </w:hyperlink>
        </w:p>
        <w:p w14:paraId="30D2390B" w14:textId="6DFDF768" w:rsidR="00904B1A" w:rsidRDefault="00651752">
          <w:pPr>
            <w:pStyle w:val="TM1"/>
            <w:tabs>
              <w:tab w:val="left" w:pos="880"/>
              <w:tab w:val="right" w:leader="dot" w:pos="9060"/>
            </w:tabs>
            <w:rPr>
              <w:rFonts w:eastAsiaTheme="minorEastAsia"/>
              <w:noProof/>
              <w:lang w:eastAsia="fr-FR"/>
            </w:rPr>
          </w:pPr>
          <w:hyperlink w:anchor="_Toc21586236" w:history="1">
            <w:r w:rsidR="00904B1A" w:rsidRPr="00873609">
              <w:rPr>
                <w:rStyle w:val="Lienhypertexte"/>
                <w:noProof/>
              </w:rPr>
              <w:t>1.1.5.</w:t>
            </w:r>
            <w:r w:rsidR="00904B1A">
              <w:rPr>
                <w:rFonts w:eastAsiaTheme="minorEastAsia"/>
                <w:noProof/>
                <w:lang w:eastAsia="fr-FR"/>
              </w:rPr>
              <w:tab/>
            </w:r>
            <w:r w:rsidR="00904B1A" w:rsidRPr="00873609">
              <w:rPr>
                <w:rStyle w:val="Lienhypertexte"/>
                <w:noProof/>
              </w:rPr>
              <w:t>Recrutement</w:t>
            </w:r>
            <w:r w:rsidR="00904B1A">
              <w:rPr>
                <w:noProof/>
                <w:webHidden/>
              </w:rPr>
              <w:tab/>
            </w:r>
            <w:r w:rsidR="00904B1A">
              <w:rPr>
                <w:noProof/>
                <w:webHidden/>
              </w:rPr>
              <w:fldChar w:fldCharType="begin"/>
            </w:r>
            <w:r w:rsidR="00904B1A">
              <w:rPr>
                <w:noProof/>
                <w:webHidden/>
              </w:rPr>
              <w:instrText xml:space="preserve"> PAGEREF _Toc21586236 \h </w:instrText>
            </w:r>
            <w:r w:rsidR="00904B1A">
              <w:rPr>
                <w:noProof/>
                <w:webHidden/>
              </w:rPr>
            </w:r>
            <w:r w:rsidR="00904B1A">
              <w:rPr>
                <w:noProof/>
                <w:webHidden/>
              </w:rPr>
              <w:fldChar w:fldCharType="separate"/>
            </w:r>
            <w:r>
              <w:rPr>
                <w:noProof/>
                <w:webHidden/>
              </w:rPr>
              <w:t>14</w:t>
            </w:r>
            <w:r w:rsidR="00904B1A">
              <w:rPr>
                <w:noProof/>
                <w:webHidden/>
              </w:rPr>
              <w:fldChar w:fldCharType="end"/>
            </w:r>
          </w:hyperlink>
        </w:p>
        <w:p w14:paraId="0BE32029" w14:textId="43093E67" w:rsidR="00904B1A" w:rsidRDefault="00651752">
          <w:pPr>
            <w:pStyle w:val="TM1"/>
            <w:tabs>
              <w:tab w:val="left" w:pos="880"/>
              <w:tab w:val="right" w:leader="dot" w:pos="9060"/>
            </w:tabs>
            <w:rPr>
              <w:rFonts w:eastAsiaTheme="minorEastAsia"/>
              <w:noProof/>
              <w:lang w:eastAsia="fr-FR"/>
            </w:rPr>
          </w:pPr>
          <w:hyperlink w:anchor="_Toc21586237" w:history="1">
            <w:r w:rsidR="00904B1A" w:rsidRPr="00873609">
              <w:rPr>
                <w:rStyle w:val="Lienhypertexte"/>
                <w:noProof/>
              </w:rPr>
              <w:t>1.1.6.</w:t>
            </w:r>
            <w:r w:rsidR="00904B1A">
              <w:rPr>
                <w:rFonts w:eastAsiaTheme="minorEastAsia"/>
                <w:noProof/>
                <w:lang w:eastAsia="fr-FR"/>
              </w:rPr>
              <w:tab/>
            </w:r>
            <w:r w:rsidR="00904B1A" w:rsidRPr="00873609">
              <w:rPr>
                <w:rStyle w:val="Lienhypertexte"/>
                <w:noProof/>
              </w:rPr>
              <w:t>Gestion</w:t>
            </w:r>
            <w:r w:rsidR="00904B1A">
              <w:rPr>
                <w:noProof/>
                <w:webHidden/>
              </w:rPr>
              <w:tab/>
            </w:r>
            <w:r w:rsidR="00904B1A">
              <w:rPr>
                <w:noProof/>
                <w:webHidden/>
              </w:rPr>
              <w:fldChar w:fldCharType="begin"/>
            </w:r>
            <w:r w:rsidR="00904B1A">
              <w:rPr>
                <w:noProof/>
                <w:webHidden/>
              </w:rPr>
              <w:instrText xml:space="preserve"> PAGEREF _Toc21586237 \h </w:instrText>
            </w:r>
            <w:r w:rsidR="00904B1A">
              <w:rPr>
                <w:noProof/>
                <w:webHidden/>
              </w:rPr>
            </w:r>
            <w:r w:rsidR="00904B1A">
              <w:rPr>
                <w:noProof/>
                <w:webHidden/>
              </w:rPr>
              <w:fldChar w:fldCharType="separate"/>
            </w:r>
            <w:r>
              <w:rPr>
                <w:noProof/>
                <w:webHidden/>
              </w:rPr>
              <w:t>15</w:t>
            </w:r>
            <w:r w:rsidR="00904B1A">
              <w:rPr>
                <w:noProof/>
                <w:webHidden/>
              </w:rPr>
              <w:fldChar w:fldCharType="end"/>
            </w:r>
          </w:hyperlink>
        </w:p>
        <w:p w14:paraId="23556B1C" w14:textId="54ABC55E" w:rsidR="00904B1A" w:rsidRDefault="00651752">
          <w:pPr>
            <w:pStyle w:val="TM1"/>
            <w:tabs>
              <w:tab w:val="left" w:pos="1100"/>
              <w:tab w:val="right" w:leader="dot" w:pos="9060"/>
            </w:tabs>
            <w:rPr>
              <w:rFonts w:eastAsiaTheme="minorEastAsia"/>
              <w:noProof/>
              <w:lang w:eastAsia="fr-FR"/>
            </w:rPr>
          </w:pPr>
          <w:hyperlink w:anchor="_Toc21586238" w:history="1">
            <w:r w:rsidR="00904B1A" w:rsidRPr="00873609">
              <w:rPr>
                <w:rStyle w:val="Lienhypertexte"/>
                <w:noProof/>
              </w:rPr>
              <w:t>1.1.6.1.</w:t>
            </w:r>
            <w:r w:rsidR="00904B1A">
              <w:rPr>
                <w:rFonts w:eastAsiaTheme="minorEastAsia"/>
                <w:noProof/>
                <w:lang w:eastAsia="fr-FR"/>
              </w:rPr>
              <w:tab/>
            </w:r>
            <w:r w:rsidR="00904B1A" w:rsidRPr="00873609">
              <w:rPr>
                <w:rStyle w:val="Lienhypertexte"/>
                <w:noProof/>
              </w:rPr>
              <w:t>Cadre juridique et institutionnel</w:t>
            </w:r>
            <w:r w:rsidR="00904B1A">
              <w:rPr>
                <w:noProof/>
                <w:webHidden/>
              </w:rPr>
              <w:tab/>
            </w:r>
            <w:r w:rsidR="00904B1A">
              <w:rPr>
                <w:noProof/>
                <w:webHidden/>
              </w:rPr>
              <w:fldChar w:fldCharType="begin"/>
            </w:r>
            <w:r w:rsidR="00904B1A">
              <w:rPr>
                <w:noProof/>
                <w:webHidden/>
              </w:rPr>
              <w:instrText xml:space="preserve"> PAGEREF _Toc21586238 \h </w:instrText>
            </w:r>
            <w:r w:rsidR="00904B1A">
              <w:rPr>
                <w:noProof/>
                <w:webHidden/>
              </w:rPr>
            </w:r>
            <w:r w:rsidR="00904B1A">
              <w:rPr>
                <w:noProof/>
                <w:webHidden/>
              </w:rPr>
              <w:fldChar w:fldCharType="separate"/>
            </w:r>
            <w:r>
              <w:rPr>
                <w:noProof/>
                <w:webHidden/>
              </w:rPr>
              <w:t>15</w:t>
            </w:r>
            <w:r w:rsidR="00904B1A">
              <w:rPr>
                <w:noProof/>
                <w:webHidden/>
              </w:rPr>
              <w:fldChar w:fldCharType="end"/>
            </w:r>
          </w:hyperlink>
        </w:p>
        <w:p w14:paraId="1EFADD14" w14:textId="5CBF79B8" w:rsidR="00904B1A" w:rsidRDefault="00651752">
          <w:pPr>
            <w:pStyle w:val="TM1"/>
            <w:tabs>
              <w:tab w:val="left" w:pos="1100"/>
              <w:tab w:val="right" w:leader="dot" w:pos="9060"/>
            </w:tabs>
            <w:rPr>
              <w:rFonts w:eastAsiaTheme="minorEastAsia"/>
              <w:noProof/>
              <w:lang w:eastAsia="fr-FR"/>
            </w:rPr>
          </w:pPr>
          <w:hyperlink w:anchor="_Toc21586239" w:history="1">
            <w:r w:rsidR="00904B1A" w:rsidRPr="00873609">
              <w:rPr>
                <w:rStyle w:val="Lienhypertexte"/>
                <w:noProof/>
              </w:rPr>
              <w:t>1.1.6.2.</w:t>
            </w:r>
            <w:r w:rsidR="00904B1A">
              <w:rPr>
                <w:rFonts w:eastAsiaTheme="minorEastAsia"/>
                <w:noProof/>
                <w:lang w:eastAsia="fr-FR"/>
              </w:rPr>
              <w:tab/>
            </w:r>
            <w:r w:rsidR="00904B1A" w:rsidRPr="00873609">
              <w:rPr>
                <w:rStyle w:val="Lienhypertexte"/>
                <w:noProof/>
              </w:rPr>
              <w:t>Affectation, intégration et utilisation</w:t>
            </w:r>
            <w:r w:rsidR="00904B1A">
              <w:rPr>
                <w:noProof/>
                <w:webHidden/>
              </w:rPr>
              <w:tab/>
            </w:r>
            <w:r w:rsidR="00904B1A">
              <w:rPr>
                <w:noProof/>
                <w:webHidden/>
              </w:rPr>
              <w:fldChar w:fldCharType="begin"/>
            </w:r>
            <w:r w:rsidR="00904B1A">
              <w:rPr>
                <w:noProof/>
                <w:webHidden/>
              </w:rPr>
              <w:instrText xml:space="preserve"> PAGEREF _Toc21586239 \h </w:instrText>
            </w:r>
            <w:r w:rsidR="00904B1A">
              <w:rPr>
                <w:noProof/>
                <w:webHidden/>
              </w:rPr>
            </w:r>
            <w:r w:rsidR="00904B1A">
              <w:rPr>
                <w:noProof/>
                <w:webHidden/>
              </w:rPr>
              <w:fldChar w:fldCharType="separate"/>
            </w:r>
            <w:r>
              <w:rPr>
                <w:noProof/>
                <w:webHidden/>
              </w:rPr>
              <w:t>16</w:t>
            </w:r>
            <w:r w:rsidR="00904B1A">
              <w:rPr>
                <w:noProof/>
                <w:webHidden/>
              </w:rPr>
              <w:fldChar w:fldCharType="end"/>
            </w:r>
          </w:hyperlink>
        </w:p>
        <w:p w14:paraId="18FFFBD2" w14:textId="38AD6821" w:rsidR="00904B1A" w:rsidRDefault="00651752">
          <w:pPr>
            <w:pStyle w:val="TM1"/>
            <w:tabs>
              <w:tab w:val="left" w:pos="1100"/>
              <w:tab w:val="right" w:leader="dot" w:pos="9060"/>
            </w:tabs>
            <w:rPr>
              <w:rFonts w:eastAsiaTheme="minorEastAsia"/>
              <w:noProof/>
              <w:lang w:eastAsia="fr-FR"/>
            </w:rPr>
          </w:pPr>
          <w:hyperlink w:anchor="_Toc21586240" w:history="1">
            <w:r w:rsidR="00904B1A" w:rsidRPr="00873609">
              <w:rPr>
                <w:rStyle w:val="Lienhypertexte"/>
                <w:noProof/>
              </w:rPr>
              <w:t>1.1.6.3.</w:t>
            </w:r>
            <w:r w:rsidR="00904B1A">
              <w:rPr>
                <w:rFonts w:eastAsiaTheme="minorEastAsia"/>
                <w:noProof/>
                <w:lang w:eastAsia="fr-FR"/>
              </w:rPr>
              <w:tab/>
            </w:r>
            <w:r w:rsidR="00904B1A" w:rsidRPr="00873609">
              <w:rPr>
                <w:rStyle w:val="Lienhypertexte"/>
                <w:noProof/>
              </w:rPr>
              <w:t>Rendement</w:t>
            </w:r>
            <w:r w:rsidR="00904B1A">
              <w:rPr>
                <w:noProof/>
                <w:webHidden/>
              </w:rPr>
              <w:tab/>
            </w:r>
            <w:r w:rsidR="00904B1A">
              <w:rPr>
                <w:noProof/>
                <w:webHidden/>
              </w:rPr>
              <w:fldChar w:fldCharType="begin"/>
            </w:r>
            <w:r w:rsidR="00904B1A">
              <w:rPr>
                <w:noProof/>
                <w:webHidden/>
              </w:rPr>
              <w:instrText xml:space="preserve"> PAGEREF _Toc21586240 \h </w:instrText>
            </w:r>
            <w:r w:rsidR="00904B1A">
              <w:rPr>
                <w:noProof/>
                <w:webHidden/>
              </w:rPr>
            </w:r>
            <w:r w:rsidR="00904B1A">
              <w:rPr>
                <w:noProof/>
                <w:webHidden/>
              </w:rPr>
              <w:fldChar w:fldCharType="separate"/>
            </w:r>
            <w:r>
              <w:rPr>
                <w:noProof/>
                <w:webHidden/>
              </w:rPr>
              <w:t>17</w:t>
            </w:r>
            <w:r w:rsidR="00904B1A">
              <w:rPr>
                <w:noProof/>
                <w:webHidden/>
              </w:rPr>
              <w:fldChar w:fldCharType="end"/>
            </w:r>
          </w:hyperlink>
        </w:p>
        <w:p w14:paraId="2F6C5991" w14:textId="6F807D1F" w:rsidR="00904B1A" w:rsidRDefault="00651752">
          <w:pPr>
            <w:pStyle w:val="TM1"/>
            <w:tabs>
              <w:tab w:val="left" w:pos="1100"/>
              <w:tab w:val="right" w:leader="dot" w:pos="9060"/>
            </w:tabs>
            <w:rPr>
              <w:rFonts w:eastAsiaTheme="minorEastAsia"/>
              <w:noProof/>
              <w:lang w:eastAsia="fr-FR"/>
            </w:rPr>
          </w:pPr>
          <w:hyperlink w:anchor="_Toc21586241" w:history="1">
            <w:r w:rsidR="00904B1A" w:rsidRPr="00873609">
              <w:rPr>
                <w:rStyle w:val="Lienhypertexte"/>
                <w:noProof/>
              </w:rPr>
              <w:t>1.1.6.4.</w:t>
            </w:r>
            <w:r w:rsidR="00904B1A">
              <w:rPr>
                <w:rFonts w:eastAsiaTheme="minorEastAsia"/>
                <w:noProof/>
                <w:lang w:eastAsia="fr-FR"/>
              </w:rPr>
              <w:tab/>
            </w:r>
            <w:r w:rsidR="00904B1A" w:rsidRPr="00873609">
              <w:rPr>
                <w:rStyle w:val="Lienhypertexte"/>
                <w:noProof/>
              </w:rPr>
              <w:t>Départ pour la retraite à l’horizon 2024</w:t>
            </w:r>
            <w:r w:rsidR="00904B1A">
              <w:rPr>
                <w:noProof/>
                <w:webHidden/>
              </w:rPr>
              <w:tab/>
            </w:r>
            <w:r w:rsidR="00904B1A">
              <w:rPr>
                <w:noProof/>
                <w:webHidden/>
              </w:rPr>
              <w:fldChar w:fldCharType="begin"/>
            </w:r>
            <w:r w:rsidR="00904B1A">
              <w:rPr>
                <w:noProof/>
                <w:webHidden/>
              </w:rPr>
              <w:instrText xml:space="preserve"> PAGEREF _Toc21586241 \h </w:instrText>
            </w:r>
            <w:r w:rsidR="00904B1A">
              <w:rPr>
                <w:noProof/>
                <w:webHidden/>
              </w:rPr>
            </w:r>
            <w:r w:rsidR="00904B1A">
              <w:rPr>
                <w:noProof/>
                <w:webHidden/>
              </w:rPr>
              <w:fldChar w:fldCharType="separate"/>
            </w:r>
            <w:r>
              <w:rPr>
                <w:noProof/>
                <w:webHidden/>
              </w:rPr>
              <w:t>19</w:t>
            </w:r>
            <w:r w:rsidR="00904B1A">
              <w:rPr>
                <w:noProof/>
                <w:webHidden/>
              </w:rPr>
              <w:fldChar w:fldCharType="end"/>
            </w:r>
          </w:hyperlink>
        </w:p>
        <w:p w14:paraId="6AB4E4F1" w14:textId="2F4D04E0" w:rsidR="00904B1A" w:rsidRDefault="00651752" w:rsidP="00C23EA8">
          <w:pPr>
            <w:pStyle w:val="TM1"/>
            <w:tabs>
              <w:tab w:val="left" w:pos="1100"/>
              <w:tab w:val="right" w:leader="dot" w:pos="9060"/>
            </w:tabs>
            <w:ind w:left="1095" w:hanging="1095"/>
            <w:rPr>
              <w:rFonts w:eastAsiaTheme="minorEastAsia"/>
              <w:noProof/>
              <w:lang w:eastAsia="fr-FR"/>
            </w:rPr>
          </w:pPr>
          <w:hyperlink w:anchor="_Toc21586242" w:history="1">
            <w:r w:rsidR="00904B1A" w:rsidRPr="00873609">
              <w:rPr>
                <w:rStyle w:val="Lienhypertexte"/>
                <w:noProof/>
              </w:rPr>
              <w:t>1.1.6.5.</w:t>
            </w:r>
            <w:r w:rsidR="00904B1A">
              <w:rPr>
                <w:rFonts w:eastAsiaTheme="minorEastAsia"/>
                <w:noProof/>
                <w:lang w:eastAsia="fr-FR"/>
              </w:rPr>
              <w:tab/>
            </w:r>
            <w:r w:rsidR="00C23EA8">
              <w:rPr>
                <w:rFonts w:eastAsiaTheme="minorEastAsia"/>
                <w:noProof/>
                <w:lang w:eastAsia="fr-FR"/>
              </w:rPr>
              <w:tab/>
            </w:r>
            <w:r w:rsidR="00904B1A" w:rsidRPr="00873609">
              <w:rPr>
                <w:rStyle w:val="Lienhypertexte"/>
                <w:noProof/>
              </w:rPr>
              <w:t>Evolution prévisible des effectifs des professionnels de la santé du secteur public de 2019 à 2024</w:t>
            </w:r>
            <w:r w:rsidR="00904B1A">
              <w:rPr>
                <w:noProof/>
                <w:webHidden/>
              </w:rPr>
              <w:tab/>
            </w:r>
            <w:r w:rsidR="00904B1A">
              <w:rPr>
                <w:noProof/>
                <w:webHidden/>
              </w:rPr>
              <w:fldChar w:fldCharType="begin"/>
            </w:r>
            <w:r w:rsidR="00904B1A">
              <w:rPr>
                <w:noProof/>
                <w:webHidden/>
              </w:rPr>
              <w:instrText xml:space="preserve"> PAGEREF _Toc21586242 \h </w:instrText>
            </w:r>
            <w:r w:rsidR="00904B1A">
              <w:rPr>
                <w:noProof/>
                <w:webHidden/>
              </w:rPr>
            </w:r>
            <w:r w:rsidR="00904B1A">
              <w:rPr>
                <w:noProof/>
                <w:webHidden/>
              </w:rPr>
              <w:fldChar w:fldCharType="separate"/>
            </w:r>
            <w:r>
              <w:rPr>
                <w:noProof/>
                <w:webHidden/>
              </w:rPr>
              <w:t>19</w:t>
            </w:r>
            <w:r w:rsidR="00904B1A">
              <w:rPr>
                <w:noProof/>
                <w:webHidden/>
              </w:rPr>
              <w:fldChar w:fldCharType="end"/>
            </w:r>
          </w:hyperlink>
        </w:p>
        <w:p w14:paraId="38BFE684" w14:textId="38C0CD88" w:rsidR="00904B1A" w:rsidRDefault="00651752">
          <w:pPr>
            <w:pStyle w:val="TM1"/>
            <w:tabs>
              <w:tab w:val="left" w:pos="660"/>
              <w:tab w:val="right" w:leader="dot" w:pos="9060"/>
            </w:tabs>
            <w:rPr>
              <w:rFonts w:eastAsiaTheme="minorEastAsia"/>
              <w:noProof/>
              <w:lang w:eastAsia="fr-FR"/>
            </w:rPr>
          </w:pPr>
          <w:hyperlink w:anchor="_Toc21586243" w:history="1">
            <w:r w:rsidR="00904B1A" w:rsidRPr="00873609">
              <w:rPr>
                <w:rStyle w:val="Lienhypertexte"/>
                <w:noProof/>
              </w:rPr>
              <w:t>1.2.</w:t>
            </w:r>
            <w:r w:rsidR="00904B1A">
              <w:rPr>
                <w:rFonts w:eastAsiaTheme="minorEastAsia"/>
                <w:noProof/>
                <w:lang w:eastAsia="fr-FR"/>
              </w:rPr>
              <w:tab/>
            </w:r>
            <w:r w:rsidR="00904B1A" w:rsidRPr="00873609">
              <w:rPr>
                <w:rStyle w:val="Lienhypertexte"/>
                <w:noProof/>
              </w:rPr>
              <w:t>Problèmes prioritaires</w:t>
            </w:r>
            <w:r w:rsidR="00904B1A">
              <w:rPr>
                <w:noProof/>
                <w:webHidden/>
              </w:rPr>
              <w:tab/>
            </w:r>
            <w:r w:rsidR="00904B1A">
              <w:rPr>
                <w:noProof/>
                <w:webHidden/>
              </w:rPr>
              <w:fldChar w:fldCharType="begin"/>
            </w:r>
            <w:r w:rsidR="00904B1A">
              <w:rPr>
                <w:noProof/>
                <w:webHidden/>
              </w:rPr>
              <w:instrText xml:space="preserve"> PAGEREF _Toc21586243 \h </w:instrText>
            </w:r>
            <w:r w:rsidR="00904B1A">
              <w:rPr>
                <w:noProof/>
                <w:webHidden/>
              </w:rPr>
            </w:r>
            <w:r w:rsidR="00904B1A">
              <w:rPr>
                <w:noProof/>
                <w:webHidden/>
              </w:rPr>
              <w:fldChar w:fldCharType="separate"/>
            </w:r>
            <w:r>
              <w:rPr>
                <w:noProof/>
                <w:webHidden/>
              </w:rPr>
              <w:t>20</w:t>
            </w:r>
            <w:r w:rsidR="00904B1A">
              <w:rPr>
                <w:noProof/>
                <w:webHidden/>
              </w:rPr>
              <w:fldChar w:fldCharType="end"/>
            </w:r>
          </w:hyperlink>
        </w:p>
        <w:p w14:paraId="34FB1E2F" w14:textId="5799B12C" w:rsidR="00904B1A" w:rsidRDefault="00651752">
          <w:pPr>
            <w:pStyle w:val="TM1"/>
            <w:tabs>
              <w:tab w:val="left" w:pos="440"/>
              <w:tab w:val="right" w:leader="dot" w:pos="9060"/>
            </w:tabs>
            <w:rPr>
              <w:rFonts w:eastAsiaTheme="minorEastAsia"/>
              <w:noProof/>
              <w:lang w:eastAsia="fr-FR"/>
            </w:rPr>
          </w:pPr>
          <w:hyperlink w:anchor="_Toc21586244" w:history="1">
            <w:r w:rsidR="00904B1A" w:rsidRPr="00873609">
              <w:rPr>
                <w:rStyle w:val="Lienhypertexte"/>
                <w:noProof/>
              </w:rPr>
              <w:t>II.</w:t>
            </w:r>
            <w:r w:rsidR="00904B1A">
              <w:rPr>
                <w:rFonts w:eastAsiaTheme="minorEastAsia"/>
                <w:noProof/>
                <w:lang w:eastAsia="fr-FR"/>
              </w:rPr>
              <w:tab/>
            </w:r>
            <w:r w:rsidR="00904B1A" w:rsidRPr="00873609">
              <w:rPr>
                <w:rStyle w:val="Lienhypertexte"/>
                <w:noProof/>
              </w:rPr>
              <w:t>ORIENTATIONS STRATEGIQUES</w:t>
            </w:r>
            <w:r w:rsidR="00904B1A">
              <w:rPr>
                <w:noProof/>
                <w:webHidden/>
              </w:rPr>
              <w:tab/>
            </w:r>
            <w:r w:rsidR="00904B1A">
              <w:rPr>
                <w:noProof/>
                <w:webHidden/>
              </w:rPr>
              <w:fldChar w:fldCharType="begin"/>
            </w:r>
            <w:r w:rsidR="00904B1A">
              <w:rPr>
                <w:noProof/>
                <w:webHidden/>
              </w:rPr>
              <w:instrText xml:space="preserve"> PAGEREF _Toc21586244 \h </w:instrText>
            </w:r>
            <w:r w:rsidR="00904B1A">
              <w:rPr>
                <w:noProof/>
                <w:webHidden/>
              </w:rPr>
            </w:r>
            <w:r w:rsidR="00904B1A">
              <w:rPr>
                <w:noProof/>
                <w:webHidden/>
              </w:rPr>
              <w:fldChar w:fldCharType="separate"/>
            </w:r>
            <w:r>
              <w:rPr>
                <w:noProof/>
                <w:webHidden/>
              </w:rPr>
              <w:t>21</w:t>
            </w:r>
            <w:r w:rsidR="00904B1A">
              <w:rPr>
                <w:noProof/>
                <w:webHidden/>
              </w:rPr>
              <w:fldChar w:fldCharType="end"/>
            </w:r>
          </w:hyperlink>
        </w:p>
        <w:p w14:paraId="20C1CED0" w14:textId="3E2ECBDD" w:rsidR="00904B1A" w:rsidRDefault="00651752">
          <w:pPr>
            <w:pStyle w:val="TM2"/>
            <w:tabs>
              <w:tab w:val="left" w:pos="880"/>
              <w:tab w:val="right" w:leader="dot" w:pos="9060"/>
            </w:tabs>
            <w:rPr>
              <w:rFonts w:eastAsiaTheme="minorEastAsia"/>
              <w:noProof/>
              <w:lang w:eastAsia="fr-FR"/>
            </w:rPr>
          </w:pPr>
          <w:hyperlink w:anchor="_Toc21586245" w:history="1">
            <w:r w:rsidR="00904B1A" w:rsidRPr="00873609">
              <w:rPr>
                <w:rStyle w:val="Lienhypertexte"/>
                <w:noProof/>
              </w:rPr>
              <w:t>2.1.</w:t>
            </w:r>
            <w:r w:rsidR="00904B1A">
              <w:rPr>
                <w:rFonts w:eastAsiaTheme="minorEastAsia"/>
                <w:noProof/>
                <w:lang w:eastAsia="fr-FR"/>
              </w:rPr>
              <w:tab/>
            </w:r>
            <w:r w:rsidR="00904B1A" w:rsidRPr="00873609">
              <w:rPr>
                <w:rStyle w:val="Lienhypertexte"/>
                <w:noProof/>
              </w:rPr>
              <w:t>La vision</w:t>
            </w:r>
            <w:r w:rsidR="00904B1A">
              <w:rPr>
                <w:noProof/>
                <w:webHidden/>
              </w:rPr>
              <w:tab/>
            </w:r>
            <w:r w:rsidR="00904B1A">
              <w:rPr>
                <w:noProof/>
                <w:webHidden/>
              </w:rPr>
              <w:fldChar w:fldCharType="begin"/>
            </w:r>
            <w:r w:rsidR="00904B1A">
              <w:rPr>
                <w:noProof/>
                <w:webHidden/>
              </w:rPr>
              <w:instrText xml:space="preserve"> PAGEREF _Toc21586245 \h </w:instrText>
            </w:r>
            <w:r w:rsidR="00904B1A">
              <w:rPr>
                <w:noProof/>
                <w:webHidden/>
              </w:rPr>
            </w:r>
            <w:r w:rsidR="00904B1A">
              <w:rPr>
                <w:noProof/>
                <w:webHidden/>
              </w:rPr>
              <w:fldChar w:fldCharType="separate"/>
            </w:r>
            <w:r>
              <w:rPr>
                <w:noProof/>
                <w:webHidden/>
              </w:rPr>
              <w:t>21</w:t>
            </w:r>
            <w:r w:rsidR="00904B1A">
              <w:rPr>
                <w:noProof/>
                <w:webHidden/>
              </w:rPr>
              <w:fldChar w:fldCharType="end"/>
            </w:r>
          </w:hyperlink>
        </w:p>
        <w:p w14:paraId="4627BDF4" w14:textId="244F9FD3" w:rsidR="00904B1A" w:rsidRDefault="00651752">
          <w:pPr>
            <w:pStyle w:val="TM2"/>
            <w:tabs>
              <w:tab w:val="left" w:pos="880"/>
              <w:tab w:val="right" w:leader="dot" w:pos="9060"/>
            </w:tabs>
            <w:rPr>
              <w:rFonts w:eastAsiaTheme="minorEastAsia"/>
              <w:noProof/>
              <w:lang w:eastAsia="fr-FR"/>
            </w:rPr>
          </w:pPr>
          <w:hyperlink w:anchor="_Toc21586246" w:history="1">
            <w:r w:rsidR="00904B1A" w:rsidRPr="00873609">
              <w:rPr>
                <w:rStyle w:val="Lienhypertexte"/>
                <w:noProof/>
              </w:rPr>
              <w:t>2.2.</w:t>
            </w:r>
            <w:r w:rsidR="00904B1A">
              <w:rPr>
                <w:rFonts w:eastAsiaTheme="minorEastAsia"/>
                <w:noProof/>
                <w:lang w:eastAsia="fr-FR"/>
              </w:rPr>
              <w:tab/>
            </w:r>
            <w:r w:rsidR="00904B1A" w:rsidRPr="00873609">
              <w:rPr>
                <w:rStyle w:val="Lienhypertexte"/>
                <w:noProof/>
              </w:rPr>
              <w:t>Principes directeurs et valeurs de la politique</w:t>
            </w:r>
            <w:r w:rsidR="00904B1A">
              <w:rPr>
                <w:noProof/>
                <w:webHidden/>
              </w:rPr>
              <w:tab/>
            </w:r>
            <w:r w:rsidR="00904B1A">
              <w:rPr>
                <w:noProof/>
                <w:webHidden/>
              </w:rPr>
              <w:fldChar w:fldCharType="begin"/>
            </w:r>
            <w:r w:rsidR="00904B1A">
              <w:rPr>
                <w:noProof/>
                <w:webHidden/>
              </w:rPr>
              <w:instrText xml:space="preserve"> PAGEREF _Toc21586246 \h </w:instrText>
            </w:r>
            <w:r w:rsidR="00904B1A">
              <w:rPr>
                <w:noProof/>
                <w:webHidden/>
              </w:rPr>
            </w:r>
            <w:r w:rsidR="00904B1A">
              <w:rPr>
                <w:noProof/>
                <w:webHidden/>
              </w:rPr>
              <w:fldChar w:fldCharType="separate"/>
            </w:r>
            <w:r>
              <w:rPr>
                <w:noProof/>
                <w:webHidden/>
              </w:rPr>
              <w:t>21</w:t>
            </w:r>
            <w:r w:rsidR="00904B1A">
              <w:rPr>
                <w:noProof/>
                <w:webHidden/>
              </w:rPr>
              <w:fldChar w:fldCharType="end"/>
            </w:r>
          </w:hyperlink>
        </w:p>
        <w:p w14:paraId="7DAF22E9" w14:textId="1DB32085" w:rsidR="00904B1A" w:rsidRDefault="00651752">
          <w:pPr>
            <w:pStyle w:val="TM2"/>
            <w:tabs>
              <w:tab w:val="left" w:pos="880"/>
              <w:tab w:val="right" w:leader="dot" w:pos="9060"/>
            </w:tabs>
            <w:rPr>
              <w:rFonts w:eastAsiaTheme="minorEastAsia"/>
              <w:noProof/>
              <w:lang w:eastAsia="fr-FR"/>
            </w:rPr>
          </w:pPr>
          <w:hyperlink w:anchor="_Toc21586247" w:history="1">
            <w:r w:rsidR="00904B1A" w:rsidRPr="00873609">
              <w:rPr>
                <w:rStyle w:val="Lienhypertexte"/>
                <w:noProof/>
              </w:rPr>
              <w:t>2.3.</w:t>
            </w:r>
            <w:r w:rsidR="00904B1A">
              <w:rPr>
                <w:rFonts w:eastAsiaTheme="minorEastAsia"/>
                <w:noProof/>
                <w:lang w:eastAsia="fr-FR"/>
              </w:rPr>
              <w:tab/>
            </w:r>
            <w:r w:rsidR="00904B1A" w:rsidRPr="00873609">
              <w:rPr>
                <w:rStyle w:val="Lienhypertexte"/>
                <w:noProof/>
              </w:rPr>
              <w:t>Objectifs</w:t>
            </w:r>
            <w:r w:rsidR="00904B1A">
              <w:rPr>
                <w:noProof/>
                <w:webHidden/>
              </w:rPr>
              <w:tab/>
            </w:r>
            <w:r w:rsidR="00904B1A">
              <w:rPr>
                <w:noProof/>
                <w:webHidden/>
              </w:rPr>
              <w:fldChar w:fldCharType="begin"/>
            </w:r>
            <w:r w:rsidR="00904B1A">
              <w:rPr>
                <w:noProof/>
                <w:webHidden/>
              </w:rPr>
              <w:instrText xml:space="preserve"> PAGEREF _Toc21586247 \h </w:instrText>
            </w:r>
            <w:r w:rsidR="00904B1A">
              <w:rPr>
                <w:noProof/>
                <w:webHidden/>
              </w:rPr>
            </w:r>
            <w:r w:rsidR="00904B1A">
              <w:rPr>
                <w:noProof/>
                <w:webHidden/>
              </w:rPr>
              <w:fldChar w:fldCharType="separate"/>
            </w:r>
            <w:r>
              <w:rPr>
                <w:noProof/>
                <w:webHidden/>
              </w:rPr>
              <w:t>22</w:t>
            </w:r>
            <w:r w:rsidR="00904B1A">
              <w:rPr>
                <w:noProof/>
                <w:webHidden/>
              </w:rPr>
              <w:fldChar w:fldCharType="end"/>
            </w:r>
          </w:hyperlink>
        </w:p>
        <w:p w14:paraId="42DB4CB7" w14:textId="7BF35100" w:rsidR="00904B1A" w:rsidRDefault="00651752">
          <w:pPr>
            <w:pStyle w:val="TM2"/>
            <w:tabs>
              <w:tab w:val="left" w:pos="1100"/>
              <w:tab w:val="right" w:leader="dot" w:pos="9060"/>
            </w:tabs>
            <w:rPr>
              <w:rFonts w:eastAsiaTheme="minorEastAsia"/>
              <w:noProof/>
              <w:lang w:eastAsia="fr-FR"/>
            </w:rPr>
          </w:pPr>
          <w:hyperlink w:anchor="_Toc21586248" w:history="1">
            <w:r w:rsidR="00904B1A" w:rsidRPr="00873609">
              <w:rPr>
                <w:rStyle w:val="Lienhypertexte"/>
                <w:noProof/>
              </w:rPr>
              <w:t>2.3.1.</w:t>
            </w:r>
            <w:r w:rsidR="00904B1A">
              <w:rPr>
                <w:rFonts w:eastAsiaTheme="minorEastAsia"/>
                <w:noProof/>
                <w:lang w:eastAsia="fr-FR"/>
              </w:rPr>
              <w:tab/>
            </w:r>
            <w:r w:rsidR="00904B1A" w:rsidRPr="00873609">
              <w:rPr>
                <w:rStyle w:val="Lienhypertexte"/>
                <w:noProof/>
              </w:rPr>
              <w:t>Objectif général</w:t>
            </w:r>
            <w:r w:rsidR="00904B1A">
              <w:rPr>
                <w:noProof/>
                <w:webHidden/>
              </w:rPr>
              <w:tab/>
            </w:r>
            <w:r w:rsidR="00904B1A">
              <w:rPr>
                <w:noProof/>
                <w:webHidden/>
              </w:rPr>
              <w:fldChar w:fldCharType="begin"/>
            </w:r>
            <w:r w:rsidR="00904B1A">
              <w:rPr>
                <w:noProof/>
                <w:webHidden/>
              </w:rPr>
              <w:instrText xml:space="preserve"> PAGEREF _Toc21586248 \h </w:instrText>
            </w:r>
            <w:r w:rsidR="00904B1A">
              <w:rPr>
                <w:noProof/>
                <w:webHidden/>
              </w:rPr>
            </w:r>
            <w:r w:rsidR="00904B1A">
              <w:rPr>
                <w:noProof/>
                <w:webHidden/>
              </w:rPr>
              <w:fldChar w:fldCharType="separate"/>
            </w:r>
            <w:r>
              <w:rPr>
                <w:noProof/>
                <w:webHidden/>
              </w:rPr>
              <w:t>22</w:t>
            </w:r>
            <w:r w:rsidR="00904B1A">
              <w:rPr>
                <w:noProof/>
                <w:webHidden/>
              </w:rPr>
              <w:fldChar w:fldCharType="end"/>
            </w:r>
          </w:hyperlink>
        </w:p>
        <w:p w14:paraId="721ADCEC" w14:textId="4077602A" w:rsidR="00904B1A" w:rsidRDefault="00651752">
          <w:pPr>
            <w:pStyle w:val="TM2"/>
            <w:tabs>
              <w:tab w:val="left" w:pos="1100"/>
              <w:tab w:val="right" w:leader="dot" w:pos="9060"/>
            </w:tabs>
            <w:rPr>
              <w:rFonts w:eastAsiaTheme="minorEastAsia"/>
              <w:noProof/>
              <w:lang w:eastAsia="fr-FR"/>
            </w:rPr>
          </w:pPr>
          <w:hyperlink w:anchor="_Toc21586249" w:history="1">
            <w:r w:rsidR="00904B1A" w:rsidRPr="00873609">
              <w:rPr>
                <w:rStyle w:val="Lienhypertexte"/>
                <w:noProof/>
              </w:rPr>
              <w:t>2.3.2.</w:t>
            </w:r>
            <w:r w:rsidR="00904B1A">
              <w:rPr>
                <w:rFonts w:eastAsiaTheme="minorEastAsia"/>
                <w:noProof/>
                <w:lang w:eastAsia="fr-FR"/>
              </w:rPr>
              <w:tab/>
            </w:r>
            <w:r w:rsidR="00904B1A" w:rsidRPr="00873609">
              <w:rPr>
                <w:rStyle w:val="Lienhypertexte"/>
                <w:noProof/>
              </w:rPr>
              <w:t>Objectifs spécifiques</w:t>
            </w:r>
            <w:r w:rsidR="00904B1A">
              <w:rPr>
                <w:noProof/>
                <w:webHidden/>
              </w:rPr>
              <w:tab/>
            </w:r>
            <w:r w:rsidR="00904B1A">
              <w:rPr>
                <w:noProof/>
                <w:webHidden/>
              </w:rPr>
              <w:fldChar w:fldCharType="begin"/>
            </w:r>
            <w:r w:rsidR="00904B1A">
              <w:rPr>
                <w:noProof/>
                <w:webHidden/>
              </w:rPr>
              <w:instrText xml:space="preserve"> PAGEREF _Toc21586249 \h </w:instrText>
            </w:r>
            <w:r w:rsidR="00904B1A">
              <w:rPr>
                <w:noProof/>
                <w:webHidden/>
              </w:rPr>
            </w:r>
            <w:r w:rsidR="00904B1A">
              <w:rPr>
                <w:noProof/>
                <w:webHidden/>
              </w:rPr>
              <w:fldChar w:fldCharType="separate"/>
            </w:r>
            <w:r>
              <w:rPr>
                <w:noProof/>
                <w:webHidden/>
              </w:rPr>
              <w:t>22</w:t>
            </w:r>
            <w:r w:rsidR="00904B1A">
              <w:rPr>
                <w:noProof/>
                <w:webHidden/>
              </w:rPr>
              <w:fldChar w:fldCharType="end"/>
            </w:r>
          </w:hyperlink>
        </w:p>
        <w:p w14:paraId="0B9A3EC7" w14:textId="3EB10C24" w:rsidR="00904B1A" w:rsidRDefault="00651752">
          <w:pPr>
            <w:pStyle w:val="TM2"/>
            <w:tabs>
              <w:tab w:val="left" w:pos="880"/>
              <w:tab w:val="right" w:leader="dot" w:pos="9060"/>
            </w:tabs>
            <w:rPr>
              <w:rFonts w:eastAsiaTheme="minorEastAsia"/>
              <w:noProof/>
              <w:lang w:eastAsia="fr-FR"/>
            </w:rPr>
          </w:pPr>
          <w:hyperlink w:anchor="_Toc21586250" w:history="1">
            <w:r w:rsidR="00904B1A" w:rsidRPr="00873609">
              <w:rPr>
                <w:rStyle w:val="Lienhypertexte"/>
                <w:noProof/>
              </w:rPr>
              <w:t>2.4.</w:t>
            </w:r>
            <w:r w:rsidR="00904B1A">
              <w:rPr>
                <w:rFonts w:eastAsiaTheme="minorEastAsia"/>
                <w:noProof/>
                <w:lang w:eastAsia="fr-FR"/>
              </w:rPr>
              <w:tab/>
            </w:r>
            <w:r w:rsidR="00904B1A" w:rsidRPr="00873609">
              <w:rPr>
                <w:rStyle w:val="Lienhypertexte"/>
                <w:noProof/>
              </w:rPr>
              <w:t>Axes stratégiques</w:t>
            </w:r>
            <w:r w:rsidR="00904B1A">
              <w:rPr>
                <w:noProof/>
                <w:webHidden/>
              </w:rPr>
              <w:tab/>
            </w:r>
            <w:r w:rsidR="00904B1A">
              <w:rPr>
                <w:noProof/>
                <w:webHidden/>
              </w:rPr>
              <w:fldChar w:fldCharType="begin"/>
            </w:r>
            <w:r w:rsidR="00904B1A">
              <w:rPr>
                <w:noProof/>
                <w:webHidden/>
              </w:rPr>
              <w:instrText xml:space="preserve"> PAGEREF _Toc21586250 \h </w:instrText>
            </w:r>
            <w:r w:rsidR="00904B1A">
              <w:rPr>
                <w:noProof/>
                <w:webHidden/>
              </w:rPr>
            </w:r>
            <w:r w:rsidR="00904B1A">
              <w:rPr>
                <w:noProof/>
                <w:webHidden/>
              </w:rPr>
              <w:fldChar w:fldCharType="separate"/>
            </w:r>
            <w:r>
              <w:rPr>
                <w:noProof/>
                <w:webHidden/>
              </w:rPr>
              <w:t>22</w:t>
            </w:r>
            <w:r w:rsidR="00904B1A">
              <w:rPr>
                <w:noProof/>
                <w:webHidden/>
              </w:rPr>
              <w:fldChar w:fldCharType="end"/>
            </w:r>
          </w:hyperlink>
        </w:p>
        <w:p w14:paraId="37670148" w14:textId="292B9599" w:rsidR="00904B1A" w:rsidRDefault="00651752" w:rsidP="00C23EA8">
          <w:pPr>
            <w:pStyle w:val="TM2"/>
            <w:tabs>
              <w:tab w:val="left" w:pos="1100"/>
              <w:tab w:val="right" w:leader="dot" w:pos="9060"/>
            </w:tabs>
            <w:ind w:left="1090" w:hanging="870"/>
            <w:rPr>
              <w:rFonts w:eastAsiaTheme="minorEastAsia"/>
              <w:noProof/>
              <w:lang w:eastAsia="fr-FR"/>
            </w:rPr>
          </w:pPr>
          <w:hyperlink w:anchor="_Toc21586251" w:history="1">
            <w:r w:rsidR="00904B1A" w:rsidRPr="00873609">
              <w:rPr>
                <w:rStyle w:val="Lienhypertexte"/>
                <w:noProof/>
              </w:rPr>
              <w:t>2.4.1.</w:t>
            </w:r>
            <w:r w:rsidR="00904B1A">
              <w:rPr>
                <w:rFonts w:eastAsiaTheme="minorEastAsia"/>
                <w:noProof/>
                <w:lang w:eastAsia="fr-FR"/>
              </w:rPr>
              <w:tab/>
            </w:r>
            <w:r w:rsidR="00904B1A" w:rsidRPr="00873609">
              <w:rPr>
                <w:rStyle w:val="Lienhypertexte"/>
                <w:noProof/>
              </w:rPr>
              <w:t>Renforcement du cadre et des capacités institutionnelles de planification du développement des RHS</w:t>
            </w:r>
            <w:r w:rsidR="00904B1A">
              <w:rPr>
                <w:noProof/>
                <w:webHidden/>
              </w:rPr>
              <w:tab/>
            </w:r>
            <w:r w:rsidR="00904B1A">
              <w:rPr>
                <w:noProof/>
                <w:webHidden/>
              </w:rPr>
              <w:fldChar w:fldCharType="begin"/>
            </w:r>
            <w:r w:rsidR="00904B1A">
              <w:rPr>
                <w:noProof/>
                <w:webHidden/>
              </w:rPr>
              <w:instrText xml:space="preserve"> PAGEREF _Toc21586251 \h </w:instrText>
            </w:r>
            <w:r w:rsidR="00904B1A">
              <w:rPr>
                <w:noProof/>
                <w:webHidden/>
              </w:rPr>
            </w:r>
            <w:r w:rsidR="00904B1A">
              <w:rPr>
                <w:noProof/>
                <w:webHidden/>
              </w:rPr>
              <w:fldChar w:fldCharType="separate"/>
            </w:r>
            <w:r>
              <w:rPr>
                <w:noProof/>
                <w:webHidden/>
              </w:rPr>
              <w:t>23</w:t>
            </w:r>
            <w:r w:rsidR="00904B1A">
              <w:rPr>
                <w:noProof/>
                <w:webHidden/>
              </w:rPr>
              <w:fldChar w:fldCharType="end"/>
            </w:r>
          </w:hyperlink>
        </w:p>
        <w:p w14:paraId="05A8E859" w14:textId="0816E43B" w:rsidR="00904B1A" w:rsidRDefault="00651752" w:rsidP="00C23EA8">
          <w:pPr>
            <w:pStyle w:val="TM2"/>
            <w:tabs>
              <w:tab w:val="left" w:pos="1100"/>
              <w:tab w:val="right" w:leader="dot" w:pos="9060"/>
            </w:tabs>
            <w:ind w:left="1090" w:hanging="870"/>
            <w:rPr>
              <w:rFonts w:eastAsiaTheme="minorEastAsia"/>
              <w:noProof/>
              <w:lang w:eastAsia="fr-FR"/>
            </w:rPr>
          </w:pPr>
          <w:hyperlink w:anchor="_Toc21586252" w:history="1">
            <w:r w:rsidR="00904B1A" w:rsidRPr="00873609">
              <w:rPr>
                <w:rStyle w:val="Lienhypertexte"/>
                <w:noProof/>
              </w:rPr>
              <w:t>2.4.2.</w:t>
            </w:r>
            <w:r w:rsidR="00904B1A">
              <w:rPr>
                <w:rFonts w:eastAsiaTheme="minorEastAsia"/>
                <w:noProof/>
                <w:lang w:eastAsia="fr-FR"/>
              </w:rPr>
              <w:tab/>
            </w:r>
            <w:r w:rsidR="00904B1A" w:rsidRPr="00873609">
              <w:rPr>
                <w:rStyle w:val="Lienhypertexte"/>
                <w:noProof/>
              </w:rPr>
              <w:t>Renforcement du cadre et des capacités institutionnelles de Formation initiale, continue et de spécialisation des RHS</w:t>
            </w:r>
            <w:r w:rsidR="00904B1A">
              <w:rPr>
                <w:noProof/>
                <w:webHidden/>
              </w:rPr>
              <w:tab/>
            </w:r>
            <w:r w:rsidR="00904B1A">
              <w:rPr>
                <w:noProof/>
                <w:webHidden/>
              </w:rPr>
              <w:fldChar w:fldCharType="begin"/>
            </w:r>
            <w:r w:rsidR="00904B1A">
              <w:rPr>
                <w:noProof/>
                <w:webHidden/>
              </w:rPr>
              <w:instrText xml:space="preserve"> PAGEREF _Toc21586252 \h </w:instrText>
            </w:r>
            <w:r w:rsidR="00904B1A">
              <w:rPr>
                <w:noProof/>
                <w:webHidden/>
              </w:rPr>
            </w:r>
            <w:r w:rsidR="00904B1A">
              <w:rPr>
                <w:noProof/>
                <w:webHidden/>
              </w:rPr>
              <w:fldChar w:fldCharType="separate"/>
            </w:r>
            <w:r>
              <w:rPr>
                <w:noProof/>
                <w:webHidden/>
              </w:rPr>
              <w:t>24</w:t>
            </w:r>
            <w:r w:rsidR="00904B1A">
              <w:rPr>
                <w:noProof/>
                <w:webHidden/>
              </w:rPr>
              <w:fldChar w:fldCharType="end"/>
            </w:r>
          </w:hyperlink>
        </w:p>
        <w:p w14:paraId="3BE652DB" w14:textId="713E5025" w:rsidR="00904B1A" w:rsidRDefault="00651752">
          <w:pPr>
            <w:pStyle w:val="TM2"/>
            <w:tabs>
              <w:tab w:val="left" w:pos="1100"/>
              <w:tab w:val="right" w:leader="dot" w:pos="9060"/>
            </w:tabs>
            <w:rPr>
              <w:rFonts w:eastAsiaTheme="minorEastAsia"/>
              <w:noProof/>
              <w:lang w:eastAsia="fr-FR"/>
            </w:rPr>
          </w:pPr>
          <w:hyperlink w:anchor="_Toc21586253" w:history="1">
            <w:r w:rsidR="00904B1A" w:rsidRPr="00873609">
              <w:rPr>
                <w:rStyle w:val="Lienhypertexte"/>
                <w:noProof/>
              </w:rPr>
              <w:t>2.4.3.</w:t>
            </w:r>
            <w:r w:rsidR="00904B1A">
              <w:rPr>
                <w:rFonts w:eastAsiaTheme="minorEastAsia"/>
                <w:noProof/>
                <w:lang w:eastAsia="fr-FR"/>
              </w:rPr>
              <w:tab/>
            </w:r>
            <w:r w:rsidR="00904B1A" w:rsidRPr="00873609">
              <w:rPr>
                <w:rStyle w:val="Lienhypertexte"/>
                <w:noProof/>
              </w:rPr>
              <w:t>Renforcement du cadre et des capacités institutionnelles de Gestion/utilisation des RHS.</w:t>
            </w:r>
            <w:r w:rsidR="00904B1A">
              <w:rPr>
                <w:noProof/>
                <w:webHidden/>
              </w:rPr>
              <w:tab/>
            </w:r>
            <w:r w:rsidR="00904B1A">
              <w:rPr>
                <w:noProof/>
                <w:webHidden/>
              </w:rPr>
              <w:fldChar w:fldCharType="begin"/>
            </w:r>
            <w:r w:rsidR="00904B1A">
              <w:rPr>
                <w:noProof/>
                <w:webHidden/>
              </w:rPr>
              <w:instrText xml:space="preserve"> PAGEREF _Toc21586253 \h </w:instrText>
            </w:r>
            <w:r w:rsidR="00904B1A">
              <w:rPr>
                <w:noProof/>
                <w:webHidden/>
              </w:rPr>
            </w:r>
            <w:r w:rsidR="00904B1A">
              <w:rPr>
                <w:noProof/>
                <w:webHidden/>
              </w:rPr>
              <w:fldChar w:fldCharType="separate"/>
            </w:r>
            <w:r>
              <w:rPr>
                <w:noProof/>
                <w:webHidden/>
              </w:rPr>
              <w:t>28</w:t>
            </w:r>
            <w:r w:rsidR="00904B1A">
              <w:rPr>
                <w:noProof/>
                <w:webHidden/>
              </w:rPr>
              <w:fldChar w:fldCharType="end"/>
            </w:r>
          </w:hyperlink>
        </w:p>
        <w:p w14:paraId="0E058210" w14:textId="7E959BCA" w:rsidR="00904B1A" w:rsidRDefault="00651752">
          <w:pPr>
            <w:pStyle w:val="TM2"/>
            <w:tabs>
              <w:tab w:val="left" w:pos="660"/>
              <w:tab w:val="right" w:leader="dot" w:pos="9060"/>
            </w:tabs>
            <w:rPr>
              <w:rFonts w:eastAsiaTheme="minorEastAsia"/>
              <w:noProof/>
              <w:lang w:eastAsia="fr-FR"/>
            </w:rPr>
          </w:pPr>
          <w:hyperlink w:anchor="_Toc21586254" w:history="1">
            <w:r w:rsidR="00904B1A" w:rsidRPr="00873609">
              <w:rPr>
                <w:rStyle w:val="Lienhypertexte"/>
                <w:i/>
                <w:noProof/>
              </w:rPr>
              <w:t>a)</w:t>
            </w:r>
            <w:r w:rsidR="00904B1A">
              <w:rPr>
                <w:rFonts w:eastAsiaTheme="minorEastAsia"/>
                <w:noProof/>
                <w:lang w:eastAsia="fr-FR"/>
              </w:rPr>
              <w:tab/>
            </w:r>
            <w:r w:rsidR="00904B1A" w:rsidRPr="00873609">
              <w:rPr>
                <w:rStyle w:val="Lienhypertexte"/>
                <w:i/>
                <w:noProof/>
              </w:rPr>
              <w:t>Renforcement du cadre institutionnel de recrutement des RHS</w:t>
            </w:r>
            <w:r w:rsidR="00904B1A">
              <w:rPr>
                <w:noProof/>
                <w:webHidden/>
              </w:rPr>
              <w:tab/>
            </w:r>
            <w:r w:rsidR="00904B1A">
              <w:rPr>
                <w:noProof/>
                <w:webHidden/>
              </w:rPr>
              <w:fldChar w:fldCharType="begin"/>
            </w:r>
            <w:r w:rsidR="00904B1A">
              <w:rPr>
                <w:noProof/>
                <w:webHidden/>
              </w:rPr>
              <w:instrText xml:space="preserve"> PAGEREF _Toc21586254 \h </w:instrText>
            </w:r>
            <w:r w:rsidR="00904B1A">
              <w:rPr>
                <w:noProof/>
                <w:webHidden/>
              </w:rPr>
            </w:r>
            <w:r w:rsidR="00904B1A">
              <w:rPr>
                <w:noProof/>
                <w:webHidden/>
              </w:rPr>
              <w:fldChar w:fldCharType="separate"/>
            </w:r>
            <w:r>
              <w:rPr>
                <w:noProof/>
                <w:webHidden/>
              </w:rPr>
              <w:t>28</w:t>
            </w:r>
            <w:r w:rsidR="00904B1A">
              <w:rPr>
                <w:noProof/>
                <w:webHidden/>
              </w:rPr>
              <w:fldChar w:fldCharType="end"/>
            </w:r>
          </w:hyperlink>
        </w:p>
        <w:p w14:paraId="045B65E0" w14:textId="4C869A6E" w:rsidR="00904B1A" w:rsidRDefault="00651752" w:rsidP="00C23EA8">
          <w:pPr>
            <w:pStyle w:val="TM2"/>
            <w:tabs>
              <w:tab w:val="left" w:pos="660"/>
              <w:tab w:val="right" w:leader="dot" w:pos="9060"/>
            </w:tabs>
            <w:ind w:left="655" w:hanging="435"/>
            <w:rPr>
              <w:rFonts w:eastAsiaTheme="minorEastAsia"/>
              <w:noProof/>
              <w:lang w:eastAsia="fr-FR"/>
            </w:rPr>
          </w:pPr>
          <w:hyperlink w:anchor="_Toc21586255" w:history="1">
            <w:r w:rsidR="00904B1A" w:rsidRPr="00873609">
              <w:rPr>
                <w:rStyle w:val="Lienhypertexte"/>
                <w:i/>
                <w:noProof/>
              </w:rPr>
              <w:t>b)</w:t>
            </w:r>
            <w:r w:rsidR="00904B1A">
              <w:rPr>
                <w:rFonts w:eastAsiaTheme="minorEastAsia"/>
                <w:noProof/>
                <w:lang w:eastAsia="fr-FR"/>
              </w:rPr>
              <w:tab/>
            </w:r>
            <w:r w:rsidR="00904B1A" w:rsidRPr="00873609">
              <w:rPr>
                <w:rStyle w:val="Lienhypertexte"/>
                <w:i/>
                <w:noProof/>
              </w:rPr>
              <w:t>Mise en place d’une stratégie d’accueil et d’intégration des nouveaux personnels dans les lieux d’affectation</w:t>
            </w:r>
            <w:r w:rsidR="00904B1A">
              <w:rPr>
                <w:noProof/>
                <w:webHidden/>
              </w:rPr>
              <w:tab/>
            </w:r>
            <w:r w:rsidR="00904B1A">
              <w:rPr>
                <w:noProof/>
                <w:webHidden/>
              </w:rPr>
              <w:fldChar w:fldCharType="begin"/>
            </w:r>
            <w:r w:rsidR="00904B1A">
              <w:rPr>
                <w:noProof/>
                <w:webHidden/>
              </w:rPr>
              <w:instrText xml:space="preserve"> PAGEREF _Toc21586255 \h </w:instrText>
            </w:r>
            <w:r w:rsidR="00904B1A">
              <w:rPr>
                <w:noProof/>
                <w:webHidden/>
              </w:rPr>
            </w:r>
            <w:r w:rsidR="00904B1A">
              <w:rPr>
                <w:noProof/>
                <w:webHidden/>
              </w:rPr>
              <w:fldChar w:fldCharType="separate"/>
            </w:r>
            <w:r>
              <w:rPr>
                <w:noProof/>
                <w:webHidden/>
              </w:rPr>
              <w:t>29</w:t>
            </w:r>
            <w:r w:rsidR="00904B1A">
              <w:rPr>
                <w:noProof/>
                <w:webHidden/>
              </w:rPr>
              <w:fldChar w:fldCharType="end"/>
            </w:r>
          </w:hyperlink>
        </w:p>
        <w:p w14:paraId="415FEF7B" w14:textId="62DF4626" w:rsidR="00904B1A" w:rsidRDefault="00651752">
          <w:pPr>
            <w:pStyle w:val="TM2"/>
            <w:tabs>
              <w:tab w:val="left" w:pos="660"/>
              <w:tab w:val="right" w:leader="dot" w:pos="9060"/>
            </w:tabs>
            <w:rPr>
              <w:rFonts w:eastAsiaTheme="minorEastAsia"/>
              <w:noProof/>
              <w:lang w:eastAsia="fr-FR"/>
            </w:rPr>
          </w:pPr>
          <w:hyperlink w:anchor="_Toc21586256" w:history="1">
            <w:r w:rsidR="00904B1A" w:rsidRPr="00873609">
              <w:rPr>
                <w:rStyle w:val="Lienhypertexte"/>
                <w:i/>
                <w:noProof/>
              </w:rPr>
              <w:t>c)</w:t>
            </w:r>
            <w:r w:rsidR="00904B1A">
              <w:rPr>
                <w:rFonts w:eastAsiaTheme="minorEastAsia"/>
                <w:noProof/>
                <w:lang w:eastAsia="fr-FR"/>
              </w:rPr>
              <w:tab/>
            </w:r>
            <w:r w:rsidR="00904B1A" w:rsidRPr="00873609">
              <w:rPr>
                <w:rStyle w:val="Lienhypertexte"/>
                <w:i/>
                <w:noProof/>
              </w:rPr>
              <w:t>Amélioration de la répartition des personnels de santé</w:t>
            </w:r>
            <w:r w:rsidR="00904B1A">
              <w:rPr>
                <w:noProof/>
                <w:webHidden/>
              </w:rPr>
              <w:tab/>
            </w:r>
            <w:r w:rsidR="00904B1A">
              <w:rPr>
                <w:noProof/>
                <w:webHidden/>
              </w:rPr>
              <w:fldChar w:fldCharType="begin"/>
            </w:r>
            <w:r w:rsidR="00904B1A">
              <w:rPr>
                <w:noProof/>
                <w:webHidden/>
              </w:rPr>
              <w:instrText xml:space="preserve"> PAGEREF _Toc21586256 \h </w:instrText>
            </w:r>
            <w:r w:rsidR="00904B1A">
              <w:rPr>
                <w:noProof/>
                <w:webHidden/>
              </w:rPr>
            </w:r>
            <w:r w:rsidR="00904B1A">
              <w:rPr>
                <w:noProof/>
                <w:webHidden/>
              </w:rPr>
              <w:fldChar w:fldCharType="separate"/>
            </w:r>
            <w:r>
              <w:rPr>
                <w:noProof/>
                <w:webHidden/>
              </w:rPr>
              <w:t>29</w:t>
            </w:r>
            <w:r w:rsidR="00904B1A">
              <w:rPr>
                <w:noProof/>
                <w:webHidden/>
              </w:rPr>
              <w:fldChar w:fldCharType="end"/>
            </w:r>
          </w:hyperlink>
        </w:p>
        <w:p w14:paraId="187328DD" w14:textId="2A9317FE" w:rsidR="00904B1A" w:rsidRDefault="00651752">
          <w:pPr>
            <w:pStyle w:val="TM2"/>
            <w:tabs>
              <w:tab w:val="left" w:pos="660"/>
              <w:tab w:val="right" w:leader="dot" w:pos="9060"/>
            </w:tabs>
            <w:rPr>
              <w:rFonts w:eastAsiaTheme="minorEastAsia"/>
              <w:noProof/>
              <w:lang w:eastAsia="fr-FR"/>
            </w:rPr>
          </w:pPr>
          <w:hyperlink w:anchor="_Toc21586257" w:history="1">
            <w:r w:rsidR="00904B1A" w:rsidRPr="00873609">
              <w:rPr>
                <w:rStyle w:val="Lienhypertexte"/>
                <w:i/>
                <w:noProof/>
              </w:rPr>
              <w:t>d)</w:t>
            </w:r>
            <w:r w:rsidR="00904B1A">
              <w:rPr>
                <w:rFonts w:eastAsiaTheme="minorEastAsia"/>
                <w:noProof/>
                <w:lang w:eastAsia="fr-FR"/>
              </w:rPr>
              <w:tab/>
            </w:r>
            <w:r w:rsidR="00904B1A" w:rsidRPr="00873609">
              <w:rPr>
                <w:rStyle w:val="Lienhypertexte"/>
                <w:i/>
                <w:noProof/>
              </w:rPr>
              <w:t>Mise en œuvre d’une stratégie de motivation et de fidélisation</w:t>
            </w:r>
            <w:r w:rsidR="00904B1A">
              <w:rPr>
                <w:noProof/>
                <w:webHidden/>
              </w:rPr>
              <w:tab/>
            </w:r>
            <w:r w:rsidR="00904B1A">
              <w:rPr>
                <w:noProof/>
                <w:webHidden/>
              </w:rPr>
              <w:fldChar w:fldCharType="begin"/>
            </w:r>
            <w:r w:rsidR="00904B1A">
              <w:rPr>
                <w:noProof/>
                <w:webHidden/>
              </w:rPr>
              <w:instrText xml:space="preserve"> PAGEREF _Toc21586257 \h </w:instrText>
            </w:r>
            <w:r w:rsidR="00904B1A">
              <w:rPr>
                <w:noProof/>
                <w:webHidden/>
              </w:rPr>
            </w:r>
            <w:r w:rsidR="00904B1A">
              <w:rPr>
                <w:noProof/>
                <w:webHidden/>
              </w:rPr>
              <w:fldChar w:fldCharType="separate"/>
            </w:r>
            <w:r>
              <w:rPr>
                <w:noProof/>
                <w:webHidden/>
              </w:rPr>
              <w:t>29</w:t>
            </w:r>
            <w:r w:rsidR="00904B1A">
              <w:rPr>
                <w:noProof/>
                <w:webHidden/>
              </w:rPr>
              <w:fldChar w:fldCharType="end"/>
            </w:r>
          </w:hyperlink>
        </w:p>
        <w:p w14:paraId="14F35E56" w14:textId="680C2C3C" w:rsidR="00904B1A" w:rsidRDefault="00651752">
          <w:pPr>
            <w:pStyle w:val="TM2"/>
            <w:tabs>
              <w:tab w:val="left" w:pos="660"/>
              <w:tab w:val="right" w:leader="dot" w:pos="9060"/>
            </w:tabs>
            <w:rPr>
              <w:rFonts w:eastAsiaTheme="minorEastAsia"/>
              <w:noProof/>
              <w:lang w:eastAsia="fr-FR"/>
            </w:rPr>
          </w:pPr>
          <w:hyperlink w:anchor="_Toc21586258" w:history="1">
            <w:r w:rsidR="00904B1A" w:rsidRPr="00873609">
              <w:rPr>
                <w:rStyle w:val="Lienhypertexte"/>
                <w:i/>
                <w:noProof/>
              </w:rPr>
              <w:t>e)</w:t>
            </w:r>
            <w:r w:rsidR="00904B1A">
              <w:rPr>
                <w:rFonts w:eastAsiaTheme="minorEastAsia"/>
                <w:noProof/>
                <w:lang w:eastAsia="fr-FR"/>
              </w:rPr>
              <w:tab/>
            </w:r>
            <w:r w:rsidR="00904B1A" w:rsidRPr="00873609">
              <w:rPr>
                <w:rStyle w:val="Lienhypertexte"/>
                <w:i/>
                <w:noProof/>
              </w:rPr>
              <w:t>Amélioration du cadre institutionnel de gestion des carrières</w:t>
            </w:r>
            <w:r w:rsidR="00904B1A">
              <w:rPr>
                <w:noProof/>
                <w:webHidden/>
              </w:rPr>
              <w:tab/>
            </w:r>
            <w:r w:rsidR="00904B1A">
              <w:rPr>
                <w:noProof/>
                <w:webHidden/>
              </w:rPr>
              <w:fldChar w:fldCharType="begin"/>
            </w:r>
            <w:r w:rsidR="00904B1A">
              <w:rPr>
                <w:noProof/>
                <w:webHidden/>
              </w:rPr>
              <w:instrText xml:space="preserve"> PAGEREF _Toc21586258 \h </w:instrText>
            </w:r>
            <w:r w:rsidR="00904B1A">
              <w:rPr>
                <w:noProof/>
                <w:webHidden/>
              </w:rPr>
            </w:r>
            <w:r w:rsidR="00904B1A">
              <w:rPr>
                <w:noProof/>
                <w:webHidden/>
              </w:rPr>
              <w:fldChar w:fldCharType="separate"/>
            </w:r>
            <w:r>
              <w:rPr>
                <w:noProof/>
                <w:webHidden/>
              </w:rPr>
              <w:t>29</w:t>
            </w:r>
            <w:r w:rsidR="00904B1A">
              <w:rPr>
                <w:noProof/>
                <w:webHidden/>
              </w:rPr>
              <w:fldChar w:fldCharType="end"/>
            </w:r>
          </w:hyperlink>
        </w:p>
        <w:p w14:paraId="5776B79F" w14:textId="3609E625" w:rsidR="00904B1A" w:rsidRDefault="00651752">
          <w:pPr>
            <w:pStyle w:val="TM1"/>
            <w:tabs>
              <w:tab w:val="left" w:pos="660"/>
              <w:tab w:val="right" w:leader="dot" w:pos="9060"/>
            </w:tabs>
            <w:rPr>
              <w:rFonts w:eastAsiaTheme="minorEastAsia"/>
              <w:noProof/>
              <w:lang w:eastAsia="fr-FR"/>
            </w:rPr>
          </w:pPr>
          <w:hyperlink w:anchor="_Toc21586259" w:history="1">
            <w:r w:rsidR="00904B1A" w:rsidRPr="00873609">
              <w:rPr>
                <w:rStyle w:val="Lienhypertexte"/>
                <w:noProof/>
              </w:rPr>
              <w:t>III.</w:t>
            </w:r>
            <w:r w:rsidR="00904B1A">
              <w:rPr>
                <w:rFonts w:eastAsiaTheme="minorEastAsia"/>
                <w:noProof/>
                <w:lang w:eastAsia="fr-FR"/>
              </w:rPr>
              <w:tab/>
            </w:r>
            <w:r w:rsidR="00904B1A" w:rsidRPr="00873609">
              <w:rPr>
                <w:rStyle w:val="Lienhypertexte"/>
                <w:noProof/>
              </w:rPr>
              <w:t>CADRE DE MISE EN ŒUVRE, SUIVI ET EVALUATION DE LA POLITIQUE</w:t>
            </w:r>
            <w:r w:rsidR="00904B1A">
              <w:rPr>
                <w:noProof/>
                <w:webHidden/>
              </w:rPr>
              <w:tab/>
            </w:r>
            <w:r w:rsidR="00904B1A">
              <w:rPr>
                <w:noProof/>
                <w:webHidden/>
              </w:rPr>
              <w:fldChar w:fldCharType="begin"/>
            </w:r>
            <w:r w:rsidR="00904B1A">
              <w:rPr>
                <w:noProof/>
                <w:webHidden/>
              </w:rPr>
              <w:instrText xml:space="preserve"> PAGEREF _Toc21586259 \h </w:instrText>
            </w:r>
            <w:r w:rsidR="00904B1A">
              <w:rPr>
                <w:noProof/>
                <w:webHidden/>
              </w:rPr>
            </w:r>
            <w:r w:rsidR="00904B1A">
              <w:rPr>
                <w:noProof/>
                <w:webHidden/>
              </w:rPr>
              <w:fldChar w:fldCharType="separate"/>
            </w:r>
            <w:r>
              <w:rPr>
                <w:noProof/>
                <w:webHidden/>
              </w:rPr>
              <w:t>31</w:t>
            </w:r>
            <w:r w:rsidR="00904B1A">
              <w:rPr>
                <w:noProof/>
                <w:webHidden/>
              </w:rPr>
              <w:fldChar w:fldCharType="end"/>
            </w:r>
          </w:hyperlink>
        </w:p>
        <w:p w14:paraId="006F3950" w14:textId="34CEE5F2" w:rsidR="00904B1A" w:rsidRDefault="00651752">
          <w:pPr>
            <w:pStyle w:val="TM1"/>
            <w:tabs>
              <w:tab w:val="right" w:leader="dot" w:pos="9060"/>
            </w:tabs>
            <w:rPr>
              <w:rFonts w:eastAsiaTheme="minorEastAsia"/>
              <w:noProof/>
              <w:lang w:eastAsia="fr-FR"/>
            </w:rPr>
          </w:pPr>
          <w:hyperlink w:anchor="_Toc21586260" w:history="1">
            <w:r w:rsidR="00904B1A" w:rsidRPr="00873609">
              <w:rPr>
                <w:rStyle w:val="Lienhypertexte"/>
                <w:noProof/>
              </w:rPr>
              <w:t>CONCLUSION</w:t>
            </w:r>
            <w:r w:rsidR="00904B1A">
              <w:rPr>
                <w:noProof/>
                <w:webHidden/>
              </w:rPr>
              <w:tab/>
            </w:r>
            <w:r w:rsidR="00904B1A">
              <w:rPr>
                <w:noProof/>
                <w:webHidden/>
              </w:rPr>
              <w:fldChar w:fldCharType="begin"/>
            </w:r>
            <w:r w:rsidR="00904B1A">
              <w:rPr>
                <w:noProof/>
                <w:webHidden/>
              </w:rPr>
              <w:instrText xml:space="preserve"> PAGEREF _Toc21586260 \h </w:instrText>
            </w:r>
            <w:r w:rsidR="00904B1A">
              <w:rPr>
                <w:noProof/>
                <w:webHidden/>
              </w:rPr>
            </w:r>
            <w:r w:rsidR="00904B1A">
              <w:rPr>
                <w:noProof/>
                <w:webHidden/>
              </w:rPr>
              <w:fldChar w:fldCharType="separate"/>
            </w:r>
            <w:r>
              <w:rPr>
                <w:noProof/>
                <w:webHidden/>
              </w:rPr>
              <w:t>32</w:t>
            </w:r>
            <w:r w:rsidR="00904B1A">
              <w:rPr>
                <w:noProof/>
                <w:webHidden/>
              </w:rPr>
              <w:fldChar w:fldCharType="end"/>
            </w:r>
          </w:hyperlink>
        </w:p>
        <w:p w14:paraId="45F670C7" w14:textId="77777777" w:rsidR="000142F6" w:rsidRDefault="000142F6">
          <w:r>
            <w:rPr>
              <w:b/>
              <w:bCs/>
            </w:rPr>
            <w:fldChar w:fldCharType="end"/>
          </w:r>
        </w:p>
      </w:sdtContent>
    </w:sdt>
    <w:p w14:paraId="1A515D69" w14:textId="77777777" w:rsidR="00037080" w:rsidRDefault="00037080">
      <w:pPr>
        <w:rPr>
          <w:rFonts w:asciiTheme="majorHAnsi" w:eastAsiaTheme="majorEastAsia" w:hAnsiTheme="majorHAnsi" w:cstheme="majorBidi"/>
          <w:b/>
          <w:bCs/>
          <w:color w:val="365F91" w:themeColor="accent1" w:themeShade="BF"/>
          <w:sz w:val="28"/>
          <w:szCs w:val="28"/>
        </w:rPr>
      </w:pPr>
      <w:r>
        <w:br w:type="page"/>
      </w:r>
    </w:p>
    <w:p w14:paraId="3E793F4A" w14:textId="77777777" w:rsidR="009646F8" w:rsidRDefault="0037110F" w:rsidP="003C558F">
      <w:pPr>
        <w:pStyle w:val="Titre1"/>
        <w:spacing w:after="360"/>
        <w:rPr>
          <w:b w:val="0"/>
        </w:rPr>
      </w:pPr>
      <w:bookmarkStart w:id="1" w:name="_Toc21586225"/>
      <w:r>
        <w:t>PRE</w:t>
      </w:r>
      <w:r w:rsidR="00687DB6">
        <w:t>FACE</w:t>
      </w:r>
      <w:bookmarkEnd w:id="1"/>
      <w:r w:rsidR="00717929">
        <w:tab/>
      </w:r>
    </w:p>
    <w:p w14:paraId="4C7DD1EC" w14:textId="77777777" w:rsidR="003C558F" w:rsidRPr="0097670B" w:rsidRDefault="003C558F" w:rsidP="003C558F">
      <w:pPr>
        <w:spacing w:before="120" w:after="120" w:line="280" w:lineRule="exact"/>
        <w:jc w:val="both"/>
        <w:rPr>
          <w:sz w:val="24"/>
          <w:szCs w:val="28"/>
        </w:rPr>
      </w:pPr>
      <w:r w:rsidRPr="0097670B">
        <w:rPr>
          <w:sz w:val="24"/>
          <w:szCs w:val="28"/>
        </w:rPr>
        <w:t xml:space="preserve">En République de Guinée, la Constitution fait de la santé un droit du citoyen guinéen, facteur indispensable pour la jouissance des autres droits fondamentaux. </w:t>
      </w:r>
    </w:p>
    <w:p w14:paraId="11EB34FC" w14:textId="77777777" w:rsidR="003C558F" w:rsidRPr="0097670B" w:rsidRDefault="003C558F" w:rsidP="003C558F">
      <w:pPr>
        <w:spacing w:before="120" w:after="120" w:line="280" w:lineRule="exact"/>
        <w:jc w:val="both"/>
        <w:rPr>
          <w:sz w:val="24"/>
          <w:szCs w:val="28"/>
        </w:rPr>
      </w:pPr>
      <w:r w:rsidRPr="0097670B">
        <w:rPr>
          <w:sz w:val="24"/>
          <w:szCs w:val="28"/>
        </w:rPr>
        <w:t>La Politique Nationale de Santé, l’instrument d’exécution de cette disposition constitutionnelle, s’intègre dans la politique globale du développement du pays.  Elle repose sur la santé communautaire et le renforcement du système de santé en vue de l’accès universel aux services et soins essentiels de santé.</w:t>
      </w:r>
    </w:p>
    <w:p w14:paraId="075C70C1" w14:textId="77777777" w:rsidR="003C558F" w:rsidRPr="0097670B" w:rsidRDefault="003C558F" w:rsidP="00020D5E">
      <w:pPr>
        <w:pStyle w:val="Titre"/>
        <w:widowControl w:val="0"/>
        <w:spacing w:before="120" w:after="120" w:line="280" w:lineRule="exact"/>
        <w:jc w:val="both"/>
        <w:rPr>
          <w:rFonts w:asciiTheme="minorHAnsi" w:eastAsiaTheme="minorHAnsi" w:hAnsiTheme="minorHAnsi" w:cstheme="minorBidi"/>
          <w:spacing w:val="0"/>
          <w:kern w:val="0"/>
          <w:sz w:val="24"/>
          <w:szCs w:val="28"/>
          <w:lang w:val="fr-FR"/>
        </w:rPr>
      </w:pPr>
      <w:r w:rsidRPr="0097670B">
        <w:rPr>
          <w:rFonts w:asciiTheme="minorHAnsi" w:eastAsiaTheme="minorHAnsi" w:hAnsiTheme="minorHAnsi" w:cstheme="minorBidi"/>
          <w:spacing w:val="0"/>
          <w:kern w:val="0"/>
          <w:sz w:val="24"/>
          <w:szCs w:val="28"/>
          <w:lang w:val="fr-FR"/>
        </w:rPr>
        <w:t xml:space="preserve">La Politique Nationale de Santé, pour sa mise en œuvre, a été déclinée en Plan National de Développement Sanitaire (PNDS) 2015-2024. </w:t>
      </w:r>
    </w:p>
    <w:p w14:paraId="005E615A" w14:textId="77777777" w:rsidR="003C558F" w:rsidRPr="0097670B" w:rsidRDefault="003C558F" w:rsidP="003C558F">
      <w:pPr>
        <w:spacing w:before="120" w:after="120" w:line="280" w:lineRule="exact"/>
        <w:jc w:val="both"/>
        <w:rPr>
          <w:sz w:val="24"/>
          <w:szCs w:val="28"/>
        </w:rPr>
      </w:pPr>
      <w:r w:rsidRPr="0097670B">
        <w:rPr>
          <w:sz w:val="24"/>
          <w:szCs w:val="28"/>
        </w:rPr>
        <w:t>Les ressources humaines sont les plus importantes des ressources indispensables à la réalisation du PNDS.  C’est pourquoi, après en avoir fait une analyse approfondie, le Ministère de la santé a élaboré la politique de développement des ressources humaines du secteur. Cette démarche, largement participative et inclusive, a permis de définir des axes d’intervention et des actions prioritaires.</w:t>
      </w:r>
    </w:p>
    <w:p w14:paraId="3FC966E1" w14:textId="77777777" w:rsidR="003C558F" w:rsidRPr="0097670B" w:rsidRDefault="003C558F" w:rsidP="003C558F">
      <w:pPr>
        <w:spacing w:before="120" w:after="120" w:line="280" w:lineRule="exact"/>
        <w:jc w:val="both"/>
        <w:rPr>
          <w:sz w:val="24"/>
          <w:szCs w:val="28"/>
        </w:rPr>
      </w:pPr>
      <w:r w:rsidRPr="0097670B">
        <w:rPr>
          <w:sz w:val="24"/>
          <w:szCs w:val="28"/>
        </w:rPr>
        <w:t xml:space="preserve">L’objectif est de disposer d’un personnel compétent et engagé en effectif suffisant, quand et où les besoins se présentent. Pour cela la solidarité, dans un cadre de partenariat, de toutes les parties prenantes est essentielle. </w:t>
      </w:r>
    </w:p>
    <w:p w14:paraId="2C7C8D86" w14:textId="77777777" w:rsidR="003C558F" w:rsidRPr="0097670B" w:rsidRDefault="003C558F" w:rsidP="003C558F">
      <w:pPr>
        <w:pStyle w:val="Commentaire"/>
        <w:widowControl w:val="0"/>
        <w:spacing w:line="276" w:lineRule="auto"/>
        <w:jc w:val="both"/>
        <w:rPr>
          <w:sz w:val="24"/>
          <w:szCs w:val="28"/>
        </w:rPr>
      </w:pPr>
      <w:r w:rsidRPr="0097670B">
        <w:rPr>
          <w:sz w:val="24"/>
          <w:szCs w:val="28"/>
        </w:rPr>
        <w:t>Je réaffirme la volonté et l’engagement sans réserve du Ministère de la santé à créer toutes les conditions nécessaires à l’exécution des différents plans de mise en œuvre de la présente politique de développement des ressources humaine pour la santé.</w:t>
      </w:r>
    </w:p>
    <w:p w14:paraId="414E0FFE" w14:textId="77777777" w:rsidR="003C558F" w:rsidRPr="0097670B" w:rsidRDefault="003C558F" w:rsidP="003C558F">
      <w:pPr>
        <w:pStyle w:val="Titre"/>
        <w:widowControl w:val="0"/>
        <w:spacing w:before="120" w:after="120" w:line="280" w:lineRule="exact"/>
        <w:contextualSpacing w:val="0"/>
        <w:jc w:val="both"/>
        <w:rPr>
          <w:rFonts w:asciiTheme="minorHAnsi" w:eastAsiaTheme="minorHAnsi" w:hAnsiTheme="minorHAnsi" w:cstheme="minorBidi"/>
          <w:spacing w:val="0"/>
          <w:kern w:val="0"/>
          <w:sz w:val="24"/>
          <w:szCs w:val="28"/>
          <w:lang w:val="fr-FR"/>
        </w:rPr>
      </w:pPr>
      <w:r w:rsidRPr="0097670B">
        <w:rPr>
          <w:rFonts w:asciiTheme="minorHAnsi" w:eastAsiaTheme="minorHAnsi" w:hAnsiTheme="minorHAnsi" w:cstheme="minorBidi"/>
          <w:spacing w:val="0"/>
          <w:kern w:val="0"/>
          <w:sz w:val="24"/>
          <w:szCs w:val="28"/>
          <w:lang w:val="fr-FR"/>
        </w:rPr>
        <w:t xml:space="preserve">Je remercie toutes les parties prenantes (partenaires sectoriels, professionnels de la santé, communauté, partenaires techniques et financiers, organisations non gouvernementales nationales et internationales, institutions d’enseignement et de recherche) qui ont contribué à l’élaboration de ce document de valeur. </w:t>
      </w:r>
    </w:p>
    <w:p w14:paraId="6AC85398" w14:textId="77777777" w:rsidR="003C558F" w:rsidRPr="0097670B" w:rsidRDefault="003C558F" w:rsidP="003C558F">
      <w:pPr>
        <w:spacing w:before="120" w:after="120" w:line="280" w:lineRule="exact"/>
        <w:jc w:val="both"/>
        <w:rPr>
          <w:sz w:val="24"/>
          <w:szCs w:val="28"/>
        </w:rPr>
      </w:pPr>
      <w:r w:rsidRPr="0097670B">
        <w:rPr>
          <w:sz w:val="24"/>
          <w:szCs w:val="28"/>
        </w:rPr>
        <w:t>Je souhaite que tous les ministères, dans un élan de solidarité, accordent une place de choix, dans leurs politiques sectorielles respectives, à la part d’action qui leur incombe pour le développement des ressources humaines pour la santé.</w:t>
      </w:r>
    </w:p>
    <w:p w14:paraId="223BE3A2" w14:textId="77777777" w:rsidR="003C558F" w:rsidRPr="0097670B" w:rsidRDefault="003C558F" w:rsidP="003C558F">
      <w:pPr>
        <w:pStyle w:val="Titre"/>
        <w:widowControl w:val="0"/>
        <w:spacing w:before="120" w:after="120" w:line="280" w:lineRule="exact"/>
        <w:contextualSpacing w:val="0"/>
        <w:jc w:val="both"/>
        <w:rPr>
          <w:rFonts w:asciiTheme="minorHAnsi" w:eastAsiaTheme="minorHAnsi" w:hAnsiTheme="minorHAnsi" w:cstheme="minorBidi"/>
          <w:spacing w:val="0"/>
          <w:kern w:val="0"/>
          <w:sz w:val="24"/>
          <w:szCs w:val="28"/>
          <w:lang w:val="fr-FR"/>
        </w:rPr>
      </w:pPr>
      <w:r w:rsidRPr="0097670B">
        <w:rPr>
          <w:rFonts w:asciiTheme="minorHAnsi" w:eastAsiaTheme="minorHAnsi" w:hAnsiTheme="minorHAnsi" w:cstheme="minorBidi"/>
          <w:spacing w:val="0"/>
          <w:kern w:val="0"/>
          <w:sz w:val="24"/>
          <w:szCs w:val="28"/>
          <w:lang w:val="fr-FR"/>
        </w:rPr>
        <w:t>J’exhorte toutes les parties prenantes à faire de ce document un cadre de référence et d’orientations pour toutes les actions qu’ils entreprendront dans leurs secteurs respectifs en faveur de celui de la santé.</w:t>
      </w:r>
    </w:p>
    <w:p w14:paraId="6E98899A" w14:textId="77777777" w:rsidR="003C558F" w:rsidRPr="003C558F" w:rsidRDefault="003C558F" w:rsidP="003C558F"/>
    <w:p w14:paraId="6CE3CB49" w14:textId="77777777" w:rsidR="001F7466" w:rsidRDefault="001F7466">
      <w:pPr>
        <w:rPr>
          <w:rFonts w:asciiTheme="majorHAnsi" w:eastAsiaTheme="majorEastAsia" w:hAnsiTheme="majorHAnsi" w:cstheme="majorBidi"/>
          <w:b/>
          <w:bCs/>
          <w:color w:val="365F91" w:themeColor="accent1" w:themeShade="BF"/>
          <w:sz w:val="28"/>
          <w:szCs w:val="28"/>
        </w:rPr>
      </w:pPr>
      <w:r>
        <w:br w:type="page"/>
      </w:r>
    </w:p>
    <w:p w14:paraId="79FA908C" w14:textId="77777777" w:rsidR="001C7A44" w:rsidRDefault="009646F8" w:rsidP="003C558F">
      <w:pPr>
        <w:pStyle w:val="Titre1"/>
        <w:spacing w:after="360"/>
        <w:ind w:left="357"/>
      </w:pPr>
      <w:bookmarkStart w:id="2" w:name="_Toc21586226"/>
      <w:r w:rsidRPr="009646F8">
        <w:t>INTRODUCTION</w:t>
      </w:r>
      <w:bookmarkEnd w:id="2"/>
    </w:p>
    <w:p w14:paraId="1C8853C1" w14:textId="77777777" w:rsidR="00D50530" w:rsidRDefault="00D50530" w:rsidP="00D50530">
      <w:pPr>
        <w:jc w:val="both"/>
        <w:rPr>
          <w:sz w:val="24"/>
          <w:szCs w:val="28"/>
        </w:rPr>
      </w:pPr>
      <w:r w:rsidRPr="00B0790B">
        <w:rPr>
          <w:sz w:val="24"/>
          <w:szCs w:val="28"/>
        </w:rPr>
        <w:t>L’Etat de santé de la population guinéenne se caractérise par un taux brut de mortalité national estimé à 11,2‰</w:t>
      </w:r>
      <w:r w:rsidRPr="00B0790B">
        <w:rPr>
          <w:sz w:val="24"/>
          <w:szCs w:val="28"/>
          <w:vertAlign w:val="superscript"/>
        </w:rPr>
        <w:footnoteReference w:id="1"/>
      </w:r>
      <w:r w:rsidRPr="00B0790B">
        <w:rPr>
          <w:sz w:val="24"/>
          <w:szCs w:val="28"/>
        </w:rPr>
        <w:t>, une mortalité maternelle encore élevée (550 pour 100 000 naissances vivantes</w:t>
      </w:r>
      <w:r w:rsidRPr="00B0790B">
        <w:rPr>
          <w:sz w:val="24"/>
          <w:szCs w:val="28"/>
          <w:vertAlign w:val="superscript"/>
        </w:rPr>
        <w:footnoteReference w:id="2"/>
      </w:r>
      <w:r w:rsidRPr="00B0790B">
        <w:rPr>
          <w:sz w:val="24"/>
          <w:szCs w:val="28"/>
        </w:rPr>
        <w:t>). Il en est de même de la mortalité néonatale (32‰</w:t>
      </w:r>
      <w:r w:rsidRPr="00DB4E41">
        <w:rPr>
          <w:sz w:val="24"/>
          <w:szCs w:val="28"/>
        </w:rPr>
        <w:t>)</w:t>
      </w:r>
      <w:r w:rsidR="00F30BA8">
        <w:rPr>
          <w:sz w:val="24"/>
          <w:szCs w:val="28"/>
        </w:rPr>
        <w:t>,</w:t>
      </w:r>
      <w:r w:rsidRPr="00B0790B">
        <w:rPr>
          <w:sz w:val="24"/>
          <w:szCs w:val="28"/>
        </w:rPr>
        <w:t xml:space="preserve"> infanto-juvénile (111‰)</w:t>
      </w:r>
      <w:r w:rsidR="00F30BA8">
        <w:rPr>
          <w:sz w:val="24"/>
          <w:szCs w:val="28"/>
        </w:rPr>
        <w:t xml:space="preserve"> et infantile (66</w:t>
      </w:r>
      <w:r w:rsidR="00F30BA8" w:rsidRPr="00B0790B">
        <w:rPr>
          <w:sz w:val="24"/>
          <w:szCs w:val="28"/>
        </w:rPr>
        <w:t>‰</w:t>
      </w:r>
      <w:r w:rsidR="00F30BA8">
        <w:rPr>
          <w:sz w:val="24"/>
          <w:szCs w:val="28"/>
        </w:rPr>
        <w:t>)</w:t>
      </w:r>
      <w:r w:rsidR="001207FC">
        <w:rPr>
          <w:rStyle w:val="Appelnotedebasdep"/>
          <w:sz w:val="24"/>
          <w:szCs w:val="28"/>
        </w:rPr>
        <w:footnoteReference w:id="3"/>
      </w:r>
      <w:r w:rsidR="001207FC">
        <w:rPr>
          <w:sz w:val="24"/>
          <w:szCs w:val="28"/>
        </w:rPr>
        <w:t>. L’</w:t>
      </w:r>
      <w:r w:rsidR="00894106">
        <w:rPr>
          <w:sz w:val="24"/>
          <w:szCs w:val="28"/>
        </w:rPr>
        <w:t>espérance de vie est de 60,3</w:t>
      </w:r>
      <w:r w:rsidR="001207FC">
        <w:rPr>
          <w:sz w:val="24"/>
          <w:szCs w:val="28"/>
        </w:rPr>
        <w:t xml:space="preserve"> ans. </w:t>
      </w:r>
    </w:p>
    <w:p w14:paraId="3501E78F" w14:textId="77777777" w:rsidR="00031710" w:rsidRDefault="00031710" w:rsidP="00C76CAA">
      <w:pPr>
        <w:tabs>
          <w:tab w:val="left" w:pos="1418"/>
        </w:tabs>
        <w:jc w:val="both"/>
        <w:rPr>
          <w:sz w:val="24"/>
          <w:szCs w:val="28"/>
        </w:rPr>
      </w:pPr>
      <w:r w:rsidRPr="00B0790B">
        <w:rPr>
          <w:sz w:val="24"/>
          <w:szCs w:val="28"/>
        </w:rPr>
        <w:t>Cette situation est en lien étroit avec le niveau de pauvreté (55% de la population vit au-dessous du seuil de pauvreté</w:t>
      </w:r>
      <w:r w:rsidRPr="00B0790B">
        <w:rPr>
          <w:rStyle w:val="Appelnotedebasdep"/>
          <w:sz w:val="24"/>
          <w:szCs w:val="28"/>
        </w:rPr>
        <w:footnoteReference w:id="4"/>
      </w:r>
      <w:r w:rsidRPr="00B0790B">
        <w:rPr>
          <w:sz w:val="24"/>
          <w:szCs w:val="28"/>
        </w:rPr>
        <w:t>)</w:t>
      </w:r>
      <w:r>
        <w:rPr>
          <w:sz w:val="24"/>
          <w:szCs w:val="28"/>
        </w:rPr>
        <w:t xml:space="preserve">, la </w:t>
      </w:r>
      <w:r w:rsidR="00C76CAA">
        <w:rPr>
          <w:sz w:val="24"/>
          <w:szCs w:val="28"/>
        </w:rPr>
        <w:t>prévalence et l’incidence élevées des maladies transmissibles et non transmissibles</w:t>
      </w:r>
      <w:r>
        <w:rPr>
          <w:sz w:val="24"/>
          <w:szCs w:val="28"/>
        </w:rPr>
        <w:t>, la faible performance du système de santé</w:t>
      </w:r>
      <w:r w:rsidR="00C76CAA" w:rsidRPr="00B0790B">
        <w:rPr>
          <w:rStyle w:val="Appelnotedebasdep"/>
          <w:color w:val="000000" w:themeColor="text1"/>
          <w:sz w:val="24"/>
          <w:szCs w:val="28"/>
        </w:rPr>
        <w:footnoteReference w:id="5"/>
      </w:r>
      <w:r>
        <w:rPr>
          <w:sz w:val="24"/>
          <w:szCs w:val="28"/>
        </w:rPr>
        <w:t xml:space="preserve"> et d’autres facteurs</w:t>
      </w:r>
      <w:r w:rsidRPr="00B0790B">
        <w:rPr>
          <w:sz w:val="24"/>
          <w:szCs w:val="28"/>
        </w:rPr>
        <w:t>.</w:t>
      </w:r>
    </w:p>
    <w:p w14:paraId="251D27A0" w14:textId="77777777" w:rsidR="00C76CAA" w:rsidRPr="00B0790B" w:rsidRDefault="00C76CAA" w:rsidP="00C76CAA">
      <w:pPr>
        <w:tabs>
          <w:tab w:val="left" w:pos="1418"/>
        </w:tabs>
        <w:spacing w:after="0"/>
        <w:jc w:val="both"/>
        <w:rPr>
          <w:sz w:val="24"/>
          <w:szCs w:val="28"/>
        </w:rPr>
      </w:pPr>
      <w:r>
        <w:rPr>
          <w:sz w:val="24"/>
          <w:szCs w:val="28"/>
        </w:rPr>
        <w:t>L</w:t>
      </w:r>
      <w:r w:rsidRPr="00B0790B">
        <w:rPr>
          <w:sz w:val="24"/>
          <w:szCs w:val="28"/>
        </w:rPr>
        <w:t xml:space="preserve">a pauvreté monétaire et éducationnelle, </w:t>
      </w:r>
      <w:r>
        <w:rPr>
          <w:sz w:val="24"/>
          <w:szCs w:val="28"/>
        </w:rPr>
        <w:t>induit</w:t>
      </w:r>
      <w:r w:rsidRPr="00B0790B">
        <w:rPr>
          <w:sz w:val="24"/>
          <w:szCs w:val="28"/>
        </w:rPr>
        <w:t> :</w:t>
      </w:r>
    </w:p>
    <w:p w14:paraId="6A85F452" w14:textId="77777777" w:rsidR="00C76CAA" w:rsidRPr="00B0790B" w:rsidRDefault="009C4B42" w:rsidP="00C76CAA">
      <w:pPr>
        <w:pStyle w:val="Paragraphedeliste"/>
        <w:numPr>
          <w:ilvl w:val="0"/>
          <w:numId w:val="7"/>
        </w:numPr>
        <w:spacing w:after="120" w:line="240" w:lineRule="auto"/>
        <w:ind w:left="850" w:hanging="425"/>
        <w:contextualSpacing w:val="0"/>
        <w:jc w:val="both"/>
        <w:rPr>
          <w:sz w:val="24"/>
          <w:szCs w:val="28"/>
        </w:rPr>
      </w:pPr>
      <w:r w:rsidRPr="00B0790B">
        <w:rPr>
          <w:sz w:val="24"/>
          <w:szCs w:val="28"/>
        </w:rPr>
        <w:t>De</w:t>
      </w:r>
      <w:r w:rsidR="00C76CAA" w:rsidRPr="00B0790B">
        <w:rPr>
          <w:sz w:val="24"/>
          <w:szCs w:val="28"/>
        </w:rPr>
        <w:t xml:space="preserve"> mauvaises conditions d’hygiène et d’assainissement dans les ménages et les communautés, provoquant des maladies transmissibles (TB, VIH, paludisme, méningite, etc.),</w:t>
      </w:r>
    </w:p>
    <w:p w14:paraId="2FFAEDC5" w14:textId="77777777" w:rsidR="00C76CAA" w:rsidRPr="00B0790B" w:rsidRDefault="009C4B42" w:rsidP="00C76CAA">
      <w:pPr>
        <w:pStyle w:val="Paragraphedeliste"/>
        <w:numPr>
          <w:ilvl w:val="0"/>
          <w:numId w:val="7"/>
        </w:numPr>
        <w:spacing w:after="120" w:line="240" w:lineRule="auto"/>
        <w:ind w:left="850" w:hanging="425"/>
        <w:contextualSpacing w:val="0"/>
        <w:jc w:val="both"/>
        <w:rPr>
          <w:sz w:val="24"/>
          <w:szCs w:val="28"/>
        </w:rPr>
      </w:pPr>
      <w:r w:rsidRPr="00B0790B">
        <w:rPr>
          <w:sz w:val="24"/>
          <w:szCs w:val="28"/>
        </w:rPr>
        <w:t>De</w:t>
      </w:r>
      <w:r w:rsidR="00C76CAA" w:rsidRPr="00B0790B">
        <w:rPr>
          <w:sz w:val="24"/>
          <w:szCs w:val="28"/>
        </w:rPr>
        <w:t xml:space="preserve"> mauvaises habitudes alimentaires et nutritionnelles, entrainant des maladies nutritionnelles, notamment chez les enfants et les femmes enceintes,</w:t>
      </w:r>
    </w:p>
    <w:p w14:paraId="48805B55" w14:textId="77777777" w:rsidR="00C76CAA" w:rsidRPr="00B0790B" w:rsidRDefault="009C4B42" w:rsidP="00C76CAA">
      <w:pPr>
        <w:pStyle w:val="Paragraphedeliste"/>
        <w:numPr>
          <w:ilvl w:val="0"/>
          <w:numId w:val="7"/>
        </w:numPr>
        <w:ind w:left="850" w:hanging="425"/>
        <w:contextualSpacing w:val="0"/>
        <w:jc w:val="both"/>
        <w:rPr>
          <w:sz w:val="24"/>
          <w:szCs w:val="28"/>
        </w:rPr>
      </w:pPr>
      <w:r w:rsidRPr="00B0790B">
        <w:rPr>
          <w:sz w:val="24"/>
          <w:szCs w:val="28"/>
        </w:rPr>
        <w:t>De</w:t>
      </w:r>
      <w:r w:rsidR="00C76CAA" w:rsidRPr="00B0790B">
        <w:rPr>
          <w:sz w:val="24"/>
          <w:szCs w:val="28"/>
        </w:rPr>
        <w:t xml:space="preserve"> comportements défavorables à la santé, induisant à la fois des maladies transmissibles et des maladies non transmissibles (diabètes, maladies cardiovasculaires, cancers, etc.).</w:t>
      </w:r>
    </w:p>
    <w:p w14:paraId="7F3CB1A1" w14:textId="77777777" w:rsidR="00D50530" w:rsidRPr="00B0790B" w:rsidRDefault="00D50530" w:rsidP="00D50530">
      <w:pPr>
        <w:tabs>
          <w:tab w:val="left" w:pos="1418"/>
        </w:tabs>
        <w:spacing w:after="120" w:line="240" w:lineRule="auto"/>
        <w:jc w:val="both"/>
        <w:rPr>
          <w:sz w:val="24"/>
          <w:szCs w:val="28"/>
        </w:rPr>
      </w:pPr>
      <w:r w:rsidRPr="00B0790B">
        <w:rPr>
          <w:sz w:val="24"/>
          <w:szCs w:val="28"/>
        </w:rPr>
        <w:t>Les statistiques suivantes témoignent de ce qui précède :</w:t>
      </w:r>
    </w:p>
    <w:p w14:paraId="567760F4" w14:textId="77777777" w:rsidR="00D50530" w:rsidRPr="00B0790B" w:rsidRDefault="00D50530" w:rsidP="00D50530">
      <w:pPr>
        <w:pStyle w:val="Paragraphedeliste"/>
        <w:numPr>
          <w:ilvl w:val="0"/>
          <w:numId w:val="7"/>
        </w:numPr>
        <w:spacing w:after="120"/>
        <w:ind w:left="850" w:hanging="425"/>
        <w:contextualSpacing w:val="0"/>
        <w:jc w:val="both"/>
        <w:rPr>
          <w:sz w:val="24"/>
          <w:szCs w:val="28"/>
        </w:rPr>
      </w:pPr>
      <w:r w:rsidRPr="00B0790B">
        <w:rPr>
          <w:sz w:val="24"/>
          <w:szCs w:val="28"/>
        </w:rPr>
        <w:t>Le VIH/SIDA, avec une prévalence stable de 1,7% chez les personnes âgées de 15-49 ans</w:t>
      </w:r>
      <w:r w:rsidRPr="00B0790B">
        <w:rPr>
          <w:sz w:val="24"/>
          <w:szCs w:val="28"/>
          <w:vertAlign w:val="superscript"/>
        </w:rPr>
        <w:footnoteReference w:id="6"/>
      </w:r>
      <w:r w:rsidRPr="00B0790B">
        <w:rPr>
          <w:sz w:val="24"/>
          <w:szCs w:val="28"/>
        </w:rPr>
        <w:t>,  demeure un problème de santé publique. Bien que ce taux soit inférieur à la moyenne des pays francophones de l'Afrique subsaharienne (2%)</w:t>
      </w:r>
      <w:r w:rsidRPr="00B0790B">
        <w:rPr>
          <w:sz w:val="24"/>
          <w:szCs w:val="28"/>
          <w:vertAlign w:val="superscript"/>
        </w:rPr>
        <w:footnoteReference w:id="7"/>
      </w:r>
      <w:r w:rsidRPr="00B0790B">
        <w:rPr>
          <w:sz w:val="24"/>
          <w:szCs w:val="28"/>
        </w:rPr>
        <w:t>, il montre que la Guinée est en phase d’épidémie généralisée. En 2017, le VIH/SIDA représentait 8% des consultations dans les formations sanitaires en Guinée</w:t>
      </w:r>
      <w:r w:rsidRPr="00B0790B">
        <w:rPr>
          <w:sz w:val="24"/>
          <w:szCs w:val="28"/>
          <w:vertAlign w:val="superscript"/>
        </w:rPr>
        <w:footnoteReference w:id="8"/>
      </w:r>
      <w:r w:rsidRPr="00B0790B">
        <w:rPr>
          <w:sz w:val="24"/>
          <w:szCs w:val="28"/>
        </w:rPr>
        <w:t>. Le paludisme, malgré la forte réduction de sa fréquence (prévalence à 15%</w:t>
      </w:r>
      <w:r w:rsidRPr="00B0790B">
        <w:rPr>
          <w:sz w:val="24"/>
          <w:szCs w:val="28"/>
          <w:vertAlign w:val="superscript"/>
        </w:rPr>
        <w:footnoteReference w:id="9"/>
      </w:r>
      <w:r w:rsidRPr="00B0790B">
        <w:rPr>
          <w:sz w:val="24"/>
          <w:szCs w:val="28"/>
        </w:rPr>
        <w:t>), est encore la première cause de consultation dans les formations sanitaires et 36% des décès hospitaliers sont dus au paludisme grave</w:t>
      </w:r>
      <w:r w:rsidRPr="00B0790B">
        <w:rPr>
          <w:sz w:val="24"/>
          <w:szCs w:val="28"/>
          <w:vertAlign w:val="superscript"/>
        </w:rPr>
        <w:footnoteReference w:id="10"/>
      </w:r>
      <w:r w:rsidRPr="00B0790B">
        <w:rPr>
          <w:sz w:val="24"/>
          <w:szCs w:val="28"/>
        </w:rPr>
        <w:t>. La prévalence de la tuberculose, avec 178 de TPM+ pour 100.000 habitants, reste encore élevée avec sa double charge de coïnfection avec le VIH/SIDA. A ceci s’ajoutent 15% d’épisode diarrhéique chez les enfants de moins de 5 ans</w:t>
      </w:r>
      <w:r w:rsidRPr="00B0790B">
        <w:rPr>
          <w:sz w:val="24"/>
          <w:szCs w:val="28"/>
          <w:vertAlign w:val="superscript"/>
        </w:rPr>
        <w:footnoteReference w:id="11"/>
      </w:r>
      <w:r w:rsidRPr="00B0790B">
        <w:rPr>
          <w:sz w:val="24"/>
          <w:szCs w:val="28"/>
        </w:rPr>
        <w:t>.</w:t>
      </w:r>
    </w:p>
    <w:p w14:paraId="3CCF4709" w14:textId="77777777" w:rsidR="00D50530" w:rsidRPr="00B0790B" w:rsidRDefault="00D50530" w:rsidP="00D50530">
      <w:pPr>
        <w:pStyle w:val="Paragraphedeliste"/>
        <w:numPr>
          <w:ilvl w:val="0"/>
          <w:numId w:val="7"/>
        </w:numPr>
        <w:spacing w:after="120"/>
        <w:ind w:left="850" w:hanging="425"/>
        <w:contextualSpacing w:val="0"/>
        <w:jc w:val="both"/>
        <w:rPr>
          <w:color w:val="000000" w:themeColor="text1"/>
          <w:sz w:val="24"/>
          <w:szCs w:val="28"/>
        </w:rPr>
      </w:pPr>
      <w:r w:rsidRPr="00B0790B">
        <w:rPr>
          <w:color w:val="000000" w:themeColor="text1"/>
          <w:sz w:val="24"/>
          <w:szCs w:val="28"/>
        </w:rPr>
        <w:t>La prévalence de l'insuffisance pondérale chez les enfants de moins de cinq ans, une mesure de l'état nutritionnel global de la population, est de 30%</w:t>
      </w:r>
      <w:r w:rsidRPr="00B0790B">
        <w:rPr>
          <w:color w:val="000000" w:themeColor="text1"/>
          <w:sz w:val="24"/>
          <w:szCs w:val="28"/>
          <w:vertAlign w:val="superscript"/>
        </w:rPr>
        <w:footnoteReference w:id="12"/>
      </w:r>
      <w:r w:rsidRPr="00B0790B">
        <w:rPr>
          <w:color w:val="000000" w:themeColor="text1"/>
          <w:sz w:val="24"/>
          <w:szCs w:val="28"/>
        </w:rPr>
        <w:t>.</w:t>
      </w:r>
    </w:p>
    <w:p w14:paraId="76E4E84D" w14:textId="77777777" w:rsidR="00D50530" w:rsidRPr="00B0790B" w:rsidRDefault="00D50530" w:rsidP="00D50530">
      <w:pPr>
        <w:pStyle w:val="Paragraphedeliste"/>
        <w:numPr>
          <w:ilvl w:val="0"/>
          <w:numId w:val="7"/>
        </w:numPr>
        <w:ind w:left="850" w:hanging="425"/>
        <w:contextualSpacing w:val="0"/>
        <w:jc w:val="both"/>
        <w:rPr>
          <w:color w:val="000000" w:themeColor="text1"/>
          <w:sz w:val="24"/>
          <w:szCs w:val="28"/>
        </w:rPr>
      </w:pPr>
      <w:r w:rsidRPr="00B0790B">
        <w:rPr>
          <w:color w:val="000000" w:themeColor="text1"/>
          <w:sz w:val="24"/>
          <w:szCs w:val="28"/>
        </w:rPr>
        <w:t xml:space="preserve">Les maladies chroniques deviennent de plus en plus importantes au niveau de la population. Elles comprennent le diabète avec une prévalence de 5% chez les sujets de 15 à 64 ans, les maladies respiratoires chroniques avec 12,4% de prévalence en milieu scolaire, les maladies cardiovasculaires avec une prévalence de 28,1% d’HTA, les cancers du col de l’utérus </w:t>
      </w:r>
      <w:r w:rsidR="00EE4814">
        <w:rPr>
          <w:color w:val="000000" w:themeColor="text1"/>
          <w:sz w:val="24"/>
          <w:szCs w:val="28"/>
        </w:rPr>
        <w:t>(</w:t>
      </w:r>
      <w:r w:rsidRPr="00B0790B">
        <w:rPr>
          <w:color w:val="000000" w:themeColor="text1"/>
          <w:sz w:val="24"/>
          <w:szCs w:val="28"/>
        </w:rPr>
        <w:t>0,5% chez les femmes</w:t>
      </w:r>
      <w:r w:rsidR="00904B1A">
        <w:rPr>
          <w:color w:val="000000" w:themeColor="text1"/>
          <w:sz w:val="24"/>
          <w:szCs w:val="28"/>
        </w:rPr>
        <w:t>)</w:t>
      </w:r>
      <w:r w:rsidRPr="00B0790B">
        <w:rPr>
          <w:color w:val="000000" w:themeColor="text1"/>
          <w:sz w:val="24"/>
          <w:szCs w:val="28"/>
        </w:rPr>
        <w:t xml:space="preserve"> et le cancer du foie avec 31,5 p.100 000 et enfin de la drépanocytose avec une prévalence de 11,57% selon le test d’</w:t>
      </w:r>
      <w:proofErr w:type="spellStart"/>
      <w:r w:rsidRPr="00B0790B">
        <w:rPr>
          <w:color w:val="000000" w:themeColor="text1"/>
          <w:sz w:val="24"/>
          <w:szCs w:val="28"/>
        </w:rPr>
        <w:t>Emmel</w:t>
      </w:r>
      <w:proofErr w:type="spellEnd"/>
      <w:r w:rsidRPr="00B0790B">
        <w:rPr>
          <w:color w:val="000000" w:themeColor="text1"/>
          <w:sz w:val="24"/>
          <w:szCs w:val="28"/>
        </w:rPr>
        <w:t xml:space="preserve"> parmi les demandes de routine</w:t>
      </w:r>
      <w:r w:rsidRPr="00B0790B">
        <w:rPr>
          <w:color w:val="000000" w:themeColor="text1"/>
          <w:sz w:val="24"/>
          <w:szCs w:val="28"/>
          <w:vertAlign w:val="superscript"/>
        </w:rPr>
        <w:footnoteReference w:id="13"/>
      </w:r>
      <w:r w:rsidRPr="00B0790B">
        <w:rPr>
          <w:color w:val="000000" w:themeColor="text1"/>
          <w:sz w:val="24"/>
          <w:szCs w:val="28"/>
        </w:rPr>
        <w:t xml:space="preserve">. </w:t>
      </w:r>
    </w:p>
    <w:p w14:paraId="46B0CF7A" w14:textId="77777777" w:rsidR="009F19DD" w:rsidRDefault="00C76CAA" w:rsidP="00D50530">
      <w:pPr>
        <w:spacing w:before="120" w:after="120"/>
        <w:jc w:val="both"/>
        <w:rPr>
          <w:color w:val="000000" w:themeColor="text1"/>
          <w:sz w:val="24"/>
          <w:szCs w:val="28"/>
        </w:rPr>
      </w:pPr>
      <w:r>
        <w:rPr>
          <w:color w:val="000000" w:themeColor="text1"/>
          <w:sz w:val="24"/>
          <w:szCs w:val="28"/>
        </w:rPr>
        <w:t xml:space="preserve">La faible performance du système de santé </w:t>
      </w:r>
      <w:r w:rsidR="009F19DD">
        <w:rPr>
          <w:color w:val="000000" w:themeColor="text1"/>
          <w:sz w:val="24"/>
          <w:szCs w:val="28"/>
        </w:rPr>
        <w:t>est due aux facteurs décrits dans les paragraphes qui suivent.</w:t>
      </w:r>
    </w:p>
    <w:p w14:paraId="08145EC1" w14:textId="77777777" w:rsidR="00D50530" w:rsidRPr="00B0790B" w:rsidRDefault="009F19DD" w:rsidP="00904B1A">
      <w:pPr>
        <w:spacing w:before="120" w:after="120"/>
        <w:jc w:val="both"/>
        <w:rPr>
          <w:color w:val="000000" w:themeColor="text1"/>
          <w:sz w:val="24"/>
          <w:szCs w:val="28"/>
        </w:rPr>
      </w:pPr>
      <w:r>
        <w:rPr>
          <w:color w:val="000000" w:themeColor="text1"/>
          <w:sz w:val="24"/>
          <w:szCs w:val="28"/>
        </w:rPr>
        <w:t>Le</w:t>
      </w:r>
      <w:r w:rsidR="00D50530" w:rsidRPr="00B0790B">
        <w:rPr>
          <w:color w:val="000000" w:themeColor="text1"/>
          <w:sz w:val="24"/>
          <w:szCs w:val="28"/>
        </w:rPr>
        <w:t xml:space="preserve"> système est caractérisé par </w:t>
      </w:r>
      <w:r>
        <w:rPr>
          <w:color w:val="000000" w:themeColor="text1"/>
          <w:sz w:val="24"/>
          <w:szCs w:val="28"/>
        </w:rPr>
        <w:t xml:space="preserve">des </w:t>
      </w:r>
      <w:r w:rsidR="00D50530" w:rsidRPr="00B0790B">
        <w:rPr>
          <w:color w:val="000000" w:themeColor="text1"/>
          <w:sz w:val="24"/>
          <w:szCs w:val="28"/>
        </w:rPr>
        <w:t xml:space="preserve">infrastructures </w:t>
      </w:r>
      <w:r>
        <w:rPr>
          <w:color w:val="000000" w:themeColor="text1"/>
          <w:sz w:val="24"/>
          <w:szCs w:val="28"/>
        </w:rPr>
        <w:t>dont les</w:t>
      </w:r>
      <w:r w:rsidR="00D50530" w:rsidRPr="00B0790B">
        <w:rPr>
          <w:color w:val="000000" w:themeColor="text1"/>
          <w:sz w:val="24"/>
          <w:szCs w:val="28"/>
        </w:rPr>
        <w:t xml:space="preserve"> états physiques et fonctionnels </w:t>
      </w:r>
      <w:r>
        <w:rPr>
          <w:color w:val="000000" w:themeColor="text1"/>
          <w:sz w:val="24"/>
          <w:szCs w:val="28"/>
        </w:rPr>
        <w:t xml:space="preserve">sont </w:t>
      </w:r>
      <w:r w:rsidR="00D50530" w:rsidRPr="00B0790B">
        <w:rPr>
          <w:color w:val="000000" w:themeColor="text1"/>
          <w:sz w:val="24"/>
          <w:szCs w:val="28"/>
        </w:rPr>
        <w:t>différents à cause des décalages dans leur réalisation, dans les méthodes technologiques utilisées et surtout de leur maintenance. Celles qui répondent aux normes sont peu nombreuses</w:t>
      </w:r>
      <w:r w:rsidR="00D50530" w:rsidRPr="00B0790B">
        <w:rPr>
          <w:color w:val="000000" w:themeColor="text1"/>
          <w:sz w:val="24"/>
          <w:szCs w:val="28"/>
          <w:vertAlign w:val="superscript"/>
        </w:rPr>
        <w:footnoteReference w:id="14"/>
      </w:r>
      <w:r w:rsidR="00D50530" w:rsidRPr="00B0790B">
        <w:rPr>
          <w:color w:val="000000" w:themeColor="text1"/>
          <w:sz w:val="24"/>
          <w:szCs w:val="28"/>
        </w:rPr>
        <w:t xml:space="preserve"> : </w:t>
      </w:r>
    </w:p>
    <w:p w14:paraId="1083C704" w14:textId="77777777" w:rsidR="00D50530" w:rsidRPr="00B0790B" w:rsidRDefault="009C4B42"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Hôpitaux</w:t>
      </w:r>
      <w:r w:rsidR="00D50530" w:rsidRPr="00B0790B">
        <w:rPr>
          <w:color w:val="000000" w:themeColor="text1"/>
          <w:sz w:val="24"/>
          <w:szCs w:val="28"/>
        </w:rPr>
        <w:t xml:space="preserve"> régionaux : 3 sur 7 ; </w:t>
      </w:r>
    </w:p>
    <w:p w14:paraId="2A76A112" w14:textId="77777777" w:rsidR="00D50530" w:rsidRPr="00B0790B" w:rsidRDefault="009C4B42"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Hôpitaux</w:t>
      </w:r>
      <w:r w:rsidR="00D50530" w:rsidRPr="00B0790B">
        <w:rPr>
          <w:color w:val="000000" w:themeColor="text1"/>
          <w:sz w:val="24"/>
          <w:szCs w:val="28"/>
        </w:rPr>
        <w:t xml:space="preserve"> préfectoraux : 13 sur 26 ; </w:t>
      </w:r>
    </w:p>
    <w:p w14:paraId="240E075B" w14:textId="77777777" w:rsidR="00D50530" w:rsidRPr="00B0790B" w:rsidRDefault="00D50530" w:rsidP="00D50530">
      <w:pPr>
        <w:pStyle w:val="Paragraphedeliste"/>
        <w:numPr>
          <w:ilvl w:val="0"/>
          <w:numId w:val="7"/>
        </w:numPr>
        <w:spacing w:after="0"/>
        <w:ind w:left="850" w:hanging="425"/>
        <w:contextualSpacing w:val="0"/>
        <w:jc w:val="both"/>
        <w:rPr>
          <w:color w:val="000000" w:themeColor="text1"/>
          <w:sz w:val="24"/>
          <w:szCs w:val="28"/>
        </w:rPr>
      </w:pPr>
      <w:r w:rsidRPr="00B0790B">
        <w:rPr>
          <w:color w:val="000000" w:themeColor="text1"/>
          <w:sz w:val="24"/>
          <w:szCs w:val="28"/>
        </w:rPr>
        <w:t xml:space="preserve">Centres de santé : 115 sur 444 ; </w:t>
      </w:r>
    </w:p>
    <w:p w14:paraId="493D0367" w14:textId="77777777" w:rsidR="00D50530" w:rsidRPr="00B0790B" w:rsidRDefault="00D50530" w:rsidP="00D50530">
      <w:pPr>
        <w:pStyle w:val="Paragraphedeliste"/>
        <w:numPr>
          <w:ilvl w:val="0"/>
          <w:numId w:val="7"/>
        </w:numPr>
        <w:ind w:left="850" w:hanging="425"/>
        <w:contextualSpacing w:val="0"/>
        <w:jc w:val="both"/>
        <w:rPr>
          <w:color w:val="000000" w:themeColor="text1"/>
          <w:sz w:val="24"/>
          <w:szCs w:val="28"/>
        </w:rPr>
      </w:pPr>
      <w:r w:rsidRPr="00B0790B">
        <w:rPr>
          <w:color w:val="000000" w:themeColor="text1"/>
          <w:sz w:val="24"/>
          <w:szCs w:val="28"/>
        </w:rPr>
        <w:t xml:space="preserve">DRS/DPS : 4 sur 46 </w:t>
      </w:r>
    </w:p>
    <w:p w14:paraId="44B85BFC" w14:textId="77777777" w:rsidR="00D50530" w:rsidRPr="00B0790B" w:rsidRDefault="00D50530" w:rsidP="00D50530">
      <w:pPr>
        <w:spacing w:before="120"/>
        <w:jc w:val="both"/>
        <w:rPr>
          <w:color w:val="000000" w:themeColor="text1"/>
          <w:sz w:val="24"/>
          <w:szCs w:val="28"/>
        </w:rPr>
      </w:pPr>
      <w:r w:rsidRPr="00B0790B">
        <w:rPr>
          <w:color w:val="000000" w:themeColor="text1"/>
          <w:sz w:val="24"/>
          <w:szCs w:val="28"/>
        </w:rPr>
        <w:t>Le niveau des équipements correspond généralement à celui défini dans la carte sanitaire, mais avec des différences notables dans leur fonctionnalité.</w:t>
      </w:r>
    </w:p>
    <w:p w14:paraId="6FADBD04" w14:textId="77777777" w:rsidR="00D50530" w:rsidRPr="00B0790B" w:rsidRDefault="00D50530" w:rsidP="00D50530">
      <w:pPr>
        <w:jc w:val="both"/>
        <w:rPr>
          <w:color w:val="000000" w:themeColor="text1"/>
          <w:sz w:val="24"/>
          <w:szCs w:val="28"/>
        </w:rPr>
      </w:pPr>
      <w:r w:rsidRPr="00B0790B">
        <w:rPr>
          <w:color w:val="000000" w:themeColor="text1"/>
          <w:sz w:val="24"/>
          <w:szCs w:val="28"/>
        </w:rPr>
        <w:t>La capacité du Ministère à assurer la maintenance des infrastructures et équipement est faible et il n’existe pas de plan de développement des infrastructures.</w:t>
      </w:r>
    </w:p>
    <w:p w14:paraId="773946EC" w14:textId="77777777" w:rsidR="00D50530" w:rsidRPr="00B0790B" w:rsidRDefault="00D50530" w:rsidP="00904B1A">
      <w:pPr>
        <w:spacing w:before="120"/>
        <w:jc w:val="both"/>
        <w:rPr>
          <w:color w:val="000000" w:themeColor="text1"/>
          <w:sz w:val="24"/>
          <w:szCs w:val="28"/>
        </w:rPr>
      </w:pPr>
      <w:r w:rsidRPr="00B0790B">
        <w:rPr>
          <w:color w:val="000000" w:themeColor="text1"/>
          <w:sz w:val="24"/>
          <w:szCs w:val="28"/>
        </w:rPr>
        <w:t xml:space="preserve">La régulation faible du secteur pharmaceutique contribue à la faible disponibilité des médicaments, vaccins, autres produits médicaux et technologies de qualité. </w:t>
      </w:r>
    </w:p>
    <w:p w14:paraId="6B62D154" w14:textId="77777777" w:rsidR="002C01E2"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Les services de santé sont sous-financés, avec</w:t>
      </w:r>
      <w:r w:rsidR="009A2ED4">
        <w:rPr>
          <w:color w:val="000000" w:themeColor="text1"/>
          <w:sz w:val="24"/>
          <w:szCs w:val="28"/>
        </w:rPr>
        <w:t xml:space="preserve"> une </w:t>
      </w:r>
      <w:r w:rsidRPr="00B0790B">
        <w:rPr>
          <w:color w:val="000000" w:themeColor="text1"/>
          <w:sz w:val="24"/>
          <w:szCs w:val="28"/>
        </w:rPr>
        <w:t xml:space="preserve">faible contribution de l’Etat. </w:t>
      </w:r>
      <w:r w:rsidR="002C01E2">
        <w:rPr>
          <w:color w:val="000000" w:themeColor="text1"/>
          <w:sz w:val="24"/>
          <w:szCs w:val="28"/>
        </w:rPr>
        <w:t>L</w:t>
      </w:r>
      <w:r w:rsidR="001F2737">
        <w:rPr>
          <w:color w:val="000000" w:themeColor="text1"/>
          <w:sz w:val="24"/>
          <w:szCs w:val="28"/>
        </w:rPr>
        <w:t>a co</w:t>
      </w:r>
      <w:r w:rsidR="005B23E0">
        <w:rPr>
          <w:color w:val="000000" w:themeColor="text1"/>
          <w:sz w:val="24"/>
          <w:szCs w:val="28"/>
        </w:rPr>
        <w:t>u</w:t>
      </w:r>
      <w:r w:rsidR="001F2737">
        <w:rPr>
          <w:color w:val="000000" w:themeColor="text1"/>
          <w:sz w:val="24"/>
          <w:szCs w:val="28"/>
        </w:rPr>
        <w:t>verture du</w:t>
      </w:r>
      <w:r w:rsidR="002C01E2">
        <w:rPr>
          <w:color w:val="000000" w:themeColor="text1"/>
          <w:sz w:val="24"/>
          <w:szCs w:val="28"/>
        </w:rPr>
        <w:t xml:space="preserve"> système d</w:t>
      </w:r>
      <w:r w:rsidR="001F2737">
        <w:rPr>
          <w:color w:val="000000" w:themeColor="text1"/>
          <w:sz w:val="24"/>
          <w:szCs w:val="28"/>
        </w:rPr>
        <w:t xml:space="preserve">’assurance-maladie </w:t>
      </w:r>
      <w:r w:rsidR="002C01E2">
        <w:rPr>
          <w:color w:val="000000" w:themeColor="text1"/>
          <w:sz w:val="24"/>
          <w:szCs w:val="28"/>
        </w:rPr>
        <w:t>e</w:t>
      </w:r>
      <w:r w:rsidR="001F2737">
        <w:rPr>
          <w:color w:val="000000" w:themeColor="text1"/>
          <w:sz w:val="24"/>
          <w:szCs w:val="28"/>
        </w:rPr>
        <w:t>st faible. Ainsi, les mécanismes de</w:t>
      </w:r>
      <w:r w:rsidR="002C01E2">
        <w:rPr>
          <w:color w:val="000000" w:themeColor="text1"/>
          <w:sz w:val="24"/>
          <w:szCs w:val="28"/>
        </w:rPr>
        <w:t xml:space="preserve"> protection de la population contre les dépenses catastrophiques</w:t>
      </w:r>
      <w:r w:rsidR="001F2737">
        <w:rPr>
          <w:color w:val="000000" w:themeColor="text1"/>
          <w:sz w:val="24"/>
          <w:szCs w:val="28"/>
        </w:rPr>
        <w:t xml:space="preserve"> sont balbutiants</w:t>
      </w:r>
      <w:r w:rsidR="002C01E2">
        <w:rPr>
          <w:color w:val="000000" w:themeColor="text1"/>
          <w:sz w:val="24"/>
          <w:szCs w:val="28"/>
        </w:rPr>
        <w:t>.</w:t>
      </w:r>
      <w:r w:rsidR="002C01E2" w:rsidRPr="00B0790B">
        <w:rPr>
          <w:color w:val="000000" w:themeColor="text1"/>
          <w:sz w:val="24"/>
          <w:szCs w:val="28"/>
        </w:rPr>
        <w:t xml:space="preserve"> </w:t>
      </w:r>
      <w:r w:rsidR="001F2737">
        <w:rPr>
          <w:color w:val="000000" w:themeColor="text1"/>
          <w:sz w:val="24"/>
          <w:szCs w:val="28"/>
        </w:rPr>
        <w:t>C’est pourquoi</w:t>
      </w:r>
      <w:r w:rsidRPr="00B0790B">
        <w:rPr>
          <w:color w:val="000000" w:themeColor="text1"/>
          <w:sz w:val="24"/>
          <w:szCs w:val="28"/>
        </w:rPr>
        <w:t>, malgré le niveau de pauvreté très poussé de la population, les dépenses de santé sont essentiellement financées par les ménages, sous forme de paiement direct.</w:t>
      </w:r>
      <w:r w:rsidR="002C01E2">
        <w:rPr>
          <w:color w:val="000000" w:themeColor="text1"/>
          <w:sz w:val="24"/>
          <w:szCs w:val="28"/>
        </w:rPr>
        <w:t xml:space="preserve"> </w:t>
      </w:r>
      <w:r w:rsidRPr="00B0790B">
        <w:rPr>
          <w:color w:val="000000" w:themeColor="text1"/>
          <w:sz w:val="24"/>
          <w:szCs w:val="28"/>
        </w:rPr>
        <w:t xml:space="preserve">Cela signifie que les pauvres ont peu accès aux services de santé. </w:t>
      </w:r>
    </w:p>
    <w:p w14:paraId="49057E9F" w14:textId="77777777" w:rsidR="00D50530" w:rsidRPr="00B0790B" w:rsidRDefault="002C01E2" w:rsidP="00D50530">
      <w:pPr>
        <w:tabs>
          <w:tab w:val="left" w:pos="7888"/>
        </w:tabs>
        <w:spacing w:before="120" w:after="120"/>
        <w:jc w:val="both"/>
        <w:rPr>
          <w:color w:val="000000" w:themeColor="text1"/>
          <w:sz w:val="24"/>
          <w:szCs w:val="28"/>
        </w:rPr>
      </w:pPr>
      <w:r w:rsidRPr="00B0790B">
        <w:rPr>
          <w:color w:val="000000" w:themeColor="text1"/>
          <w:sz w:val="24"/>
          <w:szCs w:val="28"/>
        </w:rPr>
        <w:t>P</w:t>
      </w:r>
      <w:r w:rsidR="001F2737">
        <w:rPr>
          <w:color w:val="000000" w:themeColor="text1"/>
          <w:sz w:val="24"/>
          <w:szCs w:val="28"/>
        </w:rPr>
        <w:t xml:space="preserve">ar ailleurs, </w:t>
      </w:r>
      <w:r w:rsidRPr="00B0790B">
        <w:rPr>
          <w:color w:val="000000" w:themeColor="text1"/>
          <w:sz w:val="24"/>
          <w:szCs w:val="28"/>
        </w:rPr>
        <w:t>les capacités de la DAF sont faibles</w:t>
      </w:r>
      <w:r w:rsidR="001F2737">
        <w:rPr>
          <w:color w:val="000000" w:themeColor="text1"/>
          <w:sz w:val="24"/>
          <w:szCs w:val="28"/>
        </w:rPr>
        <w:t xml:space="preserve"> pour garantir une gestion efficace et transparente</w:t>
      </w:r>
      <w:r w:rsidRPr="00B0790B">
        <w:rPr>
          <w:color w:val="000000" w:themeColor="text1"/>
          <w:sz w:val="24"/>
          <w:szCs w:val="28"/>
        </w:rPr>
        <w:t>.</w:t>
      </w:r>
      <w:r w:rsidRPr="00B0790B">
        <w:rPr>
          <w:rStyle w:val="Appelnotedebasdep"/>
          <w:color w:val="000000" w:themeColor="text1"/>
          <w:sz w:val="24"/>
          <w:szCs w:val="28"/>
        </w:rPr>
        <w:footnoteReference w:id="15"/>
      </w:r>
    </w:p>
    <w:p w14:paraId="72D78462" w14:textId="77777777"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 xml:space="preserve">Le système d’information sanitaire, malgré les améliorations remarquables de ces dernières années, continue à fonctionner avec quelques systèmes parallèles. De plus, la capacité des ressources humaines doit être améliorée pour l’analyse des données aux fins de prise de décision, surtout avec l’informatisation du système. </w:t>
      </w:r>
    </w:p>
    <w:p w14:paraId="50FE8FA6" w14:textId="77777777"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Au plan de la gouvernance globale du système, l’organisation des services de santé est inappropriée et leur gestion inadaptée : duplication de fonctions, relations hiérarchiques et fonctionnelles ambigües, intégration insuffisante du secteur privé). De même, le management est défaillant : manque de politique de redevabilité, d'évaluation des performances individuelles et collectives</w:t>
      </w:r>
      <w:r w:rsidRPr="00B0790B">
        <w:rPr>
          <w:rStyle w:val="Appelnotedebasdep"/>
          <w:color w:val="000000" w:themeColor="text1"/>
          <w:sz w:val="24"/>
          <w:szCs w:val="28"/>
        </w:rPr>
        <w:footnoteReference w:id="16"/>
      </w:r>
      <w:r w:rsidRPr="00B0790B">
        <w:rPr>
          <w:color w:val="000000" w:themeColor="text1"/>
          <w:sz w:val="24"/>
          <w:szCs w:val="28"/>
        </w:rPr>
        <w:t>.</w:t>
      </w:r>
    </w:p>
    <w:p w14:paraId="50D9AA72" w14:textId="77777777" w:rsidR="00D50530" w:rsidRPr="00B0790B" w:rsidRDefault="00D50530" w:rsidP="00D50530">
      <w:pPr>
        <w:tabs>
          <w:tab w:val="left" w:pos="7888"/>
        </w:tabs>
        <w:spacing w:before="120" w:after="120"/>
        <w:jc w:val="both"/>
        <w:rPr>
          <w:color w:val="000000" w:themeColor="text1"/>
          <w:sz w:val="24"/>
          <w:szCs w:val="28"/>
        </w:rPr>
      </w:pPr>
      <w:r w:rsidRPr="00B0790B">
        <w:rPr>
          <w:color w:val="000000" w:themeColor="text1"/>
          <w:sz w:val="24"/>
          <w:szCs w:val="28"/>
        </w:rPr>
        <w:t>Tout cela se répercute négativement sur les prestations de soins et services de santé et détermine leur mauvaise qualité, une couverture en services de santé faible et inéquitable et l’insatisfaction des usagers</w:t>
      </w:r>
      <w:r w:rsidRPr="00B0790B">
        <w:rPr>
          <w:rStyle w:val="Appelnotedebasdep"/>
          <w:color w:val="000000" w:themeColor="text1"/>
          <w:sz w:val="24"/>
          <w:szCs w:val="28"/>
        </w:rPr>
        <w:footnoteReference w:id="17"/>
      </w:r>
      <w:r w:rsidRPr="00B0790B">
        <w:rPr>
          <w:color w:val="000000" w:themeColor="text1"/>
          <w:sz w:val="24"/>
          <w:szCs w:val="28"/>
        </w:rPr>
        <w:t>.</w:t>
      </w:r>
    </w:p>
    <w:p w14:paraId="496CBAC5" w14:textId="77777777" w:rsidR="00F54A2F" w:rsidRDefault="00C168B1" w:rsidP="00D50530">
      <w:pPr>
        <w:jc w:val="both"/>
        <w:rPr>
          <w:color w:val="000000" w:themeColor="text1"/>
          <w:sz w:val="24"/>
          <w:szCs w:val="28"/>
        </w:rPr>
      </w:pPr>
      <w:r w:rsidRPr="00B0790B">
        <w:rPr>
          <w:color w:val="000000" w:themeColor="text1"/>
          <w:sz w:val="24"/>
          <w:szCs w:val="28"/>
        </w:rPr>
        <w:t>Face à cette situation non reluisante, le gouvernement s’est engagé vers la couverture sanitaire universelle (CSU)</w:t>
      </w:r>
      <w:r w:rsidR="00811F69" w:rsidRPr="00B0790B">
        <w:rPr>
          <w:color w:val="000000" w:themeColor="text1"/>
          <w:sz w:val="24"/>
          <w:szCs w:val="28"/>
        </w:rPr>
        <w:t>, telle que définie dans le plan national de développement sanitaire (PNDS)</w:t>
      </w:r>
      <w:r w:rsidRPr="00B0790B">
        <w:rPr>
          <w:color w:val="000000" w:themeColor="text1"/>
          <w:sz w:val="24"/>
          <w:szCs w:val="28"/>
        </w:rPr>
        <w:t xml:space="preserve">. Ainsi, le renforcement de l’offre de soins et services de santé, la stimulation de la demande de soins et services de santé, le développement de stratégies de financement pour la protection de la population contre les dépenses de santé et l’amélioration de la gouvernance en général et de la gouvernance locale </w:t>
      </w:r>
      <w:r w:rsidR="00E07446" w:rsidRPr="00B0790B">
        <w:rPr>
          <w:color w:val="000000" w:themeColor="text1"/>
          <w:sz w:val="24"/>
          <w:szCs w:val="28"/>
        </w:rPr>
        <w:t xml:space="preserve">pour la santé </w:t>
      </w:r>
      <w:r w:rsidRPr="00B0790B">
        <w:rPr>
          <w:color w:val="000000" w:themeColor="text1"/>
          <w:sz w:val="24"/>
          <w:szCs w:val="28"/>
        </w:rPr>
        <w:t>en particulier</w:t>
      </w:r>
      <w:r w:rsidR="00E07446" w:rsidRPr="00B0790B">
        <w:rPr>
          <w:color w:val="000000" w:themeColor="text1"/>
          <w:sz w:val="24"/>
          <w:szCs w:val="28"/>
        </w:rPr>
        <w:t>,</w:t>
      </w:r>
      <w:r w:rsidRPr="00B0790B">
        <w:rPr>
          <w:color w:val="000000" w:themeColor="text1"/>
          <w:sz w:val="24"/>
          <w:szCs w:val="28"/>
        </w:rPr>
        <w:t xml:space="preserve"> ont été entrepris. </w:t>
      </w:r>
      <w:r w:rsidR="00E07446" w:rsidRPr="00B0790B">
        <w:rPr>
          <w:color w:val="000000" w:themeColor="text1"/>
          <w:sz w:val="24"/>
          <w:szCs w:val="28"/>
        </w:rPr>
        <w:t>Ces quatre approches constituent le fondement de la santé communautaire, l</w:t>
      </w:r>
      <w:r w:rsidR="006A545D" w:rsidRPr="00B0790B">
        <w:rPr>
          <w:color w:val="000000" w:themeColor="text1"/>
          <w:sz w:val="24"/>
          <w:szCs w:val="28"/>
        </w:rPr>
        <w:t>’une des</w:t>
      </w:r>
      <w:r w:rsidR="00E07446" w:rsidRPr="00B0790B">
        <w:rPr>
          <w:color w:val="000000" w:themeColor="text1"/>
          <w:sz w:val="24"/>
          <w:szCs w:val="28"/>
        </w:rPr>
        <w:t xml:space="preserve"> priorité</w:t>
      </w:r>
      <w:r w:rsidR="006A545D" w:rsidRPr="00B0790B">
        <w:rPr>
          <w:color w:val="000000" w:themeColor="text1"/>
          <w:sz w:val="24"/>
          <w:szCs w:val="28"/>
        </w:rPr>
        <w:t>s</w:t>
      </w:r>
      <w:r w:rsidR="00E07446" w:rsidRPr="00B0790B">
        <w:rPr>
          <w:color w:val="000000" w:themeColor="text1"/>
          <w:sz w:val="24"/>
          <w:szCs w:val="28"/>
        </w:rPr>
        <w:t xml:space="preserve"> du système de santé. </w:t>
      </w:r>
    </w:p>
    <w:p w14:paraId="6B45EBDC" w14:textId="77777777" w:rsidR="00E07446" w:rsidRDefault="00E07446" w:rsidP="00D50530">
      <w:pPr>
        <w:jc w:val="both"/>
        <w:rPr>
          <w:color w:val="000000" w:themeColor="text1"/>
          <w:sz w:val="28"/>
          <w:szCs w:val="28"/>
        </w:rPr>
      </w:pPr>
      <w:r w:rsidRPr="00B0790B">
        <w:rPr>
          <w:color w:val="000000" w:themeColor="text1"/>
          <w:sz w:val="24"/>
          <w:szCs w:val="28"/>
        </w:rPr>
        <w:t>C’est pourquoi, dans le processus de réformes en cours dans le secteur de la santé, une p</w:t>
      </w:r>
      <w:r w:rsidR="00F54A2F">
        <w:rPr>
          <w:color w:val="000000" w:themeColor="text1"/>
          <w:sz w:val="24"/>
          <w:szCs w:val="28"/>
        </w:rPr>
        <w:t>lace prépondérante est accordée</w:t>
      </w:r>
      <w:r w:rsidR="007B4639">
        <w:rPr>
          <w:color w:val="000000" w:themeColor="text1"/>
          <w:sz w:val="24"/>
          <w:szCs w:val="28"/>
        </w:rPr>
        <w:t xml:space="preserve"> </w:t>
      </w:r>
      <w:r w:rsidRPr="00F54A2F">
        <w:rPr>
          <w:color w:val="000000" w:themeColor="text1"/>
          <w:sz w:val="24"/>
          <w:szCs w:val="28"/>
        </w:rPr>
        <w:t>à la gestion et au développement des</w:t>
      </w:r>
      <w:r w:rsidRPr="00B0790B">
        <w:rPr>
          <w:color w:val="000000" w:themeColor="text1"/>
          <w:sz w:val="24"/>
          <w:szCs w:val="28"/>
        </w:rPr>
        <w:t xml:space="preserve"> RHS</w:t>
      </w:r>
      <w:r w:rsidR="007B4639">
        <w:rPr>
          <w:color w:val="000000" w:themeColor="text1"/>
          <w:sz w:val="24"/>
          <w:szCs w:val="28"/>
        </w:rPr>
        <w:t>, conformément aux dispositions de la PNS</w:t>
      </w:r>
      <w:r w:rsidRPr="00B0790B">
        <w:rPr>
          <w:color w:val="000000" w:themeColor="text1"/>
          <w:sz w:val="24"/>
          <w:szCs w:val="28"/>
        </w:rPr>
        <w:t xml:space="preserve">. </w:t>
      </w:r>
      <w:r w:rsidR="00811F69" w:rsidRPr="00B0790B">
        <w:rPr>
          <w:color w:val="000000" w:themeColor="text1"/>
          <w:sz w:val="24"/>
          <w:szCs w:val="28"/>
        </w:rPr>
        <w:t>Dans ce c</w:t>
      </w:r>
      <w:r w:rsidR="00841600" w:rsidRPr="00B0790B">
        <w:rPr>
          <w:color w:val="000000" w:themeColor="text1"/>
          <w:sz w:val="24"/>
          <w:szCs w:val="28"/>
        </w:rPr>
        <w:t>ontexte</w:t>
      </w:r>
      <w:r w:rsidR="00811F69" w:rsidRPr="00B0790B">
        <w:rPr>
          <w:color w:val="000000" w:themeColor="text1"/>
          <w:sz w:val="24"/>
          <w:szCs w:val="28"/>
        </w:rPr>
        <w:t>, des mesures sont prise</w:t>
      </w:r>
      <w:r w:rsidR="001F2737">
        <w:rPr>
          <w:color w:val="000000" w:themeColor="text1"/>
          <w:sz w:val="24"/>
          <w:szCs w:val="28"/>
        </w:rPr>
        <w:t>s</w:t>
      </w:r>
      <w:r w:rsidR="00811F69" w:rsidRPr="00B0790B">
        <w:rPr>
          <w:color w:val="000000" w:themeColor="text1"/>
          <w:sz w:val="24"/>
          <w:szCs w:val="28"/>
        </w:rPr>
        <w:t xml:space="preserve"> pour successivement </w:t>
      </w:r>
      <w:r w:rsidR="00841600" w:rsidRPr="00B0790B">
        <w:rPr>
          <w:color w:val="000000" w:themeColor="text1"/>
          <w:sz w:val="24"/>
          <w:szCs w:val="28"/>
        </w:rPr>
        <w:t xml:space="preserve">élaborer un ensemble de documents stratégiques. </w:t>
      </w:r>
      <w:r w:rsidR="00B04A96" w:rsidRPr="00B0790B">
        <w:rPr>
          <w:color w:val="000000" w:themeColor="text1"/>
          <w:sz w:val="24"/>
          <w:szCs w:val="28"/>
        </w:rPr>
        <w:t>Ainsi se justifie l</w:t>
      </w:r>
      <w:r w:rsidR="009E3ADA" w:rsidRPr="00B0790B">
        <w:rPr>
          <w:color w:val="000000" w:themeColor="text1"/>
          <w:sz w:val="24"/>
          <w:szCs w:val="28"/>
        </w:rPr>
        <w:t>’élaboration d</w:t>
      </w:r>
      <w:r w:rsidR="0040617D" w:rsidRPr="00B0790B">
        <w:rPr>
          <w:color w:val="000000" w:themeColor="text1"/>
          <w:sz w:val="24"/>
          <w:szCs w:val="28"/>
        </w:rPr>
        <w:t>e la</w:t>
      </w:r>
      <w:r w:rsidR="00841600" w:rsidRPr="00B0790B">
        <w:rPr>
          <w:color w:val="000000" w:themeColor="text1"/>
          <w:sz w:val="24"/>
          <w:szCs w:val="28"/>
        </w:rPr>
        <w:t xml:space="preserve"> présent</w:t>
      </w:r>
      <w:r w:rsidR="0040617D" w:rsidRPr="00B0790B">
        <w:rPr>
          <w:color w:val="000000" w:themeColor="text1"/>
          <w:sz w:val="24"/>
          <w:szCs w:val="28"/>
        </w:rPr>
        <w:t>e</w:t>
      </w:r>
      <w:r w:rsidR="00841600" w:rsidRPr="00B0790B">
        <w:rPr>
          <w:color w:val="000000" w:themeColor="text1"/>
          <w:sz w:val="24"/>
          <w:szCs w:val="28"/>
        </w:rPr>
        <w:t xml:space="preserve"> politique de développement des ressources humaines pour la santé. </w:t>
      </w:r>
    </w:p>
    <w:p w14:paraId="74763E05" w14:textId="77777777" w:rsidR="00E745C2" w:rsidRDefault="00E745C2" w:rsidP="00FF4036">
      <w:pPr>
        <w:pStyle w:val="Titre1"/>
        <w:numPr>
          <w:ilvl w:val="0"/>
          <w:numId w:val="4"/>
        </w:numPr>
        <w:spacing w:after="360"/>
        <w:jc w:val="both"/>
      </w:pPr>
      <w:bookmarkStart w:id="3" w:name="_Toc21586227"/>
      <w:r>
        <w:t>ANALYSE DE SITUATION DES RESSOURCES HUMAINES POUR LA SANTE</w:t>
      </w:r>
      <w:bookmarkEnd w:id="3"/>
    </w:p>
    <w:p w14:paraId="7736439E" w14:textId="77777777" w:rsidR="00FF4036" w:rsidRPr="00B0790B" w:rsidRDefault="00FF4036" w:rsidP="006028F3">
      <w:pPr>
        <w:jc w:val="both"/>
        <w:rPr>
          <w:color w:val="000000" w:themeColor="text1"/>
          <w:sz w:val="24"/>
          <w:szCs w:val="28"/>
        </w:rPr>
      </w:pPr>
      <w:r w:rsidRPr="00B0790B">
        <w:rPr>
          <w:color w:val="000000" w:themeColor="text1"/>
          <w:sz w:val="24"/>
          <w:szCs w:val="28"/>
        </w:rPr>
        <w:t xml:space="preserve">Le contenu du présent chapitre est </w:t>
      </w:r>
      <w:r w:rsidR="006028F3" w:rsidRPr="00B0790B">
        <w:rPr>
          <w:color w:val="000000" w:themeColor="text1"/>
          <w:sz w:val="24"/>
          <w:szCs w:val="28"/>
        </w:rPr>
        <w:t xml:space="preserve">essentiellement </w:t>
      </w:r>
      <w:r w:rsidRPr="00B0790B">
        <w:rPr>
          <w:color w:val="000000" w:themeColor="text1"/>
          <w:sz w:val="24"/>
          <w:szCs w:val="28"/>
        </w:rPr>
        <w:t>extrait du rapport d’analyse de situation des ressources humaines pour la santé</w:t>
      </w:r>
      <w:r w:rsidR="004D2BBE">
        <w:rPr>
          <w:color w:val="000000" w:themeColor="text1"/>
          <w:sz w:val="24"/>
          <w:szCs w:val="28"/>
        </w:rPr>
        <w:t xml:space="preserve"> réalisée dans le cadre de l’élaboration de la présente politique en décembre 2018</w:t>
      </w:r>
      <w:r w:rsidRPr="00B0790B">
        <w:rPr>
          <w:color w:val="000000" w:themeColor="text1"/>
          <w:sz w:val="24"/>
          <w:szCs w:val="28"/>
        </w:rPr>
        <w:t>.</w:t>
      </w:r>
      <w:r w:rsidR="004D2BBE">
        <w:rPr>
          <w:color w:val="000000" w:themeColor="text1"/>
          <w:sz w:val="24"/>
          <w:szCs w:val="28"/>
        </w:rPr>
        <w:t xml:space="preserve">  Il traite de la situation globale et des problèmes prioritaires des ressources humaines pour la santé. </w:t>
      </w:r>
    </w:p>
    <w:p w14:paraId="77CD03B3" w14:textId="77777777" w:rsidR="00717929" w:rsidRDefault="00790398" w:rsidP="00960555">
      <w:pPr>
        <w:pStyle w:val="Titre1"/>
        <w:numPr>
          <w:ilvl w:val="1"/>
          <w:numId w:val="8"/>
        </w:numPr>
        <w:spacing w:before="240" w:after="240"/>
        <w:ind w:left="1843"/>
      </w:pPr>
      <w:bookmarkStart w:id="4" w:name="_Toc21586228"/>
      <w:r>
        <w:t xml:space="preserve">Situation des </w:t>
      </w:r>
      <w:r w:rsidR="00084B19">
        <w:t>RHS</w:t>
      </w:r>
      <w:bookmarkEnd w:id="4"/>
    </w:p>
    <w:p w14:paraId="0F13DB3F" w14:textId="77777777" w:rsidR="004D2BBE" w:rsidRPr="005C34F4" w:rsidRDefault="004D2BBE" w:rsidP="00904B1A">
      <w:pPr>
        <w:jc w:val="both"/>
        <w:rPr>
          <w:color w:val="000000" w:themeColor="text1"/>
          <w:sz w:val="24"/>
          <w:szCs w:val="28"/>
        </w:rPr>
      </w:pPr>
      <w:r w:rsidRPr="005C34F4">
        <w:rPr>
          <w:color w:val="000000" w:themeColor="text1"/>
          <w:sz w:val="24"/>
          <w:szCs w:val="28"/>
        </w:rPr>
        <w:t>Dans cette section sont abordés</w:t>
      </w:r>
      <w:r w:rsidR="00AC064E" w:rsidRPr="005C34F4">
        <w:rPr>
          <w:color w:val="000000" w:themeColor="text1"/>
          <w:sz w:val="24"/>
          <w:szCs w:val="28"/>
        </w:rPr>
        <w:t xml:space="preserve"> la vue générale des ressources humaines, </w:t>
      </w:r>
      <w:r w:rsidRPr="005C34F4">
        <w:rPr>
          <w:color w:val="000000" w:themeColor="text1"/>
          <w:sz w:val="24"/>
          <w:szCs w:val="28"/>
        </w:rPr>
        <w:t>le cadre institutionnel, la planification, la formation, la gestion des RHS, le système d’information et la recherche sur les RHS</w:t>
      </w:r>
      <w:r w:rsidR="00B423B1" w:rsidRPr="005C34F4">
        <w:rPr>
          <w:color w:val="000000" w:themeColor="text1"/>
          <w:sz w:val="24"/>
          <w:szCs w:val="28"/>
        </w:rPr>
        <w:t>.</w:t>
      </w:r>
    </w:p>
    <w:p w14:paraId="07CEC50D" w14:textId="77777777" w:rsidR="00AC064E" w:rsidRDefault="00AC064E" w:rsidP="00CA4BDA">
      <w:pPr>
        <w:pStyle w:val="Titre1"/>
        <w:numPr>
          <w:ilvl w:val="2"/>
          <w:numId w:val="8"/>
        </w:numPr>
        <w:spacing w:before="240" w:after="240"/>
        <w:ind w:left="1843" w:hanging="709"/>
        <w:rPr>
          <w:sz w:val="24"/>
        </w:rPr>
      </w:pPr>
      <w:bookmarkStart w:id="5" w:name="_Toc21586229"/>
      <w:r w:rsidRPr="00AC064E">
        <w:rPr>
          <w:sz w:val="24"/>
        </w:rPr>
        <w:t>Vue générale sur les ressources humaines pour la santé</w:t>
      </w:r>
      <w:bookmarkEnd w:id="5"/>
    </w:p>
    <w:p w14:paraId="226A29F0" w14:textId="77777777" w:rsidR="007037FA" w:rsidRDefault="00AC064E" w:rsidP="00AC064E">
      <w:pPr>
        <w:autoSpaceDE w:val="0"/>
        <w:autoSpaceDN w:val="0"/>
        <w:adjustRightInd w:val="0"/>
        <w:jc w:val="both"/>
        <w:rPr>
          <w:color w:val="000000" w:themeColor="text1"/>
          <w:sz w:val="24"/>
          <w:szCs w:val="28"/>
        </w:rPr>
      </w:pPr>
      <w:r w:rsidRPr="005C34F4">
        <w:rPr>
          <w:color w:val="000000" w:themeColor="text1"/>
          <w:sz w:val="24"/>
          <w:szCs w:val="28"/>
        </w:rPr>
        <w:t>L’effectif total des personnels de santé du sous-secteur public s’élève à 11.290 travailleurs en décembre 2018. Ce personnel est composé en majorité (93,5%) de professionnels de santé, c'est-à-dire de</w:t>
      </w:r>
      <w:r w:rsidR="00020D5E">
        <w:rPr>
          <w:color w:val="000000" w:themeColor="text1"/>
          <w:sz w:val="24"/>
          <w:szCs w:val="28"/>
        </w:rPr>
        <w:t>s</w:t>
      </w:r>
      <w:r w:rsidRPr="005C34F4">
        <w:rPr>
          <w:color w:val="000000" w:themeColor="text1"/>
          <w:sz w:val="24"/>
          <w:szCs w:val="28"/>
        </w:rPr>
        <w:t xml:space="preserve"> personnes qui disposent d'un diplôme livré suite à une formation en la matière</w:t>
      </w:r>
      <w:r w:rsidR="009473A0" w:rsidRPr="005C34F4">
        <w:rPr>
          <w:color w:val="000000" w:themeColor="text1"/>
          <w:sz w:val="24"/>
          <w:szCs w:val="28"/>
        </w:rPr>
        <w:t>, soit 10553 agents</w:t>
      </w:r>
      <w:r w:rsidRPr="005C34F4">
        <w:rPr>
          <w:color w:val="000000" w:themeColor="text1"/>
          <w:sz w:val="24"/>
          <w:szCs w:val="28"/>
        </w:rPr>
        <w:t xml:space="preserve">. </w:t>
      </w:r>
    </w:p>
    <w:p w14:paraId="5DD7A817" w14:textId="77777777" w:rsidR="00BC22B2" w:rsidRDefault="00BC22B2" w:rsidP="00904B1A">
      <w:pPr>
        <w:spacing w:before="240"/>
        <w:jc w:val="both"/>
        <w:rPr>
          <w:color w:val="000000" w:themeColor="text1"/>
          <w:sz w:val="24"/>
          <w:szCs w:val="28"/>
        </w:rPr>
      </w:pPr>
      <w:r w:rsidRPr="005C34F4">
        <w:rPr>
          <w:color w:val="000000" w:themeColor="text1"/>
          <w:sz w:val="24"/>
          <w:szCs w:val="28"/>
        </w:rPr>
        <w:t>Le personnel de la santé est regroupé en corps dont la nomenclature varie selon la source. Ainsi, le fichier du Ministère en charge de la Fonction publique (MFPREMA) reconnait 8 corps de professionnels de la santé tandis que le statut particulier du personnel de la santé compte 16 corps et des catégories (nombre non déterminé). Le corps des</w:t>
      </w:r>
      <w:r w:rsidR="00020D5E" w:rsidRPr="005C34F4">
        <w:rPr>
          <w:color w:val="000000" w:themeColor="text1"/>
          <w:sz w:val="24"/>
          <w:szCs w:val="28"/>
        </w:rPr>
        <w:t xml:space="preserve"> « Labo »</w:t>
      </w:r>
      <w:r w:rsidRPr="005C34F4">
        <w:rPr>
          <w:color w:val="000000" w:themeColor="text1"/>
          <w:sz w:val="24"/>
          <w:szCs w:val="28"/>
        </w:rPr>
        <w:t xml:space="preserve">, existant dans le fichier du MFPREMA, ne figure pas parmi ceux retenus dans le statut particulier. La coexistence de ces deux listes peut prêter à confusion et générer des problèmes de classification du personnel. </w:t>
      </w:r>
    </w:p>
    <w:p w14:paraId="35585445" w14:textId="77777777" w:rsidR="00AD439F" w:rsidRDefault="00AD439F" w:rsidP="00AD439F">
      <w:pPr>
        <w:spacing w:line="240" w:lineRule="auto"/>
        <w:jc w:val="both"/>
        <w:rPr>
          <w:color w:val="000000" w:themeColor="text1"/>
          <w:sz w:val="24"/>
          <w:szCs w:val="28"/>
        </w:rPr>
      </w:pPr>
      <w:r w:rsidRPr="00AD439F">
        <w:rPr>
          <w:color w:val="000000" w:themeColor="text1"/>
          <w:sz w:val="24"/>
          <w:szCs w:val="28"/>
        </w:rPr>
        <w:t>Il faut relever un déséquilibre qualitatif du personnel professionnel de santé. En effet, il existe 2,6 paramédicaux, toutes catégories confondues, pour 1 médecin. Pris individuellement le ratio paramédical/médecin est faible et variable (de 0,02 à 1,4), celui des ATS/médecin étant le plus élevé</w:t>
      </w:r>
      <w:r>
        <w:rPr>
          <w:color w:val="000000" w:themeColor="text1"/>
          <w:sz w:val="24"/>
          <w:szCs w:val="28"/>
        </w:rPr>
        <w:t>.</w:t>
      </w:r>
    </w:p>
    <w:p w14:paraId="18A5B3B6" w14:textId="77777777" w:rsidR="005C34F4" w:rsidRPr="002B548E" w:rsidRDefault="005C34F4" w:rsidP="005C34F4">
      <w:pPr>
        <w:autoSpaceDE w:val="0"/>
        <w:autoSpaceDN w:val="0"/>
        <w:adjustRightInd w:val="0"/>
        <w:spacing w:before="240"/>
        <w:rPr>
          <w:rFonts w:eastAsiaTheme="majorEastAsia" w:cstheme="minorHAnsi"/>
          <w:bCs/>
        </w:rPr>
      </w:pPr>
      <w:r w:rsidRPr="00AE28B4">
        <w:rPr>
          <w:color w:val="000000" w:themeColor="text1"/>
          <w:sz w:val="24"/>
          <w:szCs w:val="28"/>
        </w:rPr>
        <w:t>Selon le fichier du MFPREMA</w:t>
      </w:r>
      <w:r w:rsidRPr="002B548E">
        <w:rPr>
          <w:rFonts w:eastAsiaTheme="majorEastAsia" w:cstheme="minorHAnsi"/>
          <w:bCs/>
        </w:rPr>
        <w:t>:</w:t>
      </w:r>
    </w:p>
    <w:p w14:paraId="27EBFC06" w14:textId="77777777" w:rsidR="005C34F4" w:rsidRPr="005C34F4" w:rsidRDefault="00020D5E" w:rsidP="00020D5E">
      <w:pPr>
        <w:pStyle w:val="Paragraphedeliste"/>
        <w:numPr>
          <w:ilvl w:val="0"/>
          <w:numId w:val="34"/>
        </w:numPr>
        <w:jc w:val="both"/>
        <w:rPr>
          <w:color w:val="000000" w:themeColor="text1"/>
          <w:sz w:val="24"/>
          <w:szCs w:val="28"/>
        </w:rPr>
      </w:pPr>
      <w:r w:rsidRPr="005C34F4">
        <w:rPr>
          <w:color w:val="000000" w:themeColor="text1"/>
          <w:sz w:val="24"/>
          <w:szCs w:val="28"/>
        </w:rPr>
        <w:t>Les</w:t>
      </w:r>
      <w:r w:rsidR="005C34F4" w:rsidRPr="005C34F4">
        <w:rPr>
          <w:color w:val="000000" w:themeColor="text1"/>
          <w:sz w:val="24"/>
          <w:szCs w:val="28"/>
        </w:rPr>
        <w:t xml:space="preserve"> huit corps des professionnels de la santé sont : Agents Techniques de Santé (ATS), Biologistes, infirmiers diplômés d’Etat (IDE), Médecins, Pharmaciens, Sages-femmes, Techniciens de labo-pharma et techniciens de santé publique (TSP). Ils se répartissent comme suit : les ATS sont encore les professionnels de la santé les plus nombreux (35,3%</w:t>
      </w:r>
      <w:r w:rsidR="005C34F4">
        <w:rPr>
          <w:color w:val="000000" w:themeColor="text1"/>
          <w:sz w:val="24"/>
          <w:szCs w:val="28"/>
        </w:rPr>
        <w:t xml:space="preserve"> du total des travailleurs de la santé</w:t>
      </w:r>
      <w:r w:rsidR="005C34F4" w:rsidRPr="005C34F4">
        <w:rPr>
          <w:color w:val="000000" w:themeColor="text1"/>
          <w:sz w:val="24"/>
          <w:szCs w:val="28"/>
        </w:rPr>
        <w:t>), suivis des médecins (25,3%) et des infirmiers d'Etat (20,8%). Les sages-femmes occupent la quatrième place (7,7%). Le reste (4,4%) est constitué des pharmaciens, des techniciens de Labo-pharmacie et des biologistes médicaux.</w:t>
      </w:r>
    </w:p>
    <w:p w14:paraId="233040C8" w14:textId="77777777" w:rsidR="005C34F4" w:rsidRPr="00627710" w:rsidRDefault="005C34F4" w:rsidP="00904B1A">
      <w:pPr>
        <w:pStyle w:val="Paragraphedeliste"/>
        <w:numPr>
          <w:ilvl w:val="0"/>
          <w:numId w:val="34"/>
        </w:numPr>
        <w:jc w:val="both"/>
        <w:rPr>
          <w:rFonts w:eastAsiaTheme="majorEastAsia" w:cstheme="minorHAnsi"/>
          <w:bCs/>
        </w:rPr>
      </w:pPr>
      <w:r w:rsidRPr="005C34F4">
        <w:rPr>
          <w:color w:val="000000" w:themeColor="text1"/>
          <w:sz w:val="24"/>
          <w:szCs w:val="28"/>
        </w:rPr>
        <w:t>Le personnel d’appui de la santé, compte trente-six (36) corps. Les corps les moins représentés sont les matrones (0,01%), les Statisticien (0,03%) et les contrôleurs des</w:t>
      </w:r>
      <w:r w:rsidRPr="005F1C94">
        <w:rPr>
          <w:rFonts w:eastAsiaTheme="majorEastAsia" w:cstheme="minorHAnsi"/>
          <w:bCs/>
        </w:rPr>
        <w:t xml:space="preserve"> </w:t>
      </w:r>
      <w:r w:rsidRPr="005C34F4">
        <w:rPr>
          <w:color w:val="000000" w:themeColor="text1"/>
          <w:sz w:val="24"/>
          <w:szCs w:val="28"/>
        </w:rPr>
        <w:t>services financiers et comptables ou CSFC (0,025%). La grande proportion est observée au niveau Aucun corps 0,69% et professeur de lycée 0,65%. Sur le plan régional.</w:t>
      </w:r>
    </w:p>
    <w:p w14:paraId="0D3200E4" w14:textId="77777777" w:rsidR="00627710" w:rsidRPr="008F31B2" w:rsidRDefault="00627710" w:rsidP="00904B1A">
      <w:pPr>
        <w:jc w:val="both"/>
        <w:rPr>
          <w:color w:val="000000" w:themeColor="text1"/>
          <w:sz w:val="24"/>
          <w:szCs w:val="28"/>
        </w:rPr>
      </w:pPr>
      <w:r w:rsidRPr="008F31B2">
        <w:rPr>
          <w:color w:val="000000" w:themeColor="text1"/>
          <w:sz w:val="24"/>
          <w:szCs w:val="28"/>
        </w:rPr>
        <w:t xml:space="preserve">Le même fichier indique </w:t>
      </w:r>
      <w:r w:rsidR="00870A30" w:rsidRPr="008F31B2">
        <w:rPr>
          <w:color w:val="000000" w:themeColor="text1"/>
          <w:sz w:val="24"/>
          <w:szCs w:val="28"/>
        </w:rPr>
        <w:t>que, parmi l’</w:t>
      </w:r>
      <w:r w:rsidRPr="008F31B2">
        <w:rPr>
          <w:color w:val="000000" w:themeColor="text1"/>
          <w:sz w:val="24"/>
          <w:szCs w:val="28"/>
        </w:rPr>
        <w:t xml:space="preserve">effectif </w:t>
      </w:r>
      <w:r w:rsidR="00870A30" w:rsidRPr="008F31B2">
        <w:rPr>
          <w:color w:val="000000" w:themeColor="text1"/>
          <w:sz w:val="24"/>
          <w:szCs w:val="28"/>
        </w:rPr>
        <w:t xml:space="preserve">de professionnels de la santé, </w:t>
      </w:r>
      <w:r w:rsidRPr="008F31B2">
        <w:rPr>
          <w:color w:val="000000" w:themeColor="text1"/>
          <w:sz w:val="24"/>
          <w:szCs w:val="28"/>
        </w:rPr>
        <w:t>les ATS son</w:t>
      </w:r>
      <w:r w:rsidR="008F31B2" w:rsidRPr="008F31B2">
        <w:rPr>
          <w:color w:val="000000" w:themeColor="text1"/>
          <w:sz w:val="24"/>
          <w:szCs w:val="28"/>
        </w:rPr>
        <w:t>t</w:t>
      </w:r>
      <w:r w:rsidRPr="008F31B2">
        <w:rPr>
          <w:color w:val="000000" w:themeColor="text1"/>
          <w:sz w:val="24"/>
          <w:szCs w:val="28"/>
        </w:rPr>
        <w:t xml:space="preserve"> les plus nombreux (37,8%), suivis des médecins (27,1%) et des infirmiers d'Etat (22,2%). Les sages-femmes occupent la quatrième place (8,2%). Le reste (5,7%) est constitué des pharmaciens, des techniciens de la</w:t>
      </w:r>
      <w:r w:rsidR="00E30664">
        <w:rPr>
          <w:color w:val="000000" w:themeColor="text1"/>
          <w:sz w:val="24"/>
          <w:szCs w:val="28"/>
        </w:rPr>
        <w:t>b</w:t>
      </w:r>
      <w:r w:rsidRPr="008F31B2">
        <w:rPr>
          <w:color w:val="000000" w:themeColor="text1"/>
          <w:sz w:val="24"/>
          <w:szCs w:val="28"/>
        </w:rPr>
        <w:t>o-pharma</w:t>
      </w:r>
      <w:r w:rsidR="008F31B2" w:rsidRPr="008F31B2">
        <w:rPr>
          <w:color w:val="000000" w:themeColor="text1"/>
          <w:sz w:val="24"/>
          <w:szCs w:val="28"/>
        </w:rPr>
        <w:t>cie et les biologistes médicaux</w:t>
      </w:r>
      <w:r w:rsidRPr="008F31B2">
        <w:rPr>
          <w:color w:val="000000" w:themeColor="text1"/>
          <w:sz w:val="24"/>
          <w:szCs w:val="28"/>
        </w:rPr>
        <w:t>.</w:t>
      </w:r>
    </w:p>
    <w:p w14:paraId="5258E233" w14:textId="77777777" w:rsidR="00AD439F" w:rsidRPr="005C34F4" w:rsidRDefault="00AD439F" w:rsidP="00AD439F">
      <w:pPr>
        <w:jc w:val="both"/>
        <w:rPr>
          <w:color w:val="000000" w:themeColor="text1"/>
          <w:sz w:val="24"/>
          <w:szCs w:val="28"/>
        </w:rPr>
      </w:pPr>
      <w:r w:rsidRPr="005C34F4">
        <w:rPr>
          <w:color w:val="000000" w:themeColor="text1"/>
          <w:sz w:val="24"/>
          <w:szCs w:val="28"/>
        </w:rPr>
        <w:t>La densité de personnel de santé est de 9 professionnels de santé pour 10 000 habitants alors que, selon l’OMS, elle devrait être de 23 pour 10 000 habitants</w:t>
      </w:r>
      <w:r w:rsidRPr="005C34F4">
        <w:rPr>
          <w:sz w:val="24"/>
        </w:rPr>
        <w:footnoteReference w:id="18"/>
      </w:r>
      <w:r w:rsidRPr="005C34F4">
        <w:rPr>
          <w:color w:val="000000" w:themeColor="text1"/>
          <w:sz w:val="24"/>
          <w:szCs w:val="28"/>
        </w:rPr>
        <w:t>. Cet indicateur est, comme on le voit, très faible (39,1% de la densité requise). Il varie d’une région à une autre passant de 6 à Kankan à 16 à Conakry, Mamou et Conakry étant les seules régions ayant une densité égale ou supérieure à la moyenne nationale. Ces chiffres montrent clairement l'insuffisance numérique des ressources humaines pour la santé, au vue de la taille de la population. Par ailleurs, le personnel disponible est mal distribué, au détriment des zones rurales où vivent environ 70% de la population guinéenne.</w:t>
      </w:r>
    </w:p>
    <w:p w14:paraId="36EAA149" w14:textId="77777777" w:rsidR="00AD439F" w:rsidRDefault="00AD439F" w:rsidP="00AD439F">
      <w:pPr>
        <w:spacing w:line="240" w:lineRule="auto"/>
        <w:jc w:val="both"/>
        <w:rPr>
          <w:color w:val="000000" w:themeColor="text1"/>
          <w:sz w:val="24"/>
          <w:szCs w:val="28"/>
        </w:rPr>
      </w:pPr>
      <w:r w:rsidRPr="005C34F4">
        <w:rPr>
          <w:color w:val="000000" w:themeColor="text1"/>
          <w:sz w:val="24"/>
          <w:szCs w:val="28"/>
        </w:rPr>
        <w:t>Les âges moyen et médian sont respectivement de 44 ans et 42 ans, signe de vieillissement du personnel</w:t>
      </w:r>
      <w:r>
        <w:rPr>
          <w:rStyle w:val="Appelnotedebasdep"/>
          <w:color w:val="000000" w:themeColor="text1"/>
          <w:sz w:val="28"/>
          <w:szCs w:val="28"/>
        </w:rPr>
        <w:footnoteReference w:id="19"/>
      </w:r>
      <w:r w:rsidRPr="00AC064E">
        <w:rPr>
          <w:color w:val="000000" w:themeColor="text1"/>
          <w:sz w:val="28"/>
          <w:szCs w:val="28"/>
        </w:rPr>
        <w:t>.</w:t>
      </w:r>
      <w:r>
        <w:rPr>
          <w:color w:val="000000" w:themeColor="text1"/>
          <w:sz w:val="28"/>
          <w:szCs w:val="28"/>
        </w:rPr>
        <w:t xml:space="preserve"> </w:t>
      </w:r>
      <w:r w:rsidRPr="00E30664">
        <w:rPr>
          <w:color w:val="000000" w:themeColor="text1"/>
          <w:sz w:val="24"/>
          <w:szCs w:val="28"/>
        </w:rPr>
        <w:t>Un tiers (32,3%) du personnel est âgé de 50 ans ou plus. Cette proportion varie d’une région à une autre, allant de 48,2% à Conakry à 21,0% à Mamou. Mais partout plus d'une personne sur 5 a au moins 50 ans.</w:t>
      </w:r>
      <w:r>
        <w:rPr>
          <w:color w:val="000000" w:themeColor="text1"/>
          <w:sz w:val="24"/>
          <w:szCs w:val="28"/>
        </w:rPr>
        <w:t xml:space="preserve"> </w:t>
      </w:r>
      <w:r w:rsidRPr="006C4C15">
        <w:rPr>
          <w:color w:val="000000" w:themeColor="text1"/>
          <w:sz w:val="24"/>
          <w:szCs w:val="28"/>
        </w:rPr>
        <w:t>La proportion de quinquagénaires varie, également, selon le corps professionnel: 58,1% des techniciens de santé publique, 39,8% des médecins, 32,9% des pharmaciens, 32,6% des ATS. Les sages-femmes (12,8%) sont les moins âgées, suivies de techniciens de Labo-Pharma (19,5%)</w:t>
      </w:r>
      <w:r>
        <w:rPr>
          <w:color w:val="000000" w:themeColor="text1"/>
          <w:sz w:val="24"/>
          <w:szCs w:val="28"/>
        </w:rPr>
        <w:t>.</w:t>
      </w:r>
    </w:p>
    <w:p w14:paraId="623A306E" w14:textId="77777777" w:rsidR="00E435A9" w:rsidRPr="00E435A9" w:rsidRDefault="00E435A9" w:rsidP="00904B1A">
      <w:pPr>
        <w:jc w:val="both"/>
        <w:rPr>
          <w:color w:val="000000" w:themeColor="text1"/>
          <w:sz w:val="24"/>
          <w:szCs w:val="28"/>
        </w:rPr>
      </w:pPr>
      <w:r>
        <w:rPr>
          <w:color w:val="000000" w:themeColor="text1"/>
          <w:sz w:val="24"/>
          <w:szCs w:val="28"/>
        </w:rPr>
        <w:t>S</w:t>
      </w:r>
      <w:r w:rsidRPr="00E435A9">
        <w:rPr>
          <w:color w:val="000000" w:themeColor="text1"/>
          <w:sz w:val="24"/>
          <w:szCs w:val="28"/>
        </w:rPr>
        <w:t>elon  les normes de l’OMS, il faut 1 médecin pour 10.000 habitants, 1 sage-femme pour 3.000 habitants et 1 infirmier d’état pour 5.000 habitants</w:t>
      </w:r>
      <w:r>
        <w:rPr>
          <w:rStyle w:val="Appelnotedebasdep"/>
          <w:rFonts w:eastAsiaTheme="majorEastAsia"/>
          <w:bCs/>
        </w:rPr>
        <w:footnoteReference w:id="20"/>
      </w:r>
      <w:r w:rsidRPr="00D85EC6">
        <w:rPr>
          <w:rFonts w:eastAsiaTheme="majorEastAsia" w:cstheme="minorHAnsi"/>
          <w:bCs/>
        </w:rPr>
        <w:t>.</w:t>
      </w:r>
      <w:r>
        <w:rPr>
          <w:rFonts w:eastAsiaTheme="majorEastAsia" w:cstheme="minorHAnsi"/>
          <w:bCs/>
        </w:rPr>
        <w:t xml:space="preserve"> </w:t>
      </w:r>
      <w:r w:rsidRPr="00E435A9">
        <w:rPr>
          <w:color w:val="000000" w:themeColor="text1"/>
          <w:sz w:val="24"/>
          <w:szCs w:val="28"/>
        </w:rPr>
        <w:t xml:space="preserve">Sur le plan régional on observe des variations très disparates allant, à Kankan de 0,0‰ pour les Pharmaciens à 1,1‰ pour les sages-femmes et à Conakry de 0,1‰ pour les Pharmaciens à 2‰ pour les sages-femmes. </w:t>
      </w:r>
    </w:p>
    <w:p w14:paraId="6D60CDAA" w14:textId="77777777" w:rsidR="00AC064E" w:rsidRDefault="00E435A9" w:rsidP="00CE7D85">
      <w:pPr>
        <w:jc w:val="both"/>
        <w:rPr>
          <w:color w:val="000000" w:themeColor="text1"/>
          <w:sz w:val="24"/>
          <w:szCs w:val="28"/>
        </w:rPr>
      </w:pPr>
      <w:r w:rsidRPr="00E435A9">
        <w:rPr>
          <w:color w:val="000000" w:themeColor="text1"/>
          <w:sz w:val="24"/>
          <w:szCs w:val="28"/>
        </w:rPr>
        <w:t>L</w:t>
      </w:r>
      <w:r w:rsidR="005F233B">
        <w:rPr>
          <w:color w:val="000000" w:themeColor="text1"/>
          <w:sz w:val="24"/>
          <w:szCs w:val="28"/>
        </w:rPr>
        <w:t xml:space="preserve">e ratio </w:t>
      </w:r>
      <w:r w:rsidRPr="00E435A9">
        <w:rPr>
          <w:color w:val="000000" w:themeColor="text1"/>
          <w:sz w:val="24"/>
          <w:szCs w:val="28"/>
        </w:rPr>
        <w:t xml:space="preserve">infirmiers d'Etat, sages-femmes et médecins </w:t>
      </w:r>
      <w:r w:rsidR="005F233B">
        <w:rPr>
          <w:color w:val="000000" w:themeColor="text1"/>
          <w:sz w:val="24"/>
          <w:szCs w:val="28"/>
        </w:rPr>
        <w:t xml:space="preserve">pris ensemble </w:t>
      </w:r>
      <w:r w:rsidRPr="00E435A9">
        <w:rPr>
          <w:color w:val="000000" w:themeColor="text1"/>
          <w:sz w:val="24"/>
          <w:szCs w:val="28"/>
        </w:rPr>
        <w:t xml:space="preserve">devrait être de 2,3 pour 1000 habitants. En Guinée, ce ratio est de 0,5, avec des variations régionales allant de 0,3 à Kankan et Nzérékoré, à 1,2 à Conakry. </w:t>
      </w:r>
    </w:p>
    <w:p w14:paraId="35BEED91" w14:textId="77777777" w:rsidR="00CF1996" w:rsidRDefault="00CF1996" w:rsidP="00CF1996">
      <w:pPr>
        <w:jc w:val="both"/>
        <w:rPr>
          <w:color w:val="000000" w:themeColor="text1"/>
          <w:sz w:val="24"/>
          <w:szCs w:val="28"/>
        </w:rPr>
      </w:pPr>
      <w:r w:rsidRPr="00CF1996">
        <w:rPr>
          <w:color w:val="000000" w:themeColor="text1"/>
          <w:sz w:val="24"/>
          <w:szCs w:val="28"/>
        </w:rPr>
        <w:t>Conformément aux textes du code de travail en vigueur, au total 19,6% des effectifs actuels de professionnels de santé du secteur public, toutes catégories confondues, parti</w:t>
      </w:r>
      <w:r>
        <w:rPr>
          <w:color w:val="000000" w:themeColor="text1"/>
          <w:sz w:val="24"/>
          <w:szCs w:val="28"/>
        </w:rPr>
        <w:t>ront</w:t>
      </w:r>
      <w:r w:rsidRPr="00CF1996">
        <w:rPr>
          <w:color w:val="000000" w:themeColor="text1"/>
          <w:sz w:val="24"/>
          <w:szCs w:val="28"/>
        </w:rPr>
        <w:t xml:space="preserve"> à la retraite</w:t>
      </w:r>
      <w:r>
        <w:rPr>
          <w:color w:val="000000" w:themeColor="text1"/>
          <w:sz w:val="24"/>
          <w:szCs w:val="28"/>
        </w:rPr>
        <w:t xml:space="preserve"> d’ici à la fin 2024</w:t>
      </w:r>
      <w:r w:rsidRPr="00CF1996">
        <w:rPr>
          <w:color w:val="000000" w:themeColor="text1"/>
          <w:sz w:val="24"/>
          <w:szCs w:val="28"/>
        </w:rPr>
        <w:t>. Les techniciens de santé publique (46,8%), les médecins (21,4%), les ATS (21,4%), les infirmiers d'Etat (19,5%) seront les plus touchés par la retraite. Le groupe de sage</w:t>
      </w:r>
      <w:r>
        <w:rPr>
          <w:color w:val="000000" w:themeColor="text1"/>
          <w:sz w:val="24"/>
          <w:szCs w:val="28"/>
        </w:rPr>
        <w:t>s</w:t>
      </w:r>
      <w:r w:rsidRPr="00CF1996">
        <w:rPr>
          <w:color w:val="000000" w:themeColor="text1"/>
          <w:sz w:val="24"/>
          <w:szCs w:val="28"/>
        </w:rPr>
        <w:t>-femme</w:t>
      </w:r>
      <w:r>
        <w:rPr>
          <w:color w:val="000000" w:themeColor="text1"/>
          <w:sz w:val="24"/>
          <w:szCs w:val="28"/>
        </w:rPr>
        <w:t>s</w:t>
      </w:r>
      <w:r w:rsidRPr="00CF1996">
        <w:rPr>
          <w:color w:val="000000" w:themeColor="text1"/>
          <w:sz w:val="24"/>
          <w:szCs w:val="28"/>
        </w:rPr>
        <w:t xml:space="preserve"> semble plus jeune car seulement 7,6% de l'effectif actuel seront retraités. Cela veut dire que les processus de la formation et du recrutement devraient permettre, d'ici à la fin de 2024, de remplacer 2068 agents de santé (dont 854 ATS, 457 IDE, 66 SF, 613 médecins).</w:t>
      </w:r>
    </w:p>
    <w:p w14:paraId="78ACA26C" w14:textId="77777777" w:rsidR="00680FFA" w:rsidRDefault="00494F9C" w:rsidP="00680FFA">
      <w:pPr>
        <w:spacing w:after="120"/>
        <w:jc w:val="both"/>
        <w:rPr>
          <w:rFonts w:cstheme="minorHAnsi"/>
          <w:color w:val="000000"/>
          <w:lang w:eastAsia="fr-FR"/>
        </w:rPr>
      </w:pPr>
      <w:r w:rsidRPr="00494F9C">
        <w:rPr>
          <w:color w:val="000000" w:themeColor="text1"/>
          <w:sz w:val="24"/>
          <w:szCs w:val="28"/>
        </w:rPr>
        <w:t xml:space="preserve">Le personnel non professionnel de la santé </w:t>
      </w:r>
      <w:r>
        <w:rPr>
          <w:color w:val="000000" w:themeColor="text1"/>
          <w:sz w:val="24"/>
          <w:szCs w:val="28"/>
        </w:rPr>
        <w:t>comprend</w:t>
      </w:r>
      <w:r w:rsidR="00B15176">
        <w:rPr>
          <w:color w:val="000000" w:themeColor="text1"/>
          <w:sz w:val="24"/>
          <w:szCs w:val="28"/>
        </w:rPr>
        <w:t xml:space="preserve"> 737 agents, soit </w:t>
      </w:r>
      <w:r w:rsidRPr="00494F9C">
        <w:rPr>
          <w:color w:val="000000" w:themeColor="text1"/>
          <w:sz w:val="24"/>
          <w:szCs w:val="28"/>
        </w:rPr>
        <w:t>6</w:t>
      </w:r>
      <w:r>
        <w:rPr>
          <w:color w:val="000000" w:themeColor="text1"/>
          <w:sz w:val="24"/>
          <w:szCs w:val="28"/>
        </w:rPr>
        <w:t>,5</w:t>
      </w:r>
      <w:r w:rsidRPr="00494F9C">
        <w:rPr>
          <w:color w:val="000000" w:themeColor="text1"/>
          <w:sz w:val="24"/>
          <w:szCs w:val="28"/>
        </w:rPr>
        <w:t xml:space="preserve">% des effectifs totaux de la santé. Parmi ce personnel de soutien, les enseignants (28,8%), les ingénieurs (16,1%), les secrétaires (7,9%), les administrateurs (7,2%) et les </w:t>
      </w:r>
      <w:r>
        <w:rPr>
          <w:color w:val="000000" w:themeColor="text1"/>
          <w:sz w:val="24"/>
          <w:szCs w:val="28"/>
        </w:rPr>
        <w:t>inspecteurs des services financiers et comptables</w:t>
      </w:r>
      <w:r w:rsidRPr="00494F9C">
        <w:rPr>
          <w:color w:val="000000" w:themeColor="text1"/>
          <w:sz w:val="24"/>
          <w:szCs w:val="28"/>
        </w:rPr>
        <w:t xml:space="preserve"> (6,8%) sont les plus nombreux. </w:t>
      </w:r>
      <w:r w:rsidR="00680FFA">
        <w:rPr>
          <w:rFonts w:cstheme="minorHAnsi"/>
        </w:rPr>
        <w:t>P</w:t>
      </w:r>
      <w:r w:rsidR="00680FFA" w:rsidRPr="00615019">
        <w:rPr>
          <w:rFonts w:cstheme="minorHAnsi"/>
          <w:color w:val="000000"/>
          <w:lang w:eastAsia="fr-FR"/>
        </w:rPr>
        <w:t xml:space="preserve">rès de 2 personnes sur 5 (39,3%) du personnel de soutien </w:t>
      </w:r>
      <w:r w:rsidR="00680FFA">
        <w:rPr>
          <w:rFonts w:cstheme="minorHAnsi"/>
          <w:color w:val="000000"/>
          <w:lang w:eastAsia="fr-FR"/>
        </w:rPr>
        <w:t xml:space="preserve">ont, </w:t>
      </w:r>
      <w:r w:rsidR="00680FFA" w:rsidRPr="00615019">
        <w:rPr>
          <w:rFonts w:cstheme="minorHAnsi"/>
          <w:color w:val="000000"/>
          <w:lang w:eastAsia="fr-FR"/>
        </w:rPr>
        <w:t>au moins</w:t>
      </w:r>
      <w:r w:rsidR="00680FFA">
        <w:rPr>
          <w:rFonts w:cstheme="minorHAnsi"/>
          <w:color w:val="000000"/>
          <w:lang w:eastAsia="fr-FR"/>
        </w:rPr>
        <w:t>,</w:t>
      </w:r>
      <w:r w:rsidR="00680FFA" w:rsidRPr="00615019">
        <w:rPr>
          <w:rFonts w:cstheme="minorHAnsi"/>
          <w:color w:val="000000"/>
          <w:lang w:eastAsia="fr-FR"/>
        </w:rPr>
        <w:t xml:space="preserve"> 50 ans, tandis que la moitié (49,7%) ont</w:t>
      </w:r>
      <w:r w:rsidR="00680FFA">
        <w:rPr>
          <w:rFonts w:cstheme="minorHAnsi"/>
          <w:color w:val="000000"/>
          <w:lang w:eastAsia="fr-FR"/>
        </w:rPr>
        <w:t>,</w:t>
      </w:r>
      <w:r w:rsidR="00680FFA" w:rsidRPr="00615019">
        <w:rPr>
          <w:rFonts w:cstheme="minorHAnsi"/>
          <w:color w:val="000000"/>
          <w:lang w:eastAsia="fr-FR"/>
        </w:rPr>
        <w:t xml:space="preserve"> au moins</w:t>
      </w:r>
      <w:r w:rsidR="00680FFA">
        <w:rPr>
          <w:rFonts w:cstheme="minorHAnsi"/>
          <w:color w:val="000000"/>
          <w:lang w:eastAsia="fr-FR"/>
        </w:rPr>
        <w:t>,</w:t>
      </w:r>
      <w:r w:rsidR="00680FFA" w:rsidRPr="00615019">
        <w:rPr>
          <w:rFonts w:cstheme="minorHAnsi"/>
          <w:color w:val="000000"/>
          <w:lang w:eastAsia="fr-FR"/>
        </w:rPr>
        <w:t xml:space="preserve"> 45 ans.</w:t>
      </w:r>
    </w:p>
    <w:p w14:paraId="11E005C5" w14:textId="77777777" w:rsidR="00680FFA" w:rsidRPr="00680FFA" w:rsidRDefault="0049468E" w:rsidP="00680FFA">
      <w:pPr>
        <w:jc w:val="both"/>
        <w:rPr>
          <w:color w:val="000000" w:themeColor="text1"/>
          <w:sz w:val="24"/>
          <w:szCs w:val="28"/>
        </w:rPr>
      </w:pPr>
      <w:r>
        <w:rPr>
          <w:color w:val="000000" w:themeColor="text1"/>
          <w:sz w:val="24"/>
          <w:szCs w:val="28"/>
        </w:rPr>
        <w:t>I</w:t>
      </w:r>
      <w:r w:rsidR="00680FFA" w:rsidRPr="00680FFA">
        <w:rPr>
          <w:color w:val="000000" w:themeColor="text1"/>
          <w:sz w:val="24"/>
          <w:szCs w:val="28"/>
        </w:rPr>
        <w:t>l est attendu qu</w:t>
      </w:r>
      <w:r>
        <w:rPr>
          <w:color w:val="000000" w:themeColor="text1"/>
          <w:sz w:val="24"/>
          <w:szCs w:val="28"/>
        </w:rPr>
        <w:t>e</w:t>
      </w:r>
      <w:r w:rsidR="00680FFA" w:rsidRPr="00680FFA">
        <w:rPr>
          <w:color w:val="000000" w:themeColor="text1"/>
          <w:sz w:val="24"/>
          <w:szCs w:val="28"/>
        </w:rPr>
        <w:t xml:space="preserve"> 21,7% de certains corps professionnels partent à la retraite </w:t>
      </w:r>
      <w:r>
        <w:rPr>
          <w:color w:val="000000" w:themeColor="text1"/>
          <w:sz w:val="24"/>
          <w:szCs w:val="28"/>
        </w:rPr>
        <w:t xml:space="preserve">d’ici à </w:t>
      </w:r>
      <w:r w:rsidR="00680FFA" w:rsidRPr="00680FFA">
        <w:rPr>
          <w:color w:val="000000" w:themeColor="text1"/>
          <w:sz w:val="24"/>
          <w:szCs w:val="28"/>
        </w:rPr>
        <w:t>2024. Seront particulièrement touchés les ingénieurs agronomes (58,3%), les professeurs du 4ème cycle (43,6%), les ingénieurs de construction navale (40%), les instituteurs (31,2%), les I.S.C.F (28%), les professeurs d</w:t>
      </w:r>
      <w:r>
        <w:rPr>
          <w:color w:val="000000" w:themeColor="text1"/>
          <w:sz w:val="24"/>
          <w:szCs w:val="28"/>
        </w:rPr>
        <w:t>es</w:t>
      </w:r>
      <w:r w:rsidR="00680FFA" w:rsidRPr="00680FFA">
        <w:rPr>
          <w:color w:val="000000" w:themeColor="text1"/>
          <w:sz w:val="24"/>
          <w:szCs w:val="28"/>
        </w:rPr>
        <w:t xml:space="preserve"> 2</w:t>
      </w:r>
      <w:r w:rsidRPr="0049468E">
        <w:rPr>
          <w:color w:val="000000" w:themeColor="text1"/>
          <w:sz w:val="24"/>
          <w:szCs w:val="28"/>
          <w:vertAlign w:val="superscript"/>
        </w:rPr>
        <w:t>ème</w:t>
      </w:r>
      <w:r>
        <w:rPr>
          <w:color w:val="000000" w:themeColor="text1"/>
          <w:sz w:val="24"/>
          <w:szCs w:val="28"/>
        </w:rPr>
        <w:t xml:space="preserve"> </w:t>
      </w:r>
      <w:r w:rsidR="00680FFA" w:rsidRPr="00680FFA">
        <w:rPr>
          <w:color w:val="000000" w:themeColor="text1"/>
          <w:sz w:val="24"/>
          <w:szCs w:val="28"/>
        </w:rPr>
        <w:t>/3</w:t>
      </w:r>
      <w:r w:rsidRPr="0049468E">
        <w:rPr>
          <w:color w:val="000000" w:themeColor="text1"/>
          <w:sz w:val="24"/>
          <w:szCs w:val="28"/>
          <w:vertAlign w:val="superscript"/>
        </w:rPr>
        <w:t>ème</w:t>
      </w:r>
      <w:r>
        <w:rPr>
          <w:color w:val="000000" w:themeColor="text1"/>
          <w:sz w:val="24"/>
          <w:szCs w:val="28"/>
        </w:rPr>
        <w:t xml:space="preserve"> </w:t>
      </w:r>
      <w:r w:rsidR="00680FFA" w:rsidRPr="00680FFA">
        <w:rPr>
          <w:color w:val="000000" w:themeColor="text1"/>
          <w:sz w:val="24"/>
          <w:szCs w:val="28"/>
        </w:rPr>
        <w:t xml:space="preserve">cycles (25,5%), les secrétaires (24,1%), les ingénieurs d'industrie et de mines (21,6%), les administrateurs (20,8%). Des mesures de remplacement doivent être prises </w:t>
      </w:r>
      <w:r>
        <w:rPr>
          <w:color w:val="000000" w:themeColor="text1"/>
          <w:sz w:val="24"/>
          <w:szCs w:val="28"/>
        </w:rPr>
        <w:t xml:space="preserve">dès </w:t>
      </w:r>
      <w:r w:rsidR="00680FFA" w:rsidRPr="00680FFA">
        <w:rPr>
          <w:color w:val="000000" w:themeColor="text1"/>
          <w:sz w:val="24"/>
          <w:szCs w:val="28"/>
        </w:rPr>
        <w:t>maintenant.</w:t>
      </w:r>
    </w:p>
    <w:p w14:paraId="5A4A05D8" w14:textId="77777777" w:rsidR="005B4B15" w:rsidRPr="00CA4BDA" w:rsidRDefault="005B4B15" w:rsidP="00CA4BDA">
      <w:pPr>
        <w:pStyle w:val="Titre1"/>
        <w:numPr>
          <w:ilvl w:val="2"/>
          <w:numId w:val="8"/>
        </w:numPr>
        <w:spacing w:before="240" w:after="240"/>
        <w:ind w:left="1843" w:hanging="709"/>
        <w:rPr>
          <w:rFonts w:ascii="Cambria" w:hAnsi="Cambria"/>
          <w:b w:val="0"/>
        </w:rPr>
      </w:pPr>
      <w:bookmarkStart w:id="6" w:name="_Toc21586230"/>
      <w:r w:rsidRPr="00CA4BDA">
        <w:rPr>
          <w:sz w:val="24"/>
        </w:rPr>
        <w:t>Cadre institutionnel</w:t>
      </w:r>
      <w:bookmarkEnd w:id="6"/>
    </w:p>
    <w:p w14:paraId="64CF20E9" w14:textId="77777777" w:rsidR="007A7548" w:rsidRDefault="0046325A" w:rsidP="007A7548">
      <w:pPr>
        <w:pStyle w:val="Paragraphedeliste"/>
        <w:ind w:left="0"/>
        <w:jc w:val="both"/>
        <w:rPr>
          <w:color w:val="000000" w:themeColor="text1"/>
          <w:sz w:val="28"/>
          <w:szCs w:val="28"/>
        </w:rPr>
      </w:pPr>
      <w:r>
        <w:rPr>
          <w:color w:val="000000" w:themeColor="text1"/>
          <w:sz w:val="24"/>
          <w:szCs w:val="28"/>
        </w:rPr>
        <w:t>U</w:t>
      </w:r>
      <w:r w:rsidR="00986E20" w:rsidRPr="00B0790B">
        <w:rPr>
          <w:color w:val="000000" w:themeColor="text1"/>
          <w:sz w:val="24"/>
          <w:szCs w:val="28"/>
        </w:rPr>
        <w:t xml:space="preserve">ne direction des ressources humaines a été créée </w:t>
      </w:r>
      <w:r>
        <w:rPr>
          <w:color w:val="000000" w:themeColor="text1"/>
          <w:sz w:val="24"/>
          <w:szCs w:val="28"/>
        </w:rPr>
        <w:t xml:space="preserve">récemment </w:t>
      </w:r>
      <w:r w:rsidR="00986E20" w:rsidRPr="00B0790B">
        <w:rPr>
          <w:color w:val="000000" w:themeColor="text1"/>
          <w:sz w:val="24"/>
          <w:szCs w:val="28"/>
        </w:rPr>
        <w:t xml:space="preserve">au Ministère de la Santé. Un cadre organique a été négocié et adopté avec le ministère en charge de la </w:t>
      </w:r>
      <w:r w:rsidR="00693B74">
        <w:rPr>
          <w:color w:val="000000" w:themeColor="text1"/>
          <w:sz w:val="24"/>
          <w:szCs w:val="28"/>
        </w:rPr>
        <w:t>fonction publique</w:t>
      </w:r>
      <w:r w:rsidR="00B24E25" w:rsidRPr="00B0790B">
        <w:rPr>
          <w:color w:val="000000" w:themeColor="text1"/>
          <w:sz w:val="24"/>
          <w:szCs w:val="28"/>
        </w:rPr>
        <w:t xml:space="preserve">. </w:t>
      </w:r>
      <w:r w:rsidR="00693B74">
        <w:rPr>
          <w:color w:val="000000" w:themeColor="text1"/>
          <w:sz w:val="24"/>
          <w:szCs w:val="28"/>
        </w:rPr>
        <w:t>Cependant, l</w:t>
      </w:r>
      <w:r w:rsidR="00305222" w:rsidRPr="00B0790B">
        <w:rPr>
          <w:color w:val="000000" w:themeColor="text1"/>
          <w:sz w:val="24"/>
          <w:szCs w:val="28"/>
        </w:rPr>
        <w:t xml:space="preserve">a nouvelle direction ne dispose pas </w:t>
      </w:r>
      <w:r w:rsidR="00693B74">
        <w:rPr>
          <w:color w:val="000000" w:themeColor="text1"/>
          <w:sz w:val="24"/>
          <w:szCs w:val="28"/>
        </w:rPr>
        <w:t xml:space="preserve">encore </w:t>
      </w:r>
      <w:r w:rsidR="00305222" w:rsidRPr="00B0790B">
        <w:rPr>
          <w:color w:val="000000" w:themeColor="text1"/>
          <w:sz w:val="24"/>
          <w:szCs w:val="28"/>
        </w:rPr>
        <w:t>de</w:t>
      </w:r>
      <w:r w:rsidR="00AF13E9" w:rsidRPr="00B0790B">
        <w:rPr>
          <w:color w:val="000000" w:themeColor="text1"/>
          <w:sz w:val="24"/>
          <w:szCs w:val="28"/>
        </w:rPr>
        <w:t>s</w:t>
      </w:r>
      <w:r w:rsidR="00305222" w:rsidRPr="00B0790B">
        <w:rPr>
          <w:color w:val="000000" w:themeColor="text1"/>
          <w:sz w:val="24"/>
          <w:szCs w:val="28"/>
        </w:rPr>
        <w:t xml:space="preserve"> capacités nécessaires </w:t>
      </w:r>
      <w:r w:rsidR="00C12CCD" w:rsidRPr="00B0790B">
        <w:rPr>
          <w:color w:val="000000" w:themeColor="text1"/>
          <w:sz w:val="24"/>
          <w:szCs w:val="28"/>
        </w:rPr>
        <w:t xml:space="preserve">pour assumer </w:t>
      </w:r>
      <w:r w:rsidR="00305222" w:rsidRPr="00B0790B">
        <w:rPr>
          <w:color w:val="000000" w:themeColor="text1"/>
          <w:sz w:val="24"/>
          <w:szCs w:val="28"/>
        </w:rPr>
        <w:t>efficacement s</w:t>
      </w:r>
      <w:r w:rsidR="00C12CCD" w:rsidRPr="00B0790B">
        <w:rPr>
          <w:color w:val="000000" w:themeColor="text1"/>
          <w:sz w:val="24"/>
          <w:szCs w:val="28"/>
        </w:rPr>
        <w:t>es fonction</w:t>
      </w:r>
      <w:r w:rsidR="001A061A" w:rsidRPr="00B0790B">
        <w:rPr>
          <w:color w:val="000000" w:themeColor="text1"/>
          <w:sz w:val="24"/>
          <w:szCs w:val="28"/>
        </w:rPr>
        <w:t>s</w:t>
      </w:r>
      <w:r w:rsidR="00AF13E9" w:rsidRPr="00B0790B">
        <w:rPr>
          <w:color w:val="000000" w:themeColor="text1"/>
          <w:sz w:val="24"/>
          <w:szCs w:val="28"/>
        </w:rPr>
        <w:t xml:space="preserve">. </w:t>
      </w:r>
      <w:r w:rsidR="00FD577F">
        <w:rPr>
          <w:color w:val="000000" w:themeColor="text1"/>
          <w:sz w:val="24"/>
          <w:szCs w:val="28"/>
        </w:rPr>
        <w:t>En effet, le cadre organique n’est que</w:t>
      </w:r>
      <w:r w:rsidR="009623E8">
        <w:rPr>
          <w:color w:val="000000" w:themeColor="text1"/>
          <w:sz w:val="24"/>
          <w:szCs w:val="28"/>
        </w:rPr>
        <w:t xml:space="preserve"> très partiellement meublé et </w:t>
      </w:r>
      <w:r w:rsidR="00FD577F">
        <w:rPr>
          <w:color w:val="000000" w:themeColor="text1"/>
          <w:sz w:val="24"/>
          <w:szCs w:val="28"/>
        </w:rPr>
        <w:t>la direction ne dispose pas de toutes les compétences ni des moyens (locaux, équipement, outils et procédures…)</w:t>
      </w:r>
      <w:r w:rsidR="009623E8">
        <w:rPr>
          <w:color w:val="000000" w:themeColor="text1"/>
          <w:sz w:val="24"/>
          <w:szCs w:val="28"/>
        </w:rPr>
        <w:t xml:space="preserve"> requis.</w:t>
      </w:r>
    </w:p>
    <w:p w14:paraId="792E64A1" w14:textId="77777777" w:rsidR="00B45E39" w:rsidRPr="00CA4BDA" w:rsidRDefault="00B45E39" w:rsidP="00CA4BDA">
      <w:pPr>
        <w:pStyle w:val="Titre1"/>
        <w:numPr>
          <w:ilvl w:val="2"/>
          <w:numId w:val="8"/>
        </w:numPr>
        <w:spacing w:before="240" w:after="240"/>
        <w:ind w:left="1843" w:hanging="709"/>
        <w:rPr>
          <w:rFonts w:ascii="Cambria" w:hAnsi="Cambria"/>
          <w:b w:val="0"/>
        </w:rPr>
      </w:pPr>
      <w:bookmarkStart w:id="7" w:name="_Toc21586231"/>
      <w:r w:rsidRPr="00CA4BDA">
        <w:rPr>
          <w:sz w:val="24"/>
        </w:rPr>
        <w:t>Planification</w:t>
      </w:r>
      <w:bookmarkEnd w:id="7"/>
    </w:p>
    <w:p w14:paraId="03D77A77" w14:textId="77777777" w:rsidR="00750BFF" w:rsidRDefault="00F277F4" w:rsidP="001C5163">
      <w:pPr>
        <w:pStyle w:val="Paragraphedeliste"/>
        <w:ind w:left="0"/>
        <w:contextualSpacing w:val="0"/>
        <w:jc w:val="both"/>
        <w:rPr>
          <w:rFonts w:ascii="Calibri" w:hAnsi="Calibri"/>
          <w:color w:val="000000" w:themeColor="text1"/>
          <w:sz w:val="24"/>
          <w:szCs w:val="28"/>
        </w:rPr>
      </w:pPr>
      <w:r>
        <w:rPr>
          <w:rFonts w:ascii="Calibri" w:hAnsi="Calibri"/>
          <w:color w:val="000000" w:themeColor="text1"/>
          <w:sz w:val="24"/>
          <w:szCs w:val="28"/>
        </w:rPr>
        <w:t xml:space="preserve">Malgré la volonté politique affichée, la planification des RHS n’est pas encore une pratique systématique. </w:t>
      </w:r>
      <w:r w:rsidR="00B423B1">
        <w:rPr>
          <w:rFonts w:ascii="Calibri" w:hAnsi="Calibri"/>
          <w:color w:val="000000" w:themeColor="text1"/>
          <w:sz w:val="24"/>
          <w:szCs w:val="28"/>
        </w:rPr>
        <w:t>Comme indiqué plus haut, les capacités institutionnelles nécessaires ne sont en place</w:t>
      </w:r>
      <w:r w:rsidRPr="00B0790B">
        <w:rPr>
          <w:rStyle w:val="Appelnotedebasdep"/>
          <w:rFonts w:ascii="Calibri" w:hAnsi="Calibri"/>
          <w:color w:val="000000" w:themeColor="text1"/>
          <w:sz w:val="24"/>
          <w:szCs w:val="28"/>
        </w:rPr>
        <w:footnoteReference w:id="21"/>
      </w:r>
      <w:r w:rsidR="00B423B1">
        <w:rPr>
          <w:rFonts w:ascii="Calibri" w:hAnsi="Calibri"/>
          <w:color w:val="000000" w:themeColor="text1"/>
          <w:sz w:val="24"/>
          <w:szCs w:val="28"/>
        </w:rPr>
        <w:t xml:space="preserve">. </w:t>
      </w:r>
      <w:r w:rsidR="00750BFF">
        <w:rPr>
          <w:rFonts w:ascii="Calibri" w:hAnsi="Calibri"/>
          <w:color w:val="000000" w:themeColor="text1"/>
          <w:sz w:val="24"/>
          <w:szCs w:val="28"/>
        </w:rPr>
        <w:t xml:space="preserve">La base de planification est également affaiblie par le manque d’un cadre programmatique du développement des infrastructures et des services de santé. </w:t>
      </w:r>
      <w:r w:rsidR="001C5163">
        <w:rPr>
          <w:rFonts w:ascii="Calibri" w:hAnsi="Calibri"/>
          <w:color w:val="000000" w:themeColor="text1"/>
          <w:sz w:val="24"/>
          <w:szCs w:val="28"/>
        </w:rPr>
        <w:t>En conséquence, il est difficile d’anticiper les besoins en ressources humaines, en vue de planifier leur formation et recrutement.</w:t>
      </w:r>
      <w:r w:rsidR="00B423B1">
        <w:rPr>
          <w:rFonts w:ascii="Calibri" w:hAnsi="Calibri"/>
          <w:color w:val="000000" w:themeColor="text1"/>
          <w:sz w:val="24"/>
          <w:szCs w:val="28"/>
        </w:rPr>
        <w:t xml:space="preserve"> </w:t>
      </w:r>
      <w:r w:rsidR="00750BFF">
        <w:rPr>
          <w:rFonts w:ascii="Calibri" w:hAnsi="Calibri"/>
          <w:color w:val="000000" w:themeColor="text1"/>
          <w:sz w:val="24"/>
          <w:szCs w:val="28"/>
        </w:rPr>
        <w:t xml:space="preserve">                                     </w:t>
      </w:r>
      <w:r w:rsidR="001C5163">
        <w:rPr>
          <w:rFonts w:ascii="Calibri" w:hAnsi="Calibri"/>
          <w:color w:val="000000" w:themeColor="text1"/>
          <w:sz w:val="24"/>
          <w:szCs w:val="28"/>
        </w:rPr>
        <w:t xml:space="preserve">   </w:t>
      </w:r>
    </w:p>
    <w:p w14:paraId="7C81D203" w14:textId="77777777" w:rsidR="005F5EA1" w:rsidRDefault="001C5163" w:rsidP="007A7548">
      <w:pPr>
        <w:pStyle w:val="Paragraphedeliste"/>
        <w:ind w:left="0"/>
        <w:jc w:val="both"/>
        <w:rPr>
          <w:rFonts w:ascii="Calibri" w:hAnsi="Calibri"/>
          <w:color w:val="000000" w:themeColor="text1"/>
          <w:sz w:val="24"/>
          <w:szCs w:val="28"/>
        </w:rPr>
      </w:pPr>
      <w:r>
        <w:rPr>
          <w:rFonts w:ascii="Calibri" w:hAnsi="Calibri"/>
          <w:color w:val="000000" w:themeColor="text1"/>
          <w:sz w:val="24"/>
          <w:szCs w:val="28"/>
        </w:rPr>
        <w:t>La présente</w:t>
      </w:r>
      <w:r w:rsidR="00B45E39" w:rsidRPr="00B0790B">
        <w:rPr>
          <w:rFonts w:ascii="Calibri" w:hAnsi="Calibri"/>
          <w:color w:val="000000" w:themeColor="text1"/>
          <w:sz w:val="24"/>
          <w:szCs w:val="28"/>
        </w:rPr>
        <w:t xml:space="preserve"> politique </w:t>
      </w:r>
      <w:r>
        <w:rPr>
          <w:rFonts w:ascii="Calibri" w:hAnsi="Calibri"/>
          <w:color w:val="000000" w:themeColor="text1"/>
          <w:sz w:val="24"/>
          <w:szCs w:val="28"/>
        </w:rPr>
        <w:t>de développement des RHS</w:t>
      </w:r>
      <w:r w:rsidR="00B45E39" w:rsidRPr="00B0790B">
        <w:rPr>
          <w:rFonts w:ascii="Calibri" w:hAnsi="Calibri"/>
          <w:color w:val="000000" w:themeColor="text1"/>
          <w:sz w:val="24"/>
          <w:szCs w:val="28"/>
        </w:rPr>
        <w:t xml:space="preserve"> </w:t>
      </w:r>
      <w:r>
        <w:rPr>
          <w:rFonts w:ascii="Calibri" w:hAnsi="Calibri"/>
          <w:color w:val="000000" w:themeColor="text1"/>
          <w:sz w:val="24"/>
          <w:szCs w:val="28"/>
        </w:rPr>
        <w:t>fait partie des efforts déployés pour combler ces lacunes.</w:t>
      </w:r>
      <w:r w:rsidR="00B45E39" w:rsidRPr="00B0790B">
        <w:rPr>
          <w:rFonts w:ascii="Calibri" w:hAnsi="Calibri"/>
          <w:color w:val="000000" w:themeColor="text1"/>
          <w:sz w:val="24"/>
          <w:szCs w:val="28"/>
        </w:rPr>
        <w:t xml:space="preserve"> Déjà un plan de formation continue est disponible. </w:t>
      </w:r>
      <w:r w:rsidR="00437947">
        <w:rPr>
          <w:rFonts w:ascii="Calibri" w:hAnsi="Calibri"/>
          <w:color w:val="000000" w:themeColor="text1"/>
          <w:sz w:val="24"/>
          <w:szCs w:val="28"/>
        </w:rPr>
        <w:t>Il est attendu que le plan stratégique de développement des ressources humaines soit élaboré comme cadre privilégié de mise en œuvre de la présente politique. Il est également attendu que les autres instruments de planification du développement des RHS soient élaborés et mis en place dans un court terme.</w:t>
      </w:r>
    </w:p>
    <w:p w14:paraId="1B62B26E" w14:textId="77777777" w:rsidR="005B4B15" w:rsidRPr="00CA4BDA" w:rsidRDefault="005B4B15" w:rsidP="00CA4BDA">
      <w:pPr>
        <w:pStyle w:val="Titre1"/>
        <w:numPr>
          <w:ilvl w:val="2"/>
          <w:numId w:val="8"/>
        </w:numPr>
        <w:spacing w:before="240" w:after="240"/>
        <w:ind w:left="1843" w:hanging="709"/>
        <w:rPr>
          <w:sz w:val="24"/>
        </w:rPr>
      </w:pPr>
      <w:bookmarkStart w:id="8" w:name="_Toc21586232"/>
      <w:r w:rsidRPr="00CA4BDA">
        <w:rPr>
          <w:sz w:val="24"/>
        </w:rPr>
        <w:t>Formation</w:t>
      </w:r>
      <w:bookmarkEnd w:id="8"/>
    </w:p>
    <w:p w14:paraId="3463EAD2" w14:textId="77777777" w:rsidR="00CA4BDA" w:rsidRDefault="00CA4BDA" w:rsidP="00CA4BDA">
      <w:pPr>
        <w:jc w:val="both"/>
        <w:rPr>
          <w:rFonts w:ascii="Calibri" w:hAnsi="Calibri"/>
          <w:color w:val="000000" w:themeColor="text1"/>
          <w:sz w:val="24"/>
          <w:szCs w:val="28"/>
        </w:rPr>
      </w:pPr>
      <w:r w:rsidRPr="00B0790B">
        <w:rPr>
          <w:rFonts w:ascii="Calibri" w:hAnsi="Calibri"/>
          <w:color w:val="000000" w:themeColor="text1"/>
          <w:sz w:val="24"/>
          <w:szCs w:val="28"/>
        </w:rPr>
        <w:t xml:space="preserve">Cette section traite de la formation initiale, </w:t>
      </w:r>
      <w:r w:rsidR="007C017B" w:rsidRPr="00B0790B">
        <w:rPr>
          <w:rFonts w:ascii="Calibri" w:hAnsi="Calibri"/>
          <w:color w:val="000000" w:themeColor="text1"/>
          <w:sz w:val="24"/>
          <w:szCs w:val="28"/>
        </w:rPr>
        <w:t xml:space="preserve">la formation continue et </w:t>
      </w:r>
      <w:r w:rsidRPr="00B0790B">
        <w:rPr>
          <w:rFonts w:ascii="Calibri" w:hAnsi="Calibri"/>
          <w:color w:val="000000" w:themeColor="text1"/>
          <w:sz w:val="24"/>
          <w:szCs w:val="28"/>
        </w:rPr>
        <w:t>la formation de spécialisation des ressources humaines pour la santé ainsi que des parties prenantes.</w:t>
      </w:r>
    </w:p>
    <w:p w14:paraId="7834515A" w14:textId="77777777" w:rsidR="00D875E3" w:rsidRPr="00B0790B" w:rsidRDefault="00D875E3" w:rsidP="00D875E3">
      <w:pPr>
        <w:spacing w:after="120"/>
        <w:jc w:val="both"/>
        <w:rPr>
          <w:rFonts w:ascii="Calibri" w:hAnsi="Calibri"/>
          <w:color w:val="000000" w:themeColor="text1"/>
          <w:sz w:val="24"/>
          <w:szCs w:val="28"/>
        </w:rPr>
      </w:pPr>
      <w:r w:rsidRPr="00B0790B">
        <w:rPr>
          <w:rFonts w:ascii="Calibri" w:hAnsi="Calibri"/>
          <w:color w:val="000000" w:themeColor="text1"/>
          <w:sz w:val="24"/>
          <w:szCs w:val="28"/>
        </w:rPr>
        <w:t>Pour que les professionnels </w:t>
      </w:r>
      <w:r>
        <w:rPr>
          <w:rFonts w:ascii="Calibri" w:hAnsi="Calibri"/>
          <w:color w:val="000000" w:themeColor="text1"/>
          <w:sz w:val="24"/>
          <w:szCs w:val="28"/>
        </w:rPr>
        <w:t xml:space="preserve">de santé </w:t>
      </w:r>
      <w:r w:rsidRPr="00B0790B">
        <w:rPr>
          <w:rFonts w:ascii="Calibri" w:hAnsi="Calibri"/>
          <w:color w:val="000000" w:themeColor="text1"/>
          <w:sz w:val="24"/>
          <w:szCs w:val="28"/>
        </w:rPr>
        <w:t xml:space="preserve">répondent réellement aux besoins du marché en termes de connaissances, d’habiletés et d’attitudes, dans les quantités requises, </w:t>
      </w:r>
      <w:r>
        <w:rPr>
          <w:rFonts w:ascii="Calibri" w:hAnsi="Calibri"/>
          <w:color w:val="000000" w:themeColor="text1"/>
          <w:sz w:val="24"/>
          <w:szCs w:val="28"/>
        </w:rPr>
        <w:t xml:space="preserve">le système de formation doit remplir </w:t>
      </w:r>
      <w:r w:rsidRPr="00B0790B">
        <w:rPr>
          <w:rFonts w:ascii="Calibri" w:hAnsi="Calibri"/>
          <w:color w:val="000000" w:themeColor="text1"/>
          <w:sz w:val="24"/>
          <w:szCs w:val="28"/>
        </w:rPr>
        <w:t>plusieurs préalables:</w:t>
      </w:r>
    </w:p>
    <w:p w14:paraId="0A21EC73" w14:textId="77777777" w:rsidR="00D875E3" w:rsidRPr="00B0790B" w:rsidRDefault="00D875E3" w:rsidP="00D875E3">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L’évaluation continue des besoins évolutifs du marché,</w:t>
      </w:r>
    </w:p>
    <w:p w14:paraId="5278A9E7" w14:textId="77777777" w:rsidR="00D875E3" w:rsidRPr="00B0790B" w:rsidRDefault="00D875E3" w:rsidP="00D875E3">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programmes de formation régulièrement revus et ajustés à l’évolution des besoins et répondant aux normes et standards reconnus,</w:t>
      </w:r>
    </w:p>
    <w:p w14:paraId="7A1AF09C" w14:textId="77777777" w:rsidR="00D875E3" w:rsidRPr="00B0790B" w:rsidRDefault="00D875E3" w:rsidP="00D875E3">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capacités pédagogiques et didactiques à même de prendre en charge correctement les programmes de formation,</w:t>
      </w:r>
    </w:p>
    <w:p w14:paraId="768D8DE0" w14:textId="77777777" w:rsidR="00D875E3" w:rsidRPr="00B0790B" w:rsidRDefault="00D875E3" w:rsidP="00D875E3">
      <w:pPr>
        <w:pStyle w:val="Paragraphedeliste"/>
        <w:numPr>
          <w:ilvl w:val="0"/>
          <w:numId w:val="24"/>
        </w:numPr>
        <w:jc w:val="both"/>
        <w:rPr>
          <w:rFonts w:ascii="Calibri" w:hAnsi="Calibri"/>
          <w:color w:val="000000" w:themeColor="text1"/>
          <w:sz w:val="24"/>
          <w:szCs w:val="28"/>
        </w:rPr>
      </w:pPr>
      <w:r w:rsidRPr="00B0790B">
        <w:rPr>
          <w:rFonts w:ascii="Calibri" w:hAnsi="Calibri"/>
          <w:color w:val="000000" w:themeColor="text1"/>
          <w:sz w:val="24"/>
          <w:szCs w:val="28"/>
        </w:rPr>
        <w:t>Des capacités d’accueil et d’encadrement adaptées, y compris pour les stages,</w:t>
      </w:r>
    </w:p>
    <w:p w14:paraId="2F88B84C" w14:textId="77777777" w:rsidR="00D875E3" w:rsidRDefault="00D875E3" w:rsidP="00D875E3">
      <w:pPr>
        <w:pStyle w:val="Paragraphedeliste"/>
        <w:numPr>
          <w:ilvl w:val="0"/>
          <w:numId w:val="24"/>
        </w:numPr>
        <w:spacing w:after="0"/>
        <w:ind w:left="714" w:hanging="357"/>
        <w:contextualSpacing w:val="0"/>
        <w:jc w:val="both"/>
        <w:rPr>
          <w:rFonts w:ascii="Calibri" w:hAnsi="Calibri"/>
          <w:color w:val="000000" w:themeColor="text1"/>
          <w:sz w:val="24"/>
          <w:szCs w:val="28"/>
        </w:rPr>
      </w:pPr>
      <w:r w:rsidRPr="00B0790B">
        <w:rPr>
          <w:rFonts w:ascii="Calibri" w:hAnsi="Calibri"/>
          <w:color w:val="000000" w:themeColor="text1"/>
          <w:sz w:val="24"/>
          <w:szCs w:val="28"/>
        </w:rPr>
        <w:t>Des ressources budgétaires adéquates permettant de rendre opérationne</w:t>
      </w:r>
      <w:r>
        <w:rPr>
          <w:rFonts w:ascii="Calibri" w:hAnsi="Calibri"/>
          <w:color w:val="000000" w:themeColor="text1"/>
          <w:sz w:val="24"/>
          <w:szCs w:val="28"/>
        </w:rPr>
        <w:t>ls les dispositifs de formation,</w:t>
      </w:r>
    </w:p>
    <w:p w14:paraId="2B130112" w14:textId="77777777" w:rsidR="00D875E3" w:rsidRPr="00B0790B" w:rsidRDefault="00D875E3" w:rsidP="00D875E3">
      <w:pPr>
        <w:pStyle w:val="Paragraphedeliste"/>
        <w:numPr>
          <w:ilvl w:val="0"/>
          <w:numId w:val="24"/>
        </w:numPr>
        <w:ind w:left="714" w:hanging="357"/>
        <w:contextualSpacing w:val="0"/>
        <w:jc w:val="both"/>
        <w:rPr>
          <w:rFonts w:ascii="Calibri" w:hAnsi="Calibri"/>
          <w:color w:val="000000" w:themeColor="text1"/>
          <w:sz w:val="24"/>
          <w:szCs w:val="28"/>
        </w:rPr>
      </w:pPr>
      <w:r>
        <w:rPr>
          <w:rFonts w:ascii="Calibri" w:hAnsi="Calibri"/>
          <w:color w:val="000000" w:themeColor="text1"/>
          <w:sz w:val="24"/>
          <w:szCs w:val="28"/>
        </w:rPr>
        <w:t>Des instruments de gouvernance et de régulation appropriés</w:t>
      </w:r>
    </w:p>
    <w:p w14:paraId="131CD1A1" w14:textId="77777777" w:rsidR="00CA4BDA" w:rsidRPr="00CA4BDA" w:rsidRDefault="00CA4BDA" w:rsidP="00271541">
      <w:pPr>
        <w:pStyle w:val="Titre1"/>
        <w:numPr>
          <w:ilvl w:val="3"/>
          <w:numId w:val="8"/>
        </w:numPr>
        <w:spacing w:before="240" w:after="240"/>
        <w:ind w:left="1843" w:hanging="709"/>
        <w:rPr>
          <w:sz w:val="22"/>
        </w:rPr>
      </w:pPr>
      <w:bookmarkStart w:id="9" w:name="_Toc534298086"/>
      <w:bookmarkStart w:id="10" w:name="_Toc534742732"/>
      <w:bookmarkStart w:id="11" w:name="_Toc534808053"/>
      <w:bookmarkStart w:id="12" w:name="_Toc21586233"/>
      <w:r w:rsidRPr="00CA4BDA">
        <w:rPr>
          <w:sz w:val="22"/>
        </w:rPr>
        <w:t>Formation initiale</w:t>
      </w:r>
      <w:bookmarkEnd w:id="9"/>
      <w:bookmarkEnd w:id="10"/>
      <w:bookmarkEnd w:id="11"/>
      <w:bookmarkEnd w:id="12"/>
    </w:p>
    <w:p w14:paraId="53A2C8E8" w14:textId="77777777" w:rsidR="00CA4BDA" w:rsidRDefault="00CA4BDA" w:rsidP="00CA4BDA">
      <w:pPr>
        <w:jc w:val="both"/>
        <w:rPr>
          <w:rFonts w:ascii="Calibri" w:hAnsi="Calibri"/>
          <w:color w:val="000000" w:themeColor="text1"/>
          <w:sz w:val="24"/>
          <w:szCs w:val="28"/>
        </w:rPr>
      </w:pPr>
      <w:r w:rsidRPr="00B0790B">
        <w:rPr>
          <w:rFonts w:ascii="Calibri" w:hAnsi="Calibri"/>
          <w:color w:val="000000" w:themeColor="text1"/>
          <w:sz w:val="24"/>
          <w:szCs w:val="28"/>
        </w:rPr>
        <w:t xml:space="preserve">La formation initiale des RHS </w:t>
      </w:r>
      <w:r w:rsidR="001367A9" w:rsidRPr="00B0790B">
        <w:rPr>
          <w:rFonts w:ascii="Calibri" w:hAnsi="Calibri"/>
          <w:color w:val="000000" w:themeColor="text1"/>
          <w:sz w:val="24"/>
          <w:szCs w:val="28"/>
        </w:rPr>
        <w:t xml:space="preserve">a pour but de préparer les étudiants aux professions médicales à travers diverses filières </w:t>
      </w:r>
      <w:r w:rsidR="001367A9">
        <w:rPr>
          <w:rFonts w:ascii="Calibri" w:hAnsi="Calibri"/>
          <w:color w:val="000000" w:themeColor="text1"/>
          <w:sz w:val="24"/>
          <w:szCs w:val="28"/>
        </w:rPr>
        <w:t>et</w:t>
      </w:r>
      <w:r w:rsidR="001367A9" w:rsidRPr="00B0790B">
        <w:rPr>
          <w:rFonts w:ascii="Calibri" w:hAnsi="Calibri"/>
          <w:color w:val="000000" w:themeColor="text1"/>
          <w:sz w:val="24"/>
          <w:szCs w:val="28"/>
        </w:rPr>
        <w:t xml:space="preserve"> de répondre aux besoins du marché de l’emploi.</w:t>
      </w:r>
      <w:r w:rsidR="001367A9">
        <w:rPr>
          <w:rFonts w:ascii="Calibri" w:hAnsi="Calibri"/>
          <w:color w:val="000000" w:themeColor="text1"/>
          <w:sz w:val="24"/>
          <w:szCs w:val="28"/>
        </w:rPr>
        <w:t xml:space="preserve"> Elle </w:t>
      </w:r>
      <w:r w:rsidR="00271541" w:rsidRPr="00B0790B">
        <w:rPr>
          <w:rFonts w:ascii="Calibri" w:hAnsi="Calibri"/>
          <w:color w:val="000000" w:themeColor="text1"/>
          <w:sz w:val="24"/>
          <w:szCs w:val="28"/>
        </w:rPr>
        <w:t xml:space="preserve">se subdivise en </w:t>
      </w:r>
      <w:r w:rsidRPr="00B0790B">
        <w:rPr>
          <w:rFonts w:ascii="Calibri" w:hAnsi="Calibri"/>
          <w:color w:val="000000" w:themeColor="text1"/>
          <w:sz w:val="24"/>
          <w:szCs w:val="28"/>
        </w:rPr>
        <w:t>formation universitaire et formation professionnelle.</w:t>
      </w:r>
    </w:p>
    <w:p w14:paraId="270247B2" w14:textId="77777777" w:rsidR="00271541" w:rsidRPr="00271541" w:rsidRDefault="00271541" w:rsidP="00271541">
      <w:pPr>
        <w:pStyle w:val="Paragraphedeliste"/>
        <w:numPr>
          <w:ilvl w:val="1"/>
          <w:numId w:val="4"/>
        </w:numPr>
        <w:spacing w:after="120"/>
        <w:ind w:left="1434" w:hanging="357"/>
        <w:contextualSpacing w:val="0"/>
        <w:rPr>
          <w:rFonts w:cs="Arial"/>
          <w:b/>
          <w:i/>
          <w:szCs w:val="28"/>
        </w:rPr>
      </w:pPr>
      <w:r w:rsidRPr="00271541">
        <w:rPr>
          <w:rFonts w:cs="Arial"/>
          <w:b/>
          <w:i/>
          <w:szCs w:val="28"/>
        </w:rPr>
        <w:t>La formation universitaire</w:t>
      </w:r>
    </w:p>
    <w:p w14:paraId="1D854238" w14:textId="77777777" w:rsidR="00271541" w:rsidRDefault="00271541" w:rsidP="00271541">
      <w:pPr>
        <w:jc w:val="both"/>
        <w:rPr>
          <w:rFonts w:ascii="Calibri" w:hAnsi="Calibri"/>
          <w:color w:val="000000" w:themeColor="text1"/>
          <w:sz w:val="24"/>
          <w:szCs w:val="28"/>
        </w:rPr>
      </w:pPr>
      <w:r w:rsidRPr="00B0790B">
        <w:rPr>
          <w:rFonts w:ascii="Calibri" w:hAnsi="Calibri"/>
          <w:color w:val="000000" w:themeColor="text1"/>
          <w:sz w:val="24"/>
          <w:szCs w:val="28"/>
        </w:rPr>
        <w:t xml:space="preserve">La formation universitaire </w:t>
      </w:r>
      <w:r w:rsidR="00485099" w:rsidRPr="00B0790B">
        <w:rPr>
          <w:rFonts w:ascii="Calibri" w:hAnsi="Calibri"/>
          <w:color w:val="000000" w:themeColor="text1"/>
          <w:sz w:val="24"/>
          <w:szCs w:val="28"/>
        </w:rPr>
        <w:t xml:space="preserve">des professionnels </w:t>
      </w:r>
      <w:r w:rsidRPr="00B0790B">
        <w:rPr>
          <w:rFonts w:ascii="Calibri" w:hAnsi="Calibri"/>
          <w:color w:val="000000" w:themeColor="text1"/>
          <w:sz w:val="24"/>
          <w:szCs w:val="28"/>
        </w:rPr>
        <w:t xml:space="preserve">de la santé est assurée par des institutions publiques et privées. Celles-ci sont complétées par les institutions partenaires à l’étranger. </w:t>
      </w:r>
    </w:p>
    <w:p w14:paraId="1C4A2DEC" w14:textId="77777777" w:rsidR="005525EC" w:rsidRPr="00B0790B" w:rsidRDefault="00485099" w:rsidP="005525EC">
      <w:pPr>
        <w:jc w:val="both"/>
        <w:rPr>
          <w:rFonts w:ascii="Calibri" w:hAnsi="Calibri"/>
          <w:color w:val="000000" w:themeColor="text1"/>
          <w:sz w:val="24"/>
          <w:szCs w:val="28"/>
        </w:rPr>
      </w:pPr>
      <w:r>
        <w:rPr>
          <w:rFonts w:ascii="Calibri" w:hAnsi="Calibri"/>
          <w:color w:val="000000" w:themeColor="text1"/>
          <w:sz w:val="24"/>
          <w:szCs w:val="28"/>
        </w:rPr>
        <w:t>L</w:t>
      </w:r>
      <w:r w:rsidR="005525EC" w:rsidRPr="00B0790B">
        <w:rPr>
          <w:rFonts w:ascii="Calibri" w:hAnsi="Calibri"/>
          <w:color w:val="000000" w:themeColor="text1"/>
          <w:sz w:val="24"/>
          <w:szCs w:val="28"/>
        </w:rPr>
        <w:t xml:space="preserve">a </w:t>
      </w:r>
      <w:r w:rsidR="00C50324" w:rsidRPr="00B0790B">
        <w:rPr>
          <w:rFonts w:ascii="Calibri" w:hAnsi="Calibri"/>
          <w:color w:val="000000" w:themeColor="text1"/>
          <w:sz w:val="24"/>
          <w:szCs w:val="28"/>
        </w:rPr>
        <w:t xml:space="preserve">Faculté des Sciences et Techniques de la Santé </w:t>
      </w:r>
      <w:r w:rsidR="00C50324">
        <w:rPr>
          <w:rFonts w:ascii="Calibri" w:hAnsi="Calibri"/>
          <w:color w:val="000000" w:themeColor="text1"/>
          <w:sz w:val="24"/>
          <w:szCs w:val="28"/>
        </w:rPr>
        <w:t>(</w:t>
      </w:r>
      <w:r w:rsidR="005525EC" w:rsidRPr="00B0790B">
        <w:rPr>
          <w:rFonts w:ascii="Calibri" w:hAnsi="Calibri"/>
          <w:color w:val="000000" w:themeColor="text1"/>
          <w:sz w:val="24"/>
          <w:szCs w:val="28"/>
        </w:rPr>
        <w:t>FSTS</w:t>
      </w:r>
      <w:r w:rsidR="00C50324">
        <w:rPr>
          <w:rFonts w:ascii="Calibri" w:hAnsi="Calibri"/>
          <w:color w:val="000000" w:themeColor="text1"/>
          <w:sz w:val="24"/>
          <w:szCs w:val="28"/>
        </w:rPr>
        <w:t>)</w:t>
      </w:r>
      <w:r w:rsidR="005525EC" w:rsidRPr="00B0790B">
        <w:rPr>
          <w:rFonts w:ascii="Calibri" w:hAnsi="Calibri"/>
          <w:color w:val="000000" w:themeColor="text1"/>
          <w:sz w:val="24"/>
          <w:szCs w:val="28"/>
        </w:rPr>
        <w:t xml:space="preserve"> de l’UGANC disposait, en 2017, de 247 enseignants à temps plein, répartis entre Professeurs titulaires (19), maitres de conférences (49), maitres assistants (55) et assistants (126). Globalement le nombre d’enseignants a augmenté de 64% sur la période 2011 à 2017</w:t>
      </w:r>
      <w:r w:rsidR="00212180" w:rsidRPr="00B0790B">
        <w:rPr>
          <w:rFonts w:ascii="Calibri" w:hAnsi="Calibri"/>
          <w:color w:val="000000" w:themeColor="text1"/>
          <w:sz w:val="24"/>
          <w:szCs w:val="28"/>
        </w:rPr>
        <w:t>, sauf celui des</w:t>
      </w:r>
      <w:r w:rsidR="005525EC" w:rsidRPr="00B0790B">
        <w:rPr>
          <w:rFonts w:ascii="Calibri" w:hAnsi="Calibri"/>
          <w:color w:val="000000" w:themeColor="text1"/>
          <w:sz w:val="24"/>
          <w:szCs w:val="28"/>
        </w:rPr>
        <w:t xml:space="preserve"> professeurs titulaires</w:t>
      </w:r>
      <w:r w:rsidR="00212180" w:rsidRPr="00B0790B">
        <w:rPr>
          <w:rFonts w:ascii="Calibri" w:hAnsi="Calibri"/>
          <w:color w:val="000000" w:themeColor="text1"/>
          <w:sz w:val="24"/>
          <w:szCs w:val="28"/>
        </w:rPr>
        <w:t>,</w:t>
      </w:r>
      <w:r w:rsidR="005525EC" w:rsidRPr="00B0790B">
        <w:rPr>
          <w:rFonts w:ascii="Calibri" w:hAnsi="Calibri"/>
          <w:color w:val="000000" w:themeColor="text1"/>
          <w:sz w:val="24"/>
          <w:szCs w:val="28"/>
        </w:rPr>
        <w:t xml:space="preserve"> resté stationnaire</w:t>
      </w:r>
      <w:r w:rsidR="00695AE1" w:rsidRPr="00B0790B">
        <w:rPr>
          <w:rFonts w:ascii="Calibri" w:hAnsi="Calibri"/>
          <w:color w:val="000000" w:themeColor="text1"/>
          <w:sz w:val="24"/>
          <w:szCs w:val="28"/>
        </w:rPr>
        <w:t xml:space="preserve"> avant </w:t>
      </w:r>
      <w:r w:rsidR="005525EC" w:rsidRPr="00B0790B">
        <w:rPr>
          <w:rFonts w:ascii="Calibri" w:hAnsi="Calibri"/>
          <w:color w:val="000000" w:themeColor="text1"/>
          <w:sz w:val="24"/>
          <w:szCs w:val="28"/>
        </w:rPr>
        <w:t>2017</w:t>
      </w:r>
      <w:r w:rsidR="005525EC" w:rsidRPr="00B0790B">
        <w:rPr>
          <w:rFonts w:ascii="Calibri" w:hAnsi="Calibri"/>
          <w:color w:val="000000" w:themeColor="text1"/>
          <w:sz w:val="24"/>
          <w:szCs w:val="28"/>
          <w:vertAlign w:val="superscript"/>
        </w:rPr>
        <w:footnoteReference w:id="22"/>
      </w:r>
      <w:r w:rsidR="005525EC" w:rsidRPr="00B0790B">
        <w:rPr>
          <w:rFonts w:ascii="Calibri" w:hAnsi="Calibri"/>
          <w:color w:val="000000" w:themeColor="text1"/>
          <w:sz w:val="24"/>
          <w:szCs w:val="28"/>
        </w:rPr>
        <w:t xml:space="preserve">.  </w:t>
      </w:r>
    </w:p>
    <w:p w14:paraId="64D06676" w14:textId="77777777" w:rsidR="00060E98" w:rsidRDefault="00DC07EE" w:rsidP="005525EC">
      <w:pPr>
        <w:jc w:val="both"/>
        <w:rPr>
          <w:rFonts w:ascii="Calibri" w:hAnsi="Calibri"/>
          <w:color w:val="000000" w:themeColor="text1"/>
          <w:sz w:val="24"/>
          <w:szCs w:val="28"/>
        </w:rPr>
      </w:pPr>
      <w:r w:rsidRPr="00B0790B">
        <w:rPr>
          <w:rFonts w:ascii="Calibri" w:hAnsi="Calibri"/>
          <w:color w:val="000000" w:themeColor="text1"/>
          <w:sz w:val="24"/>
          <w:szCs w:val="28"/>
        </w:rPr>
        <w:t>L</w:t>
      </w:r>
      <w:r w:rsidR="00060E98" w:rsidRPr="00B0790B">
        <w:rPr>
          <w:rFonts w:ascii="Calibri" w:hAnsi="Calibri"/>
          <w:color w:val="000000" w:themeColor="text1"/>
          <w:sz w:val="24"/>
          <w:szCs w:val="28"/>
        </w:rPr>
        <w:t>e secteur privé</w:t>
      </w:r>
      <w:r w:rsidRPr="00B0790B">
        <w:rPr>
          <w:rFonts w:ascii="Calibri" w:hAnsi="Calibri"/>
          <w:color w:val="000000" w:themeColor="text1"/>
          <w:sz w:val="24"/>
          <w:szCs w:val="28"/>
        </w:rPr>
        <w:t xml:space="preserve"> ne dispose pas d’</w:t>
      </w:r>
      <w:r w:rsidR="00060E98" w:rsidRPr="00B0790B">
        <w:rPr>
          <w:rFonts w:ascii="Calibri" w:hAnsi="Calibri"/>
          <w:color w:val="000000" w:themeColor="text1"/>
          <w:sz w:val="24"/>
          <w:szCs w:val="28"/>
        </w:rPr>
        <w:t>enseignant</w:t>
      </w:r>
      <w:r w:rsidRPr="00B0790B">
        <w:rPr>
          <w:rFonts w:ascii="Calibri" w:hAnsi="Calibri"/>
          <w:color w:val="000000" w:themeColor="text1"/>
          <w:sz w:val="24"/>
          <w:szCs w:val="28"/>
        </w:rPr>
        <w:t>s</w:t>
      </w:r>
      <w:r w:rsidR="00060E98" w:rsidRPr="00B0790B">
        <w:rPr>
          <w:rFonts w:ascii="Calibri" w:hAnsi="Calibri"/>
          <w:color w:val="000000" w:themeColor="text1"/>
          <w:sz w:val="24"/>
          <w:szCs w:val="28"/>
        </w:rPr>
        <w:t xml:space="preserve"> permanent</w:t>
      </w:r>
      <w:r w:rsidRPr="00B0790B">
        <w:rPr>
          <w:rFonts w:ascii="Calibri" w:hAnsi="Calibri"/>
          <w:color w:val="000000" w:themeColor="text1"/>
          <w:sz w:val="24"/>
          <w:szCs w:val="28"/>
        </w:rPr>
        <w:t>s</w:t>
      </w:r>
      <w:r w:rsidR="002D0C5B" w:rsidRPr="00B0790B">
        <w:rPr>
          <w:rFonts w:ascii="Calibri" w:hAnsi="Calibri"/>
          <w:color w:val="000000" w:themeColor="text1"/>
          <w:sz w:val="24"/>
          <w:szCs w:val="28"/>
        </w:rPr>
        <w:t>,</w:t>
      </w:r>
      <w:r w:rsidR="00060E98" w:rsidRPr="00B0790B">
        <w:rPr>
          <w:rFonts w:ascii="Calibri" w:hAnsi="Calibri"/>
          <w:color w:val="000000" w:themeColor="text1"/>
          <w:sz w:val="24"/>
          <w:szCs w:val="28"/>
        </w:rPr>
        <w:t xml:space="preserve"> quelle que soit la catégorie considérée. </w:t>
      </w:r>
      <w:r w:rsidR="007935A5">
        <w:rPr>
          <w:rFonts w:ascii="Calibri" w:hAnsi="Calibri"/>
          <w:color w:val="000000" w:themeColor="text1"/>
          <w:sz w:val="24"/>
          <w:szCs w:val="28"/>
        </w:rPr>
        <w:t>Tous sont vacataires.</w:t>
      </w:r>
    </w:p>
    <w:p w14:paraId="29F7B1C2" w14:textId="77777777" w:rsidR="00C50324" w:rsidRPr="00B0790B" w:rsidRDefault="00C50324" w:rsidP="00C50324">
      <w:pPr>
        <w:jc w:val="both"/>
        <w:rPr>
          <w:rFonts w:ascii="Calibri" w:hAnsi="Calibri"/>
          <w:color w:val="000000" w:themeColor="text1"/>
          <w:sz w:val="24"/>
          <w:szCs w:val="28"/>
        </w:rPr>
      </w:pPr>
      <w:r>
        <w:rPr>
          <w:rFonts w:ascii="Calibri" w:hAnsi="Calibri"/>
          <w:color w:val="000000" w:themeColor="text1"/>
          <w:sz w:val="24"/>
          <w:szCs w:val="28"/>
        </w:rPr>
        <w:t xml:space="preserve">Les universités utilisent les curricula harmonisés de l’OOAS pour l’espace CEDEAO. D’autres réformes sont en cours, notamment à la </w:t>
      </w:r>
      <w:r w:rsidRPr="00B0790B">
        <w:rPr>
          <w:rFonts w:ascii="Calibri" w:hAnsi="Calibri"/>
          <w:color w:val="000000" w:themeColor="text1"/>
          <w:sz w:val="24"/>
          <w:szCs w:val="28"/>
        </w:rPr>
        <w:t>FSTS de l’UGANC</w:t>
      </w:r>
      <w:r w:rsidR="007935A5">
        <w:rPr>
          <w:rFonts w:ascii="Calibri" w:hAnsi="Calibri"/>
          <w:color w:val="000000" w:themeColor="text1"/>
          <w:sz w:val="24"/>
          <w:szCs w:val="28"/>
        </w:rPr>
        <w:t xml:space="preserve"> fermée pour cause de restructuration. Déjà, dans cette perspective</w:t>
      </w:r>
      <w:r>
        <w:rPr>
          <w:rFonts w:ascii="Calibri" w:hAnsi="Calibri"/>
          <w:color w:val="000000" w:themeColor="text1"/>
          <w:sz w:val="24"/>
          <w:szCs w:val="28"/>
        </w:rPr>
        <w:t>, un centre d’excellence africain pour la prévention et le contrôle des maladies transmissibles</w:t>
      </w:r>
      <w:r w:rsidR="009B2F78">
        <w:rPr>
          <w:rFonts w:ascii="Calibri" w:hAnsi="Calibri"/>
          <w:color w:val="000000" w:themeColor="text1"/>
          <w:sz w:val="24"/>
          <w:szCs w:val="28"/>
        </w:rPr>
        <w:t xml:space="preserve"> est en cours de démarrage</w:t>
      </w:r>
      <w:r>
        <w:rPr>
          <w:rFonts w:ascii="Calibri" w:hAnsi="Calibri"/>
          <w:color w:val="000000" w:themeColor="text1"/>
          <w:sz w:val="24"/>
          <w:szCs w:val="28"/>
        </w:rPr>
        <w:t xml:space="preserve">. </w:t>
      </w:r>
    </w:p>
    <w:p w14:paraId="1E6B20BE" w14:textId="77777777" w:rsidR="00CA4BDA" w:rsidRDefault="00485099" w:rsidP="00A02FA8">
      <w:pPr>
        <w:jc w:val="both"/>
        <w:rPr>
          <w:rFonts w:ascii="Calibri" w:hAnsi="Calibri"/>
          <w:color w:val="000000" w:themeColor="text1"/>
          <w:sz w:val="24"/>
          <w:szCs w:val="28"/>
        </w:rPr>
      </w:pPr>
      <w:r>
        <w:rPr>
          <w:rFonts w:ascii="Calibri" w:hAnsi="Calibri"/>
          <w:color w:val="000000" w:themeColor="text1"/>
          <w:sz w:val="24"/>
          <w:szCs w:val="28"/>
        </w:rPr>
        <w:t>L</w:t>
      </w:r>
      <w:r w:rsidR="00695AE1" w:rsidRPr="00B0790B">
        <w:rPr>
          <w:rFonts w:ascii="Calibri" w:hAnsi="Calibri"/>
          <w:color w:val="000000" w:themeColor="text1"/>
          <w:sz w:val="24"/>
          <w:szCs w:val="28"/>
        </w:rPr>
        <w:t xml:space="preserve">e nombre d’étudiants </w:t>
      </w:r>
      <w:r w:rsidR="00A02FA8" w:rsidRPr="00B0790B">
        <w:rPr>
          <w:rFonts w:ascii="Calibri" w:hAnsi="Calibri"/>
          <w:color w:val="000000" w:themeColor="text1"/>
          <w:sz w:val="24"/>
          <w:szCs w:val="28"/>
        </w:rPr>
        <w:t xml:space="preserve">inscrits </w:t>
      </w:r>
      <w:r>
        <w:rPr>
          <w:rFonts w:ascii="Calibri" w:hAnsi="Calibri"/>
          <w:color w:val="000000" w:themeColor="text1"/>
          <w:sz w:val="24"/>
          <w:szCs w:val="28"/>
        </w:rPr>
        <w:t xml:space="preserve">dans les universités </w:t>
      </w:r>
      <w:r w:rsidR="00695AE1" w:rsidRPr="00B0790B">
        <w:rPr>
          <w:rFonts w:ascii="Calibri" w:hAnsi="Calibri"/>
          <w:color w:val="000000" w:themeColor="text1"/>
          <w:sz w:val="24"/>
          <w:szCs w:val="28"/>
        </w:rPr>
        <w:t>a diminué de 17% entre 2013 et 2017. Cette diminution est plus marquée dans le secteur public (-22,6%) que dans le secteur privé (-5,2%).</w:t>
      </w:r>
      <w:r w:rsidR="00A02FA8" w:rsidRPr="00B0790B">
        <w:rPr>
          <w:rFonts w:ascii="Calibri" w:hAnsi="Calibri"/>
          <w:color w:val="000000" w:themeColor="text1"/>
          <w:sz w:val="24"/>
          <w:szCs w:val="28"/>
        </w:rPr>
        <w:t xml:space="preserve"> Au même moment, </w:t>
      </w:r>
      <w:r w:rsidR="00DD29B7" w:rsidRPr="00B0790B">
        <w:rPr>
          <w:rFonts w:ascii="Calibri" w:hAnsi="Calibri"/>
          <w:color w:val="000000" w:themeColor="text1"/>
          <w:sz w:val="24"/>
          <w:szCs w:val="28"/>
        </w:rPr>
        <w:t>l’ensemble des universités (publiques et privée</w:t>
      </w:r>
      <w:r w:rsidR="00A02FA8" w:rsidRPr="00B0790B">
        <w:rPr>
          <w:rFonts w:ascii="Calibri" w:hAnsi="Calibri"/>
          <w:color w:val="000000" w:themeColor="text1"/>
          <w:sz w:val="24"/>
          <w:szCs w:val="28"/>
        </w:rPr>
        <w:t>s</w:t>
      </w:r>
      <w:r w:rsidR="00DD29B7" w:rsidRPr="00B0790B">
        <w:rPr>
          <w:rFonts w:ascii="Calibri" w:hAnsi="Calibri"/>
          <w:color w:val="000000" w:themeColor="text1"/>
          <w:sz w:val="24"/>
          <w:szCs w:val="28"/>
        </w:rPr>
        <w:t>) ont livré 5</w:t>
      </w:r>
      <w:r w:rsidR="00A02FA8" w:rsidRPr="00B0790B">
        <w:rPr>
          <w:rFonts w:ascii="Calibri" w:hAnsi="Calibri"/>
          <w:color w:val="000000" w:themeColor="text1"/>
          <w:sz w:val="24"/>
          <w:szCs w:val="28"/>
        </w:rPr>
        <w:t xml:space="preserve"> </w:t>
      </w:r>
      <w:r w:rsidR="00DD29B7" w:rsidRPr="00B0790B">
        <w:rPr>
          <w:rFonts w:ascii="Calibri" w:hAnsi="Calibri"/>
          <w:color w:val="000000" w:themeColor="text1"/>
          <w:sz w:val="24"/>
          <w:szCs w:val="28"/>
        </w:rPr>
        <w:t>556 diplômés au marché de l’emploi</w:t>
      </w:r>
      <w:r w:rsidR="00A02FA8" w:rsidRPr="00B0790B">
        <w:rPr>
          <w:rFonts w:ascii="Calibri" w:hAnsi="Calibri"/>
          <w:color w:val="000000" w:themeColor="text1"/>
          <w:sz w:val="24"/>
          <w:szCs w:val="28"/>
          <w:vertAlign w:val="superscript"/>
        </w:rPr>
        <w:footnoteReference w:id="23"/>
      </w:r>
      <w:r w:rsidR="00A02FA8" w:rsidRPr="00B0790B">
        <w:rPr>
          <w:rFonts w:ascii="Calibri" w:hAnsi="Calibri"/>
          <w:color w:val="000000" w:themeColor="text1"/>
          <w:sz w:val="24"/>
          <w:szCs w:val="28"/>
        </w:rPr>
        <w:t xml:space="preserve">. </w:t>
      </w:r>
    </w:p>
    <w:p w14:paraId="0ED3D485" w14:textId="77777777" w:rsidR="00BE6D6A" w:rsidRDefault="00C17D60" w:rsidP="00A02FA8">
      <w:pPr>
        <w:jc w:val="both"/>
        <w:rPr>
          <w:rFonts w:ascii="Calibri" w:hAnsi="Calibri"/>
          <w:color w:val="000000" w:themeColor="text1"/>
          <w:sz w:val="24"/>
          <w:szCs w:val="28"/>
        </w:rPr>
      </w:pPr>
      <w:r>
        <w:rPr>
          <w:rFonts w:ascii="Calibri" w:hAnsi="Calibri"/>
          <w:color w:val="000000" w:themeColor="text1"/>
          <w:sz w:val="24"/>
          <w:szCs w:val="28"/>
        </w:rPr>
        <w:t>Ajouter les problèmes ou faiblesses</w:t>
      </w:r>
      <w:r w:rsidR="006F4A63">
        <w:rPr>
          <w:rFonts w:ascii="Calibri" w:hAnsi="Calibri"/>
          <w:color w:val="000000" w:themeColor="text1"/>
          <w:sz w:val="24"/>
          <w:szCs w:val="28"/>
        </w:rPr>
        <w:t xml:space="preserve"> et la réponse du système aux besoins du marché de l’emploi.</w:t>
      </w:r>
    </w:p>
    <w:p w14:paraId="6F8CAE55" w14:textId="77777777" w:rsidR="00533237" w:rsidRPr="00533237" w:rsidRDefault="00533237" w:rsidP="00533237">
      <w:pPr>
        <w:pStyle w:val="Paragraphedeliste"/>
        <w:numPr>
          <w:ilvl w:val="1"/>
          <w:numId w:val="4"/>
        </w:numPr>
        <w:spacing w:after="120"/>
        <w:ind w:left="1434" w:hanging="357"/>
        <w:contextualSpacing w:val="0"/>
        <w:rPr>
          <w:rFonts w:cs="Arial"/>
          <w:b/>
          <w:i/>
          <w:szCs w:val="28"/>
        </w:rPr>
      </w:pPr>
      <w:r w:rsidRPr="00533237">
        <w:rPr>
          <w:rFonts w:cs="Arial"/>
          <w:b/>
          <w:i/>
          <w:szCs w:val="28"/>
        </w:rPr>
        <w:t>Formation professionnelle</w:t>
      </w:r>
    </w:p>
    <w:p w14:paraId="0308DFAE" w14:textId="77777777" w:rsidR="003C754C" w:rsidRPr="00340DD1" w:rsidRDefault="00340DD1" w:rsidP="008E3512">
      <w:pPr>
        <w:autoSpaceDE w:val="0"/>
        <w:autoSpaceDN w:val="0"/>
        <w:adjustRightInd w:val="0"/>
        <w:jc w:val="both"/>
        <w:rPr>
          <w:rFonts w:ascii="Calibri" w:hAnsi="Calibri"/>
          <w:color w:val="000000" w:themeColor="text1"/>
          <w:sz w:val="24"/>
          <w:szCs w:val="28"/>
        </w:rPr>
      </w:pPr>
      <w:r w:rsidRPr="00340DD1">
        <w:rPr>
          <w:rFonts w:ascii="Calibri" w:hAnsi="Calibri"/>
          <w:color w:val="000000" w:themeColor="text1"/>
          <w:sz w:val="24"/>
          <w:szCs w:val="28"/>
        </w:rPr>
        <w:t>Le dispositif opérationnel de formation technique et professionnelle en santé comp</w:t>
      </w:r>
      <w:r w:rsidR="001367A9">
        <w:rPr>
          <w:rFonts w:ascii="Calibri" w:hAnsi="Calibri"/>
          <w:color w:val="000000" w:themeColor="text1"/>
          <w:sz w:val="24"/>
          <w:szCs w:val="28"/>
        </w:rPr>
        <w:t>t</w:t>
      </w:r>
      <w:r w:rsidRPr="00340DD1">
        <w:rPr>
          <w:rFonts w:ascii="Calibri" w:hAnsi="Calibri"/>
          <w:color w:val="000000" w:themeColor="text1"/>
          <w:sz w:val="24"/>
          <w:szCs w:val="28"/>
        </w:rPr>
        <w:t>ait</w:t>
      </w:r>
      <w:r w:rsidR="001367A9" w:rsidRPr="00340DD1">
        <w:rPr>
          <w:rFonts w:ascii="Calibri" w:hAnsi="Calibri"/>
          <w:color w:val="000000" w:themeColor="text1"/>
          <w:sz w:val="24"/>
          <w:szCs w:val="28"/>
        </w:rPr>
        <w:t xml:space="preserve"> 38 établissements dont 6 publics et 32 privés</w:t>
      </w:r>
      <w:r w:rsidRPr="00340DD1">
        <w:rPr>
          <w:rFonts w:ascii="Calibri" w:hAnsi="Calibri"/>
          <w:color w:val="000000" w:themeColor="text1"/>
          <w:sz w:val="24"/>
          <w:szCs w:val="28"/>
        </w:rPr>
        <w:t xml:space="preserve"> en 2017</w:t>
      </w:r>
      <w:r w:rsidRPr="00340DD1">
        <w:rPr>
          <w:rFonts w:ascii="Calibri" w:hAnsi="Calibri"/>
          <w:color w:val="000000" w:themeColor="text1"/>
          <w:sz w:val="24"/>
          <w:szCs w:val="28"/>
          <w:vertAlign w:val="superscript"/>
        </w:rPr>
        <w:footnoteReference w:id="24"/>
      </w:r>
      <w:r w:rsidRPr="00340DD1">
        <w:rPr>
          <w:rFonts w:ascii="Calibri" w:hAnsi="Calibri"/>
          <w:color w:val="000000" w:themeColor="text1"/>
          <w:sz w:val="24"/>
          <w:szCs w:val="28"/>
        </w:rPr>
        <w:t xml:space="preserve">. Le nombre des établissements publics </w:t>
      </w:r>
      <w:r w:rsidR="001367A9">
        <w:rPr>
          <w:rFonts w:ascii="Calibri" w:hAnsi="Calibri"/>
          <w:color w:val="000000" w:themeColor="text1"/>
          <w:sz w:val="24"/>
          <w:szCs w:val="28"/>
        </w:rPr>
        <w:t>a</w:t>
      </w:r>
      <w:r w:rsidRPr="00340DD1">
        <w:rPr>
          <w:rFonts w:ascii="Calibri" w:hAnsi="Calibri"/>
          <w:color w:val="000000" w:themeColor="text1"/>
          <w:sz w:val="24"/>
          <w:szCs w:val="28"/>
        </w:rPr>
        <w:t xml:space="preserve"> stagn</w:t>
      </w:r>
      <w:r w:rsidR="001367A9">
        <w:rPr>
          <w:rFonts w:ascii="Calibri" w:hAnsi="Calibri"/>
          <w:color w:val="000000" w:themeColor="text1"/>
          <w:sz w:val="24"/>
          <w:szCs w:val="28"/>
        </w:rPr>
        <w:t>é</w:t>
      </w:r>
      <w:r w:rsidRPr="00340DD1">
        <w:rPr>
          <w:rFonts w:ascii="Calibri" w:hAnsi="Calibri"/>
          <w:color w:val="000000" w:themeColor="text1"/>
          <w:sz w:val="24"/>
          <w:szCs w:val="28"/>
        </w:rPr>
        <w:t xml:space="preserve"> depuis 2006, tandis </w:t>
      </w:r>
      <w:r w:rsidR="001367A9">
        <w:rPr>
          <w:rFonts w:ascii="Calibri" w:hAnsi="Calibri"/>
          <w:color w:val="000000" w:themeColor="text1"/>
          <w:sz w:val="24"/>
          <w:szCs w:val="28"/>
        </w:rPr>
        <w:t xml:space="preserve">que </w:t>
      </w:r>
      <w:r w:rsidRPr="00340DD1">
        <w:rPr>
          <w:rFonts w:ascii="Calibri" w:hAnsi="Calibri"/>
          <w:color w:val="000000" w:themeColor="text1"/>
          <w:sz w:val="24"/>
          <w:szCs w:val="28"/>
        </w:rPr>
        <w:t>celui des écoles privées a augment</w:t>
      </w:r>
      <w:r w:rsidR="001367A9">
        <w:rPr>
          <w:rFonts w:ascii="Calibri" w:hAnsi="Calibri"/>
          <w:color w:val="000000" w:themeColor="text1"/>
          <w:sz w:val="24"/>
          <w:szCs w:val="28"/>
        </w:rPr>
        <w:t>é</w:t>
      </w:r>
      <w:r w:rsidRPr="00340DD1">
        <w:rPr>
          <w:rFonts w:ascii="Calibri" w:hAnsi="Calibri"/>
          <w:color w:val="000000" w:themeColor="text1"/>
          <w:sz w:val="24"/>
          <w:szCs w:val="28"/>
        </w:rPr>
        <w:t xml:space="preserve">, de 2 écoles en 2006 à 32 en 2017. </w:t>
      </w:r>
      <w:r w:rsidR="001367A9">
        <w:rPr>
          <w:rFonts w:ascii="Calibri" w:hAnsi="Calibri"/>
          <w:color w:val="000000" w:themeColor="text1"/>
          <w:sz w:val="24"/>
          <w:szCs w:val="28"/>
        </w:rPr>
        <w:t>L</w:t>
      </w:r>
      <w:r w:rsidR="003C754C">
        <w:rPr>
          <w:rFonts w:ascii="Calibri" w:hAnsi="Calibri"/>
          <w:color w:val="000000" w:themeColor="text1"/>
          <w:sz w:val="24"/>
          <w:szCs w:val="28"/>
        </w:rPr>
        <w:t>es programmes harmonisés de l’OOAS</w:t>
      </w:r>
      <w:r w:rsidR="001367A9">
        <w:rPr>
          <w:rFonts w:ascii="Calibri" w:hAnsi="Calibri"/>
          <w:color w:val="000000" w:themeColor="text1"/>
          <w:sz w:val="24"/>
          <w:szCs w:val="28"/>
        </w:rPr>
        <w:t xml:space="preserve"> y </w:t>
      </w:r>
      <w:r w:rsidR="00626BCF">
        <w:rPr>
          <w:rFonts w:ascii="Calibri" w:hAnsi="Calibri"/>
          <w:color w:val="000000" w:themeColor="text1"/>
          <w:sz w:val="24"/>
          <w:szCs w:val="28"/>
        </w:rPr>
        <w:t>s</w:t>
      </w:r>
      <w:r w:rsidR="001367A9">
        <w:rPr>
          <w:rFonts w:ascii="Calibri" w:hAnsi="Calibri"/>
          <w:color w:val="000000" w:themeColor="text1"/>
          <w:sz w:val="24"/>
          <w:szCs w:val="28"/>
        </w:rPr>
        <w:t xml:space="preserve">ont </w:t>
      </w:r>
      <w:r w:rsidR="00626BCF">
        <w:rPr>
          <w:rFonts w:ascii="Calibri" w:hAnsi="Calibri"/>
          <w:color w:val="000000" w:themeColor="text1"/>
          <w:sz w:val="24"/>
          <w:szCs w:val="28"/>
        </w:rPr>
        <w:t>dispensé</w:t>
      </w:r>
      <w:r w:rsidR="001367A9">
        <w:rPr>
          <w:rFonts w:ascii="Calibri" w:hAnsi="Calibri"/>
          <w:color w:val="000000" w:themeColor="text1"/>
          <w:sz w:val="24"/>
          <w:szCs w:val="28"/>
        </w:rPr>
        <w:t>s</w:t>
      </w:r>
      <w:r w:rsidR="003C754C">
        <w:rPr>
          <w:rFonts w:ascii="Calibri" w:hAnsi="Calibri"/>
          <w:color w:val="000000" w:themeColor="text1"/>
          <w:sz w:val="24"/>
          <w:szCs w:val="28"/>
        </w:rPr>
        <w:t xml:space="preserve">. </w:t>
      </w:r>
      <w:r w:rsidRPr="00340DD1">
        <w:rPr>
          <w:rFonts w:ascii="Calibri" w:hAnsi="Calibri"/>
          <w:color w:val="000000" w:themeColor="text1"/>
          <w:sz w:val="24"/>
          <w:szCs w:val="28"/>
        </w:rPr>
        <w:t>Ce dispositif est complété par les institutions partenaires de formation à l’étranger.</w:t>
      </w:r>
      <w:r w:rsidR="003C754C">
        <w:rPr>
          <w:rFonts w:ascii="Calibri" w:hAnsi="Calibri"/>
          <w:color w:val="000000" w:themeColor="text1"/>
          <w:sz w:val="24"/>
          <w:szCs w:val="28"/>
        </w:rPr>
        <w:t xml:space="preserve"> </w:t>
      </w:r>
    </w:p>
    <w:p w14:paraId="0679BFCD" w14:textId="77777777" w:rsidR="00C2246D" w:rsidRDefault="00340DD1" w:rsidP="003C754C">
      <w:pPr>
        <w:jc w:val="both"/>
        <w:rPr>
          <w:rFonts w:ascii="Calibri" w:hAnsi="Calibri"/>
          <w:color w:val="000000" w:themeColor="text1"/>
          <w:sz w:val="24"/>
          <w:szCs w:val="28"/>
        </w:rPr>
      </w:pPr>
      <w:r w:rsidRPr="00340DD1">
        <w:rPr>
          <w:rFonts w:ascii="Calibri" w:hAnsi="Calibri"/>
          <w:color w:val="000000" w:themeColor="text1"/>
          <w:sz w:val="24"/>
          <w:szCs w:val="28"/>
        </w:rPr>
        <w:t xml:space="preserve">Les effectifs </w:t>
      </w:r>
      <w:r w:rsidR="008E3512">
        <w:rPr>
          <w:rFonts w:ascii="Calibri" w:hAnsi="Calibri"/>
          <w:color w:val="000000" w:themeColor="text1"/>
          <w:sz w:val="24"/>
          <w:szCs w:val="28"/>
        </w:rPr>
        <w:t xml:space="preserve">d’apprenants </w:t>
      </w:r>
      <w:r w:rsidRPr="00340DD1">
        <w:rPr>
          <w:rFonts w:ascii="Calibri" w:hAnsi="Calibri"/>
          <w:color w:val="000000" w:themeColor="text1"/>
          <w:sz w:val="24"/>
          <w:szCs w:val="28"/>
        </w:rPr>
        <w:t xml:space="preserve">dans les écoles professionnelles de santé </w:t>
      </w:r>
      <w:r w:rsidR="008E3512">
        <w:rPr>
          <w:rFonts w:ascii="Calibri" w:hAnsi="Calibri"/>
          <w:color w:val="000000" w:themeColor="text1"/>
          <w:sz w:val="24"/>
          <w:szCs w:val="28"/>
        </w:rPr>
        <w:t>ont</w:t>
      </w:r>
      <w:r w:rsidRPr="00340DD1">
        <w:rPr>
          <w:rFonts w:ascii="Calibri" w:hAnsi="Calibri"/>
          <w:color w:val="000000" w:themeColor="text1"/>
          <w:sz w:val="24"/>
          <w:szCs w:val="28"/>
        </w:rPr>
        <w:t xml:space="preserve"> baiss</w:t>
      </w:r>
      <w:r w:rsidR="008E3512">
        <w:rPr>
          <w:rFonts w:ascii="Calibri" w:hAnsi="Calibri"/>
          <w:color w:val="000000" w:themeColor="text1"/>
          <w:sz w:val="24"/>
          <w:szCs w:val="28"/>
        </w:rPr>
        <w:t>é</w:t>
      </w:r>
      <w:r w:rsidRPr="00340DD1">
        <w:rPr>
          <w:rFonts w:ascii="Calibri" w:hAnsi="Calibri"/>
          <w:color w:val="000000" w:themeColor="text1"/>
          <w:sz w:val="24"/>
          <w:szCs w:val="28"/>
        </w:rPr>
        <w:t xml:space="preserve"> régulière</w:t>
      </w:r>
      <w:r w:rsidR="00CE7E0A">
        <w:rPr>
          <w:rFonts w:ascii="Calibri" w:hAnsi="Calibri"/>
          <w:color w:val="000000" w:themeColor="text1"/>
          <w:sz w:val="24"/>
          <w:szCs w:val="28"/>
        </w:rPr>
        <w:t>ment</w:t>
      </w:r>
      <w:r w:rsidRPr="00340DD1">
        <w:rPr>
          <w:rFonts w:ascii="Calibri" w:hAnsi="Calibri"/>
          <w:color w:val="000000" w:themeColor="text1"/>
          <w:sz w:val="24"/>
          <w:szCs w:val="28"/>
        </w:rPr>
        <w:t xml:space="preserve"> dans les écoles publiques de 2013 à 2016</w:t>
      </w:r>
      <w:r>
        <w:rPr>
          <w:rFonts w:ascii="Calibri" w:hAnsi="Calibri"/>
          <w:color w:val="000000" w:themeColor="text1"/>
          <w:sz w:val="24"/>
          <w:szCs w:val="28"/>
        </w:rPr>
        <w:t>,</w:t>
      </w:r>
      <w:r w:rsidRPr="00340DD1">
        <w:rPr>
          <w:rFonts w:ascii="Calibri" w:hAnsi="Calibri"/>
          <w:color w:val="000000" w:themeColor="text1"/>
          <w:sz w:val="24"/>
          <w:szCs w:val="28"/>
        </w:rPr>
        <w:t xml:space="preserve"> puis </w:t>
      </w:r>
      <w:r w:rsidR="008E3512">
        <w:rPr>
          <w:rFonts w:ascii="Calibri" w:hAnsi="Calibri"/>
          <w:color w:val="000000" w:themeColor="text1"/>
          <w:sz w:val="24"/>
          <w:szCs w:val="28"/>
        </w:rPr>
        <w:t>ont augmenté</w:t>
      </w:r>
      <w:r w:rsidRPr="00340DD1">
        <w:rPr>
          <w:rFonts w:ascii="Calibri" w:hAnsi="Calibri"/>
          <w:color w:val="000000" w:themeColor="text1"/>
          <w:sz w:val="24"/>
          <w:szCs w:val="28"/>
        </w:rPr>
        <w:t xml:space="preserve"> brusque</w:t>
      </w:r>
      <w:r w:rsidR="008E3512">
        <w:rPr>
          <w:rFonts w:ascii="Calibri" w:hAnsi="Calibri"/>
          <w:color w:val="000000" w:themeColor="text1"/>
          <w:sz w:val="24"/>
          <w:szCs w:val="28"/>
        </w:rPr>
        <w:t>ment</w:t>
      </w:r>
      <w:r w:rsidRPr="00340DD1">
        <w:rPr>
          <w:rFonts w:ascii="Calibri" w:hAnsi="Calibri"/>
          <w:color w:val="000000" w:themeColor="text1"/>
          <w:sz w:val="24"/>
          <w:szCs w:val="28"/>
        </w:rPr>
        <w:t xml:space="preserve"> en 2017</w:t>
      </w:r>
      <w:r w:rsidR="008E3512">
        <w:rPr>
          <w:rFonts w:ascii="Calibri" w:hAnsi="Calibri"/>
          <w:color w:val="000000" w:themeColor="text1"/>
          <w:sz w:val="24"/>
          <w:szCs w:val="28"/>
        </w:rPr>
        <w:t>. A la même période</w:t>
      </w:r>
      <w:r w:rsidRPr="00340DD1">
        <w:rPr>
          <w:rFonts w:ascii="Calibri" w:hAnsi="Calibri"/>
          <w:color w:val="000000" w:themeColor="text1"/>
          <w:sz w:val="24"/>
          <w:szCs w:val="28"/>
        </w:rPr>
        <w:t>, le</w:t>
      </w:r>
      <w:r w:rsidR="00425212">
        <w:rPr>
          <w:rFonts w:ascii="Calibri" w:hAnsi="Calibri"/>
          <w:color w:val="000000" w:themeColor="text1"/>
          <w:sz w:val="24"/>
          <w:szCs w:val="28"/>
        </w:rPr>
        <w:t xml:space="preserve"> nombre</w:t>
      </w:r>
      <w:r w:rsidRPr="00340DD1">
        <w:rPr>
          <w:rFonts w:ascii="Calibri" w:hAnsi="Calibri"/>
          <w:color w:val="000000" w:themeColor="text1"/>
          <w:sz w:val="24"/>
          <w:szCs w:val="28"/>
        </w:rPr>
        <w:t xml:space="preserve"> </w:t>
      </w:r>
      <w:r w:rsidR="00425212">
        <w:rPr>
          <w:rFonts w:ascii="Calibri" w:hAnsi="Calibri"/>
          <w:color w:val="000000" w:themeColor="text1"/>
          <w:sz w:val="24"/>
          <w:szCs w:val="28"/>
        </w:rPr>
        <w:t>d’</w:t>
      </w:r>
      <w:r w:rsidR="00C2246D">
        <w:rPr>
          <w:rFonts w:ascii="Calibri" w:hAnsi="Calibri"/>
          <w:color w:val="000000" w:themeColor="text1"/>
          <w:sz w:val="24"/>
          <w:szCs w:val="28"/>
        </w:rPr>
        <w:t xml:space="preserve">élèves dans les </w:t>
      </w:r>
      <w:r w:rsidRPr="00340DD1">
        <w:rPr>
          <w:rFonts w:ascii="Calibri" w:hAnsi="Calibri"/>
          <w:color w:val="000000" w:themeColor="text1"/>
          <w:sz w:val="24"/>
          <w:szCs w:val="28"/>
        </w:rPr>
        <w:t>écoles privées</w:t>
      </w:r>
      <w:r w:rsidR="00425212">
        <w:rPr>
          <w:rFonts w:ascii="Calibri" w:hAnsi="Calibri"/>
          <w:color w:val="000000" w:themeColor="text1"/>
          <w:sz w:val="24"/>
          <w:szCs w:val="28"/>
        </w:rPr>
        <w:t xml:space="preserve"> a cru continuellement</w:t>
      </w:r>
      <w:r w:rsidRPr="00340DD1">
        <w:rPr>
          <w:rFonts w:ascii="Calibri" w:hAnsi="Calibri"/>
          <w:color w:val="000000" w:themeColor="text1"/>
          <w:sz w:val="24"/>
          <w:szCs w:val="28"/>
        </w:rPr>
        <w:t>.</w:t>
      </w:r>
      <w:r w:rsidR="00425212">
        <w:rPr>
          <w:rFonts w:ascii="Calibri" w:hAnsi="Calibri"/>
          <w:color w:val="000000" w:themeColor="text1"/>
          <w:sz w:val="24"/>
          <w:szCs w:val="28"/>
        </w:rPr>
        <w:t xml:space="preserve"> L</w:t>
      </w:r>
      <w:r w:rsidRPr="00340DD1">
        <w:rPr>
          <w:rFonts w:ascii="Calibri" w:hAnsi="Calibri"/>
          <w:color w:val="000000" w:themeColor="text1"/>
          <w:sz w:val="24"/>
          <w:szCs w:val="28"/>
        </w:rPr>
        <w:t xml:space="preserve">’épidémie de la maladie à virus Ebola qui a sévi dans le pays </w:t>
      </w:r>
      <w:r w:rsidR="00C2246D">
        <w:rPr>
          <w:rFonts w:ascii="Calibri" w:hAnsi="Calibri"/>
          <w:color w:val="000000" w:themeColor="text1"/>
          <w:sz w:val="24"/>
          <w:szCs w:val="28"/>
        </w:rPr>
        <w:t>au même moment</w:t>
      </w:r>
      <w:r w:rsidR="005D6E06">
        <w:rPr>
          <w:rFonts w:ascii="Calibri" w:hAnsi="Calibri"/>
          <w:color w:val="000000" w:themeColor="text1"/>
          <w:sz w:val="24"/>
          <w:szCs w:val="28"/>
        </w:rPr>
        <w:t xml:space="preserve"> </w:t>
      </w:r>
      <w:r w:rsidR="00425212">
        <w:rPr>
          <w:rFonts w:ascii="Calibri" w:hAnsi="Calibri"/>
          <w:color w:val="000000" w:themeColor="text1"/>
          <w:sz w:val="24"/>
          <w:szCs w:val="28"/>
        </w:rPr>
        <w:t>ne semble pas en être la cause car</w:t>
      </w:r>
      <w:r w:rsidR="005D6E06">
        <w:rPr>
          <w:rFonts w:ascii="Calibri" w:hAnsi="Calibri"/>
          <w:color w:val="000000" w:themeColor="text1"/>
          <w:sz w:val="24"/>
          <w:szCs w:val="28"/>
        </w:rPr>
        <w:t>, logiquement</w:t>
      </w:r>
      <w:r w:rsidR="00425212">
        <w:rPr>
          <w:rFonts w:ascii="Calibri" w:hAnsi="Calibri"/>
          <w:color w:val="000000" w:themeColor="text1"/>
          <w:sz w:val="24"/>
          <w:szCs w:val="28"/>
        </w:rPr>
        <w:t>,</w:t>
      </w:r>
      <w:r w:rsidR="005D6E06">
        <w:rPr>
          <w:rFonts w:ascii="Calibri" w:hAnsi="Calibri"/>
          <w:color w:val="000000" w:themeColor="text1"/>
          <w:sz w:val="24"/>
          <w:szCs w:val="28"/>
        </w:rPr>
        <w:t xml:space="preserve"> </w:t>
      </w:r>
      <w:r w:rsidR="00FC685C">
        <w:rPr>
          <w:rFonts w:ascii="Calibri" w:hAnsi="Calibri"/>
          <w:color w:val="000000" w:themeColor="text1"/>
          <w:sz w:val="24"/>
          <w:szCs w:val="28"/>
        </w:rPr>
        <w:t>elle</w:t>
      </w:r>
      <w:r w:rsidR="00425212">
        <w:rPr>
          <w:rFonts w:ascii="Calibri" w:hAnsi="Calibri"/>
          <w:color w:val="000000" w:themeColor="text1"/>
          <w:sz w:val="24"/>
          <w:szCs w:val="28"/>
        </w:rPr>
        <w:t xml:space="preserve"> </w:t>
      </w:r>
      <w:r w:rsidR="005D6E06">
        <w:rPr>
          <w:rFonts w:ascii="Calibri" w:hAnsi="Calibri"/>
          <w:color w:val="000000" w:themeColor="text1"/>
          <w:sz w:val="24"/>
          <w:szCs w:val="28"/>
        </w:rPr>
        <w:t xml:space="preserve">aurait affecté </w:t>
      </w:r>
      <w:r w:rsidRPr="00340DD1">
        <w:rPr>
          <w:rFonts w:ascii="Calibri" w:hAnsi="Calibri"/>
          <w:color w:val="000000" w:themeColor="text1"/>
          <w:sz w:val="24"/>
          <w:szCs w:val="28"/>
        </w:rPr>
        <w:t xml:space="preserve">le secteur privé </w:t>
      </w:r>
      <w:r w:rsidR="005D6E06">
        <w:rPr>
          <w:rFonts w:ascii="Calibri" w:hAnsi="Calibri"/>
          <w:color w:val="000000" w:themeColor="text1"/>
          <w:sz w:val="24"/>
          <w:szCs w:val="28"/>
        </w:rPr>
        <w:t>de la même façon.</w:t>
      </w:r>
      <w:r w:rsidRPr="00340DD1">
        <w:rPr>
          <w:rFonts w:ascii="Calibri" w:hAnsi="Calibri"/>
          <w:color w:val="000000" w:themeColor="text1"/>
          <w:sz w:val="24"/>
          <w:szCs w:val="28"/>
        </w:rPr>
        <w:t xml:space="preserve"> </w:t>
      </w:r>
    </w:p>
    <w:p w14:paraId="07BFC7B0" w14:textId="77777777" w:rsidR="00425212" w:rsidRDefault="00BD7969" w:rsidP="003C754C">
      <w:pPr>
        <w:jc w:val="both"/>
        <w:rPr>
          <w:rFonts w:ascii="Calibri" w:hAnsi="Calibri"/>
          <w:color w:val="000000" w:themeColor="text1"/>
          <w:sz w:val="24"/>
          <w:szCs w:val="28"/>
        </w:rPr>
      </w:pPr>
      <w:r>
        <w:rPr>
          <w:rFonts w:ascii="Calibri" w:hAnsi="Calibri"/>
          <w:color w:val="000000" w:themeColor="text1"/>
          <w:sz w:val="24"/>
          <w:szCs w:val="28"/>
        </w:rPr>
        <w:t xml:space="preserve">Le système a produit </w:t>
      </w:r>
      <w:r w:rsidRPr="00BD7969">
        <w:rPr>
          <w:rFonts w:ascii="Calibri" w:hAnsi="Calibri"/>
          <w:color w:val="000000" w:themeColor="text1"/>
          <w:sz w:val="24"/>
          <w:szCs w:val="28"/>
        </w:rPr>
        <w:t xml:space="preserve">3273 professionnels </w:t>
      </w:r>
      <w:r>
        <w:rPr>
          <w:rFonts w:ascii="Calibri" w:hAnsi="Calibri"/>
          <w:color w:val="000000" w:themeColor="text1"/>
          <w:sz w:val="24"/>
          <w:szCs w:val="28"/>
        </w:rPr>
        <w:t>durant cette période.</w:t>
      </w:r>
      <w:r w:rsidR="003C754C">
        <w:rPr>
          <w:rFonts w:ascii="Calibri" w:hAnsi="Calibri"/>
          <w:color w:val="000000" w:themeColor="text1"/>
          <w:sz w:val="24"/>
          <w:szCs w:val="28"/>
        </w:rPr>
        <w:t xml:space="preserve"> </w:t>
      </w:r>
      <w:r w:rsidR="00C2246D">
        <w:rPr>
          <w:rFonts w:ascii="Calibri" w:hAnsi="Calibri"/>
          <w:color w:val="000000" w:themeColor="text1"/>
          <w:sz w:val="24"/>
          <w:szCs w:val="28"/>
        </w:rPr>
        <w:t>Comparé à la production</w:t>
      </w:r>
      <w:r w:rsidR="006F4A63">
        <w:rPr>
          <w:rFonts w:ascii="Calibri" w:hAnsi="Calibri"/>
          <w:color w:val="000000" w:themeColor="text1"/>
          <w:sz w:val="24"/>
          <w:szCs w:val="28"/>
        </w:rPr>
        <w:t xml:space="preserve"> universitaire, on constate une </w:t>
      </w:r>
      <w:r w:rsidR="00C2246D">
        <w:rPr>
          <w:rFonts w:ascii="Calibri" w:hAnsi="Calibri"/>
          <w:color w:val="000000" w:themeColor="text1"/>
          <w:sz w:val="24"/>
          <w:szCs w:val="28"/>
        </w:rPr>
        <w:t xml:space="preserve">inversion de ce qui aurait dû être de la pyramide interprofessionnelle. Cela </w:t>
      </w:r>
      <w:r w:rsidR="006F4A63">
        <w:rPr>
          <w:rFonts w:ascii="Calibri" w:hAnsi="Calibri"/>
          <w:color w:val="000000" w:themeColor="text1"/>
          <w:sz w:val="24"/>
          <w:szCs w:val="28"/>
        </w:rPr>
        <w:t xml:space="preserve">prouve la déconnexion entre la formation universitaire et le formation professionnelle. En effet, autrement, </w:t>
      </w:r>
      <w:r w:rsidR="006257BC">
        <w:rPr>
          <w:rFonts w:ascii="Calibri" w:hAnsi="Calibri"/>
          <w:color w:val="000000" w:themeColor="text1"/>
          <w:sz w:val="24"/>
          <w:szCs w:val="28"/>
        </w:rPr>
        <w:t xml:space="preserve">le nombre d’agents de santé sortis des écoles professionnelles devraient </w:t>
      </w:r>
      <w:r w:rsidR="008F27C5">
        <w:rPr>
          <w:rFonts w:ascii="Calibri" w:hAnsi="Calibri"/>
          <w:color w:val="000000" w:themeColor="text1"/>
          <w:sz w:val="24"/>
          <w:szCs w:val="28"/>
        </w:rPr>
        <w:t>être bien</w:t>
      </w:r>
      <w:r w:rsidR="006257BC">
        <w:rPr>
          <w:rFonts w:ascii="Calibri" w:hAnsi="Calibri"/>
          <w:color w:val="000000" w:themeColor="text1"/>
          <w:sz w:val="24"/>
          <w:szCs w:val="28"/>
        </w:rPr>
        <w:t xml:space="preserve"> </w:t>
      </w:r>
      <w:r w:rsidR="008F27C5">
        <w:rPr>
          <w:rFonts w:ascii="Calibri" w:hAnsi="Calibri"/>
          <w:color w:val="000000" w:themeColor="text1"/>
          <w:sz w:val="24"/>
          <w:szCs w:val="28"/>
        </w:rPr>
        <w:t>supérieur</w:t>
      </w:r>
      <w:r w:rsidR="006257BC">
        <w:rPr>
          <w:rFonts w:ascii="Calibri" w:hAnsi="Calibri"/>
          <w:color w:val="000000" w:themeColor="text1"/>
          <w:sz w:val="24"/>
          <w:szCs w:val="28"/>
        </w:rPr>
        <w:t xml:space="preserve"> </w:t>
      </w:r>
      <w:r w:rsidR="008F27C5">
        <w:rPr>
          <w:rFonts w:ascii="Calibri" w:hAnsi="Calibri"/>
          <w:color w:val="000000" w:themeColor="text1"/>
          <w:sz w:val="24"/>
          <w:szCs w:val="28"/>
        </w:rPr>
        <w:t>à celui des</w:t>
      </w:r>
      <w:r w:rsidR="006257BC">
        <w:rPr>
          <w:rFonts w:ascii="Calibri" w:hAnsi="Calibri"/>
          <w:color w:val="000000" w:themeColor="text1"/>
          <w:sz w:val="24"/>
          <w:szCs w:val="28"/>
        </w:rPr>
        <w:t xml:space="preserve"> universitaires. </w:t>
      </w:r>
    </w:p>
    <w:p w14:paraId="635C557C" w14:textId="77777777" w:rsidR="001367A9" w:rsidRDefault="008C69F3" w:rsidP="003C754C">
      <w:pPr>
        <w:jc w:val="both"/>
        <w:rPr>
          <w:rFonts w:ascii="Calibri" w:hAnsi="Calibri"/>
          <w:color w:val="000000" w:themeColor="text1"/>
          <w:sz w:val="24"/>
          <w:szCs w:val="28"/>
        </w:rPr>
      </w:pPr>
      <w:r>
        <w:rPr>
          <w:rFonts w:ascii="Calibri" w:hAnsi="Calibri"/>
          <w:color w:val="000000" w:themeColor="text1"/>
          <w:sz w:val="24"/>
          <w:szCs w:val="28"/>
        </w:rPr>
        <w:t>Le</w:t>
      </w:r>
      <w:r w:rsidR="00425212">
        <w:rPr>
          <w:rFonts w:ascii="Calibri" w:hAnsi="Calibri"/>
          <w:color w:val="000000" w:themeColor="text1"/>
          <w:sz w:val="24"/>
          <w:szCs w:val="28"/>
        </w:rPr>
        <w:t xml:space="preserve"> secteur de la formation </w:t>
      </w:r>
      <w:r w:rsidR="00FC685C">
        <w:rPr>
          <w:rFonts w:ascii="Calibri" w:hAnsi="Calibri"/>
          <w:color w:val="000000" w:themeColor="text1"/>
          <w:sz w:val="24"/>
          <w:szCs w:val="28"/>
        </w:rPr>
        <w:t>professionnel</w:t>
      </w:r>
      <w:r w:rsidR="00425212">
        <w:rPr>
          <w:rFonts w:ascii="Calibri" w:hAnsi="Calibri"/>
          <w:color w:val="000000" w:themeColor="text1"/>
          <w:sz w:val="24"/>
          <w:szCs w:val="28"/>
        </w:rPr>
        <w:t>le, non plus,</w:t>
      </w:r>
      <w:r w:rsidR="001367A9">
        <w:rPr>
          <w:rFonts w:ascii="Calibri" w:hAnsi="Calibri"/>
          <w:color w:val="000000" w:themeColor="text1"/>
          <w:sz w:val="24"/>
          <w:szCs w:val="28"/>
        </w:rPr>
        <w:t xml:space="preserve"> </w:t>
      </w:r>
      <w:r w:rsidR="001367A9" w:rsidRPr="00575D04">
        <w:rPr>
          <w:rFonts w:cs="Arial"/>
          <w:szCs w:val="28"/>
        </w:rPr>
        <w:t xml:space="preserve">ne répond pas </w:t>
      </w:r>
      <w:r w:rsidR="001367A9">
        <w:rPr>
          <w:rFonts w:cs="Arial"/>
          <w:szCs w:val="28"/>
        </w:rPr>
        <w:t xml:space="preserve">encore </w:t>
      </w:r>
      <w:r w:rsidR="001367A9" w:rsidRPr="00575D04">
        <w:rPr>
          <w:rFonts w:cs="Arial"/>
          <w:szCs w:val="28"/>
        </w:rPr>
        <w:t>adéquatement</w:t>
      </w:r>
      <w:r w:rsidR="001367A9">
        <w:rPr>
          <w:rFonts w:cs="Arial"/>
          <w:szCs w:val="28"/>
        </w:rPr>
        <w:t xml:space="preserve"> </w:t>
      </w:r>
      <w:r w:rsidR="001367A9" w:rsidRPr="00575D04">
        <w:rPr>
          <w:rFonts w:cs="Arial"/>
          <w:szCs w:val="28"/>
        </w:rPr>
        <w:t>aux préoccupations du mar</w:t>
      </w:r>
      <w:r w:rsidR="00930C5C">
        <w:rPr>
          <w:rFonts w:cs="Arial"/>
          <w:szCs w:val="28"/>
        </w:rPr>
        <w:t>ché du travail</w:t>
      </w:r>
      <w:r w:rsidR="001367A9" w:rsidRPr="00575D04">
        <w:rPr>
          <w:rStyle w:val="Appelnotedebasdep"/>
          <w:rFonts w:cs="Arial"/>
          <w:szCs w:val="28"/>
        </w:rPr>
        <w:footnoteReference w:id="25"/>
      </w:r>
      <w:r w:rsidR="00930C5C">
        <w:rPr>
          <w:rFonts w:cs="Arial"/>
          <w:szCs w:val="28"/>
        </w:rPr>
        <w:t>,</w:t>
      </w:r>
      <w:r w:rsidR="008F27C5" w:rsidRPr="008F27C5">
        <w:rPr>
          <w:rFonts w:ascii="Calibri" w:hAnsi="Calibri"/>
          <w:color w:val="000000" w:themeColor="text1"/>
          <w:sz w:val="24"/>
          <w:szCs w:val="28"/>
        </w:rPr>
        <w:t xml:space="preserve"> </w:t>
      </w:r>
      <w:r w:rsidR="008F27C5">
        <w:rPr>
          <w:rFonts w:ascii="Calibri" w:hAnsi="Calibri"/>
          <w:color w:val="000000" w:themeColor="text1"/>
          <w:sz w:val="24"/>
          <w:szCs w:val="28"/>
        </w:rPr>
        <w:t>malgré quelques changements positifs en cours (adaptation de la formation aux bes</w:t>
      </w:r>
      <w:r w:rsidR="00930C5C">
        <w:rPr>
          <w:rFonts w:ascii="Calibri" w:hAnsi="Calibri"/>
          <w:color w:val="000000" w:themeColor="text1"/>
          <w:sz w:val="24"/>
          <w:szCs w:val="28"/>
        </w:rPr>
        <w:t>oins de la santé communautaire).</w:t>
      </w:r>
    </w:p>
    <w:p w14:paraId="68486D95" w14:textId="77777777" w:rsidR="003C754C" w:rsidRPr="003C754C" w:rsidRDefault="003C754C" w:rsidP="001367A9">
      <w:pPr>
        <w:pStyle w:val="Titre1"/>
        <w:numPr>
          <w:ilvl w:val="3"/>
          <w:numId w:val="8"/>
        </w:numPr>
        <w:spacing w:before="240" w:after="240"/>
        <w:ind w:left="1843" w:hanging="709"/>
        <w:rPr>
          <w:sz w:val="22"/>
        </w:rPr>
      </w:pPr>
      <w:bookmarkStart w:id="13" w:name="_Toc21586234"/>
      <w:r w:rsidRPr="003C754C">
        <w:rPr>
          <w:sz w:val="22"/>
        </w:rPr>
        <w:t>Formation de spécialisation</w:t>
      </w:r>
      <w:bookmarkEnd w:id="13"/>
    </w:p>
    <w:p w14:paraId="3DA0E9E3" w14:textId="77777777" w:rsidR="003C754C" w:rsidRPr="009F0F07" w:rsidRDefault="003C754C" w:rsidP="00904B1A">
      <w:pPr>
        <w:pStyle w:val="Paragraphedeliste"/>
        <w:ind w:left="0"/>
        <w:contextualSpacing w:val="0"/>
        <w:jc w:val="both"/>
        <w:rPr>
          <w:rFonts w:ascii="Calibri" w:hAnsi="Calibri"/>
          <w:color w:val="000000" w:themeColor="text1"/>
          <w:sz w:val="24"/>
          <w:szCs w:val="28"/>
        </w:rPr>
      </w:pPr>
      <w:r w:rsidRPr="009F0F07">
        <w:rPr>
          <w:rFonts w:ascii="Calibri" w:hAnsi="Calibri"/>
          <w:color w:val="000000" w:themeColor="text1"/>
          <w:sz w:val="24"/>
          <w:szCs w:val="28"/>
        </w:rPr>
        <w:t>Selon les données disponibles</w:t>
      </w:r>
      <w:r w:rsidR="009F0F07">
        <w:rPr>
          <w:rFonts w:ascii="Calibri" w:hAnsi="Calibri"/>
          <w:color w:val="000000" w:themeColor="text1"/>
          <w:sz w:val="24"/>
          <w:szCs w:val="28"/>
        </w:rPr>
        <w:t>,</w:t>
      </w:r>
      <w:r w:rsidR="009F0F07" w:rsidRPr="009F0F07">
        <w:rPr>
          <w:rFonts w:ascii="Calibri" w:hAnsi="Calibri"/>
          <w:color w:val="000000" w:themeColor="text1"/>
          <w:sz w:val="24"/>
          <w:szCs w:val="28"/>
        </w:rPr>
        <w:t xml:space="preserve"> </w:t>
      </w:r>
      <w:r w:rsidRPr="009F0F07">
        <w:rPr>
          <w:rFonts w:ascii="Calibri" w:hAnsi="Calibri"/>
          <w:color w:val="000000" w:themeColor="text1"/>
          <w:sz w:val="24"/>
          <w:szCs w:val="28"/>
        </w:rPr>
        <w:t>le pays comptait en 2017 dix-sept diplômes d’études spécialisées (DES) et Master</w:t>
      </w:r>
      <w:r w:rsidR="009F0F07" w:rsidRPr="009F0F07">
        <w:rPr>
          <w:rFonts w:ascii="Calibri" w:hAnsi="Calibri"/>
          <w:color w:val="000000" w:themeColor="text1"/>
          <w:sz w:val="24"/>
          <w:vertAlign w:val="superscript"/>
        </w:rPr>
        <w:footnoteReference w:id="26"/>
      </w:r>
      <w:r w:rsidRPr="009F0F07">
        <w:rPr>
          <w:rFonts w:ascii="Calibri" w:hAnsi="Calibri"/>
          <w:color w:val="000000" w:themeColor="text1"/>
          <w:sz w:val="24"/>
          <w:szCs w:val="28"/>
        </w:rPr>
        <w:t xml:space="preserve"> couvrant les disciplines Médicales, Pharmaceutiques, Biologiques et de Santé Publique pour un cycle d’études allant de 2 ans (master) à 4 ans (DES). Il s’agit généralement de filières dans les domaines</w:t>
      </w:r>
      <w:r w:rsidR="006D55D5">
        <w:rPr>
          <w:rFonts w:ascii="Calibri" w:hAnsi="Calibri"/>
          <w:color w:val="000000" w:themeColor="text1"/>
          <w:sz w:val="24"/>
          <w:szCs w:val="28"/>
        </w:rPr>
        <w:t xml:space="preserve"> : </w:t>
      </w:r>
      <w:r w:rsidRPr="009F0F07">
        <w:rPr>
          <w:rFonts w:ascii="Calibri" w:hAnsi="Calibri"/>
          <w:color w:val="000000" w:themeColor="text1"/>
          <w:sz w:val="24"/>
          <w:szCs w:val="28"/>
        </w:rPr>
        <w:t xml:space="preserve">clinique, </w:t>
      </w:r>
      <w:r w:rsidR="006D55D5">
        <w:rPr>
          <w:rFonts w:ascii="Calibri" w:hAnsi="Calibri"/>
          <w:color w:val="000000" w:themeColor="text1"/>
          <w:sz w:val="24"/>
          <w:szCs w:val="28"/>
        </w:rPr>
        <w:t xml:space="preserve">de </w:t>
      </w:r>
      <w:r w:rsidRPr="009F0F07">
        <w:rPr>
          <w:rFonts w:ascii="Calibri" w:hAnsi="Calibri"/>
          <w:color w:val="000000" w:themeColor="text1"/>
          <w:sz w:val="24"/>
          <w:szCs w:val="28"/>
        </w:rPr>
        <w:t xml:space="preserve">santé publique, </w:t>
      </w:r>
      <w:r w:rsidR="006D55D5">
        <w:rPr>
          <w:rFonts w:ascii="Calibri" w:hAnsi="Calibri"/>
          <w:color w:val="000000" w:themeColor="text1"/>
          <w:sz w:val="24"/>
          <w:szCs w:val="28"/>
        </w:rPr>
        <w:t xml:space="preserve">des </w:t>
      </w:r>
      <w:r w:rsidRPr="009F0F07">
        <w:rPr>
          <w:rFonts w:ascii="Calibri" w:hAnsi="Calibri"/>
          <w:color w:val="000000" w:themeColor="text1"/>
          <w:sz w:val="24"/>
          <w:szCs w:val="28"/>
        </w:rPr>
        <w:t>sciences biomédicales.</w:t>
      </w:r>
      <w:r w:rsidR="006D55D5" w:rsidRPr="006D55D5">
        <w:rPr>
          <w:rFonts w:ascii="Calibri" w:hAnsi="Calibri"/>
          <w:color w:val="000000" w:themeColor="text1"/>
          <w:sz w:val="24"/>
          <w:szCs w:val="28"/>
        </w:rPr>
        <w:t xml:space="preserve"> </w:t>
      </w:r>
      <w:r w:rsidR="006D55D5" w:rsidRPr="009F0F07">
        <w:rPr>
          <w:rFonts w:ascii="Calibri" w:hAnsi="Calibri"/>
          <w:color w:val="000000" w:themeColor="text1"/>
          <w:sz w:val="24"/>
          <w:szCs w:val="28"/>
        </w:rPr>
        <w:t xml:space="preserve">Les programmes d’études existants sont </w:t>
      </w:r>
      <w:r w:rsidR="006D55D5">
        <w:rPr>
          <w:rFonts w:ascii="Calibri" w:hAnsi="Calibri"/>
          <w:color w:val="000000" w:themeColor="text1"/>
          <w:sz w:val="24"/>
          <w:szCs w:val="28"/>
        </w:rPr>
        <w:t xml:space="preserve">ceux </w:t>
      </w:r>
      <w:r w:rsidR="006D55D5" w:rsidRPr="009F0F07">
        <w:rPr>
          <w:rFonts w:ascii="Calibri" w:hAnsi="Calibri"/>
          <w:color w:val="000000" w:themeColor="text1"/>
          <w:sz w:val="24"/>
          <w:szCs w:val="28"/>
        </w:rPr>
        <w:t xml:space="preserve">harmonisés </w:t>
      </w:r>
      <w:r w:rsidR="006D55D5">
        <w:rPr>
          <w:rFonts w:ascii="Calibri" w:hAnsi="Calibri"/>
          <w:color w:val="000000" w:themeColor="text1"/>
          <w:sz w:val="24"/>
          <w:szCs w:val="28"/>
        </w:rPr>
        <w:t>de</w:t>
      </w:r>
      <w:r w:rsidR="006D55D5" w:rsidRPr="009F0F07">
        <w:rPr>
          <w:rFonts w:ascii="Calibri" w:hAnsi="Calibri"/>
          <w:color w:val="000000" w:themeColor="text1"/>
          <w:sz w:val="24"/>
          <w:szCs w:val="28"/>
        </w:rPr>
        <w:t xml:space="preserve"> </w:t>
      </w:r>
      <w:r w:rsidR="006D55D5">
        <w:rPr>
          <w:rFonts w:ascii="Calibri" w:hAnsi="Calibri"/>
          <w:color w:val="000000" w:themeColor="text1"/>
          <w:sz w:val="24"/>
          <w:szCs w:val="28"/>
        </w:rPr>
        <w:t>l’</w:t>
      </w:r>
      <w:r w:rsidR="006D55D5" w:rsidRPr="009F0F07">
        <w:rPr>
          <w:rFonts w:ascii="Calibri" w:hAnsi="Calibri"/>
          <w:color w:val="000000" w:themeColor="text1"/>
          <w:sz w:val="24"/>
          <w:szCs w:val="28"/>
        </w:rPr>
        <w:t>OOAS.</w:t>
      </w:r>
      <w:r w:rsidR="006D55D5">
        <w:rPr>
          <w:rFonts w:ascii="Calibri" w:hAnsi="Calibri"/>
          <w:color w:val="000000" w:themeColor="text1"/>
          <w:sz w:val="24"/>
          <w:szCs w:val="28"/>
        </w:rPr>
        <w:t xml:space="preserve"> C</w:t>
      </w:r>
      <w:r w:rsidR="006D55D5" w:rsidRPr="009F0F07">
        <w:rPr>
          <w:rFonts w:ascii="Calibri" w:hAnsi="Calibri"/>
          <w:color w:val="000000" w:themeColor="text1"/>
          <w:sz w:val="24"/>
          <w:szCs w:val="28"/>
        </w:rPr>
        <w:t xml:space="preserve">e dispositif national est complété par le recours à la formation à l’étranger. </w:t>
      </w:r>
    </w:p>
    <w:p w14:paraId="61396D7F" w14:textId="77777777" w:rsidR="003C754C" w:rsidRPr="00386EF8" w:rsidRDefault="003C754C" w:rsidP="003C754C">
      <w:pPr>
        <w:jc w:val="both"/>
        <w:rPr>
          <w:rFonts w:ascii="Calibri" w:hAnsi="Calibri"/>
          <w:color w:val="000000" w:themeColor="text1"/>
          <w:sz w:val="24"/>
          <w:szCs w:val="28"/>
        </w:rPr>
      </w:pPr>
      <w:r w:rsidRPr="00386EF8">
        <w:rPr>
          <w:rFonts w:ascii="Calibri" w:hAnsi="Calibri"/>
          <w:color w:val="000000" w:themeColor="text1"/>
          <w:sz w:val="24"/>
          <w:szCs w:val="28"/>
        </w:rPr>
        <w:t xml:space="preserve">Dans le domaine paramédical, </w:t>
      </w:r>
      <w:r w:rsidR="00386EF8" w:rsidRPr="00386EF8">
        <w:rPr>
          <w:rFonts w:ascii="Calibri" w:hAnsi="Calibri"/>
          <w:color w:val="000000" w:themeColor="text1"/>
          <w:sz w:val="24"/>
          <w:szCs w:val="28"/>
        </w:rPr>
        <w:t>aucune</w:t>
      </w:r>
      <w:r w:rsidRPr="00386EF8">
        <w:rPr>
          <w:rFonts w:ascii="Calibri" w:hAnsi="Calibri"/>
          <w:color w:val="000000" w:themeColor="text1"/>
          <w:sz w:val="24"/>
          <w:szCs w:val="28"/>
        </w:rPr>
        <w:t xml:space="preserve"> formation </w:t>
      </w:r>
      <w:r w:rsidR="00386EF8" w:rsidRPr="00386EF8">
        <w:rPr>
          <w:rFonts w:ascii="Calibri" w:hAnsi="Calibri"/>
          <w:color w:val="000000" w:themeColor="text1"/>
          <w:sz w:val="24"/>
          <w:szCs w:val="28"/>
        </w:rPr>
        <w:t>de</w:t>
      </w:r>
      <w:r w:rsidR="006D55D5" w:rsidRPr="00386EF8">
        <w:rPr>
          <w:rFonts w:ascii="Calibri" w:hAnsi="Calibri"/>
          <w:color w:val="000000" w:themeColor="text1"/>
          <w:sz w:val="24"/>
          <w:szCs w:val="28"/>
        </w:rPr>
        <w:t xml:space="preserve"> </w:t>
      </w:r>
      <w:r w:rsidR="00386EF8" w:rsidRPr="00386EF8">
        <w:rPr>
          <w:rFonts w:ascii="Calibri" w:hAnsi="Calibri"/>
          <w:color w:val="000000" w:themeColor="text1"/>
          <w:sz w:val="24"/>
          <w:szCs w:val="28"/>
        </w:rPr>
        <w:t xml:space="preserve">spécialisation n’est offerte en Guinée. </w:t>
      </w:r>
    </w:p>
    <w:p w14:paraId="732A9EA4" w14:textId="77777777" w:rsidR="00386EF8" w:rsidRDefault="00E12B36" w:rsidP="003C754C">
      <w:pPr>
        <w:jc w:val="both"/>
        <w:rPr>
          <w:rFonts w:ascii="Calibri" w:hAnsi="Calibri"/>
          <w:color w:val="000000" w:themeColor="text1"/>
          <w:sz w:val="24"/>
          <w:szCs w:val="28"/>
        </w:rPr>
      </w:pPr>
      <w:r>
        <w:rPr>
          <w:rFonts w:ascii="Calibri" w:hAnsi="Calibri"/>
          <w:color w:val="000000" w:themeColor="text1"/>
          <w:sz w:val="24"/>
          <w:szCs w:val="28"/>
        </w:rPr>
        <w:t>L</w:t>
      </w:r>
      <w:r w:rsidR="00386EF8" w:rsidRPr="00386EF8">
        <w:rPr>
          <w:rFonts w:ascii="Calibri" w:hAnsi="Calibri"/>
          <w:color w:val="000000" w:themeColor="text1"/>
          <w:sz w:val="24"/>
          <w:szCs w:val="28"/>
        </w:rPr>
        <w:t xml:space="preserve">e système de formation de spécialisation </w:t>
      </w:r>
      <w:r>
        <w:rPr>
          <w:rFonts w:ascii="Calibri" w:hAnsi="Calibri"/>
          <w:color w:val="000000" w:themeColor="text1"/>
          <w:sz w:val="24"/>
          <w:szCs w:val="28"/>
        </w:rPr>
        <w:t xml:space="preserve">se </w:t>
      </w:r>
      <w:r w:rsidR="00386EF8" w:rsidRPr="00386EF8">
        <w:rPr>
          <w:rFonts w:ascii="Calibri" w:hAnsi="Calibri"/>
          <w:color w:val="000000" w:themeColor="text1"/>
          <w:sz w:val="24"/>
          <w:szCs w:val="28"/>
        </w:rPr>
        <w:t xml:space="preserve">partage les mêmes difficultés structurelles </w:t>
      </w:r>
      <w:r>
        <w:rPr>
          <w:rFonts w:ascii="Calibri" w:hAnsi="Calibri"/>
          <w:color w:val="000000" w:themeColor="text1"/>
          <w:sz w:val="24"/>
          <w:szCs w:val="28"/>
        </w:rPr>
        <w:t xml:space="preserve">avec </w:t>
      </w:r>
      <w:r w:rsidR="00386EF8" w:rsidRPr="00386EF8">
        <w:rPr>
          <w:rFonts w:ascii="Calibri" w:hAnsi="Calibri"/>
          <w:color w:val="000000" w:themeColor="text1"/>
          <w:sz w:val="24"/>
          <w:szCs w:val="28"/>
        </w:rPr>
        <w:t>celui de la formation initiale universitaire.</w:t>
      </w:r>
    </w:p>
    <w:p w14:paraId="4514DCEF" w14:textId="77777777" w:rsidR="00E12B36" w:rsidRDefault="00E12B36" w:rsidP="003C754C">
      <w:pPr>
        <w:jc w:val="both"/>
        <w:rPr>
          <w:rFonts w:ascii="Calibri" w:hAnsi="Calibri"/>
          <w:color w:val="000000" w:themeColor="text1"/>
          <w:sz w:val="24"/>
          <w:szCs w:val="28"/>
        </w:rPr>
      </w:pPr>
      <w:r>
        <w:rPr>
          <w:rFonts w:ascii="Calibri" w:hAnsi="Calibri"/>
          <w:color w:val="000000" w:themeColor="text1"/>
          <w:sz w:val="24"/>
          <w:szCs w:val="28"/>
        </w:rPr>
        <w:t>Au total</w:t>
      </w:r>
      <w:r w:rsidRPr="00E12B36">
        <w:rPr>
          <w:rFonts w:ascii="Calibri" w:hAnsi="Calibri"/>
          <w:color w:val="000000" w:themeColor="text1"/>
          <w:sz w:val="24"/>
          <w:szCs w:val="28"/>
        </w:rPr>
        <w:t xml:space="preserve">, le système de formation </w:t>
      </w:r>
      <w:r>
        <w:rPr>
          <w:rFonts w:ascii="Calibri" w:hAnsi="Calibri"/>
          <w:color w:val="000000" w:themeColor="text1"/>
          <w:sz w:val="24"/>
          <w:szCs w:val="28"/>
        </w:rPr>
        <w:t>de</w:t>
      </w:r>
      <w:r w:rsidRPr="00E12B36">
        <w:rPr>
          <w:rFonts w:ascii="Calibri" w:hAnsi="Calibri"/>
          <w:color w:val="000000" w:themeColor="text1"/>
          <w:sz w:val="24"/>
          <w:szCs w:val="28"/>
        </w:rPr>
        <w:t xml:space="preserve"> spécialisation n’est pas le reflet d’une politique voulue, promue et conduite en tant qu’instrument de gestion des carrières, d’amélioration des capacités de prise en charge des problèmes de santé et de formation des RHS.</w:t>
      </w:r>
      <w:r w:rsidR="00E6376C">
        <w:rPr>
          <w:rFonts w:ascii="Calibri" w:hAnsi="Calibri"/>
          <w:color w:val="000000" w:themeColor="text1"/>
          <w:sz w:val="24"/>
          <w:szCs w:val="28"/>
        </w:rPr>
        <w:t xml:space="preserve"> </w:t>
      </w:r>
    </w:p>
    <w:p w14:paraId="4C6C9145" w14:textId="77777777" w:rsidR="00533237" w:rsidRPr="00BF6DEA" w:rsidRDefault="00BF6DEA" w:rsidP="00C272A0">
      <w:pPr>
        <w:pStyle w:val="Titre1"/>
        <w:numPr>
          <w:ilvl w:val="3"/>
          <w:numId w:val="8"/>
        </w:numPr>
        <w:spacing w:before="240" w:after="240"/>
        <w:ind w:left="1843" w:hanging="709"/>
        <w:rPr>
          <w:sz w:val="22"/>
        </w:rPr>
      </w:pPr>
      <w:bookmarkStart w:id="14" w:name="_Toc21586235"/>
      <w:r w:rsidRPr="00BF6DEA">
        <w:rPr>
          <w:sz w:val="22"/>
        </w:rPr>
        <w:t>Formation continue</w:t>
      </w:r>
      <w:bookmarkEnd w:id="14"/>
    </w:p>
    <w:p w14:paraId="7C0DD2BD" w14:textId="77777777" w:rsidR="00B85B34" w:rsidRPr="00B85B34" w:rsidRDefault="00B85B34" w:rsidP="00B85B34">
      <w:pPr>
        <w:spacing w:after="160" w:line="259" w:lineRule="auto"/>
        <w:jc w:val="both"/>
        <w:rPr>
          <w:rFonts w:ascii="Calibri" w:hAnsi="Calibri"/>
          <w:color w:val="000000" w:themeColor="text1"/>
          <w:sz w:val="24"/>
          <w:szCs w:val="28"/>
        </w:rPr>
      </w:pPr>
      <w:r w:rsidRPr="00B85B34">
        <w:rPr>
          <w:rFonts w:ascii="Calibri" w:hAnsi="Calibri"/>
          <w:color w:val="000000" w:themeColor="text1"/>
          <w:sz w:val="24"/>
          <w:szCs w:val="28"/>
        </w:rPr>
        <w:t xml:space="preserve">Pour mener à bien sa mission, le Ministère de la santé doit pouvoir compter en tout temps sur des personnels qualifiés et en nombre adéquat. </w:t>
      </w:r>
      <w:r>
        <w:rPr>
          <w:rFonts w:ascii="Calibri" w:hAnsi="Calibri"/>
          <w:color w:val="000000" w:themeColor="text1"/>
          <w:sz w:val="24"/>
          <w:szCs w:val="28"/>
        </w:rPr>
        <w:t>En vue de</w:t>
      </w:r>
      <w:r w:rsidRPr="00B85B34">
        <w:rPr>
          <w:rFonts w:ascii="Calibri" w:hAnsi="Calibri"/>
          <w:color w:val="000000" w:themeColor="text1"/>
          <w:sz w:val="24"/>
          <w:szCs w:val="28"/>
        </w:rPr>
        <w:t xml:space="preserve"> répondre à ces impératifs un dispositif de formation continue a été développé</w:t>
      </w:r>
      <w:r>
        <w:rPr>
          <w:rFonts w:ascii="Calibri" w:hAnsi="Calibri"/>
          <w:color w:val="000000" w:themeColor="text1"/>
          <w:sz w:val="24"/>
          <w:szCs w:val="28"/>
        </w:rPr>
        <w:t xml:space="preserve">, qui compte </w:t>
      </w:r>
      <w:r w:rsidR="00BE2F77">
        <w:rPr>
          <w:rFonts w:ascii="Calibri" w:hAnsi="Calibri"/>
          <w:color w:val="000000" w:themeColor="text1"/>
          <w:sz w:val="24"/>
          <w:szCs w:val="28"/>
        </w:rPr>
        <w:t>3</w:t>
      </w:r>
      <w:r w:rsidRPr="00B85B34">
        <w:rPr>
          <w:rFonts w:ascii="Calibri" w:hAnsi="Calibri"/>
          <w:color w:val="000000" w:themeColor="text1"/>
          <w:sz w:val="24"/>
          <w:szCs w:val="28"/>
        </w:rPr>
        <w:t xml:space="preserve"> catégories</w:t>
      </w:r>
      <w:r>
        <w:rPr>
          <w:rFonts w:ascii="Calibri" w:hAnsi="Calibri"/>
          <w:color w:val="000000" w:themeColor="text1"/>
          <w:sz w:val="24"/>
          <w:szCs w:val="28"/>
        </w:rPr>
        <w:t xml:space="preserve"> d’institutions :</w:t>
      </w:r>
    </w:p>
    <w:p w14:paraId="395A9239" w14:textId="77777777" w:rsidR="00B85B34" w:rsidRPr="00B85B34" w:rsidRDefault="00B85B34" w:rsidP="00B85B34">
      <w:pPr>
        <w:numPr>
          <w:ilvl w:val="0"/>
          <w:numId w:val="26"/>
        </w:numPr>
        <w:spacing w:after="0"/>
        <w:ind w:left="714" w:hanging="357"/>
        <w:jc w:val="both"/>
        <w:rPr>
          <w:rFonts w:ascii="Calibri" w:hAnsi="Calibri"/>
          <w:color w:val="000000" w:themeColor="text1"/>
          <w:sz w:val="24"/>
          <w:szCs w:val="28"/>
        </w:rPr>
      </w:pPr>
      <w:r w:rsidRPr="00B85B34">
        <w:rPr>
          <w:rFonts w:ascii="Calibri" w:hAnsi="Calibri"/>
          <w:color w:val="000000" w:themeColor="text1"/>
          <w:sz w:val="24"/>
          <w:szCs w:val="28"/>
        </w:rPr>
        <w:t xml:space="preserve">Centres de formation </w:t>
      </w:r>
      <w:r w:rsidR="00BE2F77">
        <w:rPr>
          <w:rFonts w:ascii="Calibri" w:hAnsi="Calibri"/>
          <w:color w:val="000000" w:themeColor="text1"/>
          <w:sz w:val="24"/>
          <w:szCs w:val="28"/>
        </w:rPr>
        <w:t xml:space="preserve">dédiés, </w:t>
      </w:r>
      <w:r w:rsidR="00C272A0">
        <w:rPr>
          <w:rFonts w:ascii="Calibri" w:hAnsi="Calibri"/>
          <w:color w:val="000000" w:themeColor="text1"/>
          <w:sz w:val="24"/>
          <w:szCs w:val="28"/>
        </w:rPr>
        <w:t xml:space="preserve">ayant </w:t>
      </w:r>
      <w:r w:rsidR="00BE2F77" w:rsidRPr="00B85B34">
        <w:rPr>
          <w:rFonts w:ascii="Calibri" w:hAnsi="Calibri"/>
          <w:color w:val="000000" w:themeColor="text1"/>
          <w:sz w:val="24"/>
          <w:szCs w:val="28"/>
        </w:rPr>
        <w:t xml:space="preserve">la </w:t>
      </w:r>
      <w:r w:rsidR="00BE2F77">
        <w:rPr>
          <w:rFonts w:ascii="Calibri" w:hAnsi="Calibri"/>
          <w:color w:val="000000" w:themeColor="text1"/>
          <w:sz w:val="24"/>
          <w:szCs w:val="28"/>
        </w:rPr>
        <w:t xml:space="preserve">formation continue </w:t>
      </w:r>
      <w:r w:rsidR="00C272A0">
        <w:rPr>
          <w:rFonts w:ascii="Calibri" w:hAnsi="Calibri"/>
          <w:color w:val="000000" w:themeColor="text1"/>
          <w:sz w:val="24"/>
          <w:szCs w:val="28"/>
        </w:rPr>
        <w:t>comme mission principale (</w:t>
      </w:r>
      <w:r w:rsidRPr="00B85B34">
        <w:rPr>
          <w:rFonts w:ascii="Calibri" w:hAnsi="Calibri"/>
          <w:color w:val="000000" w:themeColor="text1"/>
          <w:sz w:val="24"/>
          <w:szCs w:val="28"/>
        </w:rPr>
        <w:t>CFRSR</w:t>
      </w:r>
      <w:r w:rsidR="00C272A0">
        <w:rPr>
          <w:rFonts w:ascii="Calibri" w:hAnsi="Calibri"/>
          <w:color w:val="000000" w:themeColor="text1"/>
          <w:sz w:val="24"/>
          <w:szCs w:val="28"/>
        </w:rPr>
        <w:t xml:space="preserve"> de</w:t>
      </w:r>
      <w:r w:rsidRPr="00B85B34">
        <w:rPr>
          <w:rFonts w:ascii="Calibri" w:hAnsi="Calibri"/>
          <w:color w:val="000000" w:themeColor="text1"/>
          <w:sz w:val="24"/>
          <w:szCs w:val="28"/>
        </w:rPr>
        <w:t xml:space="preserve"> Maf</w:t>
      </w:r>
      <w:r w:rsidR="00C272A0">
        <w:rPr>
          <w:rFonts w:ascii="Calibri" w:hAnsi="Calibri"/>
          <w:color w:val="000000" w:themeColor="text1"/>
          <w:sz w:val="24"/>
          <w:szCs w:val="28"/>
        </w:rPr>
        <w:t>é</w:t>
      </w:r>
      <w:r w:rsidRPr="00B85B34">
        <w:rPr>
          <w:rFonts w:ascii="Calibri" w:hAnsi="Calibri"/>
          <w:color w:val="000000" w:themeColor="text1"/>
          <w:sz w:val="24"/>
          <w:szCs w:val="28"/>
        </w:rPr>
        <w:t>rinya</w:t>
      </w:r>
      <w:r w:rsidR="00C272A0">
        <w:rPr>
          <w:rFonts w:ascii="Calibri" w:hAnsi="Calibri"/>
          <w:color w:val="000000" w:themeColor="text1"/>
          <w:sz w:val="24"/>
          <w:szCs w:val="28"/>
        </w:rPr>
        <w:t>h</w:t>
      </w:r>
      <w:r w:rsidRPr="00B85B34">
        <w:rPr>
          <w:rFonts w:ascii="Calibri" w:hAnsi="Calibri"/>
          <w:color w:val="000000" w:themeColor="text1"/>
          <w:sz w:val="24"/>
          <w:szCs w:val="28"/>
        </w:rPr>
        <w:t>, IPPS, Centre de formation et de recherche sur les cancers gynécologiques</w:t>
      </w:r>
      <w:r w:rsidR="00C272A0">
        <w:rPr>
          <w:rFonts w:ascii="Calibri" w:hAnsi="Calibri"/>
          <w:color w:val="000000" w:themeColor="text1"/>
          <w:sz w:val="24"/>
          <w:szCs w:val="28"/>
        </w:rPr>
        <w:t>)</w:t>
      </w:r>
    </w:p>
    <w:p w14:paraId="62A86E65" w14:textId="77777777" w:rsidR="00B85B34" w:rsidRPr="00B85B34" w:rsidRDefault="00B85B34" w:rsidP="00B85B34">
      <w:pPr>
        <w:numPr>
          <w:ilvl w:val="0"/>
          <w:numId w:val="26"/>
        </w:numPr>
        <w:spacing w:after="0"/>
        <w:ind w:left="714" w:hanging="357"/>
        <w:jc w:val="both"/>
        <w:rPr>
          <w:rFonts w:ascii="Calibri" w:hAnsi="Calibri"/>
          <w:color w:val="000000" w:themeColor="text1"/>
          <w:sz w:val="24"/>
          <w:szCs w:val="28"/>
        </w:rPr>
      </w:pPr>
      <w:r w:rsidRPr="00B85B34">
        <w:rPr>
          <w:rFonts w:ascii="Calibri" w:hAnsi="Calibri"/>
          <w:color w:val="000000" w:themeColor="text1"/>
          <w:sz w:val="24"/>
          <w:szCs w:val="28"/>
        </w:rPr>
        <w:t>Instituts à volet Formation (INSP, INSE)</w:t>
      </w:r>
    </w:p>
    <w:p w14:paraId="72A002C9" w14:textId="77777777" w:rsidR="00B85B34" w:rsidRPr="00B85B34" w:rsidRDefault="00B85B34" w:rsidP="00BE2F77">
      <w:pPr>
        <w:numPr>
          <w:ilvl w:val="0"/>
          <w:numId w:val="26"/>
        </w:numPr>
        <w:ind w:left="714" w:hanging="357"/>
        <w:jc w:val="both"/>
        <w:rPr>
          <w:rFonts w:ascii="Calibri" w:hAnsi="Calibri"/>
          <w:color w:val="000000" w:themeColor="text1"/>
          <w:sz w:val="24"/>
          <w:szCs w:val="28"/>
        </w:rPr>
      </w:pPr>
      <w:r w:rsidRPr="00B85B34">
        <w:rPr>
          <w:rFonts w:ascii="Calibri" w:hAnsi="Calibri"/>
          <w:color w:val="000000" w:themeColor="text1"/>
          <w:sz w:val="24"/>
          <w:szCs w:val="28"/>
        </w:rPr>
        <w:t>Centres Hospitaliers (Hôpitaux Nationaux, Hôpitaux Régionaux et même préfectoraux)</w:t>
      </w:r>
      <w:r w:rsidR="00BE2F77">
        <w:rPr>
          <w:rFonts w:ascii="Calibri" w:hAnsi="Calibri"/>
          <w:color w:val="000000" w:themeColor="text1"/>
          <w:sz w:val="24"/>
          <w:szCs w:val="28"/>
        </w:rPr>
        <w:t>.</w:t>
      </w:r>
      <w:r w:rsidRPr="00B85B34">
        <w:rPr>
          <w:rFonts w:ascii="Calibri" w:hAnsi="Calibri"/>
          <w:color w:val="000000" w:themeColor="text1"/>
          <w:sz w:val="24"/>
          <w:szCs w:val="28"/>
        </w:rPr>
        <w:t> </w:t>
      </w:r>
    </w:p>
    <w:p w14:paraId="7F97E103" w14:textId="77777777" w:rsidR="0041770B" w:rsidRDefault="00BE2F77" w:rsidP="006A769B">
      <w:pPr>
        <w:jc w:val="both"/>
        <w:rPr>
          <w:rFonts w:ascii="Calibri" w:hAnsi="Calibri"/>
          <w:color w:val="000000" w:themeColor="text1"/>
          <w:sz w:val="24"/>
          <w:szCs w:val="28"/>
        </w:rPr>
      </w:pPr>
      <w:r w:rsidRPr="00BE2F77">
        <w:rPr>
          <w:rFonts w:ascii="Calibri" w:hAnsi="Calibri"/>
          <w:color w:val="000000" w:themeColor="text1"/>
          <w:sz w:val="24"/>
          <w:szCs w:val="28"/>
        </w:rPr>
        <w:t xml:space="preserve">A cette liste d’acteurs dédiés </w:t>
      </w:r>
      <w:r>
        <w:rPr>
          <w:rFonts w:ascii="Calibri" w:hAnsi="Calibri"/>
          <w:color w:val="000000" w:themeColor="text1"/>
          <w:sz w:val="24"/>
          <w:szCs w:val="28"/>
        </w:rPr>
        <w:t>s’</w:t>
      </w:r>
      <w:r w:rsidRPr="00BE2F77">
        <w:rPr>
          <w:rFonts w:ascii="Calibri" w:hAnsi="Calibri"/>
          <w:color w:val="000000" w:themeColor="text1"/>
          <w:sz w:val="24"/>
          <w:szCs w:val="28"/>
        </w:rPr>
        <w:t>ajoute</w:t>
      </w:r>
      <w:r>
        <w:rPr>
          <w:rFonts w:ascii="Calibri" w:hAnsi="Calibri"/>
          <w:color w:val="000000" w:themeColor="text1"/>
          <w:sz w:val="24"/>
          <w:szCs w:val="28"/>
        </w:rPr>
        <w:t>nt</w:t>
      </w:r>
      <w:r w:rsidRPr="00BE2F77">
        <w:rPr>
          <w:rFonts w:ascii="Calibri" w:hAnsi="Calibri"/>
          <w:color w:val="000000" w:themeColor="text1"/>
          <w:sz w:val="24"/>
          <w:szCs w:val="28"/>
        </w:rPr>
        <w:t xml:space="preserve"> de nombreux acteurs non dédiés :</w:t>
      </w:r>
      <w:r>
        <w:rPr>
          <w:rFonts w:ascii="Calibri" w:hAnsi="Calibri"/>
          <w:color w:val="000000" w:themeColor="text1"/>
          <w:sz w:val="24"/>
          <w:szCs w:val="28"/>
        </w:rPr>
        <w:t xml:space="preserve"> les programmes</w:t>
      </w:r>
      <w:r w:rsidRPr="00BE2F77">
        <w:rPr>
          <w:rFonts w:ascii="Calibri" w:hAnsi="Calibri"/>
          <w:color w:val="000000" w:themeColor="text1"/>
          <w:sz w:val="24"/>
          <w:szCs w:val="28"/>
        </w:rPr>
        <w:t xml:space="preserve"> de santé publique, les structures centrales du Ministère de la santé et certaines ONG étrangères. Dans la pratique, les acteurs non dédiés</w:t>
      </w:r>
      <w:r>
        <w:rPr>
          <w:rFonts w:ascii="Calibri" w:hAnsi="Calibri"/>
          <w:color w:val="000000" w:themeColor="text1"/>
          <w:sz w:val="24"/>
          <w:szCs w:val="28"/>
        </w:rPr>
        <w:t xml:space="preserve"> </w:t>
      </w:r>
      <w:r w:rsidRPr="00BE2F77">
        <w:rPr>
          <w:rFonts w:ascii="Calibri" w:hAnsi="Calibri"/>
          <w:color w:val="000000" w:themeColor="text1"/>
          <w:sz w:val="24"/>
          <w:szCs w:val="28"/>
        </w:rPr>
        <w:t>volent la vedette aux structures officiellement en charge de la mission</w:t>
      </w:r>
      <w:r>
        <w:rPr>
          <w:rFonts w:ascii="Calibri" w:hAnsi="Calibri"/>
          <w:color w:val="000000" w:themeColor="text1"/>
          <w:sz w:val="24"/>
          <w:szCs w:val="28"/>
        </w:rPr>
        <w:t>,</w:t>
      </w:r>
      <w:r w:rsidRPr="00BE2F77">
        <w:rPr>
          <w:rFonts w:ascii="Calibri" w:hAnsi="Calibri"/>
          <w:color w:val="000000" w:themeColor="text1"/>
          <w:sz w:val="24"/>
          <w:szCs w:val="28"/>
        </w:rPr>
        <w:t xml:space="preserve"> profitant de l’absence des principaux instruments de gouvernance de la formation continue.</w:t>
      </w:r>
      <w:r w:rsidR="0041770B">
        <w:rPr>
          <w:rFonts w:ascii="Calibri" w:hAnsi="Calibri"/>
          <w:color w:val="000000" w:themeColor="text1"/>
          <w:sz w:val="24"/>
          <w:szCs w:val="28"/>
        </w:rPr>
        <w:t xml:space="preserve"> </w:t>
      </w:r>
    </w:p>
    <w:p w14:paraId="00A02402" w14:textId="77777777" w:rsidR="006A769B" w:rsidRPr="006A769B" w:rsidRDefault="006A769B" w:rsidP="006A769B">
      <w:pPr>
        <w:jc w:val="both"/>
        <w:rPr>
          <w:rFonts w:ascii="Calibri" w:hAnsi="Calibri"/>
          <w:color w:val="000000" w:themeColor="text1"/>
          <w:sz w:val="24"/>
          <w:szCs w:val="28"/>
        </w:rPr>
      </w:pPr>
      <w:r w:rsidRPr="006A769B">
        <w:rPr>
          <w:rFonts w:ascii="Calibri" w:hAnsi="Calibri"/>
          <w:color w:val="000000" w:themeColor="text1"/>
          <w:sz w:val="24"/>
          <w:szCs w:val="28"/>
        </w:rPr>
        <w:t>Les acteurs dédiés et non dédiés de la formation continue, en général, manquent de capacités adéquates</w:t>
      </w:r>
      <w:r w:rsidR="0041770B" w:rsidRPr="0041770B">
        <w:rPr>
          <w:rFonts w:ascii="Calibri" w:hAnsi="Calibri"/>
          <w:color w:val="000000" w:themeColor="text1"/>
          <w:sz w:val="24"/>
          <w:vertAlign w:val="superscript"/>
        </w:rPr>
        <w:footnoteReference w:id="27"/>
      </w:r>
      <w:r w:rsidR="0041770B">
        <w:rPr>
          <w:rFonts w:ascii="Calibri" w:hAnsi="Calibri"/>
          <w:color w:val="000000" w:themeColor="text1"/>
          <w:sz w:val="24"/>
          <w:szCs w:val="28"/>
        </w:rPr>
        <w:t> :</w:t>
      </w:r>
    </w:p>
    <w:p w14:paraId="1A921434" w14:textId="77777777" w:rsidR="006A769B" w:rsidRPr="006A769B" w:rsidRDefault="009C4B42"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t>Compétences</w:t>
      </w:r>
      <w:r w:rsidR="006A769B" w:rsidRPr="006A769B">
        <w:rPr>
          <w:rFonts w:ascii="Calibri" w:hAnsi="Calibri"/>
          <w:color w:val="000000" w:themeColor="text1"/>
          <w:sz w:val="24"/>
          <w:szCs w:val="28"/>
        </w:rPr>
        <w:t xml:space="preserve"> </w:t>
      </w:r>
      <w:r w:rsidR="0041770B" w:rsidRPr="006A769B">
        <w:rPr>
          <w:rFonts w:ascii="Calibri" w:hAnsi="Calibri"/>
          <w:color w:val="000000" w:themeColor="text1"/>
          <w:sz w:val="24"/>
          <w:szCs w:val="28"/>
        </w:rPr>
        <w:t xml:space="preserve">des formateurs </w:t>
      </w:r>
      <w:r w:rsidR="006A769B" w:rsidRPr="006A769B">
        <w:rPr>
          <w:rFonts w:ascii="Calibri" w:hAnsi="Calibri"/>
          <w:color w:val="000000" w:themeColor="text1"/>
          <w:sz w:val="24"/>
          <w:szCs w:val="28"/>
        </w:rPr>
        <w:t xml:space="preserve">limitées en andragogie, </w:t>
      </w:r>
    </w:p>
    <w:p w14:paraId="711DE090" w14:textId="77777777" w:rsidR="006A769B" w:rsidRPr="006A769B" w:rsidRDefault="009C4B42"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t>Faible</w:t>
      </w:r>
      <w:r w:rsidR="006A769B" w:rsidRPr="006A769B">
        <w:rPr>
          <w:rFonts w:ascii="Calibri" w:hAnsi="Calibri"/>
          <w:color w:val="000000" w:themeColor="text1"/>
          <w:sz w:val="24"/>
          <w:szCs w:val="28"/>
        </w:rPr>
        <w:t xml:space="preserve"> </w:t>
      </w:r>
      <w:r w:rsidR="0041770B">
        <w:rPr>
          <w:rFonts w:ascii="Calibri" w:hAnsi="Calibri"/>
          <w:color w:val="000000" w:themeColor="text1"/>
          <w:sz w:val="24"/>
          <w:szCs w:val="28"/>
        </w:rPr>
        <w:t>capacité d’</w:t>
      </w:r>
      <w:r w:rsidR="006A769B" w:rsidRPr="006A769B">
        <w:rPr>
          <w:rFonts w:ascii="Calibri" w:hAnsi="Calibri"/>
          <w:color w:val="000000" w:themeColor="text1"/>
          <w:sz w:val="24"/>
          <w:szCs w:val="28"/>
        </w:rPr>
        <w:t xml:space="preserve">utilisation des TIC dans la </w:t>
      </w:r>
      <w:r w:rsidR="00243B92">
        <w:rPr>
          <w:rFonts w:ascii="Calibri" w:hAnsi="Calibri"/>
          <w:color w:val="000000" w:themeColor="text1"/>
          <w:sz w:val="24"/>
          <w:szCs w:val="28"/>
        </w:rPr>
        <w:t>formation continue</w:t>
      </w:r>
      <w:r w:rsidR="006A769B" w:rsidRPr="006A769B">
        <w:rPr>
          <w:rFonts w:ascii="Calibri" w:hAnsi="Calibri"/>
          <w:color w:val="000000" w:themeColor="text1"/>
          <w:sz w:val="24"/>
          <w:szCs w:val="28"/>
        </w:rPr>
        <w:t xml:space="preserve">, </w:t>
      </w:r>
    </w:p>
    <w:p w14:paraId="223CD935" w14:textId="77777777" w:rsidR="006A769B" w:rsidRPr="006A769B" w:rsidRDefault="009C4B42" w:rsidP="006A769B">
      <w:pPr>
        <w:widowControl w:val="0"/>
        <w:numPr>
          <w:ilvl w:val="0"/>
          <w:numId w:val="27"/>
        </w:numPr>
        <w:spacing w:after="0"/>
        <w:ind w:left="284" w:hanging="284"/>
        <w:jc w:val="both"/>
        <w:rPr>
          <w:rFonts w:ascii="Calibri" w:hAnsi="Calibri"/>
          <w:color w:val="000000" w:themeColor="text1"/>
          <w:sz w:val="24"/>
          <w:szCs w:val="28"/>
        </w:rPr>
      </w:pPr>
      <w:r w:rsidRPr="006A769B">
        <w:rPr>
          <w:rFonts w:ascii="Calibri" w:hAnsi="Calibri"/>
          <w:color w:val="000000" w:themeColor="text1"/>
          <w:sz w:val="24"/>
          <w:szCs w:val="28"/>
        </w:rPr>
        <w:t>Absence</w:t>
      </w:r>
      <w:r w:rsidR="006A769B" w:rsidRPr="006A769B">
        <w:rPr>
          <w:rFonts w:ascii="Calibri" w:hAnsi="Calibri"/>
          <w:color w:val="000000" w:themeColor="text1"/>
          <w:sz w:val="24"/>
          <w:szCs w:val="28"/>
        </w:rPr>
        <w:t xml:space="preserve"> de normes et procédures pour la formation continue</w:t>
      </w:r>
    </w:p>
    <w:p w14:paraId="13657CE1" w14:textId="77777777" w:rsidR="006A769B" w:rsidRPr="006A769B" w:rsidRDefault="009C4B42" w:rsidP="006A769B">
      <w:pPr>
        <w:widowControl w:val="0"/>
        <w:numPr>
          <w:ilvl w:val="0"/>
          <w:numId w:val="27"/>
        </w:numPr>
        <w:ind w:left="284" w:hanging="284"/>
        <w:jc w:val="both"/>
        <w:rPr>
          <w:rFonts w:ascii="Calibri" w:hAnsi="Calibri"/>
          <w:color w:val="000000" w:themeColor="text1"/>
          <w:sz w:val="24"/>
          <w:szCs w:val="28"/>
        </w:rPr>
      </w:pPr>
      <w:r w:rsidRPr="006A769B">
        <w:rPr>
          <w:rFonts w:ascii="Calibri" w:hAnsi="Calibri"/>
          <w:color w:val="000000" w:themeColor="text1"/>
          <w:sz w:val="24"/>
          <w:szCs w:val="28"/>
        </w:rPr>
        <w:t>Absence</w:t>
      </w:r>
      <w:r w:rsidR="006A769B" w:rsidRPr="006A769B">
        <w:rPr>
          <w:rFonts w:ascii="Calibri" w:hAnsi="Calibri"/>
          <w:color w:val="000000" w:themeColor="text1"/>
          <w:sz w:val="24"/>
          <w:szCs w:val="28"/>
        </w:rPr>
        <w:t xml:space="preserve"> de référentiels des métiers et de compétences.</w:t>
      </w:r>
    </w:p>
    <w:p w14:paraId="3774872D" w14:textId="77777777" w:rsidR="006A769B" w:rsidRDefault="0041770B" w:rsidP="006A769B">
      <w:pPr>
        <w:jc w:val="both"/>
        <w:rPr>
          <w:rFonts w:ascii="Calibri" w:hAnsi="Calibri"/>
          <w:color w:val="000000" w:themeColor="text1"/>
          <w:sz w:val="24"/>
          <w:szCs w:val="28"/>
        </w:rPr>
      </w:pPr>
      <w:r>
        <w:rPr>
          <w:rFonts w:ascii="Calibri" w:hAnsi="Calibri"/>
          <w:color w:val="000000" w:themeColor="text1"/>
          <w:sz w:val="24"/>
          <w:szCs w:val="28"/>
        </w:rPr>
        <w:t xml:space="preserve">Plus préoccupant, </w:t>
      </w:r>
      <w:r w:rsidR="006A769B" w:rsidRPr="006A769B">
        <w:rPr>
          <w:rFonts w:ascii="Calibri" w:hAnsi="Calibri"/>
          <w:color w:val="000000" w:themeColor="text1"/>
          <w:sz w:val="24"/>
          <w:szCs w:val="28"/>
        </w:rPr>
        <w:t>le système de formation continue n’est pas connecté aux plans de carrières car ces derniers n’existent pas. Les formations se font par à-coup et au gré d</w:t>
      </w:r>
      <w:r>
        <w:rPr>
          <w:rFonts w:ascii="Calibri" w:hAnsi="Calibri"/>
          <w:color w:val="000000" w:themeColor="text1"/>
          <w:sz w:val="24"/>
          <w:szCs w:val="28"/>
        </w:rPr>
        <w:t>’</w:t>
      </w:r>
      <w:r w:rsidR="006A769B" w:rsidRPr="006A769B">
        <w:rPr>
          <w:rFonts w:ascii="Calibri" w:hAnsi="Calibri"/>
          <w:color w:val="000000" w:themeColor="text1"/>
          <w:sz w:val="24"/>
          <w:szCs w:val="28"/>
        </w:rPr>
        <w:t>acteurs non coordonnés. Le pays investit des ressources substantielles dans le système de formation continue ; mais ne profite pas des opportunités liées à l’approche d’une gestion des carrières par la formation continue.</w:t>
      </w:r>
    </w:p>
    <w:p w14:paraId="0C728F1C" w14:textId="77777777" w:rsidR="00881F6C" w:rsidRPr="00881F6C" w:rsidRDefault="00881F6C" w:rsidP="00881F6C">
      <w:pPr>
        <w:jc w:val="both"/>
        <w:rPr>
          <w:rFonts w:ascii="Calibri" w:hAnsi="Calibri"/>
          <w:color w:val="000000" w:themeColor="text1"/>
          <w:sz w:val="24"/>
          <w:szCs w:val="28"/>
        </w:rPr>
      </w:pPr>
      <w:r w:rsidRPr="00881F6C">
        <w:rPr>
          <w:rFonts w:ascii="Calibri" w:hAnsi="Calibri"/>
          <w:color w:val="000000" w:themeColor="text1"/>
          <w:sz w:val="24"/>
          <w:szCs w:val="28"/>
        </w:rPr>
        <w:t xml:space="preserve">Il découle de ce qui précède que la contribution attendue de la formation continue est fortement limitée. </w:t>
      </w:r>
      <w:r>
        <w:rPr>
          <w:rFonts w:ascii="Calibri" w:hAnsi="Calibri"/>
          <w:color w:val="000000" w:themeColor="text1"/>
          <w:sz w:val="24"/>
          <w:szCs w:val="28"/>
        </w:rPr>
        <w:t>F</w:t>
      </w:r>
      <w:r w:rsidRPr="00881F6C">
        <w:rPr>
          <w:rFonts w:ascii="Calibri" w:hAnsi="Calibri"/>
          <w:color w:val="000000" w:themeColor="text1"/>
          <w:sz w:val="24"/>
          <w:szCs w:val="28"/>
        </w:rPr>
        <w:t xml:space="preserve">aute de plans de carrière suivis, de normes et procédures de formation, de référentiels de métiers et de compétences, de mécanismes de coordination et de suivi-évaluation des interventions, le système de formation continue </w:t>
      </w:r>
      <w:r>
        <w:rPr>
          <w:rFonts w:ascii="Calibri" w:hAnsi="Calibri"/>
          <w:color w:val="000000" w:themeColor="text1"/>
          <w:sz w:val="24"/>
          <w:szCs w:val="28"/>
        </w:rPr>
        <w:t xml:space="preserve">manque totalement </w:t>
      </w:r>
      <w:r w:rsidRPr="00881F6C">
        <w:rPr>
          <w:rFonts w:ascii="Calibri" w:hAnsi="Calibri"/>
          <w:color w:val="000000" w:themeColor="text1"/>
          <w:sz w:val="24"/>
          <w:szCs w:val="28"/>
        </w:rPr>
        <w:t>de visibilité et de lisibilité, mettant en cause la pertinence, l’équité, l’efficience et l’efficacité des formations.</w:t>
      </w:r>
    </w:p>
    <w:p w14:paraId="21E8DCC5" w14:textId="77777777" w:rsidR="00E004F7" w:rsidRPr="00B0790B" w:rsidRDefault="002721CE" w:rsidP="00E004F7">
      <w:pPr>
        <w:jc w:val="both"/>
        <w:rPr>
          <w:rFonts w:ascii="Calibri" w:hAnsi="Calibri"/>
          <w:color w:val="000000" w:themeColor="text1"/>
          <w:sz w:val="24"/>
          <w:szCs w:val="28"/>
        </w:rPr>
      </w:pPr>
      <w:r>
        <w:rPr>
          <w:rFonts w:ascii="Calibri" w:hAnsi="Calibri"/>
          <w:color w:val="000000" w:themeColor="text1"/>
          <w:sz w:val="24"/>
          <w:szCs w:val="28"/>
        </w:rPr>
        <w:t>Par ailleurs, l</w:t>
      </w:r>
      <w:r w:rsidR="00E004F7" w:rsidRPr="00B0790B">
        <w:rPr>
          <w:rFonts w:ascii="Calibri" w:hAnsi="Calibri"/>
          <w:color w:val="000000" w:themeColor="text1"/>
          <w:sz w:val="24"/>
          <w:szCs w:val="28"/>
        </w:rPr>
        <w:t xml:space="preserve">e financement des institutions </w:t>
      </w:r>
      <w:r w:rsidR="00BF6DEA" w:rsidRPr="00B0790B">
        <w:rPr>
          <w:rFonts w:ascii="Calibri" w:hAnsi="Calibri"/>
          <w:color w:val="000000" w:themeColor="text1"/>
          <w:sz w:val="24"/>
          <w:szCs w:val="28"/>
        </w:rPr>
        <w:t>(universités</w:t>
      </w:r>
      <w:r w:rsidR="00BF6DEA">
        <w:rPr>
          <w:rFonts w:ascii="Calibri" w:hAnsi="Calibri"/>
          <w:color w:val="000000" w:themeColor="text1"/>
          <w:sz w:val="24"/>
          <w:szCs w:val="28"/>
        </w:rPr>
        <w:t>,</w:t>
      </w:r>
      <w:r w:rsidR="00BF6DEA" w:rsidRPr="00B0790B">
        <w:rPr>
          <w:rFonts w:ascii="Calibri" w:hAnsi="Calibri"/>
          <w:color w:val="000000" w:themeColor="text1"/>
          <w:sz w:val="24"/>
          <w:szCs w:val="28"/>
        </w:rPr>
        <w:t xml:space="preserve"> </w:t>
      </w:r>
      <w:r w:rsidR="00BF6DEA">
        <w:rPr>
          <w:rFonts w:ascii="Calibri" w:hAnsi="Calibri"/>
          <w:color w:val="000000" w:themeColor="text1"/>
          <w:sz w:val="24"/>
          <w:szCs w:val="28"/>
        </w:rPr>
        <w:t xml:space="preserve">écoles, </w:t>
      </w:r>
      <w:r w:rsidR="00BF6DEA" w:rsidRPr="00B0790B">
        <w:rPr>
          <w:rFonts w:ascii="Calibri" w:hAnsi="Calibri"/>
          <w:color w:val="000000" w:themeColor="text1"/>
          <w:sz w:val="24"/>
          <w:szCs w:val="28"/>
        </w:rPr>
        <w:t>centres hospitaliers</w:t>
      </w:r>
      <w:r w:rsidR="00BF6DEA">
        <w:rPr>
          <w:rFonts w:ascii="Calibri" w:hAnsi="Calibri"/>
          <w:color w:val="000000" w:themeColor="text1"/>
          <w:sz w:val="24"/>
          <w:szCs w:val="28"/>
        </w:rPr>
        <w:t xml:space="preserve"> et autres structures de stage</w:t>
      </w:r>
      <w:r w:rsidR="00BF6DEA" w:rsidRPr="00B0790B">
        <w:rPr>
          <w:rFonts w:ascii="Calibri" w:hAnsi="Calibri"/>
          <w:color w:val="000000" w:themeColor="text1"/>
          <w:sz w:val="24"/>
          <w:szCs w:val="28"/>
        </w:rPr>
        <w:t xml:space="preserve">) </w:t>
      </w:r>
      <w:r w:rsidR="00E004F7" w:rsidRPr="00B0790B">
        <w:rPr>
          <w:rFonts w:ascii="Calibri" w:hAnsi="Calibri"/>
          <w:color w:val="000000" w:themeColor="text1"/>
          <w:sz w:val="24"/>
          <w:szCs w:val="28"/>
        </w:rPr>
        <w:t>impliquées dans l</w:t>
      </w:r>
      <w:r w:rsidR="00E6376C">
        <w:rPr>
          <w:rFonts w:ascii="Calibri" w:hAnsi="Calibri"/>
          <w:color w:val="000000" w:themeColor="text1"/>
          <w:sz w:val="24"/>
          <w:szCs w:val="28"/>
        </w:rPr>
        <w:t>es différents types de</w:t>
      </w:r>
      <w:r w:rsidR="00E004F7" w:rsidRPr="00B0790B">
        <w:rPr>
          <w:rFonts w:ascii="Calibri" w:hAnsi="Calibri"/>
          <w:color w:val="000000" w:themeColor="text1"/>
          <w:sz w:val="24"/>
          <w:szCs w:val="28"/>
        </w:rPr>
        <w:t xml:space="preserve"> formation </w:t>
      </w:r>
      <w:r w:rsidR="00BF6DEA">
        <w:rPr>
          <w:rFonts w:ascii="Calibri" w:hAnsi="Calibri"/>
          <w:color w:val="000000" w:themeColor="text1"/>
          <w:sz w:val="24"/>
          <w:szCs w:val="28"/>
        </w:rPr>
        <w:t xml:space="preserve">(initiale, continue ou de spécialisation) </w:t>
      </w:r>
      <w:r w:rsidR="00E004F7" w:rsidRPr="00B0790B">
        <w:rPr>
          <w:rFonts w:ascii="Calibri" w:hAnsi="Calibri"/>
          <w:color w:val="000000" w:themeColor="text1"/>
          <w:sz w:val="24"/>
          <w:szCs w:val="28"/>
        </w:rPr>
        <w:t>est très en-deçà de leurs besoins financiers pour se développer et garantir une formation de qualité.</w:t>
      </w:r>
      <w:r>
        <w:rPr>
          <w:rFonts w:ascii="Calibri" w:hAnsi="Calibri"/>
          <w:color w:val="000000" w:themeColor="text1"/>
          <w:sz w:val="24"/>
          <w:szCs w:val="28"/>
        </w:rPr>
        <w:t xml:space="preserve"> </w:t>
      </w:r>
    </w:p>
    <w:p w14:paraId="7D6A42DC" w14:textId="77777777" w:rsidR="00A02FA8" w:rsidRPr="00B0790B" w:rsidRDefault="00E6376C" w:rsidP="00A02FA8">
      <w:pPr>
        <w:jc w:val="both"/>
        <w:rPr>
          <w:rFonts w:ascii="Calibri" w:hAnsi="Calibri"/>
          <w:color w:val="000000" w:themeColor="text1"/>
          <w:sz w:val="24"/>
          <w:szCs w:val="28"/>
        </w:rPr>
      </w:pPr>
      <w:r>
        <w:rPr>
          <w:rFonts w:ascii="Calibri" w:hAnsi="Calibri"/>
          <w:color w:val="000000" w:themeColor="text1"/>
          <w:sz w:val="24"/>
          <w:szCs w:val="28"/>
        </w:rPr>
        <w:t>Quelle que soit le type de formation, l</w:t>
      </w:r>
      <w:r w:rsidR="00A02FA8" w:rsidRPr="00B0790B">
        <w:rPr>
          <w:rFonts w:ascii="Calibri" w:hAnsi="Calibri"/>
          <w:color w:val="000000" w:themeColor="text1"/>
          <w:sz w:val="24"/>
          <w:szCs w:val="28"/>
        </w:rPr>
        <w:t>es effectifs d’étudiants débordent largement les capacités d’accueil et d’encadrement disponibles. L’encadrement des stages se caractérise par une mauvaise organisation</w:t>
      </w:r>
      <w:r w:rsidR="00CA5F52" w:rsidRPr="00B0790B">
        <w:rPr>
          <w:rStyle w:val="Appelnotedebasdep"/>
          <w:rFonts w:ascii="Calibri" w:hAnsi="Calibri"/>
          <w:color w:val="000000" w:themeColor="text1"/>
          <w:sz w:val="24"/>
          <w:szCs w:val="28"/>
        </w:rPr>
        <w:footnoteReference w:id="28"/>
      </w:r>
      <w:r w:rsidR="00A02FA8" w:rsidRPr="00B0790B">
        <w:rPr>
          <w:rFonts w:ascii="Calibri" w:hAnsi="Calibri"/>
          <w:color w:val="000000" w:themeColor="text1"/>
          <w:sz w:val="24"/>
          <w:szCs w:val="28"/>
        </w:rPr>
        <w:t>. Ce</w:t>
      </w:r>
      <w:r w:rsidR="00E04C82">
        <w:rPr>
          <w:rFonts w:ascii="Calibri" w:hAnsi="Calibri"/>
          <w:color w:val="000000" w:themeColor="text1"/>
          <w:sz w:val="24"/>
          <w:szCs w:val="28"/>
        </w:rPr>
        <w:t>s</w:t>
      </w:r>
      <w:r w:rsidR="00A02FA8" w:rsidRPr="00B0790B">
        <w:rPr>
          <w:rFonts w:ascii="Calibri" w:hAnsi="Calibri"/>
          <w:color w:val="000000" w:themeColor="text1"/>
          <w:sz w:val="24"/>
          <w:szCs w:val="28"/>
        </w:rPr>
        <w:t xml:space="preserve"> observation</w:t>
      </w:r>
      <w:r w:rsidR="00E04C82">
        <w:rPr>
          <w:rFonts w:ascii="Calibri" w:hAnsi="Calibri"/>
          <w:color w:val="000000" w:themeColor="text1"/>
          <w:sz w:val="24"/>
          <w:szCs w:val="28"/>
        </w:rPr>
        <w:t>s</w:t>
      </w:r>
      <w:r w:rsidR="00A02FA8" w:rsidRPr="00B0790B">
        <w:rPr>
          <w:rFonts w:ascii="Calibri" w:hAnsi="Calibri"/>
          <w:color w:val="000000" w:themeColor="text1"/>
          <w:sz w:val="24"/>
          <w:szCs w:val="28"/>
        </w:rPr>
        <w:t xml:space="preserve"> s</w:t>
      </w:r>
      <w:r w:rsidR="00E04C82">
        <w:rPr>
          <w:rFonts w:ascii="Calibri" w:hAnsi="Calibri"/>
          <w:color w:val="000000" w:themeColor="text1"/>
          <w:sz w:val="24"/>
          <w:szCs w:val="28"/>
        </w:rPr>
        <w:t>on</w:t>
      </w:r>
      <w:r w:rsidR="00A02FA8" w:rsidRPr="00B0790B">
        <w:rPr>
          <w:rFonts w:ascii="Calibri" w:hAnsi="Calibri"/>
          <w:color w:val="000000" w:themeColor="text1"/>
          <w:sz w:val="24"/>
          <w:szCs w:val="28"/>
        </w:rPr>
        <w:t>t en cohérence avec le</w:t>
      </w:r>
      <w:r w:rsidR="00E004F7">
        <w:rPr>
          <w:rFonts w:ascii="Calibri" w:hAnsi="Calibri"/>
          <w:color w:val="000000" w:themeColor="text1"/>
          <w:sz w:val="24"/>
          <w:szCs w:val="28"/>
        </w:rPr>
        <w:t>s</w:t>
      </w:r>
      <w:r w:rsidR="00A02FA8" w:rsidRPr="00B0790B">
        <w:rPr>
          <w:rFonts w:ascii="Calibri" w:hAnsi="Calibri"/>
          <w:color w:val="000000" w:themeColor="text1"/>
          <w:sz w:val="24"/>
          <w:szCs w:val="28"/>
        </w:rPr>
        <w:t xml:space="preserve"> </w:t>
      </w:r>
      <w:r w:rsidR="00E004F7">
        <w:rPr>
          <w:rFonts w:ascii="Calibri" w:hAnsi="Calibri"/>
          <w:color w:val="000000" w:themeColor="text1"/>
          <w:sz w:val="24"/>
          <w:szCs w:val="28"/>
        </w:rPr>
        <w:t>é</w:t>
      </w:r>
      <w:r w:rsidR="00A02FA8" w:rsidRPr="00B0790B">
        <w:rPr>
          <w:rFonts w:ascii="Calibri" w:hAnsi="Calibri"/>
          <w:color w:val="000000" w:themeColor="text1"/>
          <w:sz w:val="24"/>
          <w:szCs w:val="28"/>
        </w:rPr>
        <w:t>tude</w:t>
      </w:r>
      <w:r w:rsidR="00E004F7">
        <w:rPr>
          <w:rFonts w:ascii="Calibri" w:hAnsi="Calibri"/>
          <w:color w:val="000000" w:themeColor="text1"/>
          <w:sz w:val="24"/>
          <w:szCs w:val="28"/>
        </w:rPr>
        <w:t>s</w:t>
      </w:r>
      <w:r w:rsidR="00A02FA8" w:rsidRPr="00B0790B">
        <w:rPr>
          <w:rFonts w:ascii="Calibri" w:hAnsi="Calibri"/>
          <w:color w:val="000000" w:themeColor="text1"/>
          <w:sz w:val="24"/>
          <w:szCs w:val="28"/>
        </w:rPr>
        <w:t xml:space="preserve"> </w:t>
      </w:r>
      <w:r w:rsidR="00E004F7">
        <w:rPr>
          <w:rFonts w:ascii="Calibri" w:hAnsi="Calibri"/>
          <w:color w:val="000000" w:themeColor="text1"/>
          <w:sz w:val="24"/>
          <w:szCs w:val="28"/>
        </w:rPr>
        <w:t>disponibles</w:t>
      </w:r>
      <w:r w:rsidR="00A02FA8" w:rsidRPr="00B0790B">
        <w:rPr>
          <w:rFonts w:ascii="Calibri" w:hAnsi="Calibri"/>
          <w:color w:val="000000" w:themeColor="text1"/>
          <w:sz w:val="24"/>
          <w:szCs w:val="28"/>
        </w:rPr>
        <w:t>, cité</w:t>
      </w:r>
      <w:r w:rsidR="00E004F7">
        <w:rPr>
          <w:rFonts w:ascii="Calibri" w:hAnsi="Calibri"/>
          <w:color w:val="000000" w:themeColor="text1"/>
          <w:sz w:val="24"/>
          <w:szCs w:val="28"/>
        </w:rPr>
        <w:t>es</w:t>
      </w:r>
      <w:r w:rsidR="00A02FA8" w:rsidRPr="00B0790B">
        <w:rPr>
          <w:rFonts w:ascii="Calibri" w:hAnsi="Calibri"/>
          <w:color w:val="000000" w:themeColor="text1"/>
          <w:sz w:val="24"/>
          <w:szCs w:val="28"/>
        </w:rPr>
        <w:t xml:space="preserve"> dans le rapport sur l’état des lieux de la formation continue en Guinée</w:t>
      </w:r>
      <w:r w:rsidR="001118C0">
        <w:rPr>
          <w:rFonts w:ascii="Calibri" w:hAnsi="Calibri"/>
          <w:color w:val="000000" w:themeColor="text1"/>
          <w:sz w:val="24"/>
          <w:szCs w:val="28"/>
        </w:rPr>
        <w:t>, l’</w:t>
      </w:r>
      <w:r w:rsidR="001118C0">
        <w:t>Etude sur la réforme de l’enseignement et de la recherche en santé</w:t>
      </w:r>
      <w:r w:rsidR="00E004F7">
        <w:rPr>
          <w:rFonts w:ascii="Calibri" w:hAnsi="Calibri"/>
          <w:color w:val="000000" w:themeColor="text1"/>
          <w:sz w:val="24"/>
          <w:szCs w:val="28"/>
        </w:rPr>
        <w:t xml:space="preserve"> et le rapport d’analyse de situation des RHS</w:t>
      </w:r>
      <w:r w:rsidR="00A02FA8" w:rsidRPr="00B0790B">
        <w:rPr>
          <w:rFonts w:ascii="Calibri" w:hAnsi="Calibri"/>
          <w:color w:val="000000" w:themeColor="text1"/>
          <w:sz w:val="24"/>
          <w:szCs w:val="28"/>
        </w:rPr>
        <w:t xml:space="preserve">. </w:t>
      </w:r>
    </w:p>
    <w:p w14:paraId="7093F532" w14:textId="77777777" w:rsidR="00CA5F52" w:rsidRPr="00D8455F" w:rsidRDefault="00B0790B" w:rsidP="00904B1A">
      <w:pPr>
        <w:jc w:val="both"/>
        <w:rPr>
          <w:rFonts w:ascii="Arial Black" w:hAnsi="Arial Black" w:cs="Arial"/>
          <w:sz w:val="28"/>
          <w:szCs w:val="28"/>
        </w:rPr>
      </w:pPr>
      <w:r w:rsidRPr="00A006C9">
        <w:rPr>
          <w:rFonts w:ascii="Calibri" w:hAnsi="Calibri"/>
          <w:color w:val="000000" w:themeColor="text1"/>
          <w:sz w:val="24"/>
          <w:szCs w:val="28"/>
        </w:rPr>
        <w:t xml:space="preserve">Il ressort </w:t>
      </w:r>
      <w:r w:rsidR="00E6376C">
        <w:rPr>
          <w:rFonts w:ascii="Calibri" w:hAnsi="Calibri"/>
          <w:color w:val="000000" w:themeColor="text1"/>
          <w:sz w:val="24"/>
          <w:szCs w:val="28"/>
        </w:rPr>
        <w:t xml:space="preserve">de cette analyse </w:t>
      </w:r>
      <w:r w:rsidRPr="00A006C9">
        <w:rPr>
          <w:rFonts w:ascii="Calibri" w:hAnsi="Calibri"/>
          <w:color w:val="000000" w:themeColor="text1"/>
          <w:sz w:val="24"/>
          <w:szCs w:val="28"/>
        </w:rPr>
        <w:t xml:space="preserve">que les préalables à la formation de qualité des personnels de santé ne sont pas </w:t>
      </w:r>
      <w:r w:rsidR="005B0D4B" w:rsidRPr="00A006C9">
        <w:rPr>
          <w:rFonts w:ascii="Calibri" w:hAnsi="Calibri"/>
          <w:color w:val="000000" w:themeColor="text1"/>
          <w:sz w:val="24"/>
          <w:szCs w:val="28"/>
        </w:rPr>
        <w:t xml:space="preserve">encore </w:t>
      </w:r>
      <w:r w:rsidR="00AD7163" w:rsidRPr="00A006C9">
        <w:rPr>
          <w:rFonts w:ascii="Calibri" w:hAnsi="Calibri"/>
          <w:color w:val="000000" w:themeColor="text1"/>
          <w:sz w:val="24"/>
          <w:szCs w:val="28"/>
        </w:rPr>
        <w:t>entièrement remplis</w:t>
      </w:r>
      <w:r w:rsidR="005B0D4B" w:rsidRPr="00A006C9">
        <w:rPr>
          <w:rFonts w:ascii="Calibri" w:hAnsi="Calibri"/>
          <w:color w:val="000000" w:themeColor="text1"/>
          <w:sz w:val="24"/>
          <w:szCs w:val="28"/>
        </w:rPr>
        <w:t>. C</w:t>
      </w:r>
      <w:r w:rsidR="00CA5F52" w:rsidRPr="00A006C9">
        <w:rPr>
          <w:rFonts w:ascii="Calibri" w:hAnsi="Calibri"/>
          <w:color w:val="000000" w:themeColor="text1"/>
          <w:sz w:val="24"/>
          <w:szCs w:val="28"/>
        </w:rPr>
        <w:t>e défaut de bonnes conditions d</w:t>
      </w:r>
      <w:r w:rsidR="005B0D4B" w:rsidRPr="00A006C9">
        <w:rPr>
          <w:rFonts w:ascii="Calibri" w:hAnsi="Calibri"/>
          <w:color w:val="000000" w:themeColor="text1"/>
          <w:sz w:val="24"/>
          <w:szCs w:val="28"/>
        </w:rPr>
        <w:t xml:space="preserve">’enseignement et </w:t>
      </w:r>
      <w:r w:rsidR="00CA5F52" w:rsidRPr="00A006C9">
        <w:rPr>
          <w:rFonts w:ascii="Calibri" w:hAnsi="Calibri"/>
          <w:color w:val="000000" w:themeColor="text1"/>
          <w:sz w:val="24"/>
          <w:szCs w:val="28"/>
        </w:rPr>
        <w:t>e</w:t>
      </w:r>
      <w:r w:rsidR="005B0D4B" w:rsidRPr="00A006C9">
        <w:rPr>
          <w:rFonts w:ascii="Calibri" w:hAnsi="Calibri"/>
          <w:color w:val="000000" w:themeColor="text1"/>
          <w:sz w:val="24"/>
          <w:szCs w:val="28"/>
        </w:rPr>
        <w:t xml:space="preserve">ncadrement </w:t>
      </w:r>
      <w:r w:rsidR="00CA5F52" w:rsidRPr="00A006C9">
        <w:rPr>
          <w:rFonts w:ascii="Calibri" w:hAnsi="Calibri"/>
          <w:color w:val="000000" w:themeColor="text1"/>
          <w:sz w:val="24"/>
          <w:szCs w:val="28"/>
        </w:rPr>
        <w:t xml:space="preserve">expliquerait en partie que les diplômés qui sortent des écoles et facultés de formation initiale ne possèdent pas les capacités attendues en termes de </w:t>
      </w:r>
      <w:r w:rsidR="005B0D4B" w:rsidRPr="00A006C9">
        <w:rPr>
          <w:rFonts w:ascii="Calibri" w:hAnsi="Calibri"/>
          <w:color w:val="000000" w:themeColor="text1"/>
          <w:sz w:val="24"/>
          <w:szCs w:val="28"/>
        </w:rPr>
        <w:t>connaissances, habiletés et attitudes. Il expliquerait également les réformes en cours, tant dans les ministères et institutions de formation qu’au ministère de la santé, pour changer la situation.</w:t>
      </w:r>
      <w:r w:rsidR="005B0D4B">
        <w:rPr>
          <w:rFonts w:eastAsia="Calibri"/>
          <w:szCs w:val="28"/>
        </w:rPr>
        <w:t xml:space="preserve"> </w:t>
      </w:r>
    </w:p>
    <w:p w14:paraId="773261FE" w14:textId="77777777" w:rsidR="00CF1996" w:rsidRPr="005E7958" w:rsidRDefault="005B4B15" w:rsidP="005E7958">
      <w:pPr>
        <w:pStyle w:val="Titre1"/>
        <w:numPr>
          <w:ilvl w:val="2"/>
          <w:numId w:val="8"/>
        </w:numPr>
        <w:spacing w:before="240" w:after="240"/>
        <w:ind w:left="1843" w:hanging="709"/>
        <w:rPr>
          <w:sz w:val="24"/>
        </w:rPr>
      </w:pPr>
      <w:bookmarkStart w:id="15" w:name="_Toc21586236"/>
      <w:r w:rsidRPr="005E7958">
        <w:rPr>
          <w:sz w:val="24"/>
        </w:rPr>
        <w:t>Recrutement</w:t>
      </w:r>
      <w:bookmarkEnd w:id="15"/>
    </w:p>
    <w:p w14:paraId="62E63D97" w14:textId="77777777" w:rsidR="00895E4E" w:rsidRPr="00895E4E" w:rsidRDefault="00895E4E" w:rsidP="00895E4E">
      <w:pPr>
        <w:jc w:val="both"/>
        <w:rPr>
          <w:sz w:val="24"/>
          <w:szCs w:val="28"/>
        </w:rPr>
      </w:pPr>
      <w:r w:rsidRPr="00895E4E">
        <w:rPr>
          <w:sz w:val="24"/>
          <w:szCs w:val="28"/>
        </w:rPr>
        <w:t xml:space="preserve">Le recrutement des travailleurs du sous-secteur public de santé relève du Ministère en charge de la Fonction publique, en collaboration avec les Ministères en charge des Finances, du budget et de la santé. </w:t>
      </w:r>
    </w:p>
    <w:p w14:paraId="35D5AE7C" w14:textId="77777777" w:rsidR="00895E4E" w:rsidRPr="00895E4E" w:rsidRDefault="00895E4E" w:rsidP="00895E4E">
      <w:pPr>
        <w:jc w:val="both"/>
        <w:rPr>
          <w:color w:val="000000" w:themeColor="text1"/>
        </w:rPr>
      </w:pPr>
      <w:r w:rsidRPr="00895E4E">
        <w:rPr>
          <w:sz w:val="24"/>
          <w:szCs w:val="28"/>
        </w:rPr>
        <w:t>Les emplois à pourvoir doivent être déterminés annuellement par un arrêté conjoint des ministres en charge de la fonction publique, des finances et du budget. Sur cette base, les recrutements devraient être organisés par le Ministère de la fonction publique, selon diverses modalités applicables (concours, sur dossier, test, examens professionnels)</w:t>
      </w:r>
      <w:r w:rsidRPr="00F80F7F">
        <w:rPr>
          <w:rStyle w:val="Appelnotedebasdep"/>
          <w:color w:val="000000" w:themeColor="text1"/>
        </w:rPr>
        <w:footnoteReference w:id="29"/>
      </w:r>
      <w:r w:rsidRPr="00895E4E">
        <w:rPr>
          <w:color w:val="000000" w:themeColor="text1"/>
        </w:rPr>
        <w:t>.</w:t>
      </w:r>
    </w:p>
    <w:p w14:paraId="6193A2B6" w14:textId="77777777" w:rsidR="00895E4E" w:rsidRPr="00895E4E" w:rsidRDefault="00895E4E" w:rsidP="00895E4E">
      <w:pPr>
        <w:jc w:val="both"/>
        <w:rPr>
          <w:sz w:val="24"/>
          <w:szCs w:val="28"/>
        </w:rPr>
      </w:pPr>
      <w:r w:rsidRPr="00895E4E">
        <w:rPr>
          <w:sz w:val="24"/>
          <w:szCs w:val="28"/>
        </w:rPr>
        <w:t>Mais, dans la pratique, le Ministère de la santé passe plusieurs années sans bénéficier d’un recrutement à proprement parler. Même quand le concour</w:t>
      </w:r>
      <w:r w:rsidR="00904B1A">
        <w:rPr>
          <w:sz w:val="24"/>
          <w:szCs w:val="28"/>
        </w:rPr>
        <w:t xml:space="preserve">s de recrutement est organisé, </w:t>
      </w:r>
      <w:r w:rsidRPr="00895E4E">
        <w:rPr>
          <w:sz w:val="24"/>
          <w:szCs w:val="28"/>
        </w:rPr>
        <w:t xml:space="preserve">l’engagement peut être différé de plusieurs années. </w:t>
      </w:r>
    </w:p>
    <w:p w14:paraId="77D60DE2" w14:textId="77777777" w:rsidR="00895E4E" w:rsidRPr="00895E4E" w:rsidRDefault="00895E4E" w:rsidP="00895E4E">
      <w:pPr>
        <w:jc w:val="both"/>
        <w:rPr>
          <w:sz w:val="24"/>
          <w:szCs w:val="28"/>
        </w:rPr>
      </w:pPr>
      <w:r w:rsidRPr="00895E4E">
        <w:rPr>
          <w:sz w:val="24"/>
          <w:szCs w:val="28"/>
        </w:rPr>
        <w:t>Les programmes de recrutement ne sont pas annuels, contrairement à la stipulation de la loi en vigueur alors que les départs à la retraite, eux, sont annuels. Ainsi, ni le remplacement, ni les besoins liés au programme de développement du secteur ne sont couverts pendant des années.</w:t>
      </w:r>
    </w:p>
    <w:p w14:paraId="69DF9B46" w14:textId="77777777" w:rsidR="00895E4E" w:rsidRPr="00895E4E" w:rsidRDefault="00895E4E" w:rsidP="00895E4E">
      <w:pPr>
        <w:jc w:val="both"/>
        <w:rPr>
          <w:sz w:val="24"/>
          <w:szCs w:val="28"/>
        </w:rPr>
      </w:pPr>
      <w:r w:rsidRPr="00895E4E">
        <w:rPr>
          <w:sz w:val="24"/>
          <w:szCs w:val="28"/>
        </w:rPr>
        <w:t>Dans le sous-secteur privé, les recrutements sont organisés par les employeurs. Ceci devrait être fait dans le respect des dispositions du Code du travail en ce qui concerne, notamment, les conditions contractuelles, le salaire minimum garanti et les conditions de protection sociale et sanitaire. Toutefois, les informations n’étant pas disponibles sur le sujet, faute d’enquêtes, il n’a pas été possible de faire l’état des pratiques de recrutement dans ce sous-secteur.</w:t>
      </w:r>
    </w:p>
    <w:p w14:paraId="4254B627" w14:textId="77777777" w:rsidR="00CF1996" w:rsidRPr="005E7958" w:rsidRDefault="00CF1996" w:rsidP="005E7958">
      <w:pPr>
        <w:pStyle w:val="Titre1"/>
        <w:numPr>
          <w:ilvl w:val="2"/>
          <w:numId w:val="8"/>
        </w:numPr>
        <w:spacing w:before="240" w:after="240"/>
        <w:ind w:left="1843" w:hanging="709"/>
        <w:rPr>
          <w:sz w:val="24"/>
        </w:rPr>
      </w:pPr>
      <w:bookmarkStart w:id="16" w:name="_Toc21586237"/>
      <w:r w:rsidRPr="005E7958">
        <w:rPr>
          <w:sz w:val="24"/>
        </w:rPr>
        <w:t>Gestion</w:t>
      </w:r>
      <w:bookmarkEnd w:id="16"/>
    </w:p>
    <w:p w14:paraId="46DCDB52" w14:textId="77777777" w:rsidR="005E7958" w:rsidRDefault="005E7958" w:rsidP="005E7958">
      <w:pPr>
        <w:shd w:val="clear" w:color="auto" w:fill="FFFFFF" w:themeFill="background1"/>
        <w:autoSpaceDE w:val="0"/>
        <w:autoSpaceDN w:val="0"/>
        <w:adjustRightInd w:val="0"/>
        <w:jc w:val="both"/>
        <w:rPr>
          <w:color w:val="000000" w:themeColor="text1"/>
          <w:sz w:val="24"/>
          <w:szCs w:val="28"/>
        </w:rPr>
      </w:pPr>
      <w:r w:rsidRPr="00E716A3">
        <w:rPr>
          <w:color w:val="000000" w:themeColor="text1"/>
          <w:sz w:val="24"/>
          <w:szCs w:val="28"/>
        </w:rPr>
        <w:t xml:space="preserve">Selon la littérature disponible, la situation du personnel de santé d’un pays peut être améliorée de plusieurs manières, allant de l’augmentation numérique des ressources humaines </w:t>
      </w:r>
      <w:r w:rsidR="009C0DA9">
        <w:rPr>
          <w:color w:val="000000" w:themeColor="text1"/>
          <w:sz w:val="24"/>
          <w:szCs w:val="28"/>
        </w:rPr>
        <w:t>dotées d’</w:t>
      </w:r>
      <w:r w:rsidRPr="00E716A3">
        <w:rPr>
          <w:color w:val="000000" w:themeColor="text1"/>
          <w:sz w:val="24"/>
          <w:szCs w:val="28"/>
        </w:rPr>
        <w:t>un ensemble de compétences propres à la mise en œuvre de pratiques de gestion basées sur la performance individuelle et collective</w:t>
      </w:r>
      <w:r w:rsidRPr="00542078">
        <w:rPr>
          <w:rStyle w:val="Appelnotedebasdep"/>
        </w:rPr>
        <w:footnoteReference w:id="30"/>
      </w:r>
      <w:r w:rsidR="009C0DA9" w:rsidRPr="009C0DA9">
        <w:rPr>
          <w:color w:val="000000" w:themeColor="text1"/>
          <w:sz w:val="24"/>
          <w:szCs w:val="28"/>
        </w:rPr>
        <w:t>, à leur développement</w:t>
      </w:r>
      <w:r w:rsidR="009C0DA9">
        <w:rPr>
          <w:rFonts w:cstheme="minorHAnsi"/>
        </w:rPr>
        <w:t xml:space="preserve"> professionnel</w:t>
      </w:r>
      <w:r w:rsidRPr="00542078">
        <w:rPr>
          <w:rFonts w:cstheme="minorHAnsi"/>
        </w:rPr>
        <w:t xml:space="preserve">. </w:t>
      </w:r>
      <w:r w:rsidRPr="00E716A3">
        <w:rPr>
          <w:color w:val="000000" w:themeColor="text1"/>
          <w:sz w:val="24"/>
          <w:szCs w:val="28"/>
        </w:rPr>
        <w:t>Ces pratiques de gestion des RHS recouvrent de nombreuses dimensions dont la prise en main passe par une diversité de mesures légales, règlementaires, organisationnelles et fonctionnelles mettant en jeu plusieurs acteurs, mécanismes et procédures. L’examen de ces questions constitue l’objet D</w:t>
      </w:r>
      <w:r>
        <w:rPr>
          <w:color w:val="000000" w:themeColor="text1"/>
          <w:sz w:val="24"/>
          <w:szCs w:val="28"/>
        </w:rPr>
        <w:t>e la présente section</w:t>
      </w:r>
      <w:r w:rsidRPr="00E716A3">
        <w:rPr>
          <w:color w:val="000000" w:themeColor="text1"/>
          <w:sz w:val="24"/>
          <w:szCs w:val="28"/>
        </w:rPr>
        <w:t>.</w:t>
      </w:r>
      <w:r w:rsidR="003B5E10">
        <w:rPr>
          <w:color w:val="000000" w:themeColor="text1"/>
          <w:sz w:val="24"/>
          <w:szCs w:val="28"/>
        </w:rPr>
        <w:t xml:space="preserve"> </w:t>
      </w:r>
    </w:p>
    <w:p w14:paraId="21D6BADF" w14:textId="77777777" w:rsidR="006C27B5" w:rsidRPr="006C27B5" w:rsidRDefault="006C27B5" w:rsidP="006C27B5">
      <w:pPr>
        <w:pStyle w:val="Titre1"/>
        <w:numPr>
          <w:ilvl w:val="3"/>
          <w:numId w:val="8"/>
        </w:numPr>
        <w:tabs>
          <w:tab w:val="left" w:pos="1134"/>
        </w:tabs>
        <w:spacing w:before="240" w:after="240"/>
        <w:ind w:left="2127"/>
        <w:rPr>
          <w:sz w:val="24"/>
        </w:rPr>
      </w:pPr>
      <w:bookmarkStart w:id="17" w:name="_Toc21586238"/>
      <w:r w:rsidRPr="006C27B5">
        <w:rPr>
          <w:sz w:val="24"/>
        </w:rPr>
        <w:t>Cad</w:t>
      </w:r>
      <w:r w:rsidR="00295AC4">
        <w:rPr>
          <w:sz w:val="24"/>
        </w:rPr>
        <w:t>re juridique et institutionnel</w:t>
      </w:r>
      <w:bookmarkEnd w:id="17"/>
    </w:p>
    <w:p w14:paraId="45CBCDEF" w14:textId="77777777" w:rsidR="003B5E10" w:rsidRPr="00285F61" w:rsidRDefault="003B5E10" w:rsidP="005E7958">
      <w:pPr>
        <w:shd w:val="clear" w:color="auto" w:fill="FFFFFF" w:themeFill="background1"/>
        <w:autoSpaceDE w:val="0"/>
        <w:autoSpaceDN w:val="0"/>
        <w:adjustRightInd w:val="0"/>
        <w:jc w:val="both"/>
        <w:rPr>
          <w:rFonts w:ascii="Calibri" w:hAnsi="Calibri"/>
          <w:color w:val="000000" w:themeColor="text1"/>
          <w:sz w:val="24"/>
          <w:szCs w:val="28"/>
        </w:rPr>
      </w:pPr>
      <w:r w:rsidRPr="00285F61">
        <w:rPr>
          <w:rFonts w:ascii="Calibri" w:hAnsi="Calibri"/>
          <w:color w:val="000000" w:themeColor="text1"/>
          <w:sz w:val="24"/>
          <w:szCs w:val="28"/>
        </w:rPr>
        <w:t xml:space="preserve">La </w:t>
      </w:r>
      <w:r w:rsidRPr="006C27B5">
        <w:rPr>
          <w:rFonts w:ascii="Calibri" w:hAnsi="Calibri"/>
          <w:b/>
          <w:color w:val="000000" w:themeColor="text1"/>
          <w:sz w:val="24"/>
          <w:szCs w:val="28"/>
        </w:rPr>
        <w:t>base juridique de la gestion des RHS</w:t>
      </w:r>
      <w:r w:rsidRPr="00285F61">
        <w:rPr>
          <w:rFonts w:ascii="Calibri" w:hAnsi="Calibri"/>
          <w:color w:val="000000" w:themeColor="text1"/>
          <w:sz w:val="24"/>
          <w:szCs w:val="28"/>
        </w:rPr>
        <w:t xml:space="preserve"> est constitué de </w:t>
      </w:r>
      <w:r w:rsidR="00F8164A">
        <w:rPr>
          <w:rFonts w:ascii="Calibri" w:hAnsi="Calibri"/>
          <w:color w:val="000000" w:themeColor="text1"/>
          <w:sz w:val="24"/>
          <w:szCs w:val="28"/>
        </w:rPr>
        <w:t>nombreux</w:t>
      </w:r>
      <w:r w:rsidRPr="00285F61">
        <w:rPr>
          <w:rFonts w:ascii="Calibri" w:hAnsi="Calibri"/>
          <w:color w:val="000000" w:themeColor="text1"/>
          <w:sz w:val="24"/>
          <w:szCs w:val="28"/>
        </w:rPr>
        <w:t xml:space="preserve"> textes (lois, ordonnance, décret)</w:t>
      </w:r>
      <w:r w:rsidR="00285F61" w:rsidRPr="00285F61">
        <w:rPr>
          <w:rFonts w:ascii="Calibri" w:hAnsi="Calibri"/>
          <w:color w:val="000000" w:themeColor="text1"/>
          <w:sz w:val="24"/>
          <w:szCs w:val="28"/>
        </w:rPr>
        <w:t xml:space="preserve">. Cependant ces textes sont </w:t>
      </w:r>
      <w:r w:rsidR="004F745C">
        <w:rPr>
          <w:rFonts w:ascii="Calibri" w:hAnsi="Calibri"/>
          <w:color w:val="000000" w:themeColor="text1"/>
          <w:sz w:val="24"/>
          <w:szCs w:val="28"/>
        </w:rPr>
        <w:t>faiblement ou pas</w:t>
      </w:r>
      <w:r w:rsidR="00285F61" w:rsidRPr="00285F61">
        <w:rPr>
          <w:rFonts w:ascii="Calibri" w:hAnsi="Calibri"/>
          <w:color w:val="000000" w:themeColor="text1"/>
          <w:sz w:val="24"/>
          <w:szCs w:val="28"/>
        </w:rPr>
        <w:t xml:space="preserve"> </w:t>
      </w:r>
      <w:r w:rsidR="004F745C">
        <w:rPr>
          <w:rFonts w:ascii="Calibri" w:hAnsi="Calibri"/>
          <w:color w:val="000000" w:themeColor="text1"/>
          <w:sz w:val="24"/>
          <w:szCs w:val="28"/>
        </w:rPr>
        <w:t>connus et utilisés</w:t>
      </w:r>
      <w:r w:rsidR="00285F61" w:rsidRPr="00285F61">
        <w:rPr>
          <w:rFonts w:ascii="Calibri" w:hAnsi="Calibri"/>
          <w:color w:val="000000" w:themeColor="text1"/>
          <w:sz w:val="24"/>
          <w:szCs w:val="28"/>
        </w:rPr>
        <w:t>, faute des textes d’application.</w:t>
      </w:r>
      <w:r w:rsidR="00F8164A">
        <w:rPr>
          <w:rFonts w:ascii="Calibri" w:hAnsi="Calibri"/>
          <w:color w:val="000000" w:themeColor="text1"/>
          <w:sz w:val="24"/>
          <w:szCs w:val="28"/>
        </w:rPr>
        <w:t xml:space="preserve"> </w:t>
      </w:r>
    </w:p>
    <w:p w14:paraId="36A82A42" w14:textId="77777777" w:rsidR="003735DD" w:rsidRDefault="007A4D21" w:rsidP="003735DD">
      <w:pPr>
        <w:jc w:val="both"/>
        <w:rPr>
          <w:sz w:val="24"/>
          <w:szCs w:val="28"/>
        </w:rPr>
      </w:pPr>
      <w:r w:rsidRPr="007A4D21">
        <w:rPr>
          <w:color w:val="000000" w:themeColor="text1"/>
          <w:sz w:val="24"/>
          <w:szCs w:val="28"/>
        </w:rPr>
        <w:t>En</w:t>
      </w:r>
      <w:r>
        <w:rPr>
          <w:color w:val="000000" w:themeColor="text1"/>
          <w:sz w:val="24"/>
          <w:szCs w:val="28"/>
        </w:rPr>
        <w:t xml:space="preserve"> termes de </w:t>
      </w:r>
      <w:r w:rsidRPr="006C27B5">
        <w:rPr>
          <w:b/>
          <w:color w:val="000000" w:themeColor="text1"/>
          <w:sz w:val="24"/>
          <w:szCs w:val="28"/>
        </w:rPr>
        <w:t>cadre institutionnel</w:t>
      </w:r>
      <w:r>
        <w:rPr>
          <w:color w:val="000000" w:themeColor="text1"/>
          <w:sz w:val="24"/>
          <w:szCs w:val="28"/>
        </w:rPr>
        <w:t xml:space="preserve">, la Direction des ressources humaines a été créée récemment, avec une mission et une organisation définies. </w:t>
      </w:r>
      <w:r w:rsidR="003735DD" w:rsidRPr="003735DD">
        <w:rPr>
          <w:sz w:val="24"/>
          <w:szCs w:val="28"/>
        </w:rPr>
        <w:t xml:space="preserve">Cependant les ressources humaines, matérielles et financières nécessaires à l’accomplissement correct de sa mission ne sont que très partiellement disponibles. Seuls le directeur et le directeur adjoint sont nommés ; les autres cadres et agents centraux et des services déconcentrés ne sont pas nommés à fortiori formés. </w:t>
      </w:r>
      <w:r w:rsidR="003735DD">
        <w:rPr>
          <w:sz w:val="24"/>
          <w:szCs w:val="28"/>
        </w:rPr>
        <w:t xml:space="preserve">De plus, </w:t>
      </w:r>
      <w:r w:rsidR="003735DD" w:rsidRPr="003735DD">
        <w:rPr>
          <w:sz w:val="24"/>
          <w:szCs w:val="28"/>
        </w:rPr>
        <w:t>les postes à pourvoir restent à décrire pour guider la sélection des cadres et agents appropriés. En conséquence, la Direction des RHS n’est pas encore à mesure de conduire avec succès ses fonctions de planification, de formation et de gestion des RHS.</w:t>
      </w:r>
    </w:p>
    <w:p w14:paraId="6C69F70C" w14:textId="77777777" w:rsidR="003735DD" w:rsidRPr="003735DD" w:rsidRDefault="003735DD" w:rsidP="003735DD">
      <w:pPr>
        <w:pStyle w:val="Paragraphedeliste"/>
        <w:ind w:left="0"/>
        <w:jc w:val="both"/>
        <w:rPr>
          <w:sz w:val="24"/>
          <w:szCs w:val="28"/>
        </w:rPr>
      </w:pPr>
      <w:r w:rsidRPr="003735DD">
        <w:rPr>
          <w:sz w:val="24"/>
          <w:szCs w:val="28"/>
        </w:rPr>
        <w:t xml:space="preserve">Les capacités d’hébergement de la nouvelle direction des RHS sont insuffisantes et ses équipements sommaires. Il est difficile, dans un tel contexte de travail, de produire les résultats attendus conformément </w:t>
      </w:r>
      <w:r w:rsidR="00A062A8">
        <w:rPr>
          <w:sz w:val="24"/>
          <w:szCs w:val="28"/>
        </w:rPr>
        <w:t>à la</w:t>
      </w:r>
      <w:r w:rsidRPr="003735DD">
        <w:rPr>
          <w:sz w:val="24"/>
          <w:szCs w:val="28"/>
        </w:rPr>
        <w:t xml:space="preserve"> mission dévolue à la structure.</w:t>
      </w:r>
    </w:p>
    <w:p w14:paraId="383775BB" w14:textId="77777777" w:rsidR="008C031E" w:rsidRPr="008C031E" w:rsidRDefault="008C031E" w:rsidP="008C031E">
      <w:pPr>
        <w:pStyle w:val="Titre1"/>
        <w:numPr>
          <w:ilvl w:val="3"/>
          <w:numId w:val="8"/>
        </w:numPr>
        <w:tabs>
          <w:tab w:val="left" w:pos="1134"/>
        </w:tabs>
        <w:spacing w:before="240" w:after="240"/>
        <w:ind w:left="2127"/>
        <w:rPr>
          <w:sz w:val="24"/>
        </w:rPr>
      </w:pPr>
      <w:bookmarkStart w:id="18" w:name="_Toc534298109"/>
      <w:bookmarkStart w:id="19" w:name="_Toc534742744"/>
      <w:bookmarkStart w:id="20" w:name="_Toc534808065"/>
      <w:bookmarkStart w:id="21" w:name="_Toc21586239"/>
      <w:r w:rsidRPr="008C031E">
        <w:rPr>
          <w:sz w:val="24"/>
        </w:rPr>
        <w:t>Affectation, intégration et utilisation</w:t>
      </w:r>
      <w:bookmarkEnd w:id="18"/>
      <w:bookmarkEnd w:id="19"/>
      <w:bookmarkEnd w:id="20"/>
      <w:bookmarkEnd w:id="21"/>
    </w:p>
    <w:p w14:paraId="42AC4FD7" w14:textId="77777777" w:rsidR="008C031E" w:rsidRPr="00676770" w:rsidRDefault="008C031E" w:rsidP="008C031E">
      <w:pPr>
        <w:jc w:val="both"/>
        <w:rPr>
          <w:sz w:val="24"/>
          <w:szCs w:val="28"/>
        </w:rPr>
      </w:pPr>
      <w:r w:rsidRPr="00676770">
        <w:rPr>
          <w:sz w:val="24"/>
          <w:szCs w:val="28"/>
        </w:rPr>
        <w:t>Dans la gestion administrative des structures de santé, la loi stipule la tenue à jour des cadres organiques dans toutes les structures publiques</w:t>
      </w:r>
      <w:r w:rsidRPr="00CD7C6F">
        <w:rPr>
          <w:sz w:val="24"/>
          <w:szCs w:val="28"/>
          <w:vertAlign w:val="superscript"/>
        </w:rPr>
        <w:footnoteReference w:id="31"/>
      </w:r>
      <w:r w:rsidRPr="00676770">
        <w:rPr>
          <w:sz w:val="24"/>
          <w:szCs w:val="28"/>
        </w:rPr>
        <w:t xml:space="preserve">. Mais cette disposition est faiblement appliquée, ce qui crée un environnement institutionnel peu favorable à une gestion rationnelle des effectifs. </w:t>
      </w:r>
    </w:p>
    <w:p w14:paraId="677FBAD4" w14:textId="77777777" w:rsidR="008C031E" w:rsidRPr="00676770" w:rsidRDefault="008C031E" w:rsidP="008C031E">
      <w:pPr>
        <w:jc w:val="both"/>
        <w:rPr>
          <w:sz w:val="24"/>
          <w:szCs w:val="28"/>
        </w:rPr>
      </w:pPr>
      <w:r w:rsidRPr="00676770">
        <w:rPr>
          <w:sz w:val="24"/>
          <w:szCs w:val="28"/>
        </w:rPr>
        <w:t xml:space="preserve">Par ailleurs, les descriptions de postes dans les services de santé sont souvent inexistantes. Or la description de poste est l’une des bases essentielles </w:t>
      </w:r>
      <w:r w:rsidR="000D0741" w:rsidRPr="00676770">
        <w:rPr>
          <w:sz w:val="24"/>
          <w:szCs w:val="28"/>
        </w:rPr>
        <w:t xml:space="preserve">de recrutement, </w:t>
      </w:r>
      <w:r w:rsidRPr="00676770">
        <w:rPr>
          <w:sz w:val="24"/>
          <w:szCs w:val="28"/>
        </w:rPr>
        <w:t>de suivi et d’évaluation de la performance des agents. L’absence de ces outils de gestion favorise la gestion arbitraire, source de favoritisme, de conflits et de démotivation.</w:t>
      </w:r>
    </w:p>
    <w:p w14:paraId="2A2F3B0C" w14:textId="77777777" w:rsidR="008C031E" w:rsidRPr="00676770" w:rsidRDefault="008C031E" w:rsidP="008C031E">
      <w:pPr>
        <w:jc w:val="both"/>
        <w:rPr>
          <w:sz w:val="24"/>
          <w:szCs w:val="28"/>
        </w:rPr>
      </w:pPr>
      <w:r w:rsidRPr="00676770">
        <w:rPr>
          <w:sz w:val="24"/>
          <w:szCs w:val="28"/>
        </w:rPr>
        <w:t xml:space="preserve">De plus, après le recrutement, les nouveaux agents sont affectés directement dans les services opérationnels sans aucune orientation ou préparation. Les agents n’ont pas de dossier de suivi actif. </w:t>
      </w:r>
    </w:p>
    <w:p w14:paraId="70F901A4" w14:textId="77777777" w:rsidR="008C031E" w:rsidRPr="00676770" w:rsidRDefault="008C031E" w:rsidP="00556082">
      <w:pPr>
        <w:jc w:val="both"/>
        <w:rPr>
          <w:sz w:val="24"/>
          <w:szCs w:val="28"/>
        </w:rPr>
      </w:pPr>
      <w:r w:rsidRPr="00676770">
        <w:rPr>
          <w:sz w:val="24"/>
          <w:szCs w:val="28"/>
        </w:rPr>
        <w:t>L’évaluation des performances des employés n’est pas de pratique. Or, celle-ci permet l’amélioration ou le maintien du rendement des RHS et de la qualité des prestations dans un contexte de management participatif. Conduite selon les procédures en la matière, elle constitue un excellent instrument de clarification des rôles et des résultats attendus du travailleur. C’est aussi un outil de gestion transparente de la relation de travail. Ce dispositif assure l’équité dans les sanctions et les rétributions et, comme tel, constitue un facteur de motivation. Il permet d’identifier les besoins d’appui (dont la formation) et de suivre la mise en œuvre des mesures d’accompagnement du travailleur.</w:t>
      </w:r>
    </w:p>
    <w:p w14:paraId="1BC0D8F5" w14:textId="77777777" w:rsidR="008C031E" w:rsidRPr="00676770" w:rsidRDefault="008C031E" w:rsidP="008C031E">
      <w:pPr>
        <w:rPr>
          <w:sz w:val="24"/>
          <w:szCs w:val="28"/>
        </w:rPr>
      </w:pPr>
      <w:r w:rsidRPr="00676770">
        <w:rPr>
          <w:sz w:val="24"/>
          <w:szCs w:val="28"/>
        </w:rPr>
        <w:t>Aucune information disponible n’indique que la situation est différente dans le sous-secteur privé de la santé.</w:t>
      </w:r>
    </w:p>
    <w:p w14:paraId="504FE387" w14:textId="77777777" w:rsidR="00717E7B" w:rsidRDefault="00717E7B" w:rsidP="00717E7B">
      <w:pPr>
        <w:autoSpaceDE w:val="0"/>
        <w:autoSpaceDN w:val="0"/>
        <w:adjustRightInd w:val="0"/>
        <w:jc w:val="both"/>
        <w:rPr>
          <w:sz w:val="24"/>
          <w:szCs w:val="28"/>
        </w:rPr>
      </w:pPr>
      <w:r w:rsidRPr="00676770">
        <w:rPr>
          <w:sz w:val="24"/>
          <w:szCs w:val="28"/>
        </w:rPr>
        <w:t xml:space="preserve">La répartition géographique des RHS privilégie toujours Conakry. Cependant le déséquilibre de distribution s'est significativement amoindri, la part de Conakry étant passé de 55% en 2012 à 31% des effectifs totaux actuellement. Cette part baisse encore à 28,4% lorsque l’on ne considère que le personnel professionnel de la santé. Conakry est suivie de Kankan </w:t>
      </w:r>
      <w:r w:rsidR="00CD7C6F">
        <w:rPr>
          <w:sz w:val="24"/>
          <w:szCs w:val="28"/>
        </w:rPr>
        <w:t>(</w:t>
      </w:r>
      <w:r w:rsidRPr="00676770">
        <w:rPr>
          <w:sz w:val="24"/>
          <w:szCs w:val="28"/>
        </w:rPr>
        <w:t>12,6%</w:t>
      </w:r>
      <w:r w:rsidR="00CD7C6F">
        <w:rPr>
          <w:sz w:val="24"/>
          <w:szCs w:val="28"/>
        </w:rPr>
        <w:t>)</w:t>
      </w:r>
      <w:r w:rsidRPr="00676770">
        <w:rPr>
          <w:sz w:val="24"/>
          <w:szCs w:val="28"/>
        </w:rPr>
        <w:t xml:space="preserve"> et Kindia </w:t>
      </w:r>
      <w:r w:rsidR="00CD7C6F">
        <w:rPr>
          <w:sz w:val="24"/>
          <w:szCs w:val="28"/>
        </w:rPr>
        <w:t>(</w:t>
      </w:r>
      <w:r w:rsidRPr="00676770">
        <w:rPr>
          <w:sz w:val="24"/>
          <w:szCs w:val="28"/>
        </w:rPr>
        <w:t>12,4%</w:t>
      </w:r>
      <w:r w:rsidR="00CD7C6F">
        <w:rPr>
          <w:sz w:val="24"/>
          <w:szCs w:val="28"/>
        </w:rPr>
        <w:t>)</w:t>
      </w:r>
      <w:r w:rsidRPr="00676770">
        <w:rPr>
          <w:sz w:val="24"/>
          <w:szCs w:val="28"/>
        </w:rPr>
        <w:t xml:space="preserve">. Mamou compte la plus faible proportion </w:t>
      </w:r>
      <w:r w:rsidR="00CD7C6F">
        <w:rPr>
          <w:sz w:val="24"/>
          <w:szCs w:val="28"/>
        </w:rPr>
        <w:t>(</w:t>
      </w:r>
      <w:r w:rsidRPr="00676770">
        <w:rPr>
          <w:sz w:val="24"/>
          <w:szCs w:val="28"/>
        </w:rPr>
        <w:t>6,5%</w:t>
      </w:r>
      <w:r w:rsidR="00CD7C6F">
        <w:rPr>
          <w:sz w:val="24"/>
          <w:szCs w:val="28"/>
        </w:rPr>
        <w:t>)</w:t>
      </w:r>
      <w:r w:rsidRPr="00676770">
        <w:rPr>
          <w:sz w:val="24"/>
          <w:szCs w:val="28"/>
        </w:rPr>
        <w:t>.</w:t>
      </w:r>
    </w:p>
    <w:p w14:paraId="23D8988C" w14:textId="77777777" w:rsidR="00CD7C6F" w:rsidRPr="00CD7C6F" w:rsidRDefault="00CD7C6F" w:rsidP="00CD7C6F">
      <w:pPr>
        <w:jc w:val="both"/>
        <w:rPr>
          <w:sz w:val="24"/>
          <w:szCs w:val="28"/>
        </w:rPr>
      </w:pPr>
      <w:r w:rsidRPr="00CD7C6F">
        <w:rPr>
          <w:sz w:val="24"/>
          <w:szCs w:val="28"/>
        </w:rPr>
        <w:t>Dans la pratique, en Guinée, il n’existe pas de dispositifs formels opérationnalisant la gestion de</w:t>
      </w:r>
      <w:r w:rsidR="00EF58C1">
        <w:rPr>
          <w:sz w:val="24"/>
          <w:szCs w:val="28"/>
        </w:rPr>
        <w:t xml:space="preserve"> carrière de manière à satisfaire à la fois les objectifs de l’organisation employeuse et les objectifs individuels de développement des employés</w:t>
      </w:r>
      <w:r w:rsidRPr="00CD7C6F">
        <w:rPr>
          <w:sz w:val="24"/>
          <w:szCs w:val="28"/>
        </w:rPr>
        <w:t>. Aucun outil n’est mis en place dans ce cadre : plan de carrière, programme de développement de carrière, appréciation du rendement/évaluation de la performance</w:t>
      </w:r>
      <w:r w:rsidR="00EF58C1">
        <w:rPr>
          <w:sz w:val="24"/>
          <w:szCs w:val="28"/>
        </w:rPr>
        <w:t>,</w:t>
      </w:r>
      <w:r w:rsidRPr="00CD7C6F">
        <w:rPr>
          <w:sz w:val="24"/>
          <w:szCs w:val="28"/>
        </w:rPr>
        <w:t xml:space="preserve"> etc. La gestion de la formation continue des RHS illustre bien cette absence de stratégie de développement de carrière.</w:t>
      </w:r>
    </w:p>
    <w:p w14:paraId="4760F8EB" w14:textId="77777777" w:rsidR="00CD7C6F" w:rsidRDefault="00EF58C1" w:rsidP="00CD5419">
      <w:pPr>
        <w:jc w:val="both"/>
        <w:rPr>
          <w:sz w:val="24"/>
          <w:szCs w:val="28"/>
        </w:rPr>
      </w:pPr>
      <w:r w:rsidRPr="00EF58C1">
        <w:rPr>
          <w:sz w:val="24"/>
          <w:szCs w:val="28"/>
        </w:rPr>
        <w:t>Cependant le cadre légal de base existe. En effet, le statut général des fonctionnaires fixe le cadre commun de cheminement de carrière des agents relevant de la fonction publique.</w:t>
      </w:r>
      <w:r w:rsidR="00451A3C">
        <w:rPr>
          <w:sz w:val="24"/>
          <w:szCs w:val="28"/>
        </w:rPr>
        <w:t xml:space="preserve"> </w:t>
      </w:r>
      <w:r w:rsidRPr="00EF58C1">
        <w:rPr>
          <w:sz w:val="24"/>
          <w:szCs w:val="28"/>
        </w:rPr>
        <w:t>Ce régime général qui aborde le cheminement de carrière prévoit le passage d’un corps professionnel à l’autre dans un même cadre unique ou d’un cadre unique à un autre</w:t>
      </w:r>
      <w:r w:rsidRPr="00EF58C1">
        <w:rPr>
          <w:vertAlign w:val="superscript"/>
        </w:rPr>
        <w:footnoteReference w:id="32"/>
      </w:r>
      <w:r w:rsidRPr="00EF58C1">
        <w:rPr>
          <w:sz w:val="24"/>
          <w:szCs w:val="28"/>
        </w:rPr>
        <w:t>; mais le décret d’application n’est pas disponible. Ceci explique, au moins en partie, le fait que tous les corps de paramédicaux se bousculent aux portes de la faculté de médecine avec l’espoir d’en sortir Médecins.</w:t>
      </w:r>
    </w:p>
    <w:p w14:paraId="6E3A22D7" w14:textId="77777777" w:rsidR="00451A3C" w:rsidRDefault="00451A3C" w:rsidP="00451A3C">
      <w:pPr>
        <w:jc w:val="both"/>
        <w:rPr>
          <w:sz w:val="24"/>
          <w:szCs w:val="28"/>
        </w:rPr>
      </w:pPr>
      <w:r w:rsidRPr="00451A3C">
        <w:rPr>
          <w:sz w:val="24"/>
          <w:szCs w:val="28"/>
        </w:rPr>
        <w:t xml:space="preserve">Ce régime général a été complété, en 2008, par le statut particulier de la santé. Celui-ci a notamment précisé les conditions dans lesquelles les paramédicaux peuvent évoluer dans leur corps d’origine jusqu’à accéder à la hiérarchie A ou B et aux postes de responsabilité correspondant à leur qualification. Malheureusement, quoique représentant un réel progrès, il n’est pas </w:t>
      </w:r>
      <w:r>
        <w:rPr>
          <w:sz w:val="24"/>
          <w:szCs w:val="28"/>
        </w:rPr>
        <w:t xml:space="preserve">mis en </w:t>
      </w:r>
      <w:r w:rsidRPr="00451A3C">
        <w:rPr>
          <w:sz w:val="24"/>
          <w:szCs w:val="28"/>
        </w:rPr>
        <w:t>appli</w:t>
      </w:r>
      <w:r>
        <w:rPr>
          <w:sz w:val="24"/>
          <w:szCs w:val="28"/>
        </w:rPr>
        <w:t>cation</w:t>
      </w:r>
      <w:r w:rsidRPr="00451A3C">
        <w:rPr>
          <w:sz w:val="24"/>
          <w:szCs w:val="28"/>
        </w:rPr>
        <w:t>.</w:t>
      </w:r>
    </w:p>
    <w:p w14:paraId="47577948" w14:textId="77777777" w:rsidR="004B5292" w:rsidRPr="007E7E2A" w:rsidRDefault="004B5292" w:rsidP="007E7E2A">
      <w:pPr>
        <w:pStyle w:val="Titre1"/>
        <w:numPr>
          <w:ilvl w:val="3"/>
          <w:numId w:val="8"/>
        </w:numPr>
        <w:tabs>
          <w:tab w:val="left" w:pos="1134"/>
        </w:tabs>
        <w:spacing w:before="240" w:after="240"/>
        <w:ind w:left="2127"/>
        <w:rPr>
          <w:sz w:val="24"/>
        </w:rPr>
      </w:pPr>
      <w:bookmarkStart w:id="22" w:name="_Toc21586240"/>
      <w:r w:rsidRPr="007E7E2A">
        <w:rPr>
          <w:sz w:val="24"/>
        </w:rPr>
        <w:t>Rendement</w:t>
      </w:r>
      <w:bookmarkEnd w:id="22"/>
      <w:r w:rsidRPr="007E7E2A">
        <w:rPr>
          <w:sz w:val="24"/>
        </w:rPr>
        <w:t xml:space="preserve"> </w:t>
      </w:r>
    </w:p>
    <w:p w14:paraId="01D49DA5" w14:textId="77777777" w:rsidR="004B5292" w:rsidRPr="00326F73" w:rsidRDefault="004B5292" w:rsidP="004B5292">
      <w:pPr>
        <w:jc w:val="both"/>
        <w:rPr>
          <w:sz w:val="24"/>
          <w:szCs w:val="28"/>
        </w:rPr>
      </w:pPr>
      <w:r w:rsidRPr="004B5292">
        <w:rPr>
          <w:sz w:val="24"/>
          <w:szCs w:val="28"/>
        </w:rPr>
        <w:t>L</w:t>
      </w:r>
      <w:r w:rsidRPr="00326F73">
        <w:rPr>
          <w:sz w:val="24"/>
          <w:szCs w:val="28"/>
        </w:rPr>
        <w:t xml:space="preserve">e personnel professionnel des structures publiques offre des prestations de soins, des services </w:t>
      </w:r>
      <w:r w:rsidR="00C8040C" w:rsidRPr="00326F73">
        <w:rPr>
          <w:sz w:val="24"/>
          <w:szCs w:val="28"/>
        </w:rPr>
        <w:t>administratif</w:t>
      </w:r>
      <w:r w:rsidR="00DA2E23" w:rsidRPr="00326F73">
        <w:rPr>
          <w:sz w:val="24"/>
          <w:szCs w:val="28"/>
        </w:rPr>
        <w:t xml:space="preserve">s </w:t>
      </w:r>
      <w:r w:rsidRPr="00326F73">
        <w:rPr>
          <w:sz w:val="24"/>
          <w:szCs w:val="28"/>
        </w:rPr>
        <w:t>d’appui et d</w:t>
      </w:r>
      <w:r w:rsidR="00DA2E23" w:rsidRPr="00326F73">
        <w:rPr>
          <w:sz w:val="24"/>
          <w:szCs w:val="28"/>
        </w:rPr>
        <w:t>’autres</w:t>
      </w:r>
      <w:r w:rsidRPr="00326F73">
        <w:rPr>
          <w:sz w:val="24"/>
          <w:szCs w:val="28"/>
        </w:rPr>
        <w:t xml:space="preserve"> activités </w:t>
      </w:r>
      <w:r w:rsidR="00DA2E23" w:rsidRPr="00326F73">
        <w:rPr>
          <w:sz w:val="24"/>
          <w:szCs w:val="28"/>
        </w:rPr>
        <w:t>telles que la formation, la recherche, etc.</w:t>
      </w:r>
    </w:p>
    <w:p w14:paraId="54B0784A" w14:textId="77777777" w:rsidR="004B5292" w:rsidRPr="00326F73" w:rsidRDefault="004B5292" w:rsidP="004B5292">
      <w:pPr>
        <w:jc w:val="both"/>
        <w:rPr>
          <w:sz w:val="24"/>
          <w:szCs w:val="28"/>
        </w:rPr>
      </w:pPr>
      <w:r w:rsidRPr="00326F73">
        <w:rPr>
          <w:sz w:val="24"/>
          <w:szCs w:val="28"/>
        </w:rPr>
        <w:t xml:space="preserve">Le rapport d’analyse de situation des ressources humaines de 2012 avait montré que toutes les catégories de professionnels de santé participent aux activités de soins. Certaines réalisent même des activités pour lesquelles elles ne sont pas formées. Ainsi, à cause de l’insuffisance de personnel à l’intérieur du pays, les infirmiers diplômés d’Etat et les ATS assument des fonctions qui reviennent normalement aux médecins, aux sages-femmes ou aux techniciens de laboratoire. </w:t>
      </w:r>
      <w:r w:rsidR="00DA2E23" w:rsidRPr="00326F73">
        <w:rPr>
          <w:sz w:val="24"/>
          <w:szCs w:val="28"/>
        </w:rPr>
        <w:t>Cette situation peut atténuer la qualité des prestations et l’amélioration des indicateurs de santé.</w:t>
      </w:r>
    </w:p>
    <w:p w14:paraId="11039551" w14:textId="77777777" w:rsidR="004B5292" w:rsidRPr="00326F73" w:rsidRDefault="004B5292" w:rsidP="00B40857">
      <w:pPr>
        <w:jc w:val="both"/>
        <w:rPr>
          <w:sz w:val="24"/>
          <w:szCs w:val="28"/>
        </w:rPr>
      </w:pPr>
      <w:r w:rsidRPr="00326F73">
        <w:rPr>
          <w:sz w:val="24"/>
          <w:szCs w:val="28"/>
        </w:rPr>
        <w:t xml:space="preserve">Le rendement est analysé à travers </w:t>
      </w:r>
      <w:r w:rsidR="00C8040C" w:rsidRPr="00326F73">
        <w:rPr>
          <w:sz w:val="24"/>
          <w:szCs w:val="28"/>
        </w:rPr>
        <w:t xml:space="preserve">les taux de couverture, </w:t>
      </w:r>
      <w:r w:rsidRPr="00326F73">
        <w:rPr>
          <w:sz w:val="24"/>
          <w:szCs w:val="28"/>
        </w:rPr>
        <w:t xml:space="preserve">quelques indicateurs de santé liés à l’utilisation des services et la continuité des soins entre autres. </w:t>
      </w:r>
    </w:p>
    <w:p w14:paraId="5183F428" w14:textId="77777777" w:rsidR="004B5292" w:rsidRDefault="004B5292" w:rsidP="007E7E2A">
      <w:pPr>
        <w:jc w:val="both"/>
        <w:rPr>
          <w:sz w:val="24"/>
          <w:szCs w:val="28"/>
        </w:rPr>
      </w:pPr>
      <w:r w:rsidRPr="00326F73">
        <w:rPr>
          <w:sz w:val="24"/>
          <w:szCs w:val="28"/>
        </w:rPr>
        <w:t>Les données disponibles</w:t>
      </w:r>
      <w:r w:rsidRPr="00326F73">
        <w:rPr>
          <w:sz w:val="24"/>
          <w:szCs w:val="28"/>
          <w:vertAlign w:val="superscript"/>
        </w:rPr>
        <w:footnoteReference w:id="33"/>
      </w:r>
      <w:r w:rsidRPr="00326F73">
        <w:rPr>
          <w:sz w:val="24"/>
          <w:szCs w:val="28"/>
          <w:vertAlign w:val="superscript"/>
        </w:rPr>
        <w:t>,</w:t>
      </w:r>
      <w:r w:rsidRPr="00326F73">
        <w:rPr>
          <w:sz w:val="24"/>
          <w:szCs w:val="28"/>
          <w:vertAlign w:val="superscript"/>
        </w:rPr>
        <w:footnoteReference w:id="34"/>
      </w:r>
      <w:r w:rsidRPr="00326F73">
        <w:rPr>
          <w:sz w:val="24"/>
          <w:szCs w:val="28"/>
          <w:vertAlign w:val="superscript"/>
        </w:rPr>
        <w:t>,</w:t>
      </w:r>
      <w:r w:rsidRPr="00326F73">
        <w:rPr>
          <w:sz w:val="24"/>
          <w:szCs w:val="28"/>
          <w:vertAlign w:val="superscript"/>
        </w:rPr>
        <w:footnoteReference w:id="35"/>
      </w:r>
      <w:r w:rsidRPr="00326F73">
        <w:rPr>
          <w:sz w:val="24"/>
          <w:szCs w:val="28"/>
          <w:vertAlign w:val="superscript"/>
        </w:rPr>
        <w:t>,</w:t>
      </w:r>
      <w:r w:rsidRPr="00326F73">
        <w:rPr>
          <w:sz w:val="24"/>
          <w:szCs w:val="28"/>
          <w:vertAlign w:val="superscript"/>
        </w:rPr>
        <w:footnoteReference w:id="36"/>
      </w:r>
      <w:r w:rsidRPr="00326F73">
        <w:rPr>
          <w:sz w:val="24"/>
          <w:szCs w:val="28"/>
          <w:vertAlign w:val="superscript"/>
        </w:rPr>
        <w:t>,</w:t>
      </w:r>
      <w:r w:rsidRPr="00326F73">
        <w:rPr>
          <w:sz w:val="24"/>
          <w:szCs w:val="28"/>
          <w:vertAlign w:val="superscript"/>
        </w:rPr>
        <w:footnoteReference w:id="37"/>
      </w:r>
      <w:r w:rsidRPr="00326F73">
        <w:rPr>
          <w:sz w:val="24"/>
          <w:szCs w:val="28"/>
          <w:vertAlign w:val="superscript"/>
        </w:rPr>
        <w:t>,</w:t>
      </w:r>
      <w:r w:rsidRPr="00326F73">
        <w:rPr>
          <w:sz w:val="24"/>
          <w:szCs w:val="28"/>
          <w:vertAlign w:val="superscript"/>
        </w:rPr>
        <w:footnoteReference w:id="38"/>
      </w:r>
      <w:r w:rsidRPr="00326F73">
        <w:rPr>
          <w:sz w:val="24"/>
          <w:szCs w:val="28"/>
        </w:rPr>
        <w:t xml:space="preserve"> montrent que les indicateurs ont globalement régressé ou stagné, à l’exception de la PF et de l’accouchement assisté par un personnel qualifié de 2014 à 2017</w:t>
      </w:r>
      <w:r w:rsidRPr="00326F73" w:rsidDel="00AD0882">
        <w:rPr>
          <w:sz w:val="24"/>
          <w:szCs w:val="28"/>
        </w:rPr>
        <w:t xml:space="preserve">  </w:t>
      </w:r>
      <w:r w:rsidRPr="00326F73">
        <w:rPr>
          <w:sz w:val="24"/>
          <w:szCs w:val="28"/>
        </w:rPr>
        <w:t xml:space="preserve">(tableau </w:t>
      </w:r>
      <w:r w:rsidR="00326F73">
        <w:rPr>
          <w:sz w:val="24"/>
          <w:szCs w:val="28"/>
        </w:rPr>
        <w:t>1.1</w:t>
      </w:r>
      <w:r w:rsidRPr="00326F73">
        <w:rPr>
          <w:sz w:val="24"/>
          <w:szCs w:val="28"/>
        </w:rPr>
        <w:t>).</w:t>
      </w:r>
    </w:p>
    <w:p w14:paraId="4E3A710E" w14:textId="77777777" w:rsidR="00556082" w:rsidRDefault="00556082" w:rsidP="007E7E2A">
      <w:pPr>
        <w:jc w:val="both"/>
        <w:rPr>
          <w:sz w:val="24"/>
          <w:szCs w:val="28"/>
        </w:rPr>
      </w:pPr>
    </w:p>
    <w:p w14:paraId="33100DB6" w14:textId="77777777" w:rsidR="00556082" w:rsidRPr="00326F73" w:rsidRDefault="00556082" w:rsidP="007E7E2A">
      <w:pPr>
        <w:jc w:val="both"/>
        <w:rPr>
          <w:sz w:val="24"/>
          <w:szCs w:val="28"/>
        </w:rPr>
      </w:pPr>
    </w:p>
    <w:p w14:paraId="09EAE0FA" w14:textId="77777777" w:rsidR="004B5292" w:rsidRPr="00326F73" w:rsidRDefault="004B5292" w:rsidP="004B5292">
      <w:pPr>
        <w:pStyle w:val="Lgende"/>
        <w:spacing w:after="0" w:line="276" w:lineRule="auto"/>
        <w:ind w:right="51"/>
        <w:rPr>
          <w:rFonts w:asciiTheme="minorHAnsi" w:hAnsiTheme="minorHAnsi" w:cstheme="minorHAnsi"/>
          <w:b w:val="0"/>
        </w:rPr>
      </w:pPr>
      <w:bookmarkStart w:id="23" w:name="_Toc533009760"/>
      <w:r w:rsidRPr="00326F73">
        <w:rPr>
          <w:rFonts w:asciiTheme="minorHAnsi" w:hAnsiTheme="minorHAnsi" w:cstheme="minorHAnsi"/>
          <w:b w:val="0"/>
        </w:rPr>
        <w:t>Tableau </w:t>
      </w:r>
      <w:r w:rsidR="00326F73" w:rsidRPr="00326F73">
        <w:rPr>
          <w:rFonts w:asciiTheme="minorHAnsi" w:hAnsiTheme="minorHAnsi" w:cstheme="minorHAnsi"/>
          <w:b w:val="0"/>
        </w:rPr>
        <w:t>1.1</w:t>
      </w:r>
      <w:r w:rsidRPr="00326F73">
        <w:rPr>
          <w:rFonts w:asciiTheme="minorHAnsi" w:hAnsiTheme="minorHAnsi" w:cstheme="minorHAnsi"/>
          <w:b w:val="0"/>
        </w:rPr>
        <w:t> : Tendance de</w:t>
      </w:r>
      <w:r w:rsidR="009C4B42">
        <w:rPr>
          <w:rFonts w:asciiTheme="minorHAnsi" w:hAnsiTheme="minorHAnsi" w:cstheme="minorHAnsi"/>
          <w:b w:val="0"/>
        </w:rPr>
        <w:t xml:space="preserve"> quelques indicateurs de soins </w:t>
      </w:r>
      <w:r w:rsidRPr="00326F73">
        <w:rPr>
          <w:rFonts w:asciiTheme="minorHAnsi" w:hAnsiTheme="minorHAnsi" w:cstheme="minorHAnsi"/>
          <w:b w:val="0"/>
        </w:rPr>
        <w:t xml:space="preserve">au niveau primaire </w:t>
      </w:r>
      <w:bookmarkEnd w:id="23"/>
    </w:p>
    <w:tbl>
      <w:tblPr>
        <w:tblW w:w="9072" w:type="dxa"/>
        <w:tblLayout w:type="fixed"/>
        <w:tblCellMar>
          <w:left w:w="70" w:type="dxa"/>
          <w:right w:w="70" w:type="dxa"/>
        </w:tblCellMar>
        <w:tblLook w:val="0000" w:firstRow="0" w:lastRow="0" w:firstColumn="0" w:lastColumn="0" w:noHBand="0" w:noVBand="0"/>
      </w:tblPr>
      <w:tblGrid>
        <w:gridCol w:w="3920"/>
        <w:gridCol w:w="1220"/>
        <w:gridCol w:w="1480"/>
        <w:gridCol w:w="1282"/>
        <w:gridCol w:w="1170"/>
      </w:tblGrid>
      <w:tr w:rsidR="00326F73" w:rsidRPr="00326F73" w14:paraId="58FE98B2" w14:textId="77777777" w:rsidTr="00326F73">
        <w:trPr>
          <w:trHeight w:val="402"/>
        </w:trPr>
        <w:tc>
          <w:tcPr>
            <w:tcW w:w="3920" w:type="dxa"/>
            <w:tcBorders>
              <w:top w:val="nil"/>
              <w:left w:val="nil"/>
              <w:bottom w:val="nil"/>
              <w:right w:val="nil"/>
            </w:tcBorders>
            <w:shd w:val="solid" w:color="333399" w:fill="CCCCFF"/>
            <w:vAlign w:val="center"/>
          </w:tcPr>
          <w:p w14:paraId="12C592D7" w14:textId="77777777" w:rsidR="004B5292" w:rsidRPr="003D3BBA" w:rsidRDefault="004B5292" w:rsidP="00326F73">
            <w:pPr>
              <w:autoSpaceDE w:val="0"/>
              <w:autoSpaceDN w:val="0"/>
              <w:adjustRightInd w:val="0"/>
              <w:spacing w:after="0" w:line="240" w:lineRule="auto"/>
              <w:jc w:val="center"/>
              <w:rPr>
                <w:rFonts w:ascii="MS Shell Dlg 2" w:hAnsi="MS Shell Dlg 2" w:cs="MS Shell Dlg 2"/>
                <w:b/>
                <w:bCs/>
                <w:color w:val="FFFFFF" w:themeColor="background1"/>
                <w:sz w:val="20"/>
                <w:szCs w:val="20"/>
              </w:rPr>
            </w:pPr>
            <w:r w:rsidRPr="003D3BBA">
              <w:rPr>
                <w:rFonts w:ascii="MS Shell Dlg 2" w:hAnsi="MS Shell Dlg 2" w:cs="MS Shell Dlg 2"/>
                <w:b/>
                <w:bCs/>
                <w:color w:val="FFFFFF" w:themeColor="background1"/>
                <w:sz w:val="20"/>
                <w:szCs w:val="20"/>
              </w:rPr>
              <w:t>Indicateurs</w:t>
            </w:r>
          </w:p>
        </w:tc>
        <w:tc>
          <w:tcPr>
            <w:tcW w:w="1220" w:type="dxa"/>
            <w:tcBorders>
              <w:top w:val="nil"/>
              <w:left w:val="nil"/>
              <w:bottom w:val="nil"/>
              <w:right w:val="nil"/>
            </w:tcBorders>
            <w:shd w:val="solid" w:color="333399" w:fill="CCCCFF"/>
            <w:vAlign w:val="center"/>
          </w:tcPr>
          <w:p w14:paraId="409F088A" w14:textId="77777777" w:rsidR="004B5292" w:rsidRPr="003D3BBA" w:rsidRDefault="004B5292" w:rsidP="00326F73">
            <w:pPr>
              <w:autoSpaceDE w:val="0"/>
              <w:autoSpaceDN w:val="0"/>
              <w:adjustRightInd w:val="0"/>
              <w:spacing w:after="0" w:line="240" w:lineRule="auto"/>
              <w:jc w:val="center"/>
              <w:rPr>
                <w:rFonts w:ascii="MS Shell Dlg 2" w:hAnsi="MS Shell Dlg 2" w:cs="MS Shell Dlg 2"/>
                <w:b/>
                <w:bCs/>
                <w:color w:val="FFFFFF" w:themeColor="background1"/>
                <w:sz w:val="20"/>
                <w:szCs w:val="20"/>
              </w:rPr>
            </w:pPr>
            <w:r w:rsidRPr="003D3BBA">
              <w:rPr>
                <w:rFonts w:ascii="MS Shell Dlg 2" w:hAnsi="MS Shell Dlg 2" w:cs="MS Shell Dlg 2"/>
                <w:b/>
                <w:bCs/>
                <w:color w:val="FFFFFF" w:themeColor="background1"/>
                <w:sz w:val="20"/>
                <w:szCs w:val="20"/>
              </w:rPr>
              <w:t>2014</w:t>
            </w:r>
          </w:p>
        </w:tc>
        <w:tc>
          <w:tcPr>
            <w:tcW w:w="1480" w:type="dxa"/>
            <w:tcBorders>
              <w:top w:val="nil"/>
              <w:left w:val="nil"/>
              <w:bottom w:val="nil"/>
              <w:right w:val="nil"/>
            </w:tcBorders>
            <w:shd w:val="solid" w:color="333399" w:fill="CCCCFF"/>
            <w:vAlign w:val="center"/>
          </w:tcPr>
          <w:p w14:paraId="30176615" w14:textId="77777777" w:rsidR="004B5292" w:rsidRPr="003D3BBA" w:rsidRDefault="004B5292" w:rsidP="00326F73">
            <w:pPr>
              <w:autoSpaceDE w:val="0"/>
              <w:autoSpaceDN w:val="0"/>
              <w:adjustRightInd w:val="0"/>
              <w:spacing w:after="0" w:line="240" w:lineRule="auto"/>
              <w:jc w:val="center"/>
              <w:rPr>
                <w:rFonts w:ascii="MS Shell Dlg 2" w:hAnsi="MS Shell Dlg 2" w:cs="MS Shell Dlg 2"/>
                <w:b/>
                <w:bCs/>
                <w:color w:val="FFFFFF" w:themeColor="background1"/>
                <w:sz w:val="20"/>
                <w:szCs w:val="20"/>
              </w:rPr>
            </w:pPr>
            <w:r w:rsidRPr="003D3BBA">
              <w:rPr>
                <w:rFonts w:ascii="MS Shell Dlg 2" w:hAnsi="MS Shell Dlg 2" w:cs="MS Shell Dlg 2"/>
                <w:b/>
                <w:bCs/>
                <w:color w:val="FFFFFF" w:themeColor="background1"/>
                <w:sz w:val="20"/>
                <w:szCs w:val="20"/>
              </w:rPr>
              <w:t>2015</w:t>
            </w:r>
          </w:p>
        </w:tc>
        <w:tc>
          <w:tcPr>
            <w:tcW w:w="1282" w:type="dxa"/>
            <w:tcBorders>
              <w:top w:val="nil"/>
              <w:left w:val="nil"/>
              <w:bottom w:val="nil"/>
              <w:right w:val="nil"/>
            </w:tcBorders>
            <w:shd w:val="solid" w:color="333399" w:fill="CCCCFF"/>
            <w:vAlign w:val="center"/>
          </w:tcPr>
          <w:p w14:paraId="0CB40634" w14:textId="77777777" w:rsidR="004B5292" w:rsidRPr="003D3BBA" w:rsidRDefault="004B5292" w:rsidP="00326F73">
            <w:pPr>
              <w:autoSpaceDE w:val="0"/>
              <w:autoSpaceDN w:val="0"/>
              <w:adjustRightInd w:val="0"/>
              <w:spacing w:after="0" w:line="240" w:lineRule="auto"/>
              <w:jc w:val="center"/>
              <w:rPr>
                <w:rFonts w:ascii="MS Shell Dlg 2" w:hAnsi="MS Shell Dlg 2" w:cs="MS Shell Dlg 2"/>
                <w:b/>
                <w:bCs/>
                <w:color w:val="FFFFFF" w:themeColor="background1"/>
                <w:sz w:val="20"/>
                <w:szCs w:val="20"/>
              </w:rPr>
            </w:pPr>
            <w:r w:rsidRPr="003D3BBA">
              <w:rPr>
                <w:rFonts w:ascii="MS Shell Dlg 2" w:hAnsi="MS Shell Dlg 2" w:cs="MS Shell Dlg 2"/>
                <w:b/>
                <w:bCs/>
                <w:color w:val="FFFFFF" w:themeColor="background1"/>
                <w:sz w:val="20"/>
                <w:szCs w:val="20"/>
              </w:rPr>
              <w:t>2016</w:t>
            </w:r>
          </w:p>
        </w:tc>
        <w:tc>
          <w:tcPr>
            <w:tcW w:w="1170" w:type="dxa"/>
            <w:tcBorders>
              <w:top w:val="nil"/>
              <w:left w:val="nil"/>
              <w:bottom w:val="nil"/>
              <w:right w:val="nil"/>
            </w:tcBorders>
            <w:shd w:val="solid" w:color="333399" w:fill="CCCCFF"/>
            <w:vAlign w:val="center"/>
          </w:tcPr>
          <w:p w14:paraId="715EB2CF" w14:textId="77777777" w:rsidR="004B5292" w:rsidRPr="003D3BBA" w:rsidRDefault="004B5292" w:rsidP="00326F73">
            <w:pPr>
              <w:autoSpaceDE w:val="0"/>
              <w:autoSpaceDN w:val="0"/>
              <w:adjustRightInd w:val="0"/>
              <w:spacing w:after="0" w:line="240" w:lineRule="auto"/>
              <w:jc w:val="center"/>
              <w:rPr>
                <w:rFonts w:ascii="MS Shell Dlg 2" w:hAnsi="MS Shell Dlg 2" w:cs="MS Shell Dlg 2"/>
                <w:b/>
                <w:bCs/>
                <w:color w:val="FFFFFF" w:themeColor="background1"/>
                <w:sz w:val="20"/>
                <w:szCs w:val="20"/>
              </w:rPr>
            </w:pPr>
            <w:r w:rsidRPr="003D3BBA">
              <w:rPr>
                <w:rFonts w:ascii="MS Shell Dlg 2" w:hAnsi="MS Shell Dlg 2" w:cs="MS Shell Dlg 2"/>
                <w:b/>
                <w:bCs/>
                <w:color w:val="FFFFFF" w:themeColor="background1"/>
                <w:sz w:val="20"/>
                <w:szCs w:val="20"/>
              </w:rPr>
              <w:t>2017</w:t>
            </w:r>
          </w:p>
        </w:tc>
      </w:tr>
      <w:tr w:rsidR="00326F73" w:rsidRPr="00326F73" w14:paraId="52296A81" w14:textId="77777777" w:rsidTr="00326F73">
        <w:trPr>
          <w:trHeight w:val="583"/>
        </w:trPr>
        <w:tc>
          <w:tcPr>
            <w:tcW w:w="3920" w:type="dxa"/>
            <w:tcBorders>
              <w:top w:val="nil"/>
              <w:left w:val="nil"/>
              <w:bottom w:val="nil"/>
              <w:right w:val="nil"/>
            </w:tcBorders>
            <w:shd w:val="solid" w:color="FFFFFF" w:fill="auto"/>
          </w:tcPr>
          <w:p w14:paraId="3A34DB47" w14:textId="77777777" w:rsidR="004B5292" w:rsidRPr="00326F73" w:rsidRDefault="004B5292" w:rsidP="00326F73">
            <w:pPr>
              <w:autoSpaceDE w:val="0"/>
              <w:autoSpaceDN w:val="0"/>
              <w:adjustRightInd w:val="0"/>
              <w:spacing w:after="0" w:line="240" w:lineRule="auto"/>
              <w:rPr>
                <w:rFonts w:ascii="Calibri" w:hAnsi="Calibri" w:cs="Calibri"/>
              </w:rPr>
            </w:pPr>
            <w:r w:rsidRPr="00326F73">
              <w:rPr>
                <w:rFonts w:ascii="Calibri" w:hAnsi="Calibri" w:cs="Calibri"/>
              </w:rPr>
              <w:t>Nombre de contacts soins curatifs par habitant*</w:t>
            </w:r>
          </w:p>
        </w:tc>
        <w:tc>
          <w:tcPr>
            <w:tcW w:w="1220" w:type="dxa"/>
            <w:tcBorders>
              <w:top w:val="nil"/>
              <w:left w:val="nil"/>
              <w:bottom w:val="nil"/>
              <w:right w:val="nil"/>
            </w:tcBorders>
            <w:shd w:val="solid" w:color="FFFFFF" w:fill="auto"/>
          </w:tcPr>
          <w:p w14:paraId="18CCFAE0"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0.29</w:t>
            </w:r>
          </w:p>
        </w:tc>
        <w:tc>
          <w:tcPr>
            <w:tcW w:w="1480" w:type="dxa"/>
            <w:tcBorders>
              <w:top w:val="nil"/>
              <w:left w:val="nil"/>
              <w:bottom w:val="nil"/>
              <w:right w:val="nil"/>
            </w:tcBorders>
            <w:shd w:val="solid" w:color="FFFFFF" w:fill="auto"/>
          </w:tcPr>
          <w:p w14:paraId="0AC1332D"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0.21</w:t>
            </w:r>
          </w:p>
        </w:tc>
        <w:tc>
          <w:tcPr>
            <w:tcW w:w="1282" w:type="dxa"/>
            <w:tcBorders>
              <w:top w:val="nil"/>
              <w:left w:val="nil"/>
              <w:bottom w:val="nil"/>
              <w:right w:val="nil"/>
            </w:tcBorders>
            <w:shd w:val="solid" w:color="FFFFFF" w:fill="auto"/>
          </w:tcPr>
          <w:p w14:paraId="30D509FC"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0.24</w:t>
            </w:r>
          </w:p>
        </w:tc>
        <w:tc>
          <w:tcPr>
            <w:tcW w:w="1170" w:type="dxa"/>
            <w:tcBorders>
              <w:top w:val="nil"/>
              <w:left w:val="nil"/>
              <w:bottom w:val="nil"/>
              <w:right w:val="nil"/>
            </w:tcBorders>
            <w:shd w:val="solid" w:color="FFFFFF" w:fill="auto"/>
          </w:tcPr>
          <w:p w14:paraId="77ECCAB5"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0.24</w:t>
            </w:r>
          </w:p>
        </w:tc>
      </w:tr>
      <w:tr w:rsidR="00326F73" w:rsidRPr="00326F73" w14:paraId="402E5EA4" w14:textId="77777777" w:rsidTr="00326F73">
        <w:trPr>
          <w:trHeight w:val="290"/>
        </w:trPr>
        <w:tc>
          <w:tcPr>
            <w:tcW w:w="3920" w:type="dxa"/>
            <w:tcBorders>
              <w:top w:val="nil"/>
              <w:left w:val="nil"/>
              <w:bottom w:val="nil"/>
              <w:right w:val="nil"/>
            </w:tcBorders>
            <w:shd w:val="solid" w:color="FFFFFF" w:fill="auto"/>
          </w:tcPr>
          <w:p w14:paraId="19E7AE4F" w14:textId="77777777" w:rsidR="004B5292" w:rsidRPr="00326F73" w:rsidRDefault="004B5292" w:rsidP="00326F73">
            <w:pPr>
              <w:autoSpaceDE w:val="0"/>
              <w:autoSpaceDN w:val="0"/>
              <w:adjustRightInd w:val="0"/>
              <w:spacing w:after="0" w:line="240" w:lineRule="auto"/>
              <w:rPr>
                <w:rFonts w:ascii="Calibri" w:hAnsi="Calibri" w:cs="Calibri"/>
              </w:rPr>
            </w:pPr>
            <w:r w:rsidRPr="00326F73">
              <w:rPr>
                <w:rFonts w:ascii="Calibri" w:hAnsi="Calibri" w:cs="Calibri"/>
              </w:rPr>
              <w:t>CPN4+ (%)**</w:t>
            </w:r>
          </w:p>
        </w:tc>
        <w:tc>
          <w:tcPr>
            <w:tcW w:w="1220" w:type="dxa"/>
            <w:tcBorders>
              <w:top w:val="nil"/>
              <w:left w:val="nil"/>
              <w:bottom w:val="nil"/>
              <w:right w:val="nil"/>
            </w:tcBorders>
            <w:shd w:val="solid" w:color="FFFFFF" w:fill="auto"/>
          </w:tcPr>
          <w:p w14:paraId="6816BF33"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57</w:t>
            </w:r>
          </w:p>
        </w:tc>
        <w:tc>
          <w:tcPr>
            <w:tcW w:w="1480" w:type="dxa"/>
            <w:tcBorders>
              <w:top w:val="nil"/>
              <w:left w:val="nil"/>
              <w:bottom w:val="nil"/>
              <w:right w:val="nil"/>
            </w:tcBorders>
            <w:shd w:val="solid" w:color="FFFFFF" w:fill="auto"/>
          </w:tcPr>
          <w:p w14:paraId="4BB1F1B3"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p>
        </w:tc>
        <w:tc>
          <w:tcPr>
            <w:tcW w:w="1282" w:type="dxa"/>
            <w:tcBorders>
              <w:top w:val="nil"/>
              <w:left w:val="nil"/>
              <w:bottom w:val="nil"/>
              <w:right w:val="nil"/>
            </w:tcBorders>
            <w:shd w:val="solid" w:color="FFFFFF" w:fill="auto"/>
          </w:tcPr>
          <w:p w14:paraId="049248A2"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50,6</w:t>
            </w:r>
          </w:p>
        </w:tc>
        <w:tc>
          <w:tcPr>
            <w:tcW w:w="1170" w:type="dxa"/>
            <w:tcBorders>
              <w:top w:val="nil"/>
              <w:left w:val="nil"/>
              <w:bottom w:val="nil"/>
              <w:right w:val="nil"/>
            </w:tcBorders>
            <w:shd w:val="solid" w:color="FFFFFF" w:fill="auto"/>
          </w:tcPr>
          <w:p w14:paraId="7AF911D7"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35,3</w:t>
            </w:r>
          </w:p>
        </w:tc>
      </w:tr>
      <w:tr w:rsidR="00326F73" w:rsidRPr="00326F73" w14:paraId="7F4BD506" w14:textId="77777777" w:rsidTr="00326F73">
        <w:trPr>
          <w:trHeight w:val="289"/>
        </w:trPr>
        <w:tc>
          <w:tcPr>
            <w:tcW w:w="3920" w:type="dxa"/>
            <w:tcBorders>
              <w:top w:val="nil"/>
              <w:left w:val="nil"/>
              <w:bottom w:val="nil"/>
              <w:right w:val="nil"/>
            </w:tcBorders>
            <w:shd w:val="solid" w:color="FFFFFF" w:fill="auto"/>
          </w:tcPr>
          <w:p w14:paraId="4DF18508" w14:textId="77777777" w:rsidR="004B5292" w:rsidRPr="00326F73" w:rsidRDefault="004B5292" w:rsidP="00326F73">
            <w:pPr>
              <w:autoSpaceDE w:val="0"/>
              <w:autoSpaceDN w:val="0"/>
              <w:adjustRightInd w:val="0"/>
              <w:spacing w:after="0" w:line="240" w:lineRule="auto"/>
              <w:rPr>
                <w:rFonts w:ascii="Calibri" w:hAnsi="Calibri" w:cs="Calibri"/>
              </w:rPr>
            </w:pPr>
            <w:r w:rsidRPr="00326F73">
              <w:rPr>
                <w:rFonts w:ascii="Calibri" w:hAnsi="Calibri" w:cs="Calibri"/>
              </w:rPr>
              <w:t>Accouchement assisté (%)**</w:t>
            </w:r>
          </w:p>
        </w:tc>
        <w:tc>
          <w:tcPr>
            <w:tcW w:w="1220" w:type="dxa"/>
            <w:tcBorders>
              <w:top w:val="nil"/>
              <w:left w:val="nil"/>
              <w:bottom w:val="nil"/>
              <w:right w:val="nil"/>
            </w:tcBorders>
            <w:shd w:val="solid" w:color="FFFFFF" w:fill="auto"/>
          </w:tcPr>
          <w:p w14:paraId="45895A60"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45</w:t>
            </w:r>
          </w:p>
        </w:tc>
        <w:tc>
          <w:tcPr>
            <w:tcW w:w="1480" w:type="dxa"/>
            <w:tcBorders>
              <w:top w:val="nil"/>
              <w:left w:val="nil"/>
              <w:bottom w:val="nil"/>
              <w:right w:val="nil"/>
            </w:tcBorders>
            <w:shd w:val="solid" w:color="FFFFFF" w:fill="auto"/>
          </w:tcPr>
          <w:p w14:paraId="415CDFE1"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p>
        </w:tc>
        <w:tc>
          <w:tcPr>
            <w:tcW w:w="1282" w:type="dxa"/>
            <w:tcBorders>
              <w:top w:val="nil"/>
              <w:left w:val="nil"/>
              <w:bottom w:val="nil"/>
              <w:right w:val="nil"/>
            </w:tcBorders>
            <w:shd w:val="solid" w:color="FFFFFF" w:fill="auto"/>
          </w:tcPr>
          <w:p w14:paraId="23058DC3"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62,7</w:t>
            </w:r>
          </w:p>
        </w:tc>
        <w:tc>
          <w:tcPr>
            <w:tcW w:w="1170" w:type="dxa"/>
            <w:tcBorders>
              <w:top w:val="nil"/>
              <w:left w:val="nil"/>
              <w:bottom w:val="nil"/>
              <w:right w:val="nil"/>
            </w:tcBorders>
            <w:shd w:val="solid" w:color="FFFFFF" w:fill="auto"/>
          </w:tcPr>
          <w:p w14:paraId="271C2F35"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55.3</w:t>
            </w:r>
          </w:p>
        </w:tc>
      </w:tr>
      <w:tr w:rsidR="00326F73" w:rsidRPr="00326F73" w14:paraId="1AF93D6C" w14:textId="77777777" w:rsidTr="00326F73">
        <w:trPr>
          <w:trHeight w:val="248"/>
        </w:trPr>
        <w:tc>
          <w:tcPr>
            <w:tcW w:w="3920" w:type="dxa"/>
            <w:tcBorders>
              <w:top w:val="nil"/>
              <w:left w:val="nil"/>
              <w:bottom w:val="nil"/>
              <w:right w:val="nil"/>
            </w:tcBorders>
            <w:shd w:val="solid" w:color="FFFFFF" w:fill="auto"/>
          </w:tcPr>
          <w:p w14:paraId="1B38400B" w14:textId="77777777" w:rsidR="004B5292" w:rsidRPr="00326F73" w:rsidRDefault="004B5292" w:rsidP="00326F73">
            <w:pPr>
              <w:autoSpaceDE w:val="0"/>
              <w:autoSpaceDN w:val="0"/>
              <w:adjustRightInd w:val="0"/>
              <w:spacing w:after="0" w:line="240" w:lineRule="auto"/>
              <w:rPr>
                <w:rFonts w:ascii="Calibri" w:hAnsi="Calibri" w:cs="Calibri"/>
              </w:rPr>
            </w:pPr>
            <w:r w:rsidRPr="00326F73">
              <w:rPr>
                <w:rFonts w:ascii="Calibri" w:hAnsi="Calibri" w:cs="Calibri"/>
              </w:rPr>
              <w:t>PF (%)**</w:t>
            </w:r>
          </w:p>
        </w:tc>
        <w:tc>
          <w:tcPr>
            <w:tcW w:w="1220" w:type="dxa"/>
            <w:tcBorders>
              <w:top w:val="nil"/>
              <w:left w:val="nil"/>
              <w:bottom w:val="nil"/>
              <w:right w:val="nil"/>
            </w:tcBorders>
            <w:shd w:val="solid" w:color="FFFFFF" w:fill="auto"/>
          </w:tcPr>
          <w:p w14:paraId="57FD9905"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6</w:t>
            </w:r>
          </w:p>
        </w:tc>
        <w:tc>
          <w:tcPr>
            <w:tcW w:w="1480" w:type="dxa"/>
            <w:tcBorders>
              <w:top w:val="nil"/>
              <w:left w:val="nil"/>
              <w:bottom w:val="nil"/>
              <w:right w:val="nil"/>
            </w:tcBorders>
            <w:shd w:val="solid" w:color="FFFFFF" w:fill="auto"/>
          </w:tcPr>
          <w:p w14:paraId="36E44968"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p>
        </w:tc>
        <w:tc>
          <w:tcPr>
            <w:tcW w:w="1282" w:type="dxa"/>
            <w:tcBorders>
              <w:top w:val="nil"/>
              <w:left w:val="nil"/>
              <w:bottom w:val="nil"/>
              <w:right w:val="nil"/>
            </w:tcBorders>
            <w:shd w:val="solid" w:color="FFFFFF" w:fill="auto"/>
          </w:tcPr>
          <w:p w14:paraId="6EE0E688"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8,7</w:t>
            </w:r>
          </w:p>
        </w:tc>
        <w:tc>
          <w:tcPr>
            <w:tcW w:w="1170" w:type="dxa"/>
            <w:tcBorders>
              <w:top w:val="nil"/>
              <w:left w:val="nil"/>
              <w:bottom w:val="nil"/>
              <w:right w:val="nil"/>
            </w:tcBorders>
            <w:shd w:val="solid" w:color="FFFFFF" w:fill="auto"/>
          </w:tcPr>
          <w:p w14:paraId="44F8E1BF"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10.9</w:t>
            </w:r>
          </w:p>
        </w:tc>
      </w:tr>
      <w:tr w:rsidR="00326F73" w:rsidRPr="00326F73" w14:paraId="562282BD" w14:textId="77777777" w:rsidTr="00326F73">
        <w:trPr>
          <w:trHeight w:val="303"/>
        </w:trPr>
        <w:tc>
          <w:tcPr>
            <w:tcW w:w="3920" w:type="dxa"/>
            <w:tcBorders>
              <w:top w:val="nil"/>
              <w:left w:val="nil"/>
              <w:bottom w:val="single" w:sz="12" w:space="0" w:color="333399"/>
              <w:right w:val="nil"/>
            </w:tcBorders>
            <w:shd w:val="solid" w:color="FFFFFF" w:fill="auto"/>
          </w:tcPr>
          <w:p w14:paraId="66B61453" w14:textId="77777777" w:rsidR="004B5292" w:rsidRPr="00326F73" w:rsidRDefault="004B5292" w:rsidP="00326F73">
            <w:pPr>
              <w:autoSpaceDE w:val="0"/>
              <w:autoSpaceDN w:val="0"/>
              <w:adjustRightInd w:val="0"/>
              <w:spacing w:after="0" w:line="240" w:lineRule="auto"/>
              <w:rPr>
                <w:rFonts w:ascii="Calibri" w:hAnsi="Calibri" w:cs="Calibri"/>
              </w:rPr>
            </w:pPr>
            <w:r w:rsidRPr="00326F73">
              <w:rPr>
                <w:rFonts w:ascii="Calibri" w:hAnsi="Calibri" w:cs="Calibri"/>
              </w:rPr>
              <w:t>Enfants complètement vaccinés (%)**</w:t>
            </w:r>
          </w:p>
        </w:tc>
        <w:tc>
          <w:tcPr>
            <w:tcW w:w="1220" w:type="dxa"/>
            <w:tcBorders>
              <w:top w:val="nil"/>
              <w:left w:val="nil"/>
              <w:bottom w:val="single" w:sz="12" w:space="0" w:color="333399"/>
              <w:right w:val="nil"/>
            </w:tcBorders>
            <w:shd w:val="solid" w:color="FFFFFF" w:fill="auto"/>
          </w:tcPr>
          <w:p w14:paraId="7236A7EA"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37</w:t>
            </w:r>
          </w:p>
        </w:tc>
        <w:tc>
          <w:tcPr>
            <w:tcW w:w="1480" w:type="dxa"/>
            <w:tcBorders>
              <w:top w:val="nil"/>
              <w:left w:val="nil"/>
              <w:bottom w:val="single" w:sz="12" w:space="0" w:color="333399"/>
              <w:right w:val="nil"/>
            </w:tcBorders>
            <w:shd w:val="solid" w:color="FFFFFF" w:fill="auto"/>
          </w:tcPr>
          <w:p w14:paraId="35D4AE33"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p>
        </w:tc>
        <w:tc>
          <w:tcPr>
            <w:tcW w:w="1282" w:type="dxa"/>
            <w:tcBorders>
              <w:top w:val="nil"/>
              <w:left w:val="nil"/>
              <w:bottom w:val="single" w:sz="12" w:space="0" w:color="333399"/>
              <w:right w:val="nil"/>
            </w:tcBorders>
            <w:shd w:val="solid" w:color="FFFFFF" w:fill="auto"/>
          </w:tcPr>
          <w:p w14:paraId="3B2BAD79"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26.3</w:t>
            </w:r>
          </w:p>
        </w:tc>
        <w:tc>
          <w:tcPr>
            <w:tcW w:w="1170" w:type="dxa"/>
            <w:tcBorders>
              <w:top w:val="nil"/>
              <w:left w:val="nil"/>
              <w:bottom w:val="single" w:sz="12" w:space="0" w:color="333399"/>
              <w:right w:val="nil"/>
            </w:tcBorders>
            <w:shd w:val="solid" w:color="FFFFFF" w:fill="auto"/>
          </w:tcPr>
          <w:p w14:paraId="15AAD7B9" w14:textId="77777777" w:rsidR="004B5292" w:rsidRPr="00326F73" w:rsidRDefault="004B5292" w:rsidP="00326F73">
            <w:pPr>
              <w:autoSpaceDE w:val="0"/>
              <w:autoSpaceDN w:val="0"/>
              <w:adjustRightInd w:val="0"/>
              <w:spacing w:after="0" w:line="240" w:lineRule="auto"/>
              <w:jc w:val="center"/>
              <w:rPr>
                <w:rFonts w:ascii="Maiandra GD" w:hAnsi="Maiandra GD" w:cs="Maiandra GD"/>
              </w:rPr>
            </w:pPr>
            <w:r w:rsidRPr="00326F73">
              <w:rPr>
                <w:rFonts w:ascii="Maiandra GD" w:hAnsi="Maiandra GD" w:cs="Maiandra GD"/>
              </w:rPr>
              <w:t>23.9</w:t>
            </w:r>
          </w:p>
        </w:tc>
      </w:tr>
      <w:tr w:rsidR="00326F73" w:rsidRPr="00326F73" w14:paraId="2E6AECA3" w14:textId="77777777" w:rsidTr="00326F73">
        <w:trPr>
          <w:trHeight w:val="259"/>
        </w:trPr>
        <w:tc>
          <w:tcPr>
            <w:tcW w:w="7902" w:type="dxa"/>
            <w:gridSpan w:val="4"/>
            <w:tcBorders>
              <w:top w:val="nil"/>
              <w:left w:val="nil"/>
              <w:bottom w:val="nil"/>
              <w:right w:val="nil"/>
            </w:tcBorders>
          </w:tcPr>
          <w:p w14:paraId="04FE5EC9" w14:textId="77777777" w:rsidR="004B5292" w:rsidRPr="00326F73" w:rsidRDefault="004B5292" w:rsidP="00326F73">
            <w:pPr>
              <w:autoSpaceDE w:val="0"/>
              <w:autoSpaceDN w:val="0"/>
              <w:adjustRightInd w:val="0"/>
              <w:spacing w:after="0" w:line="240" w:lineRule="auto"/>
              <w:rPr>
                <w:rFonts w:ascii="Calibri" w:hAnsi="Calibri" w:cs="Calibri"/>
                <w:sz w:val="20"/>
                <w:szCs w:val="20"/>
              </w:rPr>
            </w:pPr>
            <w:r w:rsidRPr="00326F73">
              <w:rPr>
                <w:rFonts w:ascii="Calibri" w:hAnsi="Calibri" w:cs="Calibri"/>
                <w:sz w:val="20"/>
                <w:szCs w:val="20"/>
              </w:rPr>
              <w:t xml:space="preserve">Source : (*) Annuaires statistiques du MS, (**) EDS 2012 ou MICS 2016 </w:t>
            </w:r>
          </w:p>
        </w:tc>
        <w:tc>
          <w:tcPr>
            <w:tcW w:w="1170" w:type="dxa"/>
            <w:tcBorders>
              <w:top w:val="nil"/>
              <w:left w:val="nil"/>
              <w:bottom w:val="nil"/>
              <w:right w:val="nil"/>
            </w:tcBorders>
          </w:tcPr>
          <w:p w14:paraId="2D86FB7E" w14:textId="77777777" w:rsidR="004B5292" w:rsidRPr="00326F73" w:rsidRDefault="004B5292" w:rsidP="00326F73">
            <w:pPr>
              <w:autoSpaceDE w:val="0"/>
              <w:autoSpaceDN w:val="0"/>
              <w:adjustRightInd w:val="0"/>
              <w:spacing w:after="0" w:line="240" w:lineRule="auto"/>
              <w:jc w:val="right"/>
              <w:rPr>
                <w:rFonts w:ascii="MS Shell Dlg 2" w:hAnsi="MS Shell Dlg 2" w:cs="MS Shell Dlg 2"/>
                <w:sz w:val="20"/>
                <w:szCs w:val="20"/>
              </w:rPr>
            </w:pPr>
          </w:p>
        </w:tc>
      </w:tr>
    </w:tbl>
    <w:p w14:paraId="5704F737" w14:textId="77777777" w:rsidR="004B5292" w:rsidRPr="00326F73" w:rsidRDefault="004B5292" w:rsidP="004B5292">
      <w:pPr>
        <w:tabs>
          <w:tab w:val="left" w:pos="3720"/>
        </w:tabs>
        <w:spacing w:before="240"/>
        <w:rPr>
          <w:sz w:val="24"/>
          <w:szCs w:val="28"/>
        </w:rPr>
      </w:pPr>
      <w:r w:rsidRPr="00326F73">
        <w:rPr>
          <w:sz w:val="24"/>
          <w:szCs w:val="28"/>
        </w:rPr>
        <w:t xml:space="preserve">Si l’utilisation initiale des services reste relativement bonne, la continuité des soins, quant à elle, connait quelques difficultés liées à la forte déperdition : </w:t>
      </w:r>
    </w:p>
    <w:p w14:paraId="748CD630" w14:textId="77777777" w:rsidR="004B5292" w:rsidRPr="00326F73" w:rsidRDefault="004B5292" w:rsidP="004B5292">
      <w:pPr>
        <w:pStyle w:val="Paragraphedeliste"/>
        <w:numPr>
          <w:ilvl w:val="0"/>
          <w:numId w:val="39"/>
        </w:numPr>
        <w:spacing w:after="120" w:line="240" w:lineRule="auto"/>
        <w:jc w:val="both"/>
        <w:rPr>
          <w:sz w:val="24"/>
          <w:szCs w:val="28"/>
        </w:rPr>
      </w:pPr>
      <w:r w:rsidRPr="00326F73">
        <w:rPr>
          <w:sz w:val="24"/>
          <w:szCs w:val="28"/>
        </w:rPr>
        <w:t>La proportion des femmes qui bénéficient de la première CPN est 80,9%, mais seules 35,3% bénéficient de CPN4</w:t>
      </w:r>
      <w:r w:rsidRPr="00326F73">
        <w:rPr>
          <w:sz w:val="24"/>
          <w:szCs w:val="28"/>
          <w:vertAlign w:val="superscript"/>
        </w:rPr>
        <w:footnoteReference w:id="39"/>
      </w:r>
      <w:r w:rsidRPr="00326F73">
        <w:rPr>
          <w:sz w:val="24"/>
          <w:szCs w:val="28"/>
        </w:rPr>
        <w:t> ;</w:t>
      </w:r>
    </w:p>
    <w:p w14:paraId="5A01EE24" w14:textId="77777777" w:rsidR="004B5292" w:rsidRPr="00326F73" w:rsidRDefault="004B5292" w:rsidP="004B5292">
      <w:pPr>
        <w:pStyle w:val="Paragraphedeliste"/>
        <w:numPr>
          <w:ilvl w:val="0"/>
          <w:numId w:val="39"/>
        </w:numPr>
        <w:spacing w:after="120" w:line="240" w:lineRule="auto"/>
        <w:jc w:val="both"/>
        <w:rPr>
          <w:sz w:val="24"/>
          <w:szCs w:val="28"/>
        </w:rPr>
      </w:pPr>
      <w:r w:rsidRPr="00326F73">
        <w:rPr>
          <w:sz w:val="24"/>
          <w:szCs w:val="28"/>
        </w:rPr>
        <w:t>Le taux d’allaitement précoce est de 78%, mais seulement 35,2% des enfants bénéficient de l’allaitement exclusif au sein pendant six (6) mois</w:t>
      </w:r>
      <w:r w:rsidRPr="00326F73">
        <w:rPr>
          <w:sz w:val="24"/>
          <w:szCs w:val="28"/>
          <w:vertAlign w:val="superscript"/>
        </w:rPr>
        <w:footnoteReference w:id="40"/>
      </w:r>
      <w:r w:rsidRPr="00326F73">
        <w:rPr>
          <w:sz w:val="24"/>
          <w:szCs w:val="28"/>
        </w:rPr>
        <w:t xml:space="preserve">. </w:t>
      </w:r>
    </w:p>
    <w:p w14:paraId="1719BAEA" w14:textId="77777777" w:rsidR="004B5292" w:rsidRPr="00326F73" w:rsidRDefault="004B5292" w:rsidP="004B5292">
      <w:pPr>
        <w:pStyle w:val="Paragraphedeliste"/>
        <w:numPr>
          <w:ilvl w:val="0"/>
          <w:numId w:val="39"/>
        </w:numPr>
        <w:spacing w:after="120" w:line="240" w:lineRule="auto"/>
        <w:jc w:val="both"/>
        <w:rPr>
          <w:sz w:val="24"/>
          <w:szCs w:val="28"/>
        </w:rPr>
      </w:pPr>
      <w:r w:rsidRPr="00326F73">
        <w:rPr>
          <w:sz w:val="24"/>
          <w:szCs w:val="28"/>
        </w:rPr>
        <w:t>La couverture vaccinale au BCG est 70% des enfants à la naissance et de 49,5% pour le VAR, soit une déperdition de 20,5 points de pourcentage</w:t>
      </w:r>
      <w:r w:rsidRPr="00326F73">
        <w:rPr>
          <w:sz w:val="24"/>
          <w:szCs w:val="28"/>
          <w:vertAlign w:val="superscript"/>
        </w:rPr>
        <w:footnoteReference w:id="41"/>
      </w:r>
      <w:r w:rsidRPr="00326F73">
        <w:rPr>
          <w:sz w:val="24"/>
          <w:szCs w:val="28"/>
        </w:rPr>
        <w:t xml:space="preserve">. </w:t>
      </w:r>
    </w:p>
    <w:p w14:paraId="512462B2" w14:textId="77777777" w:rsidR="004B5292" w:rsidRPr="00326F73" w:rsidRDefault="004B5292" w:rsidP="004B5292">
      <w:pPr>
        <w:pStyle w:val="Paragraphedeliste"/>
        <w:numPr>
          <w:ilvl w:val="0"/>
          <w:numId w:val="39"/>
        </w:numPr>
        <w:ind w:left="714" w:hanging="357"/>
        <w:contextualSpacing w:val="0"/>
        <w:jc w:val="both"/>
        <w:rPr>
          <w:sz w:val="24"/>
          <w:szCs w:val="28"/>
        </w:rPr>
      </w:pPr>
      <w:r w:rsidRPr="00326F73">
        <w:rPr>
          <w:sz w:val="24"/>
          <w:szCs w:val="28"/>
        </w:rPr>
        <w:t>Il en est de même pour la distribution des MILDA qui a une déperdition de 2,3%</w:t>
      </w:r>
      <w:r w:rsidRPr="00326F73">
        <w:rPr>
          <w:sz w:val="24"/>
          <w:szCs w:val="28"/>
          <w:vertAlign w:val="superscript"/>
        </w:rPr>
        <w:footnoteReference w:id="42"/>
      </w:r>
      <w:r w:rsidRPr="00326F73">
        <w:rPr>
          <w:sz w:val="24"/>
          <w:szCs w:val="28"/>
        </w:rPr>
        <w:t xml:space="preserve">. </w:t>
      </w:r>
    </w:p>
    <w:p w14:paraId="7BEB2FA3" w14:textId="77777777" w:rsidR="004B5292" w:rsidRPr="003D3BBA" w:rsidRDefault="004B5292" w:rsidP="00326F73">
      <w:pPr>
        <w:pStyle w:val="Paragraphedeliste"/>
        <w:ind w:left="0"/>
        <w:jc w:val="both"/>
        <w:rPr>
          <w:sz w:val="24"/>
          <w:szCs w:val="28"/>
        </w:rPr>
      </w:pPr>
      <w:r w:rsidRPr="00326F73">
        <w:rPr>
          <w:sz w:val="24"/>
          <w:szCs w:val="28"/>
        </w:rPr>
        <w:t>Au niveau secondaire des soins, le taux de césarienne est passé de 2,16% en 2015 à 2,78% en 2017 (norme de 5%) ; le taux d’occupation des lits a baissé passant de 90,9% à 63,59% (cible 80%). Quant à la durée moyenne de séjour</w:t>
      </w:r>
      <w:r w:rsidR="003D3BBA">
        <w:rPr>
          <w:sz w:val="24"/>
          <w:szCs w:val="28"/>
        </w:rPr>
        <w:t>,</w:t>
      </w:r>
      <w:r w:rsidRPr="00326F73">
        <w:rPr>
          <w:sz w:val="24"/>
          <w:szCs w:val="28"/>
        </w:rPr>
        <w:t xml:space="preserve"> elle passe de 7,53 jours en 2015 à 3,12 jours en 2017</w:t>
      </w:r>
      <w:r w:rsidR="003D3BBA">
        <w:rPr>
          <w:sz w:val="24"/>
          <w:szCs w:val="28"/>
        </w:rPr>
        <w:t>,</w:t>
      </w:r>
      <w:r w:rsidRPr="00326F73">
        <w:rPr>
          <w:sz w:val="24"/>
          <w:szCs w:val="28"/>
        </w:rPr>
        <w:t xml:space="preserve"> ce qui dénote une baisse significative (plus de la moitié) de la DMS.</w:t>
      </w:r>
      <w:r w:rsidR="003D3BBA">
        <w:rPr>
          <w:sz w:val="24"/>
          <w:szCs w:val="28"/>
        </w:rPr>
        <w:t xml:space="preserve"> On pourrait se demander si cette baisse respecte la qualité des soins.</w:t>
      </w:r>
      <w:r w:rsidRPr="00326F73">
        <w:rPr>
          <w:sz w:val="24"/>
          <w:szCs w:val="28"/>
        </w:rPr>
        <w:t xml:space="preserve"> Le taux de référence a également baissé entre 2015 et 2017, passant de 1.41% à 1.25% et le taux de mortalité hospitalière s’est accru passant de 4,58% en 2015, à 5,49% en 2017</w:t>
      </w:r>
      <w:r w:rsidRPr="00326F73">
        <w:rPr>
          <w:rStyle w:val="Appelnotedebasdep"/>
        </w:rPr>
        <w:footnoteReference w:id="43"/>
      </w:r>
      <w:r w:rsidRPr="00326F73">
        <w:t>.</w:t>
      </w:r>
      <w:r w:rsidR="003D3BBA">
        <w:t xml:space="preserve"> </w:t>
      </w:r>
      <w:r w:rsidR="003D3BBA" w:rsidRPr="003D3BBA">
        <w:rPr>
          <w:sz w:val="24"/>
          <w:szCs w:val="28"/>
        </w:rPr>
        <w:t>Cette dernière observation pose à la fois la question de la qualité des soins et l’état général des malades à leur admission</w:t>
      </w:r>
      <w:r w:rsidR="003D3BBA">
        <w:rPr>
          <w:sz w:val="24"/>
          <w:szCs w:val="28"/>
        </w:rPr>
        <w:t xml:space="preserve"> (tableau 1.2)</w:t>
      </w:r>
      <w:r w:rsidR="003D3BBA" w:rsidRPr="003D3BBA">
        <w:rPr>
          <w:sz w:val="24"/>
          <w:szCs w:val="28"/>
        </w:rPr>
        <w:t>.</w:t>
      </w:r>
    </w:p>
    <w:p w14:paraId="088F6C6A" w14:textId="77777777" w:rsidR="004B5292" w:rsidRPr="003D3BBA" w:rsidRDefault="004B5292" w:rsidP="004B5292">
      <w:pPr>
        <w:tabs>
          <w:tab w:val="left" w:pos="0"/>
        </w:tabs>
        <w:spacing w:before="100" w:after="100" w:line="240" w:lineRule="auto"/>
        <w:ind w:right="50"/>
        <w:rPr>
          <w:rFonts w:cstheme="minorHAnsi"/>
          <w:bCs/>
          <w:lang w:eastAsia="fr-FR"/>
        </w:rPr>
      </w:pPr>
      <w:r w:rsidRPr="003D3BBA">
        <w:rPr>
          <w:rFonts w:cstheme="minorHAnsi"/>
          <w:bCs/>
          <w:lang w:eastAsia="fr-FR"/>
        </w:rPr>
        <w:t xml:space="preserve">Tableau 3.7 : Tendance évolutive </w:t>
      </w:r>
      <w:r w:rsidRPr="003D3BBA">
        <w:t>des indicateurs de soins hospitaliers (2015 – 2017) en Guinée</w:t>
      </w:r>
    </w:p>
    <w:tbl>
      <w:tblPr>
        <w:tblW w:w="8961" w:type="dxa"/>
        <w:tblInd w:w="-30" w:type="dxa"/>
        <w:tblLayout w:type="fixed"/>
        <w:tblCellMar>
          <w:left w:w="70" w:type="dxa"/>
          <w:right w:w="70" w:type="dxa"/>
        </w:tblCellMar>
        <w:tblLook w:val="0000" w:firstRow="0" w:lastRow="0" w:firstColumn="0" w:lastColumn="0" w:noHBand="0" w:noVBand="0"/>
      </w:tblPr>
      <w:tblGrid>
        <w:gridCol w:w="5014"/>
        <w:gridCol w:w="1395"/>
        <w:gridCol w:w="1276"/>
        <w:gridCol w:w="1276"/>
      </w:tblGrid>
      <w:tr w:rsidR="00CB69B2" w:rsidRPr="003D3BBA" w14:paraId="1F4E7042" w14:textId="77777777" w:rsidTr="00326F73">
        <w:trPr>
          <w:trHeight w:val="373"/>
        </w:trPr>
        <w:tc>
          <w:tcPr>
            <w:tcW w:w="5014" w:type="dxa"/>
            <w:tcBorders>
              <w:top w:val="nil"/>
              <w:left w:val="nil"/>
              <w:bottom w:val="nil"/>
              <w:right w:val="nil"/>
            </w:tcBorders>
            <w:shd w:val="solid" w:color="333399" w:fill="CCCCFF"/>
            <w:vAlign w:val="center"/>
          </w:tcPr>
          <w:p w14:paraId="013EDD14" w14:textId="77777777" w:rsidR="004B5292" w:rsidRPr="003D3BBA" w:rsidRDefault="004B5292" w:rsidP="00326F73">
            <w:pPr>
              <w:autoSpaceDE w:val="0"/>
              <w:autoSpaceDN w:val="0"/>
              <w:adjustRightInd w:val="0"/>
              <w:spacing w:after="0" w:line="240" w:lineRule="auto"/>
              <w:jc w:val="center"/>
              <w:rPr>
                <w:rFonts w:cstheme="minorHAnsi"/>
                <w:b/>
                <w:bCs/>
                <w:color w:val="FFFFFF" w:themeColor="background1"/>
                <w:szCs w:val="20"/>
              </w:rPr>
            </w:pPr>
            <w:r w:rsidRPr="003D3BBA">
              <w:rPr>
                <w:rFonts w:cstheme="minorHAnsi"/>
                <w:b/>
                <w:bCs/>
                <w:color w:val="FFFFFF" w:themeColor="background1"/>
                <w:szCs w:val="20"/>
              </w:rPr>
              <w:t>Indicateurs</w:t>
            </w:r>
          </w:p>
        </w:tc>
        <w:tc>
          <w:tcPr>
            <w:tcW w:w="1395" w:type="dxa"/>
            <w:tcBorders>
              <w:top w:val="nil"/>
              <w:left w:val="nil"/>
              <w:bottom w:val="nil"/>
              <w:right w:val="nil"/>
            </w:tcBorders>
            <w:shd w:val="solid" w:color="333399" w:fill="CCCCFF"/>
            <w:vAlign w:val="center"/>
          </w:tcPr>
          <w:p w14:paraId="63B3EF14" w14:textId="77777777" w:rsidR="004B5292" w:rsidRPr="003D3BBA" w:rsidRDefault="004B5292" w:rsidP="00326F73">
            <w:pPr>
              <w:autoSpaceDE w:val="0"/>
              <w:autoSpaceDN w:val="0"/>
              <w:adjustRightInd w:val="0"/>
              <w:spacing w:after="0" w:line="240" w:lineRule="auto"/>
              <w:jc w:val="center"/>
              <w:rPr>
                <w:rFonts w:cstheme="minorHAnsi"/>
                <w:b/>
                <w:bCs/>
                <w:color w:val="FFFFFF" w:themeColor="background1"/>
                <w:szCs w:val="20"/>
              </w:rPr>
            </w:pPr>
            <w:r w:rsidRPr="003D3BBA">
              <w:rPr>
                <w:rFonts w:cstheme="minorHAnsi"/>
                <w:b/>
                <w:bCs/>
                <w:color w:val="FFFFFF" w:themeColor="background1"/>
                <w:szCs w:val="20"/>
              </w:rPr>
              <w:t>2015</w:t>
            </w:r>
          </w:p>
        </w:tc>
        <w:tc>
          <w:tcPr>
            <w:tcW w:w="1276" w:type="dxa"/>
            <w:tcBorders>
              <w:top w:val="nil"/>
              <w:left w:val="nil"/>
              <w:bottom w:val="nil"/>
              <w:right w:val="nil"/>
            </w:tcBorders>
            <w:shd w:val="solid" w:color="333399" w:fill="CCCCFF"/>
            <w:vAlign w:val="center"/>
          </w:tcPr>
          <w:p w14:paraId="08E7AF8E" w14:textId="77777777" w:rsidR="004B5292" w:rsidRPr="003D3BBA" w:rsidRDefault="004B5292" w:rsidP="00326F73">
            <w:pPr>
              <w:autoSpaceDE w:val="0"/>
              <w:autoSpaceDN w:val="0"/>
              <w:adjustRightInd w:val="0"/>
              <w:spacing w:after="0" w:line="240" w:lineRule="auto"/>
              <w:ind w:hanging="329"/>
              <w:jc w:val="center"/>
              <w:rPr>
                <w:rFonts w:cstheme="minorHAnsi"/>
                <w:b/>
                <w:bCs/>
                <w:color w:val="FFFFFF" w:themeColor="background1"/>
                <w:szCs w:val="20"/>
              </w:rPr>
            </w:pPr>
            <w:r w:rsidRPr="003D3BBA">
              <w:rPr>
                <w:rFonts w:cstheme="minorHAnsi"/>
                <w:b/>
                <w:bCs/>
                <w:color w:val="FFFFFF" w:themeColor="background1"/>
                <w:szCs w:val="20"/>
              </w:rPr>
              <w:t>2016</w:t>
            </w:r>
          </w:p>
        </w:tc>
        <w:tc>
          <w:tcPr>
            <w:tcW w:w="1276" w:type="dxa"/>
            <w:tcBorders>
              <w:top w:val="nil"/>
              <w:left w:val="nil"/>
              <w:bottom w:val="nil"/>
              <w:right w:val="nil"/>
            </w:tcBorders>
            <w:shd w:val="solid" w:color="333399" w:fill="CCCCFF"/>
            <w:vAlign w:val="center"/>
          </w:tcPr>
          <w:p w14:paraId="3B469EFF" w14:textId="77777777" w:rsidR="004B5292" w:rsidRPr="003D3BBA" w:rsidRDefault="004B5292" w:rsidP="00326F73">
            <w:pPr>
              <w:autoSpaceDE w:val="0"/>
              <w:autoSpaceDN w:val="0"/>
              <w:adjustRightInd w:val="0"/>
              <w:spacing w:after="0" w:line="240" w:lineRule="auto"/>
              <w:jc w:val="center"/>
              <w:rPr>
                <w:rFonts w:cstheme="minorHAnsi"/>
                <w:b/>
                <w:bCs/>
                <w:color w:val="FFFFFF" w:themeColor="background1"/>
                <w:szCs w:val="20"/>
              </w:rPr>
            </w:pPr>
            <w:r w:rsidRPr="003D3BBA">
              <w:rPr>
                <w:rFonts w:cstheme="minorHAnsi"/>
                <w:b/>
                <w:bCs/>
                <w:color w:val="FFFFFF" w:themeColor="background1"/>
                <w:szCs w:val="20"/>
              </w:rPr>
              <w:t>2017</w:t>
            </w:r>
          </w:p>
        </w:tc>
      </w:tr>
      <w:tr w:rsidR="003D3BBA" w:rsidRPr="003D3BBA" w14:paraId="7FC58AB6" w14:textId="77777777" w:rsidTr="00326F73">
        <w:trPr>
          <w:trHeight w:val="373"/>
        </w:trPr>
        <w:tc>
          <w:tcPr>
            <w:tcW w:w="5014" w:type="dxa"/>
            <w:tcBorders>
              <w:top w:val="nil"/>
              <w:left w:val="nil"/>
              <w:bottom w:val="nil"/>
              <w:right w:val="nil"/>
            </w:tcBorders>
            <w:shd w:val="solid" w:color="FFFFFF" w:fill="auto"/>
          </w:tcPr>
          <w:p w14:paraId="1F3562BB" w14:textId="77777777" w:rsidR="004B5292" w:rsidRPr="003D3BBA" w:rsidRDefault="004B5292" w:rsidP="00326F73">
            <w:pPr>
              <w:autoSpaceDE w:val="0"/>
              <w:autoSpaceDN w:val="0"/>
              <w:adjustRightInd w:val="0"/>
              <w:spacing w:after="0" w:line="240" w:lineRule="auto"/>
              <w:rPr>
                <w:rFonts w:ascii="Calibri" w:hAnsi="Calibri" w:cs="Calibri"/>
              </w:rPr>
            </w:pPr>
            <w:r w:rsidRPr="003D3BBA">
              <w:rPr>
                <w:rFonts w:ascii="Calibri" w:hAnsi="Calibri" w:cs="Calibri"/>
              </w:rPr>
              <w:t>Césarienne (%)*</w:t>
            </w:r>
          </w:p>
        </w:tc>
        <w:tc>
          <w:tcPr>
            <w:tcW w:w="1395" w:type="dxa"/>
            <w:tcBorders>
              <w:top w:val="nil"/>
              <w:left w:val="nil"/>
              <w:bottom w:val="nil"/>
              <w:right w:val="nil"/>
            </w:tcBorders>
            <w:shd w:val="solid" w:color="FFFFFF" w:fill="auto"/>
          </w:tcPr>
          <w:p w14:paraId="5E194FBD"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2,16</w:t>
            </w:r>
          </w:p>
        </w:tc>
        <w:tc>
          <w:tcPr>
            <w:tcW w:w="1276" w:type="dxa"/>
            <w:tcBorders>
              <w:top w:val="nil"/>
              <w:left w:val="nil"/>
              <w:bottom w:val="nil"/>
              <w:right w:val="nil"/>
            </w:tcBorders>
            <w:shd w:val="solid" w:color="FFFFFF" w:fill="auto"/>
          </w:tcPr>
          <w:p w14:paraId="0C14DB28"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2,3</w:t>
            </w:r>
          </w:p>
        </w:tc>
        <w:tc>
          <w:tcPr>
            <w:tcW w:w="1276" w:type="dxa"/>
            <w:tcBorders>
              <w:top w:val="nil"/>
              <w:left w:val="nil"/>
              <w:bottom w:val="nil"/>
              <w:right w:val="nil"/>
            </w:tcBorders>
            <w:shd w:val="solid" w:color="FFFFFF" w:fill="auto"/>
          </w:tcPr>
          <w:p w14:paraId="17284AAD"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2,78</w:t>
            </w:r>
          </w:p>
        </w:tc>
      </w:tr>
      <w:tr w:rsidR="003D3BBA" w:rsidRPr="003D3BBA" w14:paraId="0DAA75C6" w14:textId="77777777" w:rsidTr="00326F73">
        <w:trPr>
          <w:trHeight w:val="318"/>
        </w:trPr>
        <w:tc>
          <w:tcPr>
            <w:tcW w:w="5014" w:type="dxa"/>
            <w:tcBorders>
              <w:top w:val="nil"/>
              <w:left w:val="nil"/>
              <w:bottom w:val="nil"/>
              <w:right w:val="nil"/>
            </w:tcBorders>
            <w:shd w:val="solid" w:color="FFFFFF" w:fill="auto"/>
          </w:tcPr>
          <w:p w14:paraId="58676D57" w14:textId="77777777" w:rsidR="004B5292" w:rsidRPr="003D3BBA" w:rsidRDefault="004B5292" w:rsidP="00326F73">
            <w:pPr>
              <w:autoSpaceDE w:val="0"/>
              <w:autoSpaceDN w:val="0"/>
              <w:adjustRightInd w:val="0"/>
              <w:spacing w:after="0" w:line="240" w:lineRule="auto"/>
              <w:rPr>
                <w:rFonts w:ascii="Calibri" w:hAnsi="Calibri" w:cs="Calibri"/>
              </w:rPr>
            </w:pPr>
            <w:r w:rsidRPr="003D3BBA">
              <w:rPr>
                <w:rFonts w:ascii="Calibri" w:hAnsi="Calibri" w:cs="Calibri"/>
              </w:rPr>
              <w:t>Taux d’occupation des lits**</w:t>
            </w:r>
          </w:p>
        </w:tc>
        <w:tc>
          <w:tcPr>
            <w:tcW w:w="1395" w:type="dxa"/>
            <w:tcBorders>
              <w:top w:val="nil"/>
              <w:left w:val="nil"/>
              <w:bottom w:val="nil"/>
              <w:right w:val="nil"/>
            </w:tcBorders>
            <w:shd w:val="solid" w:color="FFFFFF" w:fill="auto"/>
          </w:tcPr>
          <w:p w14:paraId="12DA7AF3"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70,98</w:t>
            </w:r>
          </w:p>
        </w:tc>
        <w:tc>
          <w:tcPr>
            <w:tcW w:w="1276" w:type="dxa"/>
            <w:tcBorders>
              <w:top w:val="nil"/>
              <w:left w:val="nil"/>
              <w:bottom w:val="nil"/>
              <w:right w:val="nil"/>
            </w:tcBorders>
            <w:shd w:val="solid" w:color="FFFFFF" w:fill="auto"/>
          </w:tcPr>
          <w:p w14:paraId="62AB75AC"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65,63</w:t>
            </w:r>
          </w:p>
        </w:tc>
        <w:tc>
          <w:tcPr>
            <w:tcW w:w="1276" w:type="dxa"/>
            <w:tcBorders>
              <w:top w:val="nil"/>
              <w:left w:val="nil"/>
              <w:bottom w:val="nil"/>
              <w:right w:val="nil"/>
            </w:tcBorders>
            <w:shd w:val="solid" w:color="FFFFFF" w:fill="auto"/>
          </w:tcPr>
          <w:p w14:paraId="66CE2691"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72,28</w:t>
            </w:r>
          </w:p>
        </w:tc>
      </w:tr>
      <w:tr w:rsidR="003D3BBA" w:rsidRPr="003D3BBA" w14:paraId="4CD3442A" w14:textId="77777777" w:rsidTr="00326F73">
        <w:trPr>
          <w:trHeight w:val="345"/>
        </w:trPr>
        <w:tc>
          <w:tcPr>
            <w:tcW w:w="5014" w:type="dxa"/>
            <w:tcBorders>
              <w:top w:val="nil"/>
              <w:left w:val="nil"/>
              <w:bottom w:val="nil"/>
              <w:right w:val="nil"/>
            </w:tcBorders>
            <w:shd w:val="solid" w:color="FFFFFF" w:fill="auto"/>
          </w:tcPr>
          <w:p w14:paraId="5F74F263" w14:textId="77777777" w:rsidR="004B5292" w:rsidRPr="003D3BBA" w:rsidRDefault="004B5292" w:rsidP="00326F73">
            <w:pPr>
              <w:autoSpaceDE w:val="0"/>
              <w:autoSpaceDN w:val="0"/>
              <w:adjustRightInd w:val="0"/>
              <w:spacing w:after="0" w:line="240" w:lineRule="auto"/>
              <w:rPr>
                <w:rFonts w:ascii="Calibri" w:hAnsi="Calibri" w:cs="Calibri"/>
              </w:rPr>
            </w:pPr>
            <w:r w:rsidRPr="003D3BBA">
              <w:rPr>
                <w:rFonts w:ascii="Calibri" w:hAnsi="Calibri" w:cs="Calibri"/>
              </w:rPr>
              <w:t>Durée moyenne de séjour**</w:t>
            </w:r>
          </w:p>
        </w:tc>
        <w:tc>
          <w:tcPr>
            <w:tcW w:w="1395" w:type="dxa"/>
            <w:tcBorders>
              <w:top w:val="nil"/>
              <w:left w:val="nil"/>
              <w:bottom w:val="nil"/>
              <w:right w:val="nil"/>
            </w:tcBorders>
            <w:shd w:val="solid" w:color="FFFFFF" w:fill="auto"/>
          </w:tcPr>
          <w:p w14:paraId="2483A86B"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7,53</w:t>
            </w:r>
          </w:p>
        </w:tc>
        <w:tc>
          <w:tcPr>
            <w:tcW w:w="1276" w:type="dxa"/>
            <w:tcBorders>
              <w:top w:val="nil"/>
              <w:left w:val="nil"/>
              <w:bottom w:val="nil"/>
              <w:right w:val="nil"/>
            </w:tcBorders>
            <w:shd w:val="solid" w:color="FFFFFF" w:fill="auto"/>
          </w:tcPr>
          <w:p w14:paraId="69E0CC49"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7,37</w:t>
            </w:r>
          </w:p>
        </w:tc>
        <w:tc>
          <w:tcPr>
            <w:tcW w:w="1276" w:type="dxa"/>
            <w:tcBorders>
              <w:top w:val="nil"/>
              <w:left w:val="nil"/>
              <w:bottom w:val="nil"/>
              <w:right w:val="nil"/>
            </w:tcBorders>
            <w:shd w:val="solid" w:color="FFFFFF" w:fill="auto"/>
          </w:tcPr>
          <w:p w14:paraId="700A0E4B"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7,12</w:t>
            </w:r>
          </w:p>
        </w:tc>
      </w:tr>
      <w:tr w:rsidR="003D3BBA" w:rsidRPr="003D3BBA" w14:paraId="6E9630EC" w14:textId="77777777" w:rsidTr="00326F73">
        <w:trPr>
          <w:trHeight w:val="456"/>
        </w:trPr>
        <w:tc>
          <w:tcPr>
            <w:tcW w:w="5014" w:type="dxa"/>
            <w:tcBorders>
              <w:top w:val="nil"/>
              <w:left w:val="nil"/>
              <w:bottom w:val="nil"/>
              <w:right w:val="nil"/>
            </w:tcBorders>
            <w:shd w:val="solid" w:color="FFFFFF" w:fill="auto"/>
          </w:tcPr>
          <w:p w14:paraId="5FEACEE8" w14:textId="77777777" w:rsidR="004B5292" w:rsidRPr="003D3BBA" w:rsidRDefault="004B5292" w:rsidP="00326F73">
            <w:pPr>
              <w:autoSpaceDE w:val="0"/>
              <w:autoSpaceDN w:val="0"/>
              <w:adjustRightInd w:val="0"/>
              <w:spacing w:after="0" w:line="240" w:lineRule="auto"/>
              <w:rPr>
                <w:rFonts w:ascii="Calibri" w:hAnsi="Calibri" w:cs="Calibri"/>
              </w:rPr>
            </w:pPr>
            <w:r w:rsidRPr="003D3BBA">
              <w:rPr>
                <w:rFonts w:ascii="Calibri" w:hAnsi="Calibri" w:cs="Calibri"/>
              </w:rPr>
              <w:t>Taux de référence des CS et PS vers les HP/CMC**</w:t>
            </w:r>
          </w:p>
        </w:tc>
        <w:tc>
          <w:tcPr>
            <w:tcW w:w="1395" w:type="dxa"/>
            <w:tcBorders>
              <w:top w:val="nil"/>
              <w:left w:val="nil"/>
              <w:bottom w:val="nil"/>
              <w:right w:val="nil"/>
            </w:tcBorders>
            <w:shd w:val="solid" w:color="FFFFFF" w:fill="auto"/>
          </w:tcPr>
          <w:p w14:paraId="4E107757"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1,41</w:t>
            </w:r>
          </w:p>
        </w:tc>
        <w:tc>
          <w:tcPr>
            <w:tcW w:w="1276" w:type="dxa"/>
            <w:tcBorders>
              <w:top w:val="nil"/>
              <w:left w:val="nil"/>
              <w:bottom w:val="nil"/>
              <w:right w:val="nil"/>
            </w:tcBorders>
            <w:shd w:val="solid" w:color="FFFFFF" w:fill="auto"/>
          </w:tcPr>
          <w:p w14:paraId="68BF355F"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1,24</w:t>
            </w:r>
          </w:p>
        </w:tc>
        <w:tc>
          <w:tcPr>
            <w:tcW w:w="1276" w:type="dxa"/>
            <w:tcBorders>
              <w:top w:val="nil"/>
              <w:left w:val="nil"/>
              <w:bottom w:val="nil"/>
              <w:right w:val="nil"/>
            </w:tcBorders>
            <w:shd w:val="solid" w:color="FFFFFF" w:fill="auto"/>
          </w:tcPr>
          <w:p w14:paraId="0A6F6584"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1,25</w:t>
            </w:r>
          </w:p>
        </w:tc>
      </w:tr>
      <w:tr w:rsidR="003D3BBA" w:rsidRPr="003D3BBA" w14:paraId="26582DA2" w14:textId="77777777" w:rsidTr="00326F73">
        <w:trPr>
          <w:trHeight w:val="290"/>
        </w:trPr>
        <w:tc>
          <w:tcPr>
            <w:tcW w:w="5014" w:type="dxa"/>
            <w:tcBorders>
              <w:top w:val="nil"/>
              <w:left w:val="nil"/>
              <w:bottom w:val="single" w:sz="12" w:space="0" w:color="333399"/>
              <w:right w:val="nil"/>
            </w:tcBorders>
            <w:shd w:val="solid" w:color="FFFFFF" w:fill="auto"/>
          </w:tcPr>
          <w:p w14:paraId="12DFC1E0" w14:textId="77777777" w:rsidR="004B5292" w:rsidRPr="003D3BBA" w:rsidRDefault="004B5292" w:rsidP="00326F73">
            <w:pPr>
              <w:autoSpaceDE w:val="0"/>
              <w:autoSpaceDN w:val="0"/>
              <w:adjustRightInd w:val="0"/>
              <w:spacing w:after="0" w:line="240" w:lineRule="auto"/>
              <w:rPr>
                <w:rFonts w:ascii="Calibri" w:hAnsi="Calibri" w:cs="Calibri"/>
              </w:rPr>
            </w:pPr>
            <w:r w:rsidRPr="003D3BBA">
              <w:rPr>
                <w:rFonts w:ascii="Calibri" w:hAnsi="Calibri" w:cs="Calibri"/>
              </w:rPr>
              <w:t>Taux de mortalité hospitalière**</w:t>
            </w:r>
          </w:p>
        </w:tc>
        <w:tc>
          <w:tcPr>
            <w:tcW w:w="1395" w:type="dxa"/>
            <w:tcBorders>
              <w:top w:val="nil"/>
              <w:left w:val="nil"/>
              <w:bottom w:val="single" w:sz="12" w:space="0" w:color="333399"/>
              <w:right w:val="nil"/>
            </w:tcBorders>
            <w:shd w:val="solid" w:color="FFFFFF" w:fill="auto"/>
          </w:tcPr>
          <w:p w14:paraId="2D1D76D5"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4,58</w:t>
            </w:r>
          </w:p>
        </w:tc>
        <w:tc>
          <w:tcPr>
            <w:tcW w:w="1276" w:type="dxa"/>
            <w:tcBorders>
              <w:top w:val="nil"/>
              <w:left w:val="nil"/>
              <w:bottom w:val="single" w:sz="12" w:space="0" w:color="333399"/>
              <w:right w:val="nil"/>
            </w:tcBorders>
            <w:shd w:val="solid" w:color="FFFFFF" w:fill="auto"/>
          </w:tcPr>
          <w:p w14:paraId="5E6495A8"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3,77</w:t>
            </w:r>
          </w:p>
        </w:tc>
        <w:tc>
          <w:tcPr>
            <w:tcW w:w="1276" w:type="dxa"/>
            <w:tcBorders>
              <w:top w:val="nil"/>
              <w:left w:val="nil"/>
              <w:bottom w:val="single" w:sz="12" w:space="0" w:color="333399"/>
              <w:right w:val="nil"/>
            </w:tcBorders>
            <w:shd w:val="solid" w:color="FFFFFF" w:fill="auto"/>
          </w:tcPr>
          <w:p w14:paraId="53CE246C" w14:textId="77777777" w:rsidR="004B5292" w:rsidRPr="003D3BBA" w:rsidRDefault="004B5292" w:rsidP="00326F73">
            <w:pPr>
              <w:autoSpaceDE w:val="0"/>
              <w:autoSpaceDN w:val="0"/>
              <w:adjustRightInd w:val="0"/>
              <w:spacing w:after="0" w:line="240" w:lineRule="auto"/>
              <w:jc w:val="center"/>
              <w:rPr>
                <w:rFonts w:cstheme="minorHAnsi"/>
              </w:rPr>
            </w:pPr>
            <w:r w:rsidRPr="003D3BBA">
              <w:rPr>
                <w:rFonts w:cstheme="minorHAnsi"/>
              </w:rPr>
              <w:t>5,49</w:t>
            </w:r>
          </w:p>
        </w:tc>
      </w:tr>
      <w:tr w:rsidR="003D3BBA" w:rsidRPr="003D3BBA" w14:paraId="2026E1C9" w14:textId="77777777" w:rsidTr="00326F73">
        <w:trPr>
          <w:trHeight w:val="259"/>
        </w:trPr>
        <w:tc>
          <w:tcPr>
            <w:tcW w:w="7685" w:type="dxa"/>
            <w:gridSpan w:val="3"/>
            <w:tcBorders>
              <w:top w:val="nil"/>
              <w:left w:val="nil"/>
              <w:bottom w:val="nil"/>
              <w:right w:val="nil"/>
            </w:tcBorders>
          </w:tcPr>
          <w:p w14:paraId="1FDB76FF" w14:textId="77777777" w:rsidR="004B5292" w:rsidRPr="003D3BBA" w:rsidRDefault="004B5292" w:rsidP="00326F73">
            <w:pPr>
              <w:autoSpaceDE w:val="0"/>
              <w:autoSpaceDN w:val="0"/>
              <w:adjustRightInd w:val="0"/>
              <w:spacing w:after="0" w:line="240" w:lineRule="auto"/>
              <w:rPr>
                <w:rFonts w:ascii="Calibri" w:hAnsi="Calibri" w:cs="Calibri"/>
                <w:sz w:val="20"/>
                <w:szCs w:val="20"/>
              </w:rPr>
            </w:pPr>
            <w:r w:rsidRPr="003D3BBA">
              <w:rPr>
                <w:rFonts w:ascii="Calibri" w:hAnsi="Calibri" w:cs="Calibri"/>
                <w:sz w:val="20"/>
                <w:szCs w:val="20"/>
              </w:rPr>
              <w:t xml:space="preserve">Source : (*) Annuaires statistiques du MS, (**) Annuaires des hôpitaux </w:t>
            </w:r>
          </w:p>
        </w:tc>
        <w:tc>
          <w:tcPr>
            <w:tcW w:w="1276" w:type="dxa"/>
            <w:tcBorders>
              <w:top w:val="nil"/>
              <w:left w:val="nil"/>
              <w:bottom w:val="nil"/>
              <w:right w:val="nil"/>
            </w:tcBorders>
          </w:tcPr>
          <w:p w14:paraId="4170D1A1" w14:textId="77777777" w:rsidR="004B5292" w:rsidRPr="003D3BBA" w:rsidRDefault="004B5292" w:rsidP="00326F73">
            <w:pPr>
              <w:autoSpaceDE w:val="0"/>
              <w:autoSpaceDN w:val="0"/>
              <w:adjustRightInd w:val="0"/>
              <w:spacing w:after="0" w:line="240" w:lineRule="auto"/>
              <w:jc w:val="right"/>
              <w:rPr>
                <w:rFonts w:ascii="MS Shell Dlg 2" w:hAnsi="MS Shell Dlg 2" w:cs="MS Shell Dlg 2"/>
                <w:sz w:val="20"/>
                <w:szCs w:val="20"/>
              </w:rPr>
            </w:pPr>
          </w:p>
        </w:tc>
      </w:tr>
    </w:tbl>
    <w:p w14:paraId="0EB09CC3" w14:textId="77777777" w:rsidR="00054140" w:rsidRPr="00730729" w:rsidRDefault="00054140" w:rsidP="00054140">
      <w:pPr>
        <w:pStyle w:val="Titre1"/>
        <w:numPr>
          <w:ilvl w:val="3"/>
          <w:numId w:val="8"/>
        </w:numPr>
        <w:tabs>
          <w:tab w:val="left" w:pos="1134"/>
        </w:tabs>
        <w:spacing w:before="240" w:after="240"/>
        <w:ind w:left="2127"/>
        <w:rPr>
          <w:sz w:val="24"/>
        </w:rPr>
      </w:pPr>
      <w:bookmarkStart w:id="24" w:name="_Toc534298080"/>
      <w:bookmarkStart w:id="25" w:name="_Toc534742726"/>
      <w:bookmarkStart w:id="26" w:name="_Toc534808046"/>
      <w:bookmarkStart w:id="27" w:name="_Toc21586241"/>
      <w:r w:rsidRPr="00730729">
        <w:rPr>
          <w:sz w:val="24"/>
        </w:rPr>
        <w:t>Départ pour la retraite à l’horizon 2024</w:t>
      </w:r>
      <w:bookmarkEnd w:id="24"/>
      <w:bookmarkEnd w:id="25"/>
      <w:bookmarkEnd w:id="26"/>
      <w:bookmarkEnd w:id="27"/>
      <w:r w:rsidRPr="00730729">
        <w:rPr>
          <w:sz w:val="24"/>
        </w:rPr>
        <w:t xml:space="preserve"> </w:t>
      </w:r>
    </w:p>
    <w:p w14:paraId="287A95EB" w14:textId="77777777" w:rsidR="00054140" w:rsidRPr="00676770" w:rsidRDefault="00054140" w:rsidP="00054140">
      <w:pPr>
        <w:jc w:val="both"/>
        <w:rPr>
          <w:sz w:val="24"/>
          <w:szCs w:val="28"/>
        </w:rPr>
      </w:pPr>
      <w:r w:rsidRPr="00676770">
        <w:rPr>
          <w:sz w:val="24"/>
          <w:szCs w:val="28"/>
        </w:rPr>
        <w:t>Selon le code de travail en vigueur, à l’horizon 2024, au total 19,6% des effectifs actuels de professionnels de santé du secteur public, toutes catégories confondues, seront partis à la retraite. Les techniciens de santé publique (46,8%), les médecins (21,4%), les ATS (21,4%), les infirmiers d'Etat (19,5%) seront les plus touchés par la retraite. Le groupe de sage-femme semble plus jeune car seulement 7,6% de l'effectif actuel seront retraités. Cela veut dire que les processus de la formation et du recrutement devraient permettre, d'ici à la fin de 2024, de remplacer 2068 agents de santé (dont 854 ATS, 457 IDE, 66 SF, 613 médecins).</w:t>
      </w:r>
    </w:p>
    <w:p w14:paraId="01D6313D" w14:textId="77777777" w:rsidR="00676770" w:rsidRPr="00730729" w:rsidRDefault="00676770" w:rsidP="00676770">
      <w:pPr>
        <w:pStyle w:val="Titre1"/>
        <w:numPr>
          <w:ilvl w:val="3"/>
          <w:numId w:val="8"/>
        </w:numPr>
        <w:tabs>
          <w:tab w:val="left" w:pos="1134"/>
        </w:tabs>
        <w:spacing w:before="240" w:after="240"/>
        <w:ind w:left="2127"/>
        <w:rPr>
          <w:sz w:val="24"/>
        </w:rPr>
      </w:pPr>
      <w:bookmarkStart w:id="28" w:name="_Toc534298084"/>
      <w:bookmarkStart w:id="29" w:name="_Toc534742730"/>
      <w:bookmarkStart w:id="30" w:name="_Toc534808051"/>
      <w:bookmarkStart w:id="31" w:name="_Toc21586242"/>
      <w:r w:rsidRPr="00730729">
        <w:rPr>
          <w:sz w:val="24"/>
        </w:rPr>
        <w:t>Evolution prévisible des effectifs des professionnels de la santé du secteur public de 2019 à 2024</w:t>
      </w:r>
      <w:bookmarkEnd w:id="28"/>
      <w:bookmarkEnd w:id="29"/>
      <w:bookmarkEnd w:id="30"/>
      <w:bookmarkEnd w:id="31"/>
    </w:p>
    <w:p w14:paraId="112BB4F9" w14:textId="77777777" w:rsidR="00676770" w:rsidRPr="00676770" w:rsidRDefault="00676770" w:rsidP="00676770">
      <w:pPr>
        <w:jc w:val="both"/>
        <w:rPr>
          <w:sz w:val="24"/>
          <w:szCs w:val="28"/>
        </w:rPr>
      </w:pPr>
      <w:r w:rsidRPr="00676770">
        <w:rPr>
          <w:sz w:val="24"/>
          <w:szCs w:val="28"/>
        </w:rPr>
        <w:t xml:space="preserve">Dans cette section, le secteur privé ne sera pas abordé, faute d’informations. </w:t>
      </w:r>
    </w:p>
    <w:p w14:paraId="54CA76B2" w14:textId="77777777" w:rsidR="00676770" w:rsidRPr="00676770" w:rsidRDefault="00676770" w:rsidP="00556082">
      <w:pPr>
        <w:jc w:val="both"/>
        <w:rPr>
          <w:sz w:val="24"/>
          <w:szCs w:val="28"/>
        </w:rPr>
      </w:pPr>
      <w:r w:rsidRPr="00676770">
        <w:rPr>
          <w:sz w:val="24"/>
          <w:szCs w:val="28"/>
        </w:rPr>
        <w:t>L’analyse a porté, donc, sur l’évolution prévisible des effectifs du secteur public, à l’horizon 2024. Pour ce faire, en l’absence de normes nationales de personnel et des nouveaux services à mettre en fonction, les besoins en ressources humaines pour la santé sont estimés sur la base des départs à la retraite et des normes de l’OMS et de la pop</w:t>
      </w:r>
      <w:r>
        <w:rPr>
          <w:sz w:val="24"/>
          <w:szCs w:val="28"/>
        </w:rPr>
        <w:t xml:space="preserve">ulation guinéenne. Les tableaux </w:t>
      </w:r>
      <w:r w:rsidRPr="00676770">
        <w:rPr>
          <w:sz w:val="24"/>
          <w:szCs w:val="28"/>
        </w:rPr>
        <w:t>1</w:t>
      </w:r>
      <w:r>
        <w:rPr>
          <w:sz w:val="24"/>
          <w:szCs w:val="28"/>
        </w:rPr>
        <w:t>.</w:t>
      </w:r>
      <w:r w:rsidR="00091B65">
        <w:rPr>
          <w:sz w:val="24"/>
          <w:szCs w:val="28"/>
        </w:rPr>
        <w:t>3</w:t>
      </w:r>
      <w:r w:rsidRPr="00676770">
        <w:rPr>
          <w:sz w:val="24"/>
          <w:szCs w:val="28"/>
        </w:rPr>
        <w:t xml:space="preserve"> et 1</w:t>
      </w:r>
      <w:r>
        <w:rPr>
          <w:sz w:val="24"/>
          <w:szCs w:val="28"/>
        </w:rPr>
        <w:t>.</w:t>
      </w:r>
      <w:r w:rsidR="00091B65">
        <w:rPr>
          <w:sz w:val="24"/>
          <w:szCs w:val="28"/>
        </w:rPr>
        <w:t>4</w:t>
      </w:r>
      <w:r w:rsidRPr="00676770">
        <w:rPr>
          <w:sz w:val="24"/>
          <w:szCs w:val="28"/>
        </w:rPr>
        <w:t xml:space="preserve"> résument les résultats de la démarche. </w:t>
      </w:r>
    </w:p>
    <w:p w14:paraId="76386B05" w14:textId="77777777" w:rsidR="00676770" w:rsidRDefault="00676770" w:rsidP="00676770">
      <w:pPr>
        <w:spacing w:after="120" w:line="240" w:lineRule="auto"/>
        <w:rPr>
          <w:rFonts w:ascii="Arial" w:hAnsi="Arial" w:cs="Arial"/>
          <w:color w:val="000000"/>
          <w:sz w:val="20"/>
          <w:szCs w:val="20"/>
          <w:lang w:eastAsia="fr-FR"/>
        </w:rPr>
      </w:pPr>
      <w:r>
        <w:t xml:space="preserve"> </w:t>
      </w:r>
      <w:r>
        <w:rPr>
          <w:rFonts w:ascii="Arial" w:hAnsi="Arial" w:cs="Arial"/>
          <w:color w:val="000000"/>
          <w:sz w:val="20"/>
          <w:szCs w:val="20"/>
          <w:lang w:eastAsia="fr-FR"/>
        </w:rPr>
        <w:t>Tableau 1.</w:t>
      </w:r>
      <w:r w:rsidR="00091B65">
        <w:rPr>
          <w:rFonts w:ascii="Arial" w:hAnsi="Arial" w:cs="Arial"/>
          <w:color w:val="000000"/>
          <w:sz w:val="20"/>
          <w:szCs w:val="20"/>
          <w:lang w:eastAsia="fr-FR"/>
        </w:rPr>
        <w:t>3</w:t>
      </w:r>
      <w:r>
        <w:rPr>
          <w:rFonts w:ascii="Arial" w:hAnsi="Arial" w:cs="Arial"/>
          <w:color w:val="000000"/>
          <w:sz w:val="20"/>
          <w:szCs w:val="20"/>
          <w:lang w:eastAsia="fr-FR"/>
        </w:rPr>
        <w:t xml:space="preserve"> : </w:t>
      </w:r>
      <w:r w:rsidRPr="00961876">
        <w:rPr>
          <w:rFonts w:ascii="Arial" w:hAnsi="Arial" w:cs="Arial"/>
          <w:color w:val="000000"/>
          <w:sz w:val="20"/>
          <w:szCs w:val="20"/>
          <w:lang w:eastAsia="fr-FR"/>
        </w:rPr>
        <w:t>Situation prévis</w:t>
      </w:r>
      <w:r>
        <w:rPr>
          <w:rFonts w:ascii="Arial" w:hAnsi="Arial" w:cs="Arial"/>
          <w:color w:val="000000"/>
          <w:sz w:val="20"/>
          <w:szCs w:val="20"/>
          <w:lang w:eastAsia="fr-FR"/>
        </w:rPr>
        <w:t>i</w:t>
      </w:r>
      <w:r w:rsidRPr="00961876">
        <w:rPr>
          <w:rFonts w:ascii="Arial" w:hAnsi="Arial" w:cs="Arial"/>
          <w:color w:val="000000"/>
          <w:sz w:val="20"/>
          <w:szCs w:val="20"/>
          <w:lang w:eastAsia="fr-FR"/>
        </w:rPr>
        <w:t>ble des ef</w:t>
      </w:r>
      <w:r>
        <w:rPr>
          <w:rFonts w:ascii="Arial" w:hAnsi="Arial" w:cs="Arial"/>
          <w:color w:val="000000"/>
          <w:sz w:val="20"/>
          <w:szCs w:val="20"/>
          <w:lang w:eastAsia="fr-FR"/>
        </w:rPr>
        <w:t>fectifs des principaux corps (s</w:t>
      </w:r>
      <w:r w:rsidRPr="00961876">
        <w:rPr>
          <w:rFonts w:ascii="Arial" w:hAnsi="Arial" w:cs="Arial"/>
          <w:color w:val="000000"/>
          <w:sz w:val="20"/>
          <w:szCs w:val="20"/>
          <w:lang w:eastAsia="fr-FR"/>
        </w:rPr>
        <w:t>age</w:t>
      </w:r>
      <w:r>
        <w:rPr>
          <w:rFonts w:ascii="Arial" w:hAnsi="Arial" w:cs="Arial"/>
          <w:color w:val="000000"/>
          <w:sz w:val="20"/>
          <w:szCs w:val="20"/>
          <w:lang w:eastAsia="fr-FR"/>
        </w:rPr>
        <w:t>s</w:t>
      </w:r>
      <w:r w:rsidRPr="00961876">
        <w:rPr>
          <w:rFonts w:ascii="Arial" w:hAnsi="Arial" w:cs="Arial"/>
          <w:color w:val="000000"/>
          <w:sz w:val="20"/>
          <w:szCs w:val="20"/>
          <w:lang w:eastAsia="fr-FR"/>
        </w:rPr>
        <w:t xml:space="preserve">-femmes, infirmiers d'Etat et médecins) </w:t>
      </w:r>
      <w:r>
        <w:rPr>
          <w:rFonts w:ascii="Arial" w:hAnsi="Arial" w:cs="Arial"/>
          <w:color w:val="000000"/>
          <w:sz w:val="20"/>
          <w:szCs w:val="20"/>
          <w:lang w:eastAsia="fr-FR"/>
        </w:rPr>
        <w:t xml:space="preserve">si les </w:t>
      </w:r>
      <w:r w:rsidRPr="00961876">
        <w:rPr>
          <w:rFonts w:ascii="Arial" w:hAnsi="Arial" w:cs="Arial"/>
          <w:color w:val="000000"/>
          <w:sz w:val="20"/>
          <w:szCs w:val="20"/>
          <w:lang w:eastAsia="fr-FR"/>
        </w:rPr>
        <w:t>retraité</w:t>
      </w:r>
      <w:r>
        <w:rPr>
          <w:rFonts w:ascii="Arial" w:hAnsi="Arial" w:cs="Arial"/>
          <w:color w:val="000000"/>
          <w:sz w:val="20"/>
          <w:szCs w:val="20"/>
          <w:lang w:eastAsia="fr-FR"/>
        </w:rPr>
        <w:t>s</w:t>
      </w:r>
      <w:r w:rsidRPr="00961876">
        <w:rPr>
          <w:rFonts w:ascii="Arial" w:hAnsi="Arial" w:cs="Arial"/>
          <w:color w:val="000000"/>
          <w:sz w:val="20"/>
          <w:szCs w:val="20"/>
          <w:lang w:eastAsia="fr-FR"/>
        </w:rPr>
        <w:t xml:space="preserve"> ne sont pas remplacé</w:t>
      </w:r>
      <w:r>
        <w:rPr>
          <w:rFonts w:ascii="Arial" w:hAnsi="Arial" w:cs="Arial"/>
          <w:color w:val="000000"/>
          <w:sz w:val="20"/>
          <w:szCs w:val="20"/>
          <w:lang w:eastAsia="fr-FR"/>
        </w:rPr>
        <w:t>s</w:t>
      </w:r>
      <w:r w:rsidRPr="00961876">
        <w:rPr>
          <w:rFonts w:ascii="Arial" w:hAnsi="Arial" w:cs="Arial"/>
          <w:color w:val="000000"/>
          <w:sz w:val="20"/>
          <w:szCs w:val="20"/>
          <w:lang w:eastAsia="fr-FR"/>
        </w:rPr>
        <w:t>, à l'horizon 2024</w:t>
      </w:r>
    </w:p>
    <w:tbl>
      <w:tblPr>
        <w:tblW w:w="9029" w:type="dxa"/>
        <w:tblInd w:w="55" w:type="dxa"/>
        <w:tblCellMar>
          <w:left w:w="70" w:type="dxa"/>
          <w:right w:w="70" w:type="dxa"/>
        </w:tblCellMar>
        <w:tblLook w:val="04A0" w:firstRow="1" w:lastRow="0" w:firstColumn="1" w:lastColumn="0" w:noHBand="0" w:noVBand="1"/>
      </w:tblPr>
      <w:tblGrid>
        <w:gridCol w:w="2283"/>
        <w:gridCol w:w="1234"/>
        <w:gridCol w:w="1234"/>
        <w:gridCol w:w="1076"/>
        <w:gridCol w:w="1119"/>
        <w:gridCol w:w="1020"/>
        <w:gridCol w:w="1063"/>
      </w:tblGrid>
      <w:tr w:rsidR="00676770" w:rsidRPr="00961876" w14:paraId="35111BB5" w14:textId="77777777" w:rsidTr="004B1A0E">
        <w:trPr>
          <w:trHeight w:val="330"/>
        </w:trPr>
        <w:tc>
          <w:tcPr>
            <w:tcW w:w="2283" w:type="dxa"/>
            <w:vMerge w:val="restart"/>
            <w:tcBorders>
              <w:top w:val="nil"/>
              <w:left w:val="nil"/>
              <w:bottom w:val="nil"/>
              <w:right w:val="nil"/>
            </w:tcBorders>
            <w:shd w:val="clear" w:color="000000" w:fill="002060"/>
            <w:noWrap/>
            <w:vAlign w:val="center"/>
            <w:hideMark/>
          </w:tcPr>
          <w:p w14:paraId="6D6E8F48"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Corps professionnel</w:t>
            </w:r>
          </w:p>
        </w:tc>
        <w:tc>
          <w:tcPr>
            <w:tcW w:w="6746" w:type="dxa"/>
            <w:gridSpan w:val="6"/>
            <w:tcBorders>
              <w:top w:val="nil"/>
              <w:left w:val="nil"/>
              <w:bottom w:val="nil"/>
              <w:right w:val="nil"/>
            </w:tcBorders>
            <w:shd w:val="clear" w:color="000000" w:fill="002060"/>
            <w:noWrap/>
            <w:vAlign w:val="center"/>
            <w:hideMark/>
          </w:tcPr>
          <w:p w14:paraId="457BAFB9"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Effectif disponible suite aux retraites</w:t>
            </w:r>
          </w:p>
        </w:tc>
      </w:tr>
      <w:tr w:rsidR="00676770" w:rsidRPr="00961876" w14:paraId="1A6C34C8" w14:textId="77777777" w:rsidTr="004B1A0E">
        <w:trPr>
          <w:trHeight w:val="330"/>
        </w:trPr>
        <w:tc>
          <w:tcPr>
            <w:tcW w:w="2283" w:type="dxa"/>
            <w:vMerge/>
            <w:tcBorders>
              <w:top w:val="nil"/>
              <w:left w:val="nil"/>
              <w:bottom w:val="nil"/>
              <w:right w:val="nil"/>
            </w:tcBorders>
            <w:vAlign w:val="center"/>
            <w:hideMark/>
          </w:tcPr>
          <w:p w14:paraId="6C60BDE0" w14:textId="77777777" w:rsidR="00676770" w:rsidRPr="00961876" w:rsidRDefault="00676770" w:rsidP="00326F73">
            <w:pPr>
              <w:spacing w:after="0" w:line="240" w:lineRule="auto"/>
              <w:rPr>
                <w:rFonts w:ascii="MS Shell Dlg 2" w:hAnsi="MS Shell Dlg 2" w:cs="MS Shell Dlg 2"/>
                <w:b/>
                <w:bCs/>
                <w:color w:val="FFFFFF"/>
                <w:sz w:val="20"/>
                <w:szCs w:val="20"/>
                <w:lang w:eastAsia="fr-FR"/>
              </w:rPr>
            </w:pPr>
          </w:p>
        </w:tc>
        <w:tc>
          <w:tcPr>
            <w:tcW w:w="1234" w:type="dxa"/>
            <w:tcBorders>
              <w:top w:val="nil"/>
              <w:left w:val="nil"/>
              <w:bottom w:val="nil"/>
              <w:right w:val="nil"/>
            </w:tcBorders>
            <w:shd w:val="clear" w:color="000000" w:fill="002060"/>
            <w:noWrap/>
            <w:vAlign w:val="center"/>
            <w:hideMark/>
          </w:tcPr>
          <w:p w14:paraId="56613362"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2019</w:t>
            </w:r>
          </w:p>
        </w:tc>
        <w:tc>
          <w:tcPr>
            <w:tcW w:w="1234" w:type="dxa"/>
            <w:tcBorders>
              <w:top w:val="nil"/>
              <w:left w:val="nil"/>
              <w:bottom w:val="nil"/>
              <w:right w:val="nil"/>
            </w:tcBorders>
            <w:shd w:val="clear" w:color="000000" w:fill="002060"/>
            <w:noWrap/>
            <w:vAlign w:val="center"/>
            <w:hideMark/>
          </w:tcPr>
          <w:p w14:paraId="69FD1DED"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2020</w:t>
            </w:r>
          </w:p>
        </w:tc>
        <w:tc>
          <w:tcPr>
            <w:tcW w:w="1076" w:type="dxa"/>
            <w:tcBorders>
              <w:top w:val="nil"/>
              <w:left w:val="nil"/>
              <w:bottom w:val="nil"/>
              <w:right w:val="nil"/>
            </w:tcBorders>
            <w:shd w:val="clear" w:color="000000" w:fill="002060"/>
            <w:noWrap/>
            <w:vAlign w:val="center"/>
            <w:hideMark/>
          </w:tcPr>
          <w:p w14:paraId="2E71F972"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2021</w:t>
            </w:r>
          </w:p>
        </w:tc>
        <w:tc>
          <w:tcPr>
            <w:tcW w:w="1119" w:type="dxa"/>
            <w:tcBorders>
              <w:top w:val="nil"/>
              <w:left w:val="nil"/>
              <w:bottom w:val="nil"/>
              <w:right w:val="nil"/>
            </w:tcBorders>
            <w:shd w:val="clear" w:color="000000" w:fill="002060"/>
            <w:noWrap/>
            <w:vAlign w:val="center"/>
            <w:hideMark/>
          </w:tcPr>
          <w:p w14:paraId="657B56EA"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2022</w:t>
            </w:r>
          </w:p>
        </w:tc>
        <w:tc>
          <w:tcPr>
            <w:tcW w:w="1020" w:type="dxa"/>
            <w:tcBorders>
              <w:top w:val="nil"/>
              <w:left w:val="nil"/>
              <w:bottom w:val="nil"/>
              <w:right w:val="nil"/>
            </w:tcBorders>
            <w:shd w:val="clear" w:color="000000" w:fill="002060"/>
            <w:noWrap/>
            <w:vAlign w:val="center"/>
            <w:hideMark/>
          </w:tcPr>
          <w:p w14:paraId="47C23A4E"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2023</w:t>
            </w:r>
          </w:p>
        </w:tc>
        <w:tc>
          <w:tcPr>
            <w:tcW w:w="1063" w:type="dxa"/>
            <w:tcBorders>
              <w:top w:val="nil"/>
              <w:left w:val="nil"/>
              <w:bottom w:val="nil"/>
              <w:right w:val="nil"/>
            </w:tcBorders>
            <w:shd w:val="clear" w:color="000000" w:fill="002060"/>
            <w:noWrap/>
            <w:vAlign w:val="center"/>
            <w:hideMark/>
          </w:tcPr>
          <w:p w14:paraId="0143A060" w14:textId="77777777" w:rsidR="00676770" w:rsidRPr="00961876" w:rsidRDefault="00676770" w:rsidP="00676770">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2024</w:t>
            </w:r>
          </w:p>
        </w:tc>
      </w:tr>
      <w:tr w:rsidR="00676770" w:rsidRPr="00961876" w14:paraId="4E5E1F87" w14:textId="77777777" w:rsidTr="004B1A0E">
        <w:trPr>
          <w:trHeight w:val="255"/>
        </w:trPr>
        <w:tc>
          <w:tcPr>
            <w:tcW w:w="2283" w:type="dxa"/>
            <w:tcBorders>
              <w:top w:val="nil"/>
              <w:left w:val="nil"/>
              <w:bottom w:val="nil"/>
              <w:right w:val="nil"/>
            </w:tcBorders>
            <w:shd w:val="clear" w:color="auto" w:fill="auto"/>
            <w:noWrap/>
            <w:vAlign w:val="center"/>
            <w:hideMark/>
          </w:tcPr>
          <w:p w14:paraId="44318F16" w14:textId="77777777" w:rsidR="00676770" w:rsidRPr="00961876" w:rsidRDefault="00676770" w:rsidP="00326F73">
            <w:pPr>
              <w:spacing w:after="0" w:line="240" w:lineRule="auto"/>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Médecin</w:t>
            </w:r>
          </w:p>
        </w:tc>
        <w:tc>
          <w:tcPr>
            <w:tcW w:w="1234" w:type="dxa"/>
            <w:tcBorders>
              <w:top w:val="nil"/>
              <w:left w:val="nil"/>
              <w:bottom w:val="nil"/>
              <w:right w:val="nil"/>
            </w:tcBorders>
            <w:shd w:val="clear" w:color="auto" w:fill="auto"/>
            <w:noWrap/>
            <w:vAlign w:val="center"/>
            <w:hideMark/>
          </w:tcPr>
          <w:p w14:paraId="3C4B0756"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2716</w:t>
            </w:r>
          </w:p>
        </w:tc>
        <w:tc>
          <w:tcPr>
            <w:tcW w:w="1234" w:type="dxa"/>
            <w:tcBorders>
              <w:top w:val="nil"/>
              <w:left w:val="nil"/>
              <w:bottom w:val="nil"/>
              <w:right w:val="nil"/>
            </w:tcBorders>
            <w:shd w:val="clear" w:color="auto" w:fill="auto"/>
            <w:noWrap/>
            <w:vAlign w:val="center"/>
            <w:hideMark/>
          </w:tcPr>
          <w:p w14:paraId="25654336"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2618</w:t>
            </w:r>
          </w:p>
        </w:tc>
        <w:tc>
          <w:tcPr>
            <w:tcW w:w="1076" w:type="dxa"/>
            <w:tcBorders>
              <w:top w:val="nil"/>
              <w:left w:val="nil"/>
              <w:bottom w:val="nil"/>
              <w:right w:val="nil"/>
            </w:tcBorders>
            <w:shd w:val="clear" w:color="auto" w:fill="auto"/>
            <w:noWrap/>
            <w:vAlign w:val="center"/>
            <w:hideMark/>
          </w:tcPr>
          <w:p w14:paraId="38D047B5"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2531</w:t>
            </w:r>
          </w:p>
        </w:tc>
        <w:tc>
          <w:tcPr>
            <w:tcW w:w="1119" w:type="dxa"/>
            <w:tcBorders>
              <w:top w:val="nil"/>
              <w:left w:val="nil"/>
              <w:bottom w:val="nil"/>
              <w:right w:val="nil"/>
            </w:tcBorders>
            <w:shd w:val="clear" w:color="auto" w:fill="auto"/>
            <w:noWrap/>
            <w:vAlign w:val="center"/>
            <w:hideMark/>
          </w:tcPr>
          <w:p w14:paraId="295BC379"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2422</w:t>
            </w:r>
          </w:p>
        </w:tc>
        <w:tc>
          <w:tcPr>
            <w:tcW w:w="1020" w:type="dxa"/>
            <w:tcBorders>
              <w:top w:val="nil"/>
              <w:left w:val="nil"/>
              <w:bottom w:val="nil"/>
              <w:right w:val="nil"/>
            </w:tcBorders>
            <w:shd w:val="clear" w:color="auto" w:fill="auto"/>
            <w:noWrap/>
            <w:vAlign w:val="center"/>
            <w:hideMark/>
          </w:tcPr>
          <w:p w14:paraId="4066AED5"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2331</w:t>
            </w:r>
          </w:p>
        </w:tc>
        <w:tc>
          <w:tcPr>
            <w:tcW w:w="1063" w:type="dxa"/>
            <w:tcBorders>
              <w:top w:val="nil"/>
              <w:left w:val="nil"/>
              <w:bottom w:val="nil"/>
              <w:right w:val="nil"/>
            </w:tcBorders>
            <w:shd w:val="clear" w:color="auto" w:fill="auto"/>
            <w:noWrap/>
            <w:vAlign w:val="center"/>
            <w:hideMark/>
          </w:tcPr>
          <w:p w14:paraId="3E4DEBDC"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2247</w:t>
            </w:r>
          </w:p>
        </w:tc>
      </w:tr>
      <w:tr w:rsidR="00676770" w:rsidRPr="00961876" w14:paraId="5DC081B5" w14:textId="77777777" w:rsidTr="004B1A0E">
        <w:trPr>
          <w:trHeight w:val="255"/>
        </w:trPr>
        <w:tc>
          <w:tcPr>
            <w:tcW w:w="2283" w:type="dxa"/>
            <w:tcBorders>
              <w:top w:val="nil"/>
              <w:left w:val="nil"/>
              <w:bottom w:val="nil"/>
              <w:right w:val="nil"/>
            </w:tcBorders>
            <w:shd w:val="clear" w:color="auto" w:fill="auto"/>
            <w:noWrap/>
            <w:vAlign w:val="center"/>
            <w:hideMark/>
          </w:tcPr>
          <w:p w14:paraId="0BEC5843" w14:textId="77777777" w:rsidR="00676770" w:rsidRPr="00961876" w:rsidRDefault="00676770" w:rsidP="00326F73">
            <w:pPr>
              <w:spacing w:after="0" w:line="240" w:lineRule="auto"/>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Sage-femme</w:t>
            </w:r>
          </w:p>
        </w:tc>
        <w:tc>
          <w:tcPr>
            <w:tcW w:w="1234" w:type="dxa"/>
            <w:tcBorders>
              <w:top w:val="nil"/>
              <w:left w:val="nil"/>
              <w:bottom w:val="nil"/>
              <w:right w:val="nil"/>
            </w:tcBorders>
            <w:shd w:val="clear" w:color="auto" w:fill="auto"/>
            <w:noWrap/>
            <w:vAlign w:val="center"/>
            <w:hideMark/>
          </w:tcPr>
          <w:p w14:paraId="0502AA21"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865</w:t>
            </w:r>
          </w:p>
        </w:tc>
        <w:tc>
          <w:tcPr>
            <w:tcW w:w="1234" w:type="dxa"/>
            <w:tcBorders>
              <w:top w:val="nil"/>
              <w:left w:val="nil"/>
              <w:bottom w:val="nil"/>
              <w:right w:val="nil"/>
            </w:tcBorders>
            <w:shd w:val="clear" w:color="auto" w:fill="auto"/>
            <w:noWrap/>
            <w:vAlign w:val="center"/>
            <w:hideMark/>
          </w:tcPr>
          <w:p w14:paraId="524578C6"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864</w:t>
            </w:r>
          </w:p>
        </w:tc>
        <w:tc>
          <w:tcPr>
            <w:tcW w:w="1076" w:type="dxa"/>
            <w:tcBorders>
              <w:top w:val="nil"/>
              <w:left w:val="nil"/>
              <w:bottom w:val="nil"/>
              <w:right w:val="nil"/>
            </w:tcBorders>
            <w:shd w:val="clear" w:color="auto" w:fill="auto"/>
            <w:noWrap/>
            <w:vAlign w:val="center"/>
            <w:hideMark/>
          </w:tcPr>
          <w:p w14:paraId="4E371407"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863</w:t>
            </w:r>
          </w:p>
        </w:tc>
        <w:tc>
          <w:tcPr>
            <w:tcW w:w="1119" w:type="dxa"/>
            <w:tcBorders>
              <w:top w:val="nil"/>
              <w:left w:val="nil"/>
              <w:bottom w:val="nil"/>
              <w:right w:val="nil"/>
            </w:tcBorders>
            <w:shd w:val="clear" w:color="auto" w:fill="auto"/>
            <w:noWrap/>
            <w:vAlign w:val="center"/>
            <w:hideMark/>
          </w:tcPr>
          <w:p w14:paraId="3208310D"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863</w:t>
            </w:r>
          </w:p>
        </w:tc>
        <w:tc>
          <w:tcPr>
            <w:tcW w:w="1020" w:type="dxa"/>
            <w:tcBorders>
              <w:top w:val="nil"/>
              <w:left w:val="nil"/>
              <w:bottom w:val="nil"/>
              <w:right w:val="nil"/>
            </w:tcBorders>
            <w:shd w:val="clear" w:color="auto" w:fill="auto"/>
            <w:noWrap/>
            <w:vAlign w:val="center"/>
            <w:hideMark/>
          </w:tcPr>
          <w:p w14:paraId="7F4E97C3"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862</w:t>
            </w:r>
          </w:p>
        </w:tc>
        <w:tc>
          <w:tcPr>
            <w:tcW w:w="1063" w:type="dxa"/>
            <w:tcBorders>
              <w:top w:val="nil"/>
              <w:left w:val="nil"/>
              <w:bottom w:val="nil"/>
              <w:right w:val="nil"/>
            </w:tcBorders>
            <w:shd w:val="clear" w:color="auto" w:fill="auto"/>
            <w:noWrap/>
            <w:vAlign w:val="center"/>
            <w:hideMark/>
          </w:tcPr>
          <w:p w14:paraId="0520FE18"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862</w:t>
            </w:r>
          </w:p>
        </w:tc>
      </w:tr>
      <w:tr w:rsidR="00676770" w:rsidRPr="00961876" w14:paraId="547FE2A5" w14:textId="77777777" w:rsidTr="004B1A0E">
        <w:trPr>
          <w:trHeight w:val="255"/>
        </w:trPr>
        <w:tc>
          <w:tcPr>
            <w:tcW w:w="2283" w:type="dxa"/>
            <w:tcBorders>
              <w:top w:val="nil"/>
              <w:left w:val="nil"/>
              <w:bottom w:val="nil"/>
              <w:right w:val="nil"/>
            </w:tcBorders>
            <w:shd w:val="clear" w:color="auto" w:fill="auto"/>
            <w:noWrap/>
            <w:vAlign w:val="center"/>
            <w:hideMark/>
          </w:tcPr>
          <w:p w14:paraId="3D3CF64A" w14:textId="77777777" w:rsidR="00676770" w:rsidRPr="00961876" w:rsidRDefault="004B1A0E" w:rsidP="00326F73">
            <w:pPr>
              <w:spacing w:after="0" w:line="240" w:lineRule="auto"/>
              <w:rPr>
                <w:rFonts w:ascii="MS Shell Dlg 2" w:hAnsi="MS Shell Dlg 2" w:cs="MS Shell Dlg 2"/>
                <w:color w:val="000000"/>
                <w:sz w:val="20"/>
                <w:szCs w:val="20"/>
                <w:lang w:eastAsia="fr-FR"/>
              </w:rPr>
            </w:pPr>
            <w:r>
              <w:rPr>
                <w:rFonts w:ascii="MS Shell Dlg 2" w:hAnsi="MS Shell Dlg 2" w:cs="MS Shell Dlg 2"/>
                <w:color w:val="000000"/>
                <w:sz w:val="20"/>
                <w:szCs w:val="20"/>
                <w:lang w:eastAsia="fr-FR"/>
              </w:rPr>
              <w:t>Infirmier diplômé d’Etat</w:t>
            </w:r>
          </w:p>
        </w:tc>
        <w:tc>
          <w:tcPr>
            <w:tcW w:w="1234" w:type="dxa"/>
            <w:tcBorders>
              <w:top w:val="nil"/>
              <w:left w:val="nil"/>
              <w:bottom w:val="nil"/>
              <w:right w:val="nil"/>
            </w:tcBorders>
            <w:shd w:val="clear" w:color="auto" w:fill="auto"/>
            <w:noWrap/>
            <w:vAlign w:val="center"/>
            <w:hideMark/>
          </w:tcPr>
          <w:p w14:paraId="66C1402F"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2189</w:t>
            </w:r>
          </w:p>
        </w:tc>
        <w:tc>
          <w:tcPr>
            <w:tcW w:w="1234" w:type="dxa"/>
            <w:tcBorders>
              <w:top w:val="nil"/>
              <w:left w:val="nil"/>
              <w:bottom w:val="nil"/>
              <w:right w:val="nil"/>
            </w:tcBorders>
            <w:shd w:val="clear" w:color="auto" w:fill="auto"/>
            <w:noWrap/>
            <w:vAlign w:val="center"/>
            <w:hideMark/>
          </w:tcPr>
          <w:p w14:paraId="1EC839F8"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2136</w:t>
            </w:r>
          </w:p>
        </w:tc>
        <w:tc>
          <w:tcPr>
            <w:tcW w:w="1076" w:type="dxa"/>
            <w:tcBorders>
              <w:top w:val="nil"/>
              <w:left w:val="nil"/>
              <w:bottom w:val="nil"/>
              <w:right w:val="nil"/>
            </w:tcBorders>
            <w:shd w:val="clear" w:color="auto" w:fill="auto"/>
            <w:noWrap/>
            <w:vAlign w:val="center"/>
            <w:hideMark/>
          </w:tcPr>
          <w:p w14:paraId="0264B258"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2054</w:t>
            </w:r>
          </w:p>
        </w:tc>
        <w:tc>
          <w:tcPr>
            <w:tcW w:w="1119" w:type="dxa"/>
            <w:tcBorders>
              <w:top w:val="nil"/>
              <w:left w:val="nil"/>
              <w:bottom w:val="nil"/>
              <w:right w:val="nil"/>
            </w:tcBorders>
            <w:shd w:val="clear" w:color="auto" w:fill="auto"/>
            <w:noWrap/>
            <w:vAlign w:val="center"/>
            <w:hideMark/>
          </w:tcPr>
          <w:p w14:paraId="6C1A85E0"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1994</w:t>
            </w:r>
          </w:p>
        </w:tc>
        <w:tc>
          <w:tcPr>
            <w:tcW w:w="1020" w:type="dxa"/>
            <w:tcBorders>
              <w:top w:val="nil"/>
              <w:left w:val="nil"/>
              <w:bottom w:val="nil"/>
              <w:right w:val="nil"/>
            </w:tcBorders>
            <w:shd w:val="clear" w:color="auto" w:fill="auto"/>
            <w:noWrap/>
            <w:vAlign w:val="center"/>
            <w:hideMark/>
          </w:tcPr>
          <w:p w14:paraId="508ECD26"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1929</w:t>
            </w:r>
          </w:p>
        </w:tc>
        <w:tc>
          <w:tcPr>
            <w:tcW w:w="1063" w:type="dxa"/>
            <w:tcBorders>
              <w:top w:val="nil"/>
              <w:left w:val="nil"/>
              <w:bottom w:val="nil"/>
              <w:right w:val="nil"/>
            </w:tcBorders>
            <w:shd w:val="clear" w:color="auto" w:fill="auto"/>
            <w:noWrap/>
            <w:vAlign w:val="center"/>
            <w:hideMark/>
          </w:tcPr>
          <w:p w14:paraId="1161156E" w14:textId="77777777" w:rsidR="00676770" w:rsidRPr="00961876" w:rsidRDefault="00676770" w:rsidP="00676770">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1887</w:t>
            </w:r>
          </w:p>
        </w:tc>
      </w:tr>
      <w:tr w:rsidR="00676770" w:rsidRPr="00961876" w14:paraId="180A531B" w14:textId="77777777" w:rsidTr="004B1A0E">
        <w:trPr>
          <w:trHeight w:val="269"/>
        </w:trPr>
        <w:tc>
          <w:tcPr>
            <w:tcW w:w="2283" w:type="dxa"/>
            <w:tcBorders>
              <w:top w:val="single" w:sz="4" w:space="0" w:color="auto"/>
              <w:left w:val="nil"/>
              <w:bottom w:val="double" w:sz="6" w:space="0" w:color="auto"/>
              <w:right w:val="nil"/>
            </w:tcBorders>
            <w:shd w:val="clear" w:color="000000" w:fill="BDD7EE"/>
            <w:noWrap/>
            <w:vAlign w:val="center"/>
            <w:hideMark/>
          </w:tcPr>
          <w:p w14:paraId="4926AAEF" w14:textId="77777777" w:rsidR="00676770" w:rsidRPr="00961876" w:rsidRDefault="00676770" w:rsidP="00326F73">
            <w:pPr>
              <w:spacing w:after="0" w:line="240" w:lineRule="auto"/>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 xml:space="preserve">Total </w:t>
            </w:r>
          </w:p>
        </w:tc>
        <w:tc>
          <w:tcPr>
            <w:tcW w:w="1234" w:type="dxa"/>
            <w:tcBorders>
              <w:top w:val="single" w:sz="4" w:space="0" w:color="auto"/>
              <w:left w:val="nil"/>
              <w:bottom w:val="double" w:sz="6" w:space="0" w:color="auto"/>
              <w:right w:val="nil"/>
            </w:tcBorders>
            <w:shd w:val="clear" w:color="000000" w:fill="BDD7EE"/>
            <w:noWrap/>
            <w:vAlign w:val="center"/>
            <w:hideMark/>
          </w:tcPr>
          <w:p w14:paraId="6B78683D"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5770</w:t>
            </w:r>
          </w:p>
        </w:tc>
        <w:tc>
          <w:tcPr>
            <w:tcW w:w="1234" w:type="dxa"/>
            <w:tcBorders>
              <w:top w:val="single" w:sz="4" w:space="0" w:color="auto"/>
              <w:left w:val="nil"/>
              <w:bottom w:val="double" w:sz="6" w:space="0" w:color="auto"/>
              <w:right w:val="nil"/>
            </w:tcBorders>
            <w:shd w:val="clear" w:color="000000" w:fill="BDD7EE"/>
            <w:noWrap/>
            <w:vAlign w:val="center"/>
            <w:hideMark/>
          </w:tcPr>
          <w:p w14:paraId="0543EF10"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5618</w:t>
            </w:r>
          </w:p>
        </w:tc>
        <w:tc>
          <w:tcPr>
            <w:tcW w:w="1076" w:type="dxa"/>
            <w:tcBorders>
              <w:top w:val="single" w:sz="4" w:space="0" w:color="auto"/>
              <w:left w:val="nil"/>
              <w:bottom w:val="double" w:sz="6" w:space="0" w:color="auto"/>
              <w:right w:val="nil"/>
            </w:tcBorders>
            <w:shd w:val="clear" w:color="000000" w:fill="BDD7EE"/>
            <w:noWrap/>
            <w:vAlign w:val="center"/>
            <w:hideMark/>
          </w:tcPr>
          <w:p w14:paraId="1A36F8E1"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5448</w:t>
            </w:r>
          </w:p>
        </w:tc>
        <w:tc>
          <w:tcPr>
            <w:tcW w:w="1119" w:type="dxa"/>
            <w:tcBorders>
              <w:top w:val="single" w:sz="4" w:space="0" w:color="auto"/>
              <w:left w:val="nil"/>
              <w:bottom w:val="double" w:sz="6" w:space="0" w:color="auto"/>
              <w:right w:val="nil"/>
            </w:tcBorders>
            <w:shd w:val="clear" w:color="000000" w:fill="BDD7EE"/>
            <w:noWrap/>
            <w:vAlign w:val="center"/>
            <w:hideMark/>
          </w:tcPr>
          <w:p w14:paraId="49F68ED4"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5279</w:t>
            </w:r>
          </w:p>
        </w:tc>
        <w:tc>
          <w:tcPr>
            <w:tcW w:w="1020" w:type="dxa"/>
            <w:tcBorders>
              <w:top w:val="single" w:sz="4" w:space="0" w:color="auto"/>
              <w:left w:val="nil"/>
              <w:bottom w:val="double" w:sz="6" w:space="0" w:color="auto"/>
              <w:right w:val="nil"/>
            </w:tcBorders>
            <w:shd w:val="clear" w:color="000000" w:fill="BDD7EE"/>
            <w:noWrap/>
            <w:vAlign w:val="center"/>
            <w:hideMark/>
          </w:tcPr>
          <w:p w14:paraId="12D2329C"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5122</w:t>
            </w:r>
          </w:p>
        </w:tc>
        <w:tc>
          <w:tcPr>
            <w:tcW w:w="1063" w:type="dxa"/>
            <w:tcBorders>
              <w:top w:val="single" w:sz="4" w:space="0" w:color="auto"/>
              <w:left w:val="nil"/>
              <w:bottom w:val="double" w:sz="6" w:space="0" w:color="auto"/>
              <w:right w:val="nil"/>
            </w:tcBorders>
            <w:shd w:val="clear" w:color="000000" w:fill="BDD7EE"/>
            <w:noWrap/>
            <w:vAlign w:val="center"/>
            <w:hideMark/>
          </w:tcPr>
          <w:p w14:paraId="24EC4B1D" w14:textId="77777777" w:rsidR="00676770" w:rsidRPr="00961876" w:rsidRDefault="00676770" w:rsidP="00676770">
            <w:pPr>
              <w:spacing w:after="0" w:line="240" w:lineRule="auto"/>
              <w:jc w:val="righ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4996</w:t>
            </w:r>
          </w:p>
        </w:tc>
      </w:tr>
    </w:tbl>
    <w:p w14:paraId="5F22F5CB" w14:textId="77777777" w:rsidR="00676770" w:rsidRDefault="00676770" w:rsidP="00676770">
      <w:pPr>
        <w:spacing w:after="0" w:line="240" w:lineRule="auto"/>
        <w:rPr>
          <w:rFonts w:ascii="Arial" w:hAnsi="Arial" w:cs="Arial"/>
          <w:color w:val="000000"/>
          <w:sz w:val="20"/>
          <w:szCs w:val="20"/>
          <w:lang w:eastAsia="fr-FR"/>
        </w:rPr>
      </w:pPr>
    </w:p>
    <w:p w14:paraId="5B3C556B" w14:textId="77777777" w:rsidR="00676770" w:rsidRDefault="00676770" w:rsidP="00676770">
      <w:pPr>
        <w:spacing w:after="0" w:line="240" w:lineRule="auto"/>
        <w:rPr>
          <w:rFonts w:ascii="Arial" w:hAnsi="Arial" w:cs="Arial"/>
          <w:color w:val="000000"/>
          <w:sz w:val="20"/>
          <w:szCs w:val="20"/>
          <w:lang w:eastAsia="fr-FR"/>
        </w:rPr>
      </w:pPr>
    </w:p>
    <w:p w14:paraId="34A5E08F" w14:textId="77777777" w:rsidR="00676770" w:rsidRPr="00961876" w:rsidRDefault="00676770" w:rsidP="009C4B42">
      <w:pPr>
        <w:spacing w:after="120" w:line="240" w:lineRule="auto"/>
        <w:rPr>
          <w:rFonts w:ascii="MS Shell Dlg 2" w:hAnsi="MS Shell Dlg 2" w:cs="MS Shell Dlg 2"/>
          <w:color w:val="000000"/>
          <w:sz w:val="20"/>
          <w:szCs w:val="20"/>
          <w:lang w:eastAsia="fr-FR"/>
        </w:rPr>
      </w:pPr>
      <w:r>
        <w:rPr>
          <w:rFonts w:ascii="Arial" w:hAnsi="Arial" w:cs="Arial"/>
          <w:color w:val="000000"/>
          <w:sz w:val="20"/>
          <w:szCs w:val="20"/>
          <w:lang w:eastAsia="fr-FR"/>
        </w:rPr>
        <w:t>Tableau 1.</w:t>
      </w:r>
      <w:r w:rsidR="00091B65">
        <w:rPr>
          <w:rFonts w:ascii="Arial" w:hAnsi="Arial" w:cs="Arial"/>
          <w:color w:val="000000"/>
          <w:sz w:val="20"/>
          <w:szCs w:val="20"/>
          <w:lang w:eastAsia="fr-FR"/>
        </w:rPr>
        <w:t>4</w:t>
      </w:r>
      <w:r>
        <w:rPr>
          <w:rFonts w:ascii="Arial" w:hAnsi="Arial" w:cs="Arial"/>
          <w:color w:val="000000"/>
          <w:sz w:val="20"/>
          <w:szCs w:val="20"/>
          <w:lang w:eastAsia="fr-FR"/>
        </w:rPr>
        <w:t xml:space="preserve"> : </w:t>
      </w:r>
      <w:r>
        <w:rPr>
          <w:rFonts w:ascii="MS Shell Dlg 2" w:hAnsi="MS Shell Dlg 2" w:cs="MS Shell Dlg 2"/>
          <w:color w:val="000000"/>
          <w:sz w:val="20"/>
          <w:szCs w:val="20"/>
          <w:lang w:eastAsia="fr-FR"/>
        </w:rPr>
        <w:t>Ecart en</w:t>
      </w:r>
      <w:r w:rsidRPr="00961876">
        <w:rPr>
          <w:rFonts w:ascii="MS Shell Dlg 2" w:hAnsi="MS Shell Dlg 2" w:cs="MS Shell Dlg 2"/>
          <w:color w:val="000000"/>
          <w:sz w:val="20"/>
          <w:szCs w:val="20"/>
          <w:lang w:eastAsia="fr-FR"/>
        </w:rPr>
        <w:t>tre disponible et requis (selon</w:t>
      </w:r>
      <w:r>
        <w:rPr>
          <w:rFonts w:ascii="MS Shell Dlg 2" w:hAnsi="MS Shell Dlg 2" w:cs="MS Shell Dlg 2"/>
          <w:color w:val="000000"/>
          <w:sz w:val="20"/>
          <w:szCs w:val="20"/>
          <w:lang w:eastAsia="fr-FR"/>
        </w:rPr>
        <w:t xml:space="preserve"> </w:t>
      </w:r>
      <w:r w:rsidR="00E86F1D">
        <w:rPr>
          <w:rFonts w:ascii="MS Shell Dlg 2" w:hAnsi="MS Shell Dlg 2" w:cs="MS Shell Dlg 2"/>
          <w:color w:val="000000"/>
          <w:sz w:val="20"/>
          <w:szCs w:val="20"/>
          <w:lang w:eastAsia="fr-FR"/>
        </w:rPr>
        <w:t xml:space="preserve">recommandation de </w:t>
      </w:r>
      <w:r>
        <w:rPr>
          <w:rFonts w:ascii="MS Shell Dlg 2" w:hAnsi="MS Shell Dlg 2" w:cs="MS Shell Dlg 2"/>
          <w:color w:val="000000"/>
          <w:sz w:val="20"/>
          <w:szCs w:val="20"/>
          <w:lang w:eastAsia="fr-FR"/>
        </w:rPr>
        <w:t>l'OMS) des principaux corps (</w:t>
      </w:r>
      <w:r w:rsidRPr="00961876">
        <w:rPr>
          <w:rFonts w:ascii="MS Shell Dlg 2" w:hAnsi="MS Shell Dlg 2" w:cs="MS Shell Dlg 2"/>
          <w:color w:val="000000"/>
          <w:sz w:val="20"/>
          <w:szCs w:val="20"/>
          <w:lang w:eastAsia="fr-FR"/>
        </w:rPr>
        <w:t>sage</w:t>
      </w:r>
      <w:r>
        <w:rPr>
          <w:rFonts w:ascii="MS Shell Dlg 2" w:hAnsi="MS Shell Dlg 2" w:cs="MS Shell Dlg 2"/>
          <w:color w:val="000000"/>
          <w:sz w:val="20"/>
          <w:szCs w:val="20"/>
          <w:lang w:eastAsia="fr-FR"/>
        </w:rPr>
        <w:t>s</w:t>
      </w:r>
      <w:r w:rsidRPr="00961876">
        <w:rPr>
          <w:rFonts w:ascii="MS Shell Dlg 2" w:hAnsi="MS Shell Dlg 2" w:cs="MS Shell Dlg 2"/>
          <w:color w:val="000000"/>
          <w:sz w:val="20"/>
          <w:szCs w:val="20"/>
          <w:lang w:eastAsia="fr-FR"/>
        </w:rPr>
        <w:t>-femmes, infirmiers d'Etat et médecins)</w:t>
      </w:r>
    </w:p>
    <w:tbl>
      <w:tblPr>
        <w:tblW w:w="8945" w:type="dxa"/>
        <w:tblInd w:w="55" w:type="dxa"/>
        <w:tblLayout w:type="fixed"/>
        <w:tblCellMar>
          <w:left w:w="70" w:type="dxa"/>
          <w:right w:w="70" w:type="dxa"/>
        </w:tblCellMar>
        <w:tblLook w:val="04A0" w:firstRow="1" w:lastRow="0" w:firstColumn="1" w:lastColumn="0" w:noHBand="0" w:noVBand="1"/>
      </w:tblPr>
      <w:tblGrid>
        <w:gridCol w:w="2283"/>
        <w:gridCol w:w="1110"/>
        <w:gridCol w:w="1110"/>
        <w:gridCol w:w="1111"/>
        <w:gridCol w:w="1110"/>
        <w:gridCol w:w="1110"/>
        <w:gridCol w:w="1111"/>
      </w:tblGrid>
      <w:tr w:rsidR="00676770" w:rsidRPr="00961876" w14:paraId="2B16DC39" w14:textId="77777777" w:rsidTr="00E86F1D">
        <w:trPr>
          <w:trHeight w:val="390"/>
        </w:trPr>
        <w:tc>
          <w:tcPr>
            <w:tcW w:w="2283" w:type="dxa"/>
            <w:vMerge w:val="restart"/>
            <w:tcBorders>
              <w:top w:val="nil"/>
              <w:left w:val="nil"/>
              <w:bottom w:val="nil"/>
              <w:right w:val="nil"/>
            </w:tcBorders>
            <w:shd w:val="clear" w:color="000000" w:fill="002060"/>
            <w:noWrap/>
            <w:vAlign w:val="center"/>
            <w:hideMark/>
          </w:tcPr>
          <w:p w14:paraId="5AA49CFF" w14:textId="77777777" w:rsidR="00676770" w:rsidRPr="00961876" w:rsidRDefault="00676770" w:rsidP="00326F73">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Corps professionnel</w:t>
            </w:r>
          </w:p>
        </w:tc>
        <w:tc>
          <w:tcPr>
            <w:tcW w:w="6662" w:type="dxa"/>
            <w:gridSpan w:val="6"/>
            <w:tcBorders>
              <w:top w:val="nil"/>
              <w:left w:val="nil"/>
              <w:bottom w:val="nil"/>
              <w:right w:val="nil"/>
            </w:tcBorders>
            <w:shd w:val="clear" w:color="000000" w:fill="002060"/>
            <w:noWrap/>
            <w:vAlign w:val="center"/>
            <w:hideMark/>
          </w:tcPr>
          <w:p w14:paraId="7827D4AD" w14:textId="77777777" w:rsidR="00676770" w:rsidRPr="00961876" w:rsidRDefault="00676770" w:rsidP="00326F73">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Ecart entre effectifs requis et effectif disponibles</w:t>
            </w:r>
          </w:p>
        </w:tc>
      </w:tr>
      <w:tr w:rsidR="00676770" w:rsidRPr="00961876" w14:paraId="202F4E19" w14:textId="77777777" w:rsidTr="00E86F1D">
        <w:trPr>
          <w:trHeight w:val="390"/>
        </w:trPr>
        <w:tc>
          <w:tcPr>
            <w:tcW w:w="2283" w:type="dxa"/>
            <w:vMerge/>
            <w:tcBorders>
              <w:top w:val="nil"/>
              <w:left w:val="nil"/>
              <w:bottom w:val="nil"/>
              <w:right w:val="nil"/>
            </w:tcBorders>
            <w:vAlign w:val="center"/>
            <w:hideMark/>
          </w:tcPr>
          <w:p w14:paraId="270B356D" w14:textId="77777777" w:rsidR="00676770" w:rsidRPr="00961876" w:rsidRDefault="00676770" w:rsidP="00326F73">
            <w:pPr>
              <w:spacing w:after="0" w:line="240" w:lineRule="auto"/>
              <w:rPr>
                <w:rFonts w:ascii="MS Shell Dlg 2" w:hAnsi="MS Shell Dlg 2" w:cs="MS Shell Dlg 2"/>
                <w:b/>
                <w:bCs/>
                <w:color w:val="FFFFFF"/>
                <w:sz w:val="20"/>
                <w:szCs w:val="20"/>
                <w:lang w:eastAsia="fr-FR"/>
              </w:rPr>
            </w:pPr>
          </w:p>
        </w:tc>
        <w:tc>
          <w:tcPr>
            <w:tcW w:w="1110" w:type="dxa"/>
            <w:tcBorders>
              <w:top w:val="nil"/>
              <w:left w:val="nil"/>
              <w:bottom w:val="nil"/>
              <w:right w:val="nil"/>
            </w:tcBorders>
            <w:shd w:val="clear" w:color="000000" w:fill="002060"/>
            <w:noWrap/>
            <w:vAlign w:val="center"/>
            <w:hideMark/>
          </w:tcPr>
          <w:p w14:paraId="740D4B58"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2019</w:t>
            </w:r>
          </w:p>
        </w:tc>
        <w:tc>
          <w:tcPr>
            <w:tcW w:w="1110" w:type="dxa"/>
            <w:tcBorders>
              <w:top w:val="nil"/>
              <w:left w:val="nil"/>
              <w:bottom w:val="nil"/>
              <w:right w:val="nil"/>
            </w:tcBorders>
            <w:shd w:val="clear" w:color="000000" w:fill="002060"/>
            <w:noWrap/>
            <w:vAlign w:val="center"/>
            <w:hideMark/>
          </w:tcPr>
          <w:p w14:paraId="3D106A60"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2020</w:t>
            </w:r>
          </w:p>
        </w:tc>
        <w:tc>
          <w:tcPr>
            <w:tcW w:w="1111" w:type="dxa"/>
            <w:tcBorders>
              <w:top w:val="nil"/>
              <w:left w:val="nil"/>
              <w:bottom w:val="nil"/>
              <w:right w:val="nil"/>
            </w:tcBorders>
            <w:shd w:val="clear" w:color="000000" w:fill="002060"/>
            <w:noWrap/>
            <w:vAlign w:val="center"/>
            <w:hideMark/>
          </w:tcPr>
          <w:p w14:paraId="39CDC502"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2021</w:t>
            </w:r>
          </w:p>
        </w:tc>
        <w:tc>
          <w:tcPr>
            <w:tcW w:w="1110" w:type="dxa"/>
            <w:tcBorders>
              <w:top w:val="nil"/>
              <w:left w:val="nil"/>
              <w:bottom w:val="nil"/>
              <w:right w:val="nil"/>
            </w:tcBorders>
            <w:shd w:val="clear" w:color="000000" w:fill="002060"/>
            <w:noWrap/>
            <w:vAlign w:val="center"/>
            <w:hideMark/>
          </w:tcPr>
          <w:p w14:paraId="260BB94A"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2022</w:t>
            </w:r>
          </w:p>
        </w:tc>
        <w:tc>
          <w:tcPr>
            <w:tcW w:w="1110" w:type="dxa"/>
            <w:tcBorders>
              <w:top w:val="nil"/>
              <w:left w:val="nil"/>
              <w:bottom w:val="nil"/>
              <w:right w:val="nil"/>
            </w:tcBorders>
            <w:shd w:val="clear" w:color="000000" w:fill="002060"/>
            <w:noWrap/>
            <w:vAlign w:val="center"/>
            <w:hideMark/>
          </w:tcPr>
          <w:p w14:paraId="2AD02460"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2023</w:t>
            </w:r>
          </w:p>
        </w:tc>
        <w:tc>
          <w:tcPr>
            <w:tcW w:w="1111" w:type="dxa"/>
            <w:tcBorders>
              <w:top w:val="nil"/>
              <w:left w:val="nil"/>
              <w:bottom w:val="nil"/>
              <w:right w:val="nil"/>
            </w:tcBorders>
            <w:shd w:val="clear" w:color="000000" w:fill="002060"/>
            <w:noWrap/>
            <w:vAlign w:val="center"/>
            <w:hideMark/>
          </w:tcPr>
          <w:p w14:paraId="0E103E36" w14:textId="77777777" w:rsidR="00676770" w:rsidRPr="00961876" w:rsidRDefault="00676770" w:rsidP="00326F73">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2024</w:t>
            </w:r>
          </w:p>
        </w:tc>
      </w:tr>
      <w:tr w:rsidR="00676770" w:rsidRPr="00961876" w14:paraId="630D1C9A" w14:textId="77777777" w:rsidTr="00E86F1D">
        <w:trPr>
          <w:trHeight w:val="255"/>
        </w:trPr>
        <w:tc>
          <w:tcPr>
            <w:tcW w:w="2283" w:type="dxa"/>
            <w:tcBorders>
              <w:top w:val="nil"/>
              <w:left w:val="nil"/>
              <w:bottom w:val="nil"/>
              <w:right w:val="nil"/>
            </w:tcBorders>
            <w:shd w:val="clear" w:color="auto" w:fill="auto"/>
            <w:noWrap/>
            <w:vAlign w:val="bottom"/>
            <w:hideMark/>
          </w:tcPr>
          <w:p w14:paraId="51D3DC90" w14:textId="77777777" w:rsidR="00676770" w:rsidRPr="00961876" w:rsidRDefault="00676770" w:rsidP="00326F73">
            <w:pPr>
              <w:spacing w:after="0" w:line="240" w:lineRule="auto"/>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Médecin</w:t>
            </w:r>
          </w:p>
        </w:tc>
        <w:tc>
          <w:tcPr>
            <w:tcW w:w="1110" w:type="dxa"/>
            <w:tcBorders>
              <w:top w:val="nil"/>
              <w:left w:val="nil"/>
              <w:bottom w:val="nil"/>
              <w:right w:val="nil"/>
            </w:tcBorders>
            <w:shd w:val="clear" w:color="auto" w:fill="auto"/>
            <w:noWrap/>
            <w:vAlign w:val="bottom"/>
            <w:hideMark/>
          </w:tcPr>
          <w:p w14:paraId="47C16517"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1 494</w:t>
            </w:r>
          </w:p>
        </w:tc>
        <w:tc>
          <w:tcPr>
            <w:tcW w:w="1110" w:type="dxa"/>
            <w:tcBorders>
              <w:top w:val="nil"/>
              <w:left w:val="nil"/>
              <w:bottom w:val="nil"/>
              <w:right w:val="nil"/>
            </w:tcBorders>
            <w:shd w:val="clear" w:color="auto" w:fill="auto"/>
            <w:noWrap/>
            <w:vAlign w:val="bottom"/>
            <w:hideMark/>
          </w:tcPr>
          <w:p w14:paraId="615008F5"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1 362</w:t>
            </w:r>
          </w:p>
        </w:tc>
        <w:tc>
          <w:tcPr>
            <w:tcW w:w="1111" w:type="dxa"/>
            <w:tcBorders>
              <w:top w:val="nil"/>
              <w:left w:val="nil"/>
              <w:bottom w:val="nil"/>
              <w:right w:val="nil"/>
            </w:tcBorders>
            <w:shd w:val="clear" w:color="auto" w:fill="auto"/>
            <w:noWrap/>
            <w:vAlign w:val="bottom"/>
            <w:hideMark/>
          </w:tcPr>
          <w:p w14:paraId="56748488"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1 240</w:t>
            </w:r>
          </w:p>
        </w:tc>
        <w:tc>
          <w:tcPr>
            <w:tcW w:w="1110" w:type="dxa"/>
            <w:tcBorders>
              <w:top w:val="nil"/>
              <w:left w:val="nil"/>
              <w:bottom w:val="nil"/>
              <w:right w:val="nil"/>
            </w:tcBorders>
            <w:shd w:val="clear" w:color="auto" w:fill="auto"/>
            <w:noWrap/>
            <w:vAlign w:val="bottom"/>
            <w:hideMark/>
          </w:tcPr>
          <w:p w14:paraId="4F0D33F7"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1 096</w:t>
            </w:r>
          </w:p>
        </w:tc>
        <w:tc>
          <w:tcPr>
            <w:tcW w:w="1110" w:type="dxa"/>
            <w:tcBorders>
              <w:top w:val="nil"/>
              <w:left w:val="nil"/>
              <w:bottom w:val="nil"/>
              <w:right w:val="nil"/>
            </w:tcBorders>
            <w:shd w:val="clear" w:color="auto" w:fill="auto"/>
            <w:noWrap/>
            <w:vAlign w:val="bottom"/>
            <w:hideMark/>
          </w:tcPr>
          <w:p w14:paraId="488F6D69"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969</w:t>
            </w:r>
          </w:p>
        </w:tc>
        <w:tc>
          <w:tcPr>
            <w:tcW w:w="1111" w:type="dxa"/>
            <w:tcBorders>
              <w:top w:val="nil"/>
              <w:left w:val="nil"/>
              <w:bottom w:val="nil"/>
              <w:right w:val="nil"/>
            </w:tcBorders>
            <w:shd w:val="clear" w:color="auto" w:fill="auto"/>
            <w:noWrap/>
            <w:vAlign w:val="bottom"/>
            <w:hideMark/>
          </w:tcPr>
          <w:p w14:paraId="41653773"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848</w:t>
            </w:r>
          </w:p>
        </w:tc>
      </w:tr>
      <w:tr w:rsidR="00676770" w:rsidRPr="00961876" w14:paraId="62452771" w14:textId="77777777" w:rsidTr="00E86F1D">
        <w:trPr>
          <w:trHeight w:val="255"/>
        </w:trPr>
        <w:tc>
          <w:tcPr>
            <w:tcW w:w="2283" w:type="dxa"/>
            <w:tcBorders>
              <w:top w:val="nil"/>
              <w:left w:val="nil"/>
              <w:bottom w:val="nil"/>
              <w:right w:val="nil"/>
            </w:tcBorders>
            <w:shd w:val="clear" w:color="auto" w:fill="auto"/>
            <w:noWrap/>
            <w:vAlign w:val="bottom"/>
            <w:hideMark/>
          </w:tcPr>
          <w:p w14:paraId="090F3A62" w14:textId="77777777" w:rsidR="00676770" w:rsidRPr="00961876" w:rsidRDefault="00676770" w:rsidP="00326F73">
            <w:pPr>
              <w:spacing w:after="0" w:line="240" w:lineRule="auto"/>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Sage-femme</w:t>
            </w:r>
          </w:p>
        </w:tc>
        <w:tc>
          <w:tcPr>
            <w:tcW w:w="1110" w:type="dxa"/>
            <w:tcBorders>
              <w:top w:val="nil"/>
              <w:left w:val="nil"/>
              <w:bottom w:val="nil"/>
              <w:right w:val="nil"/>
            </w:tcBorders>
            <w:shd w:val="clear" w:color="auto" w:fill="auto"/>
            <w:noWrap/>
            <w:vAlign w:val="bottom"/>
            <w:hideMark/>
          </w:tcPr>
          <w:p w14:paraId="283F6D70"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-3 208</w:t>
            </w:r>
          </w:p>
        </w:tc>
        <w:tc>
          <w:tcPr>
            <w:tcW w:w="1110" w:type="dxa"/>
            <w:tcBorders>
              <w:top w:val="nil"/>
              <w:left w:val="nil"/>
              <w:bottom w:val="nil"/>
              <w:right w:val="nil"/>
            </w:tcBorders>
            <w:shd w:val="clear" w:color="auto" w:fill="auto"/>
            <w:noWrap/>
            <w:vAlign w:val="bottom"/>
            <w:hideMark/>
          </w:tcPr>
          <w:p w14:paraId="24561F21"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-3 323</w:t>
            </w:r>
          </w:p>
        </w:tc>
        <w:tc>
          <w:tcPr>
            <w:tcW w:w="1111" w:type="dxa"/>
            <w:tcBorders>
              <w:top w:val="nil"/>
              <w:left w:val="nil"/>
              <w:bottom w:val="nil"/>
              <w:right w:val="nil"/>
            </w:tcBorders>
            <w:shd w:val="clear" w:color="auto" w:fill="auto"/>
            <w:noWrap/>
            <w:vAlign w:val="bottom"/>
            <w:hideMark/>
          </w:tcPr>
          <w:p w14:paraId="16F50CBB"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-3 439</w:t>
            </w:r>
          </w:p>
        </w:tc>
        <w:tc>
          <w:tcPr>
            <w:tcW w:w="1110" w:type="dxa"/>
            <w:tcBorders>
              <w:top w:val="nil"/>
              <w:left w:val="nil"/>
              <w:bottom w:val="nil"/>
              <w:right w:val="nil"/>
            </w:tcBorders>
            <w:shd w:val="clear" w:color="auto" w:fill="auto"/>
            <w:noWrap/>
            <w:vAlign w:val="bottom"/>
            <w:hideMark/>
          </w:tcPr>
          <w:p w14:paraId="51F6304F"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-3 558</w:t>
            </w:r>
          </w:p>
        </w:tc>
        <w:tc>
          <w:tcPr>
            <w:tcW w:w="1110" w:type="dxa"/>
            <w:tcBorders>
              <w:top w:val="nil"/>
              <w:left w:val="nil"/>
              <w:bottom w:val="nil"/>
              <w:right w:val="nil"/>
            </w:tcBorders>
            <w:shd w:val="clear" w:color="auto" w:fill="auto"/>
            <w:noWrap/>
            <w:vAlign w:val="bottom"/>
            <w:hideMark/>
          </w:tcPr>
          <w:p w14:paraId="6CA82063"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-3 679</w:t>
            </w:r>
          </w:p>
        </w:tc>
        <w:tc>
          <w:tcPr>
            <w:tcW w:w="1111" w:type="dxa"/>
            <w:tcBorders>
              <w:top w:val="nil"/>
              <w:left w:val="nil"/>
              <w:bottom w:val="nil"/>
              <w:right w:val="nil"/>
            </w:tcBorders>
            <w:shd w:val="clear" w:color="auto" w:fill="auto"/>
            <w:noWrap/>
            <w:vAlign w:val="bottom"/>
            <w:hideMark/>
          </w:tcPr>
          <w:p w14:paraId="08EF6011"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-3 801</w:t>
            </w:r>
          </w:p>
        </w:tc>
      </w:tr>
      <w:tr w:rsidR="00676770" w:rsidRPr="00961876" w14:paraId="2E07CF5F" w14:textId="77777777" w:rsidTr="00E86F1D">
        <w:trPr>
          <w:trHeight w:val="270"/>
        </w:trPr>
        <w:tc>
          <w:tcPr>
            <w:tcW w:w="2283" w:type="dxa"/>
            <w:tcBorders>
              <w:top w:val="nil"/>
              <w:left w:val="nil"/>
              <w:bottom w:val="double" w:sz="6" w:space="0" w:color="auto"/>
              <w:right w:val="nil"/>
            </w:tcBorders>
            <w:shd w:val="clear" w:color="auto" w:fill="auto"/>
            <w:noWrap/>
            <w:vAlign w:val="bottom"/>
            <w:hideMark/>
          </w:tcPr>
          <w:p w14:paraId="12070DE5" w14:textId="77777777" w:rsidR="00676770" w:rsidRPr="00961876" w:rsidRDefault="00E86F1D" w:rsidP="00326F73">
            <w:pPr>
              <w:spacing w:after="0" w:line="240" w:lineRule="auto"/>
              <w:rPr>
                <w:rFonts w:ascii="MS Shell Dlg 2" w:hAnsi="MS Shell Dlg 2" w:cs="MS Shell Dlg 2"/>
                <w:color w:val="000000"/>
                <w:sz w:val="20"/>
                <w:szCs w:val="20"/>
                <w:lang w:eastAsia="fr-FR"/>
              </w:rPr>
            </w:pPr>
            <w:r>
              <w:rPr>
                <w:rFonts w:ascii="MS Shell Dlg 2" w:hAnsi="MS Shell Dlg 2" w:cs="MS Shell Dlg 2"/>
                <w:color w:val="000000"/>
                <w:sz w:val="20"/>
                <w:szCs w:val="20"/>
                <w:lang w:eastAsia="fr-FR"/>
              </w:rPr>
              <w:t xml:space="preserve">Infirmier diplômé d’Etat </w:t>
            </w:r>
          </w:p>
        </w:tc>
        <w:tc>
          <w:tcPr>
            <w:tcW w:w="1110" w:type="dxa"/>
            <w:tcBorders>
              <w:top w:val="nil"/>
              <w:left w:val="nil"/>
              <w:bottom w:val="double" w:sz="6" w:space="0" w:color="auto"/>
              <w:right w:val="nil"/>
            </w:tcBorders>
            <w:shd w:val="clear" w:color="auto" w:fill="auto"/>
            <w:noWrap/>
            <w:vAlign w:val="bottom"/>
            <w:hideMark/>
          </w:tcPr>
          <w:p w14:paraId="33ACB6A0"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-255</w:t>
            </w:r>
          </w:p>
        </w:tc>
        <w:tc>
          <w:tcPr>
            <w:tcW w:w="1110" w:type="dxa"/>
            <w:tcBorders>
              <w:top w:val="nil"/>
              <w:left w:val="nil"/>
              <w:bottom w:val="double" w:sz="6" w:space="0" w:color="auto"/>
              <w:right w:val="nil"/>
            </w:tcBorders>
            <w:shd w:val="clear" w:color="auto" w:fill="auto"/>
            <w:noWrap/>
            <w:vAlign w:val="bottom"/>
            <w:hideMark/>
          </w:tcPr>
          <w:p w14:paraId="03E6E6F4"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-376</w:t>
            </w:r>
          </w:p>
        </w:tc>
        <w:tc>
          <w:tcPr>
            <w:tcW w:w="1111" w:type="dxa"/>
            <w:tcBorders>
              <w:top w:val="nil"/>
              <w:left w:val="nil"/>
              <w:bottom w:val="double" w:sz="6" w:space="0" w:color="auto"/>
              <w:right w:val="nil"/>
            </w:tcBorders>
            <w:shd w:val="clear" w:color="auto" w:fill="auto"/>
            <w:noWrap/>
            <w:vAlign w:val="bottom"/>
            <w:hideMark/>
          </w:tcPr>
          <w:p w14:paraId="4C36D56A"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-527</w:t>
            </w:r>
          </w:p>
        </w:tc>
        <w:tc>
          <w:tcPr>
            <w:tcW w:w="1110" w:type="dxa"/>
            <w:tcBorders>
              <w:top w:val="nil"/>
              <w:left w:val="nil"/>
              <w:bottom w:val="double" w:sz="6" w:space="0" w:color="auto"/>
              <w:right w:val="nil"/>
            </w:tcBorders>
            <w:shd w:val="clear" w:color="auto" w:fill="auto"/>
            <w:noWrap/>
            <w:vAlign w:val="bottom"/>
            <w:hideMark/>
          </w:tcPr>
          <w:p w14:paraId="6EA614E1"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-658</w:t>
            </w:r>
          </w:p>
        </w:tc>
        <w:tc>
          <w:tcPr>
            <w:tcW w:w="1110" w:type="dxa"/>
            <w:tcBorders>
              <w:top w:val="nil"/>
              <w:left w:val="nil"/>
              <w:bottom w:val="double" w:sz="6" w:space="0" w:color="auto"/>
              <w:right w:val="nil"/>
            </w:tcBorders>
            <w:shd w:val="clear" w:color="auto" w:fill="auto"/>
            <w:noWrap/>
            <w:vAlign w:val="bottom"/>
            <w:hideMark/>
          </w:tcPr>
          <w:p w14:paraId="747BDF9D"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-795</w:t>
            </w:r>
          </w:p>
        </w:tc>
        <w:tc>
          <w:tcPr>
            <w:tcW w:w="1111" w:type="dxa"/>
            <w:tcBorders>
              <w:top w:val="nil"/>
              <w:left w:val="nil"/>
              <w:bottom w:val="double" w:sz="6" w:space="0" w:color="auto"/>
              <w:right w:val="nil"/>
            </w:tcBorders>
            <w:shd w:val="clear" w:color="auto" w:fill="auto"/>
            <w:noWrap/>
            <w:vAlign w:val="bottom"/>
            <w:hideMark/>
          </w:tcPr>
          <w:p w14:paraId="4F3E8F2F" w14:textId="77777777" w:rsidR="00676770" w:rsidRPr="00961876" w:rsidRDefault="00676770" w:rsidP="00326F73">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-911</w:t>
            </w:r>
          </w:p>
        </w:tc>
      </w:tr>
    </w:tbl>
    <w:p w14:paraId="7CAB4C6B" w14:textId="77777777" w:rsidR="00676770" w:rsidRDefault="00676770" w:rsidP="00676770">
      <w:pPr>
        <w:spacing w:after="0" w:line="240" w:lineRule="auto"/>
      </w:pPr>
    </w:p>
    <w:p w14:paraId="529FAE10" w14:textId="77777777" w:rsidR="00BF10F0" w:rsidRPr="00D64144" w:rsidRDefault="00BF10F0" w:rsidP="00BF10F0">
      <w:pPr>
        <w:spacing w:after="0" w:line="240" w:lineRule="auto"/>
        <w:rPr>
          <w:bCs/>
          <w:iCs/>
          <w:sz w:val="24"/>
          <w:szCs w:val="24"/>
        </w:rPr>
      </w:pPr>
      <w:r w:rsidRPr="00D64144">
        <w:rPr>
          <w:bCs/>
          <w:iCs/>
          <w:sz w:val="24"/>
          <w:szCs w:val="24"/>
        </w:rPr>
        <w:t>En résumé, l’analyse de la situation des RHS montre :</w:t>
      </w:r>
    </w:p>
    <w:p w14:paraId="52E58C21" w14:textId="77777777" w:rsidR="00BF10F0" w:rsidRPr="00D64144" w:rsidRDefault="009C4B42" w:rsidP="00BF10F0">
      <w:pPr>
        <w:pStyle w:val="Paragraphedeliste"/>
        <w:numPr>
          <w:ilvl w:val="0"/>
          <w:numId w:val="38"/>
        </w:numPr>
        <w:spacing w:after="0" w:line="240" w:lineRule="auto"/>
        <w:jc w:val="both"/>
        <w:rPr>
          <w:bCs/>
          <w:iCs/>
          <w:sz w:val="24"/>
          <w:szCs w:val="24"/>
        </w:rPr>
      </w:pPr>
      <w:r w:rsidRPr="00D64144">
        <w:rPr>
          <w:bCs/>
          <w:iCs/>
          <w:sz w:val="24"/>
          <w:szCs w:val="24"/>
        </w:rPr>
        <w:t>Une</w:t>
      </w:r>
      <w:r w:rsidR="00BF10F0" w:rsidRPr="00D64144">
        <w:rPr>
          <w:bCs/>
          <w:iCs/>
          <w:sz w:val="24"/>
          <w:szCs w:val="24"/>
        </w:rPr>
        <w:t xml:space="preserve"> faible densité générale des personnels de santé,</w:t>
      </w:r>
    </w:p>
    <w:p w14:paraId="4B3DB28B" w14:textId="77777777" w:rsidR="00BF10F0" w:rsidRPr="00D64144" w:rsidRDefault="009C4B42" w:rsidP="00BF10F0">
      <w:pPr>
        <w:pStyle w:val="Paragraphedeliste"/>
        <w:numPr>
          <w:ilvl w:val="0"/>
          <w:numId w:val="38"/>
        </w:numPr>
        <w:spacing w:after="0" w:line="240" w:lineRule="auto"/>
        <w:jc w:val="both"/>
        <w:rPr>
          <w:bCs/>
          <w:iCs/>
          <w:sz w:val="24"/>
          <w:szCs w:val="24"/>
        </w:rPr>
      </w:pPr>
      <w:r w:rsidRPr="00D64144">
        <w:rPr>
          <w:bCs/>
          <w:iCs/>
          <w:sz w:val="24"/>
          <w:szCs w:val="24"/>
        </w:rPr>
        <w:t>Un</w:t>
      </w:r>
      <w:r w:rsidR="00BF10F0" w:rsidRPr="00D64144">
        <w:rPr>
          <w:bCs/>
          <w:iCs/>
          <w:sz w:val="24"/>
          <w:szCs w:val="24"/>
        </w:rPr>
        <w:t xml:space="preserve"> déséquilibre dans la distribution </w:t>
      </w:r>
    </w:p>
    <w:p w14:paraId="18F74F32" w14:textId="77777777" w:rsidR="00BF10F0" w:rsidRPr="00D64144" w:rsidRDefault="009C4B42" w:rsidP="00BF10F0">
      <w:pPr>
        <w:pStyle w:val="Paragraphedeliste"/>
        <w:numPr>
          <w:ilvl w:val="0"/>
          <w:numId w:val="38"/>
        </w:numPr>
        <w:spacing w:after="0" w:line="240" w:lineRule="auto"/>
        <w:jc w:val="both"/>
        <w:rPr>
          <w:bCs/>
          <w:iCs/>
          <w:sz w:val="24"/>
          <w:szCs w:val="24"/>
        </w:rPr>
      </w:pPr>
      <w:r w:rsidRPr="00D64144">
        <w:rPr>
          <w:bCs/>
          <w:iCs/>
          <w:sz w:val="24"/>
          <w:szCs w:val="24"/>
        </w:rPr>
        <w:t>Un</w:t>
      </w:r>
      <w:r w:rsidR="00BF10F0" w:rsidRPr="00D64144">
        <w:rPr>
          <w:bCs/>
          <w:iCs/>
          <w:sz w:val="24"/>
          <w:szCs w:val="24"/>
        </w:rPr>
        <w:t xml:space="preserve"> déséquilibre qualitatif</w:t>
      </w:r>
    </w:p>
    <w:p w14:paraId="62A5FCB1" w14:textId="77777777" w:rsidR="00BF10F0" w:rsidRPr="00D64144" w:rsidRDefault="009C4B42" w:rsidP="00BF10F0">
      <w:pPr>
        <w:pStyle w:val="Paragraphedeliste"/>
        <w:numPr>
          <w:ilvl w:val="0"/>
          <w:numId w:val="38"/>
        </w:numPr>
        <w:spacing w:after="0" w:line="240" w:lineRule="auto"/>
        <w:jc w:val="both"/>
        <w:rPr>
          <w:bCs/>
          <w:iCs/>
          <w:sz w:val="24"/>
          <w:szCs w:val="24"/>
        </w:rPr>
      </w:pPr>
      <w:r w:rsidRPr="00D64144">
        <w:rPr>
          <w:bCs/>
          <w:iCs/>
          <w:sz w:val="24"/>
          <w:szCs w:val="24"/>
        </w:rPr>
        <w:t>D’importants</w:t>
      </w:r>
      <w:r w:rsidR="00BF10F0" w:rsidRPr="00D64144">
        <w:rPr>
          <w:bCs/>
          <w:iCs/>
          <w:sz w:val="24"/>
          <w:szCs w:val="24"/>
        </w:rPr>
        <w:t xml:space="preserve"> besoins en RHS non couverts</w:t>
      </w:r>
    </w:p>
    <w:p w14:paraId="14DBEFBD" w14:textId="77777777" w:rsidR="00717E7B" w:rsidRPr="00D64144" w:rsidRDefault="009C4B42" w:rsidP="00BF10F0">
      <w:pPr>
        <w:pStyle w:val="Paragraphedeliste"/>
        <w:numPr>
          <w:ilvl w:val="0"/>
          <w:numId w:val="38"/>
        </w:numPr>
        <w:spacing w:after="0" w:line="240" w:lineRule="auto"/>
        <w:jc w:val="both"/>
        <w:rPr>
          <w:bCs/>
          <w:iCs/>
          <w:sz w:val="24"/>
          <w:szCs w:val="24"/>
        </w:rPr>
      </w:pPr>
      <w:r w:rsidRPr="00D64144">
        <w:rPr>
          <w:bCs/>
          <w:iCs/>
          <w:sz w:val="24"/>
          <w:szCs w:val="24"/>
        </w:rPr>
        <w:t>D’importants</w:t>
      </w:r>
      <w:r w:rsidR="00BF10F0" w:rsidRPr="00D64144">
        <w:rPr>
          <w:bCs/>
          <w:iCs/>
          <w:sz w:val="24"/>
          <w:szCs w:val="24"/>
        </w:rPr>
        <w:t xml:space="preserve"> départs à la retraite au cours des 6 prochaines année</w:t>
      </w:r>
      <w:r w:rsidR="00B17D13" w:rsidRPr="00D64144">
        <w:rPr>
          <w:bCs/>
          <w:iCs/>
          <w:sz w:val="24"/>
          <w:szCs w:val="24"/>
        </w:rPr>
        <w:t>s</w:t>
      </w:r>
      <w:r w:rsidR="00BF10F0" w:rsidRPr="00D64144">
        <w:rPr>
          <w:bCs/>
          <w:iCs/>
          <w:sz w:val="24"/>
          <w:szCs w:val="24"/>
        </w:rPr>
        <w:t>.</w:t>
      </w:r>
    </w:p>
    <w:p w14:paraId="5488EC8B" w14:textId="77777777" w:rsidR="00084B19" w:rsidRDefault="00084B19" w:rsidP="00091B65">
      <w:pPr>
        <w:pStyle w:val="Titre1"/>
        <w:numPr>
          <w:ilvl w:val="1"/>
          <w:numId w:val="8"/>
        </w:numPr>
        <w:spacing w:before="240" w:after="240"/>
        <w:ind w:left="1843"/>
      </w:pPr>
      <w:bookmarkStart w:id="32" w:name="_Toc21586243"/>
      <w:r>
        <w:t>Problèmes prioritaires</w:t>
      </w:r>
      <w:bookmarkEnd w:id="32"/>
    </w:p>
    <w:p w14:paraId="23E763E5" w14:textId="77777777" w:rsidR="00720FBC" w:rsidRPr="00D64144" w:rsidRDefault="00720FBC" w:rsidP="00720FBC">
      <w:pPr>
        <w:widowControl w:val="0"/>
        <w:autoSpaceDE w:val="0"/>
        <w:autoSpaceDN w:val="0"/>
        <w:adjustRightInd w:val="0"/>
        <w:spacing w:after="0" w:line="275" w:lineRule="auto"/>
        <w:ind w:right="73"/>
        <w:jc w:val="both"/>
        <w:rPr>
          <w:bCs/>
          <w:iCs/>
          <w:sz w:val="24"/>
          <w:szCs w:val="24"/>
        </w:rPr>
      </w:pPr>
      <w:r w:rsidRPr="00D64144">
        <w:rPr>
          <w:sz w:val="24"/>
          <w:szCs w:val="24"/>
        </w:rPr>
        <w:t>Il ressort de l’analyse de situation des RHS notamment sur le plan de l</w:t>
      </w:r>
      <w:r w:rsidRPr="00D64144">
        <w:rPr>
          <w:bCs/>
          <w:iCs/>
          <w:sz w:val="24"/>
          <w:szCs w:val="24"/>
        </w:rPr>
        <w:t xml:space="preserve">’utilisation et gestion rationnelles des personnels, les principaux problèmes suivants : </w:t>
      </w:r>
    </w:p>
    <w:p w14:paraId="7EF00208"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sz w:val="24"/>
          <w:szCs w:val="24"/>
        </w:rPr>
        <w:t>Absence</w:t>
      </w:r>
      <w:r w:rsidRPr="00D64144">
        <w:rPr>
          <w:color w:val="000000" w:themeColor="text1"/>
          <w:sz w:val="24"/>
          <w:szCs w:val="24"/>
        </w:rPr>
        <w:t xml:space="preserve"> des principaux instruments de référence pour la gestion des RHS : </w:t>
      </w:r>
      <w:r w:rsidR="00B17D13" w:rsidRPr="00D64144">
        <w:rPr>
          <w:color w:val="000000" w:themeColor="text1"/>
          <w:sz w:val="24"/>
          <w:szCs w:val="24"/>
        </w:rPr>
        <w:t xml:space="preserve">politique, plans, </w:t>
      </w:r>
      <w:r w:rsidRPr="00D64144">
        <w:rPr>
          <w:color w:val="000000" w:themeColor="text1"/>
          <w:sz w:val="24"/>
          <w:szCs w:val="24"/>
        </w:rPr>
        <w:t>descriptions de poste, normes et procédures,</w:t>
      </w:r>
    </w:p>
    <w:p w14:paraId="588AF5CD"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Inadéquation dans la répartition des RHS entre régions et préfectures,</w:t>
      </w:r>
    </w:p>
    <w:p w14:paraId="66048DEA"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sz w:val="24"/>
          <w:szCs w:val="24"/>
        </w:rPr>
        <w:t xml:space="preserve">Recrutement aléatoire des RHS dans le secteur public, contrairement à la loi en vigueur, </w:t>
      </w:r>
    </w:p>
    <w:p w14:paraId="57C53F0B"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 xml:space="preserve">Mauvaises tenue et gestion des cadres organiques des structures, </w:t>
      </w:r>
    </w:p>
    <w:p w14:paraId="45107E8F"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 xml:space="preserve">Non-maitrise des effectifs des RHS, </w:t>
      </w:r>
    </w:p>
    <w:p w14:paraId="24D40D91"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Absence de gestion de la performance des personnels,</w:t>
      </w:r>
    </w:p>
    <w:p w14:paraId="76193071"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 xml:space="preserve">Absence de gestion prévisionnelle des RHS, </w:t>
      </w:r>
    </w:p>
    <w:p w14:paraId="3F6444CE"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 xml:space="preserve">Absence d’orientation ou de préparation des nouveaux personnels à leurs postes d’affectation, </w:t>
      </w:r>
    </w:p>
    <w:p w14:paraId="04B06017" w14:textId="77777777" w:rsidR="00720FBC" w:rsidRPr="00D64144" w:rsidRDefault="00720FBC"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Absence stratégie efficace de gestion des carrières,</w:t>
      </w:r>
    </w:p>
    <w:p w14:paraId="7D63103E" w14:textId="77777777" w:rsidR="00720FBC" w:rsidRPr="00D64144" w:rsidRDefault="00720FBC" w:rsidP="004D046C">
      <w:pPr>
        <w:pStyle w:val="Paragraphedeliste"/>
        <w:numPr>
          <w:ilvl w:val="0"/>
          <w:numId w:val="7"/>
        </w:numPr>
        <w:spacing w:after="0" w:line="240" w:lineRule="auto"/>
        <w:ind w:left="851" w:hanging="425"/>
        <w:jc w:val="both"/>
        <w:rPr>
          <w:sz w:val="24"/>
          <w:szCs w:val="24"/>
        </w:rPr>
      </w:pPr>
      <w:r w:rsidRPr="00D64144">
        <w:rPr>
          <w:sz w:val="24"/>
          <w:szCs w:val="24"/>
        </w:rPr>
        <w:t>Non-adéquation entre les rémunérations dans le sous-secteur public de santé et les conditions de travail, la performance et la cherté de la vie,</w:t>
      </w:r>
    </w:p>
    <w:p w14:paraId="5C731C13" w14:textId="77777777" w:rsidR="00720FBC" w:rsidRPr="00D64144" w:rsidRDefault="00720FBC" w:rsidP="004D046C">
      <w:pPr>
        <w:pStyle w:val="Paragraphedeliste"/>
        <w:numPr>
          <w:ilvl w:val="0"/>
          <w:numId w:val="7"/>
        </w:numPr>
        <w:spacing w:after="0" w:line="240" w:lineRule="auto"/>
        <w:ind w:left="851" w:hanging="425"/>
        <w:jc w:val="both"/>
        <w:rPr>
          <w:sz w:val="24"/>
          <w:szCs w:val="24"/>
        </w:rPr>
      </w:pPr>
      <w:r w:rsidRPr="00D64144">
        <w:rPr>
          <w:sz w:val="24"/>
          <w:szCs w:val="24"/>
        </w:rPr>
        <w:t>Insuffisance des stratégies de motivation et de fidélisation des personnels, très préjudiciables aux zones défavorisées,</w:t>
      </w:r>
    </w:p>
    <w:p w14:paraId="4708E0FD" w14:textId="77777777" w:rsidR="00720FBC" w:rsidRPr="00D64144" w:rsidRDefault="00720FBC" w:rsidP="004D046C">
      <w:pPr>
        <w:pStyle w:val="Paragraphedeliste"/>
        <w:numPr>
          <w:ilvl w:val="0"/>
          <w:numId w:val="7"/>
        </w:numPr>
        <w:spacing w:after="0" w:line="240" w:lineRule="auto"/>
        <w:ind w:left="851" w:hanging="425"/>
        <w:jc w:val="both"/>
        <w:rPr>
          <w:sz w:val="24"/>
          <w:szCs w:val="24"/>
        </w:rPr>
      </w:pPr>
      <w:r w:rsidRPr="00D64144">
        <w:rPr>
          <w:sz w:val="24"/>
          <w:szCs w:val="24"/>
        </w:rPr>
        <w:t xml:space="preserve">Primes de zone et autres en vigueur insignifiantes, </w:t>
      </w:r>
    </w:p>
    <w:p w14:paraId="3AAC2CD1" w14:textId="77777777" w:rsidR="00720FBC" w:rsidRPr="00D64144" w:rsidRDefault="00720FBC" w:rsidP="004D046C">
      <w:pPr>
        <w:pStyle w:val="Paragraphedeliste"/>
        <w:numPr>
          <w:ilvl w:val="0"/>
          <w:numId w:val="7"/>
        </w:numPr>
        <w:spacing w:after="0" w:line="240" w:lineRule="auto"/>
        <w:ind w:left="851" w:hanging="425"/>
        <w:jc w:val="both"/>
        <w:rPr>
          <w:bCs/>
          <w:iCs/>
          <w:sz w:val="24"/>
          <w:szCs w:val="24"/>
        </w:rPr>
      </w:pPr>
      <w:r w:rsidRPr="00D64144">
        <w:rPr>
          <w:sz w:val="24"/>
          <w:szCs w:val="24"/>
        </w:rPr>
        <w:t xml:space="preserve">Absence de transparence dans la nomination aux postes de responsabilité, </w:t>
      </w:r>
    </w:p>
    <w:p w14:paraId="7A401EC5" w14:textId="77777777" w:rsidR="00720FBC" w:rsidRPr="00D64144" w:rsidRDefault="00720FBC" w:rsidP="004D046C">
      <w:pPr>
        <w:pStyle w:val="Paragraphedeliste"/>
        <w:numPr>
          <w:ilvl w:val="0"/>
          <w:numId w:val="7"/>
        </w:numPr>
        <w:spacing w:after="0" w:line="240" w:lineRule="auto"/>
        <w:ind w:left="851" w:hanging="425"/>
        <w:jc w:val="both"/>
        <w:rPr>
          <w:bCs/>
          <w:iCs/>
          <w:sz w:val="24"/>
          <w:szCs w:val="24"/>
        </w:rPr>
      </w:pPr>
      <w:r w:rsidRPr="00D64144">
        <w:rPr>
          <w:sz w:val="24"/>
          <w:szCs w:val="24"/>
        </w:rPr>
        <w:t xml:space="preserve">Mauvaise préparation à la mise à la retraite et faiblesse des dispositifs d’accompagnement des départs à la retraite et la séparation, </w:t>
      </w:r>
    </w:p>
    <w:p w14:paraId="08E96B66" w14:textId="77777777" w:rsidR="00720FBC" w:rsidRPr="00D64144" w:rsidRDefault="009C4B42" w:rsidP="004D046C">
      <w:pPr>
        <w:pStyle w:val="Paragraphedeliste"/>
        <w:numPr>
          <w:ilvl w:val="0"/>
          <w:numId w:val="7"/>
        </w:numPr>
        <w:spacing w:after="0" w:line="240" w:lineRule="auto"/>
        <w:ind w:left="851" w:hanging="425"/>
        <w:jc w:val="both"/>
        <w:rPr>
          <w:bCs/>
          <w:iCs/>
          <w:sz w:val="24"/>
          <w:szCs w:val="24"/>
        </w:rPr>
      </w:pPr>
      <w:r w:rsidRPr="00D64144">
        <w:rPr>
          <w:sz w:val="24"/>
          <w:szCs w:val="24"/>
        </w:rPr>
        <w:t>Faiblesse</w:t>
      </w:r>
      <w:r w:rsidR="00720FBC" w:rsidRPr="00D64144">
        <w:rPr>
          <w:sz w:val="24"/>
          <w:szCs w:val="24"/>
        </w:rPr>
        <w:t xml:space="preserve"> des mécanismes de dialogue et coordination dans la gestion d</w:t>
      </w:r>
      <w:r w:rsidR="00B00038" w:rsidRPr="00D64144">
        <w:rPr>
          <w:sz w:val="24"/>
          <w:szCs w:val="24"/>
        </w:rPr>
        <w:t>es RHS,</w:t>
      </w:r>
    </w:p>
    <w:p w14:paraId="7DC9D708" w14:textId="77777777" w:rsidR="00B17D13" w:rsidRPr="00D64144" w:rsidRDefault="009C4B42" w:rsidP="00B17D13">
      <w:pPr>
        <w:pStyle w:val="Paragraphedeliste"/>
        <w:numPr>
          <w:ilvl w:val="0"/>
          <w:numId w:val="7"/>
        </w:numPr>
        <w:spacing w:after="0" w:line="240" w:lineRule="auto"/>
        <w:ind w:left="851" w:hanging="425"/>
        <w:jc w:val="both"/>
        <w:rPr>
          <w:sz w:val="24"/>
          <w:szCs w:val="24"/>
        </w:rPr>
      </w:pPr>
      <w:r w:rsidRPr="00D64144">
        <w:rPr>
          <w:sz w:val="24"/>
          <w:szCs w:val="24"/>
        </w:rPr>
        <w:t>Une</w:t>
      </w:r>
      <w:r w:rsidR="00B17D13" w:rsidRPr="00D64144">
        <w:rPr>
          <w:sz w:val="24"/>
          <w:szCs w:val="24"/>
        </w:rPr>
        <w:t xml:space="preserve"> faible densité générale des personnels de santé,</w:t>
      </w:r>
    </w:p>
    <w:p w14:paraId="434B49D6" w14:textId="77777777" w:rsidR="00B17D13" w:rsidRPr="00D64144" w:rsidRDefault="009C4B42" w:rsidP="00B17D13">
      <w:pPr>
        <w:pStyle w:val="Paragraphedeliste"/>
        <w:numPr>
          <w:ilvl w:val="0"/>
          <w:numId w:val="7"/>
        </w:numPr>
        <w:spacing w:after="0" w:line="240" w:lineRule="auto"/>
        <w:ind w:left="851" w:hanging="425"/>
        <w:jc w:val="both"/>
        <w:rPr>
          <w:sz w:val="24"/>
          <w:szCs w:val="24"/>
        </w:rPr>
      </w:pPr>
      <w:r w:rsidRPr="00D64144">
        <w:rPr>
          <w:sz w:val="24"/>
          <w:szCs w:val="24"/>
        </w:rPr>
        <w:t>Un</w:t>
      </w:r>
      <w:r w:rsidR="00B17D13" w:rsidRPr="00D64144">
        <w:rPr>
          <w:sz w:val="24"/>
          <w:szCs w:val="24"/>
        </w:rPr>
        <w:t xml:space="preserve"> déséquilibre dans la distribution</w:t>
      </w:r>
      <w:r w:rsidR="00B00038" w:rsidRPr="00D64144">
        <w:rPr>
          <w:sz w:val="24"/>
          <w:szCs w:val="24"/>
        </w:rPr>
        <w:t>,</w:t>
      </w:r>
      <w:r w:rsidR="00B17D13" w:rsidRPr="00D64144">
        <w:rPr>
          <w:sz w:val="24"/>
          <w:szCs w:val="24"/>
        </w:rPr>
        <w:t xml:space="preserve"> </w:t>
      </w:r>
    </w:p>
    <w:p w14:paraId="3A5C815E" w14:textId="77777777" w:rsidR="00B17D13" w:rsidRPr="00D64144" w:rsidRDefault="009C4B42" w:rsidP="00B17D13">
      <w:pPr>
        <w:pStyle w:val="Paragraphedeliste"/>
        <w:numPr>
          <w:ilvl w:val="0"/>
          <w:numId w:val="7"/>
        </w:numPr>
        <w:spacing w:after="0" w:line="240" w:lineRule="auto"/>
        <w:ind w:left="851" w:hanging="425"/>
        <w:jc w:val="both"/>
        <w:rPr>
          <w:sz w:val="24"/>
          <w:szCs w:val="24"/>
        </w:rPr>
      </w:pPr>
      <w:r w:rsidRPr="00D64144">
        <w:rPr>
          <w:sz w:val="24"/>
          <w:szCs w:val="24"/>
        </w:rPr>
        <w:t>Un</w:t>
      </w:r>
      <w:r w:rsidR="00B17D13" w:rsidRPr="00D64144">
        <w:rPr>
          <w:sz w:val="24"/>
          <w:szCs w:val="24"/>
        </w:rPr>
        <w:t xml:space="preserve"> déséquilibre qualitatif</w:t>
      </w:r>
      <w:r w:rsidR="00B00038" w:rsidRPr="00D64144">
        <w:rPr>
          <w:sz w:val="24"/>
          <w:szCs w:val="24"/>
        </w:rPr>
        <w:t>,</w:t>
      </w:r>
    </w:p>
    <w:p w14:paraId="09DBB8D6" w14:textId="77777777" w:rsidR="00B17D13" w:rsidRPr="00D64144" w:rsidRDefault="009C4B42" w:rsidP="00B17D13">
      <w:pPr>
        <w:pStyle w:val="Paragraphedeliste"/>
        <w:numPr>
          <w:ilvl w:val="0"/>
          <w:numId w:val="7"/>
        </w:numPr>
        <w:spacing w:after="0" w:line="240" w:lineRule="auto"/>
        <w:ind w:left="851" w:hanging="425"/>
        <w:jc w:val="both"/>
        <w:rPr>
          <w:sz w:val="24"/>
          <w:szCs w:val="24"/>
        </w:rPr>
      </w:pPr>
      <w:r w:rsidRPr="00D64144">
        <w:rPr>
          <w:sz w:val="24"/>
          <w:szCs w:val="24"/>
        </w:rPr>
        <w:t>D’importants</w:t>
      </w:r>
      <w:r w:rsidR="00B17D13" w:rsidRPr="00D64144">
        <w:rPr>
          <w:sz w:val="24"/>
          <w:szCs w:val="24"/>
        </w:rPr>
        <w:t xml:space="preserve"> besoins en RHS non couverts</w:t>
      </w:r>
      <w:r w:rsidR="00B00038" w:rsidRPr="00D64144">
        <w:rPr>
          <w:sz w:val="24"/>
          <w:szCs w:val="24"/>
        </w:rPr>
        <w:t>,</w:t>
      </w:r>
    </w:p>
    <w:p w14:paraId="4D4E9A5F" w14:textId="77777777" w:rsidR="00432F79" w:rsidRPr="00D64144" w:rsidRDefault="009C4B42" w:rsidP="00B17D13">
      <w:pPr>
        <w:pStyle w:val="Paragraphedeliste"/>
        <w:numPr>
          <w:ilvl w:val="0"/>
          <w:numId w:val="7"/>
        </w:numPr>
        <w:spacing w:after="0" w:line="240" w:lineRule="auto"/>
        <w:ind w:left="851" w:hanging="425"/>
        <w:jc w:val="both"/>
        <w:rPr>
          <w:sz w:val="24"/>
          <w:szCs w:val="24"/>
        </w:rPr>
      </w:pPr>
      <w:r w:rsidRPr="00D64144">
        <w:rPr>
          <w:sz w:val="24"/>
          <w:szCs w:val="24"/>
        </w:rPr>
        <w:t>D’importants</w:t>
      </w:r>
      <w:r w:rsidR="00B17D13" w:rsidRPr="00D64144">
        <w:rPr>
          <w:sz w:val="24"/>
          <w:szCs w:val="24"/>
        </w:rPr>
        <w:t xml:space="preserve"> départs à la retraite au cours des 6 prochaines années</w:t>
      </w:r>
      <w:r w:rsidR="00B00038" w:rsidRPr="00D64144">
        <w:rPr>
          <w:sz w:val="24"/>
          <w:szCs w:val="24"/>
        </w:rPr>
        <w:t>.</w:t>
      </w:r>
    </w:p>
    <w:p w14:paraId="5B8503EE" w14:textId="77777777" w:rsidR="00432F79" w:rsidRDefault="00432F79">
      <w:pPr>
        <w:rPr>
          <w:sz w:val="28"/>
          <w:szCs w:val="28"/>
        </w:rPr>
      </w:pPr>
      <w:r>
        <w:rPr>
          <w:sz w:val="28"/>
          <w:szCs w:val="28"/>
        </w:rPr>
        <w:br w:type="page"/>
      </w:r>
    </w:p>
    <w:p w14:paraId="18F49E00" w14:textId="77777777" w:rsidR="009646F8" w:rsidRPr="00D52E18" w:rsidRDefault="00717929" w:rsidP="004D046C">
      <w:pPr>
        <w:pStyle w:val="Titre1"/>
        <w:numPr>
          <w:ilvl w:val="0"/>
          <w:numId w:val="4"/>
        </w:numPr>
        <w:spacing w:after="360"/>
      </w:pPr>
      <w:bookmarkStart w:id="33" w:name="_Toc21586244"/>
      <w:r w:rsidRPr="00D52E18">
        <w:t>ORIENTATIONS</w:t>
      </w:r>
      <w:r w:rsidR="005302A3" w:rsidRPr="00D52E18">
        <w:t xml:space="preserve"> STRATEGIQUES</w:t>
      </w:r>
      <w:bookmarkEnd w:id="33"/>
    </w:p>
    <w:p w14:paraId="7B5E25FC" w14:textId="77777777" w:rsidR="0054510D" w:rsidRPr="00D64144" w:rsidRDefault="0054510D" w:rsidP="00432F79">
      <w:pPr>
        <w:jc w:val="both"/>
        <w:rPr>
          <w:sz w:val="24"/>
          <w:szCs w:val="24"/>
        </w:rPr>
      </w:pPr>
      <w:r w:rsidRPr="00D64144">
        <w:rPr>
          <w:sz w:val="24"/>
          <w:szCs w:val="24"/>
        </w:rPr>
        <w:t>Une</w:t>
      </w:r>
      <w:r w:rsidRPr="00D64144">
        <w:rPr>
          <w:spacing w:val="-20"/>
          <w:sz w:val="24"/>
          <w:szCs w:val="24"/>
        </w:rPr>
        <w:t xml:space="preserve"> </w:t>
      </w:r>
      <w:r w:rsidRPr="00D64144">
        <w:rPr>
          <w:sz w:val="24"/>
          <w:szCs w:val="24"/>
        </w:rPr>
        <w:t xml:space="preserve">gestion </w:t>
      </w:r>
      <w:r w:rsidR="00D52E18" w:rsidRPr="00D64144">
        <w:rPr>
          <w:sz w:val="24"/>
          <w:szCs w:val="24"/>
        </w:rPr>
        <w:t xml:space="preserve">saine </w:t>
      </w:r>
      <w:r w:rsidRPr="00D64144">
        <w:rPr>
          <w:sz w:val="24"/>
          <w:szCs w:val="24"/>
        </w:rPr>
        <w:t>des ressources humaines assure non seulement un climat de travail motivant</w:t>
      </w:r>
      <w:r w:rsidRPr="00D64144">
        <w:rPr>
          <w:spacing w:val="-18"/>
          <w:sz w:val="24"/>
          <w:szCs w:val="24"/>
        </w:rPr>
        <w:t xml:space="preserve"> </w:t>
      </w:r>
      <w:r w:rsidRPr="00D64144">
        <w:rPr>
          <w:sz w:val="24"/>
          <w:szCs w:val="24"/>
        </w:rPr>
        <w:t>et</w:t>
      </w:r>
      <w:r w:rsidRPr="00D64144">
        <w:rPr>
          <w:spacing w:val="-17"/>
          <w:sz w:val="24"/>
          <w:szCs w:val="24"/>
        </w:rPr>
        <w:t xml:space="preserve"> </w:t>
      </w:r>
      <w:r w:rsidRPr="00D64144">
        <w:rPr>
          <w:sz w:val="24"/>
          <w:szCs w:val="24"/>
        </w:rPr>
        <w:t>stimulant,</w:t>
      </w:r>
      <w:r w:rsidRPr="00D64144">
        <w:rPr>
          <w:spacing w:val="-18"/>
          <w:sz w:val="24"/>
          <w:szCs w:val="24"/>
        </w:rPr>
        <w:t xml:space="preserve"> </w:t>
      </w:r>
      <w:r w:rsidRPr="00D64144">
        <w:rPr>
          <w:sz w:val="24"/>
          <w:szCs w:val="24"/>
        </w:rPr>
        <w:t>mais</w:t>
      </w:r>
      <w:r w:rsidRPr="00D64144">
        <w:rPr>
          <w:spacing w:val="-17"/>
          <w:sz w:val="24"/>
          <w:szCs w:val="24"/>
        </w:rPr>
        <w:t xml:space="preserve"> </w:t>
      </w:r>
      <w:r w:rsidRPr="00D64144">
        <w:rPr>
          <w:sz w:val="24"/>
          <w:szCs w:val="24"/>
        </w:rPr>
        <w:t>mobilise</w:t>
      </w:r>
      <w:r w:rsidRPr="00D64144">
        <w:rPr>
          <w:spacing w:val="-18"/>
          <w:sz w:val="24"/>
          <w:szCs w:val="24"/>
        </w:rPr>
        <w:t xml:space="preserve"> </w:t>
      </w:r>
      <w:r w:rsidRPr="00D64144">
        <w:rPr>
          <w:sz w:val="24"/>
          <w:szCs w:val="24"/>
        </w:rPr>
        <w:t>le</w:t>
      </w:r>
      <w:r w:rsidRPr="00D64144">
        <w:rPr>
          <w:spacing w:val="-17"/>
          <w:sz w:val="24"/>
          <w:szCs w:val="24"/>
        </w:rPr>
        <w:t xml:space="preserve"> </w:t>
      </w:r>
      <w:r w:rsidRPr="00D64144">
        <w:rPr>
          <w:sz w:val="24"/>
          <w:szCs w:val="24"/>
        </w:rPr>
        <w:t>personnel</w:t>
      </w:r>
      <w:r w:rsidRPr="00D64144">
        <w:rPr>
          <w:spacing w:val="-18"/>
          <w:sz w:val="24"/>
          <w:szCs w:val="24"/>
        </w:rPr>
        <w:t xml:space="preserve"> </w:t>
      </w:r>
      <w:r w:rsidR="00432F79" w:rsidRPr="00D64144">
        <w:rPr>
          <w:sz w:val="24"/>
          <w:szCs w:val="24"/>
        </w:rPr>
        <w:t>vers</w:t>
      </w:r>
      <w:r w:rsidRPr="00D64144">
        <w:rPr>
          <w:spacing w:val="-17"/>
          <w:sz w:val="24"/>
          <w:szCs w:val="24"/>
        </w:rPr>
        <w:t xml:space="preserve"> </w:t>
      </w:r>
      <w:r w:rsidRPr="00D64144">
        <w:rPr>
          <w:sz w:val="24"/>
          <w:szCs w:val="24"/>
        </w:rPr>
        <w:t>l’atteinte</w:t>
      </w:r>
      <w:r w:rsidRPr="00D64144">
        <w:rPr>
          <w:spacing w:val="-18"/>
          <w:sz w:val="24"/>
          <w:szCs w:val="24"/>
        </w:rPr>
        <w:t xml:space="preserve"> </w:t>
      </w:r>
      <w:r w:rsidRPr="00D64144">
        <w:rPr>
          <w:sz w:val="24"/>
          <w:szCs w:val="24"/>
        </w:rPr>
        <w:t>des</w:t>
      </w:r>
      <w:r w:rsidRPr="00D64144">
        <w:rPr>
          <w:spacing w:val="-17"/>
          <w:sz w:val="24"/>
          <w:szCs w:val="24"/>
        </w:rPr>
        <w:t xml:space="preserve"> </w:t>
      </w:r>
      <w:r w:rsidRPr="00D64144">
        <w:rPr>
          <w:sz w:val="24"/>
          <w:szCs w:val="24"/>
        </w:rPr>
        <w:t>objectifs</w:t>
      </w:r>
      <w:r w:rsidRPr="00D64144">
        <w:rPr>
          <w:spacing w:val="-18"/>
          <w:sz w:val="24"/>
          <w:szCs w:val="24"/>
        </w:rPr>
        <w:t xml:space="preserve"> </w:t>
      </w:r>
      <w:r w:rsidRPr="00D64144">
        <w:rPr>
          <w:sz w:val="24"/>
          <w:szCs w:val="24"/>
        </w:rPr>
        <w:t xml:space="preserve">de l’organisation, maximise </w:t>
      </w:r>
      <w:r w:rsidR="00D52E18" w:rsidRPr="00D64144">
        <w:rPr>
          <w:sz w:val="24"/>
          <w:szCs w:val="24"/>
        </w:rPr>
        <w:t xml:space="preserve">son </w:t>
      </w:r>
      <w:r w:rsidRPr="00D64144">
        <w:rPr>
          <w:sz w:val="24"/>
          <w:szCs w:val="24"/>
        </w:rPr>
        <w:t xml:space="preserve">engagement et </w:t>
      </w:r>
      <w:r w:rsidR="00D52E18" w:rsidRPr="00D64144">
        <w:rPr>
          <w:sz w:val="24"/>
          <w:szCs w:val="24"/>
        </w:rPr>
        <w:t xml:space="preserve">favorise son </w:t>
      </w:r>
      <w:r w:rsidRPr="00D64144">
        <w:rPr>
          <w:sz w:val="24"/>
          <w:szCs w:val="24"/>
        </w:rPr>
        <w:t xml:space="preserve">adhésion à la mission. </w:t>
      </w:r>
    </w:p>
    <w:p w14:paraId="65E43965" w14:textId="77777777" w:rsidR="001666DC" w:rsidRPr="00D52E18" w:rsidRDefault="001666DC" w:rsidP="004D046C">
      <w:pPr>
        <w:pStyle w:val="Titre2"/>
        <w:numPr>
          <w:ilvl w:val="1"/>
          <w:numId w:val="5"/>
        </w:numPr>
        <w:spacing w:before="0" w:after="240"/>
        <w:ind w:left="1134" w:hanging="709"/>
        <w:rPr>
          <w:sz w:val="28"/>
          <w:szCs w:val="28"/>
        </w:rPr>
      </w:pPr>
      <w:bookmarkStart w:id="34" w:name="_Toc21586245"/>
      <w:r w:rsidRPr="00D52E18">
        <w:rPr>
          <w:sz w:val="28"/>
          <w:szCs w:val="28"/>
        </w:rPr>
        <w:t>L</w:t>
      </w:r>
      <w:r w:rsidR="00B94E34" w:rsidRPr="00D52E18">
        <w:rPr>
          <w:sz w:val="28"/>
          <w:szCs w:val="28"/>
        </w:rPr>
        <w:t>a vision</w:t>
      </w:r>
      <w:bookmarkEnd w:id="34"/>
      <w:r w:rsidR="00B94E34" w:rsidRPr="00D52E18">
        <w:rPr>
          <w:sz w:val="28"/>
          <w:szCs w:val="28"/>
        </w:rPr>
        <w:t xml:space="preserve"> </w:t>
      </w:r>
    </w:p>
    <w:p w14:paraId="7F7AB37A" w14:textId="77777777" w:rsidR="00963EE5" w:rsidRPr="00D64144" w:rsidRDefault="000665F8" w:rsidP="00967A95">
      <w:pPr>
        <w:autoSpaceDE w:val="0"/>
        <w:autoSpaceDN w:val="0"/>
        <w:adjustRightInd w:val="0"/>
        <w:jc w:val="both"/>
        <w:rPr>
          <w:b/>
          <w:i/>
          <w:sz w:val="24"/>
          <w:szCs w:val="24"/>
        </w:rPr>
      </w:pPr>
      <w:r w:rsidRPr="00D64144">
        <w:rPr>
          <w:sz w:val="24"/>
          <w:szCs w:val="24"/>
        </w:rPr>
        <w:t>Déduite de l’option prise dans</w:t>
      </w:r>
      <w:r w:rsidR="00963EE5" w:rsidRPr="00D64144">
        <w:rPr>
          <w:sz w:val="24"/>
          <w:szCs w:val="24"/>
        </w:rPr>
        <w:t xml:space="preserve"> </w:t>
      </w:r>
      <w:r w:rsidR="00461CA0" w:rsidRPr="00D64144">
        <w:rPr>
          <w:sz w:val="24"/>
          <w:szCs w:val="24"/>
        </w:rPr>
        <w:t>la Loi fondamentale</w:t>
      </w:r>
      <w:r w:rsidR="00432F79" w:rsidRPr="00D64144">
        <w:rPr>
          <w:sz w:val="24"/>
          <w:szCs w:val="24"/>
        </w:rPr>
        <w:t xml:space="preserve"> et</w:t>
      </w:r>
      <w:r w:rsidR="00461CA0" w:rsidRPr="00D64144">
        <w:rPr>
          <w:sz w:val="24"/>
          <w:szCs w:val="24"/>
        </w:rPr>
        <w:t xml:space="preserve"> le plan national de développement économique et social (PNDES)</w:t>
      </w:r>
      <w:r w:rsidR="00963EE5" w:rsidRPr="00D64144">
        <w:rPr>
          <w:sz w:val="24"/>
          <w:szCs w:val="24"/>
        </w:rPr>
        <w:t xml:space="preserve">, la vision </w:t>
      </w:r>
      <w:r w:rsidR="00C0415B" w:rsidRPr="00D64144">
        <w:rPr>
          <w:sz w:val="24"/>
          <w:szCs w:val="24"/>
        </w:rPr>
        <w:t>de</w:t>
      </w:r>
      <w:r w:rsidR="00963EE5" w:rsidRPr="00D64144">
        <w:rPr>
          <w:sz w:val="24"/>
          <w:szCs w:val="24"/>
        </w:rPr>
        <w:t xml:space="preserve"> la politique nationale de santé</w:t>
      </w:r>
      <w:r w:rsidRPr="00D64144">
        <w:rPr>
          <w:sz w:val="24"/>
          <w:szCs w:val="24"/>
        </w:rPr>
        <w:t>,</w:t>
      </w:r>
      <w:r w:rsidR="00963EE5" w:rsidRPr="00D64144">
        <w:rPr>
          <w:sz w:val="24"/>
          <w:szCs w:val="24"/>
        </w:rPr>
        <w:t xml:space="preserve"> est: </w:t>
      </w:r>
      <w:r w:rsidR="00AA30DF" w:rsidRPr="00D64144">
        <w:rPr>
          <w:sz w:val="24"/>
          <w:szCs w:val="24"/>
        </w:rPr>
        <w:t>« une Guinée où toutes les populations sont en bonne santé, économiquement et socialement productives, bénéficiant d’un accès universel à des services et soins de santé de qualité avec leur pleine participation. »</w:t>
      </w:r>
      <w:r w:rsidR="00AA30DF" w:rsidRPr="00D64144">
        <w:rPr>
          <w:rFonts w:ascii="Times New Roman" w:hAnsi="Times New Roman"/>
          <w:sz w:val="20"/>
          <w:szCs w:val="20"/>
          <w:lang w:val="fr-BE"/>
        </w:rPr>
        <w:t xml:space="preserve"> </w:t>
      </w:r>
      <w:r w:rsidR="00967A95" w:rsidRPr="00D64144">
        <w:rPr>
          <w:sz w:val="24"/>
          <w:szCs w:val="24"/>
        </w:rPr>
        <w:t>Dans le cadre de l’opérationnalisation de cette vision</w:t>
      </w:r>
      <w:r w:rsidR="00322029" w:rsidRPr="00D64144">
        <w:rPr>
          <w:sz w:val="24"/>
          <w:szCs w:val="24"/>
        </w:rPr>
        <w:t xml:space="preserve">, le Ministère de la santé </w:t>
      </w:r>
      <w:r w:rsidR="00C0415B" w:rsidRPr="00D64144">
        <w:rPr>
          <w:sz w:val="24"/>
          <w:szCs w:val="24"/>
        </w:rPr>
        <w:t>rêve de</w:t>
      </w:r>
      <w:r w:rsidR="005919B9" w:rsidRPr="00D64144">
        <w:rPr>
          <w:b/>
          <w:i/>
          <w:sz w:val="24"/>
          <w:szCs w:val="24"/>
        </w:rPr>
        <w:t xml:space="preserve"> ressources humaines</w:t>
      </w:r>
      <w:r w:rsidR="00C0415B" w:rsidRPr="00D64144">
        <w:rPr>
          <w:b/>
          <w:i/>
          <w:sz w:val="24"/>
          <w:szCs w:val="24"/>
        </w:rPr>
        <w:t xml:space="preserve"> </w:t>
      </w:r>
      <w:r w:rsidR="001D738E" w:rsidRPr="00D64144">
        <w:rPr>
          <w:b/>
          <w:i/>
          <w:sz w:val="24"/>
          <w:szCs w:val="24"/>
        </w:rPr>
        <w:t xml:space="preserve">qui accomplissent efficacement toutes les fonctions du système de santé, individuellement et collectivement, </w:t>
      </w:r>
      <w:r w:rsidR="00231ED2" w:rsidRPr="00D64144">
        <w:rPr>
          <w:b/>
          <w:i/>
          <w:sz w:val="24"/>
          <w:szCs w:val="24"/>
        </w:rPr>
        <w:t xml:space="preserve">de manière complémentaire et solidaire, </w:t>
      </w:r>
      <w:r w:rsidR="001D738E" w:rsidRPr="00D64144">
        <w:rPr>
          <w:b/>
          <w:i/>
          <w:sz w:val="24"/>
          <w:szCs w:val="24"/>
        </w:rPr>
        <w:t>au moment</w:t>
      </w:r>
      <w:r w:rsidR="00C0415B" w:rsidRPr="00D64144">
        <w:rPr>
          <w:b/>
          <w:i/>
          <w:sz w:val="24"/>
          <w:szCs w:val="24"/>
        </w:rPr>
        <w:t xml:space="preserve"> et lieu</w:t>
      </w:r>
      <w:r w:rsidR="001D738E" w:rsidRPr="00D64144">
        <w:rPr>
          <w:b/>
          <w:i/>
          <w:sz w:val="24"/>
          <w:szCs w:val="24"/>
        </w:rPr>
        <w:t xml:space="preserve"> opportuns</w:t>
      </w:r>
      <w:r w:rsidR="00EA1927" w:rsidRPr="00D64144">
        <w:rPr>
          <w:b/>
          <w:i/>
          <w:sz w:val="24"/>
          <w:szCs w:val="24"/>
        </w:rPr>
        <w:t xml:space="preserve"> </w:t>
      </w:r>
      <w:r w:rsidR="001D738E" w:rsidRPr="00D64144">
        <w:rPr>
          <w:b/>
          <w:i/>
          <w:sz w:val="24"/>
          <w:szCs w:val="24"/>
        </w:rPr>
        <w:t xml:space="preserve">et </w:t>
      </w:r>
      <w:r w:rsidR="00AA30DF" w:rsidRPr="00D64144">
        <w:rPr>
          <w:b/>
          <w:i/>
          <w:sz w:val="24"/>
          <w:szCs w:val="24"/>
        </w:rPr>
        <w:t>en partenariat avec les communautés</w:t>
      </w:r>
      <w:r w:rsidR="000F6A10" w:rsidRPr="00D64144">
        <w:rPr>
          <w:b/>
          <w:i/>
          <w:sz w:val="24"/>
          <w:szCs w:val="24"/>
        </w:rPr>
        <w:t>.</w:t>
      </w:r>
    </w:p>
    <w:p w14:paraId="21443CB8" w14:textId="77777777" w:rsidR="00346382" w:rsidRPr="00D52E18" w:rsidRDefault="00B94E34" w:rsidP="004D046C">
      <w:pPr>
        <w:pStyle w:val="Titre2"/>
        <w:numPr>
          <w:ilvl w:val="1"/>
          <w:numId w:val="5"/>
        </w:numPr>
        <w:spacing w:after="240"/>
        <w:ind w:left="1134" w:hanging="709"/>
        <w:rPr>
          <w:sz w:val="28"/>
          <w:szCs w:val="28"/>
        </w:rPr>
      </w:pPr>
      <w:bookmarkStart w:id="35" w:name="_Toc21586246"/>
      <w:r w:rsidRPr="00D52E18">
        <w:rPr>
          <w:sz w:val="28"/>
          <w:szCs w:val="28"/>
        </w:rPr>
        <w:t>Principes directeurs et valeurs de la politique</w:t>
      </w:r>
      <w:bookmarkEnd w:id="35"/>
      <w:r w:rsidR="00E32588">
        <w:rPr>
          <w:sz w:val="28"/>
          <w:szCs w:val="28"/>
        </w:rPr>
        <w:t xml:space="preserve"> </w:t>
      </w:r>
    </w:p>
    <w:p w14:paraId="51DA19D0" w14:textId="77777777" w:rsidR="00764FD7" w:rsidRPr="00D64144" w:rsidRDefault="00E32588" w:rsidP="00020D5E">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L’Efficience : L’atteinte d’un maximum des résultats devra correspondre à une utilisation rationnelle des ressources humaines</w:t>
      </w:r>
      <w:r w:rsidR="00764FD7" w:rsidRPr="00D64144">
        <w:rPr>
          <w:rStyle w:val="hps"/>
          <w:rFonts w:eastAsiaTheme="majorEastAsia" w:cstheme="minorHAnsi"/>
          <w:color w:val="333333"/>
          <w:sz w:val="24"/>
          <w:szCs w:val="24"/>
        </w:rPr>
        <w:t xml:space="preserve"> disponibles. </w:t>
      </w:r>
      <w:r w:rsidRPr="00D64144">
        <w:rPr>
          <w:rStyle w:val="hps"/>
          <w:rFonts w:eastAsiaTheme="majorEastAsia" w:cstheme="minorHAnsi"/>
          <w:color w:val="333333"/>
          <w:sz w:val="24"/>
          <w:szCs w:val="24"/>
        </w:rPr>
        <w:t>Ceci sous-tend la promotion d</w:t>
      </w:r>
      <w:r w:rsidR="00764FD7" w:rsidRPr="00D64144">
        <w:rPr>
          <w:rStyle w:val="hps"/>
          <w:rFonts w:eastAsiaTheme="majorEastAsia" w:cstheme="minorHAnsi"/>
          <w:color w:val="333333"/>
          <w:sz w:val="24"/>
          <w:szCs w:val="24"/>
        </w:rPr>
        <w:t xml:space="preserve">’une gestion </w:t>
      </w:r>
      <w:r w:rsidRPr="00D64144">
        <w:rPr>
          <w:rStyle w:val="hps"/>
          <w:rFonts w:eastAsiaTheme="majorEastAsia" w:cstheme="minorHAnsi"/>
          <w:color w:val="333333"/>
          <w:sz w:val="24"/>
          <w:szCs w:val="24"/>
        </w:rPr>
        <w:t>fondée sur des preuves</w:t>
      </w:r>
      <w:r w:rsidR="0088543E" w:rsidRPr="00D64144">
        <w:rPr>
          <w:rStyle w:val="hps"/>
          <w:rFonts w:eastAsiaTheme="majorEastAsia" w:cstheme="minorHAnsi"/>
          <w:color w:val="333333"/>
          <w:sz w:val="24"/>
          <w:szCs w:val="24"/>
        </w:rPr>
        <w:t>.</w:t>
      </w:r>
      <w:r w:rsidR="00764FD7" w:rsidRPr="00D64144">
        <w:rPr>
          <w:rStyle w:val="hps"/>
          <w:rFonts w:eastAsiaTheme="majorEastAsia" w:cstheme="minorHAnsi"/>
          <w:color w:val="333333"/>
          <w:sz w:val="24"/>
          <w:szCs w:val="24"/>
        </w:rPr>
        <w:t xml:space="preserve"> </w:t>
      </w:r>
    </w:p>
    <w:p w14:paraId="371D1887" w14:textId="77777777" w:rsidR="00E32588" w:rsidRPr="00D64144"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 xml:space="preserve">Les Soins centrés sur les personnes et les services intégrés : Les </w:t>
      </w:r>
      <w:r w:rsidR="00764FD7" w:rsidRPr="00D64144">
        <w:rPr>
          <w:rStyle w:val="hps"/>
          <w:rFonts w:eastAsiaTheme="majorEastAsia" w:cstheme="minorHAnsi"/>
          <w:color w:val="333333"/>
          <w:sz w:val="24"/>
          <w:szCs w:val="24"/>
        </w:rPr>
        <w:t xml:space="preserve">RHS offriront des prestations de </w:t>
      </w:r>
      <w:r w:rsidRPr="00D64144">
        <w:rPr>
          <w:rStyle w:val="hps"/>
          <w:rFonts w:eastAsiaTheme="majorEastAsia" w:cstheme="minorHAnsi"/>
          <w:color w:val="333333"/>
          <w:sz w:val="24"/>
          <w:szCs w:val="24"/>
        </w:rPr>
        <w:t>soins</w:t>
      </w:r>
      <w:r w:rsidR="00764FD7" w:rsidRPr="00D64144">
        <w:rPr>
          <w:rStyle w:val="hps"/>
          <w:rFonts w:eastAsiaTheme="majorEastAsia" w:cstheme="minorHAnsi"/>
          <w:color w:val="333333"/>
          <w:sz w:val="24"/>
          <w:szCs w:val="24"/>
        </w:rPr>
        <w:t xml:space="preserve"> et services</w:t>
      </w:r>
      <w:r w:rsidRPr="00D64144">
        <w:rPr>
          <w:rStyle w:val="hps"/>
          <w:rFonts w:eastAsiaTheme="majorEastAsia" w:cstheme="minorHAnsi"/>
          <w:color w:val="333333"/>
          <w:sz w:val="24"/>
          <w:szCs w:val="24"/>
        </w:rPr>
        <w:t xml:space="preserve"> </w:t>
      </w:r>
      <w:r w:rsidR="00256769" w:rsidRPr="00D64144">
        <w:rPr>
          <w:rStyle w:val="hps"/>
          <w:rFonts w:eastAsiaTheme="majorEastAsia" w:cstheme="minorHAnsi"/>
          <w:color w:val="333333"/>
          <w:sz w:val="24"/>
          <w:szCs w:val="24"/>
        </w:rPr>
        <w:t>en lien avec les</w:t>
      </w:r>
      <w:r w:rsidRPr="00D64144">
        <w:rPr>
          <w:rStyle w:val="hps"/>
          <w:rFonts w:eastAsiaTheme="majorEastAsia" w:cstheme="minorHAnsi"/>
          <w:color w:val="333333"/>
          <w:sz w:val="24"/>
          <w:szCs w:val="24"/>
        </w:rPr>
        <w:t xml:space="preserve"> besoins et attentes des personnes et des communautés plutôt que sur les maladies. Les réformes </w:t>
      </w:r>
      <w:r w:rsidR="00676B42" w:rsidRPr="00D64144">
        <w:rPr>
          <w:rStyle w:val="hps"/>
          <w:rFonts w:eastAsiaTheme="majorEastAsia" w:cstheme="minorHAnsi"/>
          <w:color w:val="333333"/>
          <w:sz w:val="24"/>
          <w:szCs w:val="24"/>
        </w:rPr>
        <w:t xml:space="preserve">que cela implique amèneront les RHS à mieux collaborer avec les </w:t>
      </w:r>
      <w:r w:rsidRPr="00D64144">
        <w:rPr>
          <w:rStyle w:val="hps"/>
          <w:rFonts w:eastAsiaTheme="majorEastAsia" w:cstheme="minorHAnsi"/>
          <w:color w:val="333333"/>
          <w:sz w:val="24"/>
          <w:szCs w:val="24"/>
        </w:rPr>
        <w:t xml:space="preserve">individus, </w:t>
      </w:r>
      <w:r w:rsidR="00676B42" w:rsidRPr="00D64144">
        <w:rPr>
          <w:rStyle w:val="hps"/>
          <w:rFonts w:eastAsiaTheme="majorEastAsia" w:cstheme="minorHAnsi"/>
          <w:color w:val="333333"/>
          <w:sz w:val="24"/>
          <w:szCs w:val="24"/>
        </w:rPr>
        <w:t>l</w:t>
      </w:r>
      <w:r w:rsidRPr="00D64144">
        <w:rPr>
          <w:rStyle w:val="hps"/>
          <w:rFonts w:eastAsiaTheme="majorEastAsia" w:cstheme="minorHAnsi"/>
          <w:color w:val="333333"/>
          <w:sz w:val="24"/>
          <w:szCs w:val="24"/>
        </w:rPr>
        <w:t xml:space="preserve">es familles, </w:t>
      </w:r>
      <w:r w:rsidR="00676B42" w:rsidRPr="00D64144">
        <w:rPr>
          <w:rStyle w:val="hps"/>
          <w:rFonts w:eastAsiaTheme="majorEastAsia" w:cstheme="minorHAnsi"/>
          <w:color w:val="333333"/>
          <w:sz w:val="24"/>
          <w:szCs w:val="24"/>
        </w:rPr>
        <w:t xml:space="preserve">les communautés et </w:t>
      </w:r>
      <w:r w:rsidRPr="00D64144">
        <w:rPr>
          <w:rStyle w:val="hps"/>
          <w:rFonts w:eastAsiaTheme="majorEastAsia" w:cstheme="minorHAnsi"/>
          <w:color w:val="333333"/>
          <w:sz w:val="24"/>
          <w:szCs w:val="24"/>
        </w:rPr>
        <w:t>la société civile</w:t>
      </w:r>
      <w:r w:rsidR="0088543E" w:rsidRPr="00D64144">
        <w:rPr>
          <w:rStyle w:val="hps"/>
          <w:rFonts w:eastAsiaTheme="majorEastAsia" w:cstheme="minorHAnsi"/>
          <w:color w:val="333333"/>
          <w:sz w:val="24"/>
          <w:szCs w:val="24"/>
        </w:rPr>
        <w:t>.</w:t>
      </w:r>
    </w:p>
    <w:p w14:paraId="7242D652" w14:textId="77777777" w:rsidR="00E32588" w:rsidRPr="00D64144" w:rsidRDefault="00E32588" w:rsidP="00020D5E">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 xml:space="preserve">La Gestion axée sur les résultats : l’option prise de passer de la planification par objectifs à celle axée sur les résultats aura comme conséquence une meilleure articulation entre les </w:t>
      </w:r>
      <w:r w:rsidR="00676B42" w:rsidRPr="00D64144">
        <w:rPr>
          <w:rStyle w:val="hps"/>
          <w:rFonts w:eastAsiaTheme="majorEastAsia" w:cstheme="minorHAnsi"/>
          <w:color w:val="333333"/>
          <w:sz w:val="24"/>
          <w:szCs w:val="24"/>
        </w:rPr>
        <w:t>RHS</w:t>
      </w:r>
      <w:r w:rsidRPr="00D64144">
        <w:rPr>
          <w:rStyle w:val="hps"/>
          <w:rFonts w:eastAsiaTheme="majorEastAsia" w:cstheme="minorHAnsi"/>
          <w:color w:val="333333"/>
          <w:sz w:val="24"/>
          <w:szCs w:val="24"/>
        </w:rPr>
        <w:t xml:space="preserve"> et les performances à réaliser avec un accent particulier sur la redevabilité.</w:t>
      </w:r>
    </w:p>
    <w:p w14:paraId="0924FB7B" w14:textId="77777777" w:rsidR="00E32588" w:rsidRPr="00D64144"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sz w:val="24"/>
          <w:szCs w:val="24"/>
        </w:rPr>
        <w:t>La</w:t>
      </w:r>
      <w:r w:rsidRPr="00D64144">
        <w:rPr>
          <w:rStyle w:val="hps"/>
          <w:rFonts w:eastAsiaTheme="majorEastAsia" w:cstheme="minorHAnsi"/>
          <w:color w:val="333333"/>
          <w:sz w:val="24"/>
          <w:szCs w:val="24"/>
        </w:rPr>
        <w:t xml:space="preserve"> Décentralisation/déconcentration : </w:t>
      </w:r>
      <w:r w:rsidR="00275B00" w:rsidRPr="00D64144">
        <w:rPr>
          <w:rStyle w:val="hps"/>
          <w:rFonts w:eastAsiaTheme="majorEastAsia" w:cstheme="minorHAnsi"/>
          <w:color w:val="333333"/>
          <w:sz w:val="24"/>
          <w:szCs w:val="24"/>
        </w:rPr>
        <w:t xml:space="preserve">Le code des collectivités locales transfert </w:t>
      </w:r>
      <w:r w:rsidRPr="00D64144">
        <w:rPr>
          <w:rStyle w:val="hps"/>
          <w:rFonts w:eastAsiaTheme="majorEastAsia" w:cstheme="minorHAnsi"/>
          <w:color w:val="333333"/>
          <w:sz w:val="24"/>
          <w:szCs w:val="24"/>
        </w:rPr>
        <w:t xml:space="preserve">les </w:t>
      </w:r>
      <w:r w:rsidR="00676B42" w:rsidRPr="00D64144">
        <w:rPr>
          <w:rStyle w:val="hps"/>
          <w:rFonts w:eastAsiaTheme="majorEastAsia" w:cstheme="minorHAnsi"/>
          <w:color w:val="333333"/>
          <w:sz w:val="24"/>
          <w:szCs w:val="24"/>
        </w:rPr>
        <w:t xml:space="preserve">compétences dans le domaine de la santé </w:t>
      </w:r>
      <w:r w:rsidR="00275B00" w:rsidRPr="00D64144">
        <w:rPr>
          <w:rStyle w:val="hps"/>
          <w:rFonts w:eastAsiaTheme="majorEastAsia" w:cstheme="minorHAnsi"/>
          <w:color w:val="333333"/>
          <w:sz w:val="24"/>
          <w:szCs w:val="24"/>
        </w:rPr>
        <w:t>auxdites</w:t>
      </w:r>
      <w:r w:rsidR="00676B42" w:rsidRPr="00D64144">
        <w:rPr>
          <w:rStyle w:val="hps"/>
          <w:rFonts w:eastAsiaTheme="majorEastAsia" w:cstheme="minorHAnsi"/>
          <w:color w:val="333333"/>
          <w:sz w:val="24"/>
          <w:szCs w:val="24"/>
        </w:rPr>
        <w:t xml:space="preserve"> </w:t>
      </w:r>
      <w:r w:rsidRPr="00D64144">
        <w:rPr>
          <w:rStyle w:val="hps"/>
          <w:rFonts w:eastAsiaTheme="majorEastAsia" w:cstheme="minorHAnsi"/>
          <w:color w:val="333333"/>
          <w:sz w:val="24"/>
          <w:szCs w:val="24"/>
        </w:rPr>
        <w:t>collectivités locales</w:t>
      </w:r>
      <w:r w:rsidR="00676B42" w:rsidRPr="00D64144">
        <w:rPr>
          <w:rStyle w:val="Appelnotedebasdep"/>
          <w:rFonts w:eastAsiaTheme="majorEastAsia"/>
          <w:color w:val="333333"/>
          <w:sz w:val="24"/>
          <w:szCs w:val="24"/>
        </w:rPr>
        <w:footnoteReference w:id="44"/>
      </w:r>
      <w:r w:rsidR="00275B00" w:rsidRPr="00D64144">
        <w:rPr>
          <w:rStyle w:val="hps"/>
          <w:rFonts w:eastAsiaTheme="majorEastAsia" w:cstheme="minorHAnsi"/>
          <w:color w:val="333333"/>
          <w:sz w:val="24"/>
          <w:szCs w:val="24"/>
        </w:rPr>
        <w:t>.</w:t>
      </w:r>
      <w:r w:rsidRPr="00D64144">
        <w:rPr>
          <w:rStyle w:val="hps"/>
          <w:rFonts w:eastAsiaTheme="majorEastAsia" w:cstheme="minorHAnsi"/>
          <w:color w:val="333333"/>
          <w:sz w:val="24"/>
          <w:szCs w:val="24"/>
        </w:rPr>
        <w:t xml:space="preserve"> </w:t>
      </w:r>
      <w:r w:rsidR="00275B00" w:rsidRPr="00D64144">
        <w:rPr>
          <w:rStyle w:val="hps"/>
          <w:rFonts w:eastAsiaTheme="majorEastAsia" w:cstheme="minorHAnsi"/>
          <w:color w:val="333333"/>
          <w:sz w:val="24"/>
          <w:szCs w:val="24"/>
        </w:rPr>
        <w:t>Cette</w:t>
      </w:r>
      <w:r w:rsidRPr="00D64144">
        <w:rPr>
          <w:rStyle w:val="hps"/>
          <w:rFonts w:eastAsiaTheme="majorEastAsia" w:cstheme="minorHAnsi"/>
          <w:color w:val="333333"/>
          <w:sz w:val="24"/>
          <w:szCs w:val="24"/>
        </w:rPr>
        <w:t xml:space="preserve"> option implique, pour son efficacité, </w:t>
      </w:r>
      <w:r w:rsidR="00905976" w:rsidRPr="00D64144">
        <w:rPr>
          <w:rStyle w:val="hps"/>
          <w:rFonts w:eastAsiaTheme="majorEastAsia" w:cstheme="minorHAnsi"/>
          <w:color w:val="333333"/>
          <w:sz w:val="24"/>
          <w:szCs w:val="24"/>
        </w:rPr>
        <w:t>le transfert des ressources financières et matérielles, et le</w:t>
      </w:r>
      <w:r w:rsidR="00D27D22" w:rsidRPr="00D64144">
        <w:rPr>
          <w:rStyle w:val="hps"/>
          <w:rFonts w:eastAsiaTheme="majorEastAsia" w:cstheme="minorHAnsi"/>
          <w:color w:val="333333"/>
          <w:sz w:val="24"/>
          <w:szCs w:val="24"/>
        </w:rPr>
        <w:t xml:space="preserve"> renforcement de</w:t>
      </w:r>
      <w:r w:rsidR="00905976" w:rsidRPr="00D64144">
        <w:rPr>
          <w:rStyle w:val="hps"/>
          <w:rFonts w:eastAsiaTheme="majorEastAsia" w:cstheme="minorHAnsi"/>
          <w:color w:val="333333"/>
          <w:sz w:val="24"/>
          <w:szCs w:val="24"/>
        </w:rPr>
        <w:t>s capacités techniques nécessaires pour recruter et gérer les RHS pour le système de santé local</w:t>
      </w:r>
      <w:r w:rsidR="00D27D22" w:rsidRPr="00D64144">
        <w:rPr>
          <w:rStyle w:val="hps"/>
          <w:rFonts w:eastAsiaTheme="majorEastAsia" w:cstheme="minorHAnsi"/>
          <w:color w:val="333333"/>
          <w:sz w:val="24"/>
          <w:szCs w:val="24"/>
        </w:rPr>
        <w:t xml:space="preserve"> (personnel des centres et postes de santé, agents de santé </w:t>
      </w:r>
      <w:r w:rsidR="00A16914" w:rsidRPr="00D64144">
        <w:rPr>
          <w:rStyle w:val="hps"/>
          <w:rFonts w:eastAsiaTheme="majorEastAsia" w:cstheme="minorHAnsi"/>
          <w:color w:val="333333"/>
          <w:sz w:val="24"/>
          <w:szCs w:val="24"/>
        </w:rPr>
        <w:t>et relais</w:t>
      </w:r>
      <w:r w:rsidR="00D27D22" w:rsidRPr="00D64144">
        <w:rPr>
          <w:rStyle w:val="hps"/>
          <w:rFonts w:eastAsiaTheme="majorEastAsia" w:cstheme="minorHAnsi"/>
          <w:color w:val="333333"/>
          <w:sz w:val="24"/>
          <w:szCs w:val="24"/>
        </w:rPr>
        <w:t xml:space="preserve"> communautaires)</w:t>
      </w:r>
      <w:r w:rsidRPr="00D64144">
        <w:rPr>
          <w:rStyle w:val="hps"/>
          <w:rFonts w:eastAsiaTheme="majorEastAsia" w:cstheme="minorHAnsi"/>
          <w:color w:val="333333"/>
          <w:sz w:val="24"/>
          <w:szCs w:val="24"/>
        </w:rPr>
        <w:t>.</w:t>
      </w:r>
    </w:p>
    <w:p w14:paraId="6AD0628A" w14:textId="77777777" w:rsidR="00E32588" w:rsidRPr="00D64144" w:rsidRDefault="00E32588"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 xml:space="preserve">Le Partenariat: La dimension multisectorielle de la santé et </w:t>
      </w:r>
      <w:r w:rsidR="00905976" w:rsidRPr="00D64144">
        <w:rPr>
          <w:rStyle w:val="hps"/>
          <w:rFonts w:eastAsiaTheme="majorEastAsia" w:cstheme="minorHAnsi"/>
          <w:color w:val="333333"/>
          <w:sz w:val="24"/>
          <w:szCs w:val="24"/>
        </w:rPr>
        <w:t xml:space="preserve">du développement des RHS </w:t>
      </w:r>
      <w:r w:rsidRPr="00D64144">
        <w:rPr>
          <w:rStyle w:val="hps"/>
          <w:rFonts w:eastAsiaTheme="majorEastAsia" w:cstheme="minorHAnsi"/>
          <w:color w:val="333333"/>
          <w:sz w:val="24"/>
          <w:szCs w:val="24"/>
        </w:rPr>
        <w:t xml:space="preserve">commande </w:t>
      </w:r>
      <w:r w:rsidR="00D27D22" w:rsidRPr="00D64144">
        <w:rPr>
          <w:rStyle w:val="hps"/>
          <w:rFonts w:eastAsiaTheme="majorEastAsia" w:cstheme="minorHAnsi"/>
          <w:color w:val="333333"/>
          <w:sz w:val="24"/>
          <w:szCs w:val="24"/>
        </w:rPr>
        <w:t xml:space="preserve">un engagement politique fort pour </w:t>
      </w:r>
      <w:r w:rsidRPr="00D64144">
        <w:rPr>
          <w:rStyle w:val="hps"/>
          <w:rFonts w:eastAsiaTheme="majorEastAsia" w:cstheme="minorHAnsi"/>
          <w:color w:val="333333"/>
          <w:sz w:val="24"/>
          <w:szCs w:val="24"/>
        </w:rPr>
        <w:t xml:space="preserve">la mise en place de dispositifs de dialogue politique et </w:t>
      </w:r>
      <w:r w:rsidR="00905976" w:rsidRPr="00D64144">
        <w:rPr>
          <w:rStyle w:val="hps"/>
          <w:rFonts w:eastAsiaTheme="majorEastAsia" w:cstheme="minorHAnsi"/>
          <w:color w:val="333333"/>
          <w:sz w:val="24"/>
          <w:szCs w:val="24"/>
        </w:rPr>
        <w:t xml:space="preserve">la </w:t>
      </w:r>
      <w:r w:rsidRPr="00D64144">
        <w:rPr>
          <w:rStyle w:val="hps"/>
          <w:rFonts w:eastAsiaTheme="majorEastAsia" w:cstheme="minorHAnsi"/>
          <w:color w:val="333333"/>
          <w:sz w:val="24"/>
          <w:szCs w:val="24"/>
        </w:rPr>
        <w:t xml:space="preserve">formalisation de la collaboration </w:t>
      </w:r>
      <w:r w:rsidR="00D27D22" w:rsidRPr="00D64144">
        <w:rPr>
          <w:rStyle w:val="hps"/>
          <w:rFonts w:eastAsiaTheme="majorEastAsia" w:cstheme="minorHAnsi"/>
          <w:color w:val="333333"/>
          <w:sz w:val="24"/>
          <w:szCs w:val="24"/>
        </w:rPr>
        <w:t>en vue de</w:t>
      </w:r>
      <w:r w:rsidRPr="00D64144">
        <w:rPr>
          <w:rStyle w:val="hps"/>
          <w:rFonts w:eastAsiaTheme="majorEastAsia" w:cstheme="minorHAnsi"/>
          <w:color w:val="333333"/>
          <w:sz w:val="24"/>
          <w:szCs w:val="24"/>
        </w:rPr>
        <w:t xml:space="preserve"> </w:t>
      </w:r>
      <w:r w:rsidR="0088543E" w:rsidRPr="00D64144">
        <w:rPr>
          <w:rStyle w:val="hps"/>
          <w:rFonts w:eastAsiaTheme="majorEastAsia" w:cstheme="minorHAnsi"/>
          <w:color w:val="333333"/>
          <w:sz w:val="24"/>
          <w:szCs w:val="24"/>
        </w:rPr>
        <w:t xml:space="preserve">partager les </w:t>
      </w:r>
      <w:r w:rsidRPr="00D64144">
        <w:rPr>
          <w:rStyle w:val="hps"/>
          <w:rFonts w:eastAsiaTheme="majorEastAsia" w:cstheme="minorHAnsi"/>
          <w:color w:val="333333"/>
          <w:sz w:val="24"/>
          <w:szCs w:val="24"/>
        </w:rPr>
        <w:t>responsabili</w:t>
      </w:r>
      <w:r w:rsidR="0088543E" w:rsidRPr="00D64144">
        <w:rPr>
          <w:rStyle w:val="hps"/>
          <w:rFonts w:eastAsiaTheme="majorEastAsia" w:cstheme="minorHAnsi"/>
          <w:color w:val="333333"/>
          <w:sz w:val="24"/>
          <w:szCs w:val="24"/>
        </w:rPr>
        <w:t>tés avec</w:t>
      </w:r>
      <w:r w:rsidRPr="00D64144">
        <w:rPr>
          <w:rStyle w:val="hps"/>
          <w:rFonts w:eastAsiaTheme="majorEastAsia" w:cstheme="minorHAnsi"/>
          <w:color w:val="333333"/>
          <w:sz w:val="24"/>
          <w:szCs w:val="24"/>
        </w:rPr>
        <w:t xml:space="preserve"> l’ensemble des</w:t>
      </w:r>
      <w:r w:rsidR="0088543E" w:rsidRPr="00D64144">
        <w:rPr>
          <w:rStyle w:val="hps"/>
          <w:rFonts w:eastAsiaTheme="majorEastAsia" w:cstheme="minorHAnsi"/>
          <w:color w:val="333333"/>
          <w:sz w:val="24"/>
          <w:szCs w:val="24"/>
        </w:rPr>
        <w:t xml:space="preserve"> parties prenantes</w:t>
      </w:r>
      <w:r w:rsidRPr="00D64144">
        <w:rPr>
          <w:rStyle w:val="hps"/>
          <w:rFonts w:eastAsiaTheme="majorEastAsia" w:cstheme="minorHAnsi"/>
          <w:color w:val="333333"/>
          <w:sz w:val="24"/>
          <w:szCs w:val="24"/>
        </w:rPr>
        <w:t>.</w:t>
      </w:r>
      <w:r w:rsidR="00D27D22" w:rsidRPr="00D64144">
        <w:rPr>
          <w:rStyle w:val="hps"/>
          <w:rFonts w:eastAsiaTheme="majorEastAsia" w:cstheme="minorHAnsi"/>
          <w:color w:val="333333"/>
          <w:sz w:val="24"/>
          <w:szCs w:val="24"/>
        </w:rPr>
        <w:t xml:space="preserve"> </w:t>
      </w:r>
    </w:p>
    <w:p w14:paraId="57614590" w14:textId="77777777" w:rsidR="00461CDB" w:rsidRPr="00D64144" w:rsidRDefault="009F389D"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L</w:t>
      </w:r>
      <w:r w:rsidR="000F6A10" w:rsidRPr="00D64144">
        <w:rPr>
          <w:rStyle w:val="hps"/>
          <w:rFonts w:eastAsiaTheme="majorEastAsia" w:cstheme="minorHAnsi"/>
          <w:color w:val="333333"/>
          <w:sz w:val="24"/>
          <w:szCs w:val="24"/>
        </w:rPr>
        <w:t>’intégration : l</w:t>
      </w:r>
      <w:r w:rsidRPr="00D64144">
        <w:rPr>
          <w:rStyle w:val="hps"/>
          <w:rFonts w:eastAsiaTheme="majorEastAsia" w:cstheme="minorHAnsi"/>
          <w:color w:val="333333"/>
          <w:sz w:val="24"/>
          <w:szCs w:val="24"/>
        </w:rPr>
        <w:t xml:space="preserve">e processus du développement des ressources humaines pour la santé </w:t>
      </w:r>
      <w:r w:rsidR="000F6A10" w:rsidRPr="00D64144">
        <w:rPr>
          <w:rStyle w:val="hps"/>
          <w:rFonts w:eastAsiaTheme="majorEastAsia" w:cstheme="minorHAnsi"/>
          <w:color w:val="333333"/>
          <w:sz w:val="24"/>
          <w:szCs w:val="24"/>
        </w:rPr>
        <w:t>(RHS) fait partie</w:t>
      </w:r>
      <w:r w:rsidRPr="00D64144">
        <w:rPr>
          <w:rStyle w:val="hps"/>
          <w:rFonts w:eastAsiaTheme="majorEastAsia" w:cstheme="minorHAnsi"/>
          <w:color w:val="333333"/>
          <w:sz w:val="24"/>
          <w:szCs w:val="24"/>
        </w:rPr>
        <w:t xml:space="preserve"> </w:t>
      </w:r>
      <w:r w:rsidR="00E32588" w:rsidRPr="00D64144">
        <w:rPr>
          <w:rStyle w:val="hps"/>
          <w:rFonts w:eastAsiaTheme="majorEastAsia" w:cstheme="minorHAnsi"/>
          <w:color w:val="333333"/>
          <w:sz w:val="24"/>
          <w:szCs w:val="24"/>
        </w:rPr>
        <w:t xml:space="preserve">du </w:t>
      </w:r>
      <w:r w:rsidRPr="00D64144">
        <w:rPr>
          <w:rStyle w:val="hps"/>
          <w:rFonts w:eastAsiaTheme="majorEastAsia" w:cstheme="minorHAnsi"/>
          <w:color w:val="333333"/>
          <w:sz w:val="24"/>
          <w:szCs w:val="24"/>
        </w:rPr>
        <w:t xml:space="preserve">processus global de développement du système de santé.  </w:t>
      </w:r>
      <w:r w:rsidR="009E4108" w:rsidRPr="00D64144">
        <w:rPr>
          <w:rStyle w:val="hps"/>
          <w:rFonts w:eastAsiaTheme="majorEastAsia" w:cstheme="minorHAnsi"/>
          <w:color w:val="333333"/>
          <w:sz w:val="24"/>
          <w:szCs w:val="24"/>
        </w:rPr>
        <w:t>Il en est une composante et, de ce fait, i</w:t>
      </w:r>
      <w:r w:rsidRPr="00D64144">
        <w:rPr>
          <w:rStyle w:val="hps"/>
          <w:rFonts w:eastAsiaTheme="majorEastAsia" w:cstheme="minorHAnsi"/>
          <w:color w:val="333333"/>
          <w:sz w:val="24"/>
          <w:szCs w:val="24"/>
        </w:rPr>
        <w:t>l ne peut pas en être séparé</w:t>
      </w:r>
      <w:r w:rsidR="000F6A10" w:rsidRPr="00D64144">
        <w:rPr>
          <w:rStyle w:val="hps"/>
          <w:rFonts w:eastAsiaTheme="majorEastAsia" w:cstheme="minorHAnsi"/>
          <w:color w:val="333333"/>
          <w:sz w:val="24"/>
          <w:szCs w:val="24"/>
        </w:rPr>
        <w:t>.</w:t>
      </w:r>
    </w:p>
    <w:p w14:paraId="49B681D9" w14:textId="77777777" w:rsidR="00EE6845" w:rsidRPr="00D64144"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sz w:val="24"/>
          <w:szCs w:val="24"/>
        </w:rPr>
        <w:t>La</w:t>
      </w:r>
      <w:r w:rsidRPr="00D64144">
        <w:rPr>
          <w:rStyle w:val="hps"/>
          <w:rFonts w:eastAsiaTheme="majorEastAsia" w:cstheme="minorHAnsi"/>
          <w:color w:val="333333"/>
          <w:sz w:val="24"/>
          <w:szCs w:val="24"/>
        </w:rPr>
        <w:t xml:space="preserve"> p</w:t>
      </w:r>
      <w:r w:rsidR="000F6A10" w:rsidRPr="00D64144">
        <w:rPr>
          <w:rStyle w:val="hps"/>
          <w:rFonts w:eastAsiaTheme="majorEastAsia" w:cstheme="minorHAnsi"/>
          <w:color w:val="333333"/>
          <w:sz w:val="24"/>
          <w:szCs w:val="24"/>
        </w:rPr>
        <w:t xml:space="preserve">ertinence : </w:t>
      </w:r>
      <w:r w:rsidR="00EE6845" w:rsidRPr="00D64144">
        <w:rPr>
          <w:rStyle w:val="hps"/>
          <w:rFonts w:eastAsiaTheme="majorEastAsia" w:cstheme="minorHAnsi"/>
          <w:color w:val="333333"/>
          <w:sz w:val="24"/>
          <w:szCs w:val="24"/>
        </w:rPr>
        <w:t>Chaque corps professionnel</w:t>
      </w:r>
      <w:r w:rsidR="000F6A10" w:rsidRPr="00D64144">
        <w:rPr>
          <w:rStyle w:val="hps"/>
          <w:rFonts w:eastAsiaTheme="majorEastAsia" w:cstheme="minorHAnsi"/>
          <w:color w:val="333333"/>
          <w:sz w:val="24"/>
          <w:szCs w:val="24"/>
        </w:rPr>
        <w:t xml:space="preserve"> </w:t>
      </w:r>
      <w:r w:rsidR="00EE6845" w:rsidRPr="00D64144">
        <w:rPr>
          <w:rStyle w:val="hps"/>
          <w:rFonts w:eastAsiaTheme="majorEastAsia" w:cstheme="minorHAnsi"/>
          <w:color w:val="333333"/>
          <w:sz w:val="24"/>
          <w:szCs w:val="24"/>
        </w:rPr>
        <w:t>d</w:t>
      </w:r>
      <w:r w:rsidR="000F6A10" w:rsidRPr="00D64144">
        <w:rPr>
          <w:rStyle w:val="hps"/>
          <w:rFonts w:eastAsiaTheme="majorEastAsia" w:cstheme="minorHAnsi"/>
          <w:color w:val="333333"/>
          <w:sz w:val="24"/>
          <w:szCs w:val="24"/>
        </w:rPr>
        <w:t xml:space="preserve">es RHS doit répondre à un besoin </w:t>
      </w:r>
      <w:r w:rsidR="00E673E9" w:rsidRPr="00D64144">
        <w:rPr>
          <w:rStyle w:val="hps"/>
          <w:rFonts w:eastAsiaTheme="majorEastAsia" w:cstheme="minorHAnsi"/>
          <w:color w:val="333333"/>
          <w:sz w:val="24"/>
          <w:szCs w:val="24"/>
        </w:rPr>
        <w:t xml:space="preserve">clair </w:t>
      </w:r>
      <w:r w:rsidR="000F6A10" w:rsidRPr="00D64144">
        <w:rPr>
          <w:rStyle w:val="hps"/>
          <w:rFonts w:eastAsiaTheme="majorEastAsia" w:cstheme="minorHAnsi"/>
          <w:color w:val="333333"/>
          <w:sz w:val="24"/>
          <w:szCs w:val="24"/>
        </w:rPr>
        <w:t>dans une des fonction</w:t>
      </w:r>
      <w:r w:rsidR="00E673E9" w:rsidRPr="00D64144">
        <w:rPr>
          <w:rStyle w:val="hps"/>
          <w:rFonts w:eastAsiaTheme="majorEastAsia" w:cstheme="minorHAnsi"/>
          <w:color w:val="333333"/>
          <w:sz w:val="24"/>
          <w:szCs w:val="24"/>
        </w:rPr>
        <w:t>s</w:t>
      </w:r>
      <w:r w:rsidR="00E673E9" w:rsidRPr="00D64144">
        <w:rPr>
          <w:rStyle w:val="hps"/>
          <w:rFonts w:eastAsiaTheme="majorEastAsia" w:cstheme="minorHAnsi"/>
          <w:color w:val="333333"/>
          <w:sz w:val="24"/>
          <w:szCs w:val="24"/>
          <w:vertAlign w:val="superscript"/>
        </w:rPr>
        <w:footnoteReference w:id="45"/>
      </w:r>
      <w:r w:rsidR="000F6A10" w:rsidRPr="00D64144">
        <w:rPr>
          <w:rStyle w:val="hps"/>
          <w:rFonts w:eastAsiaTheme="majorEastAsia" w:cstheme="minorHAnsi"/>
          <w:color w:val="333333"/>
          <w:sz w:val="24"/>
          <w:szCs w:val="24"/>
        </w:rPr>
        <w:t xml:space="preserve"> du système de santé, en lien avec </w:t>
      </w:r>
      <w:r w:rsidR="00D4241C" w:rsidRPr="00D64144">
        <w:rPr>
          <w:rStyle w:val="hps"/>
          <w:rFonts w:eastAsiaTheme="majorEastAsia" w:cstheme="minorHAnsi"/>
          <w:color w:val="333333"/>
          <w:sz w:val="24"/>
          <w:szCs w:val="24"/>
        </w:rPr>
        <w:t>la</w:t>
      </w:r>
      <w:r w:rsidR="000F6A10" w:rsidRPr="00D64144">
        <w:rPr>
          <w:rStyle w:val="hps"/>
          <w:rFonts w:eastAsiaTheme="majorEastAsia" w:cstheme="minorHAnsi"/>
          <w:color w:val="333333"/>
          <w:sz w:val="24"/>
          <w:szCs w:val="24"/>
        </w:rPr>
        <w:t xml:space="preserve"> santé de la population. </w:t>
      </w:r>
      <w:r w:rsidR="009E4108" w:rsidRPr="00D64144">
        <w:rPr>
          <w:rStyle w:val="hps"/>
          <w:rFonts w:eastAsiaTheme="majorEastAsia" w:cstheme="minorHAnsi"/>
          <w:color w:val="333333"/>
          <w:sz w:val="24"/>
          <w:szCs w:val="24"/>
        </w:rPr>
        <w:t>Il</w:t>
      </w:r>
      <w:r w:rsidR="009F389D" w:rsidRPr="00D64144">
        <w:rPr>
          <w:rStyle w:val="hps"/>
          <w:rFonts w:eastAsiaTheme="majorEastAsia" w:cstheme="minorHAnsi"/>
          <w:color w:val="333333"/>
          <w:sz w:val="24"/>
          <w:szCs w:val="24"/>
        </w:rPr>
        <w:t xml:space="preserve"> doit </w:t>
      </w:r>
      <w:r w:rsidR="002F2D28" w:rsidRPr="00D64144">
        <w:rPr>
          <w:rStyle w:val="hps"/>
          <w:rFonts w:eastAsiaTheme="majorEastAsia" w:cstheme="minorHAnsi"/>
          <w:color w:val="333333"/>
          <w:sz w:val="24"/>
          <w:szCs w:val="24"/>
        </w:rPr>
        <w:t>contribuer à</w:t>
      </w:r>
      <w:r w:rsidR="00020D5E" w:rsidRPr="00D64144">
        <w:rPr>
          <w:rStyle w:val="hps"/>
          <w:rFonts w:eastAsiaTheme="majorEastAsia" w:cstheme="minorHAnsi"/>
          <w:color w:val="333333"/>
          <w:sz w:val="24"/>
          <w:szCs w:val="24"/>
        </w:rPr>
        <w:t> </w:t>
      </w:r>
      <w:r w:rsidR="002F2D28" w:rsidRPr="00D64144">
        <w:rPr>
          <w:rStyle w:val="hps"/>
          <w:rFonts w:eastAsiaTheme="majorEastAsia" w:cstheme="minorHAnsi"/>
          <w:color w:val="333333"/>
          <w:sz w:val="24"/>
          <w:szCs w:val="24"/>
        </w:rPr>
        <w:t>l’</w:t>
      </w:r>
      <w:r w:rsidR="00BF2E79" w:rsidRPr="00D64144">
        <w:rPr>
          <w:rStyle w:val="hps"/>
          <w:rFonts w:eastAsiaTheme="majorEastAsia" w:cstheme="minorHAnsi"/>
          <w:color w:val="333333"/>
          <w:sz w:val="24"/>
          <w:szCs w:val="24"/>
        </w:rPr>
        <w:t>offre des prestations</w:t>
      </w:r>
      <w:r w:rsidR="00D4241C" w:rsidRPr="00D64144">
        <w:rPr>
          <w:rStyle w:val="hps"/>
          <w:rFonts w:eastAsiaTheme="majorEastAsia" w:cstheme="minorHAnsi"/>
          <w:color w:val="333333"/>
          <w:sz w:val="24"/>
          <w:szCs w:val="24"/>
        </w:rPr>
        <w:t xml:space="preserve"> de soins et services de santé. </w:t>
      </w:r>
      <w:r w:rsidR="00EE6845" w:rsidRPr="00D64144">
        <w:rPr>
          <w:rStyle w:val="hps"/>
          <w:rFonts w:eastAsiaTheme="majorEastAsia" w:cstheme="minorHAnsi"/>
          <w:color w:val="333333"/>
          <w:sz w:val="24"/>
          <w:szCs w:val="24"/>
        </w:rPr>
        <w:t>A cet effet, le gouvernement ambitionne faire de la gestion et du développement des RHS, le principal moteur de la prestation des services de santé.</w:t>
      </w:r>
    </w:p>
    <w:p w14:paraId="79A0482E" w14:textId="77777777" w:rsidR="007A4DDC" w:rsidRPr="00D64144"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L’équité :</w:t>
      </w:r>
      <w:r w:rsidR="00EE6845" w:rsidRPr="00D64144">
        <w:rPr>
          <w:rStyle w:val="hps"/>
          <w:rFonts w:eastAsiaTheme="majorEastAsia" w:cstheme="minorHAnsi"/>
          <w:color w:val="333333"/>
          <w:sz w:val="24"/>
          <w:szCs w:val="24"/>
        </w:rPr>
        <w:t xml:space="preserve"> Les efforts seront fournis pour </w:t>
      </w:r>
      <w:r w:rsidR="00BF2249" w:rsidRPr="00D64144">
        <w:rPr>
          <w:rStyle w:val="hps"/>
          <w:rFonts w:eastAsiaTheme="majorEastAsia" w:cstheme="minorHAnsi"/>
          <w:color w:val="333333"/>
          <w:sz w:val="24"/>
          <w:szCs w:val="24"/>
        </w:rPr>
        <w:t xml:space="preserve">que </w:t>
      </w:r>
      <w:r w:rsidR="00EE6845" w:rsidRPr="00D64144">
        <w:rPr>
          <w:rStyle w:val="hps"/>
          <w:rFonts w:eastAsiaTheme="majorEastAsia" w:cstheme="minorHAnsi"/>
          <w:color w:val="333333"/>
          <w:sz w:val="24"/>
          <w:szCs w:val="24"/>
        </w:rPr>
        <w:t xml:space="preserve">les RHS soient distribuées de manière que tout habitant de la Guinée accède </w:t>
      </w:r>
      <w:r w:rsidR="009E4108" w:rsidRPr="00D64144">
        <w:rPr>
          <w:rStyle w:val="hps"/>
          <w:rFonts w:eastAsiaTheme="majorEastAsia" w:cstheme="minorHAnsi"/>
          <w:color w:val="333333"/>
          <w:sz w:val="24"/>
          <w:szCs w:val="24"/>
        </w:rPr>
        <w:t xml:space="preserve">aisément </w:t>
      </w:r>
      <w:r w:rsidR="00EE6845" w:rsidRPr="00D64144">
        <w:rPr>
          <w:rStyle w:val="hps"/>
          <w:rFonts w:eastAsiaTheme="majorEastAsia" w:cstheme="minorHAnsi"/>
          <w:color w:val="333333"/>
          <w:sz w:val="24"/>
          <w:szCs w:val="24"/>
        </w:rPr>
        <w:t>aux services de santé dont il a besoin</w:t>
      </w:r>
      <w:r w:rsidR="00E43D72" w:rsidRPr="00D64144">
        <w:rPr>
          <w:rStyle w:val="hps"/>
          <w:rFonts w:eastAsiaTheme="majorEastAsia" w:cstheme="minorHAnsi"/>
          <w:color w:val="333333"/>
          <w:sz w:val="24"/>
          <w:szCs w:val="24"/>
        </w:rPr>
        <w:t>, o</w:t>
      </w:r>
      <w:r w:rsidR="00E51187" w:rsidRPr="00D64144">
        <w:rPr>
          <w:rStyle w:val="hps"/>
          <w:rFonts w:eastAsiaTheme="majorEastAsia" w:cstheme="minorHAnsi"/>
          <w:color w:val="333333"/>
          <w:sz w:val="24"/>
          <w:szCs w:val="24"/>
        </w:rPr>
        <w:t>ù qu’il habite</w:t>
      </w:r>
      <w:r w:rsidR="009E4108" w:rsidRPr="00D64144">
        <w:rPr>
          <w:rStyle w:val="hps"/>
          <w:rFonts w:eastAsiaTheme="majorEastAsia" w:cstheme="minorHAnsi"/>
          <w:color w:val="333333"/>
          <w:sz w:val="24"/>
          <w:szCs w:val="24"/>
        </w:rPr>
        <w:t>.</w:t>
      </w:r>
      <w:r w:rsidR="007A4DDC" w:rsidRPr="00D64144">
        <w:rPr>
          <w:rStyle w:val="hps"/>
          <w:rFonts w:eastAsiaTheme="majorEastAsia" w:cstheme="minorHAnsi"/>
          <w:color w:val="333333"/>
          <w:sz w:val="24"/>
          <w:szCs w:val="24"/>
        </w:rPr>
        <w:t xml:space="preserve"> Les opportunités de formation </w:t>
      </w:r>
      <w:r w:rsidR="00E43D72" w:rsidRPr="00D64144">
        <w:rPr>
          <w:rStyle w:val="hps"/>
          <w:rFonts w:eastAsiaTheme="majorEastAsia" w:cstheme="minorHAnsi"/>
          <w:color w:val="333333"/>
          <w:sz w:val="24"/>
          <w:szCs w:val="24"/>
        </w:rPr>
        <w:t xml:space="preserve">et de nomination aux postes de responsabilité </w:t>
      </w:r>
      <w:r w:rsidR="00D4241C" w:rsidRPr="00D64144">
        <w:rPr>
          <w:rStyle w:val="hps"/>
          <w:rFonts w:eastAsiaTheme="majorEastAsia" w:cstheme="minorHAnsi"/>
          <w:color w:val="333333"/>
          <w:sz w:val="24"/>
          <w:szCs w:val="24"/>
        </w:rPr>
        <w:t xml:space="preserve">et les conditions de participation explicites </w:t>
      </w:r>
      <w:r w:rsidR="007A4DDC" w:rsidRPr="00D64144">
        <w:rPr>
          <w:rStyle w:val="hps"/>
          <w:rFonts w:eastAsiaTheme="majorEastAsia" w:cstheme="minorHAnsi"/>
          <w:color w:val="333333"/>
          <w:sz w:val="24"/>
          <w:szCs w:val="24"/>
        </w:rPr>
        <w:t>doivent être portées à la connaissance des potentiels bénéficiaires.</w:t>
      </w:r>
    </w:p>
    <w:p w14:paraId="14FE1190" w14:textId="77777777" w:rsidR="005919B9" w:rsidRPr="00D64144" w:rsidRDefault="005919B9"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 xml:space="preserve">Le genre : </w:t>
      </w:r>
      <w:r w:rsidR="009E4108" w:rsidRPr="00D64144">
        <w:rPr>
          <w:rStyle w:val="hps"/>
          <w:rFonts w:eastAsiaTheme="majorEastAsia" w:cstheme="minorHAnsi"/>
          <w:color w:val="333333"/>
          <w:sz w:val="24"/>
          <w:szCs w:val="24"/>
        </w:rPr>
        <w:t>la parité des sexes sera systématiquement recherchée pendant le recrutement et la nomination aux postes de responsabilité</w:t>
      </w:r>
      <w:r w:rsidR="004E38A4" w:rsidRPr="00D64144">
        <w:rPr>
          <w:rStyle w:val="hps"/>
          <w:rFonts w:eastAsiaTheme="majorEastAsia" w:cstheme="minorHAnsi"/>
          <w:color w:val="333333"/>
          <w:sz w:val="24"/>
          <w:szCs w:val="24"/>
        </w:rPr>
        <w:t>.</w:t>
      </w:r>
    </w:p>
    <w:p w14:paraId="71F476BC" w14:textId="77777777" w:rsidR="007A4DDC" w:rsidRPr="00D64144" w:rsidRDefault="007A4DDC"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Le respect de l’éthique et de la déontologie professionnelle.</w:t>
      </w:r>
    </w:p>
    <w:p w14:paraId="4A7BF7B1" w14:textId="77777777" w:rsidR="00E43D72" w:rsidRPr="00D64144" w:rsidRDefault="00E43D72" w:rsidP="004D046C">
      <w:pPr>
        <w:pStyle w:val="Paragraphedeliste"/>
        <w:numPr>
          <w:ilvl w:val="0"/>
          <w:numId w:val="7"/>
        </w:numPr>
        <w:spacing w:after="0" w:line="240" w:lineRule="auto"/>
        <w:ind w:left="851" w:hanging="425"/>
        <w:jc w:val="both"/>
        <w:rPr>
          <w:rStyle w:val="hps"/>
          <w:rFonts w:eastAsiaTheme="majorEastAsia" w:cstheme="minorHAnsi"/>
          <w:color w:val="333333"/>
          <w:sz w:val="24"/>
          <w:szCs w:val="24"/>
        </w:rPr>
      </w:pPr>
      <w:r w:rsidRPr="00D64144">
        <w:rPr>
          <w:rStyle w:val="hps"/>
          <w:rFonts w:eastAsiaTheme="majorEastAsia" w:cstheme="minorHAnsi"/>
          <w:color w:val="333333"/>
          <w:sz w:val="24"/>
          <w:szCs w:val="24"/>
        </w:rPr>
        <w:t xml:space="preserve">Le respect des droits individuels et professionnels de tous le personnel, notamment le droit à un environnement de travail décent et sûr, à la formation, sans discrimination ni coercition. </w:t>
      </w:r>
    </w:p>
    <w:p w14:paraId="10DA22A3" w14:textId="77777777" w:rsidR="001666DC" w:rsidRPr="00D52E18" w:rsidRDefault="005302A3" w:rsidP="004D046C">
      <w:pPr>
        <w:pStyle w:val="Titre2"/>
        <w:numPr>
          <w:ilvl w:val="1"/>
          <w:numId w:val="5"/>
        </w:numPr>
        <w:spacing w:after="240"/>
        <w:ind w:left="1134" w:hanging="709"/>
        <w:rPr>
          <w:sz w:val="28"/>
          <w:szCs w:val="28"/>
        </w:rPr>
      </w:pPr>
      <w:bookmarkStart w:id="36" w:name="_Toc21586247"/>
      <w:r w:rsidRPr="00D52E18">
        <w:rPr>
          <w:sz w:val="28"/>
          <w:szCs w:val="28"/>
        </w:rPr>
        <w:t>O</w:t>
      </w:r>
      <w:r w:rsidR="00B94E34" w:rsidRPr="00D52E18">
        <w:rPr>
          <w:sz w:val="28"/>
          <w:szCs w:val="28"/>
        </w:rPr>
        <w:t>bjectifs</w:t>
      </w:r>
      <w:bookmarkEnd w:id="36"/>
    </w:p>
    <w:p w14:paraId="1B6F78D2" w14:textId="77777777" w:rsidR="000654C0" w:rsidRPr="00D52E18" w:rsidRDefault="000654C0" w:rsidP="004D046C">
      <w:pPr>
        <w:pStyle w:val="Titre2"/>
        <w:numPr>
          <w:ilvl w:val="2"/>
          <w:numId w:val="5"/>
        </w:numPr>
        <w:spacing w:after="120"/>
        <w:ind w:left="1985" w:hanging="851"/>
        <w:rPr>
          <w:sz w:val="28"/>
          <w:szCs w:val="28"/>
        </w:rPr>
      </w:pPr>
      <w:bookmarkStart w:id="37" w:name="_Toc21586248"/>
      <w:r w:rsidRPr="00D52E18">
        <w:rPr>
          <w:sz w:val="28"/>
          <w:szCs w:val="28"/>
        </w:rPr>
        <w:t>Objectif général</w:t>
      </w:r>
      <w:bookmarkEnd w:id="37"/>
    </w:p>
    <w:p w14:paraId="1E7ACD35" w14:textId="77777777" w:rsidR="000654C0" w:rsidRPr="00D64144" w:rsidRDefault="000654C0" w:rsidP="000654C0">
      <w:pPr>
        <w:jc w:val="both"/>
        <w:rPr>
          <w:sz w:val="24"/>
          <w:szCs w:val="24"/>
        </w:rPr>
      </w:pPr>
      <w:r w:rsidRPr="00D64144">
        <w:rPr>
          <w:sz w:val="24"/>
          <w:szCs w:val="24"/>
        </w:rPr>
        <w:t xml:space="preserve">Garantir la disponibilité en quantité et en qualité </w:t>
      </w:r>
      <w:r w:rsidR="00930A1E" w:rsidRPr="00D64144">
        <w:rPr>
          <w:sz w:val="24"/>
          <w:szCs w:val="24"/>
        </w:rPr>
        <w:t>adéqua</w:t>
      </w:r>
      <w:r w:rsidRPr="00D64144">
        <w:rPr>
          <w:sz w:val="24"/>
          <w:szCs w:val="24"/>
        </w:rPr>
        <w:t xml:space="preserve">tes, à tous les </w:t>
      </w:r>
      <w:r w:rsidR="00930A1E" w:rsidRPr="00D64144">
        <w:rPr>
          <w:sz w:val="24"/>
          <w:szCs w:val="24"/>
        </w:rPr>
        <w:t>postes</w:t>
      </w:r>
      <w:r w:rsidRPr="00D64144">
        <w:rPr>
          <w:sz w:val="24"/>
          <w:szCs w:val="24"/>
        </w:rPr>
        <w:t xml:space="preserve"> professionnels</w:t>
      </w:r>
      <w:r w:rsidRPr="00D64144">
        <w:rPr>
          <w:spacing w:val="-13"/>
          <w:sz w:val="24"/>
          <w:szCs w:val="24"/>
        </w:rPr>
        <w:t xml:space="preserve"> </w:t>
      </w:r>
      <w:r w:rsidRPr="00D64144">
        <w:rPr>
          <w:sz w:val="24"/>
          <w:szCs w:val="24"/>
        </w:rPr>
        <w:t>et</w:t>
      </w:r>
      <w:r w:rsidRPr="00D64144">
        <w:rPr>
          <w:spacing w:val="-14"/>
          <w:sz w:val="24"/>
          <w:szCs w:val="24"/>
        </w:rPr>
        <w:t xml:space="preserve"> </w:t>
      </w:r>
      <w:r w:rsidRPr="00D64144">
        <w:rPr>
          <w:sz w:val="24"/>
          <w:szCs w:val="24"/>
        </w:rPr>
        <w:t>techniques,</w:t>
      </w:r>
      <w:r w:rsidRPr="00D64144">
        <w:rPr>
          <w:spacing w:val="-15"/>
          <w:sz w:val="24"/>
          <w:szCs w:val="24"/>
        </w:rPr>
        <w:t xml:space="preserve"> </w:t>
      </w:r>
      <w:r w:rsidR="00BF07D9" w:rsidRPr="00D64144">
        <w:rPr>
          <w:sz w:val="24"/>
          <w:szCs w:val="24"/>
        </w:rPr>
        <w:t>au</w:t>
      </w:r>
      <w:r w:rsidRPr="00D64144">
        <w:rPr>
          <w:spacing w:val="-12"/>
          <w:sz w:val="24"/>
          <w:szCs w:val="24"/>
        </w:rPr>
        <w:t xml:space="preserve"> </w:t>
      </w:r>
      <w:r w:rsidRPr="00D64144">
        <w:rPr>
          <w:sz w:val="24"/>
          <w:szCs w:val="24"/>
        </w:rPr>
        <w:t>moment</w:t>
      </w:r>
      <w:r w:rsidRPr="00D64144">
        <w:rPr>
          <w:spacing w:val="-12"/>
          <w:sz w:val="24"/>
          <w:szCs w:val="24"/>
        </w:rPr>
        <w:t xml:space="preserve"> </w:t>
      </w:r>
      <w:r w:rsidRPr="00D64144">
        <w:rPr>
          <w:sz w:val="24"/>
          <w:szCs w:val="24"/>
        </w:rPr>
        <w:t>opportun,</w:t>
      </w:r>
      <w:r w:rsidRPr="00D64144">
        <w:rPr>
          <w:spacing w:val="43"/>
          <w:sz w:val="24"/>
          <w:szCs w:val="24"/>
        </w:rPr>
        <w:t xml:space="preserve"> </w:t>
      </w:r>
      <w:r w:rsidRPr="00D64144">
        <w:rPr>
          <w:sz w:val="24"/>
          <w:szCs w:val="24"/>
        </w:rPr>
        <w:t>de</w:t>
      </w:r>
      <w:r w:rsidRPr="00D64144">
        <w:rPr>
          <w:spacing w:val="-16"/>
          <w:sz w:val="24"/>
          <w:szCs w:val="24"/>
        </w:rPr>
        <w:t xml:space="preserve"> </w:t>
      </w:r>
      <w:r w:rsidRPr="00D64144">
        <w:rPr>
          <w:sz w:val="24"/>
          <w:szCs w:val="24"/>
        </w:rPr>
        <w:t>travailleurs de</w:t>
      </w:r>
      <w:r w:rsidRPr="00D64144">
        <w:rPr>
          <w:spacing w:val="-8"/>
          <w:sz w:val="24"/>
          <w:szCs w:val="24"/>
        </w:rPr>
        <w:t xml:space="preserve"> </w:t>
      </w:r>
      <w:r w:rsidRPr="00D64144">
        <w:rPr>
          <w:sz w:val="24"/>
          <w:szCs w:val="24"/>
        </w:rPr>
        <w:t>la</w:t>
      </w:r>
      <w:r w:rsidRPr="00D64144">
        <w:rPr>
          <w:spacing w:val="-5"/>
          <w:sz w:val="24"/>
          <w:szCs w:val="24"/>
        </w:rPr>
        <w:t xml:space="preserve"> </w:t>
      </w:r>
      <w:r w:rsidRPr="00D64144">
        <w:rPr>
          <w:sz w:val="24"/>
          <w:szCs w:val="24"/>
        </w:rPr>
        <w:t>santé</w:t>
      </w:r>
      <w:r w:rsidRPr="00D64144">
        <w:rPr>
          <w:spacing w:val="-8"/>
          <w:sz w:val="24"/>
          <w:szCs w:val="24"/>
        </w:rPr>
        <w:t xml:space="preserve"> </w:t>
      </w:r>
      <w:r w:rsidRPr="00D64144">
        <w:rPr>
          <w:sz w:val="24"/>
          <w:szCs w:val="24"/>
        </w:rPr>
        <w:t>bien</w:t>
      </w:r>
      <w:r w:rsidRPr="00D64144">
        <w:rPr>
          <w:spacing w:val="-4"/>
          <w:sz w:val="24"/>
          <w:szCs w:val="24"/>
        </w:rPr>
        <w:t xml:space="preserve"> </w:t>
      </w:r>
      <w:r w:rsidRPr="00D64144">
        <w:rPr>
          <w:sz w:val="24"/>
          <w:szCs w:val="24"/>
        </w:rPr>
        <w:t>motivés</w:t>
      </w:r>
      <w:r w:rsidR="001D738E" w:rsidRPr="00D64144">
        <w:rPr>
          <w:sz w:val="24"/>
          <w:szCs w:val="24"/>
        </w:rPr>
        <w:t>,</w:t>
      </w:r>
      <w:r w:rsidRPr="00D64144">
        <w:rPr>
          <w:spacing w:val="-7"/>
          <w:sz w:val="24"/>
          <w:szCs w:val="24"/>
        </w:rPr>
        <w:t xml:space="preserve"> </w:t>
      </w:r>
      <w:r w:rsidR="009C7F54" w:rsidRPr="00D64144">
        <w:rPr>
          <w:spacing w:val="-7"/>
          <w:sz w:val="24"/>
          <w:szCs w:val="24"/>
        </w:rPr>
        <w:t xml:space="preserve">engagés </w:t>
      </w:r>
      <w:r w:rsidR="001D738E" w:rsidRPr="00D64144">
        <w:rPr>
          <w:spacing w:val="-7"/>
          <w:sz w:val="24"/>
          <w:szCs w:val="24"/>
        </w:rPr>
        <w:t xml:space="preserve">individuellement et collectivement </w:t>
      </w:r>
      <w:r w:rsidR="009C7F54" w:rsidRPr="00D64144">
        <w:rPr>
          <w:spacing w:val="-7"/>
          <w:sz w:val="24"/>
          <w:szCs w:val="24"/>
        </w:rPr>
        <w:t>à</w:t>
      </w:r>
      <w:r w:rsidRPr="00D64144">
        <w:rPr>
          <w:spacing w:val="-7"/>
          <w:sz w:val="24"/>
          <w:szCs w:val="24"/>
        </w:rPr>
        <w:t xml:space="preserve"> </w:t>
      </w:r>
      <w:r w:rsidRPr="00D64144">
        <w:rPr>
          <w:sz w:val="24"/>
          <w:szCs w:val="24"/>
        </w:rPr>
        <w:t>remplir</w:t>
      </w:r>
      <w:r w:rsidRPr="00D64144">
        <w:rPr>
          <w:spacing w:val="-4"/>
          <w:sz w:val="24"/>
          <w:szCs w:val="24"/>
        </w:rPr>
        <w:t xml:space="preserve"> </w:t>
      </w:r>
      <w:r w:rsidRPr="00D64144">
        <w:rPr>
          <w:sz w:val="24"/>
          <w:szCs w:val="24"/>
        </w:rPr>
        <w:t>leurs</w:t>
      </w:r>
      <w:r w:rsidRPr="00D64144">
        <w:rPr>
          <w:spacing w:val="-4"/>
          <w:sz w:val="24"/>
          <w:szCs w:val="24"/>
        </w:rPr>
        <w:t xml:space="preserve"> </w:t>
      </w:r>
      <w:r w:rsidRPr="00D64144">
        <w:rPr>
          <w:sz w:val="24"/>
          <w:szCs w:val="24"/>
        </w:rPr>
        <w:t>fonctions</w:t>
      </w:r>
      <w:r w:rsidR="00A54A6D" w:rsidRPr="00D64144">
        <w:rPr>
          <w:sz w:val="24"/>
          <w:szCs w:val="24"/>
        </w:rPr>
        <w:t>.</w:t>
      </w:r>
    </w:p>
    <w:p w14:paraId="681F3794" w14:textId="77777777" w:rsidR="00930A1E" w:rsidRDefault="00930A1E" w:rsidP="004D046C">
      <w:pPr>
        <w:pStyle w:val="Titre2"/>
        <w:numPr>
          <w:ilvl w:val="2"/>
          <w:numId w:val="5"/>
        </w:numPr>
        <w:spacing w:after="120"/>
        <w:ind w:left="1985" w:hanging="851"/>
        <w:rPr>
          <w:sz w:val="28"/>
          <w:szCs w:val="28"/>
        </w:rPr>
      </w:pPr>
      <w:bookmarkStart w:id="38" w:name="_Toc21586249"/>
      <w:r w:rsidRPr="00D52E18">
        <w:rPr>
          <w:sz w:val="28"/>
          <w:szCs w:val="28"/>
        </w:rPr>
        <w:t>Objectif</w:t>
      </w:r>
      <w:r w:rsidR="00385CD9">
        <w:rPr>
          <w:sz w:val="28"/>
          <w:szCs w:val="28"/>
        </w:rPr>
        <w:t>s</w:t>
      </w:r>
      <w:r w:rsidRPr="00D52E18">
        <w:rPr>
          <w:sz w:val="28"/>
          <w:szCs w:val="28"/>
        </w:rPr>
        <w:t xml:space="preserve"> </w:t>
      </w:r>
      <w:r w:rsidR="00385CD9">
        <w:rPr>
          <w:sz w:val="28"/>
          <w:szCs w:val="28"/>
        </w:rPr>
        <w:t>spécifiques</w:t>
      </w:r>
      <w:bookmarkEnd w:id="38"/>
    </w:p>
    <w:p w14:paraId="10A413FE" w14:textId="77777777" w:rsidR="00BF07D9" w:rsidRPr="00D64144" w:rsidRDefault="00BF07D9" w:rsidP="004D046C">
      <w:pPr>
        <w:pStyle w:val="Paragraphedeliste"/>
        <w:numPr>
          <w:ilvl w:val="0"/>
          <w:numId w:val="7"/>
        </w:numPr>
        <w:spacing w:after="0" w:line="240" w:lineRule="auto"/>
        <w:ind w:left="851" w:hanging="425"/>
        <w:jc w:val="both"/>
        <w:rPr>
          <w:sz w:val="24"/>
          <w:szCs w:val="24"/>
        </w:rPr>
      </w:pPr>
      <w:r w:rsidRPr="00D64144">
        <w:rPr>
          <w:sz w:val="24"/>
          <w:szCs w:val="24"/>
        </w:rPr>
        <w:t>D</w:t>
      </w:r>
      <w:r w:rsidR="00D8005F" w:rsidRPr="00D64144">
        <w:rPr>
          <w:sz w:val="24"/>
          <w:szCs w:val="24"/>
        </w:rPr>
        <w:t>oter le Ministère de la santé des capacités de prévision des besoin</w:t>
      </w:r>
      <w:r w:rsidRPr="00D64144">
        <w:rPr>
          <w:sz w:val="24"/>
          <w:szCs w:val="24"/>
        </w:rPr>
        <w:t>s</w:t>
      </w:r>
      <w:r w:rsidR="00D8005F" w:rsidRPr="00D64144">
        <w:rPr>
          <w:sz w:val="24"/>
          <w:szCs w:val="24"/>
        </w:rPr>
        <w:t xml:space="preserve"> en RHS pour le pays</w:t>
      </w:r>
      <w:r w:rsidRPr="00D64144">
        <w:rPr>
          <w:sz w:val="24"/>
          <w:szCs w:val="24"/>
        </w:rPr>
        <w:t xml:space="preserve">; </w:t>
      </w:r>
    </w:p>
    <w:p w14:paraId="019FA7FB" w14:textId="77777777" w:rsidR="00B91ECF" w:rsidRPr="00D64144" w:rsidRDefault="00B91ECF" w:rsidP="004D046C">
      <w:pPr>
        <w:pStyle w:val="Paragraphedeliste"/>
        <w:numPr>
          <w:ilvl w:val="0"/>
          <w:numId w:val="7"/>
        </w:numPr>
        <w:spacing w:after="0" w:line="240" w:lineRule="auto"/>
        <w:ind w:left="851" w:hanging="425"/>
        <w:jc w:val="both"/>
        <w:rPr>
          <w:color w:val="FF0000"/>
          <w:sz w:val="24"/>
          <w:szCs w:val="24"/>
        </w:rPr>
      </w:pPr>
      <w:r w:rsidRPr="00D64144">
        <w:rPr>
          <w:sz w:val="24"/>
          <w:szCs w:val="24"/>
        </w:rPr>
        <w:t xml:space="preserve">Aligner les formations (initiale, continue et de spécialisation) sur les besoins du secteur de la </w:t>
      </w:r>
      <w:r w:rsidR="00B36FD4" w:rsidRPr="00D64144">
        <w:rPr>
          <w:sz w:val="24"/>
          <w:szCs w:val="24"/>
        </w:rPr>
        <w:t>santé en ressources humaines grâce à l’engagement des parties prenantes du système éducatif</w:t>
      </w:r>
      <w:r w:rsidR="001E3212" w:rsidRPr="00D64144">
        <w:rPr>
          <w:sz w:val="24"/>
          <w:szCs w:val="24"/>
        </w:rPr>
        <w:t> ;</w:t>
      </w:r>
    </w:p>
    <w:p w14:paraId="64FBFE34" w14:textId="77777777" w:rsidR="00B36FD4" w:rsidRPr="00D64144" w:rsidRDefault="00B36FD4" w:rsidP="004D046C">
      <w:pPr>
        <w:pStyle w:val="Paragraphedeliste"/>
        <w:numPr>
          <w:ilvl w:val="0"/>
          <w:numId w:val="7"/>
        </w:numPr>
        <w:spacing w:after="0" w:line="240" w:lineRule="auto"/>
        <w:ind w:left="851" w:hanging="425"/>
        <w:jc w:val="both"/>
        <w:rPr>
          <w:sz w:val="24"/>
          <w:szCs w:val="24"/>
        </w:rPr>
      </w:pPr>
      <w:r w:rsidRPr="00D64144">
        <w:rPr>
          <w:sz w:val="24"/>
          <w:szCs w:val="24"/>
        </w:rPr>
        <w:t xml:space="preserve">Aligner les procédures et pratiques des parties prenantes de la gestion des </w:t>
      </w:r>
      <w:r w:rsidR="0011268A" w:rsidRPr="00D64144">
        <w:rPr>
          <w:sz w:val="24"/>
          <w:szCs w:val="24"/>
        </w:rPr>
        <w:t>ressources humaines</w:t>
      </w:r>
      <w:r w:rsidRPr="00D64144">
        <w:rPr>
          <w:sz w:val="24"/>
          <w:szCs w:val="24"/>
        </w:rPr>
        <w:t xml:space="preserve"> sur les besoins </w:t>
      </w:r>
      <w:r w:rsidR="0011268A" w:rsidRPr="00D64144">
        <w:rPr>
          <w:sz w:val="24"/>
          <w:szCs w:val="24"/>
        </w:rPr>
        <w:t xml:space="preserve">spécifiques </w:t>
      </w:r>
      <w:r w:rsidR="001E3212" w:rsidRPr="00D64144">
        <w:rPr>
          <w:sz w:val="24"/>
          <w:szCs w:val="24"/>
        </w:rPr>
        <w:t>d</w:t>
      </w:r>
      <w:r w:rsidRPr="00D64144">
        <w:rPr>
          <w:sz w:val="24"/>
          <w:szCs w:val="24"/>
        </w:rPr>
        <w:t xml:space="preserve">u secteur de la santé </w:t>
      </w:r>
      <w:r w:rsidR="0011268A" w:rsidRPr="00D64144">
        <w:rPr>
          <w:sz w:val="24"/>
          <w:szCs w:val="24"/>
        </w:rPr>
        <w:t>en termes de mobilisation et gestion des RHS</w:t>
      </w:r>
      <w:r w:rsidR="001E3212" w:rsidRPr="00D64144">
        <w:rPr>
          <w:sz w:val="24"/>
          <w:szCs w:val="24"/>
        </w:rPr>
        <w:t> ;</w:t>
      </w:r>
    </w:p>
    <w:p w14:paraId="32540FAC" w14:textId="77777777" w:rsidR="00B36FD4" w:rsidRPr="00D64144" w:rsidRDefault="00B36FD4" w:rsidP="004D046C">
      <w:pPr>
        <w:pStyle w:val="Paragraphedeliste"/>
        <w:numPr>
          <w:ilvl w:val="0"/>
          <w:numId w:val="7"/>
        </w:numPr>
        <w:spacing w:after="0" w:line="240" w:lineRule="auto"/>
        <w:ind w:left="851" w:hanging="425"/>
        <w:jc w:val="both"/>
        <w:rPr>
          <w:sz w:val="20"/>
          <w:szCs w:val="20"/>
        </w:rPr>
      </w:pPr>
      <w:r w:rsidRPr="00D64144">
        <w:rPr>
          <w:sz w:val="24"/>
          <w:szCs w:val="24"/>
        </w:rPr>
        <w:t xml:space="preserve">Obtenir des décideurs </w:t>
      </w:r>
      <w:r w:rsidR="001E3212" w:rsidRPr="00D64144">
        <w:rPr>
          <w:sz w:val="24"/>
          <w:szCs w:val="24"/>
        </w:rPr>
        <w:t xml:space="preserve">(à tous les niveaux) </w:t>
      </w:r>
      <w:r w:rsidRPr="00D64144">
        <w:rPr>
          <w:sz w:val="24"/>
          <w:szCs w:val="24"/>
        </w:rPr>
        <w:t xml:space="preserve">et autres parties prenantes les régulations </w:t>
      </w:r>
      <w:r w:rsidR="00793C75" w:rsidRPr="00D64144">
        <w:rPr>
          <w:sz w:val="24"/>
          <w:szCs w:val="24"/>
        </w:rPr>
        <w:t xml:space="preserve">et appuis </w:t>
      </w:r>
      <w:r w:rsidRPr="00D64144">
        <w:rPr>
          <w:sz w:val="24"/>
          <w:szCs w:val="24"/>
        </w:rPr>
        <w:t>nécessaires à la production et à la gestion des RHS en cohérence avec les besoins en RH du système de santé</w:t>
      </w:r>
      <w:r w:rsidR="002B4445" w:rsidRPr="00D64144">
        <w:rPr>
          <w:sz w:val="24"/>
          <w:szCs w:val="24"/>
        </w:rPr>
        <w:t>.</w:t>
      </w:r>
    </w:p>
    <w:p w14:paraId="5DEA054F" w14:textId="77777777" w:rsidR="00346382" w:rsidRDefault="005302A3" w:rsidP="004D046C">
      <w:pPr>
        <w:pStyle w:val="Titre2"/>
        <w:numPr>
          <w:ilvl w:val="1"/>
          <w:numId w:val="5"/>
        </w:numPr>
        <w:spacing w:after="240"/>
        <w:ind w:left="1134" w:hanging="709"/>
        <w:rPr>
          <w:sz w:val="28"/>
          <w:szCs w:val="28"/>
        </w:rPr>
      </w:pPr>
      <w:bookmarkStart w:id="39" w:name="_Toc21586250"/>
      <w:r w:rsidRPr="00D52E18">
        <w:rPr>
          <w:sz w:val="28"/>
          <w:szCs w:val="28"/>
        </w:rPr>
        <w:t>Axe</w:t>
      </w:r>
      <w:r w:rsidR="00B94E34" w:rsidRPr="00D52E18">
        <w:rPr>
          <w:sz w:val="28"/>
          <w:szCs w:val="28"/>
        </w:rPr>
        <w:t>s stratégiques</w:t>
      </w:r>
      <w:bookmarkEnd w:id="39"/>
    </w:p>
    <w:p w14:paraId="75DAA101" w14:textId="77777777" w:rsidR="00A7387B" w:rsidRPr="00D64144" w:rsidRDefault="00E10B48" w:rsidP="00A7387B">
      <w:pPr>
        <w:spacing w:after="120" w:line="240" w:lineRule="auto"/>
        <w:jc w:val="both"/>
        <w:rPr>
          <w:bCs/>
          <w:iCs/>
          <w:sz w:val="24"/>
          <w:szCs w:val="24"/>
        </w:rPr>
      </w:pPr>
      <w:r w:rsidRPr="00D64144">
        <w:rPr>
          <w:bCs/>
          <w:iCs/>
          <w:sz w:val="24"/>
          <w:szCs w:val="24"/>
        </w:rPr>
        <w:t>Les objectifs ci-dessus seront atteints en développant les interventions ciblées sous les axes stratégiques ci-après.</w:t>
      </w:r>
    </w:p>
    <w:p w14:paraId="5F5FA67C" w14:textId="77777777" w:rsidR="001D299F" w:rsidRPr="006A0EC1" w:rsidRDefault="001D299F" w:rsidP="004D046C">
      <w:pPr>
        <w:pStyle w:val="Titre2"/>
        <w:numPr>
          <w:ilvl w:val="2"/>
          <w:numId w:val="5"/>
        </w:numPr>
        <w:spacing w:after="120"/>
        <w:ind w:left="1985" w:hanging="851"/>
        <w:rPr>
          <w:sz w:val="28"/>
          <w:szCs w:val="28"/>
        </w:rPr>
      </w:pPr>
      <w:bookmarkStart w:id="40" w:name="_Toc21586251"/>
      <w:r w:rsidRPr="006A0EC1">
        <w:rPr>
          <w:sz w:val="28"/>
          <w:szCs w:val="28"/>
        </w:rPr>
        <w:t xml:space="preserve">Renforcement du cadre et des capacités </w:t>
      </w:r>
      <w:r w:rsidR="000107A0" w:rsidRPr="006A0EC1">
        <w:rPr>
          <w:sz w:val="28"/>
          <w:szCs w:val="28"/>
        </w:rPr>
        <w:t>institutionnel</w:t>
      </w:r>
      <w:r w:rsidR="00E15546">
        <w:rPr>
          <w:sz w:val="28"/>
          <w:szCs w:val="28"/>
        </w:rPr>
        <w:t>le</w:t>
      </w:r>
      <w:r w:rsidRPr="006A0EC1">
        <w:rPr>
          <w:sz w:val="28"/>
          <w:szCs w:val="28"/>
        </w:rPr>
        <w:t>s de planification du développement des RHS</w:t>
      </w:r>
      <w:bookmarkEnd w:id="40"/>
      <w:r w:rsidRPr="006A0EC1">
        <w:rPr>
          <w:sz w:val="28"/>
          <w:szCs w:val="28"/>
        </w:rPr>
        <w:t xml:space="preserve"> </w:t>
      </w:r>
    </w:p>
    <w:p w14:paraId="7382DE73" w14:textId="77777777" w:rsidR="00C25BEE" w:rsidRPr="00D64144" w:rsidRDefault="00491472" w:rsidP="00C25BEE">
      <w:pPr>
        <w:jc w:val="both"/>
        <w:rPr>
          <w:bCs/>
          <w:iCs/>
          <w:sz w:val="24"/>
          <w:szCs w:val="24"/>
        </w:rPr>
      </w:pPr>
      <w:r w:rsidRPr="00D64144">
        <w:rPr>
          <w:bCs/>
          <w:iCs/>
          <w:sz w:val="24"/>
          <w:szCs w:val="24"/>
        </w:rPr>
        <w:t xml:space="preserve">La planification </w:t>
      </w:r>
      <w:r w:rsidR="003D4BD9" w:rsidRPr="00D64144">
        <w:rPr>
          <w:bCs/>
          <w:iCs/>
          <w:sz w:val="24"/>
          <w:szCs w:val="24"/>
        </w:rPr>
        <w:t xml:space="preserve">du </w:t>
      </w:r>
      <w:r w:rsidRPr="00D64144">
        <w:rPr>
          <w:bCs/>
          <w:iCs/>
          <w:sz w:val="24"/>
          <w:szCs w:val="24"/>
        </w:rPr>
        <w:t xml:space="preserve">développement des RHS consiste </w:t>
      </w:r>
      <w:r w:rsidR="008E1052" w:rsidRPr="00D64144">
        <w:rPr>
          <w:bCs/>
          <w:iCs/>
          <w:sz w:val="24"/>
          <w:szCs w:val="24"/>
        </w:rPr>
        <w:t>en</w:t>
      </w:r>
      <w:r w:rsidRPr="00D64144">
        <w:rPr>
          <w:bCs/>
          <w:iCs/>
          <w:sz w:val="24"/>
          <w:szCs w:val="24"/>
        </w:rPr>
        <w:t xml:space="preserve"> </w:t>
      </w:r>
      <w:r w:rsidR="008E1052" w:rsidRPr="00D64144">
        <w:rPr>
          <w:bCs/>
          <w:iCs/>
          <w:sz w:val="24"/>
          <w:szCs w:val="24"/>
        </w:rPr>
        <w:t>un processus d’</w:t>
      </w:r>
      <w:r w:rsidRPr="00D64144">
        <w:rPr>
          <w:bCs/>
          <w:iCs/>
          <w:sz w:val="24"/>
          <w:szCs w:val="24"/>
        </w:rPr>
        <w:t>anticip</w:t>
      </w:r>
      <w:r w:rsidR="008E1052" w:rsidRPr="00D64144">
        <w:rPr>
          <w:bCs/>
          <w:iCs/>
          <w:sz w:val="24"/>
          <w:szCs w:val="24"/>
        </w:rPr>
        <w:t>ation d</w:t>
      </w:r>
      <w:r w:rsidRPr="00D64144">
        <w:rPr>
          <w:bCs/>
          <w:iCs/>
          <w:sz w:val="24"/>
          <w:szCs w:val="24"/>
        </w:rPr>
        <w:t>e</w:t>
      </w:r>
      <w:r w:rsidR="008E1052" w:rsidRPr="00D64144">
        <w:rPr>
          <w:bCs/>
          <w:iCs/>
          <w:sz w:val="24"/>
          <w:szCs w:val="24"/>
        </w:rPr>
        <w:t xml:space="preserve">s besoins </w:t>
      </w:r>
      <w:r w:rsidR="00190758" w:rsidRPr="00D64144">
        <w:rPr>
          <w:bCs/>
          <w:iCs/>
          <w:sz w:val="24"/>
          <w:szCs w:val="24"/>
        </w:rPr>
        <w:t xml:space="preserve">présents et à venir </w:t>
      </w:r>
      <w:r w:rsidR="008E1052" w:rsidRPr="00D64144">
        <w:rPr>
          <w:bCs/>
          <w:iCs/>
          <w:sz w:val="24"/>
          <w:szCs w:val="24"/>
        </w:rPr>
        <w:t xml:space="preserve">en ressources humaines et </w:t>
      </w:r>
      <w:r w:rsidR="00190758" w:rsidRPr="00D64144">
        <w:rPr>
          <w:bCs/>
          <w:iCs/>
          <w:sz w:val="24"/>
          <w:szCs w:val="24"/>
        </w:rPr>
        <w:t xml:space="preserve">de </w:t>
      </w:r>
      <w:r w:rsidR="008E1052" w:rsidRPr="00D64144">
        <w:rPr>
          <w:bCs/>
          <w:iCs/>
          <w:sz w:val="24"/>
          <w:szCs w:val="24"/>
        </w:rPr>
        <w:t>propos</w:t>
      </w:r>
      <w:r w:rsidR="00190758" w:rsidRPr="00D64144">
        <w:rPr>
          <w:bCs/>
          <w:iCs/>
          <w:sz w:val="24"/>
          <w:szCs w:val="24"/>
        </w:rPr>
        <w:t>ition</w:t>
      </w:r>
      <w:r w:rsidR="008E1052" w:rsidRPr="00D64144">
        <w:rPr>
          <w:bCs/>
          <w:iCs/>
          <w:sz w:val="24"/>
          <w:szCs w:val="24"/>
        </w:rPr>
        <w:t xml:space="preserve"> de stratégies pour leur production et leur utilisation</w:t>
      </w:r>
      <w:r w:rsidRPr="00D64144">
        <w:rPr>
          <w:bCs/>
          <w:iCs/>
          <w:sz w:val="24"/>
          <w:szCs w:val="24"/>
        </w:rPr>
        <w:t>, s</w:t>
      </w:r>
      <w:r w:rsidR="00A7387B" w:rsidRPr="00D64144">
        <w:rPr>
          <w:bCs/>
          <w:iCs/>
          <w:sz w:val="24"/>
          <w:szCs w:val="24"/>
        </w:rPr>
        <w:t xml:space="preserve">ur la base des besoins de santé actuels et </w:t>
      </w:r>
      <w:r w:rsidR="00D27892" w:rsidRPr="00D64144">
        <w:rPr>
          <w:bCs/>
          <w:iCs/>
          <w:sz w:val="24"/>
          <w:szCs w:val="24"/>
        </w:rPr>
        <w:t xml:space="preserve">futurs </w:t>
      </w:r>
      <w:r w:rsidR="00A7387B" w:rsidRPr="00D64144">
        <w:rPr>
          <w:bCs/>
          <w:iCs/>
          <w:sz w:val="24"/>
          <w:szCs w:val="24"/>
        </w:rPr>
        <w:t>prévisibles</w:t>
      </w:r>
      <w:r w:rsidR="00D27892" w:rsidRPr="00D64144">
        <w:rPr>
          <w:bCs/>
          <w:iCs/>
          <w:sz w:val="24"/>
          <w:szCs w:val="24"/>
        </w:rPr>
        <w:t>,</w:t>
      </w:r>
      <w:r w:rsidR="00A7387B" w:rsidRPr="00D64144">
        <w:rPr>
          <w:bCs/>
          <w:iCs/>
          <w:sz w:val="24"/>
          <w:szCs w:val="24"/>
        </w:rPr>
        <w:t xml:space="preserve"> et</w:t>
      </w:r>
      <w:r w:rsidR="008E1052" w:rsidRPr="00D64144">
        <w:rPr>
          <w:bCs/>
          <w:iCs/>
          <w:sz w:val="24"/>
          <w:szCs w:val="24"/>
        </w:rPr>
        <w:t xml:space="preserve"> d</w:t>
      </w:r>
      <w:r w:rsidR="00A7387B" w:rsidRPr="00D64144">
        <w:rPr>
          <w:bCs/>
          <w:iCs/>
          <w:sz w:val="24"/>
          <w:szCs w:val="24"/>
        </w:rPr>
        <w:t>es prestations de se</w:t>
      </w:r>
      <w:r w:rsidR="008E1052" w:rsidRPr="00D64144">
        <w:rPr>
          <w:bCs/>
          <w:iCs/>
          <w:sz w:val="24"/>
          <w:szCs w:val="24"/>
        </w:rPr>
        <w:t>rvices nécessaires à y répondre.</w:t>
      </w:r>
      <w:r w:rsidR="00243A21" w:rsidRPr="00D64144">
        <w:rPr>
          <w:bCs/>
          <w:iCs/>
          <w:sz w:val="24"/>
          <w:szCs w:val="24"/>
        </w:rPr>
        <w:t xml:space="preserve"> </w:t>
      </w:r>
    </w:p>
    <w:p w14:paraId="7E9CE832" w14:textId="77777777" w:rsidR="00501B8E" w:rsidRPr="00D64144" w:rsidRDefault="00AE1242" w:rsidP="000429CE">
      <w:pPr>
        <w:jc w:val="both"/>
        <w:rPr>
          <w:bCs/>
          <w:iCs/>
          <w:sz w:val="24"/>
          <w:szCs w:val="24"/>
        </w:rPr>
      </w:pPr>
      <w:r w:rsidRPr="00D64144">
        <w:rPr>
          <w:bCs/>
          <w:iCs/>
          <w:sz w:val="24"/>
          <w:szCs w:val="24"/>
        </w:rPr>
        <w:t>Cela suppose l’existence d’un cadre et des capacités institutionnelles appropriées à cet effet.</w:t>
      </w:r>
    </w:p>
    <w:p w14:paraId="6484C145" w14:textId="77777777" w:rsidR="00A8598E" w:rsidRPr="00D64144" w:rsidRDefault="006E41A6" w:rsidP="00D27892">
      <w:pPr>
        <w:spacing w:after="0"/>
        <w:jc w:val="both"/>
        <w:rPr>
          <w:bCs/>
          <w:iCs/>
          <w:sz w:val="24"/>
          <w:szCs w:val="24"/>
        </w:rPr>
      </w:pPr>
      <w:r w:rsidRPr="00D64144">
        <w:rPr>
          <w:bCs/>
          <w:iCs/>
          <w:sz w:val="24"/>
          <w:szCs w:val="24"/>
        </w:rPr>
        <w:t>Aussi</w:t>
      </w:r>
      <w:r w:rsidR="00D8467D" w:rsidRPr="00D64144">
        <w:rPr>
          <w:bCs/>
          <w:iCs/>
          <w:sz w:val="24"/>
          <w:szCs w:val="24"/>
        </w:rPr>
        <w:t xml:space="preserve">, </w:t>
      </w:r>
      <w:r w:rsidRPr="00D64144">
        <w:rPr>
          <w:bCs/>
          <w:iCs/>
          <w:sz w:val="24"/>
          <w:szCs w:val="24"/>
        </w:rPr>
        <w:t>le Ministère de la Santé (MS) veillera à ce que s</w:t>
      </w:r>
      <w:r w:rsidR="00D8467D" w:rsidRPr="00D64144">
        <w:rPr>
          <w:bCs/>
          <w:iCs/>
          <w:sz w:val="24"/>
          <w:szCs w:val="24"/>
        </w:rPr>
        <w:t xml:space="preserve">a Direction des ressources humaines </w:t>
      </w:r>
      <w:r w:rsidR="00C81656" w:rsidRPr="00D64144">
        <w:rPr>
          <w:bCs/>
          <w:iCs/>
          <w:sz w:val="24"/>
          <w:szCs w:val="24"/>
        </w:rPr>
        <w:t xml:space="preserve">(DRH) </w:t>
      </w:r>
      <w:r w:rsidRPr="00D64144">
        <w:rPr>
          <w:bCs/>
          <w:iCs/>
          <w:sz w:val="24"/>
          <w:szCs w:val="24"/>
        </w:rPr>
        <w:t>soit</w:t>
      </w:r>
      <w:r w:rsidR="00D8467D" w:rsidRPr="00D64144">
        <w:rPr>
          <w:bCs/>
          <w:iCs/>
          <w:sz w:val="24"/>
          <w:szCs w:val="24"/>
        </w:rPr>
        <w:t xml:space="preserve"> </w:t>
      </w:r>
      <w:r w:rsidR="00D27892" w:rsidRPr="00D64144">
        <w:rPr>
          <w:bCs/>
          <w:iCs/>
          <w:sz w:val="24"/>
          <w:szCs w:val="24"/>
        </w:rPr>
        <w:t xml:space="preserve">appuyée par </w:t>
      </w:r>
      <w:r w:rsidR="00D8467D" w:rsidRPr="00D64144">
        <w:rPr>
          <w:bCs/>
          <w:iCs/>
          <w:sz w:val="24"/>
          <w:szCs w:val="24"/>
        </w:rPr>
        <w:t xml:space="preserve">un organe multisectoriel et pluridisciplinaire chargé de débattre de toutes les questions </w:t>
      </w:r>
      <w:r w:rsidR="00D27892" w:rsidRPr="00D64144">
        <w:rPr>
          <w:bCs/>
          <w:iCs/>
          <w:sz w:val="24"/>
          <w:szCs w:val="24"/>
        </w:rPr>
        <w:t xml:space="preserve">stratégiques et </w:t>
      </w:r>
      <w:r w:rsidR="00D8467D" w:rsidRPr="00D64144">
        <w:rPr>
          <w:bCs/>
          <w:iCs/>
          <w:sz w:val="24"/>
          <w:szCs w:val="24"/>
        </w:rPr>
        <w:t xml:space="preserve">techniques concernant les RHS. </w:t>
      </w:r>
      <w:r w:rsidR="009F04EA" w:rsidRPr="00D64144">
        <w:rPr>
          <w:bCs/>
          <w:iCs/>
          <w:sz w:val="24"/>
          <w:szCs w:val="24"/>
        </w:rPr>
        <w:t>Ses membres seront sélectionnés parmi</w:t>
      </w:r>
      <w:r w:rsidR="00A8598E" w:rsidRPr="00D64144">
        <w:rPr>
          <w:bCs/>
          <w:iCs/>
          <w:sz w:val="24"/>
          <w:szCs w:val="24"/>
        </w:rPr>
        <w:t> </w:t>
      </w:r>
      <w:r w:rsidR="00D457DB" w:rsidRPr="00D64144">
        <w:rPr>
          <w:bCs/>
          <w:iCs/>
          <w:sz w:val="24"/>
          <w:szCs w:val="24"/>
        </w:rPr>
        <w:t xml:space="preserve">toutes les parties prenantes </w:t>
      </w:r>
      <w:r w:rsidR="00A8598E" w:rsidRPr="00D64144">
        <w:rPr>
          <w:bCs/>
          <w:iCs/>
          <w:sz w:val="24"/>
          <w:szCs w:val="24"/>
        </w:rPr>
        <w:t>:</w:t>
      </w:r>
      <w:r w:rsidR="009F04EA" w:rsidRPr="00D64144">
        <w:rPr>
          <w:bCs/>
          <w:iCs/>
          <w:sz w:val="24"/>
          <w:szCs w:val="24"/>
        </w:rPr>
        <w:t xml:space="preserve"> </w:t>
      </w:r>
    </w:p>
    <w:p w14:paraId="53F75EB0"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administrateurs du secteur de la santé, </w:t>
      </w:r>
    </w:p>
    <w:p w14:paraId="53F871FC"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prestataires cliniciens, </w:t>
      </w:r>
    </w:p>
    <w:p w14:paraId="7D39A789"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prestataires de santé publique, </w:t>
      </w:r>
    </w:p>
    <w:p w14:paraId="27DD2E8E"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gestionnaires des ressources humaines (MS et Ministère en charge de la fonction publique), </w:t>
      </w:r>
    </w:p>
    <w:p w14:paraId="6B4FB3C2"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administrateurs des ministères et des institutions de formation (initiale, continue et de spécialisation), </w:t>
      </w:r>
    </w:p>
    <w:p w14:paraId="6BAFFFD4"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enseignants, </w:t>
      </w:r>
    </w:p>
    <w:p w14:paraId="59F646A6"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w:t>
      </w:r>
      <w:r w:rsidR="009F04EA" w:rsidRPr="00D64144">
        <w:rPr>
          <w:bCs/>
          <w:iCs/>
          <w:sz w:val="24"/>
          <w:szCs w:val="24"/>
        </w:rPr>
        <w:t xml:space="preserve"> ministère en charge de la décentralisation, </w:t>
      </w:r>
    </w:p>
    <w:p w14:paraId="58013807" w14:textId="77777777" w:rsidR="00A8598E"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w:t>
      </w:r>
      <w:r w:rsidR="00A8598E" w:rsidRPr="00D64144">
        <w:rPr>
          <w:bCs/>
          <w:iCs/>
          <w:sz w:val="24"/>
          <w:szCs w:val="24"/>
        </w:rPr>
        <w:t xml:space="preserve">cadres des </w:t>
      </w:r>
      <w:r w:rsidR="009F04EA" w:rsidRPr="00D64144">
        <w:rPr>
          <w:bCs/>
          <w:iCs/>
          <w:sz w:val="24"/>
          <w:szCs w:val="24"/>
        </w:rPr>
        <w:t xml:space="preserve">collectivités locales, </w:t>
      </w:r>
    </w:p>
    <w:p w14:paraId="41CF49B2" w14:textId="77777777" w:rsidR="006E41A6" w:rsidRPr="00D64144" w:rsidRDefault="009C4B42" w:rsidP="004D046C">
      <w:pPr>
        <w:pStyle w:val="Paragraphedeliste"/>
        <w:numPr>
          <w:ilvl w:val="0"/>
          <w:numId w:val="7"/>
        </w:numPr>
        <w:ind w:left="709"/>
        <w:jc w:val="both"/>
        <w:rPr>
          <w:bCs/>
          <w:iCs/>
          <w:sz w:val="24"/>
          <w:szCs w:val="24"/>
        </w:rPr>
      </w:pPr>
      <w:r w:rsidRPr="00D64144">
        <w:rPr>
          <w:bCs/>
          <w:iCs/>
          <w:sz w:val="24"/>
          <w:szCs w:val="24"/>
        </w:rPr>
        <w:t>Les</w:t>
      </w:r>
      <w:r w:rsidR="009F04EA" w:rsidRPr="00D64144">
        <w:rPr>
          <w:bCs/>
          <w:iCs/>
          <w:sz w:val="24"/>
          <w:szCs w:val="24"/>
        </w:rPr>
        <w:t xml:space="preserve"> ministères en charge des finances et du budget</w:t>
      </w:r>
      <w:r w:rsidR="006E41A6" w:rsidRPr="00D64144">
        <w:rPr>
          <w:bCs/>
          <w:iCs/>
          <w:sz w:val="24"/>
          <w:szCs w:val="24"/>
        </w:rPr>
        <w:t xml:space="preserve"> et </w:t>
      </w:r>
    </w:p>
    <w:p w14:paraId="484B13BF" w14:textId="77777777" w:rsidR="00D8467D" w:rsidRPr="00D64144" w:rsidRDefault="009C4B42" w:rsidP="004D046C">
      <w:pPr>
        <w:pStyle w:val="Paragraphedeliste"/>
        <w:numPr>
          <w:ilvl w:val="0"/>
          <w:numId w:val="7"/>
        </w:numPr>
        <w:ind w:left="709"/>
        <w:jc w:val="both"/>
        <w:rPr>
          <w:bCs/>
          <w:iCs/>
          <w:sz w:val="24"/>
          <w:szCs w:val="24"/>
        </w:rPr>
      </w:pPr>
      <w:r w:rsidRPr="00D64144">
        <w:rPr>
          <w:bCs/>
          <w:iCs/>
          <w:sz w:val="24"/>
          <w:szCs w:val="24"/>
        </w:rPr>
        <w:t>Toute</w:t>
      </w:r>
      <w:r w:rsidR="006E41A6" w:rsidRPr="00D64144">
        <w:rPr>
          <w:bCs/>
          <w:iCs/>
          <w:sz w:val="24"/>
          <w:szCs w:val="24"/>
        </w:rPr>
        <w:t xml:space="preserve"> autre structure dont </w:t>
      </w:r>
      <w:r w:rsidR="000A6362" w:rsidRPr="00D64144">
        <w:rPr>
          <w:bCs/>
          <w:iCs/>
          <w:sz w:val="24"/>
          <w:szCs w:val="24"/>
        </w:rPr>
        <w:t xml:space="preserve">le </w:t>
      </w:r>
      <w:r w:rsidR="006E41A6" w:rsidRPr="00D64144">
        <w:rPr>
          <w:bCs/>
          <w:iCs/>
          <w:sz w:val="24"/>
          <w:szCs w:val="24"/>
        </w:rPr>
        <w:t xml:space="preserve">rôle </w:t>
      </w:r>
      <w:r w:rsidR="000A6362" w:rsidRPr="00D64144">
        <w:rPr>
          <w:bCs/>
          <w:iCs/>
          <w:sz w:val="24"/>
          <w:szCs w:val="24"/>
        </w:rPr>
        <w:t xml:space="preserve">important </w:t>
      </w:r>
      <w:r w:rsidR="006E41A6" w:rsidRPr="00D64144">
        <w:rPr>
          <w:bCs/>
          <w:iCs/>
          <w:sz w:val="24"/>
          <w:szCs w:val="24"/>
        </w:rPr>
        <w:t xml:space="preserve">dans le développement des RHS </w:t>
      </w:r>
      <w:r w:rsidR="000A6362" w:rsidRPr="00D64144">
        <w:rPr>
          <w:bCs/>
          <w:iCs/>
          <w:sz w:val="24"/>
          <w:szCs w:val="24"/>
        </w:rPr>
        <w:t>est</w:t>
      </w:r>
      <w:r w:rsidR="006E41A6" w:rsidRPr="00D64144">
        <w:rPr>
          <w:bCs/>
          <w:iCs/>
          <w:sz w:val="24"/>
          <w:szCs w:val="24"/>
        </w:rPr>
        <w:t xml:space="preserve"> </w:t>
      </w:r>
      <w:r w:rsidR="000A6362" w:rsidRPr="00D64144">
        <w:rPr>
          <w:bCs/>
          <w:iCs/>
          <w:sz w:val="24"/>
          <w:szCs w:val="24"/>
        </w:rPr>
        <w:t>reconnu</w:t>
      </w:r>
      <w:r w:rsidR="006E41A6" w:rsidRPr="00D64144">
        <w:rPr>
          <w:bCs/>
          <w:iCs/>
          <w:sz w:val="24"/>
          <w:szCs w:val="24"/>
        </w:rPr>
        <w:t xml:space="preserve">. </w:t>
      </w:r>
    </w:p>
    <w:p w14:paraId="03415750" w14:textId="77777777" w:rsidR="004967EB" w:rsidRPr="00D64144" w:rsidRDefault="004967EB" w:rsidP="004967EB">
      <w:pPr>
        <w:jc w:val="both"/>
        <w:rPr>
          <w:bCs/>
          <w:iCs/>
          <w:sz w:val="24"/>
          <w:szCs w:val="24"/>
        </w:rPr>
      </w:pPr>
      <w:r w:rsidRPr="00D64144">
        <w:rPr>
          <w:bCs/>
          <w:iCs/>
          <w:sz w:val="24"/>
          <w:szCs w:val="24"/>
        </w:rPr>
        <w:t xml:space="preserve">Chaque membre devra </w:t>
      </w:r>
      <w:r w:rsidR="00F46F03" w:rsidRPr="00D64144">
        <w:rPr>
          <w:bCs/>
          <w:iCs/>
          <w:sz w:val="24"/>
          <w:szCs w:val="24"/>
        </w:rPr>
        <w:t xml:space="preserve">avoir la capacité et l’engagement nécessaires </w:t>
      </w:r>
      <w:r w:rsidRPr="00D64144">
        <w:rPr>
          <w:bCs/>
          <w:iCs/>
          <w:sz w:val="24"/>
          <w:szCs w:val="24"/>
        </w:rPr>
        <w:t xml:space="preserve">à </w:t>
      </w:r>
      <w:r w:rsidR="00223FD9" w:rsidRPr="00D64144">
        <w:rPr>
          <w:bCs/>
          <w:iCs/>
          <w:sz w:val="24"/>
          <w:szCs w:val="24"/>
        </w:rPr>
        <w:t>promouvoir</w:t>
      </w:r>
      <w:r w:rsidR="00F46F03" w:rsidRPr="00D64144">
        <w:rPr>
          <w:bCs/>
          <w:iCs/>
          <w:sz w:val="24"/>
          <w:szCs w:val="24"/>
        </w:rPr>
        <w:t>, auprès de l’autorité politique au plus haut niveau de son institution, l</w:t>
      </w:r>
      <w:r w:rsidRPr="00D64144">
        <w:rPr>
          <w:bCs/>
          <w:iCs/>
          <w:sz w:val="24"/>
          <w:szCs w:val="24"/>
        </w:rPr>
        <w:t xml:space="preserve">es </w:t>
      </w:r>
      <w:r w:rsidR="00F46F03" w:rsidRPr="00D64144">
        <w:rPr>
          <w:bCs/>
          <w:iCs/>
          <w:sz w:val="24"/>
          <w:szCs w:val="24"/>
        </w:rPr>
        <w:t>priorit</w:t>
      </w:r>
      <w:r w:rsidR="00E55677" w:rsidRPr="00D64144">
        <w:rPr>
          <w:bCs/>
          <w:iCs/>
          <w:sz w:val="24"/>
          <w:szCs w:val="24"/>
        </w:rPr>
        <w:t>és</w:t>
      </w:r>
      <w:r w:rsidR="00F46F03" w:rsidRPr="00D64144">
        <w:rPr>
          <w:bCs/>
          <w:iCs/>
          <w:sz w:val="24"/>
          <w:szCs w:val="24"/>
        </w:rPr>
        <w:t xml:space="preserve"> </w:t>
      </w:r>
      <w:r w:rsidRPr="00D64144">
        <w:rPr>
          <w:bCs/>
          <w:iCs/>
          <w:sz w:val="24"/>
          <w:szCs w:val="24"/>
        </w:rPr>
        <w:t xml:space="preserve">de développement des RHS </w:t>
      </w:r>
      <w:r w:rsidR="00F46F03" w:rsidRPr="00D64144">
        <w:rPr>
          <w:bCs/>
          <w:iCs/>
          <w:sz w:val="24"/>
          <w:szCs w:val="24"/>
        </w:rPr>
        <w:t>retenues dans la présente politique</w:t>
      </w:r>
      <w:r w:rsidRPr="00D64144">
        <w:rPr>
          <w:bCs/>
          <w:iCs/>
          <w:sz w:val="24"/>
          <w:szCs w:val="24"/>
        </w:rPr>
        <w:t>.</w:t>
      </w:r>
    </w:p>
    <w:p w14:paraId="7CBF5221" w14:textId="77777777" w:rsidR="003516F7" w:rsidRDefault="00C5396D" w:rsidP="000429CE">
      <w:pPr>
        <w:jc w:val="both"/>
        <w:rPr>
          <w:bCs/>
          <w:iCs/>
          <w:sz w:val="28"/>
          <w:szCs w:val="28"/>
        </w:rPr>
      </w:pPr>
      <w:r w:rsidRPr="00D64144">
        <w:rPr>
          <w:bCs/>
          <w:iCs/>
          <w:sz w:val="24"/>
          <w:szCs w:val="24"/>
        </w:rPr>
        <w:t>Cet organe</w:t>
      </w:r>
      <w:r w:rsidR="00C81656" w:rsidRPr="00D64144">
        <w:rPr>
          <w:bCs/>
          <w:iCs/>
          <w:sz w:val="24"/>
          <w:szCs w:val="24"/>
        </w:rPr>
        <w:t xml:space="preserve">, sous le leadership de la DRH, pilotera l’élaboration </w:t>
      </w:r>
      <w:r w:rsidR="00F376D8" w:rsidRPr="00D64144">
        <w:rPr>
          <w:bCs/>
          <w:iCs/>
          <w:sz w:val="24"/>
          <w:szCs w:val="24"/>
        </w:rPr>
        <w:t xml:space="preserve">et la mise en œuvre </w:t>
      </w:r>
      <w:r w:rsidR="00C81656" w:rsidRPr="00D64144">
        <w:rPr>
          <w:bCs/>
          <w:iCs/>
          <w:sz w:val="24"/>
          <w:szCs w:val="24"/>
        </w:rPr>
        <w:t xml:space="preserve">du plan de développement des RHS. </w:t>
      </w:r>
    </w:p>
    <w:p w14:paraId="52BEB36D" w14:textId="77777777" w:rsidR="00EA39B2" w:rsidRPr="00D64144" w:rsidRDefault="006E41A6" w:rsidP="003B492A">
      <w:pPr>
        <w:jc w:val="both"/>
        <w:rPr>
          <w:sz w:val="24"/>
          <w:szCs w:val="24"/>
        </w:rPr>
      </w:pPr>
      <w:r w:rsidRPr="00D64144">
        <w:rPr>
          <w:bCs/>
          <w:iCs/>
          <w:sz w:val="24"/>
          <w:szCs w:val="24"/>
        </w:rPr>
        <w:t>Le MS</w:t>
      </w:r>
      <w:r w:rsidR="002400A6" w:rsidRPr="00D64144">
        <w:rPr>
          <w:bCs/>
          <w:iCs/>
          <w:sz w:val="24"/>
          <w:szCs w:val="24"/>
        </w:rPr>
        <w:t xml:space="preserve">, en collaboration avec toutes les parties prenantes, </w:t>
      </w:r>
      <w:r w:rsidRPr="00D64144">
        <w:rPr>
          <w:bCs/>
          <w:iCs/>
          <w:sz w:val="24"/>
          <w:szCs w:val="24"/>
        </w:rPr>
        <w:t>veillera à ce que c</w:t>
      </w:r>
      <w:r w:rsidR="00C81656" w:rsidRPr="00D64144">
        <w:rPr>
          <w:bCs/>
          <w:iCs/>
          <w:sz w:val="24"/>
          <w:szCs w:val="24"/>
        </w:rPr>
        <w:t xml:space="preserve">e </w:t>
      </w:r>
      <w:r w:rsidR="00A8598E" w:rsidRPr="00D64144">
        <w:rPr>
          <w:bCs/>
          <w:iCs/>
          <w:sz w:val="24"/>
          <w:szCs w:val="24"/>
        </w:rPr>
        <w:t>plan</w:t>
      </w:r>
      <w:r w:rsidR="00C81656" w:rsidRPr="00D64144">
        <w:rPr>
          <w:bCs/>
          <w:iCs/>
          <w:sz w:val="24"/>
          <w:szCs w:val="24"/>
        </w:rPr>
        <w:t xml:space="preserve">, </w:t>
      </w:r>
      <w:r w:rsidR="00C5396D" w:rsidRPr="00D64144">
        <w:rPr>
          <w:bCs/>
          <w:iCs/>
          <w:sz w:val="24"/>
          <w:szCs w:val="24"/>
        </w:rPr>
        <w:t xml:space="preserve">en </w:t>
      </w:r>
      <w:r w:rsidRPr="00D64144">
        <w:rPr>
          <w:bCs/>
          <w:iCs/>
          <w:sz w:val="24"/>
          <w:szCs w:val="24"/>
        </w:rPr>
        <w:t xml:space="preserve">se </w:t>
      </w:r>
      <w:r w:rsidR="00C5396D" w:rsidRPr="00D64144">
        <w:rPr>
          <w:bCs/>
          <w:iCs/>
          <w:sz w:val="24"/>
          <w:szCs w:val="24"/>
        </w:rPr>
        <w:t>fon</w:t>
      </w:r>
      <w:r w:rsidRPr="00D64144">
        <w:rPr>
          <w:bCs/>
          <w:iCs/>
          <w:sz w:val="24"/>
          <w:szCs w:val="24"/>
        </w:rPr>
        <w:t xml:space="preserve">dant sur le </w:t>
      </w:r>
      <w:r w:rsidR="00C5396D" w:rsidRPr="00D64144">
        <w:rPr>
          <w:bCs/>
          <w:iCs/>
          <w:sz w:val="24"/>
          <w:szCs w:val="24"/>
        </w:rPr>
        <w:t xml:space="preserve">plan </w:t>
      </w:r>
      <w:r w:rsidR="000B6AFB" w:rsidRPr="00D64144">
        <w:rPr>
          <w:bCs/>
          <w:iCs/>
          <w:sz w:val="24"/>
          <w:szCs w:val="24"/>
        </w:rPr>
        <w:t xml:space="preserve">stratégique </w:t>
      </w:r>
      <w:r w:rsidR="00C5396D" w:rsidRPr="00D64144">
        <w:rPr>
          <w:bCs/>
          <w:iCs/>
          <w:sz w:val="24"/>
          <w:szCs w:val="24"/>
        </w:rPr>
        <w:t xml:space="preserve">de développement </w:t>
      </w:r>
      <w:r w:rsidR="006F4B76" w:rsidRPr="00D64144">
        <w:rPr>
          <w:bCs/>
          <w:iCs/>
          <w:sz w:val="24"/>
          <w:szCs w:val="24"/>
        </w:rPr>
        <w:t>sanitaire</w:t>
      </w:r>
      <w:r w:rsidR="00C5396D" w:rsidRPr="00D64144">
        <w:rPr>
          <w:bCs/>
          <w:iCs/>
          <w:sz w:val="24"/>
          <w:szCs w:val="24"/>
        </w:rPr>
        <w:t xml:space="preserve">, </w:t>
      </w:r>
      <w:r w:rsidRPr="00D64144">
        <w:rPr>
          <w:bCs/>
          <w:iCs/>
          <w:sz w:val="24"/>
          <w:szCs w:val="24"/>
        </w:rPr>
        <w:t xml:space="preserve">détermine </w:t>
      </w:r>
      <w:r w:rsidR="00A8598E" w:rsidRPr="00D64144">
        <w:rPr>
          <w:bCs/>
          <w:iCs/>
          <w:sz w:val="24"/>
          <w:szCs w:val="24"/>
        </w:rPr>
        <w:t xml:space="preserve">les besoins en RHS, y compris </w:t>
      </w:r>
      <w:r w:rsidR="00C5396D" w:rsidRPr="00D64144">
        <w:rPr>
          <w:bCs/>
          <w:iCs/>
          <w:sz w:val="24"/>
          <w:szCs w:val="24"/>
        </w:rPr>
        <w:t>les nouveaux corps de personnel</w:t>
      </w:r>
      <w:r w:rsidR="006F4B76" w:rsidRPr="00D64144">
        <w:rPr>
          <w:bCs/>
          <w:iCs/>
          <w:sz w:val="24"/>
          <w:szCs w:val="24"/>
        </w:rPr>
        <w:t>s</w:t>
      </w:r>
      <w:r w:rsidR="00D33A9A" w:rsidRPr="00D64144">
        <w:rPr>
          <w:bCs/>
          <w:iCs/>
          <w:sz w:val="24"/>
          <w:szCs w:val="24"/>
        </w:rPr>
        <w:t>.</w:t>
      </w:r>
      <w:r w:rsidR="002F414C" w:rsidRPr="00D64144">
        <w:rPr>
          <w:bCs/>
          <w:iCs/>
          <w:sz w:val="24"/>
          <w:szCs w:val="24"/>
        </w:rPr>
        <w:t xml:space="preserve"> </w:t>
      </w:r>
      <w:r w:rsidR="003516F7" w:rsidRPr="00D64144">
        <w:rPr>
          <w:bCs/>
          <w:iCs/>
          <w:sz w:val="24"/>
          <w:szCs w:val="24"/>
        </w:rPr>
        <w:t xml:space="preserve">Il veillera également à ce que </w:t>
      </w:r>
      <w:r w:rsidR="003B492A" w:rsidRPr="00D64144">
        <w:rPr>
          <w:bCs/>
          <w:iCs/>
          <w:sz w:val="24"/>
          <w:szCs w:val="24"/>
        </w:rPr>
        <w:t>ledit</w:t>
      </w:r>
      <w:r w:rsidR="002400A6" w:rsidRPr="00D64144">
        <w:rPr>
          <w:bCs/>
          <w:iCs/>
          <w:sz w:val="24"/>
          <w:szCs w:val="24"/>
        </w:rPr>
        <w:t xml:space="preserve"> plan définisse les mesures par lesquelles </w:t>
      </w:r>
      <w:r w:rsidR="003516F7" w:rsidRPr="00D64144">
        <w:rPr>
          <w:bCs/>
          <w:iCs/>
          <w:sz w:val="24"/>
          <w:szCs w:val="24"/>
        </w:rPr>
        <w:t>l</w:t>
      </w:r>
      <w:r w:rsidR="004F5AB8" w:rsidRPr="00D64144">
        <w:rPr>
          <w:sz w:val="24"/>
          <w:szCs w:val="24"/>
        </w:rPr>
        <w:t xml:space="preserve">es compétences requises </w:t>
      </w:r>
      <w:r w:rsidR="00D33A9A" w:rsidRPr="00D64144">
        <w:rPr>
          <w:sz w:val="24"/>
          <w:szCs w:val="24"/>
        </w:rPr>
        <w:t xml:space="preserve">par corps </w:t>
      </w:r>
      <w:r w:rsidR="004F5AB8" w:rsidRPr="00D64144">
        <w:rPr>
          <w:sz w:val="24"/>
          <w:szCs w:val="24"/>
        </w:rPr>
        <w:t>pour offrir les prestations prioritaires s</w:t>
      </w:r>
      <w:r w:rsidR="003B492A" w:rsidRPr="00D64144">
        <w:rPr>
          <w:sz w:val="24"/>
          <w:szCs w:val="24"/>
        </w:rPr>
        <w:t>eront produits</w:t>
      </w:r>
      <w:r w:rsidR="004F5AB8" w:rsidRPr="00D64144">
        <w:rPr>
          <w:sz w:val="24"/>
          <w:szCs w:val="24"/>
        </w:rPr>
        <w:t xml:space="preserve">. </w:t>
      </w:r>
      <w:r w:rsidR="002400A6" w:rsidRPr="00D64144">
        <w:rPr>
          <w:sz w:val="24"/>
          <w:szCs w:val="24"/>
        </w:rPr>
        <w:t xml:space="preserve">Ces référentiels de compétence devront guider </w:t>
      </w:r>
      <w:r w:rsidR="004C2E9B" w:rsidRPr="00D64144">
        <w:rPr>
          <w:sz w:val="24"/>
          <w:szCs w:val="24"/>
        </w:rPr>
        <w:t>toutes les formations (initiale</w:t>
      </w:r>
      <w:r w:rsidR="00DA5605" w:rsidRPr="00D64144">
        <w:rPr>
          <w:sz w:val="24"/>
          <w:szCs w:val="24"/>
        </w:rPr>
        <w:t>s</w:t>
      </w:r>
      <w:r w:rsidR="004C2E9B" w:rsidRPr="00D64144">
        <w:rPr>
          <w:sz w:val="24"/>
          <w:szCs w:val="24"/>
        </w:rPr>
        <w:t>, continue</w:t>
      </w:r>
      <w:r w:rsidR="00DA5605" w:rsidRPr="00D64144">
        <w:rPr>
          <w:sz w:val="24"/>
          <w:szCs w:val="24"/>
        </w:rPr>
        <w:t>s</w:t>
      </w:r>
      <w:r w:rsidR="004C2E9B" w:rsidRPr="00D64144">
        <w:rPr>
          <w:sz w:val="24"/>
          <w:szCs w:val="24"/>
        </w:rPr>
        <w:t xml:space="preserve"> et de spécialisation)</w:t>
      </w:r>
      <w:r w:rsidR="002400A6" w:rsidRPr="00D64144">
        <w:rPr>
          <w:sz w:val="24"/>
          <w:szCs w:val="24"/>
        </w:rPr>
        <w:t>.</w:t>
      </w:r>
      <w:r w:rsidR="00EA39B2" w:rsidRPr="00D64144">
        <w:rPr>
          <w:sz w:val="24"/>
          <w:szCs w:val="24"/>
        </w:rPr>
        <w:t xml:space="preserve"> </w:t>
      </w:r>
      <w:r w:rsidR="003B492A" w:rsidRPr="00D64144">
        <w:rPr>
          <w:sz w:val="24"/>
          <w:szCs w:val="24"/>
        </w:rPr>
        <w:t>Cela suppose l’instauration d’un dialogue franc et permanent entre Ministère de la Santé et les ministères et institutions en charge de la formation initiale.</w:t>
      </w:r>
    </w:p>
    <w:p w14:paraId="78F63BAE" w14:textId="77777777" w:rsidR="004C2E9B" w:rsidRPr="00D64144" w:rsidRDefault="0099233E" w:rsidP="004C2E9B">
      <w:pPr>
        <w:tabs>
          <w:tab w:val="left" w:pos="1418"/>
        </w:tabs>
        <w:jc w:val="both"/>
        <w:rPr>
          <w:sz w:val="24"/>
          <w:szCs w:val="24"/>
        </w:rPr>
      </w:pPr>
      <w:r w:rsidRPr="00D64144">
        <w:rPr>
          <w:sz w:val="24"/>
          <w:szCs w:val="24"/>
        </w:rPr>
        <w:t xml:space="preserve">Le MS </w:t>
      </w:r>
      <w:r w:rsidR="004C2E9B" w:rsidRPr="00D64144">
        <w:rPr>
          <w:sz w:val="24"/>
          <w:szCs w:val="24"/>
        </w:rPr>
        <w:t xml:space="preserve">élaborera un plan de formation continue de son personnel pour le rendre plus performant et négociera </w:t>
      </w:r>
      <w:r w:rsidR="006F4B76" w:rsidRPr="00D64144">
        <w:rPr>
          <w:sz w:val="24"/>
          <w:szCs w:val="24"/>
        </w:rPr>
        <w:t xml:space="preserve">des programmes et </w:t>
      </w:r>
      <w:r w:rsidR="004C2E9B" w:rsidRPr="00D64144">
        <w:rPr>
          <w:sz w:val="24"/>
          <w:szCs w:val="24"/>
        </w:rPr>
        <w:t>plan</w:t>
      </w:r>
      <w:r w:rsidR="006F4B76" w:rsidRPr="00D64144">
        <w:rPr>
          <w:sz w:val="24"/>
          <w:szCs w:val="24"/>
        </w:rPr>
        <w:t>s</w:t>
      </w:r>
      <w:r w:rsidR="004C2E9B" w:rsidRPr="00D64144">
        <w:rPr>
          <w:sz w:val="24"/>
          <w:szCs w:val="24"/>
        </w:rPr>
        <w:t xml:space="preserve"> de formation initiale des RHS avec toutes les parties prenantes pour satisfaire les besoins du système par corps de professionnels.</w:t>
      </w:r>
      <w:r w:rsidRPr="00D64144">
        <w:rPr>
          <w:sz w:val="24"/>
          <w:szCs w:val="24"/>
        </w:rPr>
        <w:t xml:space="preserve"> De même il </w:t>
      </w:r>
      <w:r w:rsidR="006F4B76" w:rsidRPr="00D64144">
        <w:rPr>
          <w:sz w:val="24"/>
          <w:szCs w:val="24"/>
        </w:rPr>
        <w:t>négociera l’</w:t>
      </w:r>
      <w:r w:rsidRPr="00D64144">
        <w:rPr>
          <w:sz w:val="24"/>
          <w:szCs w:val="24"/>
        </w:rPr>
        <w:t>élabor</w:t>
      </w:r>
      <w:r w:rsidR="006F4B76" w:rsidRPr="00D64144">
        <w:rPr>
          <w:sz w:val="24"/>
          <w:szCs w:val="24"/>
        </w:rPr>
        <w:t xml:space="preserve">ation </w:t>
      </w:r>
      <w:r w:rsidR="003B492A" w:rsidRPr="00D64144">
        <w:rPr>
          <w:sz w:val="24"/>
          <w:szCs w:val="24"/>
        </w:rPr>
        <w:t xml:space="preserve">et l’exécution </w:t>
      </w:r>
      <w:r w:rsidR="006F4B76" w:rsidRPr="00D64144">
        <w:rPr>
          <w:sz w:val="24"/>
          <w:szCs w:val="24"/>
        </w:rPr>
        <w:t xml:space="preserve">des </w:t>
      </w:r>
      <w:r w:rsidRPr="00D64144">
        <w:rPr>
          <w:sz w:val="24"/>
          <w:szCs w:val="24"/>
        </w:rPr>
        <w:t>plan</w:t>
      </w:r>
      <w:r w:rsidR="006F4B76" w:rsidRPr="00D64144">
        <w:rPr>
          <w:sz w:val="24"/>
          <w:szCs w:val="24"/>
        </w:rPr>
        <w:t>s</w:t>
      </w:r>
      <w:r w:rsidRPr="00D64144">
        <w:rPr>
          <w:sz w:val="24"/>
          <w:szCs w:val="24"/>
        </w:rPr>
        <w:t xml:space="preserve"> de recrutement </w:t>
      </w:r>
      <w:r w:rsidR="006F4B76" w:rsidRPr="00D64144">
        <w:rPr>
          <w:sz w:val="24"/>
          <w:szCs w:val="24"/>
        </w:rPr>
        <w:t xml:space="preserve">et de carrière du personnel de santé </w:t>
      </w:r>
      <w:r w:rsidRPr="00D64144">
        <w:rPr>
          <w:sz w:val="24"/>
          <w:szCs w:val="24"/>
        </w:rPr>
        <w:t>conformément a</w:t>
      </w:r>
      <w:r w:rsidR="00157628" w:rsidRPr="00D64144">
        <w:rPr>
          <w:sz w:val="24"/>
          <w:szCs w:val="24"/>
        </w:rPr>
        <w:t>ux prévisions de ses besoins</w:t>
      </w:r>
      <w:r w:rsidRPr="00D64144">
        <w:rPr>
          <w:sz w:val="24"/>
          <w:szCs w:val="24"/>
        </w:rPr>
        <w:t>.</w:t>
      </w:r>
    </w:p>
    <w:p w14:paraId="195C6F4F" w14:textId="77777777" w:rsidR="004C2E9B" w:rsidRPr="00D64144" w:rsidRDefault="004C2E9B" w:rsidP="004C2E9B">
      <w:pPr>
        <w:tabs>
          <w:tab w:val="left" w:pos="1418"/>
        </w:tabs>
        <w:jc w:val="both"/>
        <w:rPr>
          <w:sz w:val="24"/>
          <w:szCs w:val="24"/>
        </w:rPr>
      </w:pPr>
      <w:r w:rsidRPr="00D64144">
        <w:rPr>
          <w:sz w:val="24"/>
          <w:szCs w:val="24"/>
        </w:rPr>
        <w:t xml:space="preserve">Le MS veillera, en partenariat avec toutes les parties prenantes, à </w:t>
      </w:r>
      <w:r w:rsidR="00EA39B2" w:rsidRPr="00D64144">
        <w:rPr>
          <w:sz w:val="24"/>
          <w:szCs w:val="24"/>
        </w:rPr>
        <w:t xml:space="preserve">accorder la priorité pour </w:t>
      </w:r>
      <w:r w:rsidRPr="00D64144">
        <w:rPr>
          <w:sz w:val="24"/>
          <w:szCs w:val="24"/>
        </w:rPr>
        <w:t xml:space="preserve">la formation (initiale, continue et la formation de spécialisation) </w:t>
      </w:r>
      <w:r w:rsidR="00EA39B2" w:rsidRPr="00D64144">
        <w:rPr>
          <w:sz w:val="24"/>
          <w:szCs w:val="24"/>
        </w:rPr>
        <w:t>aux</w:t>
      </w:r>
      <w:r w:rsidRPr="00D64144">
        <w:rPr>
          <w:sz w:val="24"/>
          <w:szCs w:val="24"/>
        </w:rPr>
        <w:t xml:space="preserve"> corps professionnels </w:t>
      </w:r>
      <w:r w:rsidR="00EA39B2" w:rsidRPr="00D64144">
        <w:rPr>
          <w:sz w:val="24"/>
          <w:szCs w:val="24"/>
        </w:rPr>
        <w:t xml:space="preserve">rares, mais </w:t>
      </w:r>
      <w:r w:rsidRPr="00D64144">
        <w:rPr>
          <w:sz w:val="24"/>
          <w:szCs w:val="24"/>
        </w:rPr>
        <w:t>important</w:t>
      </w:r>
      <w:r w:rsidR="00EA39B2" w:rsidRPr="00D64144">
        <w:rPr>
          <w:sz w:val="24"/>
          <w:szCs w:val="24"/>
        </w:rPr>
        <w:t>s</w:t>
      </w:r>
      <w:r w:rsidRPr="00D64144">
        <w:rPr>
          <w:sz w:val="24"/>
          <w:szCs w:val="24"/>
        </w:rPr>
        <w:t xml:space="preserve"> dans l’offre des prestations de soins et services de santé de qualité à la population. </w:t>
      </w:r>
    </w:p>
    <w:p w14:paraId="0A26EF29" w14:textId="77777777" w:rsidR="00D04EFA" w:rsidRPr="00D64144" w:rsidRDefault="004A551C" w:rsidP="000429CE">
      <w:pPr>
        <w:tabs>
          <w:tab w:val="left" w:pos="1418"/>
        </w:tabs>
        <w:jc w:val="both"/>
        <w:rPr>
          <w:sz w:val="24"/>
          <w:szCs w:val="24"/>
        </w:rPr>
      </w:pPr>
      <w:r w:rsidRPr="00D64144">
        <w:rPr>
          <w:sz w:val="24"/>
          <w:szCs w:val="24"/>
        </w:rPr>
        <w:t>Ce</w:t>
      </w:r>
      <w:r w:rsidR="0044436E" w:rsidRPr="00D64144">
        <w:rPr>
          <w:sz w:val="24"/>
          <w:szCs w:val="24"/>
        </w:rPr>
        <w:t xml:space="preserve">s mesures </w:t>
      </w:r>
      <w:r w:rsidR="004F582E" w:rsidRPr="00D64144">
        <w:rPr>
          <w:sz w:val="24"/>
          <w:szCs w:val="24"/>
        </w:rPr>
        <w:t>exiger</w:t>
      </w:r>
      <w:r w:rsidR="0044436E" w:rsidRPr="00D64144">
        <w:rPr>
          <w:sz w:val="24"/>
          <w:szCs w:val="24"/>
        </w:rPr>
        <w:t>ont</w:t>
      </w:r>
      <w:r w:rsidR="004F582E" w:rsidRPr="00D64144">
        <w:rPr>
          <w:sz w:val="24"/>
          <w:szCs w:val="24"/>
        </w:rPr>
        <w:t xml:space="preserve"> </w:t>
      </w:r>
      <w:r w:rsidR="0044436E" w:rsidRPr="00D64144">
        <w:rPr>
          <w:sz w:val="24"/>
          <w:szCs w:val="24"/>
        </w:rPr>
        <w:t>d’importantes réformes dans les facultés des universités et dans les écoles d’enseignement technique et professionnel (publiques ou privées) qui forment des professionnels de la santé ou des techniciens utiles à la santé</w:t>
      </w:r>
      <w:r w:rsidR="00157628" w:rsidRPr="00D64144">
        <w:rPr>
          <w:sz w:val="24"/>
          <w:szCs w:val="24"/>
        </w:rPr>
        <w:t xml:space="preserve">. </w:t>
      </w:r>
      <w:r w:rsidR="001B36C1" w:rsidRPr="00D64144">
        <w:rPr>
          <w:sz w:val="24"/>
          <w:szCs w:val="24"/>
        </w:rPr>
        <w:t xml:space="preserve">A cet </w:t>
      </w:r>
      <w:r w:rsidR="0044436E" w:rsidRPr="00D64144">
        <w:rPr>
          <w:sz w:val="24"/>
          <w:szCs w:val="24"/>
        </w:rPr>
        <w:t>e</w:t>
      </w:r>
      <w:r w:rsidR="001B36C1" w:rsidRPr="00D64144">
        <w:rPr>
          <w:sz w:val="24"/>
          <w:szCs w:val="24"/>
        </w:rPr>
        <w:t xml:space="preserve">ffet, le </w:t>
      </w:r>
      <w:r w:rsidR="00233152" w:rsidRPr="00D64144">
        <w:rPr>
          <w:sz w:val="24"/>
          <w:szCs w:val="24"/>
        </w:rPr>
        <w:t xml:space="preserve">MS veillera à construire </w:t>
      </w:r>
      <w:r w:rsidR="001B36C1" w:rsidRPr="00D64144">
        <w:rPr>
          <w:sz w:val="24"/>
          <w:szCs w:val="24"/>
        </w:rPr>
        <w:t xml:space="preserve">le partenariat </w:t>
      </w:r>
      <w:r w:rsidR="00D04EFA" w:rsidRPr="00D64144">
        <w:rPr>
          <w:sz w:val="24"/>
          <w:szCs w:val="24"/>
        </w:rPr>
        <w:t>avec les</w:t>
      </w:r>
      <w:r w:rsidR="001B36C1" w:rsidRPr="00D64144">
        <w:rPr>
          <w:sz w:val="24"/>
          <w:szCs w:val="24"/>
        </w:rPr>
        <w:t xml:space="preserve"> départements et institutions de formation</w:t>
      </w:r>
      <w:r w:rsidR="00233152" w:rsidRPr="00D64144">
        <w:rPr>
          <w:sz w:val="24"/>
          <w:szCs w:val="24"/>
        </w:rPr>
        <w:t xml:space="preserve">, de manière à </w:t>
      </w:r>
      <w:r w:rsidR="0044436E" w:rsidRPr="00D64144">
        <w:rPr>
          <w:sz w:val="24"/>
          <w:szCs w:val="24"/>
        </w:rPr>
        <w:t xml:space="preserve">participer activement à la définition et à la conduite des réformes </w:t>
      </w:r>
      <w:r w:rsidR="00233152" w:rsidRPr="00D64144">
        <w:rPr>
          <w:sz w:val="24"/>
          <w:szCs w:val="24"/>
        </w:rPr>
        <w:t xml:space="preserve">nécessaires du </w:t>
      </w:r>
      <w:r w:rsidR="001B36C1" w:rsidRPr="00D64144">
        <w:rPr>
          <w:sz w:val="24"/>
          <w:szCs w:val="24"/>
        </w:rPr>
        <w:t xml:space="preserve">système de formation des RHS. </w:t>
      </w:r>
      <w:r w:rsidR="00D04EFA" w:rsidRPr="00D64144">
        <w:rPr>
          <w:sz w:val="24"/>
          <w:szCs w:val="24"/>
        </w:rPr>
        <w:t>Parmi l</w:t>
      </w:r>
      <w:r w:rsidR="00233152" w:rsidRPr="00D64144">
        <w:rPr>
          <w:sz w:val="24"/>
          <w:szCs w:val="24"/>
        </w:rPr>
        <w:t xml:space="preserve">es réformes </w:t>
      </w:r>
      <w:r w:rsidR="00D04EFA" w:rsidRPr="00D64144">
        <w:rPr>
          <w:sz w:val="24"/>
          <w:szCs w:val="24"/>
        </w:rPr>
        <w:t xml:space="preserve">à engager </w:t>
      </w:r>
      <w:r w:rsidR="00233152" w:rsidRPr="00D64144">
        <w:rPr>
          <w:sz w:val="24"/>
          <w:szCs w:val="24"/>
        </w:rPr>
        <w:t>figurent l’adaptation</w:t>
      </w:r>
      <w:r w:rsidR="00D04EFA" w:rsidRPr="00D64144">
        <w:rPr>
          <w:sz w:val="24"/>
          <w:szCs w:val="24"/>
        </w:rPr>
        <w:t> :</w:t>
      </w:r>
    </w:p>
    <w:p w14:paraId="12B1B9FC" w14:textId="77777777" w:rsidR="00D04EFA" w:rsidRPr="00D64144" w:rsidRDefault="009C4B42" w:rsidP="004D046C">
      <w:pPr>
        <w:pStyle w:val="Paragraphedeliste"/>
        <w:numPr>
          <w:ilvl w:val="0"/>
          <w:numId w:val="7"/>
        </w:numPr>
        <w:spacing w:after="0" w:line="240" w:lineRule="auto"/>
        <w:ind w:left="851" w:hanging="425"/>
        <w:jc w:val="both"/>
        <w:rPr>
          <w:sz w:val="24"/>
          <w:szCs w:val="24"/>
        </w:rPr>
      </w:pPr>
      <w:r w:rsidRPr="00D64144">
        <w:rPr>
          <w:sz w:val="24"/>
          <w:szCs w:val="24"/>
        </w:rPr>
        <w:t>Des</w:t>
      </w:r>
      <w:r w:rsidR="00233152" w:rsidRPr="00D64144">
        <w:rPr>
          <w:sz w:val="24"/>
          <w:szCs w:val="24"/>
        </w:rPr>
        <w:t xml:space="preserve"> programmes de formation (initiale, continue et de spécialisation)</w:t>
      </w:r>
      <w:r w:rsidR="00D04EFA" w:rsidRPr="00D64144">
        <w:rPr>
          <w:sz w:val="24"/>
          <w:szCs w:val="24"/>
        </w:rPr>
        <w:t xml:space="preserve"> aux besoins du système de santé guinéen (sans oublier l’intégration sous-régionale)</w:t>
      </w:r>
      <w:r w:rsidR="00233152" w:rsidRPr="00D64144">
        <w:rPr>
          <w:sz w:val="24"/>
          <w:szCs w:val="24"/>
        </w:rPr>
        <w:t xml:space="preserve">, </w:t>
      </w:r>
    </w:p>
    <w:p w14:paraId="4738B3F7" w14:textId="77777777" w:rsidR="00D04EFA" w:rsidRPr="00D64144" w:rsidRDefault="009C4B42" w:rsidP="004D046C">
      <w:pPr>
        <w:pStyle w:val="Paragraphedeliste"/>
        <w:numPr>
          <w:ilvl w:val="0"/>
          <w:numId w:val="7"/>
        </w:numPr>
        <w:spacing w:after="0" w:line="240" w:lineRule="auto"/>
        <w:ind w:left="851" w:hanging="425"/>
        <w:jc w:val="both"/>
        <w:rPr>
          <w:sz w:val="24"/>
          <w:szCs w:val="24"/>
        </w:rPr>
      </w:pPr>
      <w:r w:rsidRPr="00D64144">
        <w:rPr>
          <w:sz w:val="24"/>
          <w:szCs w:val="24"/>
        </w:rPr>
        <w:t>Des</w:t>
      </w:r>
      <w:r w:rsidR="00637306" w:rsidRPr="00D64144">
        <w:rPr>
          <w:sz w:val="24"/>
          <w:szCs w:val="24"/>
        </w:rPr>
        <w:t xml:space="preserve"> cadres juridiques qui régissent la formation, </w:t>
      </w:r>
    </w:p>
    <w:p w14:paraId="655CE624" w14:textId="77777777" w:rsidR="00D04EFA" w:rsidRPr="00D64144" w:rsidRDefault="009C4B42" w:rsidP="004D046C">
      <w:pPr>
        <w:pStyle w:val="Paragraphedeliste"/>
        <w:numPr>
          <w:ilvl w:val="0"/>
          <w:numId w:val="7"/>
        </w:numPr>
        <w:spacing w:after="0" w:line="240" w:lineRule="auto"/>
        <w:ind w:left="851" w:hanging="425"/>
        <w:jc w:val="both"/>
        <w:rPr>
          <w:sz w:val="24"/>
          <w:szCs w:val="24"/>
        </w:rPr>
      </w:pPr>
      <w:r w:rsidRPr="00D64144">
        <w:rPr>
          <w:sz w:val="24"/>
          <w:szCs w:val="24"/>
        </w:rPr>
        <w:t>Des</w:t>
      </w:r>
      <w:r w:rsidR="00233152" w:rsidRPr="00D64144">
        <w:rPr>
          <w:sz w:val="24"/>
          <w:szCs w:val="24"/>
        </w:rPr>
        <w:t xml:space="preserve"> procédures de sélection des candidats, </w:t>
      </w:r>
    </w:p>
    <w:p w14:paraId="37F5E3FF" w14:textId="77777777" w:rsidR="00D04EFA" w:rsidRPr="00D64144" w:rsidRDefault="009C4B42" w:rsidP="004D046C">
      <w:pPr>
        <w:pStyle w:val="Paragraphedeliste"/>
        <w:numPr>
          <w:ilvl w:val="0"/>
          <w:numId w:val="7"/>
        </w:numPr>
        <w:spacing w:after="0" w:line="240" w:lineRule="auto"/>
        <w:ind w:left="851" w:hanging="425"/>
        <w:jc w:val="both"/>
        <w:rPr>
          <w:sz w:val="24"/>
          <w:szCs w:val="24"/>
        </w:rPr>
      </w:pPr>
      <w:r w:rsidRPr="00D64144">
        <w:rPr>
          <w:sz w:val="24"/>
          <w:szCs w:val="24"/>
        </w:rPr>
        <w:t>Des</w:t>
      </w:r>
      <w:r w:rsidR="00637306" w:rsidRPr="00D64144">
        <w:rPr>
          <w:sz w:val="24"/>
          <w:szCs w:val="24"/>
        </w:rPr>
        <w:t xml:space="preserve"> méthodes d’enseignement, </w:t>
      </w:r>
    </w:p>
    <w:p w14:paraId="6F387D35" w14:textId="77777777" w:rsidR="0044436E" w:rsidRPr="00D64144" w:rsidRDefault="009C4B42" w:rsidP="004D046C">
      <w:pPr>
        <w:pStyle w:val="Paragraphedeliste"/>
        <w:numPr>
          <w:ilvl w:val="0"/>
          <w:numId w:val="7"/>
        </w:numPr>
        <w:ind w:left="850" w:hanging="425"/>
        <w:contextualSpacing w:val="0"/>
        <w:jc w:val="both"/>
        <w:rPr>
          <w:sz w:val="24"/>
          <w:szCs w:val="24"/>
        </w:rPr>
      </w:pPr>
      <w:r w:rsidRPr="00D64144">
        <w:rPr>
          <w:sz w:val="24"/>
          <w:szCs w:val="24"/>
        </w:rPr>
        <w:t>Des</w:t>
      </w:r>
      <w:r w:rsidR="00233152" w:rsidRPr="00D64144">
        <w:rPr>
          <w:sz w:val="24"/>
          <w:szCs w:val="24"/>
        </w:rPr>
        <w:t xml:space="preserve"> modes de recrutement et de gestion des RHS.</w:t>
      </w:r>
    </w:p>
    <w:p w14:paraId="652856B5" w14:textId="77777777" w:rsidR="00760B90" w:rsidRPr="00D64144" w:rsidRDefault="00692FAA" w:rsidP="002E6C28">
      <w:pPr>
        <w:jc w:val="both"/>
        <w:rPr>
          <w:bCs/>
          <w:iCs/>
          <w:sz w:val="24"/>
          <w:szCs w:val="24"/>
        </w:rPr>
      </w:pPr>
      <w:r w:rsidRPr="00D64144">
        <w:rPr>
          <w:bCs/>
          <w:iCs/>
          <w:sz w:val="24"/>
          <w:szCs w:val="24"/>
        </w:rPr>
        <w:t>Afin que les mesures ci-dessus se réalisent de manière coordonnée et efficace, la DR</w:t>
      </w:r>
      <w:r w:rsidR="00157628" w:rsidRPr="00D64144">
        <w:rPr>
          <w:bCs/>
          <w:iCs/>
          <w:sz w:val="24"/>
          <w:szCs w:val="24"/>
        </w:rPr>
        <w:t>H</w:t>
      </w:r>
      <w:r w:rsidRPr="00D64144">
        <w:rPr>
          <w:bCs/>
          <w:iCs/>
          <w:sz w:val="24"/>
          <w:szCs w:val="24"/>
        </w:rPr>
        <w:t xml:space="preserve">S a besoins de cadres </w:t>
      </w:r>
      <w:r w:rsidR="00FD3752" w:rsidRPr="00D64144">
        <w:rPr>
          <w:bCs/>
          <w:iCs/>
          <w:sz w:val="24"/>
          <w:szCs w:val="24"/>
        </w:rPr>
        <w:t>compétents</w:t>
      </w:r>
      <w:r w:rsidR="00760B90" w:rsidRPr="00D64144">
        <w:rPr>
          <w:bCs/>
          <w:iCs/>
          <w:sz w:val="24"/>
          <w:szCs w:val="24"/>
        </w:rPr>
        <w:t xml:space="preserve"> et de moyens de travail</w:t>
      </w:r>
      <w:r w:rsidRPr="00D64144">
        <w:rPr>
          <w:bCs/>
          <w:iCs/>
          <w:sz w:val="24"/>
          <w:szCs w:val="24"/>
        </w:rPr>
        <w:t xml:space="preserve">. </w:t>
      </w:r>
      <w:r w:rsidR="00FD3752" w:rsidRPr="00D64144">
        <w:rPr>
          <w:bCs/>
          <w:iCs/>
          <w:sz w:val="24"/>
          <w:szCs w:val="24"/>
        </w:rPr>
        <w:t>Aussi, le MS veillera à améliorer en permanence les capacités en leadership et management des cadres de cette direction, notamment les premiers responsables, les chefs de division et de section, pour dépasser leur simple cohabitation dans le même service</w:t>
      </w:r>
      <w:r w:rsidR="002E6C28" w:rsidRPr="00D64144">
        <w:rPr>
          <w:bCs/>
          <w:iCs/>
          <w:sz w:val="24"/>
          <w:szCs w:val="24"/>
        </w:rPr>
        <w:t>, pour</w:t>
      </w:r>
      <w:r w:rsidR="00FD3752" w:rsidRPr="00D64144">
        <w:rPr>
          <w:bCs/>
          <w:iCs/>
          <w:sz w:val="24"/>
          <w:szCs w:val="24"/>
        </w:rPr>
        <w:t xml:space="preserve"> en faire une équipe de travail solide. Certains parmi eux seront spécialisés en gestion prévisionnelle des RH</w:t>
      </w:r>
      <w:r w:rsidR="00281396" w:rsidRPr="00D64144">
        <w:rPr>
          <w:bCs/>
          <w:iCs/>
          <w:sz w:val="24"/>
          <w:szCs w:val="24"/>
        </w:rPr>
        <w:t>S</w:t>
      </w:r>
      <w:r w:rsidR="00FD3752" w:rsidRPr="00D64144">
        <w:rPr>
          <w:bCs/>
          <w:iCs/>
          <w:sz w:val="24"/>
          <w:szCs w:val="24"/>
        </w:rPr>
        <w:t>.</w:t>
      </w:r>
      <w:r w:rsidR="00760B90" w:rsidRPr="00D64144">
        <w:rPr>
          <w:bCs/>
          <w:iCs/>
          <w:color w:val="FF0000"/>
          <w:sz w:val="24"/>
          <w:szCs w:val="24"/>
        </w:rPr>
        <w:t xml:space="preserve"> </w:t>
      </w:r>
    </w:p>
    <w:p w14:paraId="579352B7" w14:textId="77777777" w:rsidR="001D299F" w:rsidRPr="006A0EC1" w:rsidRDefault="001D299F" w:rsidP="004D046C">
      <w:pPr>
        <w:pStyle w:val="Titre2"/>
        <w:numPr>
          <w:ilvl w:val="2"/>
          <w:numId w:val="5"/>
        </w:numPr>
        <w:spacing w:after="120"/>
        <w:ind w:left="1985" w:hanging="851"/>
        <w:jc w:val="both"/>
        <w:rPr>
          <w:sz w:val="28"/>
          <w:szCs w:val="28"/>
        </w:rPr>
      </w:pPr>
      <w:bookmarkStart w:id="41" w:name="_Toc21586252"/>
      <w:r w:rsidRPr="006A0EC1">
        <w:rPr>
          <w:sz w:val="28"/>
          <w:szCs w:val="28"/>
        </w:rPr>
        <w:t>Renforcement du cadre et des capacités institutionnelles de Formation initiale, continue et de spécialisation des RHS</w:t>
      </w:r>
      <w:bookmarkEnd w:id="41"/>
    </w:p>
    <w:p w14:paraId="49D92513" w14:textId="77777777" w:rsidR="00642B17" w:rsidRPr="00D64144" w:rsidRDefault="00642B17" w:rsidP="00642B17">
      <w:pPr>
        <w:spacing w:before="1"/>
        <w:jc w:val="both"/>
        <w:rPr>
          <w:rFonts w:cs="Arial"/>
          <w:sz w:val="24"/>
          <w:szCs w:val="24"/>
        </w:rPr>
      </w:pPr>
      <w:r w:rsidRPr="00D64144">
        <w:rPr>
          <w:rFonts w:cs="Arial"/>
          <w:sz w:val="24"/>
          <w:szCs w:val="24"/>
        </w:rPr>
        <w:t>Pour relever les défis et recentrer durablement le système de formation des RHS sur les besoins quantitatifs et qualitatifs du système de santé, trois interventions principales seront développées. Ce sont :</w:t>
      </w:r>
    </w:p>
    <w:p w14:paraId="2A7027A4" w14:textId="77777777" w:rsidR="00642B17" w:rsidRPr="00D64144" w:rsidRDefault="00642B17" w:rsidP="004D046C">
      <w:pPr>
        <w:pStyle w:val="Paragraphedeliste"/>
        <w:numPr>
          <w:ilvl w:val="0"/>
          <w:numId w:val="7"/>
        </w:numPr>
        <w:spacing w:after="0" w:line="240" w:lineRule="auto"/>
        <w:ind w:left="851" w:hanging="425"/>
        <w:jc w:val="both"/>
        <w:rPr>
          <w:rFonts w:cs="Arial"/>
          <w:sz w:val="24"/>
          <w:szCs w:val="24"/>
        </w:rPr>
      </w:pPr>
      <w:r w:rsidRPr="00D64144">
        <w:rPr>
          <w:sz w:val="24"/>
          <w:szCs w:val="24"/>
        </w:rPr>
        <w:t>Le</w:t>
      </w:r>
      <w:r w:rsidRPr="00D64144">
        <w:rPr>
          <w:rFonts w:cs="Arial"/>
          <w:sz w:val="24"/>
          <w:szCs w:val="24"/>
        </w:rPr>
        <w:t xml:space="preserve"> renforcement des capacités des institutions de formation initiale, continue et de spécialisation ;</w:t>
      </w:r>
    </w:p>
    <w:p w14:paraId="2BAD7AF9" w14:textId="77777777" w:rsidR="00642B17" w:rsidRPr="00D64144" w:rsidRDefault="00642B17" w:rsidP="004D046C">
      <w:pPr>
        <w:pStyle w:val="Paragraphedeliste"/>
        <w:numPr>
          <w:ilvl w:val="0"/>
          <w:numId w:val="7"/>
        </w:numPr>
        <w:spacing w:after="0" w:line="240" w:lineRule="auto"/>
        <w:ind w:left="851" w:hanging="425"/>
        <w:jc w:val="both"/>
        <w:rPr>
          <w:rFonts w:cs="Arial"/>
          <w:sz w:val="24"/>
          <w:szCs w:val="24"/>
        </w:rPr>
      </w:pPr>
      <w:r w:rsidRPr="00D64144">
        <w:rPr>
          <w:sz w:val="24"/>
          <w:szCs w:val="24"/>
        </w:rPr>
        <w:t>L’amélioration</w:t>
      </w:r>
      <w:r w:rsidRPr="00D64144">
        <w:rPr>
          <w:rFonts w:cs="Arial"/>
          <w:sz w:val="24"/>
          <w:szCs w:val="24"/>
        </w:rPr>
        <w:t xml:space="preserve"> de la gouvernance du système de formation initiale et continue et;</w:t>
      </w:r>
    </w:p>
    <w:p w14:paraId="3953655E" w14:textId="77777777" w:rsidR="00642B17" w:rsidRPr="00D64144" w:rsidRDefault="00642B17" w:rsidP="00020D5E">
      <w:pPr>
        <w:pStyle w:val="Paragraphedeliste"/>
        <w:numPr>
          <w:ilvl w:val="0"/>
          <w:numId w:val="7"/>
        </w:numPr>
        <w:ind w:left="850" w:hanging="425"/>
        <w:contextualSpacing w:val="0"/>
        <w:jc w:val="both"/>
        <w:rPr>
          <w:rFonts w:cs="Arial"/>
          <w:sz w:val="24"/>
          <w:szCs w:val="24"/>
        </w:rPr>
      </w:pPr>
      <w:r w:rsidRPr="00D64144">
        <w:rPr>
          <w:sz w:val="24"/>
          <w:szCs w:val="24"/>
        </w:rPr>
        <w:t>La</w:t>
      </w:r>
      <w:r w:rsidRPr="00D64144">
        <w:rPr>
          <w:rFonts w:cs="Arial"/>
          <w:sz w:val="24"/>
          <w:szCs w:val="24"/>
        </w:rPr>
        <w:t xml:space="preserve"> mise en œuvre de réformes.</w:t>
      </w:r>
    </w:p>
    <w:p w14:paraId="4F64A8DB" w14:textId="77777777" w:rsidR="00642B17" w:rsidRPr="00D64144" w:rsidRDefault="00642B17" w:rsidP="004D046C">
      <w:pPr>
        <w:pStyle w:val="Paragraphedeliste"/>
        <w:numPr>
          <w:ilvl w:val="0"/>
          <w:numId w:val="11"/>
        </w:numPr>
        <w:tabs>
          <w:tab w:val="left" w:pos="3402"/>
        </w:tabs>
        <w:jc w:val="both"/>
        <w:rPr>
          <w:rFonts w:cs="Arial"/>
          <w:b/>
          <w:i/>
          <w:sz w:val="24"/>
          <w:szCs w:val="24"/>
        </w:rPr>
      </w:pPr>
      <w:r w:rsidRPr="00D64144">
        <w:rPr>
          <w:rFonts w:cs="Arial"/>
          <w:b/>
          <w:i/>
          <w:sz w:val="24"/>
          <w:szCs w:val="24"/>
        </w:rPr>
        <w:t>Renforcement des capacités des institutions de formation initiale, continue et de spécialisation</w:t>
      </w:r>
    </w:p>
    <w:p w14:paraId="63AEAE00" w14:textId="77777777" w:rsidR="00642B17" w:rsidRPr="00D64144" w:rsidRDefault="00642B17" w:rsidP="00642B17">
      <w:pPr>
        <w:widowControl w:val="0"/>
        <w:spacing w:after="120"/>
        <w:jc w:val="both"/>
        <w:rPr>
          <w:rFonts w:cs="Arial"/>
          <w:sz w:val="24"/>
          <w:szCs w:val="24"/>
        </w:rPr>
      </w:pPr>
      <w:r w:rsidRPr="00D64144">
        <w:rPr>
          <w:rFonts w:cs="Arial"/>
          <w:sz w:val="24"/>
          <w:szCs w:val="24"/>
        </w:rPr>
        <w:t xml:space="preserve">Dans le cadre de cette intervention, les actions prioritaires qui suivent seront menées: </w:t>
      </w:r>
    </w:p>
    <w:p w14:paraId="3F562B0A" w14:textId="77777777" w:rsidR="00642B17" w:rsidRPr="00D64144" w:rsidRDefault="008D38FE" w:rsidP="008D38FE">
      <w:pPr>
        <w:pStyle w:val="Paragraphedeliste"/>
        <w:numPr>
          <w:ilvl w:val="0"/>
          <w:numId w:val="7"/>
        </w:numPr>
        <w:spacing w:after="120"/>
        <w:ind w:left="850" w:hanging="425"/>
        <w:contextualSpacing w:val="0"/>
        <w:jc w:val="both"/>
        <w:rPr>
          <w:rFonts w:cs="Arial"/>
          <w:i/>
          <w:sz w:val="24"/>
          <w:szCs w:val="24"/>
        </w:rPr>
      </w:pPr>
      <w:r w:rsidRPr="00D64144">
        <w:rPr>
          <w:rFonts w:cs="Arial"/>
          <w:i/>
          <w:sz w:val="24"/>
          <w:szCs w:val="24"/>
        </w:rPr>
        <w:t>Renforcer</w:t>
      </w:r>
      <w:r w:rsidR="00642B17" w:rsidRPr="00D64144">
        <w:rPr>
          <w:rFonts w:cs="Arial"/>
          <w:i/>
          <w:sz w:val="24"/>
          <w:szCs w:val="24"/>
        </w:rPr>
        <w:t xml:space="preserve"> les capacités pédagogiques et didactiques des institutions de formation.</w:t>
      </w:r>
    </w:p>
    <w:p w14:paraId="67BDEDD4" w14:textId="77777777" w:rsidR="00642B17" w:rsidRPr="00D64144" w:rsidRDefault="00A20023" w:rsidP="008D38FE">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Il</w:t>
      </w:r>
      <w:r w:rsidR="00642B17" w:rsidRPr="00D64144">
        <w:rPr>
          <w:rFonts w:asciiTheme="minorHAnsi" w:eastAsiaTheme="minorHAnsi" w:hAnsiTheme="minorHAnsi" w:cs="Arial"/>
          <w:sz w:val="24"/>
          <w:szCs w:val="24"/>
          <w:lang w:val="fr-FR"/>
        </w:rPr>
        <w:t xml:space="preserve"> s’agira de soutenir des initiatives d’amélioration des compétences des enseignants dans le système de formation initiale des niveaux universitaire et professionnel. Dans ce cadre, une attention particulière sera accordée par le Ministère de la santé aux conditions d’identification et d’accompagnement du personnel enseignant bi-appartenant.</w:t>
      </w:r>
    </w:p>
    <w:p w14:paraId="7C59DDFD" w14:textId="77777777" w:rsidR="00642B17" w:rsidRPr="00D64144" w:rsidRDefault="00642B17" w:rsidP="00A65ECF">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Par ailleurs, l’accent sera mis sur le développement des infrastructures, des technologies de formation et sur l’accès aux bibliothèques virtuelles. Les technologies de l’information seront mises à profit pour élargir les capacités d’animation et d’illustration des cours et de développer la stratégie de la formation à distance.</w:t>
      </w:r>
    </w:p>
    <w:p w14:paraId="1EA63C68" w14:textId="77777777" w:rsidR="00642B17" w:rsidRPr="00D64144" w:rsidRDefault="00642B17" w:rsidP="00B10500">
      <w:pPr>
        <w:pStyle w:val="Corpsdetexte"/>
        <w:spacing w:before="1" w:after="240"/>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Dans tous ces domaines d’intérêt commun pour la formation des RHS, les parties prenantes mutualiseront leurs efforts pour accroitre la robustesse et la profitabilité des acquis de part et d’autre en vue de favoriser l’accès des apprenants aux meilleures conditions d’accueil et d’apprentissage</w:t>
      </w:r>
      <w:r w:rsidR="00B10500" w:rsidRPr="00D64144">
        <w:rPr>
          <w:rFonts w:asciiTheme="minorHAnsi" w:eastAsiaTheme="minorHAnsi" w:hAnsiTheme="minorHAnsi" w:cs="Arial"/>
          <w:sz w:val="24"/>
          <w:szCs w:val="24"/>
          <w:lang w:val="fr-FR"/>
        </w:rPr>
        <w:t xml:space="preserve">. Ce principe est applicable </w:t>
      </w:r>
      <w:r w:rsidRPr="00D64144">
        <w:rPr>
          <w:rFonts w:asciiTheme="minorHAnsi" w:eastAsiaTheme="minorHAnsi" w:hAnsiTheme="minorHAnsi" w:cs="Arial"/>
          <w:sz w:val="24"/>
          <w:szCs w:val="24"/>
          <w:lang w:val="fr-FR"/>
        </w:rPr>
        <w:t xml:space="preserve">où que la formation </w:t>
      </w:r>
      <w:r w:rsidR="00B10500" w:rsidRPr="00D64144">
        <w:rPr>
          <w:rFonts w:asciiTheme="minorHAnsi" w:eastAsiaTheme="minorHAnsi" w:hAnsiTheme="minorHAnsi" w:cs="Arial"/>
          <w:sz w:val="24"/>
          <w:szCs w:val="24"/>
          <w:lang w:val="fr-FR"/>
        </w:rPr>
        <w:t>(initiale, continue ou de spécialisation)</w:t>
      </w:r>
      <w:r w:rsidRPr="00D64144">
        <w:rPr>
          <w:rFonts w:asciiTheme="minorHAnsi" w:eastAsiaTheme="minorHAnsi" w:hAnsiTheme="minorHAnsi" w:cs="Arial"/>
          <w:sz w:val="24"/>
          <w:szCs w:val="24"/>
          <w:lang w:val="fr-FR"/>
        </w:rPr>
        <w:t xml:space="preserve">. </w:t>
      </w:r>
    </w:p>
    <w:p w14:paraId="6A68213E" w14:textId="77777777" w:rsidR="00642B17" w:rsidRPr="00D64144" w:rsidRDefault="00B10500" w:rsidP="004D046C">
      <w:pPr>
        <w:pStyle w:val="Paragraphedeliste"/>
        <w:numPr>
          <w:ilvl w:val="0"/>
          <w:numId w:val="7"/>
        </w:numPr>
        <w:spacing w:after="120"/>
        <w:ind w:left="850" w:hanging="425"/>
        <w:contextualSpacing w:val="0"/>
        <w:jc w:val="both"/>
        <w:rPr>
          <w:rFonts w:cs="Arial"/>
          <w:i/>
          <w:sz w:val="24"/>
          <w:szCs w:val="24"/>
        </w:rPr>
      </w:pPr>
      <w:r w:rsidRPr="00D64144">
        <w:rPr>
          <w:rFonts w:cs="Arial"/>
          <w:i/>
          <w:sz w:val="24"/>
          <w:szCs w:val="24"/>
        </w:rPr>
        <w:t>A</w:t>
      </w:r>
      <w:r w:rsidR="00642B17" w:rsidRPr="00D64144">
        <w:rPr>
          <w:rFonts w:cs="Arial"/>
          <w:i/>
          <w:sz w:val="24"/>
          <w:szCs w:val="24"/>
        </w:rPr>
        <w:t>méliorer les capacités d’accueil et d’encadrement des stages </w:t>
      </w:r>
    </w:p>
    <w:p w14:paraId="37D041F5" w14:textId="77777777" w:rsidR="00642B17" w:rsidRPr="00D64144" w:rsidRDefault="00642B17" w:rsidP="00A65ECF">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Les parties prenantes au système de formation accorderont une attention soutenue à l’accès aux sites de stages dans les meilleures conditions, dès la phase de recrutement des étudiants, aussi bien dans le public que dans le privé. Ainsi, la possibilité d’accès à un stage adéquat pendant la formation sera un des critères du calibrage du volume des inscriptions dans les écoles publiques et privées de formation en santé.</w:t>
      </w:r>
    </w:p>
    <w:p w14:paraId="4B7F2633" w14:textId="77777777" w:rsidR="00642B17" w:rsidRPr="00D64144" w:rsidRDefault="00642B17" w:rsidP="00B10500">
      <w:pPr>
        <w:pStyle w:val="Corpsdetexte"/>
        <w:spacing w:before="1" w:after="240"/>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 Le développement des sites de stage et des capacités d’encadrement des apprenants sur ces sites sera un des axes du partenariat que le Ministère de la santé établira avec les Ministères et institutions en charge de la formation des RHS.</w:t>
      </w:r>
    </w:p>
    <w:p w14:paraId="67E95654" w14:textId="77777777" w:rsidR="00642B17" w:rsidRPr="00D64144" w:rsidRDefault="00642B17" w:rsidP="008D38FE">
      <w:pPr>
        <w:pStyle w:val="Paragraphedeliste"/>
        <w:numPr>
          <w:ilvl w:val="0"/>
          <w:numId w:val="7"/>
        </w:numPr>
        <w:spacing w:after="120"/>
        <w:ind w:left="850" w:hanging="425"/>
        <w:contextualSpacing w:val="0"/>
        <w:jc w:val="both"/>
        <w:rPr>
          <w:rFonts w:cs="Arial"/>
          <w:i/>
          <w:sz w:val="24"/>
          <w:szCs w:val="24"/>
        </w:rPr>
      </w:pPr>
      <w:r w:rsidRPr="00D64144">
        <w:rPr>
          <w:rFonts w:cs="Arial"/>
          <w:sz w:val="24"/>
          <w:szCs w:val="24"/>
        </w:rPr>
        <w:t xml:space="preserve"> </w:t>
      </w:r>
      <w:r w:rsidR="008D38FE" w:rsidRPr="00D64144">
        <w:rPr>
          <w:sz w:val="24"/>
          <w:szCs w:val="24"/>
        </w:rPr>
        <w:t>Aligner</w:t>
      </w:r>
      <w:r w:rsidRPr="00D64144">
        <w:rPr>
          <w:rFonts w:cs="Arial"/>
          <w:i/>
          <w:sz w:val="24"/>
          <w:szCs w:val="24"/>
        </w:rPr>
        <w:t xml:space="preserve"> les programmes de formation initiale, continue et de spécialisation sur les besoins en compétences du système de santé</w:t>
      </w:r>
    </w:p>
    <w:p w14:paraId="7DA1D29E" w14:textId="77777777" w:rsidR="00642B17" w:rsidRPr="00D64144" w:rsidRDefault="00642B17" w:rsidP="00BE6CCB">
      <w:pPr>
        <w:pStyle w:val="Corpsdetexte"/>
        <w:spacing w:before="1" w:after="240"/>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Pour corriger les écarts constatés entre les produits de la formation et les besoins du système de santé, un accent particulier sera mis, par les parties prenantes, sur l’identification et la mise en œuvre de stratégies de mise en cohérence entre le développement des filières de formation, le calibrage des admissions par filière, et la mise à jour des programmes d’études avec les besoins en compétences du système de santé. Dans ce cadre les parties prenantes mettront au centre du développement des programmes d’études et d’apprentissage les besoins de santé des populations et particulièrement les paquets d’activités des formations sanitaires sans perdre de vue la nécessité de prendre en compte la transition épidémiologique en cours.</w:t>
      </w:r>
    </w:p>
    <w:p w14:paraId="4419EC23" w14:textId="77777777" w:rsidR="00642B17" w:rsidRPr="00D64144" w:rsidRDefault="00642B17" w:rsidP="00BE6CCB">
      <w:pPr>
        <w:pStyle w:val="Corpsdetexte"/>
        <w:spacing w:before="1" w:after="240"/>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Dans le système de formation continue, il s’agit de sortir de l’amateurisme et de professionnaliser la formation en dotant l’ensemble des formateurs de compétences en andragogie. Il s’agira également de les doter des programmes de formation mis aux normes de bonnes pratiques pédagogiques.</w:t>
      </w:r>
    </w:p>
    <w:p w14:paraId="3184D48E" w14:textId="77777777" w:rsidR="00642B17" w:rsidRPr="00BE6CCB" w:rsidRDefault="00642B17" w:rsidP="004D046C">
      <w:pPr>
        <w:pStyle w:val="Paragraphedeliste"/>
        <w:numPr>
          <w:ilvl w:val="0"/>
          <w:numId w:val="11"/>
        </w:numPr>
        <w:tabs>
          <w:tab w:val="left" w:pos="3402"/>
        </w:tabs>
        <w:jc w:val="both"/>
        <w:rPr>
          <w:rFonts w:cs="Arial"/>
          <w:b/>
          <w:i/>
          <w:sz w:val="28"/>
          <w:szCs w:val="28"/>
        </w:rPr>
      </w:pPr>
      <w:r w:rsidRPr="00BE6CCB">
        <w:rPr>
          <w:rFonts w:cs="Arial"/>
          <w:b/>
          <w:i/>
          <w:sz w:val="28"/>
          <w:szCs w:val="28"/>
        </w:rPr>
        <w:t>Renforcement de la gouvernance du système de formation</w:t>
      </w:r>
    </w:p>
    <w:p w14:paraId="4FDB1D42" w14:textId="77777777" w:rsidR="00642B17" w:rsidRPr="00D64144" w:rsidRDefault="00642B17" w:rsidP="00BE6CCB">
      <w:pPr>
        <w:pStyle w:val="Corpsdetexte"/>
        <w:spacing w:before="1" w:after="240"/>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Pour assurer au système de formation des RHS une efficacité interne et externe, la mise en place de plusieurs instruments de gouvernance est nécessaire. Dans ce cadre, les actions principales </w:t>
      </w:r>
      <w:r w:rsidR="00BE6CCB" w:rsidRPr="00D64144">
        <w:rPr>
          <w:rFonts w:asciiTheme="minorHAnsi" w:eastAsiaTheme="minorHAnsi" w:hAnsiTheme="minorHAnsi" w:cs="Arial"/>
          <w:sz w:val="24"/>
          <w:szCs w:val="24"/>
          <w:lang w:val="fr-FR"/>
        </w:rPr>
        <w:t>suivantes</w:t>
      </w:r>
      <w:r w:rsidRPr="00D64144">
        <w:rPr>
          <w:rFonts w:asciiTheme="minorHAnsi" w:eastAsiaTheme="minorHAnsi" w:hAnsiTheme="minorHAnsi" w:cs="Arial"/>
          <w:sz w:val="24"/>
          <w:szCs w:val="24"/>
          <w:lang w:val="fr-FR"/>
        </w:rPr>
        <w:t xml:space="preserve"> seront développées : </w:t>
      </w:r>
    </w:p>
    <w:p w14:paraId="23FE465E" w14:textId="77777777" w:rsidR="00642B17" w:rsidRPr="00A20023" w:rsidRDefault="00642B17" w:rsidP="008D38FE">
      <w:pPr>
        <w:pStyle w:val="Paragraphedeliste"/>
        <w:numPr>
          <w:ilvl w:val="0"/>
          <w:numId w:val="12"/>
        </w:numPr>
        <w:spacing w:after="120"/>
        <w:ind w:left="993" w:hanging="567"/>
        <w:jc w:val="both"/>
        <w:rPr>
          <w:rFonts w:cs="Arial"/>
          <w:i/>
          <w:sz w:val="28"/>
          <w:szCs w:val="28"/>
        </w:rPr>
      </w:pPr>
      <w:r w:rsidRPr="00A20023">
        <w:rPr>
          <w:sz w:val="28"/>
          <w:szCs w:val="28"/>
        </w:rPr>
        <w:t>Mettre</w:t>
      </w:r>
      <w:r w:rsidRPr="00A20023">
        <w:rPr>
          <w:rFonts w:cs="Arial"/>
          <w:i/>
          <w:sz w:val="28"/>
          <w:szCs w:val="28"/>
        </w:rPr>
        <w:t xml:space="preserve"> en place les principaux instruments de références pour la formation</w:t>
      </w:r>
    </w:p>
    <w:p w14:paraId="6CDE525F" w14:textId="77777777" w:rsidR="00642B17" w:rsidRPr="00D64144" w:rsidRDefault="00642B17" w:rsidP="008D38FE">
      <w:pPr>
        <w:pStyle w:val="Corpsdetexte"/>
        <w:spacing w:before="1"/>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Il s’agit de définir et mettre en place les lignes directrices qui vont encadrer les processus opérationnels à </w:t>
      </w:r>
      <w:r w:rsidR="00BE6CCB" w:rsidRPr="00D64144">
        <w:rPr>
          <w:rFonts w:asciiTheme="minorHAnsi" w:eastAsiaTheme="minorHAnsi" w:hAnsiTheme="minorHAnsi" w:cs="Arial"/>
          <w:sz w:val="24"/>
          <w:szCs w:val="24"/>
          <w:lang w:val="fr-FR"/>
        </w:rPr>
        <w:t>observer</w:t>
      </w:r>
      <w:r w:rsidRPr="00D64144">
        <w:rPr>
          <w:rFonts w:asciiTheme="minorHAnsi" w:eastAsiaTheme="minorHAnsi" w:hAnsiTheme="minorHAnsi" w:cs="Arial"/>
          <w:sz w:val="24"/>
          <w:szCs w:val="24"/>
          <w:lang w:val="fr-FR"/>
        </w:rPr>
        <w:t xml:space="preserve"> pour identifier, prioriser, structurer, mettre en œuvre, suivre et évaluer les activités de formation en conformité avec les orientations de la politique nationale de santé.</w:t>
      </w:r>
      <w:r w:rsidR="00BE6CCB" w:rsidRPr="00D64144">
        <w:rPr>
          <w:rFonts w:asciiTheme="minorHAnsi" w:eastAsiaTheme="minorHAnsi" w:hAnsiTheme="minorHAnsi" w:cs="Arial"/>
          <w:sz w:val="24"/>
          <w:szCs w:val="24"/>
          <w:lang w:val="fr-FR"/>
        </w:rPr>
        <w:t xml:space="preserve"> </w:t>
      </w:r>
      <w:r w:rsidR="009C3ECC" w:rsidRPr="00D64144">
        <w:rPr>
          <w:rFonts w:asciiTheme="minorHAnsi" w:eastAsiaTheme="minorHAnsi" w:hAnsiTheme="minorHAnsi" w:cs="Arial"/>
          <w:sz w:val="24"/>
          <w:szCs w:val="24"/>
          <w:lang w:val="fr-FR"/>
        </w:rPr>
        <w:t xml:space="preserve">Ces instruments sont : les </w:t>
      </w:r>
      <w:r w:rsidR="009C3ECC" w:rsidRPr="00D64144">
        <w:rPr>
          <w:rFonts w:asciiTheme="minorHAnsi" w:hAnsiTheme="minorHAnsi" w:cs="Arial"/>
          <w:sz w:val="24"/>
          <w:szCs w:val="24"/>
          <w:lang w:val="fr-FR"/>
        </w:rPr>
        <w:t>normes et procédures, les référentiels des métiers et des compétences et le système de suivi-évaluation.</w:t>
      </w:r>
    </w:p>
    <w:p w14:paraId="280AF8A1" w14:textId="77777777" w:rsidR="00642B17" w:rsidRPr="00642B17" w:rsidRDefault="00642B17" w:rsidP="00642B17">
      <w:pPr>
        <w:pStyle w:val="Corpsdetexte"/>
        <w:spacing w:before="1"/>
        <w:ind w:left="1171"/>
        <w:jc w:val="both"/>
        <w:rPr>
          <w:rFonts w:asciiTheme="minorHAnsi" w:hAnsiTheme="minorHAnsi" w:cs="Arial"/>
          <w:sz w:val="28"/>
          <w:szCs w:val="28"/>
          <w:lang w:val="fr-FR"/>
        </w:rPr>
      </w:pPr>
    </w:p>
    <w:p w14:paraId="47F1048A" w14:textId="77777777" w:rsidR="00642B17" w:rsidRPr="009C3ECC" w:rsidRDefault="00642B17" w:rsidP="004D046C">
      <w:pPr>
        <w:pStyle w:val="Paragraphedeliste"/>
        <w:numPr>
          <w:ilvl w:val="0"/>
          <w:numId w:val="12"/>
        </w:numPr>
        <w:spacing w:after="120"/>
        <w:ind w:left="993" w:hanging="567"/>
        <w:jc w:val="both"/>
        <w:rPr>
          <w:rFonts w:cs="Arial"/>
          <w:i/>
          <w:sz w:val="28"/>
          <w:szCs w:val="28"/>
        </w:rPr>
      </w:pPr>
      <w:r w:rsidRPr="00A20023">
        <w:rPr>
          <w:sz w:val="28"/>
          <w:szCs w:val="28"/>
        </w:rPr>
        <w:t>Renforcer</w:t>
      </w:r>
      <w:r w:rsidRPr="009C3ECC">
        <w:rPr>
          <w:rFonts w:cs="Arial"/>
          <w:i/>
          <w:sz w:val="28"/>
          <w:szCs w:val="28"/>
        </w:rPr>
        <w:t xml:space="preserve"> le</w:t>
      </w:r>
      <w:r w:rsidR="009C3ECC">
        <w:rPr>
          <w:rFonts w:cs="Arial"/>
          <w:i/>
          <w:sz w:val="28"/>
          <w:szCs w:val="28"/>
        </w:rPr>
        <w:t>s capacités</w:t>
      </w:r>
      <w:r w:rsidRPr="009C3ECC">
        <w:rPr>
          <w:rFonts w:cs="Arial"/>
          <w:i/>
          <w:sz w:val="28"/>
          <w:szCs w:val="28"/>
        </w:rPr>
        <w:t xml:space="preserve"> institutionnel</w:t>
      </w:r>
      <w:r w:rsidR="009C3ECC">
        <w:rPr>
          <w:rFonts w:cs="Arial"/>
          <w:i/>
          <w:sz w:val="28"/>
          <w:szCs w:val="28"/>
        </w:rPr>
        <w:t>les</w:t>
      </w:r>
      <w:r w:rsidRPr="009C3ECC">
        <w:rPr>
          <w:rFonts w:cs="Arial"/>
          <w:i/>
          <w:sz w:val="28"/>
          <w:szCs w:val="28"/>
        </w:rPr>
        <w:t xml:space="preserve"> du Ministère de la santé en matière de </w:t>
      </w:r>
      <w:r w:rsidR="009C3ECC">
        <w:rPr>
          <w:rFonts w:cs="Arial"/>
          <w:i/>
          <w:sz w:val="28"/>
          <w:szCs w:val="28"/>
        </w:rPr>
        <w:t xml:space="preserve">gestion de la </w:t>
      </w:r>
      <w:r w:rsidRPr="009C3ECC">
        <w:rPr>
          <w:rFonts w:cs="Arial"/>
          <w:i/>
          <w:sz w:val="28"/>
          <w:szCs w:val="28"/>
        </w:rPr>
        <w:t>formation</w:t>
      </w:r>
      <w:r w:rsidR="009C3ECC">
        <w:rPr>
          <w:rFonts w:cs="Arial"/>
          <w:i/>
          <w:sz w:val="28"/>
          <w:szCs w:val="28"/>
        </w:rPr>
        <w:t xml:space="preserve"> des RHS</w:t>
      </w:r>
    </w:p>
    <w:p w14:paraId="044809FD" w14:textId="77777777" w:rsidR="00642B17" w:rsidRPr="00D64144" w:rsidRDefault="00642B17" w:rsidP="001B28E6">
      <w:pPr>
        <w:pStyle w:val="Corpsdetexte"/>
        <w:spacing w:before="1" w:after="200" w:line="276" w:lineRule="auto"/>
        <w:jc w:val="both"/>
        <w:rPr>
          <w:rFonts w:asciiTheme="minorHAnsi" w:hAnsiTheme="minorHAnsi"/>
          <w:sz w:val="24"/>
          <w:szCs w:val="24"/>
          <w:lang w:val="fr-FR"/>
        </w:rPr>
      </w:pPr>
      <w:r w:rsidRPr="00D64144">
        <w:rPr>
          <w:rFonts w:asciiTheme="minorHAnsi" w:eastAsiaTheme="minorHAnsi" w:hAnsiTheme="minorHAnsi" w:cs="Arial"/>
          <w:sz w:val="24"/>
          <w:szCs w:val="24"/>
          <w:lang w:val="fr-FR"/>
        </w:rPr>
        <w:t>Avec</w:t>
      </w:r>
      <w:r w:rsidRPr="00D64144">
        <w:rPr>
          <w:rFonts w:asciiTheme="minorHAnsi" w:hAnsiTheme="minorHAnsi"/>
          <w:sz w:val="24"/>
          <w:szCs w:val="24"/>
          <w:lang w:val="fr-FR"/>
        </w:rPr>
        <w:t xml:space="preserve"> la création de la direction des RHS au MS, un cadre organique fixant les postes et positions au niveau central, régional et préfectoral, a été défini.</w:t>
      </w:r>
    </w:p>
    <w:p w14:paraId="5AB3D8F2" w14:textId="77777777" w:rsidR="00642B17" w:rsidRPr="00D64144" w:rsidRDefault="00642B17" w:rsidP="001B28E6">
      <w:pPr>
        <w:pStyle w:val="Corpsdetexte"/>
        <w:spacing w:before="1" w:after="200" w:line="276" w:lineRule="auto"/>
        <w:jc w:val="both"/>
        <w:rPr>
          <w:rFonts w:asciiTheme="minorHAnsi" w:hAnsiTheme="minorHAnsi"/>
          <w:sz w:val="24"/>
          <w:szCs w:val="24"/>
          <w:lang w:val="fr-FR"/>
        </w:rPr>
      </w:pPr>
      <w:r w:rsidRPr="00D64144">
        <w:rPr>
          <w:rFonts w:asciiTheme="minorHAnsi" w:hAnsiTheme="minorHAnsi"/>
          <w:sz w:val="24"/>
          <w:szCs w:val="24"/>
          <w:lang w:val="fr-FR"/>
        </w:rPr>
        <w:t xml:space="preserve">Il </w:t>
      </w:r>
      <w:r w:rsidRPr="00D64144">
        <w:rPr>
          <w:rFonts w:asciiTheme="minorHAnsi" w:eastAsiaTheme="minorHAnsi" w:hAnsiTheme="minorHAnsi" w:cs="Arial"/>
          <w:sz w:val="24"/>
          <w:szCs w:val="24"/>
          <w:lang w:val="fr-FR"/>
        </w:rPr>
        <w:t>s’agira</w:t>
      </w:r>
      <w:r w:rsidRPr="00D64144">
        <w:rPr>
          <w:rFonts w:asciiTheme="minorHAnsi" w:hAnsiTheme="minorHAnsi"/>
          <w:sz w:val="24"/>
          <w:szCs w:val="24"/>
          <w:lang w:val="fr-FR"/>
        </w:rPr>
        <w:t xml:space="preserve"> de rendre opérationnel ce nouveau chainon du système de gestion des RHS devant prendre une part importante dans la gouvernance de la formation des personnels de santé. Dans ce cadre, le Ministère prendra les mesures appropriées pour : meubler ce cadre organique, héberger, former et équiper les cadres et agents.</w:t>
      </w:r>
    </w:p>
    <w:p w14:paraId="409691EF" w14:textId="77777777" w:rsidR="00642B17" w:rsidRPr="00D64144" w:rsidRDefault="00642B17" w:rsidP="001B28E6">
      <w:pPr>
        <w:pStyle w:val="Corpsdetexte"/>
        <w:spacing w:before="1" w:after="200" w:line="276" w:lineRule="auto"/>
        <w:jc w:val="both"/>
        <w:rPr>
          <w:rFonts w:asciiTheme="minorHAnsi" w:hAnsiTheme="minorHAnsi"/>
          <w:sz w:val="24"/>
          <w:szCs w:val="24"/>
          <w:lang w:val="fr-FR"/>
        </w:rPr>
      </w:pPr>
      <w:r w:rsidRPr="00D64144">
        <w:rPr>
          <w:rFonts w:asciiTheme="minorHAnsi" w:hAnsiTheme="minorHAnsi"/>
          <w:sz w:val="24"/>
          <w:szCs w:val="24"/>
          <w:lang w:val="fr-FR"/>
        </w:rPr>
        <w:t xml:space="preserve">Les procédures et outils de travail ainsi que les paquets d’activités et budgets seront définis. </w:t>
      </w:r>
    </w:p>
    <w:p w14:paraId="6B694561" w14:textId="77777777" w:rsidR="00642B17" w:rsidRPr="00D64144" w:rsidRDefault="00642B17" w:rsidP="00C46382">
      <w:pPr>
        <w:pStyle w:val="Corpsdetexte"/>
        <w:spacing w:before="1" w:after="240"/>
        <w:jc w:val="both"/>
        <w:rPr>
          <w:rFonts w:asciiTheme="minorHAnsi" w:hAnsiTheme="minorHAnsi"/>
          <w:sz w:val="24"/>
          <w:szCs w:val="24"/>
          <w:lang w:val="fr-FR"/>
        </w:rPr>
      </w:pPr>
      <w:r w:rsidRPr="00D64144">
        <w:rPr>
          <w:rFonts w:asciiTheme="minorHAnsi" w:hAnsiTheme="minorHAnsi"/>
          <w:sz w:val="24"/>
          <w:szCs w:val="24"/>
          <w:lang w:val="fr-FR"/>
        </w:rPr>
        <w:t>Cette structure sera la cheville ouvrière du développement des partenariats entre le Ministère de la santé et toutes les parties prenantes de la gestion des RHS dont la formation qui occupe une place centrale.</w:t>
      </w:r>
    </w:p>
    <w:p w14:paraId="409785FC" w14:textId="77777777" w:rsidR="00642B17" w:rsidRPr="00C46382" w:rsidRDefault="00642B17" w:rsidP="004D046C">
      <w:pPr>
        <w:pStyle w:val="Paragraphedeliste"/>
        <w:numPr>
          <w:ilvl w:val="0"/>
          <w:numId w:val="12"/>
        </w:numPr>
        <w:spacing w:after="120"/>
        <w:ind w:left="993" w:hanging="567"/>
        <w:jc w:val="both"/>
        <w:rPr>
          <w:rFonts w:cs="Arial"/>
          <w:i/>
          <w:sz w:val="28"/>
          <w:szCs w:val="28"/>
        </w:rPr>
      </w:pPr>
      <w:r w:rsidRPr="00C46382">
        <w:rPr>
          <w:rFonts w:cs="Arial"/>
          <w:i/>
          <w:sz w:val="28"/>
          <w:szCs w:val="28"/>
        </w:rPr>
        <w:t>Développer les mécanismes de dialogue et de coordination du système de formation </w:t>
      </w:r>
    </w:p>
    <w:p w14:paraId="0FFBF62F" w14:textId="77777777" w:rsidR="00642B17" w:rsidRPr="00D64144" w:rsidRDefault="00642B17" w:rsidP="001B28E6">
      <w:pPr>
        <w:pStyle w:val="Corpsdetexte"/>
        <w:spacing w:before="1" w:after="200" w:line="276" w:lineRule="auto"/>
        <w:jc w:val="both"/>
        <w:rPr>
          <w:rFonts w:asciiTheme="minorHAnsi" w:hAnsiTheme="minorHAnsi" w:cs="Arial"/>
          <w:sz w:val="24"/>
          <w:szCs w:val="24"/>
          <w:lang w:val="fr-FR"/>
        </w:rPr>
      </w:pPr>
      <w:r w:rsidRPr="00D64144">
        <w:rPr>
          <w:rFonts w:asciiTheme="minorHAnsi" w:hAnsiTheme="minorHAnsi" w:cs="Arial"/>
          <w:sz w:val="24"/>
          <w:szCs w:val="24"/>
          <w:lang w:val="fr-FR"/>
        </w:rPr>
        <w:t>L’analyse de la situation de la formation des RHS a permis de relever que la faible harmonisation des politiques, programmes et pratiques développés par les différentes parties prenantes au système de formation, explique que celui-ci ne soit pas aligné sur les besoins qualitatifs et quantitatifs du système de santé. Aussi, cette situation est source de gaspillage des ressources investies dans ce secteur</w:t>
      </w:r>
      <w:r w:rsidR="00C46382" w:rsidRPr="00D64144">
        <w:rPr>
          <w:rFonts w:asciiTheme="minorHAnsi" w:hAnsiTheme="minorHAnsi" w:cs="Arial"/>
          <w:sz w:val="24"/>
          <w:szCs w:val="24"/>
          <w:lang w:val="fr-FR"/>
        </w:rPr>
        <w:t>,</w:t>
      </w:r>
      <w:r w:rsidRPr="00D64144">
        <w:rPr>
          <w:rFonts w:asciiTheme="minorHAnsi" w:hAnsiTheme="minorHAnsi" w:cs="Arial"/>
          <w:sz w:val="24"/>
          <w:szCs w:val="24"/>
          <w:lang w:val="fr-FR"/>
        </w:rPr>
        <w:t xml:space="preserve"> et facteur de retard du développement du pays tout entier. Les cadres de collaboration intra et intersectoriels existant n’ont pas fait la preuve de leur efficacité.</w:t>
      </w:r>
    </w:p>
    <w:p w14:paraId="50201030" w14:textId="77777777" w:rsidR="00642B17" w:rsidRPr="00D64144" w:rsidRDefault="00642B17" w:rsidP="008D38FE">
      <w:pPr>
        <w:pStyle w:val="Corpsdetexte"/>
        <w:spacing w:before="1"/>
        <w:jc w:val="both"/>
        <w:rPr>
          <w:rFonts w:asciiTheme="minorHAnsi" w:hAnsiTheme="minorHAnsi" w:cs="Arial"/>
          <w:sz w:val="24"/>
          <w:szCs w:val="24"/>
          <w:highlight w:val="yellow"/>
          <w:lang w:val="fr-FR"/>
        </w:rPr>
      </w:pPr>
      <w:r w:rsidRPr="00D64144">
        <w:rPr>
          <w:rFonts w:asciiTheme="minorHAnsi" w:hAnsiTheme="minorHAnsi" w:cs="Arial"/>
          <w:sz w:val="24"/>
          <w:szCs w:val="24"/>
          <w:lang w:val="fr-FR"/>
        </w:rPr>
        <w:t>Pour que les objectifs et les priorités retenues dans le cadre de la présente politique se réalisent et contribuent significativement à la correction de cette situation, il est essentiel que des espaces de dialogue et de coordination entre les parties prenantes soient ouverts et/ ou renforcés. Dans ce cadre, les actions prioritaires ci-après seront développées.</w:t>
      </w:r>
    </w:p>
    <w:p w14:paraId="7919D43B" w14:textId="77777777" w:rsidR="00642B17" w:rsidRPr="00642B17" w:rsidRDefault="00642B17" w:rsidP="00642B17">
      <w:pPr>
        <w:pStyle w:val="Corpsdetexte"/>
        <w:spacing w:before="1"/>
        <w:jc w:val="both"/>
        <w:rPr>
          <w:rFonts w:asciiTheme="minorHAnsi" w:hAnsiTheme="minorHAnsi" w:cs="Arial"/>
          <w:sz w:val="28"/>
          <w:szCs w:val="28"/>
          <w:highlight w:val="yellow"/>
          <w:lang w:val="fr-FR"/>
        </w:rPr>
      </w:pPr>
    </w:p>
    <w:p w14:paraId="6EEFD09E" w14:textId="77777777" w:rsidR="00642B17" w:rsidRPr="00D64144" w:rsidRDefault="00642B17" w:rsidP="00B00038">
      <w:pPr>
        <w:pStyle w:val="Corpsdetexte"/>
        <w:numPr>
          <w:ilvl w:val="1"/>
          <w:numId w:val="1"/>
        </w:numPr>
        <w:tabs>
          <w:tab w:val="clear" w:pos="1440"/>
        </w:tabs>
        <w:spacing w:before="1"/>
        <w:ind w:left="851" w:hanging="425"/>
        <w:jc w:val="both"/>
        <w:rPr>
          <w:rFonts w:asciiTheme="minorHAnsi" w:hAnsiTheme="minorHAnsi" w:cs="Arial"/>
          <w:sz w:val="24"/>
          <w:szCs w:val="24"/>
          <w:lang w:val="fr-FR"/>
        </w:rPr>
      </w:pPr>
      <w:r w:rsidRPr="00D64144">
        <w:rPr>
          <w:rFonts w:asciiTheme="minorHAnsi" w:hAnsiTheme="minorHAnsi" w:cs="Arial"/>
          <w:sz w:val="24"/>
          <w:szCs w:val="24"/>
          <w:lang w:val="fr-FR"/>
        </w:rPr>
        <w:t>Renforcer les capacités de communication et de plaidoyer du Ministère de la santé auprès de ses partenaires nationaux et internationaux en matière de formation: études</w:t>
      </w:r>
      <w:r w:rsidR="009164AF" w:rsidRPr="00D64144">
        <w:rPr>
          <w:rFonts w:asciiTheme="minorHAnsi" w:hAnsiTheme="minorHAnsi" w:cs="Arial"/>
          <w:sz w:val="24"/>
          <w:szCs w:val="24"/>
          <w:lang w:val="fr-FR"/>
        </w:rPr>
        <w:t>/recherche</w:t>
      </w:r>
      <w:r w:rsidRPr="00D64144">
        <w:rPr>
          <w:rFonts w:asciiTheme="minorHAnsi" w:hAnsiTheme="minorHAnsi" w:cs="Arial"/>
          <w:sz w:val="24"/>
          <w:szCs w:val="24"/>
          <w:lang w:val="fr-FR"/>
        </w:rPr>
        <w:t xml:space="preserve"> et documentation, rapports de suivi…;</w:t>
      </w:r>
    </w:p>
    <w:p w14:paraId="012340E7" w14:textId="77777777" w:rsidR="00642B17" w:rsidRDefault="00642B17" w:rsidP="00B00038">
      <w:pPr>
        <w:pStyle w:val="Corpsdetexte"/>
        <w:numPr>
          <w:ilvl w:val="1"/>
          <w:numId w:val="1"/>
        </w:numPr>
        <w:tabs>
          <w:tab w:val="clear" w:pos="1440"/>
        </w:tabs>
        <w:spacing w:before="1"/>
        <w:ind w:left="851" w:hanging="425"/>
        <w:jc w:val="both"/>
        <w:rPr>
          <w:rFonts w:asciiTheme="minorHAnsi" w:hAnsiTheme="minorHAnsi" w:cs="Arial"/>
          <w:sz w:val="28"/>
          <w:szCs w:val="28"/>
          <w:lang w:val="fr-FR"/>
        </w:rPr>
      </w:pPr>
      <w:r w:rsidRPr="00D64144">
        <w:rPr>
          <w:rFonts w:asciiTheme="minorHAnsi" w:hAnsiTheme="minorHAnsi" w:cs="Arial"/>
          <w:sz w:val="24"/>
          <w:szCs w:val="24"/>
          <w:lang w:val="fr-FR"/>
        </w:rPr>
        <w:t xml:space="preserve">Initier et organiser de rencontres régulières sur des sujets </w:t>
      </w:r>
      <w:proofErr w:type="spellStart"/>
      <w:r w:rsidRPr="00D64144">
        <w:rPr>
          <w:rFonts w:asciiTheme="minorHAnsi" w:hAnsiTheme="minorHAnsi" w:cs="Arial"/>
          <w:sz w:val="24"/>
          <w:szCs w:val="24"/>
          <w:lang w:val="fr-FR"/>
        </w:rPr>
        <w:t>co</w:t>
      </w:r>
      <w:proofErr w:type="spellEnd"/>
      <w:r w:rsidRPr="00D64144">
        <w:rPr>
          <w:rFonts w:asciiTheme="minorHAnsi" w:hAnsiTheme="minorHAnsi" w:cs="Arial"/>
          <w:sz w:val="24"/>
          <w:szCs w:val="24"/>
          <w:lang w:val="fr-FR"/>
        </w:rPr>
        <w:t>-ciblées avec les partenaires concernés en vue de générer des solutions pratiques à différentes problématiques ou obtenir un soutien et des engagements à propos d’une initiative, etc… </w:t>
      </w:r>
    </w:p>
    <w:p w14:paraId="407D8901" w14:textId="77777777" w:rsidR="00642B17" w:rsidRPr="00642B17" w:rsidRDefault="00642B17" w:rsidP="00642B17">
      <w:pPr>
        <w:pStyle w:val="Corpsdetexte"/>
        <w:spacing w:before="1"/>
        <w:ind w:left="1440"/>
        <w:jc w:val="both"/>
        <w:rPr>
          <w:rFonts w:asciiTheme="minorHAnsi" w:hAnsiTheme="minorHAnsi" w:cs="Arial"/>
          <w:sz w:val="28"/>
          <w:szCs w:val="28"/>
          <w:highlight w:val="yellow"/>
          <w:lang w:val="fr-FR"/>
        </w:rPr>
      </w:pPr>
    </w:p>
    <w:p w14:paraId="2AFDAFDA" w14:textId="77777777" w:rsidR="00642B17" w:rsidRPr="00FC7D2F" w:rsidRDefault="00642B17" w:rsidP="004D046C">
      <w:pPr>
        <w:pStyle w:val="Paragraphedeliste"/>
        <w:numPr>
          <w:ilvl w:val="0"/>
          <w:numId w:val="12"/>
        </w:numPr>
        <w:spacing w:after="120"/>
        <w:ind w:left="993" w:hanging="567"/>
        <w:jc w:val="both"/>
        <w:rPr>
          <w:rFonts w:cs="Arial"/>
          <w:i/>
          <w:sz w:val="28"/>
          <w:szCs w:val="28"/>
        </w:rPr>
      </w:pPr>
      <w:r w:rsidRPr="00FC7D2F">
        <w:rPr>
          <w:rFonts w:cs="Arial"/>
          <w:i/>
          <w:sz w:val="28"/>
          <w:szCs w:val="28"/>
        </w:rPr>
        <w:t xml:space="preserve">Intégrer la formation </w:t>
      </w:r>
      <w:r w:rsidR="00FC7D2F">
        <w:rPr>
          <w:rFonts w:cs="Arial"/>
          <w:i/>
          <w:sz w:val="28"/>
          <w:szCs w:val="28"/>
        </w:rPr>
        <w:t xml:space="preserve">comme </w:t>
      </w:r>
      <w:r w:rsidRPr="00FC7D2F">
        <w:rPr>
          <w:rFonts w:cs="Arial"/>
          <w:i/>
          <w:sz w:val="28"/>
          <w:szCs w:val="28"/>
        </w:rPr>
        <w:t xml:space="preserve">stratégie de gestion des carrières et de la fidélisation des personnels de santé </w:t>
      </w:r>
    </w:p>
    <w:p w14:paraId="614FFDE2" w14:textId="77777777" w:rsidR="00642B17" w:rsidRPr="00D64144" w:rsidRDefault="00642B17" w:rsidP="00E228A0">
      <w:pPr>
        <w:pStyle w:val="Corpsdetexte"/>
        <w:spacing w:before="1" w:after="200" w:line="276" w:lineRule="auto"/>
        <w:jc w:val="both"/>
        <w:rPr>
          <w:rFonts w:asciiTheme="minorHAnsi" w:hAnsiTheme="minorHAnsi" w:cs="Arial"/>
          <w:sz w:val="24"/>
          <w:szCs w:val="24"/>
          <w:lang w:val="fr-FR"/>
        </w:rPr>
      </w:pPr>
      <w:r w:rsidRPr="00D64144">
        <w:rPr>
          <w:rFonts w:asciiTheme="minorHAnsi" w:hAnsiTheme="minorHAnsi" w:cs="Arial"/>
          <w:sz w:val="24"/>
          <w:szCs w:val="24"/>
          <w:lang w:val="fr-FR"/>
        </w:rPr>
        <w:t>L’analyse de la situation a montré que l</w:t>
      </w:r>
      <w:r w:rsidR="00FC7D2F" w:rsidRPr="00D64144">
        <w:rPr>
          <w:rFonts w:asciiTheme="minorHAnsi" w:hAnsiTheme="minorHAnsi" w:cs="Arial"/>
          <w:sz w:val="24"/>
          <w:szCs w:val="24"/>
          <w:lang w:val="fr-FR"/>
        </w:rPr>
        <w:t xml:space="preserve">a </w:t>
      </w:r>
      <w:r w:rsidRPr="00D64144">
        <w:rPr>
          <w:rFonts w:asciiTheme="minorHAnsi" w:hAnsiTheme="minorHAnsi" w:cs="Arial"/>
          <w:sz w:val="24"/>
          <w:szCs w:val="24"/>
          <w:lang w:val="fr-FR"/>
        </w:rPr>
        <w:t>formation n</w:t>
      </w:r>
      <w:r w:rsidR="00FC7D2F" w:rsidRPr="00D64144">
        <w:rPr>
          <w:rFonts w:asciiTheme="minorHAnsi" w:hAnsiTheme="minorHAnsi" w:cs="Arial"/>
          <w:sz w:val="24"/>
          <w:szCs w:val="24"/>
          <w:lang w:val="fr-FR"/>
        </w:rPr>
        <w:t>’</w:t>
      </w:r>
      <w:r w:rsidRPr="00D64144">
        <w:rPr>
          <w:rFonts w:asciiTheme="minorHAnsi" w:hAnsiTheme="minorHAnsi" w:cs="Arial"/>
          <w:sz w:val="24"/>
          <w:szCs w:val="24"/>
          <w:lang w:val="fr-FR"/>
        </w:rPr>
        <w:t>est pas utilisée comme levier pour fidéliser les personnels de santé dans les zones défavorisées et/ou aider les agents de santé à renforcer leur position de carrière</w:t>
      </w:r>
      <w:r w:rsidR="007E6ADE" w:rsidRPr="00D64144">
        <w:rPr>
          <w:rFonts w:asciiTheme="minorHAnsi" w:hAnsiTheme="minorHAnsi" w:cs="Arial"/>
          <w:sz w:val="24"/>
          <w:szCs w:val="24"/>
          <w:lang w:val="fr-FR"/>
        </w:rPr>
        <w:t xml:space="preserve">. A titre d’exemple, la formation n’est pas indexée sur </w:t>
      </w:r>
      <w:r w:rsidRPr="00D64144">
        <w:rPr>
          <w:rFonts w:asciiTheme="minorHAnsi" w:hAnsiTheme="minorHAnsi" w:cs="Arial"/>
          <w:sz w:val="24"/>
          <w:szCs w:val="24"/>
          <w:lang w:val="fr-FR"/>
        </w:rPr>
        <w:t xml:space="preserve">la perspective d’accès à des </w:t>
      </w:r>
      <w:r w:rsidR="007E6ADE" w:rsidRPr="00D64144">
        <w:rPr>
          <w:rFonts w:asciiTheme="minorHAnsi" w:hAnsiTheme="minorHAnsi" w:cs="Arial"/>
          <w:sz w:val="24"/>
          <w:szCs w:val="24"/>
          <w:lang w:val="fr-FR"/>
        </w:rPr>
        <w:t xml:space="preserve">postes de </w:t>
      </w:r>
      <w:r w:rsidRPr="00D64144">
        <w:rPr>
          <w:rFonts w:asciiTheme="minorHAnsi" w:hAnsiTheme="minorHAnsi" w:cs="Arial"/>
          <w:sz w:val="24"/>
          <w:szCs w:val="24"/>
          <w:lang w:val="fr-FR"/>
        </w:rPr>
        <w:t xml:space="preserve">responsabilités plus élevées ou à des grades supérieurs. </w:t>
      </w:r>
      <w:r w:rsidR="00347606" w:rsidRPr="00D64144">
        <w:rPr>
          <w:rFonts w:asciiTheme="minorHAnsi" w:hAnsiTheme="minorHAnsi" w:cs="Arial"/>
          <w:sz w:val="24"/>
          <w:szCs w:val="24"/>
          <w:lang w:val="fr-FR"/>
        </w:rPr>
        <w:t>Par ailleurs</w:t>
      </w:r>
      <w:r w:rsidRPr="00D64144">
        <w:rPr>
          <w:rFonts w:asciiTheme="minorHAnsi" w:hAnsiTheme="minorHAnsi" w:cs="Arial"/>
          <w:sz w:val="24"/>
          <w:szCs w:val="24"/>
          <w:lang w:val="fr-FR"/>
        </w:rPr>
        <w:t>, le sous</w:t>
      </w:r>
      <w:r w:rsidR="00076E85" w:rsidRPr="00D64144">
        <w:rPr>
          <w:rFonts w:asciiTheme="minorHAnsi" w:hAnsiTheme="minorHAnsi" w:cs="Arial"/>
          <w:sz w:val="24"/>
          <w:szCs w:val="24"/>
          <w:lang w:val="fr-FR"/>
        </w:rPr>
        <w:t>-</w:t>
      </w:r>
      <w:r w:rsidRPr="00D64144">
        <w:rPr>
          <w:rFonts w:asciiTheme="minorHAnsi" w:hAnsiTheme="minorHAnsi" w:cs="Arial"/>
          <w:sz w:val="24"/>
          <w:szCs w:val="24"/>
          <w:lang w:val="fr-FR"/>
        </w:rPr>
        <w:t xml:space="preserve">financement de la formation de spécialisation, est un </w:t>
      </w:r>
      <w:r w:rsidR="00347606" w:rsidRPr="00D64144">
        <w:rPr>
          <w:rFonts w:asciiTheme="minorHAnsi" w:hAnsiTheme="minorHAnsi" w:cs="Arial"/>
          <w:sz w:val="24"/>
          <w:szCs w:val="24"/>
          <w:lang w:val="fr-FR"/>
        </w:rPr>
        <w:t xml:space="preserve">autre </w:t>
      </w:r>
      <w:r w:rsidRPr="00D64144">
        <w:rPr>
          <w:rFonts w:asciiTheme="minorHAnsi" w:hAnsiTheme="minorHAnsi" w:cs="Arial"/>
          <w:sz w:val="24"/>
          <w:szCs w:val="24"/>
          <w:lang w:val="fr-FR"/>
        </w:rPr>
        <w:t>marqueur de l’absence de vision sur l’utilisation de la formation comme levier de motivation des personnels de santé.</w:t>
      </w:r>
    </w:p>
    <w:p w14:paraId="54CBB013" w14:textId="77777777" w:rsidR="00642B17" w:rsidRPr="00D64144" w:rsidRDefault="00642B17" w:rsidP="00E228A0">
      <w:pPr>
        <w:pStyle w:val="Corpsdetexte"/>
        <w:spacing w:before="1" w:after="200" w:line="276" w:lineRule="auto"/>
        <w:jc w:val="both"/>
        <w:rPr>
          <w:rFonts w:asciiTheme="minorHAnsi" w:hAnsiTheme="minorHAnsi" w:cs="Arial"/>
          <w:sz w:val="24"/>
          <w:szCs w:val="24"/>
          <w:lang w:val="fr-FR"/>
        </w:rPr>
      </w:pPr>
      <w:r w:rsidRPr="00D64144">
        <w:rPr>
          <w:rFonts w:asciiTheme="minorHAnsi" w:hAnsiTheme="minorHAnsi" w:cs="Arial"/>
          <w:sz w:val="24"/>
          <w:szCs w:val="24"/>
          <w:lang w:val="fr-FR"/>
        </w:rPr>
        <w:t>C’est pourquoi, le Ministère de la santé, sous le leadership de la direction des ressources humaines dont les capacités seront renforcées, veillera à ce que les formations aient un lien explicite avec des objectifs partagés employer-employeur selon le principe gagnant-gagnant.</w:t>
      </w:r>
    </w:p>
    <w:p w14:paraId="252EB51A" w14:textId="77777777" w:rsidR="00642B17" w:rsidRPr="00642B17" w:rsidRDefault="00642B17" w:rsidP="00F80191">
      <w:pPr>
        <w:pStyle w:val="Corpsdetexte"/>
        <w:spacing w:before="1" w:after="200" w:line="276" w:lineRule="auto"/>
        <w:jc w:val="both"/>
        <w:rPr>
          <w:rFonts w:asciiTheme="minorHAnsi" w:hAnsiTheme="minorHAnsi" w:cs="Arial"/>
          <w:sz w:val="28"/>
          <w:szCs w:val="28"/>
          <w:lang w:val="fr-FR"/>
        </w:rPr>
      </w:pPr>
      <w:r w:rsidRPr="00D64144">
        <w:rPr>
          <w:rFonts w:asciiTheme="minorHAnsi" w:hAnsiTheme="minorHAnsi" w:cs="Arial"/>
          <w:sz w:val="24"/>
          <w:szCs w:val="24"/>
          <w:lang w:val="fr-FR"/>
        </w:rPr>
        <w:t>Ainsi, cette nouvelle approche sera promue dans le processus de formation depuis l’identification des besoins, la priorisation, la programmation, le financement y compris les bourses d’études jusqu’au suivi post</w:t>
      </w:r>
      <w:r w:rsidR="00FC7D2F" w:rsidRPr="00D64144">
        <w:rPr>
          <w:rFonts w:asciiTheme="minorHAnsi" w:hAnsiTheme="minorHAnsi" w:cs="Arial"/>
          <w:sz w:val="24"/>
          <w:szCs w:val="24"/>
          <w:lang w:val="fr-FR"/>
        </w:rPr>
        <w:t>-</w:t>
      </w:r>
      <w:r w:rsidRPr="00D64144">
        <w:rPr>
          <w:rFonts w:asciiTheme="minorHAnsi" w:hAnsiTheme="minorHAnsi" w:cs="Arial"/>
          <w:sz w:val="24"/>
          <w:szCs w:val="24"/>
          <w:lang w:val="fr-FR"/>
        </w:rPr>
        <w:t>formation.</w:t>
      </w:r>
      <w:r w:rsidRPr="003341FD">
        <w:rPr>
          <w:rFonts w:asciiTheme="minorHAnsi" w:hAnsiTheme="minorHAnsi" w:cs="Arial"/>
          <w:sz w:val="28"/>
          <w:szCs w:val="28"/>
          <w:lang w:val="fr-FR"/>
        </w:rPr>
        <w:t xml:space="preserve"> </w:t>
      </w:r>
    </w:p>
    <w:p w14:paraId="0BE66504" w14:textId="77777777" w:rsidR="00642B17" w:rsidRPr="00961244" w:rsidRDefault="00642B17" w:rsidP="004D046C">
      <w:pPr>
        <w:pStyle w:val="Paragraphedeliste"/>
        <w:numPr>
          <w:ilvl w:val="0"/>
          <w:numId w:val="11"/>
        </w:numPr>
        <w:tabs>
          <w:tab w:val="left" w:pos="3402"/>
        </w:tabs>
        <w:ind w:left="714" w:hanging="357"/>
        <w:contextualSpacing w:val="0"/>
        <w:jc w:val="both"/>
        <w:rPr>
          <w:rFonts w:cs="Arial"/>
          <w:b/>
          <w:i/>
          <w:sz w:val="28"/>
          <w:szCs w:val="28"/>
        </w:rPr>
      </w:pPr>
      <w:r w:rsidRPr="00961244">
        <w:rPr>
          <w:rFonts w:cs="Arial"/>
          <w:b/>
          <w:i/>
          <w:sz w:val="28"/>
          <w:szCs w:val="28"/>
        </w:rPr>
        <w:t>Réformes</w:t>
      </w:r>
    </w:p>
    <w:p w14:paraId="20BDF145" w14:textId="77777777" w:rsidR="00642B17" w:rsidRPr="00A20023" w:rsidRDefault="00642B17" w:rsidP="004D046C">
      <w:pPr>
        <w:pStyle w:val="Paragraphedeliste"/>
        <w:numPr>
          <w:ilvl w:val="0"/>
          <w:numId w:val="13"/>
        </w:numPr>
        <w:tabs>
          <w:tab w:val="left" w:pos="993"/>
        </w:tabs>
        <w:spacing w:after="120"/>
        <w:jc w:val="both"/>
        <w:rPr>
          <w:rFonts w:cs="Arial"/>
          <w:i/>
          <w:sz w:val="28"/>
          <w:szCs w:val="28"/>
        </w:rPr>
      </w:pPr>
      <w:r w:rsidRPr="00A20023">
        <w:rPr>
          <w:rFonts w:cs="Arial"/>
          <w:i/>
          <w:sz w:val="28"/>
          <w:szCs w:val="28"/>
        </w:rPr>
        <w:t>Réforme du système de l’éducation nationale</w:t>
      </w:r>
    </w:p>
    <w:p w14:paraId="31DD9AFD" w14:textId="77777777" w:rsidR="00642B17" w:rsidRPr="00D64144" w:rsidRDefault="00642B17" w:rsidP="00A20023">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Pour créer les conditions optimales de mise en œuvre de de la politique, des réformes sont nécessaires. Il s’agira de promouvoir, dans les cycles d’études du primaire et du secondaire, des candidatures de bonne qualité pour la formation aux métiers de la santé en réformant les programmes scolaires. </w:t>
      </w:r>
    </w:p>
    <w:p w14:paraId="1D8FBB39" w14:textId="77777777" w:rsidR="00642B17" w:rsidRPr="00D64144" w:rsidRDefault="00642B17" w:rsidP="00A20023">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A cet effet, il sera mis en avant des programmes d’études primaires et secondaires promouvant l’ouverture du goût des élèves aux sciences de la santé. </w:t>
      </w:r>
    </w:p>
    <w:p w14:paraId="2E0E2EFC" w14:textId="77777777" w:rsidR="00642B17" w:rsidRPr="00D64144" w:rsidRDefault="00642B17" w:rsidP="00961244">
      <w:pPr>
        <w:pStyle w:val="Corpsdetexte"/>
        <w:spacing w:before="1"/>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En cela le Ministère de la santé aura traduit le concept « la santé dans toutes les politiques publiques » dans le secteur de l’éducation nationale. Ceci s’obtiendra à travers le renforcement du partenariat intersectoriel.</w:t>
      </w:r>
    </w:p>
    <w:p w14:paraId="712D32A4" w14:textId="77777777" w:rsidR="00642B17" w:rsidRPr="00642B17" w:rsidRDefault="00642B17" w:rsidP="00642B17">
      <w:pPr>
        <w:pStyle w:val="Corpsdetexte"/>
        <w:spacing w:before="1"/>
        <w:jc w:val="both"/>
        <w:rPr>
          <w:rFonts w:asciiTheme="minorHAnsi" w:eastAsiaTheme="minorHAnsi" w:hAnsiTheme="minorHAnsi" w:cs="Arial"/>
          <w:sz w:val="28"/>
          <w:szCs w:val="28"/>
          <w:lang w:val="fr-FR"/>
        </w:rPr>
      </w:pPr>
    </w:p>
    <w:p w14:paraId="6DFCA726" w14:textId="77777777" w:rsidR="00642B17" w:rsidRPr="00961244" w:rsidRDefault="00642B17" w:rsidP="004D046C">
      <w:pPr>
        <w:pStyle w:val="Paragraphedeliste"/>
        <w:numPr>
          <w:ilvl w:val="0"/>
          <w:numId w:val="13"/>
        </w:numPr>
        <w:tabs>
          <w:tab w:val="left" w:pos="993"/>
        </w:tabs>
        <w:spacing w:after="120"/>
        <w:jc w:val="both"/>
        <w:rPr>
          <w:rFonts w:cs="Arial"/>
          <w:i/>
          <w:sz w:val="28"/>
          <w:szCs w:val="28"/>
        </w:rPr>
      </w:pPr>
      <w:r w:rsidRPr="00961244">
        <w:rPr>
          <w:rFonts w:cs="Arial"/>
          <w:i/>
          <w:sz w:val="28"/>
          <w:szCs w:val="28"/>
        </w:rPr>
        <w:t>Développement d’un observatoire des RHS</w:t>
      </w:r>
    </w:p>
    <w:p w14:paraId="10A55A76" w14:textId="77777777" w:rsidR="00642B17" w:rsidRPr="00D64144" w:rsidRDefault="00642B17" w:rsidP="001B28E6">
      <w:pPr>
        <w:pStyle w:val="Corpsdetexte"/>
        <w:spacing w:before="1" w:after="200" w:line="276" w:lineRule="auto"/>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Il s’agira développer un observatoire pour documenter et suivre les variables marqueurs des RHS dans le système de santé et son environnement externe: migrations internes et internationales, migrations interprofessionnelles, productivité et chômage des professionnels de santé, dynamiques du secteur privé de soins et du système de formation des RHS, tendances démographiques, épidémiologique, socio-économique et internationales.</w:t>
      </w:r>
    </w:p>
    <w:p w14:paraId="328C2BDF" w14:textId="77777777" w:rsidR="001D299F" w:rsidRPr="00642B17" w:rsidRDefault="00642B17" w:rsidP="00642B17">
      <w:pPr>
        <w:spacing w:after="120" w:line="240" w:lineRule="auto"/>
        <w:jc w:val="both"/>
        <w:rPr>
          <w:sz w:val="28"/>
          <w:szCs w:val="28"/>
        </w:rPr>
      </w:pPr>
      <w:r w:rsidRPr="00D64144">
        <w:rPr>
          <w:rFonts w:cs="Arial"/>
          <w:sz w:val="24"/>
          <w:szCs w:val="24"/>
        </w:rPr>
        <w:t>Un tel dispositif, bien tenu à jour permettra de développer des stratégies conséquentes de développement des RHS y compris pour la formation.</w:t>
      </w:r>
    </w:p>
    <w:p w14:paraId="467BDD08" w14:textId="77777777" w:rsidR="001D299F" w:rsidRPr="006A0EC1" w:rsidRDefault="001D299F" w:rsidP="004D046C">
      <w:pPr>
        <w:pStyle w:val="Titre2"/>
        <w:numPr>
          <w:ilvl w:val="2"/>
          <w:numId w:val="5"/>
        </w:numPr>
        <w:spacing w:after="120"/>
        <w:ind w:left="1985" w:hanging="851"/>
        <w:jc w:val="both"/>
        <w:rPr>
          <w:sz w:val="28"/>
          <w:szCs w:val="28"/>
        </w:rPr>
      </w:pPr>
      <w:bookmarkStart w:id="42" w:name="_Toc21586253"/>
      <w:r w:rsidRPr="006A0EC1">
        <w:rPr>
          <w:sz w:val="28"/>
          <w:szCs w:val="28"/>
        </w:rPr>
        <w:t>Renforcement du cadre et des capacités institutionnelles de Gestion/utilisation des RHS.</w:t>
      </w:r>
      <w:bookmarkEnd w:id="42"/>
    </w:p>
    <w:p w14:paraId="18DB5FA3" w14:textId="77777777" w:rsidR="006A0EC1" w:rsidRPr="00D64144" w:rsidRDefault="006A0EC1" w:rsidP="00CA6427">
      <w:pPr>
        <w:pStyle w:val="Corpsdetexte"/>
        <w:jc w:val="both"/>
        <w:rPr>
          <w:rFonts w:asciiTheme="minorHAnsi" w:eastAsiaTheme="minorHAnsi" w:hAnsiTheme="minorHAnsi" w:cs="Arial"/>
          <w:sz w:val="24"/>
          <w:szCs w:val="24"/>
          <w:lang w:val="fr-FR"/>
        </w:rPr>
      </w:pPr>
      <w:r w:rsidRPr="00D64144">
        <w:rPr>
          <w:rFonts w:asciiTheme="minorHAnsi" w:eastAsiaTheme="minorHAnsi" w:hAnsiTheme="minorHAnsi" w:cs="Arial"/>
          <w:sz w:val="24"/>
          <w:szCs w:val="24"/>
          <w:lang w:val="fr-FR"/>
        </w:rPr>
        <w:t xml:space="preserve">Pour changer durablement </w:t>
      </w:r>
      <w:r w:rsidR="00AC016F" w:rsidRPr="00D64144">
        <w:rPr>
          <w:rFonts w:asciiTheme="minorHAnsi" w:eastAsiaTheme="minorHAnsi" w:hAnsiTheme="minorHAnsi" w:cs="Arial"/>
          <w:sz w:val="24"/>
          <w:szCs w:val="24"/>
          <w:lang w:val="fr-FR"/>
        </w:rPr>
        <w:t>les insuffisances de gestion des RHS relevées dans l’analyse de situation</w:t>
      </w:r>
      <w:r w:rsidRPr="00D64144">
        <w:rPr>
          <w:rFonts w:asciiTheme="minorHAnsi" w:eastAsiaTheme="minorHAnsi" w:hAnsiTheme="minorHAnsi" w:cs="Arial"/>
          <w:sz w:val="24"/>
          <w:szCs w:val="24"/>
          <w:lang w:val="fr-FR"/>
        </w:rPr>
        <w:t xml:space="preserve"> au profit du système de santé, les </w:t>
      </w:r>
      <w:r w:rsidR="00AC016F" w:rsidRPr="00D64144">
        <w:rPr>
          <w:rFonts w:asciiTheme="minorHAnsi" w:eastAsiaTheme="minorHAnsi" w:hAnsiTheme="minorHAnsi" w:cs="Arial"/>
          <w:sz w:val="24"/>
          <w:szCs w:val="24"/>
          <w:lang w:val="fr-FR"/>
        </w:rPr>
        <w:t>interven</w:t>
      </w:r>
      <w:r w:rsidRPr="00D64144">
        <w:rPr>
          <w:rFonts w:asciiTheme="minorHAnsi" w:eastAsiaTheme="minorHAnsi" w:hAnsiTheme="minorHAnsi" w:cs="Arial"/>
          <w:sz w:val="24"/>
          <w:szCs w:val="24"/>
          <w:lang w:val="fr-FR"/>
        </w:rPr>
        <w:t xml:space="preserve">tions prioritaires ci-après </w:t>
      </w:r>
      <w:r w:rsidR="009F23A5" w:rsidRPr="00D64144">
        <w:rPr>
          <w:rFonts w:asciiTheme="minorHAnsi" w:eastAsiaTheme="minorHAnsi" w:hAnsiTheme="minorHAnsi" w:cs="Arial"/>
          <w:sz w:val="24"/>
          <w:szCs w:val="24"/>
          <w:lang w:val="fr-FR"/>
        </w:rPr>
        <w:t>seront développ</w:t>
      </w:r>
      <w:r w:rsidRPr="00D64144">
        <w:rPr>
          <w:rFonts w:asciiTheme="minorHAnsi" w:eastAsiaTheme="minorHAnsi" w:hAnsiTheme="minorHAnsi" w:cs="Arial"/>
          <w:sz w:val="24"/>
          <w:szCs w:val="24"/>
          <w:lang w:val="fr-FR"/>
        </w:rPr>
        <w:t xml:space="preserve">ées :   </w:t>
      </w:r>
    </w:p>
    <w:p w14:paraId="32F0C0FD" w14:textId="77777777" w:rsidR="006A0EC1" w:rsidRPr="00D64144" w:rsidRDefault="008D38FE" w:rsidP="004D046C">
      <w:pPr>
        <w:pStyle w:val="Paragraphedeliste"/>
        <w:numPr>
          <w:ilvl w:val="0"/>
          <w:numId w:val="7"/>
        </w:numPr>
        <w:spacing w:after="0" w:line="240" w:lineRule="auto"/>
        <w:ind w:left="851" w:hanging="425"/>
        <w:jc w:val="both"/>
        <w:rPr>
          <w:bCs/>
          <w:iCs/>
          <w:sz w:val="24"/>
          <w:szCs w:val="24"/>
        </w:rPr>
      </w:pPr>
      <w:r w:rsidRPr="00D64144">
        <w:rPr>
          <w:bCs/>
          <w:iCs/>
          <w:sz w:val="24"/>
          <w:szCs w:val="24"/>
        </w:rPr>
        <w:t>Le</w:t>
      </w:r>
      <w:r w:rsidR="006A0EC1" w:rsidRPr="00D64144">
        <w:rPr>
          <w:bCs/>
          <w:iCs/>
          <w:sz w:val="24"/>
          <w:szCs w:val="24"/>
        </w:rPr>
        <w:t xml:space="preserve"> renforcement du cadre institutionnel de recrutement</w:t>
      </w:r>
    </w:p>
    <w:p w14:paraId="59287C68" w14:textId="77777777" w:rsidR="001812AA" w:rsidRPr="00D64144" w:rsidRDefault="008D38FE" w:rsidP="001812AA">
      <w:pPr>
        <w:pStyle w:val="Paragraphedeliste"/>
        <w:numPr>
          <w:ilvl w:val="0"/>
          <w:numId w:val="7"/>
        </w:numPr>
        <w:spacing w:after="0" w:line="240" w:lineRule="auto"/>
        <w:ind w:left="851" w:hanging="425"/>
        <w:jc w:val="both"/>
        <w:rPr>
          <w:rFonts w:cs="Arial"/>
          <w:sz w:val="24"/>
          <w:szCs w:val="24"/>
        </w:rPr>
      </w:pPr>
      <w:r w:rsidRPr="00D64144">
        <w:rPr>
          <w:rFonts w:cs="Arial"/>
          <w:sz w:val="24"/>
          <w:szCs w:val="24"/>
        </w:rPr>
        <w:t>L’amélioration</w:t>
      </w:r>
      <w:r w:rsidR="001812AA" w:rsidRPr="00D64144">
        <w:rPr>
          <w:rFonts w:cs="Arial"/>
          <w:sz w:val="24"/>
          <w:szCs w:val="24"/>
        </w:rPr>
        <w:t xml:space="preserve"> de la répartition des personnels de santé</w:t>
      </w:r>
    </w:p>
    <w:p w14:paraId="01397B1A" w14:textId="77777777" w:rsidR="006A0EC1" w:rsidRPr="00D64144" w:rsidRDefault="008D38FE" w:rsidP="004D046C">
      <w:pPr>
        <w:pStyle w:val="Paragraphedeliste"/>
        <w:numPr>
          <w:ilvl w:val="0"/>
          <w:numId w:val="7"/>
        </w:numPr>
        <w:spacing w:after="0" w:line="240" w:lineRule="auto"/>
        <w:ind w:left="851" w:hanging="425"/>
        <w:jc w:val="both"/>
        <w:rPr>
          <w:bCs/>
          <w:iCs/>
          <w:sz w:val="24"/>
          <w:szCs w:val="24"/>
        </w:rPr>
      </w:pPr>
      <w:r w:rsidRPr="00D64144">
        <w:rPr>
          <w:rFonts w:cs="Arial"/>
          <w:sz w:val="24"/>
          <w:szCs w:val="24"/>
        </w:rPr>
        <w:t>La</w:t>
      </w:r>
      <w:r w:rsidR="006A0EC1" w:rsidRPr="00D64144">
        <w:rPr>
          <w:bCs/>
          <w:iCs/>
          <w:sz w:val="24"/>
          <w:szCs w:val="24"/>
        </w:rPr>
        <w:t xml:space="preserve"> mise en place d’une stratégie d’accueil et d’intégration des nouveaux agents </w:t>
      </w:r>
    </w:p>
    <w:p w14:paraId="15343557" w14:textId="77777777" w:rsidR="00AC016F" w:rsidRPr="00D64144" w:rsidRDefault="008D38FE" w:rsidP="004D046C">
      <w:pPr>
        <w:pStyle w:val="Paragraphedeliste"/>
        <w:numPr>
          <w:ilvl w:val="0"/>
          <w:numId w:val="7"/>
        </w:numPr>
        <w:spacing w:after="0" w:line="240" w:lineRule="auto"/>
        <w:ind w:left="851" w:hanging="425"/>
        <w:jc w:val="both"/>
        <w:rPr>
          <w:bCs/>
          <w:iCs/>
          <w:sz w:val="24"/>
          <w:szCs w:val="24"/>
        </w:rPr>
      </w:pPr>
      <w:r w:rsidRPr="00D64144">
        <w:rPr>
          <w:rFonts w:cs="Arial"/>
          <w:sz w:val="24"/>
          <w:szCs w:val="24"/>
        </w:rPr>
        <w:t>La</w:t>
      </w:r>
      <w:r w:rsidR="006A0EC1" w:rsidRPr="00D64144">
        <w:rPr>
          <w:bCs/>
          <w:iCs/>
          <w:sz w:val="24"/>
          <w:szCs w:val="24"/>
        </w:rPr>
        <w:t xml:space="preserve"> mise en œuvre d’une stratégie de</w:t>
      </w:r>
      <w:r w:rsidR="00AC016F" w:rsidRPr="00D64144">
        <w:rPr>
          <w:bCs/>
          <w:iCs/>
          <w:sz w:val="24"/>
          <w:szCs w:val="24"/>
        </w:rPr>
        <w:t xml:space="preserve"> motivation et de</w:t>
      </w:r>
      <w:r w:rsidR="006A0EC1" w:rsidRPr="00D64144">
        <w:rPr>
          <w:bCs/>
          <w:iCs/>
          <w:sz w:val="24"/>
          <w:szCs w:val="24"/>
        </w:rPr>
        <w:t xml:space="preserve"> fidélisation </w:t>
      </w:r>
      <w:r w:rsidR="00AC016F" w:rsidRPr="00D64144">
        <w:rPr>
          <w:bCs/>
          <w:iCs/>
          <w:sz w:val="24"/>
          <w:szCs w:val="24"/>
        </w:rPr>
        <w:t xml:space="preserve">des personnels </w:t>
      </w:r>
    </w:p>
    <w:p w14:paraId="0EEF1A7C" w14:textId="77777777" w:rsidR="00AC016F" w:rsidRPr="00D64144" w:rsidRDefault="008D38FE" w:rsidP="004D046C">
      <w:pPr>
        <w:pStyle w:val="Paragraphedeliste"/>
        <w:numPr>
          <w:ilvl w:val="0"/>
          <w:numId w:val="7"/>
        </w:numPr>
        <w:spacing w:after="0" w:line="240" w:lineRule="auto"/>
        <w:ind w:left="851" w:hanging="425"/>
        <w:jc w:val="both"/>
        <w:rPr>
          <w:bCs/>
          <w:iCs/>
          <w:sz w:val="24"/>
          <w:szCs w:val="24"/>
        </w:rPr>
      </w:pPr>
      <w:r w:rsidRPr="00D64144">
        <w:rPr>
          <w:rFonts w:cs="Arial"/>
          <w:sz w:val="24"/>
          <w:szCs w:val="24"/>
        </w:rPr>
        <w:t>L’amélioration</w:t>
      </w:r>
      <w:r w:rsidR="006A0EC1" w:rsidRPr="00D64144">
        <w:rPr>
          <w:bCs/>
          <w:iCs/>
          <w:sz w:val="24"/>
          <w:szCs w:val="24"/>
        </w:rPr>
        <w:t xml:space="preserve"> du cadre institutionnel </w:t>
      </w:r>
      <w:r w:rsidR="00AC016F" w:rsidRPr="00D64144">
        <w:rPr>
          <w:bCs/>
          <w:iCs/>
          <w:sz w:val="24"/>
          <w:szCs w:val="24"/>
        </w:rPr>
        <w:t xml:space="preserve">de gestion des carrières </w:t>
      </w:r>
    </w:p>
    <w:p w14:paraId="05D7B7CB" w14:textId="77777777" w:rsidR="005B1256" w:rsidRPr="005B1256" w:rsidRDefault="008D38FE" w:rsidP="004D046C">
      <w:pPr>
        <w:pStyle w:val="Paragraphedeliste"/>
        <w:numPr>
          <w:ilvl w:val="0"/>
          <w:numId w:val="7"/>
        </w:numPr>
        <w:spacing w:after="0" w:line="240" w:lineRule="auto"/>
        <w:ind w:left="851" w:hanging="425"/>
        <w:jc w:val="both"/>
        <w:rPr>
          <w:bCs/>
          <w:iCs/>
          <w:sz w:val="28"/>
          <w:szCs w:val="28"/>
        </w:rPr>
      </w:pPr>
      <w:r w:rsidRPr="00D64144">
        <w:rPr>
          <w:rFonts w:cs="Arial"/>
          <w:sz w:val="24"/>
          <w:szCs w:val="24"/>
        </w:rPr>
        <w:t>Le</w:t>
      </w:r>
      <w:r w:rsidR="006A0EC1" w:rsidRPr="00D64144">
        <w:rPr>
          <w:bCs/>
          <w:iCs/>
          <w:sz w:val="24"/>
          <w:szCs w:val="24"/>
        </w:rPr>
        <w:t xml:space="preserve"> renforcement de la collaboration entre les parties prenantes</w:t>
      </w:r>
      <w:r w:rsidR="00B00038" w:rsidRPr="00D64144">
        <w:rPr>
          <w:bCs/>
          <w:iCs/>
          <w:sz w:val="24"/>
          <w:szCs w:val="24"/>
        </w:rPr>
        <w:t>.</w:t>
      </w:r>
    </w:p>
    <w:p w14:paraId="3FB28D12" w14:textId="77777777" w:rsidR="006A0EC1" w:rsidRPr="00DB00E3" w:rsidRDefault="00961244" w:rsidP="004D046C">
      <w:pPr>
        <w:pStyle w:val="Titre2"/>
        <w:numPr>
          <w:ilvl w:val="0"/>
          <w:numId w:val="14"/>
        </w:numPr>
        <w:tabs>
          <w:tab w:val="left" w:pos="851"/>
        </w:tabs>
        <w:spacing w:after="240"/>
        <w:ind w:left="993" w:hanging="567"/>
        <w:rPr>
          <w:i/>
          <w:color w:val="auto"/>
          <w:sz w:val="28"/>
          <w:szCs w:val="28"/>
        </w:rPr>
      </w:pPr>
      <w:bookmarkStart w:id="43" w:name="_Toc21586254"/>
      <w:r w:rsidRPr="00DB00E3">
        <w:rPr>
          <w:i/>
          <w:color w:val="auto"/>
          <w:sz w:val="28"/>
          <w:szCs w:val="28"/>
        </w:rPr>
        <w:t>Renforcement</w:t>
      </w:r>
      <w:r w:rsidR="006A0EC1" w:rsidRPr="00DB00E3">
        <w:rPr>
          <w:i/>
          <w:color w:val="auto"/>
          <w:sz w:val="28"/>
          <w:szCs w:val="28"/>
        </w:rPr>
        <w:t xml:space="preserve"> du cadre institutionnel de recrutement des RHS</w:t>
      </w:r>
      <w:bookmarkEnd w:id="43"/>
    </w:p>
    <w:p w14:paraId="3FDAD513" w14:textId="77777777" w:rsidR="006A0EC1" w:rsidRPr="00D64144" w:rsidRDefault="006A0EC1" w:rsidP="004733D6">
      <w:pPr>
        <w:jc w:val="both"/>
        <w:rPr>
          <w:color w:val="000000" w:themeColor="text1"/>
          <w:sz w:val="24"/>
          <w:szCs w:val="24"/>
        </w:rPr>
      </w:pPr>
      <w:r w:rsidRPr="00D64144">
        <w:rPr>
          <w:color w:val="000000" w:themeColor="text1"/>
          <w:sz w:val="24"/>
          <w:szCs w:val="24"/>
        </w:rPr>
        <w:t xml:space="preserve">Le </w:t>
      </w:r>
      <w:r w:rsidRPr="00D64144">
        <w:rPr>
          <w:bCs/>
          <w:iCs/>
          <w:sz w:val="24"/>
          <w:szCs w:val="24"/>
        </w:rPr>
        <w:t>processus</w:t>
      </w:r>
      <w:r w:rsidRPr="00D64144">
        <w:rPr>
          <w:color w:val="000000" w:themeColor="text1"/>
          <w:sz w:val="24"/>
          <w:szCs w:val="24"/>
        </w:rPr>
        <w:t xml:space="preserve"> de recrutement vise à augmenter la capacité du secteur de répondre à la demande (i) en remplaçant les départs, (ii) en comblant les autres postes vacants ou (iii) en ajoutant de nouvelles compétences pour répondre à de nouveaux besoins de prestations.  </w:t>
      </w:r>
    </w:p>
    <w:p w14:paraId="492D20DB" w14:textId="77777777" w:rsidR="006A0EC1" w:rsidRPr="00D64144" w:rsidRDefault="006A0EC1" w:rsidP="00B00038">
      <w:pPr>
        <w:jc w:val="both"/>
        <w:rPr>
          <w:color w:val="000000" w:themeColor="text1"/>
          <w:sz w:val="24"/>
          <w:szCs w:val="24"/>
        </w:rPr>
      </w:pPr>
      <w:r w:rsidRPr="00D64144">
        <w:rPr>
          <w:color w:val="000000" w:themeColor="text1"/>
          <w:sz w:val="24"/>
          <w:szCs w:val="24"/>
        </w:rPr>
        <w:t>Pour répondre efficacement à ces impératifs, le MS, en collaboration avec les partenaires concernés, mettra en place le dispositif approprié, conforme aux lois et règlements en vigueur. L’application effective de la fonction publique locale constituera une opportunité à exploiter</w:t>
      </w:r>
      <w:r w:rsidR="00B84C5B" w:rsidRPr="00D64144">
        <w:rPr>
          <w:color w:val="000000" w:themeColor="text1"/>
          <w:sz w:val="24"/>
          <w:szCs w:val="24"/>
        </w:rPr>
        <w:t>.</w:t>
      </w:r>
      <w:r w:rsidRPr="00D64144">
        <w:rPr>
          <w:color w:val="000000" w:themeColor="text1"/>
          <w:sz w:val="24"/>
          <w:szCs w:val="24"/>
        </w:rPr>
        <w:t xml:space="preserve"> </w:t>
      </w:r>
    </w:p>
    <w:p w14:paraId="63523B10" w14:textId="77777777" w:rsidR="004559EF" w:rsidRPr="00D64144" w:rsidRDefault="006A0EC1" w:rsidP="006A0EC1">
      <w:pPr>
        <w:spacing w:after="0"/>
        <w:jc w:val="both"/>
        <w:rPr>
          <w:color w:val="000000" w:themeColor="text1"/>
          <w:sz w:val="24"/>
          <w:szCs w:val="24"/>
        </w:rPr>
      </w:pPr>
      <w:r w:rsidRPr="00D64144">
        <w:rPr>
          <w:color w:val="000000" w:themeColor="text1"/>
          <w:sz w:val="24"/>
          <w:szCs w:val="24"/>
        </w:rPr>
        <w:t>Afin d’assurer que ce dispositif fonctionne de façon optimale, le MS prendra les mesures et procédures appropriés</w:t>
      </w:r>
      <w:r w:rsidR="004559EF" w:rsidRPr="00D64144">
        <w:rPr>
          <w:color w:val="000000" w:themeColor="text1"/>
          <w:sz w:val="24"/>
          <w:szCs w:val="24"/>
        </w:rPr>
        <w:t xml:space="preserve">. </w:t>
      </w:r>
      <w:r w:rsidR="00E73D71" w:rsidRPr="00D64144">
        <w:rPr>
          <w:color w:val="000000" w:themeColor="text1"/>
          <w:sz w:val="24"/>
          <w:szCs w:val="24"/>
        </w:rPr>
        <w:t>I</w:t>
      </w:r>
      <w:r w:rsidR="004559EF" w:rsidRPr="00D64144">
        <w:rPr>
          <w:color w:val="000000" w:themeColor="text1"/>
          <w:sz w:val="24"/>
          <w:szCs w:val="24"/>
        </w:rPr>
        <w:t>l s’agira de :</w:t>
      </w:r>
    </w:p>
    <w:p w14:paraId="64B0B5EB" w14:textId="77777777" w:rsidR="004559EF" w:rsidRDefault="004559EF" w:rsidP="004D046C">
      <w:pPr>
        <w:pStyle w:val="Paragraphedeliste"/>
        <w:numPr>
          <w:ilvl w:val="0"/>
          <w:numId w:val="7"/>
        </w:numPr>
        <w:spacing w:after="0" w:line="240" w:lineRule="auto"/>
        <w:ind w:left="851" w:hanging="425"/>
        <w:jc w:val="both"/>
        <w:rPr>
          <w:color w:val="000000" w:themeColor="text1"/>
          <w:sz w:val="28"/>
          <w:szCs w:val="28"/>
        </w:rPr>
      </w:pPr>
      <w:r w:rsidRPr="00D64144">
        <w:rPr>
          <w:rFonts w:cs="Arial"/>
          <w:i/>
          <w:sz w:val="24"/>
          <w:szCs w:val="24"/>
        </w:rPr>
        <w:t>P</w:t>
      </w:r>
      <w:r w:rsidR="006A0EC1" w:rsidRPr="00D64144">
        <w:rPr>
          <w:rFonts w:cs="Arial"/>
          <w:i/>
          <w:sz w:val="24"/>
          <w:szCs w:val="24"/>
        </w:rPr>
        <w:t>rodui</w:t>
      </w:r>
      <w:r w:rsidRPr="00D64144">
        <w:rPr>
          <w:rFonts w:cs="Arial"/>
          <w:i/>
          <w:sz w:val="24"/>
          <w:szCs w:val="24"/>
        </w:rPr>
        <w:t>re</w:t>
      </w:r>
      <w:r w:rsidRPr="00D64144">
        <w:rPr>
          <w:color w:val="000000" w:themeColor="text1"/>
          <w:sz w:val="24"/>
          <w:szCs w:val="24"/>
        </w:rPr>
        <w:t xml:space="preserve"> </w:t>
      </w:r>
      <w:r w:rsidR="006A0EC1" w:rsidRPr="00D64144">
        <w:rPr>
          <w:color w:val="000000" w:themeColor="text1"/>
          <w:sz w:val="24"/>
          <w:szCs w:val="24"/>
        </w:rPr>
        <w:t>les informations pertinentes</w:t>
      </w:r>
      <w:r w:rsidRPr="00D64144">
        <w:rPr>
          <w:color w:val="000000" w:themeColor="text1"/>
          <w:sz w:val="24"/>
          <w:szCs w:val="24"/>
        </w:rPr>
        <w:t>,</w:t>
      </w:r>
    </w:p>
    <w:p w14:paraId="6A3FE1CB" w14:textId="77777777" w:rsidR="004559EF" w:rsidRPr="00D64144" w:rsidRDefault="004559EF" w:rsidP="004D046C">
      <w:pPr>
        <w:pStyle w:val="Paragraphedeliste"/>
        <w:numPr>
          <w:ilvl w:val="0"/>
          <w:numId w:val="7"/>
        </w:numPr>
        <w:spacing w:after="0" w:line="240" w:lineRule="auto"/>
        <w:ind w:left="851" w:hanging="425"/>
        <w:jc w:val="both"/>
        <w:rPr>
          <w:color w:val="000000" w:themeColor="text1"/>
          <w:sz w:val="24"/>
          <w:szCs w:val="24"/>
        </w:rPr>
      </w:pPr>
      <w:r w:rsidRPr="00D64144">
        <w:rPr>
          <w:color w:val="000000" w:themeColor="text1"/>
          <w:sz w:val="24"/>
          <w:szCs w:val="24"/>
        </w:rPr>
        <w:t>Actualiser les besoins en RHS en tenant compte du cadre organique, des départs à la retraite et des nouveaux besoins induits par le développement du secteur,</w:t>
      </w:r>
    </w:p>
    <w:p w14:paraId="2FC61864" w14:textId="77777777" w:rsidR="00352FD4" w:rsidRPr="00D64144" w:rsidRDefault="00352FD4" w:rsidP="004D046C">
      <w:pPr>
        <w:pStyle w:val="Paragraphedeliste"/>
        <w:numPr>
          <w:ilvl w:val="0"/>
          <w:numId w:val="7"/>
        </w:numPr>
        <w:spacing w:after="0" w:line="240" w:lineRule="auto"/>
        <w:ind w:left="851" w:hanging="425"/>
        <w:jc w:val="both"/>
        <w:rPr>
          <w:color w:val="000000" w:themeColor="text1"/>
          <w:sz w:val="24"/>
          <w:szCs w:val="24"/>
        </w:rPr>
      </w:pPr>
      <w:r w:rsidRPr="00D64144">
        <w:rPr>
          <w:rFonts w:cs="Arial"/>
          <w:i/>
          <w:sz w:val="24"/>
          <w:szCs w:val="24"/>
        </w:rPr>
        <w:t>Elaborer</w:t>
      </w:r>
      <w:r w:rsidRPr="00D64144">
        <w:rPr>
          <w:color w:val="000000" w:themeColor="text1"/>
          <w:sz w:val="24"/>
          <w:szCs w:val="24"/>
        </w:rPr>
        <w:t xml:space="preserve"> un plan de recrutement pluriannuel en partenariat avec le Ministère den charge de la fonction publique</w:t>
      </w:r>
    </w:p>
    <w:p w14:paraId="5DA28087" w14:textId="77777777" w:rsidR="00352FD4" w:rsidRPr="00D64144" w:rsidRDefault="004559EF" w:rsidP="004D046C">
      <w:pPr>
        <w:pStyle w:val="Paragraphedeliste"/>
        <w:numPr>
          <w:ilvl w:val="0"/>
          <w:numId w:val="7"/>
        </w:numPr>
        <w:spacing w:after="0" w:line="240" w:lineRule="auto"/>
        <w:ind w:left="851" w:hanging="425"/>
        <w:jc w:val="both"/>
        <w:rPr>
          <w:color w:val="000000" w:themeColor="text1"/>
          <w:sz w:val="24"/>
          <w:szCs w:val="24"/>
        </w:rPr>
      </w:pPr>
      <w:r w:rsidRPr="00D64144">
        <w:rPr>
          <w:rFonts w:cs="Arial"/>
          <w:i/>
          <w:sz w:val="24"/>
          <w:szCs w:val="24"/>
        </w:rPr>
        <w:t>Mobiliser</w:t>
      </w:r>
      <w:r w:rsidRPr="00D64144">
        <w:rPr>
          <w:color w:val="000000" w:themeColor="text1"/>
          <w:sz w:val="24"/>
          <w:szCs w:val="24"/>
        </w:rPr>
        <w:t xml:space="preserve"> les fonds nécessaires </w:t>
      </w:r>
      <w:r w:rsidR="00352FD4" w:rsidRPr="00D64144">
        <w:rPr>
          <w:color w:val="000000" w:themeColor="text1"/>
          <w:sz w:val="24"/>
          <w:szCs w:val="24"/>
        </w:rPr>
        <w:t xml:space="preserve">à la mise en œuvre de ce plan </w:t>
      </w:r>
      <w:r w:rsidRPr="00D64144">
        <w:rPr>
          <w:color w:val="000000" w:themeColor="text1"/>
          <w:sz w:val="24"/>
          <w:szCs w:val="24"/>
        </w:rPr>
        <w:t xml:space="preserve">en négociant </w:t>
      </w:r>
      <w:r w:rsidR="00352FD4" w:rsidRPr="00D64144">
        <w:rPr>
          <w:color w:val="000000" w:themeColor="text1"/>
          <w:sz w:val="24"/>
          <w:szCs w:val="24"/>
        </w:rPr>
        <w:t xml:space="preserve">son inclusion dans le </w:t>
      </w:r>
      <w:r w:rsidRPr="00D64144">
        <w:rPr>
          <w:color w:val="000000" w:themeColor="text1"/>
          <w:sz w:val="24"/>
          <w:szCs w:val="24"/>
        </w:rPr>
        <w:t xml:space="preserve">budget-programme </w:t>
      </w:r>
      <w:r w:rsidR="00352FD4" w:rsidRPr="00D64144">
        <w:rPr>
          <w:color w:val="000000" w:themeColor="text1"/>
          <w:sz w:val="24"/>
          <w:szCs w:val="24"/>
        </w:rPr>
        <w:t xml:space="preserve">du MS </w:t>
      </w:r>
      <w:r w:rsidRPr="00D64144">
        <w:rPr>
          <w:color w:val="000000" w:themeColor="text1"/>
          <w:sz w:val="24"/>
          <w:szCs w:val="24"/>
        </w:rPr>
        <w:t>avec les Ministères en charge des finances et du budget et les PTF</w:t>
      </w:r>
      <w:r w:rsidR="00352FD4" w:rsidRPr="00D64144">
        <w:rPr>
          <w:color w:val="000000" w:themeColor="text1"/>
          <w:sz w:val="24"/>
          <w:szCs w:val="24"/>
        </w:rPr>
        <w:t>,</w:t>
      </w:r>
    </w:p>
    <w:p w14:paraId="3E29B0D5" w14:textId="77777777" w:rsidR="006A0EC1" w:rsidRPr="00D64144" w:rsidRDefault="00352FD4" w:rsidP="00B00038">
      <w:pPr>
        <w:pStyle w:val="Paragraphedeliste"/>
        <w:numPr>
          <w:ilvl w:val="0"/>
          <w:numId w:val="7"/>
        </w:numPr>
        <w:ind w:left="850" w:hanging="425"/>
        <w:contextualSpacing w:val="0"/>
        <w:jc w:val="both"/>
        <w:rPr>
          <w:color w:val="000000" w:themeColor="text1"/>
          <w:sz w:val="24"/>
          <w:szCs w:val="24"/>
        </w:rPr>
      </w:pPr>
      <w:r w:rsidRPr="00D64144">
        <w:rPr>
          <w:rFonts w:cs="Arial"/>
          <w:i/>
          <w:sz w:val="24"/>
          <w:szCs w:val="24"/>
        </w:rPr>
        <w:t>Promouvoir</w:t>
      </w:r>
      <w:r w:rsidRPr="00D64144">
        <w:rPr>
          <w:color w:val="000000" w:themeColor="text1"/>
          <w:sz w:val="24"/>
          <w:szCs w:val="24"/>
        </w:rPr>
        <w:t xml:space="preserve"> le recrutement par les collectivités locales dans le cadre de la décentralisation qui y transfère les compétences en matière de santé</w:t>
      </w:r>
      <w:r w:rsidR="00E73D71" w:rsidRPr="00D64144">
        <w:rPr>
          <w:color w:val="000000" w:themeColor="text1"/>
          <w:sz w:val="24"/>
          <w:szCs w:val="24"/>
        </w:rPr>
        <w:t>.</w:t>
      </w:r>
    </w:p>
    <w:p w14:paraId="6071A388" w14:textId="77777777" w:rsidR="007E20F5" w:rsidRPr="00D64144" w:rsidRDefault="007E20F5" w:rsidP="007E20F5">
      <w:pPr>
        <w:spacing w:after="0"/>
        <w:jc w:val="both"/>
        <w:rPr>
          <w:color w:val="000000" w:themeColor="text1"/>
          <w:sz w:val="24"/>
          <w:szCs w:val="24"/>
        </w:rPr>
      </w:pPr>
      <w:r w:rsidRPr="00D64144">
        <w:rPr>
          <w:color w:val="000000" w:themeColor="text1"/>
          <w:sz w:val="24"/>
          <w:szCs w:val="24"/>
        </w:rPr>
        <w:t>Le ministère veillera scrupuleusement au respect des lois et règlements en la matière.</w:t>
      </w:r>
    </w:p>
    <w:p w14:paraId="029B958A" w14:textId="77777777" w:rsidR="006A0EC1" w:rsidRPr="000F1506" w:rsidRDefault="006A0EC1" w:rsidP="004D046C">
      <w:pPr>
        <w:pStyle w:val="Titre2"/>
        <w:numPr>
          <w:ilvl w:val="0"/>
          <w:numId w:val="14"/>
        </w:numPr>
        <w:tabs>
          <w:tab w:val="left" w:pos="851"/>
        </w:tabs>
        <w:spacing w:after="240"/>
        <w:ind w:left="851" w:hanging="425"/>
        <w:jc w:val="both"/>
        <w:rPr>
          <w:i/>
          <w:color w:val="auto"/>
          <w:sz w:val="28"/>
          <w:szCs w:val="28"/>
        </w:rPr>
      </w:pPr>
      <w:bookmarkStart w:id="44" w:name="_Toc21586255"/>
      <w:r w:rsidRPr="00DB00E3">
        <w:rPr>
          <w:i/>
          <w:color w:val="auto"/>
          <w:sz w:val="28"/>
          <w:szCs w:val="28"/>
        </w:rPr>
        <w:t xml:space="preserve">Mise en place d’une stratégie d’accueil et d’intégration des nouveaux </w:t>
      </w:r>
      <w:r w:rsidR="000F1506">
        <w:rPr>
          <w:i/>
          <w:color w:val="auto"/>
          <w:sz w:val="28"/>
          <w:szCs w:val="28"/>
        </w:rPr>
        <w:t>personnels dans les lieux d’affectation</w:t>
      </w:r>
      <w:bookmarkEnd w:id="44"/>
    </w:p>
    <w:p w14:paraId="25C48FA6" w14:textId="77777777" w:rsidR="006A0EC1" w:rsidRPr="00D64144" w:rsidRDefault="006A0EC1" w:rsidP="006A0EC1">
      <w:pPr>
        <w:widowControl w:val="0"/>
        <w:autoSpaceDE w:val="0"/>
        <w:autoSpaceDN w:val="0"/>
        <w:adjustRightInd w:val="0"/>
        <w:spacing w:after="0" w:line="275" w:lineRule="auto"/>
        <w:ind w:right="73"/>
        <w:jc w:val="both"/>
        <w:rPr>
          <w:bCs/>
          <w:iCs/>
          <w:sz w:val="24"/>
          <w:szCs w:val="24"/>
        </w:rPr>
      </w:pPr>
      <w:r w:rsidRPr="00D64144">
        <w:rPr>
          <w:bCs/>
          <w:iCs/>
          <w:sz w:val="24"/>
          <w:szCs w:val="24"/>
        </w:rPr>
        <w:t>La mise en place d’une stratégie d’accueil et d’intégration crée généralement un impact important sur la durée d’emploi, l’engagement de l’employé au sein de l’organisation ou service ainsi que sur sa mobilisation et son adhésion à la mission. Il importe donc de transmettre aux nouveaux employés un maximum de renseignements sur les normes et procédures, les valeurs et les attentes de l’organisation à la prise de service</w:t>
      </w:r>
      <w:r w:rsidR="000F1506" w:rsidRPr="00D64144">
        <w:rPr>
          <w:bCs/>
          <w:iCs/>
          <w:sz w:val="24"/>
          <w:szCs w:val="24"/>
        </w:rPr>
        <w:t xml:space="preserve"> et les exigences du poste</w:t>
      </w:r>
      <w:r w:rsidRPr="00D64144">
        <w:rPr>
          <w:bCs/>
          <w:iCs/>
          <w:sz w:val="24"/>
          <w:szCs w:val="24"/>
        </w:rPr>
        <w:t>. Plus l’accueil d’un employé est structuré et efficace, plus vite il atteindra un niveau de performance satisfaisant. A cet effet, le MS mettra en œuvre un programme d’accueil et d’intégration des personnels nouvellement recrutés</w:t>
      </w:r>
      <w:r w:rsidR="00EA2A9C" w:rsidRPr="00D64144">
        <w:rPr>
          <w:bCs/>
          <w:iCs/>
          <w:sz w:val="24"/>
          <w:szCs w:val="24"/>
        </w:rPr>
        <w:t xml:space="preserve"> ou affecté</w:t>
      </w:r>
      <w:r w:rsidRPr="00D64144">
        <w:rPr>
          <w:bCs/>
          <w:iCs/>
          <w:sz w:val="24"/>
          <w:szCs w:val="24"/>
        </w:rPr>
        <w:t xml:space="preserve">. </w:t>
      </w:r>
    </w:p>
    <w:p w14:paraId="00C795D9" w14:textId="77777777" w:rsidR="006A0EC1" w:rsidRPr="00EA2A9C" w:rsidRDefault="006A0EC1" w:rsidP="004D046C">
      <w:pPr>
        <w:pStyle w:val="Titre2"/>
        <w:numPr>
          <w:ilvl w:val="0"/>
          <w:numId w:val="14"/>
        </w:numPr>
        <w:tabs>
          <w:tab w:val="left" w:pos="851"/>
        </w:tabs>
        <w:spacing w:after="240"/>
        <w:ind w:left="993" w:hanging="567"/>
        <w:rPr>
          <w:i/>
          <w:color w:val="auto"/>
          <w:sz w:val="28"/>
          <w:szCs w:val="28"/>
        </w:rPr>
      </w:pPr>
      <w:bookmarkStart w:id="45" w:name="_Toc21586256"/>
      <w:r w:rsidRPr="00DB00E3">
        <w:rPr>
          <w:i/>
          <w:color w:val="auto"/>
          <w:sz w:val="28"/>
          <w:szCs w:val="28"/>
        </w:rPr>
        <w:t>Amélioration de la répartition des personnels de santé</w:t>
      </w:r>
      <w:bookmarkEnd w:id="45"/>
    </w:p>
    <w:p w14:paraId="03CC5557" w14:textId="77777777" w:rsidR="006A0EC1" w:rsidRPr="00D64144" w:rsidRDefault="006A0EC1" w:rsidP="004733D6">
      <w:pPr>
        <w:jc w:val="both"/>
        <w:rPr>
          <w:bCs/>
          <w:iCs/>
          <w:sz w:val="24"/>
          <w:szCs w:val="24"/>
        </w:rPr>
      </w:pPr>
      <w:r w:rsidRPr="00D64144">
        <w:rPr>
          <w:bCs/>
          <w:iCs/>
          <w:sz w:val="24"/>
          <w:szCs w:val="24"/>
        </w:rPr>
        <w:t>Dans le cadre de la gestion administrative des structures de santé, la loi exige la tenue à jour des cadres organiques dans toutes les structures publiques</w:t>
      </w:r>
      <w:r w:rsidRPr="00D64144">
        <w:rPr>
          <w:bCs/>
          <w:iCs/>
          <w:sz w:val="20"/>
          <w:szCs w:val="20"/>
          <w:vertAlign w:val="superscript"/>
        </w:rPr>
        <w:footnoteReference w:id="46"/>
      </w:r>
      <w:r w:rsidRPr="00D64144">
        <w:rPr>
          <w:bCs/>
          <w:iCs/>
          <w:sz w:val="24"/>
          <w:szCs w:val="24"/>
        </w:rPr>
        <w:t xml:space="preserve">. Ce </w:t>
      </w:r>
      <w:r w:rsidR="00C43DBF" w:rsidRPr="00D64144">
        <w:rPr>
          <w:bCs/>
          <w:iCs/>
          <w:sz w:val="24"/>
          <w:szCs w:val="24"/>
        </w:rPr>
        <w:t xml:space="preserve">principe guidera la distribution des RHS. Depuis quelques années, les affectations et mutations à Conakry et environs sont plutôt exceptionnelles. Cette disposition sera maintenue et renforcée. </w:t>
      </w:r>
    </w:p>
    <w:p w14:paraId="50F2A43A" w14:textId="77777777" w:rsidR="006A0EC1" w:rsidRPr="004733D6" w:rsidRDefault="006A0EC1" w:rsidP="004D046C">
      <w:pPr>
        <w:pStyle w:val="Titre2"/>
        <w:numPr>
          <w:ilvl w:val="0"/>
          <w:numId w:val="14"/>
        </w:numPr>
        <w:tabs>
          <w:tab w:val="left" w:pos="851"/>
        </w:tabs>
        <w:spacing w:after="240"/>
        <w:ind w:left="993" w:hanging="567"/>
        <w:rPr>
          <w:i/>
          <w:color w:val="auto"/>
          <w:sz w:val="28"/>
          <w:szCs w:val="28"/>
        </w:rPr>
      </w:pPr>
      <w:bookmarkStart w:id="46" w:name="_Toc21586257"/>
      <w:r w:rsidRPr="00DB00E3">
        <w:rPr>
          <w:i/>
          <w:color w:val="auto"/>
          <w:sz w:val="28"/>
          <w:szCs w:val="28"/>
        </w:rPr>
        <w:t>Mise en œuvre d’une stratégie de motivation et de fidélisation</w:t>
      </w:r>
      <w:bookmarkEnd w:id="46"/>
      <w:r w:rsidRPr="00DB00E3">
        <w:rPr>
          <w:i/>
          <w:color w:val="auto"/>
          <w:sz w:val="28"/>
          <w:szCs w:val="28"/>
        </w:rPr>
        <w:t xml:space="preserve"> </w:t>
      </w:r>
    </w:p>
    <w:p w14:paraId="07931E32" w14:textId="77777777" w:rsidR="006A0EC1" w:rsidRPr="00D64144" w:rsidRDefault="006A0EC1" w:rsidP="006A0EC1">
      <w:pPr>
        <w:widowControl w:val="0"/>
        <w:autoSpaceDE w:val="0"/>
        <w:autoSpaceDN w:val="0"/>
        <w:adjustRightInd w:val="0"/>
        <w:spacing w:after="0" w:line="275" w:lineRule="auto"/>
        <w:ind w:right="73"/>
        <w:jc w:val="both"/>
        <w:rPr>
          <w:bCs/>
          <w:iCs/>
          <w:sz w:val="24"/>
          <w:szCs w:val="24"/>
        </w:rPr>
      </w:pPr>
      <w:r w:rsidRPr="00D64144">
        <w:rPr>
          <w:bCs/>
          <w:iCs/>
          <w:sz w:val="24"/>
          <w:szCs w:val="24"/>
        </w:rPr>
        <w:t xml:space="preserve">Les traitements et salaires du personnel de santé sont régis par le régime général de la fonction publique. </w:t>
      </w:r>
      <w:r w:rsidR="0012002C" w:rsidRPr="00D64144">
        <w:rPr>
          <w:bCs/>
          <w:iCs/>
          <w:sz w:val="24"/>
          <w:szCs w:val="24"/>
        </w:rPr>
        <w:t>A côté de ce régime général le statut particulier de la santé accorde</w:t>
      </w:r>
      <w:r w:rsidR="005B1B39" w:rsidRPr="00D64144">
        <w:rPr>
          <w:bCs/>
          <w:iCs/>
          <w:sz w:val="24"/>
          <w:szCs w:val="24"/>
        </w:rPr>
        <w:t xml:space="preserve"> des avantages spécifiques au personnel de santé. Ces dispositions continueront à être appliquées dans le secteur.</w:t>
      </w:r>
      <w:r w:rsidRPr="00D64144">
        <w:rPr>
          <w:bCs/>
          <w:iCs/>
          <w:sz w:val="24"/>
          <w:szCs w:val="24"/>
        </w:rPr>
        <w:t xml:space="preserve"> </w:t>
      </w:r>
      <w:r w:rsidR="005B1B39" w:rsidRPr="00D64144">
        <w:rPr>
          <w:bCs/>
          <w:iCs/>
          <w:sz w:val="24"/>
          <w:szCs w:val="24"/>
        </w:rPr>
        <w:t>Toutefois,</w:t>
      </w:r>
      <w:r w:rsidR="001812AA" w:rsidRPr="00D64144">
        <w:rPr>
          <w:bCs/>
          <w:iCs/>
          <w:sz w:val="24"/>
          <w:szCs w:val="24"/>
        </w:rPr>
        <w:t xml:space="preserve"> </w:t>
      </w:r>
      <w:r w:rsidRPr="00D64144">
        <w:rPr>
          <w:bCs/>
          <w:iCs/>
          <w:sz w:val="24"/>
          <w:szCs w:val="24"/>
        </w:rPr>
        <w:t xml:space="preserve">ces mesures sont insuffisantes. </w:t>
      </w:r>
      <w:r w:rsidR="005B1B39" w:rsidRPr="00D64144">
        <w:rPr>
          <w:bCs/>
          <w:iCs/>
          <w:sz w:val="24"/>
          <w:szCs w:val="24"/>
        </w:rPr>
        <w:t>C’est pourquoi d</w:t>
      </w:r>
      <w:r w:rsidRPr="00D64144">
        <w:rPr>
          <w:bCs/>
          <w:iCs/>
          <w:sz w:val="24"/>
          <w:szCs w:val="24"/>
        </w:rPr>
        <w:t xml:space="preserve">es efforts supplémentaires </w:t>
      </w:r>
      <w:r w:rsidR="0012002C" w:rsidRPr="00D64144">
        <w:rPr>
          <w:bCs/>
          <w:iCs/>
          <w:sz w:val="24"/>
          <w:szCs w:val="24"/>
        </w:rPr>
        <w:t>sero</w:t>
      </w:r>
      <w:r w:rsidRPr="00D64144">
        <w:rPr>
          <w:bCs/>
          <w:iCs/>
          <w:sz w:val="24"/>
          <w:szCs w:val="24"/>
        </w:rPr>
        <w:t xml:space="preserve">nt déployés dans le sens du renforcement des initiatives et mesures incitatives et de fidélisation des personnels de santé : améliorer la rémunération, </w:t>
      </w:r>
      <w:r w:rsidR="005B1B39" w:rsidRPr="00D64144">
        <w:rPr>
          <w:bCs/>
          <w:iCs/>
          <w:sz w:val="24"/>
          <w:szCs w:val="24"/>
        </w:rPr>
        <w:t xml:space="preserve">offrir des </w:t>
      </w:r>
      <w:r w:rsidR="006A40D1" w:rsidRPr="00D64144">
        <w:rPr>
          <w:bCs/>
          <w:iCs/>
          <w:sz w:val="24"/>
          <w:szCs w:val="24"/>
        </w:rPr>
        <w:t>opportun</w:t>
      </w:r>
      <w:r w:rsidR="005B1B39" w:rsidRPr="00D64144">
        <w:rPr>
          <w:bCs/>
          <w:iCs/>
          <w:sz w:val="24"/>
          <w:szCs w:val="24"/>
        </w:rPr>
        <w:t xml:space="preserve">ités de formation </w:t>
      </w:r>
      <w:r w:rsidR="006A40D1" w:rsidRPr="00D64144">
        <w:rPr>
          <w:bCs/>
          <w:iCs/>
          <w:sz w:val="24"/>
          <w:szCs w:val="24"/>
        </w:rPr>
        <w:t>(</w:t>
      </w:r>
      <w:r w:rsidR="005B1B39" w:rsidRPr="00D64144">
        <w:rPr>
          <w:bCs/>
          <w:iCs/>
          <w:sz w:val="24"/>
          <w:szCs w:val="24"/>
        </w:rPr>
        <w:t>continue et de spécialisation</w:t>
      </w:r>
      <w:r w:rsidR="006A40D1" w:rsidRPr="00D64144">
        <w:rPr>
          <w:bCs/>
          <w:iCs/>
          <w:sz w:val="24"/>
          <w:szCs w:val="24"/>
        </w:rPr>
        <w:t xml:space="preserve">) et de </w:t>
      </w:r>
      <w:r w:rsidRPr="00D64144">
        <w:rPr>
          <w:bCs/>
          <w:iCs/>
          <w:sz w:val="24"/>
          <w:szCs w:val="24"/>
        </w:rPr>
        <w:t xml:space="preserve">nomination aux postes de responsabilité </w:t>
      </w:r>
      <w:r w:rsidR="006A40D1" w:rsidRPr="00D64144">
        <w:rPr>
          <w:bCs/>
          <w:iCs/>
          <w:sz w:val="24"/>
          <w:szCs w:val="24"/>
        </w:rPr>
        <w:t>en fonction du temps de service passé dans des zones difficiles ou à des postes spécifiés</w:t>
      </w:r>
      <w:r w:rsidRPr="00D64144">
        <w:rPr>
          <w:bCs/>
          <w:iCs/>
          <w:sz w:val="24"/>
          <w:szCs w:val="24"/>
        </w:rPr>
        <w:t>.</w:t>
      </w:r>
    </w:p>
    <w:p w14:paraId="31FA2594" w14:textId="77777777" w:rsidR="00CA6427" w:rsidRPr="00CA6427" w:rsidRDefault="00CA6427" w:rsidP="00CA6427">
      <w:pPr>
        <w:pStyle w:val="Titre2"/>
        <w:numPr>
          <w:ilvl w:val="0"/>
          <w:numId w:val="14"/>
        </w:numPr>
        <w:tabs>
          <w:tab w:val="left" w:pos="851"/>
        </w:tabs>
        <w:spacing w:after="240"/>
        <w:ind w:left="993" w:hanging="567"/>
        <w:rPr>
          <w:i/>
          <w:color w:val="auto"/>
          <w:sz w:val="28"/>
          <w:szCs w:val="28"/>
        </w:rPr>
      </w:pPr>
      <w:bookmarkStart w:id="47" w:name="_Toc21586258"/>
      <w:r w:rsidRPr="00CA6427">
        <w:rPr>
          <w:i/>
          <w:color w:val="auto"/>
          <w:sz w:val="28"/>
          <w:szCs w:val="28"/>
        </w:rPr>
        <w:t>Amélioration du cadre institutionnel de gestion des carrières</w:t>
      </w:r>
      <w:bookmarkEnd w:id="47"/>
      <w:r w:rsidRPr="00CA6427">
        <w:rPr>
          <w:i/>
          <w:color w:val="auto"/>
          <w:sz w:val="28"/>
          <w:szCs w:val="28"/>
        </w:rPr>
        <w:t xml:space="preserve"> </w:t>
      </w:r>
    </w:p>
    <w:p w14:paraId="64806832" w14:textId="77777777" w:rsidR="00671946" w:rsidRPr="00D64144" w:rsidRDefault="008D38FE" w:rsidP="00671946">
      <w:pPr>
        <w:pStyle w:val="Paragraphedeliste"/>
        <w:widowControl w:val="0"/>
        <w:autoSpaceDE w:val="0"/>
        <w:autoSpaceDN w:val="0"/>
        <w:adjustRightInd w:val="0"/>
        <w:ind w:left="0"/>
        <w:contextualSpacing w:val="0"/>
        <w:jc w:val="both"/>
        <w:rPr>
          <w:bCs/>
          <w:iCs/>
          <w:sz w:val="24"/>
          <w:szCs w:val="24"/>
        </w:rPr>
      </w:pPr>
      <w:r w:rsidRPr="00D64144">
        <w:rPr>
          <w:bCs/>
          <w:iCs/>
          <w:sz w:val="24"/>
          <w:szCs w:val="24"/>
        </w:rPr>
        <w:t>« Une</w:t>
      </w:r>
      <w:r w:rsidR="00671946" w:rsidRPr="00D64144">
        <w:rPr>
          <w:bCs/>
          <w:iCs/>
          <w:sz w:val="24"/>
          <w:szCs w:val="24"/>
        </w:rPr>
        <w:t xml:space="preserve"> carrière c’est l’ensemble des emplois qu’une personne occupe pendant sa vie professionnelle. Pour certaines, cette succession d’emplois correspond à un plan qu’elles ont soigneusement établi. Pour d’autres, leur carrière est le fruit du hasard»</w:t>
      </w:r>
      <w:r w:rsidR="00671946" w:rsidRPr="00D64144">
        <w:rPr>
          <w:sz w:val="24"/>
          <w:szCs w:val="24"/>
          <w:vertAlign w:val="superscript"/>
        </w:rPr>
        <w:footnoteReference w:id="47"/>
      </w:r>
      <w:r w:rsidR="00671946" w:rsidRPr="00D64144">
        <w:rPr>
          <w:bCs/>
          <w:iCs/>
          <w:sz w:val="24"/>
          <w:szCs w:val="24"/>
        </w:rPr>
        <w:t>. Par ailleurs, le développement de carrière est un processus continu qui engage la double responsabilité de l’employeur et de l’employé.</w:t>
      </w:r>
    </w:p>
    <w:p w14:paraId="2D2A204E" w14:textId="77777777" w:rsidR="00CA6427" w:rsidRPr="00D64144" w:rsidRDefault="00CA6427" w:rsidP="00CA6427">
      <w:pPr>
        <w:pStyle w:val="Corpsdetexte"/>
        <w:spacing w:before="1"/>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 xml:space="preserve">Pour relever les défis liés au développement de carrière, le Ministère de la santé, veillera à : </w:t>
      </w:r>
    </w:p>
    <w:p w14:paraId="44261785" w14:textId="77777777" w:rsidR="00CA6427" w:rsidRPr="00D64144" w:rsidRDefault="008D38FE" w:rsidP="00D15FBD">
      <w:pPr>
        <w:pStyle w:val="Corpsdetexte"/>
        <w:numPr>
          <w:ilvl w:val="1"/>
          <w:numId w:val="4"/>
        </w:numPr>
        <w:spacing w:before="1"/>
        <w:ind w:left="851"/>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La</w:t>
      </w:r>
      <w:r w:rsidR="00CA6427" w:rsidRPr="00D64144">
        <w:rPr>
          <w:rFonts w:asciiTheme="minorHAnsi" w:eastAsiaTheme="minorHAnsi" w:hAnsiTheme="minorHAnsi" w:cstheme="minorBidi"/>
          <w:bCs/>
          <w:iCs/>
          <w:sz w:val="24"/>
          <w:szCs w:val="24"/>
          <w:lang w:val="fr-FR"/>
        </w:rPr>
        <w:t xml:space="preserve"> mise en place des plans de carrière en collaboration avec les parties prenantes</w:t>
      </w:r>
      <w:r w:rsidR="00335D5F" w:rsidRPr="00D64144">
        <w:rPr>
          <w:rFonts w:asciiTheme="minorHAnsi" w:eastAsiaTheme="minorHAnsi" w:hAnsiTheme="minorHAnsi" w:cstheme="minorBidi"/>
          <w:bCs/>
          <w:iCs/>
          <w:sz w:val="24"/>
          <w:szCs w:val="24"/>
          <w:lang w:val="fr-FR"/>
        </w:rPr>
        <w:t>. Il s’agira de :</w:t>
      </w:r>
    </w:p>
    <w:p w14:paraId="0461123A" w14:textId="77777777" w:rsidR="00335D5F" w:rsidRPr="00D64144" w:rsidRDefault="008D38FE" w:rsidP="00D15FBD">
      <w:pPr>
        <w:pStyle w:val="Corpsdetexte"/>
        <w:numPr>
          <w:ilvl w:val="0"/>
          <w:numId w:val="31"/>
        </w:numPr>
        <w:spacing w:before="1" w:after="120"/>
        <w:ind w:left="1276" w:hanging="425"/>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Pour</w:t>
      </w:r>
      <w:r w:rsidR="00335D5F" w:rsidRPr="00D64144">
        <w:rPr>
          <w:rFonts w:asciiTheme="minorHAnsi" w:eastAsiaTheme="minorHAnsi" w:hAnsiTheme="minorHAnsi" w:cstheme="minorBidi"/>
          <w:bCs/>
          <w:iCs/>
          <w:sz w:val="24"/>
          <w:szCs w:val="24"/>
          <w:lang w:val="fr-FR"/>
        </w:rPr>
        <w:t xml:space="preserve"> lui :</w:t>
      </w:r>
    </w:p>
    <w:p w14:paraId="1B04E46F" w14:textId="77777777" w:rsidR="00335D5F" w:rsidRPr="00D64144" w:rsidRDefault="00335D5F" w:rsidP="00102A28">
      <w:pPr>
        <w:pStyle w:val="Paragraphedeliste"/>
        <w:widowControl w:val="0"/>
        <w:numPr>
          <w:ilvl w:val="1"/>
          <w:numId w:val="30"/>
        </w:numPr>
        <w:autoSpaceDE w:val="0"/>
        <w:autoSpaceDN w:val="0"/>
        <w:adjustRightInd w:val="0"/>
        <w:ind w:left="1985"/>
        <w:jc w:val="both"/>
        <w:rPr>
          <w:bCs/>
          <w:iCs/>
          <w:sz w:val="24"/>
          <w:szCs w:val="24"/>
        </w:rPr>
      </w:pPr>
      <w:r w:rsidRPr="00D64144">
        <w:rPr>
          <w:bCs/>
          <w:iCs/>
          <w:sz w:val="24"/>
          <w:szCs w:val="24"/>
        </w:rPr>
        <w:t xml:space="preserve">Connaître les forces et les intérêts de ses employés ; </w:t>
      </w:r>
    </w:p>
    <w:p w14:paraId="25BC33FE" w14:textId="77777777" w:rsidR="00335D5F" w:rsidRPr="00D64144" w:rsidRDefault="00335D5F" w:rsidP="00102A28">
      <w:pPr>
        <w:pStyle w:val="Paragraphedeliste"/>
        <w:widowControl w:val="0"/>
        <w:numPr>
          <w:ilvl w:val="1"/>
          <w:numId w:val="30"/>
        </w:numPr>
        <w:autoSpaceDE w:val="0"/>
        <w:autoSpaceDN w:val="0"/>
        <w:adjustRightInd w:val="0"/>
        <w:ind w:left="1985"/>
        <w:jc w:val="both"/>
        <w:rPr>
          <w:bCs/>
          <w:iCs/>
          <w:sz w:val="24"/>
          <w:szCs w:val="24"/>
        </w:rPr>
      </w:pPr>
      <w:r w:rsidRPr="00D64144">
        <w:rPr>
          <w:bCs/>
          <w:iCs/>
          <w:sz w:val="24"/>
          <w:szCs w:val="24"/>
        </w:rPr>
        <w:t xml:space="preserve">Les aider à identifier ou à clarifier leurs objectifs en fonction de leurs attentes et des besoins du secteur ; </w:t>
      </w:r>
    </w:p>
    <w:p w14:paraId="40235D8E" w14:textId="77777777" w:rsidR="00335D5F" w:rsidRPr="00D64144" w:rsidRDefault="00335D5F" w:rsidP="00102A28">
      <w:pPr>
        <w:pStyle w:val="Paragraphedeliste"/>
        <w:widowControl w:val="0"/>
        <w:numPr>
          <w:ilvl w:val="1"/>
          <w:numId w:val="30"/>
        </w:numPr>
        <w:autoSpaceDE w:val="0"/>
        <w:autoSpaceDN w:val="0"/>
        <w:adjustRightInd w:val="0"/>
        <w:ind w:left="1985"/>
        <w:jc w:val="both"/>
        <w:rPr>
          <w:bCs/>
          <w:iCs/>
          <w:sz w:val="24"/>
          <w:szCs w:val="24"/>
        </w:rPr>
      </w:pPr>
      <w:r w:rsidRPr="00D64144">
        <w:rPr>
          <w:bCs/>
          <w:iCs/>
          <w:sz w:val="24"/>
          <w:szCs w:val="24"/>
        </w:rPr>
        <w:t xml:space="preserve">Discuter des stratégies possibles et offrir des opportunités de développement ; </w:t>
      </w:r>
    </w:p>
    <w:p w14:paraId="27C8F8F6" w14:textId="77777777" w:rsidR="00335D5F" w:rsidRPr="00D64144" w:rsidRDefault="00335D5F" w:rsidP="00102A28">
      <w:pPr>
        <w:pStyle w:val="Paragraphedeliste"/>
        <w:widowControl w:val="0"/>
        <w:numPr>
          <w:ilvl w:val="1"/>
          <w:numId w:val="30"/>
        </w:numPr>
        <w:autoSpaceDE w:val="0"/>
        <w:autoSpaceDN w:val="0"/>
        <w:adjustRightInd w:val="0"/>
        <w:ind w:left="1985"/>
        <w:contextualSpacing w:val="0"/>
        <w:jc w:val="both"/>
        <w:rPr>
          <w:bCs/>
          <w:iCs/>
          <w:sz w:val="24"/>
          <w:szCs w:val="24"/>
        </w:rPr>
      </w:pPr>
      <w:r w:rsidRPr="00D64144">
        <w:rPr>
          <w:bCs/>
          <w:iCs/>
          <w:sz w:val="24"/>
          <w:szCs w:val="24"/>
        </w:rPr>
        <w:t>S’informer des intentions professionnelles et des limites personnelles et familiales de chacun</w:t>
      </w:r>
      <w:r w:rsidRPr="00D64144">
        <w:rPr>
          <w:bCs/>
          <w:iCs/>
          <w:sz w:val="24"/>
          <w:szCs w:val="24"/>
          <w:vertAlign w:val="superscript"/>
        </w:rPr>
        <w:footnoteReference w:id="48"/>
      </w:r>
      <w:r w:rsidRPr="00D64144">
        <w:rPr>
          <w:bCs/>
          <w:iCs/>
          <w:sz w:val="24"/>
          <w:szCs w:val="24"/>
        </w:rPr>
        <w:t>.</w:t>
      </w:r>
    </w:p>
    <w:p w14:paraId="6403D02E" w14:textId="77777777" w:rsidR="00671946" w:rsidRPr="00671946" w:rsidRDefault="00671946" w:rsidP="00B00038">
      <w:pPr>
        <w:widowControl w:val="0"/>
        <w:autoSpaceDE w:val="0"/>
        <w:autoSpaceDN w:val="0"/>
        <w:adjustRightInd w:val="0"/>
        <w:jc w:val="both"/>
        <w:rPr>
          <w:bCs/>
          <w:iCs/>
          <w:sz w:val="28"/>
          <w:szCs w:val="28"/>
        </w:rPr>
      </w:pPr>
      <w:r w:rsidRPr="00D64144">
        <w:rPr>
          <w:bCs/>
          <w:iCs/>
          <w:sz w:val="24"/>
          <w:szCs w:val="24"/>
        </w:rPr>
        <w:t xml:space="preserve">C’est un processus continu de coaching par lequel le supérieur hiérarchique fixe des défis et aide l’employé à les relever. </w:t>
      </w:r>
    </w:p>
    <w:p w14:paraId="01565440" w14:textId="77777777" w:rsidR="00335D5F" w:rsidRPr="00D64144" w:rsidRDefault="00335D5F" w:rsidP="00102A28">
      <w:pPr>
        <w:pStyle w:val="Corpsdetexte"/>
        <w:numPr>
          <w:ilvl w:val="0"/>
          <w:numId w:val="31"/>
        </w:numPr>
        <w:spacing w:before="1" w:after="120"/>
        <w:ind w:left="1276" w:hanging="425"/>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Pour le personnel de santé :</w:t>
      </w:r>
    </w:p>
    <w:p w14:paraId="67EABF10" w14:textId="77777777" w:rsidR="00335D5F" w:rsidRPr="00D64144" w:rsidRDefault="00335D5F" w:rsidP="00445B9B">
      <w:pPr>
        <w:pStyle w:val="Paragraphedeliste"/>
        <w:widowControl w:val="0"/>
        <w:numPr>
          <w:ilvl w:val="1"/>
          <w:numId w:val="30"/>
        </w:numPr>
        <w:autoSpaceDE w:val="0"/>
        <w:autoSpaceDN w:val="0"/>
        <w:adjustRightInd w:val="0"/>
        <w:spacing w:after="0"/>
        <w:ind w:left="1984" w:hanging="357"/>
        <w:contextualSpacing w:val="0"/>
        <w:jc w:val="both"/>
        <w:rPr>
          <w:bCs/>
          <w:iCs/>
          <w:sz w:val="24"/>
          <w:szCs w:val="24"/>
        </w:rPr>
      </w:pPr>
      <w:r w:rsidRPr="00D64144">
        <w:rPr>
          <w:bCs/>
          <w:iCs/>
          <w:sz w:val="24"/>
          <w:szCs w:val="24"/>
        </w:rPr>
        <w:t xml:space="preserve">Pouvoir déterminer ce qui l’intéresse et ce qu’il vaut ; </w:t>
      </w:r>
    </w:p>
    <w:p w14:paraId="33B0C246" w14:textId="77777777" w:rsidR="00335D5F" w:rsidRPr="00D64144" w:rsidRDefault="00335D5F" w:rsidP="00445B9B">
      <w:pPr>
        <w:pStyle w:val="Paragraphedeliste"/>
        <w:widowControl w:val="0"/>
        <w:numPr>
          <w:ilvl w:val="1"/>
          <w:numId w:val="30"/>
        </w:numPr>
        <w:autoSpaceDE w:val="0"/>
        <w:autoSpaceDN w:val="0"/>
        <w:adjustRightInd w:val="0"/>
        <w:spacing w:after="0"/>
        <w:ind w:left="1984" w:hanging="357"/>
        <w:contextualSpacing w:val="0"/>
        <w:jc w:val="both"/>
        <w:rPr>
          <w:bCs/>
          <w:iCs/>
          <w:sz w:val="24"/>
          <w:szCs w:val="24"/>
        </w:rPr>
      </w:pPr>
      <w:r w:rsidRPr="00D64144">
        <w:rPr>
          <w:bCs/>
          <w:iCs/>
          <w:sz w:val="24"/>
          <w:szCs w:val="24"/>
        </w:rPr>
        <w:t xml:space="preserve">Exprimer ce qu’il recherche ; </w:t>
      </w:r>
    </w:p>
    <w:p w14:paraId="1F19C73B" w14:textId="77777777" w:rsidR="00335D5F" w:rsidRPr="00D64144" w:rsidRDefault="00335D5F" w:rsidP="00445B9B">
      <w:pPr>
        <w:pStyle w:val="Paragraphedeliste"/>
        <w:widowControl w:val="0"/>
        <w:numPr>
          <w:ilvl w:val="1"/>
          <w:numId w:val="30"/>
        </w:numPr>
        <w:autoSpaceDE w:val="0"/>
        <w:autoSpaceDN w:val="0"/>
        <w:adjustRightInd w:val="0"/>
        <w:spacing w:after="0"/>
        <w:ind w:left="1984" w:hanging="357"/>
        <w:contextualSpacing w:val="0"/>
        <w:jc w:val="both"/>
        <w:rPr>
          <w:bCs/>
          <w:iCs/>
          <w:sz w:val="24"/>
          <w:szCs w:val="24"/>
        </w:rPr>
      </w:pPr>
      <w:r w:rsidRPr="00D64144">
        <w:rPr>
          <w:bCs/>
          <w:iCs/>
          <w:sz w:val="24"/>
          <w:szCs w:val="24"/>
        </w:rPr>
        <w:t xml:space="preserve">Être prêt à s’investir lui-même pour acquérir les compétences qui lui manquent ; </w:t>
      </w:r>
    </w:p>
    <w:p w14:paraId="3AFCE712" w14:textId="77777777" w:rsidR="00335D5F" w:rsidRPr="00D64144" w:rsidRDefault="00335D5F" w:rsidP="00102A28">
      <w:pPr>
        <w:pStyle w:val="Paragraphedeliste"/>
        <w:widowControl w:val="0"/>
        <w:numPr>
          <w:ilvl w:val="1"/>
          <w:numId w:val="30"/>
        </w:numPr>
        <w:autoSpaceDE w:val="0"/>
        <w:autoSpaceDN w:val="0"/>
        <w:adjustRightInd w:val="0"/>
        <w:ind w:left="1985"/>
        <w:contextualSpacing w:val="0"/>
        <w:jc w:val="both"/>
        <w:rPr>
          <w:bCs/>
          <w:iCs/>
          <w:sz w:val="24"/>
          <w:szCs w:val="24"/>
        </w:rPr>
      </w:pPr>
      <w:r w:rsidRPr="00D64144">
        <w:rPr>
          <w:bCs/>
          <w:iCs/>
          <w:sz w:val="24"/>
          <w:szCs w:val="24"/>
        </w:rPr>
        <w:t>Prendre le temps nécessaire pour atteindre ses objectifs et les réviser régulièrement (surtout si les chemins qui lui sont présentés sont différents)</w:t>
      </w:r>
      <w:r w:rsidRPr="00D64144">
        <w:rPr>
          <w:bCs/>
          <w:iCs/>
          <w:sz w:val="24"/>
          <w:szCs w:val="24"/>
        </w:rPr>
        <w:footnoteReference w:id="49"/>
      </w:r>
      <w:r w:rsidRPr="00D64144">
        <w:rPr>
          <w:bCs/>
          <w:iCs/>
          <w:sz w:val="24"/>
          <w:szCs w:val="24"/>
        </w:rPr>
        <w:t>.</w:t>
      </w:r>
    </w:p>
    <w:p w14:paraId="13395FB4" w14:textId="77777777" w:rsidR="00CA6427" w:rsidRPr="00D64144" w:rsidRDefault="00671946" w:rsidP="00671946">
      <w:pPr>
        <w:pStyle w:val="Corpsdetexte"/>
        <w:numPr>
          <w:ilvl w:val="1"/>
          <w:numId w:val="4"/>
        </w:numPr>
        <w:spacing w:before="1" w:after="200" w:line="276" w:lineRule="auto"/>
        <w:ind w:left="1434" w:hanging="357"/>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L’i</w:t>
      </w:r>
      <w:r w:rsidR="00CA6427" w:rsidRPr="00D64144">
        <w:rPr>
          <w:rFonts w:asciiTheme="minorHAnsi" w:eastAsiaTheme="minorHAnsi" w:hAnsiTheme="minorHAnsi" w:cstheme="minorBidi"/>
          <w:bCs/>
          <w:iCs/>
          <w:sz w:val="24"/>
          <w:szCs w:val="24"/>
          <w:lang w:val="fr-FR"/>
        </w:rPr>
        <w:t>ntégr</w:t>
      </w:r>
      <w:r w:rsidRPr="00D64144">
        <w:rPr>
          <w:rFonts w:asciiTheme="minorHAnsi" w:eastAsiaTheme="minorHAnsi" w:hAnsiTheme="minorHAnsi" w:cstheme="minorBidi"/>
          <w:bCs/>
          <w:iCs/>
          <w:sz w:val="24"/>
          <w:szCs w:val="24"/>
          <w:lang w:val="fr-FR"/>
        </w:rPr>
        <w:t>ation d</w:t>
      </w:r>
      <w:r w:rsidR="00CA6427" w:rsidRPr="00D64144">
        <w:rPr>
          <w:rFonts w:asciiTheme="minorHAnsi" w:eastAsiaTheme="minorHAnsi" w:hAnsiTheme="minorHAnsi" w:cstheme="minorBidi"/>
          <w:bCs/>
          <w:iCs/>
          <w:sz w:val="24"/>
          <w:szCs w:val="24"/>
          <w:lang w:val="fr-FR"/>
        </w:rPr>
        <w:t xml:space="preserve">e la formation (continue et </w:t>
      </w:r>
      <w:r w:rsidR="00F80191" w:rsidRPr="00D64144">
        <w:rPr>
          <w:rFonts w:asciiTheme="minorHAnsi" w:eastAsiaTheme="minorHAnsi" w:hAnsiTheme="minorHAnsi" w:cstheme="minorBidi"/>
          <w:bCs/>
          <w:iCs/>
          <w:sz w:val="24"/>
          <w:szCs w:val="24"/>
          <w:lang w:val="fr-FR"/>
        </w:rPr>
        <w:t xml:space="preserve">de </w:t>
      </w:r>
      <w:r w:rsidR="00CA6427" w:rsidRPr="00D64144">
        <w:rPr>
          <w:rFonts w:asciiTheme="minorHAnsi" w:eastAsiaTheme="minorHAnsi" w:hAnsiTheme="minorHAnsi" w:cstheme="minorBidi"/>
          <w:bCs/>
          <w:iCs/>
          <w:sz w:val="24"/>
          <w:szCs w:val="24"/>
          <w:lang w:val="fr-FR"/>
        </w:rPr>
        <w:t xml:space="preserve">spécialisation) comme stratégie de développement de carrières. </w:t>
      </w:r>
    </w:p>
    <w:p w14:paraId="1B193EC8" w14:textId="77777777" w:rsidR="00775E26" w:rsidRPr="00D64144" w:rsidRDefault="00775E26" w:rsidP="00775E26">
      <w:pPr>
        <w:pStyle w:val="Corpsdetexte"/>
        <w:spacing w:before="1" w:after="200" w:line="276" w:lineRule="auto"/>
        <w:jc w:val="both"/>
        <w:rPr>
          <w:rFonts w:asciiTheme="minorHAnsi" w:eastAsiaTheme="minorHAnsi" w:hAnsiTheme="minorHAnsi" w:cstheme="minorBidi"/>
          <w:bCs/>
          <w:iCs/>
          <w:sz w:val="24"/>
          <w:szCs w:val="24"/>
          <w:lang w:val="fr-FR"/>
        </w:rPr>
      </w:pPr>
      <w:r w:rsidRPr="00D64144">
        <w:rPr>
          <w:rFonts w:asciiTheme="minorHAnsi" w:eastAsiaTheme="minorHAnsi" w:hAnsiTheme="minorHAnsi" w:cstheme="minorBidi"/>
          <w:bCs/>
          <w:iCs/>
          <w:sz w:val="24"/>
          <w:szCs w:val="24"/>
          <w:lang w:val="fr-FR"/>
        </w:rPr>
        <w:t>La formation sera utilisée comme levier pour aider les personnels de santé à renforcer leur position de carrière et/ou les fidéliser dans les zones défavorisées. Ainsi, entre autres, la formation sera indexée sur la perspective d’accès à des postes de responsabilités plus élevées ou à des grades supérieurs.</w:t>
      </w:r>
      <w:r w:rsidR="00E02B32" w:rsidRPr="00D64144">
        <w:rPr>
          <w:rFonts w:asciiTheme="minorHAnsi" w:eastAsiaTheme="minorHAnsi" w:hAnsiTheme="minorHAnsi" w:cstheme="minorBidi"/>
          <w:bCs/>
          <w:iCs/>
          <w:sz w:val="24"/>
          <w:szCs w:val="24"/>
          <w:lang w:val="fr-FR"/>
        </w:rPr>
        <w:t xml:space="preserve"> A cet</w:t>
      </w:r>
      <w:r w:rsidRPr="00D64144">
        <w:rPr>
          <w:rFonts w:asciiTheme="minorHAnsi" w:eastAsiaTheme="minorHAnsi" w:hAnsiTheme="minorHAnsi" w:cstheme="minorBidi"/>
          <w:bCs/>
          <w:iCs/>
          <w:sz w:val="24"/>
          <w:szCs w:val="24"/>
          <w:lang w:val="fr-FR"/>
        </w:rPr>
        <w:t xml:space="preserve"> effet, les plans de carrière seront systématisés, les procédures d’identification des besoins de formation intégreront les perspectives de carrières des agents</w:t>
      </w:r>
      <w:r w:rsidR="00E02B32" w:rsidRPr="00D64144">
        <w:rPr>
          <w:rFonts w:asciiTheme="minorHAnsi" w:eastAsiaTheme="minorHAnsi" w:hAnsiTheme="minorHAnsi" w:cstheme="minorBidi"/>
          <w:bCs/>
          <w:iCs/>
          <w:sz w:val="24"/>
          <w:szCs w:val="24"/>
          <w:lang w:val="fr-FR"/>
        </w:rPr>
        <w:t xml:space="preserve"> et la formation sera un des critères de nomination aux postes de responsabilité.</w:t>
      </w:r>
    </w:p>
    <w:p w14:paraId="328A2F96" w14:textId="77777777" w:rsidR="00CA6427" w:rsidRDefault="00CA6427" w:rsidP="00CA6427">
      <w:pPr>
        <w:pStyle w:val="Paragraphedeliste"/>
        <w:widowControl w:val="0"/>
        <w:autoSpaceDE w:val="0"/>
        <w:autoSpaceDN w:val="0"/>
        <w:adjustRightInd w:val="0"/>
        <w:spacing w:after="0"/>
        <w:ind w:left="0"/>
        <w:jc w:val="both"/>
        <w:rPr>
          <w:bCs/>
          <w:iCs/>
          <w:sz w:val="28"/>
          <w:szCs w:val="28"/>
        </w:rPr>
      </w:pPr>
      <w:r w:rsidRPr="00D64144">
        <w:rPr>
          <w:bCs/>
          <w:iCs/>
          <w:sz w:val="24"/>
          <w:szCs w:val="24"/>
        </w:rPr>
        <w:t xml:space="preserve">Ainsi, l’employé doit prendre conscience de ses forces et des éléments qu’il doit améliorer et s’engager à prendre part à son développement professionnel et à la gestion de sa carrière. </w:t>
      </w:r>
    </w:p>
    <w:p w14:paraId="7A50586B" w14:textId="77777777" w:rsidR="00346382" w:rsidRPr="00D52E18" w:rsidRDefault="005302A3" w:rsidP="00A71565">
      <w:pPr>
        <w:pStyle w:val="Titre1"/>
        <w:numPr>
          <w:ilvl w:val="0"/>
          <w:numId w:val="4"/>
        </w:numPr>
        <w:spacing w:after="360"/>
        <w:jc w:val="both"/>
      </w:pPr>
      <w:bookmarkStart w:id="48" w:name="_Toc21586259"/>
      <w:r w:rsidRPr="00D52E18">
        <w:t>CADRE DE MISE EN ŒUVRE</w:t>
      </w:r>
      <w:r w:rsidR="006F0F7C">
        <w:t>, SUIVI ET EVALUATION</w:t>
      </w:r>
      <w:r w:rsidRPr="00D52E18">
        <w:t xml:space="preserve"> DE LA POLITIQUE</w:t>
      </w:r>
      <w:bookmarkEnd w:id="48"/>
    </w:p>
    <w:p w14:paraId="775CF349" w14:textId="77777777" w:rsidR="00D308EA" w:rsidRPr="00D64144" w:rsidRDefault="00F60C46" w:rsidP="00D366EF">
      <w:pPr>
        <w:jc w:val="both"/>
        <w:rPr>
          <w:rFonts w:ascii="Arial Black" w:hAnsi="Arial Black"/>
          <w:b/>
          <w:sz w:val="28"/>
          <w:szCs w:val="20"/>
        </w:rPr>
      </w:pPr>
      <w:r w:rsidRPr="00D64144">
        <w:rPr>
          <w:bCs/>
          <w:iCs/>
          <w:sz w:val="24"/>
          <w:szCs w:val="24"/>
        </w:rPr>
        <w:t>La</w:t>
      </w:r>
      <w:r w:rsidR="00D308EA" w:rsidRPr="00D64144">
        <w:rPr>
          <w:bCs/>
          <w:iCs/>
          <w:sz w:val="24"/>
          <w:szCs w:val="24"/>
        </w:rPr>
        <w:t xml:space="preserve"> politique de développement des RHS, qui se veut être le principal levier pour relever les défis </w:t>
      </w:r>
      <w:r w:rsidR="006C5BE8" w:rsidRPr="00D64144">
        <w:rPr>
          <w:bCs/>
          <w:iCs/>
          <w:sz w:val="24"/>
          <w:szCs w:val="24"/>
        </w:rPr>
        <w:t>décrits</w:t>
      </w:r>
      <w:r w:rsidRPr="00D64144">
        <w:rPr>
          <w:bCs/>
          <w:iCs/>
          <w:sz w:val="24"/>
          <w:szCs w:val="24"/>
        </w:rPr>
        <w:t xml:space="preserve"> par l’analyse de situation</w:t>
      </w:r>
      <w:r w:rsidR="00D308EA" w:rsidRPr="00D64144">
        <w:rPr>
          <w:bCs/>
          <w:iCs/>
          <w:sz w:val="24"/>
          <w:szCs w:val="24"/>
        </w:rPr>
        <w:t xml:space="preserve">, se situe à l’interconnexion de plusieurs politiques, programmes et pratiques publics relevant de divers Départements ministériels </w:t>
      </w:r>
      <w:r w:rsidR="006C5BE8" w:rsidRPr="00D64144">
        <w:rPr>
          <w:bCs/>
          <w:iCs/>
          <w:sz w:val="24"/>
          <w:szCs w:val="24"/>
        </w:rPr>
        <w:t>et institutions : Fonction publique, S</w:t>
      </w:r>
      <w:r w:rsidR="00D308EA" w:rsidRPr="00D64144">
        <w:rPr>
          <w:bCs/>
          <w:iCs/>
          <w:sz w:val="24"/>
          <w:szCs w:val="24"/>
        </w:rPr>
        <w:t>anté, Enseignement supérieur, Enseignement professionnel, Finances, Budget</w:t>
      </w:r>
      <w:r w:rsidR="00D366EF" w:rsidRPr="00D64144">
        <w:rPr>
          <w:bCs/>
          <w:iCs/>
          <w:sz w:val="24"/>
          <w:szCs w:val="24"/>
        </w:rPr>
        <w:t>,</w:t>
      </w:r>
      <w:r w:rsidR="00D308EA" w:rsidRPr="00D64144">
        <w:rPr>
          <w:bCs/>
          <w:iCs/>
          <w:sz w:val="24"/>
          <w:szCs w:val="24"/>
        </w:rPr>
        <w:t xml:space="preserve"> PTF</w:t>
      </w:r>
      <w:r w:rsidRPr="00D64144">
        <w:rPr>
          <w:bCs/>
          <w:iCs/>
          <w:sz w:val="24"/>
          <w:szCs w:val="24"/>
        </w:rPr>
        <w:t>,</w:t>
      </w:r>
      <w:r w:rsidR="00D308EA" w:rsidRPr="00D64144">
        <w:rPr>
          <w:bCs/>
          <w:iCs/>
          <w:sz w:val="24"/>
          <w:szCs w:val="24"/>
        </w:rPr>
        <w:t xml:space="preserve"> etc. </w:t>
      </w:r>
    </w:p>
    <w:p w14:paraId="43EE1F72" w14:textId="77777777" w:rsidR="00D308EA" w:rsidRPr="00D64144" w:rsidRDefault="00D308EA" w:rsidP="00D308EA">
      <w:pPr>
        <w:jc w:val="both"/>
        <w:rPr>
          <w:bCs/>
          <w:iCs/>
          <w:sz w:val="24"/>
          <w:szCs w:val="24"/>
        </w:rPr>
      </w:pPr>
      <w:r w:rsidRPr="00D64144">
        <w:rPr>
          <w:bCs/>
          <w:iCs/>
          <w:sz w:val="24"/>
          <w:szCs w:val="24"/>
        </w:rPr>
        <w:t>Aussi, le M</w:t>
      </w:r>
      <w:r w:rsidR="006C5BE8" w:rsidRPr="00D64144">
        <w:rPr>
          <w:bCs/>
          <w:iCs/>
          <w:sz w:val="24"/>
          <w:szCs w:val="24"/>
        </w:rPr>
        <w:t xml:space="preserve">inistère de la </w:t>
      </w:r>
      <w:r w:rsidRPr="00D64144">
        <w:rPr>
          <w:bCs/>
          <w:iCs/>
          <w:sz w:val="24"/>
          <w:szCs w:val="24"/>
        </w:rPr>
        <w:t>S</w:t>
      </w:r>
      <w:r w:rsidR="006C5BE8" w:rsidRPr="00D64144">
        <w:rPr>
          <w:bCs/>
          <w:iCs/>
          <w:sz w:val="24"/>
          <w:szCs w:val="24"/>
        </w:rPr>
        <w:t>anté</w:t>
      </w:r>
      <w:r w:rsidRPr="00D64144">
        <w:rPr>
          <w:bCs/>
          <w:iCs/>
          <w:sz w:val="24"/>
          <w:szCs w:val="24"/>
        </w:rPr>
        <w:t xml:space="preserve">, à travers la DRH et le mécanisme intersectoriel des RHS, s’efforcera-t-il à faire inscrire et suivre les priorités de la présente politique dans les agendas et programmes des toutes les parties prenantes, </w:t>
      </w:r>
      <w:r w:rsidR="000A0E9B" w:rsidRPr="00D64144">
        <w:rPr>
          <w:bCs/>
          <w:iCs/>
          <w:sz w:val="24"/>
          <w:szCs w:val="24"/>
        </w:rPr>
        <w:t>en application</w:t>
      </w:r>
      <w:r w:rsidRPr="00D64144">
        <w:rPr>
          <w:bCs/>
          <w:iCs/>
          <w:sz w:val="24"/>
          <w:szCs w:val="24"/>
        </w:rPr>
        <w:t xml:space="preserve"> d</w:t>
      </w:r>
      <w:r w:rsidR="000A0E9B" w:rsidRPr="00D64144">
        <w:rPr>
          <w:bCs/>
          <w:iCs/>
          <w:sz w:val="24"/>
          <w:szCs w:val="24"/>
        </w:rPr>
        <w:t>u principe</w:t>
      </w:r>
      <w:r w:rsidRPr="00D64144">
        <w:rPr>
          <w:bCs/>
          <w:iCs/>
          <w:sz w:val="24"/>
          <w:szCs w:val="24"/>
        </w:rPr>
        <w:t xml:space="preserve"> « la santé dans toutes les politiques publiques ». A cet effet, tous les </w:t>
      </w:r>
      <w:r w:rsidR="00144D84" w:rsidRPr="00D64144">
        <w:rPr>
          <w:bCs/>
          <w:iCs/>
          <w:sz w:val="24"/>
          <w:szCs w:val="24"/>
        </w:rPr>
        <w:t>dispositifs</w:t>
      </w:r>
      <w:r w:rsidRPr="00D64144">
        <w:rPr>
          <w:bCs/>
          <w:iCs/>
          <w:sz w:val="24"/>
          <w:szCs w:val="24"/>
        </w:rPr>
        <w:t xml:space="preserve"> </w:t>
      </w:r>
      <w:r w:rsidR="000A0E9B" w:rsidRPr="00D64144">
        <w:rPr>
          <w:bCs/>
          <w:iCs/>
          <w:sz w:val="24"/>
          <w:szCs w:val="24"/>
        </w:rPr>
        <w:t>de</w:t>
      </w:r>
      <w:r w:rsidRPr="00D64144">
        <w:rPr>
          <w:bCs/>
          <w:iCs/>
          <w:sz w:val="24"/>
          <w:szCs w:val="24"/>
        </w:rPr>
        <w:t xml:space="preserve"> développement et </w:t>
      </w:r>
      <w:r w:rsidR="000A0E9B" w:rsidRPr="00D64144">
        <w:rPr>
          <w:bCs/>
          <w:iCs/>
          <w:sz w:val="24"/>
          <w:szCs w:val="24"/>
        </w:rPr>
        <w:t>de</w:t>
      </w:r>
      <w:r w:rsidRPr="00D64144">
        <w:rPr>
          <w:bCs/>
          <w:iCs/>
          <w:sz w:val="24"/>
          <w:szCs w:val="24"/>
        </w:rPr>
        <w:t xml:space="preserve"> mise en œuvre des politiques et programmes publics touchant les RHS</w:t>
      </w:r>
      <w:r w:rsidR="00F60C46" w:rsidRPr="00D64144">
        <w:rPr>
          <w:bCs/>
          <w:iCs/>
          <w:sz w:val="24"/>
          <w:szCs w:val="24"/>
        </w:rPr>
        <w:t xml:space="preserve"> </w:t>
      </w:r>
      <w:r w:rsidRPr="00D64144">
        <w:rPr>
          <w:bCs/>
          <w:iCs/>
          <w:sz w:val="24"/>
          <w:szCs w:val="24"/>
        </w:rPr>
        <w:t>seront mis à profit pour aligner la planification, la production et la gestion des RHS sur les besoins du secteur de la santé. Ce</w:t>
      </w:r>
      <w:r w:rsidR="000A0E9B" w:rsidRPr="00D64144">
        <w:rPr>
          <w:bCs/>
          <w:iCs/>
          <w:sz w:val="24"/>
          <w:szCs w:val="24"/>
        </w:rPr>
        <w:t xml:space="preserve">s </w:t>
      </w:r>
      <w:r w:rsidR="00144D84" w:rsidRPr="00D64144">
        <w:rPr>
          <w:bCs/>
          <w:iCs/>
          <w:sz w:val="24"/>
          <w:szCs w:val="24"/>
        </w:rPr>
        <w:t>dispositif</w:t>
      </w:r>
      <w:r w:rsidR="000A0E9B" w:rsidRPr="00D64144">
        <w:rPr>
          <w:bCs/>
          <w:iCs/>
          <w:sz w:val="24"/>
          <w:szCs w:val="24"/>
        </w:rPr>
        <w:t>s</w:t>
      </w:r>
      <w:r w:rsidRPr="00D64144">
        <w:rPr>
          <w:bCs/>
          <w:iCs/>
          <w:sz w:val="24"/>
          <w:szCs w:val="24"/>
        </w:rPr>
        <w:t xml:space="preserve"> sont</w:t>
      </w:r>
      <w:r w:rsidR="000A0E9B" w:rsidRPr="00D64144">
        <w:rPr>
          <w:bCs/>
          <w:iCs/>
          <w:sz w:val="24"/>
          <w:szCs w:val="24"/>
        </w:rPr>
        <w:t>,</w:t>
      </w:r>
      <w:r w:rsidRPr="00D64144">
        <w:rPr>
          <w:bCs/>
          <w:iCs/>
          <w:sz w:val="24"/>
          <w:szCs w:val="24"/>
        </w:rPr>
        <w:t xml:space="preserve"> principalement :</w:t>
      </w:r>
    </w:p>
    <w:p w14:paraId="21392FDC" w14:textId="77777777" w:rsidR="00836465" w:rsidRPr="00836465" w:rsidRDefault="00D308EA" w:rsidP="00836465">
      <w:pPr>
        <w:pStyle w:val="Paragraphedeliste"/>
        <w:numPr>
          <w:ilvl w:val="1"/>
          <w:numId w:val="33"/>
        </w:numPr>
        <w:spacing w:after="120"/>
        <w:jc w:val="both"/>
        <w:rPr>
          <w:bCs/>
          <w:iCs/>
          <w:sz w:val="28"/>
          <w:szCs w:val="28"/>
        </w:rPr>
      </w:pPr>
      <w:r w:rsidRPr="00836465">
        <w:rPr>
          <w:rFonts w:asciiTheme="majorHAnsi" w:eastAsiaTheme="majorEastAsia" w:hAnsiTheme="majorHAnsi" w:cstheme="majorBidi"/>
          <w:b/>
          <w:bCs/>
          <w:color w:val="4F81BD" w:themeColor="accent1"/>
          <w:sz w:val="28"/>
          <w:szCs w:val="28"/>
        </w:rPr>
        <w:t>Cadre institutionnel de gestion des RHS</w:t>
      </w:r>
      <w:r w:rsidRPr="00836465">
        <w:rPr>
          <w:rFonts w:ascii="Arial Black" w:hAnsi="Arial Black"/>
          <w:b/>
          <w:sz w:val="32"/>
        </w:rPr>
        <w:t xml:space="preserve">  </w:t>
      </w:r>
    </w:p>
    <w:p w14:paraId="29EDBD6D" w14:textId="77777777" w:rsidR="00875C71" w:rsidRPr="00D64144" w:rsidRDefault="002F57A8" w:rsidP="00836465">
      <w:pPr>
        <w:spacing w:after="120"/>
        <w:jc w:val="both"/>
        <w:rPr>
          <w:bCs/>
          <w:iCs/>
          <w:sz w:val="24"/>
          <w:szCs w:val="24"/>
        </w:rPr>
      </w:pPr>
      <w:r w:rsidRPr="00D64144">
        <w:rPr>
          <w:bCs/>
          <w:iCs/>
          <w:sz w:val="24"/>
          <w:szCs w:val="24"/>
        </w:rPr>
        <w:t>L</w:t>
      </w:r>
      <w:r w:rsidR="00F80191" w:rsidRPr="00D64144">
        <w:rPr>
          <w:bCs/>
          <w:iCs/>
          <w:sz w:val="24"/>
          <w:szCs w:val="24"/>
        </w:rPr>
        <w:t xml:space="preserve">a </w:t>
      </w:r>
      <w:r w:rsidR="00F522F5" w:rsidRPr="00D64144">
        <w:rPr>
          <w:bCs/>
          <w:iCs/>
          <w:sz w:val="24"/>
          <w:szCs w:val="24"/>
        </w:rPr>
        <w:t>Direction des ressources humaines</w:t>
      </w:r>
      <w:r w:rsidR="00F80191" w:rsidRPr="00D64144">
        <w:rPr>
          <w:bCs/>
          <w:iCs/>
          <w:sz w:val="24"/>
          <w:szCs w:val="24"/>
        </w:rPr>
        <w:t xml:space="preserve"> sera la cheville ouvrière de la mise en œuvre de la politique de développement des RHS. Son leadership sera essentiel pour la mobilisation des parties prenante autour des priorités de la présente politique. </w:t>
      </w:r>
      <w:r w:rsidRPr="00D64144">
        <w:rPr>
          <w:bCs/>
          <w:iCs/>
          <w:sz w:val="24"/>
          <w:szCs w:val="24"/>
        </w:rPr>
        <w:t>Le rôle des différents niveaux (central, régional, préfectoral et communal) sera renforcé avec un accent particulier sur la fonction publique locale.</w:t>
      </w:r>
    </w:p>
    <w:p w14:paraId="2088C269" w14:textId="77777777" w:rsidR="00D308EA" w:rsidRPr="00836465" w:rsidRDefault="00D308EA" w:rsidP="00836465">
      <w:pPr>
        <w:pStyle w:val="Paragraphedeliste"/>
        <w:numPr>
          <w:ilvl w:val="1"/>
          <w:numId w:val="33"/>
        </w:numPr>
        <w:spacing w:after="120"/>
        <w:jc w:val="both"/>
        <w:rPr>
          <w:rFonts w:asciiTheme="majorHAnsi" w:eastAsiaTheme="majorEastAsia" w:hAnsiTheme="majorHAnsi" w:cstheme="majorBidi"/>
          <w:b/>
          <w:bCs/>
          <w:color w:val="4F81BD" w:themeColor="accent1"/>
          <w:sz w:val="28"/>
          <w:szCs w:val="28"/>
        </w:rPr>
      </w:pPr>
      <w:r w:rsidRPr="00836465">
        <w:rPr>
          <w:rFonts w:asciiTheme="majorHAnsi" w:eastAsiaTheme="majorEastAsia" w:hAnsiTheme="majorHAnsi" w:cstheme="majorBidi"/>
          <w:b/>
          <w:bCs/>
          <w:color w:val="4F81BD" w:themeColor="accent1"/>
          <w:sz w:val="28"/>
          <w:szCs w:val="28"/>
        </w:rPr>
        <w:t>Cadre de dialogue et de coordination</w:t>
      </w:r>
    </w:p>
    <w:p w14:paraId="3996F862" w14:textId="77777777" w:rsidR="00875C71" w:rsidRPr="00D64144" w:rsidRDefault="00875C71" w:rsidP="00875C71">
      <w:pPr>
        <w:spacing w:after="160" w:line="259" w:lineRule="auto"/>
        <w:jc w:val="both"/>
        <w:rPr>
          <w:bCs/>
          <w:iCs/>
          <w:sz w:val="24"/>
          <w:szCs w:val="24"/>
        </w:rPr>
      </w:pPr>
      <w:r w:rsidRPr="00D64144">
        <w:rPr>
          <w:bCs/>
          <w:iCs/>
          <w:sz w:val="24"/>
          <w:szCs w:val="24"/>
        </w:rPr>
        <w:t>Le mécanisme intersectoriel de coordination du développement des RHS sous le leadership du ministère de la santé sera le principal instrument de gestion du partenariat pour le développement des RHS. Il sera renforcé pour mettre en œuvre un agenda à la hauteur des enjeux.</w:t>
      </w:r>
    </w:p>
    <w:p w14:paraId="6FC390F4" w14:textId="77777777" w:rsidR="00D308EA" w:rsidRPr="00836465" w:rsidRDefault="00D308EA" w:rsidP="00836465">
      <w:pPr>
        <w:pStyle w:val="Paragraphedeliste"/>
        <w:numPr>
          <w:ilvl w:val="1"/>
          <w:numId w:val="33"/>
        </w:numPr>
        <w:spacing w:after="120"/>
        <w:jc w:val="both"/>
        <w:rPr>
          <w:rFonts w:asciiTheme="majorHAnsi" w:eastAsiaTheme="majorEastAsia" w:hAnsiTheme="majorHAnsi" w:cstheme="majorBidi"/>
          <w:b/>
          <w:bCs/>
          <w:color w:val="4F81BD" w:themeColor="accent1"/>
          <w:sz w:val="28"/>
          <w:szCs w:val="28"/>
        </w:rPr>
      </w:pPr>
      <w:r w:rsidRPr="00836465">
        <w:rPr>
          <w:rFonts w:asciiTheme="majorHAnsi" w:eastAsiaTheme="majorEastAsia" w:hAnsiTheme="majorHAnsi" w:cstheme="majorBidi"/>
          <w:b/>
          <w:bCs/>
          <w:color w:val="4F81BD" w:themeColor="accent1"/>
          <w:sz w:val="28"/>
          <w:szCs w:val="28"/>
        </w:rPr>
        <w:t>Cadre programmatique</w:t>
      </w:r>
      <w:r w:rsidR="002E29B3">
        <w:rPr>
          <w:rFonts w:asciiTheme="majorHAnsi" w:eastAsiaTheme="majorEastAsia" w:hAnsiTheme="majorHAnsi" w:cstheme="majorBidi"/>
          <w:b/>
          <w:bCs/>
          <w:color w:val="4F81BD" w:themeColor="accent1"/>
          <w:sz w:val="28"/>
          <w:szCs w:val="28"/>
        </w:rPr>
        <w:t xml:space="preserve"> et budgétaire</w:t>
      </w:r>
    </w:p>
    <w:p w14:paraId="3C9CDA2D" w14:textId="77777777" w:rsidR="00D308EA" w:rsidRPr="002F57A8" w:rsidRDefault="00875C71" w:rsidP="002F57A8">
      <w:pPr>
        <w:spacing w:after="160" w:line="259" w:lineRule="auto"/>
        <w:jc w:val="both"/>
        <w:rPr>
          <w:rFonts w:ascii="Arial Black" w:hAnsi="Arial Black"/>
          <w:b/>
          <w:sz w:val="32"/>
        </w:rPr>
      </w:pPr>
      <w:r w:rsidRPr="00D64144">
        <w:rPr>
          <w:bCs/>
          <w:iCs/>
          <w:sz w:val="24"/>
          <w:szCs w:val="24"/>
        </w:rPr>
        <w:t>La présente politique sera mise en œuvre à travers de</w:t>
      </w:r>
      <w:r w:rsidR="0056636D" w:rsidRPr="00D64144">
        <w:rPr>
          <w:bCs/>
          <w:iCs/>
          <w:sz w:val="24"/>
          <w:szCs w:val="24"/>
        </w:rPr>
        <w:t>s</w:t>
      </w:r>
      <w:r w:rsidRPr="00D64144">
        <w:rPr>
          <w:bCs/>
          <w:iCs/>
          <w:sz w:val="24"/>
          <w:szCs w:val="24"/>
        </w:rPr>
        <w:t xml:space="preserve"> plans stratégiques quinquennaux et de</w:t>
      </w:r>
      <w:r w:rsidR="0056636D" w:rsidRPr="00D64144">
        <w:rPr>
          <w:bCs/>
          <w:iCs/>
          <w:sz w:val="24"/>
          <w:szCs w:val="24"/>
        </w:rPr>
        <w:t>s</w:t>
      </w:r>
      <w:r w:rsidRPr="00D64144">
        <w:rPr>
          <w:bCs/>
          <w:iCs/>
          <w:sz w:val="24"/>
          <w:szCs w:val="24"/>
        </w:rPr>
        <w:t xml:space="preserve"> plans d’action annuels</w:t>
      </w:r>
      <w:r w:rsidR="0056636D" w:rsidRPr="00D64144">
        <w:rPr>
          <w:bCs/>
          <w:iCs/>
          <w:sz w:val="24"/>
          <w:szCs w:val="24"/>
        </w:rPr>
        <w:t xml:space="preserve">. Les plans stratégiques prendront en compte les priorités du PNDS et les PAO intégreront les besoins de performance des structures opérationnelles de santé et ceux du développement de carrière des employés. </w:t>
      </w:r>
      <w:r w:rsidR="00285399" w:rsidRPr="00D64144">
        <w:rPr>
          <w:bCs/>
          <w:iCs/>
          <w:sz w:val="24"/>
          <w:szCs w:val="24"/>
        </w:rPr>
        <w:t>Pour faciliter la mobilisation de ressources ces programmations intégreront le processus du cadre des dépenses à moyen terme en vue de garantir la couverture financière des activités retenues</w:t>
      </w:r>
      <w:r w:rsidR="002F57A8" w:rsidRPr="00D64144">
        <w:rPr>
          <w:bCs/>
          <w:iCs/>
          <w:sz w:val="24"/>
          <w:szCs w:val="24"/>
        </w:rPr>
        <w:t xml:space="preserve"> dans une perspective à court et moyen termes. De cette façon, la régularité des recrutements de nouveaux personnels sera facilitée conformément aux plans d’effectif projetés par le ministère de la santé.</w:t>
      </w:r>
      <w:r w:rsidR="002F57A8" w:rsidRPr="002F57A8">
        <w:rPr>
          <w:bCs/>
          <w:iCs/>
          <w:sz w:val="28"/>
          <w:szCs w:val="28"/>
        </w:rPr>
        <w:t xml:space="preserve"> </w:t>
      </w:r>
    </w:p>
    <w:p w14:paraId="686ABBCC" w14:textId="77777777" w:rsidR="00FF7355" w:rsidRPr="00D64144" w:rsidRDefault="00FF7355" w:rsidP="00D308EA">
      <w:pPr>
        <w:jc w:val="both"/>
        <w:rPr>
          <w:bCs/>
          <w:iCs/>
          <w:sz w:val="24"/>
          <w:szCs w:val="24"/>
        </w:rPr>
      </w:pPr>
      <w:r w:rsidRPr="00D64144">
        <w:rPr>
          <w:bCs/>
          <w:iCs/>
          <w:sz w:val="24"/>
          <w:szCs w:val="24"/>
        </w:rPr>
        <w:t xml:space="preserve">Le suivi-évaluation est essentiel pour apprécier les progrès et les résultats dans la mise en œuvre de la politique des RHS et prendre des décisions éclairées chaque fois que de besoin. </w:t>
      </w:r>
    </w:p>
    <w:p w14:paraId="61B37DF0" w14:textId="77777777" w:rsidR="0012002C" w:rsidRPr="00D64144" w:rsidRDefault="00FF7355" w:rsidP="00D308EA">
      <w:pPr>
        <w:jc w:val="both"/>
        <w:rPr>
          <w:bCs/>
          <w:iCs/>
          <w:sz w:val="24"/>
          <w:szCs w:val="24"/>
        </w:rPr>
      </w:pPr>
      <w:r w:rsidRPr="00D64144">
        <w:rPr>
          <w:bCs/>
          <w:iCs/>
          <w:sz w:val="24"/>
          <w:szCs w:val="24"/>
        </w:rPr>
        <w:t>Ainsi, i</w:t>
      </w:r>
      <w:r w:rsidR="00D308EA" w:rsidRPr="00D64144">
        <w:rPr>
          <w:bCs/>
          <w:iCs/>
          <w:sz w:val="24"/>
          <w:szCs w:val="24"/>
        </w:rPr>
        <w:t xml:space="preserve">l sera mis en place un </w:t>
      </w:r>
      <w:r w:rsidR="00747EDA" w:rsidRPr="00D64144">
        <w:rPr>
          <w:bCs/>
          <w:iCs/>
          <w:sz w:val="24"/>
          <w:szCs w:val="24"/>
        </w:rPr>
        <w:t>sous-</w:t>
      </w:r>
      <w:r w:rsidR="00D308EA" w:rsidRPr="00D64144">
        <w:rPr>
          <w:bCs/>
          <w:iCs/>
          <w:sz w:val="24"/>
          <w:szCs w:val="24"/>
        </w:rPr>
        <w:t xml:space="preserve">système d’information </w:t>
      </w:r>
      <w:r w:rsidR="00747EDA" w:rsidRPr="00D64144">
        <w:rPr>
          <w:bCs/>
          <w:iCs/>
          <w:sz w:val="24"/>
          <w:szCs w:val="24"/>
        </w:rPr>
        <w:t xml:space="preserve">du SNIS, </w:t>
      </w:r>
      <w:r w:rsidR="00D308EA" w:rsidRPr="00D64144">
        <w:rPr>
          <w:bCs/>
          <w:iCs/>
          <w:sz w:val="24"/>
          <w:szCs w:val="24"/>
        </w:rPr>
        <w:t xml:space="preserve">permettant d’apprécier dans quelle mesure les interventions développées par les diverses parties prenantes sont en train d’être alignées sur les </w:t>
      </w:r>
      <w:r w:rsidR="006F0F7C" w:rsidRPr="00D64144">
        <w:rPr>
          <w:bCs/>
          <w:iCs/>
          <w:sz w:val="24"/>
          <w:szCs w:val="24"/>
        </w:rPr>
        <w:t xml:space="preserve">objectifs et stratégies </w:t>
      </w:r>
      <w:r w:rsidR="00D308EA" w:rsidRPr="00D64144">
        <w:rPr>
          <w:bCs/>
          <w:iCs/>
          <w:sz w:val="24"/>
          <w:szCs w:val="24"/>
        </w:rPr>
        <w:t>de la présente politique en terme de planification, de production et de gestion des RHS.</w:t>
      </w:r>
    </w:p>
    <w:p w14:paraId="3DF3518E" w14:textId="77777777" w:rsidR="00D308EA" w:rsidRPr="00D64144" w:rsidRDefault="00D308EA" w:rsidP="00D308EA">
      <w:pPr>
        <w:jc w:val="both"/>
        <w:rPr>
          <w:bCs/>
          <w:iCs/>
          <w:sz w:val="24"/>
          <w:szCs w:val="24"/>
        </w:rPr>
      </w:pPr>
      <w:r w:rsidRPr="00D64144">
        <w:rPr>
          <w:bCs/>
          <w:iCs/>
          <w:sz w:val="24"/>
          <w:szCs w:val="24"/>
        </w:rPr>
        <w:t xml:space="preserve">A ce titre, la Direction des ressources humaines de la santé, en collaboration avec les partenaires sectoriels et internationaux, veillera à la définition et à la mise œuvre </w:t>
      </w:r>
      <w:r w:rsidR="00FF7355" w:rsidRPr="00D64144">
        <w:rPr>
          <w:bCs/>
          <w:iCs/>
          <w:sz w:val="24"/>
          <w:szCs w:val="24"/>
        </w:rPr>
        <w:t>du</w:t>
      </w:r>
      <w:r w:rsidRPr="00D64144">
        <w:rPr>
          <w:bCs/>
          <w:iCs/>
          <w:sz w:val="24"/>
          <w:szCs w:val="24"/>
        </w:rPr>
        <w:t xml:space="preserve"> dispositif de suivi-évaluation.</w:t>
      </w:r>
    </w:p>
    <w:p w14:paraId="3A8C879B" w14:textId="77777777" w:rsidR="00D308EA" w:rsidRPr="00D64144" w:rsidRDefault="00D308EA" w:rsidP="00D308EA">
      <w:pPr>
        <w:jc w:val="both"/>
        <w:rPr>
          <w:bCs/>
          <w:iCs/>
          <w:sz w:val="24"/>
          <w:szCs w:val="24"/>
        </w:rPr>
      </w:pPr>
      <w:r w:rsidRPr="00D64144">
        <w:rPr>
          <w:bCs/>
          <w:iCs/>
          <w:sz w:val="24"/>
          <w:szCs w:val="24"/>
        </w:rPr>
        <w:t xml:space="preserve">Dans ce cadre, le système national d’information sanitaire et de gestion sera renforcé de façon à permettre la collecte et le traitement de toutes données nécessaires à la production des informations pertinentes documentant le développement des RHS : informations de routine, </w:t>
      </w:r>
      <w:r w:rsidR="00FF7355" w:rsidRPr="00D64144">
        <w:rPr>
          <w:bCs/>
          <w:iCs/>
          <w:sz w:val="24"/>
          <w:szCs w:val="24"/>
        </w:rPr>
        <w:t>recherche et études sur des sujets de préoccupation</w:t>
      </w:r>
      <w:r w:rsidRPr="00D64144">
        <w:rPr>
          <w:bCs/>
          <w:iCs/>
          <w:sz w:val="24"/>
          <w:szCs w:val="24"/>
        </w:rPr>
        <w:t>, rapports administratifs et autres informations secondaires.</w:t>
      </w:r>
    </w:p>
    <w:p w14:paraId="3C3B290A" w14:textId="77777777" w:rsidR="00D308EA" w:rsidRPr="00FF7355" w:rsidRDefault="00D308EA" w:rsidP="008D38FE">
      <w:pPr>
        <w:jc w:val="both"/>
        <w:rPr>
          <w:bCs/>
          <w:iCs/>
          <w:sz w:val="28"/>
          <w:szCs w:val="28"/>
        </w:rPr>
      </w:pPr>
      <w:r w:rsidRPr="00D64144">
        <w:rPr>
          <w:bCs/>
          <w:iCs/>
          <w:sz w:val="24"/>
          <w:szCs w:val="24"/>
        </w:rPr>
        <w:t>Les indicateurs utiles et les stratégies pour les renseigner seront détaillés dans les cadres programmatiques de mise en œuvre de la présente politique</w:t>
      </w:r>
      <w:r w:rsidR="008D38FE" w:rsidRPr="00D64144">
        <w:rPr>
          <w:bCs/>
          <w:iCs/>
          <w:sz w:val="24"/>
          <w:szCs w:val="24"/>
        </w:rPr>
        <w:t>,</w:t>
      </w:r>
      <w:r w:rsidRPr="00D64144">
        <w:rPr>
          <w:bCs/>
          <w:iCs/>
          <w:sz w:val="24"/>
          <w:szCs w:val="24"/>
        </w:rPr>
        <w:t xml:space="preserve"> déclinés ci-haut, notamment le plan stratégique de développement des RHS.</w:t>
      </w:r>
    </w:p>
    <w:p w14:paraId="44A23568" w14:textId="77777777" w:rsidR="00346382" w:rsidRPr="00D52E18" w:rsidRDefault="00B94E34" w:rsidP="00E4480C">
      <w:pPr>
        <w:pStyle w:val="Titre1"/>
        <w:spacing w:after="240"/>
      </w:pPr>
      <w:bookmarkStart w:id="49" w:name="_Toc21586260"/>
      <w:r w:rsidRPr="00D52E18">
        <w:t>C</w:t>
      </w:r>
      <w:r w:rsidR="00E4480C">
        <w:t>ONCLUSION</w:t>
      </w:r>
      <w:bookmarkEnd w:id="49"/>
    </w:p>
    <w:p w14:paraId="1DE7A948" w14:textId="77777777" w:rsidR="00A06490" w:rsidRPr="00D64144" w:rsidRDefault="00A06490" w:rsidP="00AC1AD0">
      <w:pPr>
        <w:tabs>
          <w:tab w:val="left" w:pos="142"/>
          <w:tab w:val="left" w:pos="709"/>
        </w:tabs>
        <w:spacing w:before="120" w:after="120"/>
        <w:jc w:val="both"/>
        <w:rPr>
          <w:bCs/>
          <w:iCs/>
          <w:sz w:val="24"/>
          <w:szCs w:val="24"/>
        </w:rPr>
      </w:pPr>
      <w:r w:rsidRPr="00D64144">
        <w:rPr>
          <w:bCs/>
          <w:iCs/>
          <w:sz w:val="24"/>
          <w:szCs w:val="24"/>
        </w:rPr>
        <w:t xml:space="preserve">La présente Politique de développement des RHS est l’aboutissement d’un processus participatif d’analyse de la situation et de la gestion des RHS. </w:t>
      </w:r>
    </w:p>
    <w:p w14:paraId="5B55E21B" w14:textId="77777777" w:rsidR="00A06490" w:rsidRPr="00D64144" w:rsidRDefault="00A06490" w:rsidP="000142F6">
      <w:pPr>
        <w:jc w:val="both"/>
        <w:rPr>
          <w:bCs/>
          <w:iCs/>
          <w:sz w:val="24"/>
          <w:szCs w:val="24"/>
        </w:rPr>
      </w:pPr>
      <w:r w:rsidRPr="00D64144">
        <w:rPr>
          <w:bCs/>
          <w:iCs/>
          <w:sz w:val="24"/>
          <w:szCs w:val="24"/>
        </w:rPr>
        <w:t xml:space="preserve">De cette analyse, ont été dégagés une vision, des principes et valeurs, des </w:t>
      </w:r>
      <w:r w:rsidR="00037024" w:rsidRPr="00D64144">
        <w:rPr>
          <w:bCs/>
          <w:iCs/>
          <w:sz w:val="24"/>
          <w:szCs w:val="24"/>
        </w:rPr>
        <w:t xml:space="preserve">problèmes </w:t>
      </w:r>
      <w:r w:rsidRPr="00D64144">
        <w:rPr>
          <w:bCs/>
          <w:iCs/>
          <w:sz w:val="24"/>
          <w:szCs w:val="24"/>
        </w:rPr>
        <w:t xml:space="preserve">prioritaires </w:t>
      </w:r>
      <w:r w:rsidR="00037024" w:rsidRPr="00D64144">
        <w:rPr>
          <w:bCs/>
          <w:iCs/>
          <w:sz w:val="24"/>
          <w:szCs w:val="24"/>
        </w:rPr>
        <w:t xml:space="preserve">faisant objet </w:t>
      </w:r>
      <w:r w:rsidRPr="00D64144">
        <w:rPr>
          <w:bCs/>
          <w:iCs/>
          <w:sz w:val="24"/>
          <w:szCs w:val="24"/>
        </w:rPr>
        <w:t>d’intervention</w:t>
      </w:r>
      <w:r w:rsidR="00C95C1B" w:rsidRPr="00D64144">
        <w:rPr>
          <w:bCs/>
          <w:iCs/>
          <w:sz w:val="24"/>
          <w:szCs w:val="24"/>
        </w:rPr>
        <w:t>, les axes stratégiques, le cadre de mise en œuvre, suivi et évaluation de la politique</w:t>
      </w:r>
      <w:r w:rsidR="00795740" w:rsidRPr="00D64144">
        <w:rPr>
          <w:bCs/>
          <w:iCs/>
          <w:sz w:val="24"/>
          <w:szCs w:val="24"/>
        </w:rPr>
        <w:t>.</w:t>
      </w:r>
    </w:p>
    <w:p w14:paraId="08D0136F" w14:textId="77777777" w:rsidR="00A06490" w:rsidRPr="00D64144" w:rsidRDefault="00A06490" w:rsidP="00AC1AD0">
      <w:pPr>
        <w:tabs>
          <w:tab w:val="left" w:pos="142"/>
          <w:tab w:val="left" w:pos="709"/>
        </w:tabs>
        <w:spacing w:before="120" w:after="120"/>
        <w:jc w:val="both"/>
        <w:rPr>
          <w:bCs/>
          <w:iCs/>
          <w:sz w:val="24"/>
          <w:szCs w:val="24"/>
        </w:rPr>
      </w:pPr>
      <w:r w:rsidRPr="00D64144">
        <w:rPr>
          <w:bCs/>
          <w:iCs/>
          <w:sz w:val="24"/>
          <w:szCs w:val="24"/>
        </w:rPr>
        <w:t>L’application de cette politique exigera des réformes sur le financement, le cadre juridique,</w:t>
      </w:r>
      <w:r w:rsidR="003D1725" w:rsidRPr="00D64144">
        <w:rPr>
          <w:bCs/>
          <w:iCs/>
          <w:sz w:val="24"/>
          <w:szCs w:val="24"/>
        </w:rPr>
        <w:t xml:space="preserve"> la planification et la formation</w:t>
      </w:r>
      <w:r w:rsidRPr="00D64144">
        <w:rPr>
          <w:bCs/>
          <w:iCs/>
          <w:sz w:val="24"/>
          <w:szCs w:val="24"/>
        </w:rPr>
        <w:t xml:space="preserve">. </w:t>
      </w:r>
    </w:p>
    <w:p w14:paraId="318632D6" w14:textId="77777777" w:rsidR="00A06490" w:rsidRPr="00D64144" w:rsidRDefault="00AC1AD0" w:rsidP="00A06490">
      <w:pPr>
        <w:tabs>
          <w:tab w:val="left" w:pos="142"/>
          <w:tab w:val="left" w:pos="709"/>
        </w:tabs>
        <w:spacing w:before="120" w:after="120"/>
        <w:jc w:val="both"/>
        <w:rPr>
          <w:bCs/>
          <w:iCs/>
          <w:sz w:val="24"/>
          <w:szCs w:val="24"/>
        </w:rPr>
      </w:pPr>
      <w:r w:rsidRPr="00D64144">
        <w:rPr>
          <w:bCs/>
          <w:iCs/>
          <w:sz w:val="24"/>
          <w:szCs w:val="24"/>
        </w:rPr>
        <w:t>Elle</w:t>
      </w:r>
      <w:r w:rsidR="003D1725" w:rsidRPr="00D64144">
        <w:rPr>
          <w:bCs/>
          <w:iCs/>
          <w:sz w:val="24"/>
          <w:szCs w:val="24"/>
        </w:rPr>
        <w:t xml:space="preserve"> sera mise</w:t>
      </w:r>
      <w:r w:rsidR="00A06490" w:rsidRPr="00D64144">
        <w:rPr>
          <w:bCs/>
          <w:iCs/>
          <w:sz w:val="24"/>
          <w:szCs w:val="24"/>
        </w:rPr>
        <w:t xml:space="preserve"> </w:t>
      </w:r>
      <w:r w:rsidR="003D1725" w:rsidRPr="00D64144">
        <w:rPr>
          <w:bCs/>
          <w:iCs/>
          <w:sz w:val="24"/>
          <w:szCs w:val="24"/>
        </w:rPr>
        <w:t>en</w:t>
      </w:r>
      <w:r w:rsidR="00A06490" w:rsidRPr="00D64144">
        <w:rPr>
          <w:bCs/>
          <w:iCs/>
          <w:sz w:val="24"/>
          <w:szCs w:val="24"/>
        </w:rPr>
        <w:t xml:space="preserve"> </w:t>
      </w:r>
      <w:r w:rsidR="003D1725" w:rsidRPr="00D64144">
        <w:rPr>
          <w:bCs/>
          <w:iCs/>
          <w:sz w:val="24"/>
          <w:szCs w:val="24"/>
        </w:rPr>
        <w:t>œuvre par des p</w:t>
      </w:r>
      <w:r w:rsidR="00A06490" w:rsidRPr="00D64144">
        <w:rPr>
          <w:bCs/>
          <w:iCs/>
          <w:sz w:val="24"/>
          <w:szCs w:val="24"/>
        </w:rPr>
        <w:t>lan</w:t>
      </w:r>
      <w:r w:rsidRPr="00D64144">
        <w:rPr>
          <w:bCs/>
          <w:iCs/>
          <w:sz w:val="24"/>
          <w:szCs w:val="24"/>
        </w:rPr>
        <w:t>s</w:t>
      </w:r>
      <w:r w:rsidR="00A06490" w:rsidRPr="00D64144">
        <w:rPr>
          <w:bCs/>
          <w:iCs/>
          <w:sz w:val="24"/>
          <w:szCs w:val="24"/>
        </w:rPr>
        <w:t xml:space="preserve"> </w:t>
      </w:r>
      <w:r w:rsidR="003D1725" w:rsidRPr="00D64144">
        <w:rPr>
          <w:bCs/>
          <w:iCs/>
          <w:sz w:val="24"/>
          <w:szCs w:val="24"/>
        </w:rPr>
        <w:t xml:space="preserve">stratégiques </w:t>
      </w:r>
      <w:r w:rsidR="00A06490" w:rsidRPr="00D64144">
        <w:rPr>
          <w:bCs/>
          <w:iCs/>
          <w:sz w:val="24"/>
          <w:szCs w:val="24"/>
        </w:rPr>
        <w:t xml:space="preserve">de développement </w:t>
      </w:r>
      <w:r w:rsidR="003D1725" w:rsidRPr="00D64144">
        <w:rPr>
          <w:bCs/>
          <w:iCs/>
          <w:sz w:val="24"/>
          <w:szCs w:val="24"/>
        </w:rPr>
        <w:t xml:space="preserve">des ressources humaines, eux-mêmes déclinés en plans triennaux et plans d’action opérationnels annuels.  </w:t>
      </w:r>
    </w:p>
    <w:p w14:paraId="04590759" w14:textId="77777777" w:rsidR="00A06490" w:rsidRPr="00D64144" w:rsidRDefault="00A06490" w:rsidP="00A06490">
      <w:pPr>
        <w:tabs>
          <w:tab w:val="left" w:pos="142"/>
          <w:tab w:val="left" w:pos="709"/>
        </w:tabs>
        <w:spacing w:before="120" w:after="120"/>
        <w:jc w:val="both"/>
        <w:rPr>
          <w:bCs/>
          <w:iCs/>
          <w:sz w:val="24"/>
          <w:szCs w:val="24"/>
        </w:rPr>
      </w:pPr>
      <w:r w:rsidRPr="00D64144">
        <w:rPr>
          <w:bCs/>
          <w:iCs/>
          <w:sz w:val="24"/>
          <w:szCs w:val="24"/>
        </w:rPr>
        <w:t xml:space="preserve">Pour influencer les </w:t>
      </w:r>
      <w:r w:rsidR="00CC695A" w:rsidRPr="00D64144">
        <w:rPr>
          <w:bCs/>
          <w:iCs/>
          <w:sz w:val="24"/>
          <w:szCs w:val="24"/>
        </w:rPr>
        <w:t>problèmes touchant au développement des ressources humaines</w:t>
      </w:r>
      <w:r w:rsidRPr="00D64144">
        <w:rPr>
          <w:bCs/>
          <w:iCs/>
          <w:sz w:val="24"/>
          <w:szCs w:val="24"/>
        </w:rPr>
        <w:t>, les départements sectoriels à tous les niveaux contribueront à la mise en œuvre de la présente politique selon l’approche « la santé dans toutes les politiques publiques ».</w:t>
      </w:r>
    </w:p>
    <w:p w14:paraId="667B9F5F" w14:textId="77777777" w:rsidR="00A06490" w:rsidRPr="00EE634D" w:rsidRDefault="00A06490" w:rsidP="00A06490">
      <w:pPr>
        <w:tabs>
          <w:tab w:val="left" w:pos="142"/>
          <w:tab w:val="left" w:pos="709"/>
        </w:tabs>
        <w:spacing w:before="120" w:after="120"/>
        <w:jc w:val="both"/>
        <w:rPr>
          <w:bCs/>
          <w:iCs/>
          <w:sz w:val="28"/>
          <w:szCs w:val="28"/>
        </w:rPr>
      </w:pPr>
      <w:r w:rsidRPr="00D64144">
        <w:rPr>
          <w:bCs/>
          <w:iCs/>
          <w:sz w:val="24"/>
          <w:szCs w:val="24"/>
        </w:rPr>
        <w:t>La mise en œuvre de cette politique nécessitera l’allocation de ressources humaines, financières et matérielles conséquentes en progression notable par rapport aux niveaux actuels, ainsi que la recherche systématique des résultats et de l’efficience</w:t>
      </w:r>
      <w:r w:rsidR="00CC695A" w:rsidRPr="00D64144">
        <w:rPr>
          <w:bCs/>
          <w:iCs/>
          <w:sz w:val="24"/>
          <w:szCs w:val="24"/>
        </w:rPr>
        <w:t xml:space="preserve"> dans le domaine des ressources humaines</w:t>
      </w:r>
      <w:r w:rsidRPr="00D64144">
        <w:rPr>
          <w:bCs/>
          <w:iCs/>
          <w:sz w:val="24"/>
          <w:szCs w:val="24"/>
        </w:rPr>
        <w:t>.</w:t>
      </w:r>
      <w:r w:rsidRPr="00EE634D">
        <w:rPr>
          <w:bCs/>
          <w:iCs/>
          <w:sz w:val="28"/>
          <w:szCs w:val="28"/>
        </w:rPr>
        <w:t xml:space="preserve"> </w:t>
      </w:r>
    </w:p>
    <w:p w14:paraId="2F9DE8A3" w14:textId="77777777" w:rsidR="00CB3135" w:rsidRPr="00A670A2" w:rsidRDefault="00A06490" w:rsidP="00D64144">
      <w:pPr>
        <w:spacing w:before="120" w:after="120"/>
        <w:jc w:val="both"/>
      </w:pPr>
      <w:r w:rsidRPr="00D64144">
        <w:rPr>
          <w:bCs/>
          <w:iCs/>
          <w:sz w:val="24"/>
          <w:szCs w:val="24"/>
        </w:rPr>
        <w:t xml:space="preserve">La réalisation des priorités de la présente politique se fera à travers un partenariat renforcé au niveau national et international sous le leadership du </w:t>
      </w:r>
      <w:r w:rsidR="00E51BB4" w:rsidRPr="00D64144">
        <w:rPr>
          <w:bCs/>
          <w:iCs/>
          <w:sz w:val="24"/>
          <w:szCs w:val="24"/>
        </w:rPr>
        <w:t>ministère de la santé dans un cadre exigeant la redevabilité</w:t>
      </w:r>
      <w:r w:rsidRPr="00D64144">
        <w:rPr>
          <w:bCs/>
          <w:iCs/>
          <w:sz w:val="24"/>
          <w:szCs w:val="24"/>
        </w:rPr>
        <w:t xml:space="preserve">. </w:t>
      </w:r>
      <w:r w:rsidRPr="00EE634D">
        <w:rPr>
          <w:bCs/>
          <w:iCs/>
          <w:sz w:val="28"/>
          <w:szCs w:val="28"/>
        </w:rPr>
        <w:t xml:space="preserve"> </w:t>
      </w:r>
      <w:r w:rsidR="00272A35">
        <w:tab/>
      </w:r>
    </w:p>
    <w:sectPr w:rsidR="00CB3135" w:rsidRPr="00A670A2" w:rsidSect="00F9473F">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D82F" w14:textId="77777777" w:rsidR="00EE49F4" w:rsidRDefault="00EE49F4" w:rsidP="001666DC">
      <w:pPr>
        <w:spacing w:after="0" w:line="240" w:lineRule="auto"/>
      </w:pPr>
      <w:r>
        <w:separator/>
      </w:r>
    </w:p>
  </w:endnote>
  <w:endnote w:type="continuationSeparator" w:id="0">
    <w:p w14:paraId="4B6B9A43" w14:textId="77777777" w:rsidR="00EE49F4" w:rsidRDefault="00EE49F4" w:rsidP="0016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Heavy">
    <w:altName w:val="Calibri"/>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90A1" w14:textId="77777777" w:rsidR="00EE49F4" w:rsidRDefault="00EE49F4" w:rsidP="001666DC">
      <w:pPr>
        <w:spacing w:after="0" w:line="240" w:lineRule="auto"/>
      </w:pPr>
      <w:r>
        <w:separator/>
      </w:r>
    </w:p>
  </w:footnote>
  <w:footnote w:type="continuationSeparator" w:id="0">
    <w:p w14:paraId="169CDA49" w14:textId="77777777" w:rsidR="00EE49F4" w:rsidRDefault="00EE49F4" w:rsidP="001666DC">
      <w:pPr>
        <w:spacing w:after="0" w:line="240" w:lineRule="auto"/>
      </w:pPr>
      <w:r>
        <w:continuationSeparator/>
      </w:r>
    </w:p>
  </w:footnote>
  <w:footnote w:id="1">
    <w:p w14:paraId="016D81AC" w14:textId="77777777" w:rsidR="00651752" w:rsidRPr="00D350CF" w:rsidRDefault="00651752" w:rsidP="00D50530">
      <w:pPr>
        <w:pStyle w:val="Notedebasdepage"/>
      </w:pPr>
      <w:r>
        <w:rPr>
          <w:rStyle w:val="Appelnotedebasdep"/>
        </w:rPr>
        <w:footnoteRef/>
      </w:r>
      <w:r w:rsidRPr="00D350CF">
        <w:t xml:space="preserve"> </w:t>
      </w:r>
      <w:r w:rsidRPr="00EE634D">
        <w:rPr>
          <w:sz w:val="16"/>
        </w:rPr>
        <w:t>Ministère du plan et du développement économique, recensement général de la population et de l’habitat</w:t>
      </w:r>
      <w:r>
        <w:t xml:space="preserve"> (</w:t>
      </w:r>
      <w:r w:rsidRPr="00D350CF">
        <w:rPr>
          <w:sz w:val="16"/>
        </w:rPr>
        <w:t>RGPH</w:t>
      </w:r>
      <w:r>
        <w:rPr>
          <w:sz w:val="16"/>
        </w:rPr>
        <w:t>)</w:t>
      </w:r>
      <w:r w:rsidRPr="00D350CF">
        <w:rPr>
          <w:sz w:val="16"/>
        </w:rPr>
        <w:t>, 2014</w:t>
      </w:r>
    </w:p>
  </w:footnote>
  <w:footnote w:id="2">
    <w:p w14:paraId="61146199" w14:textId="77777777" w:rsidR="00651752" w:rsidRPr="00D350CF" w:rsidRDefault="00651752" w:rsidP="00D50530">
      <w:pPr>
        <w:pStyle w:val="Notedebasdepage"/>
        <w:rPr>
          <w:sz w:val="16"/>
        </w:rPr>
      </w:pPr>
      <w:r w:rsidRPr="009567E6">
        <w:rPr>
          <w:rStyle w:val="Appelnotedebasdep"/>
          <w:rFonts w:eastAsia="Trebuchet MS"/>
          <w:sz w:val="16"/>
        </w:rPr>
        <w:footnoteRef/>
      </w:r>
      <w:r w:rsidRPr="00D350CF">
        <w:rPr>
          <w:sz w:val="16"/>
        </w:rPr>
        <w:t xml:space="preserve"> </w:t>
      </w:r>
      <w:r>
        <w:rPr>
          <w:sz w:val="16"/>
        </w:rPr>
        <w:t xml:space="preserve">Ministère du plan et du développement économique, </w:t>
      </w:r>
      <w:r w:rsidRPr="00D350CF">
        <w:rPr>
          <w:sz w:val="16"/>
        </w:rPr>
        <w:t>Rapport MICS_2016</w:t>
      </w:r>
    </w:p>
  </w:footnote>
  <w:footnote w:id="3">
    <w:p w14:paraId="65F11AAD" w14:textId="77777777" w:rsidR="00651752" w:rsidRPr="00525AF8" w:rsidRDefault="00651752" w:rsidP="001207FC">
      <w:pPr>
        <w:pStyle w:val="Notedebasdepage"/>
        <w:rPr>
          <w:sz w:val="16"/>
        </w:rPr>
      </w:pPr>
      <w:r w:rsidRPr="00F30BA8">
        <w:rPr>
          <w:sz w:val="16"/>
          <w:lang w:val="en-US"/>
        </w:rPr>
        <w:footnoteRef/>
      </w:r>
      <w:r w:rsidRPr="00525AF8">
        <w:rPr>
          <w:sz w:val="16"/>
        </w:rPr>
        <w:t xml:space="preserve"> </w:t>
      </w:r>
      <w:r>
        <w:rPr>
          <w:sz w:val="16"/>
        </w:rPr>
        <w:t xml:space="preserve">Ministère du plan et du développement économique, </w:t>
      </w:r>
      <w:r w:rsidRPr="00525AF8">
        <w:rPr>
          <w:sz w:val="16"/>
        </w:rPr>
        <w:t>EDS-V-2018</w:t>
      </w:r>
    </w:p>
  </w:footnote>
  <w:footnote w:id="4">
    <w:p w14:paraId="6D9939F5" w14:textId="77777777" w:rsidR="00651752" w:rsidRPr="00525AF8" w:rsidRDefault="00651752" w:rsidP="00031710">
      <w:pPr>
        <w:pStyle w:val="Notedebasdepage"/>
        <w:rPr>
          <w:sz w:val="16"/>
        </w:rPr>
      </w:pPr>
      <w:r w:rsidRPr="00F30BA8">
        <w:rPr>
          <w:sz w:val="16"/>
          <w:lang w:val="en-US"/>
        </w:rPr>
        <w:footnoteRef/>
      </w:r>
      <w:r w:rsidRPr="00525AF8">
        <w:rPr>
          <w:sz w:val="16"/>
        </w:rPr>
        <w:t xml:space="preserve"> </w:t>
      </w:r>
      <w:r>
        <w:rPr>
          <w:sz w:val="16"/>
        </w:rPr>
        <w:t>Ministère du plan et du développement, enquête légère d’évaluation de la pauvreté (</w:t>
      </w:r>
      <w:r w:rsidRPr="00525AF8">
        <w:rPr>
          <w:sz w:val="16"/>
        </w:rPr>
        <w:t>ELEP</w:t>
      </w:r>
      <w:r>
        <w:rPr>
          <w:sz w:val="16"/>
        </w:rPr>
        <w:t xml:space="preserve">), </w:t>
      </w:r>
      <w:r w:rsidRPr="00525AF8">
        <w:rPr>
          <w:sz w:val="16"/>
        </w:rPr>
        <w:t>2012</w:t>
      </w:r>
    </w:p>
  </w:footnote>
  <w:footnote w:id="5">
    <w:p w14:paraId="2A51676A" w14:textId="77777777" w:rsidR="00651752" w:rsidRPr="00B37E12" w:rsidRDefault="00651752" w:rsidP="00C76CAA">
      <w:pPr>
        <w:pStyle w:val="Notedebasdepage"/>
        <w:rPr>
          <w:i/>
        </w:rPr>
      </w:pPr>
      <w:r w:rsidRPr="005B23E0">
        <w:rPr>
          <w:sz w:val="16"/>
        </w:rPr>
        <w:footnoteRef/>
      </w:r>
      <w:r w:rsidRPr="005B23E0">
        <w:rPr>
          <w:sz w:val="16"/>
        </w:rPr>
        <w:t xml:space="preserve"> Ministère de la santé, Audit institutionnel, organisationnel et fonctionnel du Ministère de la santé, novembre</w:t>
      </w:r>
      <w:r>
        <w:rPr>
          <w:sz w:val="16"/>
        </w:rPr>
        <w:t>,</w:t>
      </w:r>
      <w:r w:rsidRPr="005B23E0">
        <w:rPr>
          <w:sz w:val="16"/>
        </w:rPr>
        <w:t xml:space="preserve"> 2016</w:t>
      </w:r>
    </w:p>
  </w:footnote>
  <w:footnote w:id="6">
    <w:p w14:paraId="0FF90748" w14:textId="77777777" w:rsidR="00651752" w:rsidRPr="00D350CF" w:rsidRDefault="00651752" w:rsidP="00D50530">
      <w:pPr>
        <w:pStyle w:val="Notedebasdepage"/>
        <w:rPr>
          <w:sz w:val="16"/>
        </w:rPr>
      </w:pPr>
      <w:r w:rsidRPr="00F30BA8">
        <w:rPr>
          <w:sz w:val="16"/>
          <w:lang w:val="en-US"/>
        </w:rPr>
        <w:footnoteRef/>
      </w:r>
      <w:r w:rsidRPr="00D350CF">
        <w:rPr>
          <w:sz w:val="16"/>
        </w:rPr>
        <w:t xml:space="preserve"> ONUSIDA_2016 </w:t>
      </w:r>
    </w:p>
  </w:footnote>
  <w:footnote w:id="7">
    <w:p w14:paraId="5F990A5B" w14:textId="77777777" w:rsidR="00651752" w:rsidRPr="00D350CF" w:rsidRDefault="00651752" w:rsidP="00D50530">
      <w:pPr>
        <w:pStyle w:val="Notedebasdepage"/>
        <w:rPr>
          <w:sz w:val="16"/>
        </w:rPr>
      </w:pPr>
      <w:r w:rsidRPr="00F30BA8">
        <w:rPr>
          <w:sz w:val="16"/>
          <w:lang w:val="en-US"/>
        </w:rPr>
        <w:footnoteRef/>
      </w:r>
      <w:r w:rsidRPr="00D350CF">
        <w:rPr>
          <w:sz w:val="16"/>
        </w:rPr>
        <w:t xml:space="preserve"> ONUSIDA, Maintenir l’élan vers la fin du sida dans les pays de la Francophonie, 2018</w:t>
      </w:r>
    </w:p>
  </w:footnote>
  <w:footnote w:id="8">
    <w:p w14:paraId="0D2F1D8D" w14:textId="77777777" w:rsidR="00651752" w:rsidRPr="00D350CF" w:rsidRDefault="00651752" w:rsidP="00D50530">
      <w:pPr>
        <w:pStyle w:val="Notedebasdepage"/>
        <w:rPr>
          <w:sz w:val="16"/>
        </w:rPr>
      </w:pPr>
      <w:r w:rsidRPr="00F30BA8">
        <w:rPr>
          <w:sz w:val="16"/>
          <w:lang w:val="en-US"/>
        </w:rPr>
        <w:footnoteRef/>
      </w:r>
      <w:r w:rsidRPr="00D350CF">
        <w:rPr>
          <w:sz w:val="16"/>
        </w:rPr>
        <w:t xml:space="preserve"> Ministère de la santé, Annuaire statistiques, 2017</w:t>
      </w:r>
    </w:p>
  </w:footnote>
  <w:footnote w:id="9">
    <w:p w14:paraId="638D718D" w14:textId="77777777" w:rsidR="00651752" w:rsidRPr="00D350CF" w:rsidRDefault="00651752" w:rsidP="00D50530">
      <w:pPr>
        <w:pStyle w:val="Notedebasdepage"/>
        <w:rPr>
          <w:sz w:val="16"/>
        </w:rPr>
      </w:pPr>
      <w:r w:rsidRPr="00F30BA8">
        <w:rPr>
          <w:sz w:val="16"/>
          <w:lang w:val="en-US"/>
        </w:rPr>
        <w:footnoteRef/>
      </w:r>
      <w:r w:rsidRPr="00D350CF">
        <w:rPr>
          <w:sz w:val="16"/>
        </w:rPr>
        <w:t xml:space="preserve"> Ministère du plan et du Développement économique, </w:t>
      </w:r>
      <w:r>
        <w:rPr>
          <w:sz w:val="16"/>
        </w:rPr>
        <w:t>Enquête par Grappes à indicateurs multiples (</w:t>
      </w:r>
      <w:r w:rsidRPr="00D350CF">
        <w:rPr>
          <w:sz w:val="16"/>
        </w:rPr>
        <w:t>MICS</w:t>
      </w:r>
      <w:r>
        <w:rPr>
          <w:sz w:val="16"/>
        </w:rPr>
        <w:t>)</w:t>
      </w:r>
      <w:r w:rsidRPr="00D350CF">
        <w:rPr>
          <w:sz w:val="16"/>
        </w:rPr>
        <w:t>, 2016</w:t>
      </w:r>
    </w:p>
  </w:footnote>
  <w:footnote w:id="10">
    <w:p w14:paraId="444A2B6E" w14:textId="77777777" w:rsidR="00651752" w:rsidRPr="00CB78D7" w:rsidRDefault="00651752" w:rsidP="00D50530">
      <w:pPr>
        <w:pStyle w:val="Notedebasdepage"/>
        <w:rPr>
          <w:sz w:val="18"/>
        </w:rPr>
      </w:pPr>
      <w:r w:rsidRPr="00CB78D7">
        <w:rPr>
          <w:rStyle w:val="Appelnotedebasdep"/>
          <w:rFonts w:eastAsia="Trebuchet MS"/>
          <w:sz w:val="18"/>
        </w:rPr>
        <w:footnoteRef/>
      </w:r>
      <w:r w:rsidRPr="00CB78D7">
        <w:rPr>
          <w:sz w:val="18"/>
        </w:rPr>
        <w:t xml:space="preserve"> </w:t>
      </w:r>
      <w:r w:rsidRPr="005B23E0">
        <w:rPr>
          <w:sz w:val="16"/>
        </w:rPr>
        <w:t>Ministère de la santé, Annuaire des   sanitaires statistiques, 2017</w:t>
      </w:r>
    </w:p>
  </w:footnote>
  <w:footnote w:id="11">
    <w:p w14:paraId="6C70E271" w14:textId="77777777" w:rsidR="00651752" w:rsidRPr="00E10C97" w:rsidRDefault="00651752" w:rsidP="00D50530">
      <w:pPr>
        <w:pStyle w:val="Notedebasdepage"/>
        <w:rPr>
          <w:sz w:val="16"/>
        </w:rPr>
      </w:pPr>
      <w:r w:rsidRPr="00C3420C">
        <w:rPr>
          <w:rStyle w:val="Appelnotedebasdep"/>
          <w:rFonts w:eastAsia="Trebuchet MS"/>
          <w:sz w:val="18"/>
        </w:rPr>
        <w:footnoteRef/>
      </w:r>
      <w:r w:rsidRPr="007D7214">
        <w:rPr>
          <w:sz w:val="18"/>
        </w:rPr>
        <w:t xml:space="preserve"> </w:t>
      </w:r>
      <w:r w:rsidRPr="00E10C97">
        <w:rPr>
          <w:sz w:val="16"/>
        </w:rPr>
        <w:t>Ministère du Plan et du Développement économique, Enquête démographique et de santé (</w:t>
      </w:r>
      <w:r w:rsidRPr="0015397B">
        <w:rPr>
          <w:sz w:val="16"/>
        </w:rPr>
        <w:t>EDS</w:t>
      </w:r>
      <w:r>
        <w:rPr>
          <w:sz w:val="16"/>
        </w:rPr>
        <w:t xml:space="preserve">), </w:t>
      </w:r>
      <w:r w:rsidRPr="0015397B">
        <w:rPr>
          <w:sz w:val="16"/>
        </w:rPr>
        <w:t>2018</w:t>
      </w:r>
    </w:p>
  </w:footnote>
  <w:footnote w:id="12">
    <w:p w14:paraId="41ABEDD4" w14:textId="77777777" w:rsidR="00651752" w:rsidRPr="00E10C97" w:rsidRDefault="00651752" w:rsidP="00D50530">
      <w:pPr>
        <w:pStyle w:val="Notedebasdepage"/>
        <w:rPr>
          <w:sz w:val="16"/>
        </w:rPr>
      </w:pPr>
      <w:r w:rsidRPr="00E10C97">
        <w:rPr>
          <w:sz w:val="16"/>
        </w:rPr>
        <w:footnoteRef/>
      </w:r>
      <w:r w:rsidRPr="00E10C97">
        <w:rPr>
          <w:sz w:val="16"/>
        </w:rPr>
        <w:t xml:space="preserve"> Ministère du Plan et du Développement économique, Enquête démographique et de santé (</w:t>
      </w:r>
      <w:r w:rsidRPr="0015397B">
        <w:rPr>
          <w:sz w:val="16"/>
        </w:rPr>
        <w:t>EDS</w:t>
      </w:r>
      <w:r>
        <w:rPr>
          <w:sz w:val="16"/>
        </w:rPr>
        <w:t xml:space="preserve">), </w:t>
      </w:r>
      <w:r w:rsidRPr="0015397B">
        <w:rPr>
          <w:sz w:val="16"/>
        </w:rPr>
        <w:t>2018</w:t>
      </w:r>
    </w:p>
  </w:footnote>
  <w:footnote w:id="13">
    <w:p w14:paraId="7BCFC3B1" w14:textId="77777777" w:rsidR="00651752" w:rsidRPr="00E10C97" w:rsidRDefault="00651752" w:rsidP="00D50530">
      <w:pPr>
        <w:pStyle w:val="Notedebasdepage"/>
        <w:rPr>
          <w:sz w:val="16"/>
        </w:rPr>
      </w:pPr>
      <w:r w:rsidRPr="00E10C97">
        <w:rPr>
          <w:sz w:val="16"/>
        </w:rPr>
        <w:footnoteRef/>
      </w:r>
      <w:r w:rsidRPr="00E10C97">
        <w:rPr>
          <w:sz w:val="16"/>
        </w:rPr>
        <w:t xml:space="preserve"> Plan de relance et de résilience du système de santé (PRRSS) </w:t>
      </w:r>
      <w:r w:rsidRPr="0015397B">
        <w:rPr>
          <w:sz w:val="16"/>
        </w:rPr>
        <w:t>2015-2017</w:t>
      </w:r>
    </w:p>
  </w:footnote>
  <w:footnote w:id="14">
    <w:p w14:paraId="6C9349CB" w14:textId="77777777" w:rsidR="00651752" w:rsidRPr="00E10C97" w:rsidRDefault="00651752" w:rsidP="00D50530">
      <w:pPr>
        <w:pStyle w:val="Notedebasdepage"/>
        <w:rPr>
          <w:sz w:val="16"/>
        </w:rPr>
      </w:pPr>
      <w:r w:rsidRPr="00E10C97">
        <w:rPr>
          <w:sz w:val="16"/>
        </w:rPr>
        <w:footnoteRef/>
      </w:r>
      <w:r w:rsidRPr="00E10C97">
        <w:rPr>
          <w:sz w:val="16"/>
        </w:rPr>
        <w:t xml:space="preserve"> </w:t>
      </w:r>
      <w:r>
        <w:rPr>
          <w:sz w:val="16"/>
        </w:rPr>
        <w:t xml:space="preserve">Ministère de la santé, Direction nationale des Etablissements hospitaliers et de l’Hygiène hospitalière, </w:t>
      </w:r>
      <w:r w:rsidRPr="00E10C97">
        <w:rPr>
          <w:sz w:val="16"/>
        </w:rPr>
        <w:t>Cartographie des Infrastructures sanitaires</w:t>
      </w:r>
      <w:r>
        <w:rPr>
          <w:sz w:val="16"/>
        </w:rPr>
        <w:t>,</w:t>
      </w:r>
      <w:r w:rsidRPr="00E10C97">
        <w:rPr>
          <w:sz w:val="16"/>
        </w:rPr>
        <w:t xml:space="preserve"> 2017</w:t>
      </w:r>
    </w:p>
  </w:footnote>
  <w:footnote w:id="15">
    <w:p w14:paraId="6982F18C" w14:textId="77777777" w:rsidR="00651752" w:rsidRPr="000220F7" w:rsidRDefault="00651752" w:rsidP="005B23E0">
      <w:pPr>
        <w:pStyle w:val="Notedebasdepage"/>
        <w:rPr>
          <w:sz w:val="16"/>
        </w:rPr>
      </w:pPr>
      <w:r>
        <w:rPr>
          <w:rStyle w:val="Appelnotedebasdep"/>
        </w:rPr>
        <w:footnoteRef/>
      </w:r>
      <w:r>
        <w:t xml:space="preserve"> </w:t>
      </w:r>
      <w:r w:rsidRPr="005B23E0">
        <w:rPr>
          <w:sz w:val="16"/>
        </w:rPr>
        <w:t>Ministère de la santé,</w:t>
      </w:r>
      <w:r>
        <w:t xml:space="preserve"> </w:t>
      </w:r>
      <w:r w:rsidRPr="005B23E0">
        <w:rPr>
          <w:sz w:val="16"/>
        </w:rPr>
        <w:t xml:space="preserve">Audit institutionnel, organisationnel et fonctionnel du Ministère de la santé, </w:t>
      </w:r>
      <w:r w:rsidRPr="000220F7">
        <w:rPr>
          <w:sz w:val="16"/>
        </w:rPr>
        <w:t>novembre 2016</w:t>
      </w:r>
    </w:p>
  </w:footnote>
  <w:footnote w:id="16">
    <w:p w14:paraId="5F796AFD" w14:textId="77777777" w:rsidR="00651752" w:rsidRPr="000220F7" w:rsidRDefault="00651752" w:rsidP="005B23E0">
      <w:pPr>
        <w:pStyle w:val="Notedebasdepage"/>
        <w:rPr>
          <w:sz w:val="16"/>
        </w:rPr>
      </w:pPr>
      <w:r w:rsidRPr="005B23E0">
        <w:rPr>
          <w:rStyle w:val="Appelnotedebasdep"/>
        </w:rPr>
        <w:footnoteRef/>
      </w:r>
      <w:r w:rsidRPr="005B23E0">
        <w:rPr>
          <w:rStyle w:val="Appelnotedebasdep"/>
        </w:rPr>
        <w:t xml:space="preserve"> </w:t>
      </w:r>
      <w:r w:rsidRPr="005B23E0">
        <w:rPr>
          <w:sz w:val="16"/>
        </w:rPr>
        <w:t xml:space="preserve">Audit institutionnel, organisationnel et fonctionnel du Ministère de la santé, </w:t>
      </w:r>
      <w:r w:rsidRPr="000220F7">
        <w:rPr>
          <w:sz w:val="16"/>
        </w:rPr>
        <w:t>novembre 2016</w:t>
      </w:r>
    </w:p>
  </w:footnote>
  <w:footnote w:id="17">
    <w:p w14:paraId="500A51AA" w14:textId="77777777" w:rsidR="00651752" w:rsidRPr="000220F7" w:rsidRDefault="00651752" w:rsidP="00D50530">
      <w:pPr>
        <w:pStyle w:val="Notedebasdepage"/>
        <w:rPr>
          <w:sz w:val="16"/>
        </w:rPr>
      </w:pPr>
      <w:r w:rsidRPr="005B23E0">
        <w:rPr>
          <w:rStyle w:val="Appelnotedebasdep"/>
        </w:rPr>
        <w:footnoteRef/>
      </w:r>
      <w:r w:rsidRPr="000220F7">
        <w:rPr>
          <w:sz w:val="16"/>
        </w:rPr>
        <w:t xml:space="preserve"> </w:t>
      </w:r>
      <w:r w:rsidRPr="005B23E0">
        <w:rPr>
          <w:sz w:val="16"/>
        </w:rPr>
        <w:t xml:space="preserve">Audit institutionnel, organisationnel et fonctionnel du Ministère de la santé, </w:t>
      </w:r>
      <w:r w:rsidRPr="000220F7">
        <w:rPr>
          <w:sz w:val="16"/>
        </w:rPr>
        <w:t>novembre 2016</w:t>
      </w:r>
    </w:p>
  </w:footnote>
  <w:footnote w:id="18">
    <w:p w14:paraId="36EBB3DC" w14:textId="77777777" w:rsidR="00651752" w:rsidRPr="00020D5E" w:rsidRDefault="00651752" w:rsidP="00AD439F">
      <w:pPr>
        <w:pStyle w:val="Notedebasdepage"/>
        <w:rPr>
          <w:sz w:val="18"/>
        </w:rPr>
      </w:pPr>
      <w:r>
        <w:rPr>
          <w:rStyle w:val="Appelnotedebasdep"/>
        </w:rPr>
        <w:footnoteRef/>
      </w:r>
      <w:r>
        <w:t xml:space="preserve"> </w:t>
      </w:r>
      <w:r w:rsidRPr="00020D5E">
        <w:rPr>
          <w:sz w:val="18"/>
        </w:rPr>
        <w:t>Ministère de la santé, Analyse de situation des ressources humaines pour la santé, décembre 2018.</w:t>
      </w:r>
    </w:p>
  </w:footnote>
  <w:footnote w:id="19">
    <w:p w14:paraId="0B5FD53E" w14:textId="77777777" w:rsidR="00651752" w:rsidRPr="00020D5E" w:rsidRDefault="00651752" w:rsidP="00AD439F">
      <w:pPr>
        <w:pStyle w:val="Notedebasdepage"/>
        <w:rPr>
          <w:sz w:val="18"/>
        </w:rPr>
      </w:pPr>
      <w:r w:rsidRPr="00020D5E">
        <w:rPr>
          <w:sz w:val="18"/>
        </w:rPr>
        <w:footnoteRef/>
      </w:r>
      <w:r w:rsidRPr="00020D5E">
        <w:rPr>
          <w:sz w:val="18"/>
        </w:rPr>
        <w:t xml:space="preserve"> Ministère de la santé, Analyse de situation des ressources humaines pour la santé, décembre 2018.</w:t>
      </w:r>
    </w:p>
  </w:footnote>
  <w:footnote w:id="20">
    <w:p w14:paraId="76846896" w14:textId="77777777" w:rsidR="00651752" w:rsidRPr="00EF0FC9" w:rsidRDefault="00651752" w:rsidP="00E435A9">
      <w:pPr>
        <w:pStyle w:val="Notedebasdepage"/>
        <w:rPr>
          <w:sz w:val="18"/>
        </w:rPr>
      </w:pPr>
      <w:r>
        <w:rPr>
          <w:rStyle w:val="Appelnotedebasdep"/>
          <w:rFonts w:eastAsia="Trebuchet MS"/>
        </w:rPr>
        <w:footnoteRef/>
      </w:r>
      <w:r>
        <w:t xml:space="preserve"> </w:t>
      </w:r>
      <w:r w:rsidRPr="00EF0FC9">
        <w:rPr>
          <w:sz w:val="18"/>
        </w:rPr>
        <w:t>Ministère de la santé, bureau de stratégie et de développement, rapport de la revue du PRRSS 2015-2017, décembre 2018</w:t>
      </w:r>
    </w:p>
  </w:footnote>
  <w:footnote w:id="21">
    <w:p w14:paraId="50AD441E" w14:textId="77777777" w:rsidR="00651752" w:rsidRDefault="00651752" w:rsidP="00F277F4">
      <w:pPr>
        <w:pStyle w:val="Notedebasdepage"/>
      </w:pPr>
      <w:r>
        <w:rPr>
          <w:rStyle w:val="Appelnotedebasdep"/>
        </w:rPr>
        <w:footnoteRef/>
      </w:r>
      <w:r>
        <w:t xml:space="preserve"> </w:t>
      </w:r>
      <w:r w:rsidRPr="005B23E0">
        <w:rPr>
          <w:sz w:val="16"/>
        </w:rPr>
        <w:t>Ministère de la santé, Analyse de situation des ressources humaines pour la santé, décembre 2018.</w:t>
      </w:r>
    </w:p>
  </w:footnote>
  <w:footnote w:id="22">
    <w:p w14:paraId="221B1608" w14:textId="77777777" w:rsidR="00651752" w:rsidRPr="005B23E0" w:rsidRDefault="00651752" w:rsidP="00A02FA8">
      <w:pPr>
        <w:pStyle w:val="Default"/>
        <w:jc w:val="both"/>
        <w:rPr>
          <w:rFonts w:ascii="Constantia" w:hAnsi="Constantia" w:cs="Constantia"/>
          <w:b/>
          <w:bCs/>
          <w:sz w:val="28"/>
          <w:szCs w:val="31"/>
        </w:rPr>
      </w:pPr>
      <w:r>
        <w:rPr>
          <w:rStyle w:val="Appelnotedebasdep"/>
        </w:rPr>
        <w:footnoteRef/>
      </w:r>
      <w:r>
        <w:t xml:space="preserve">  </w:t>
      </w:r>
      <w:r w:rsidRPr="005B23E0">
        <w:rPr>
          <w:rFonts w:asciiTheme="minorHAnsi" w:hAnsiTheme="minorHAnsi" w:cs="Constantia"/>
          <w:bCs/>
          <w:sz w:val="16"/>
          <w:szCs w:val="18"/>
        </w:rPr>
        <w:t xml:space="preserve">Ministère de la santé, </w:t>
      </w:r>
      <w:r w:rsidRPr="005B23E0">
        <w:rPr>
          <w:rFonts w:asciiTheme="minorHAnsi" w:hAnsiTheme="minorHAnsi" w:cs="Constantia"/>
          <w:bCs/>
          <w:i/>
          <w:sz w:val="16"/>
          <w:szCs w:val="18"/>
        </w:rPr>
        <w:t>rapport de l’analyse de situation des RHS</w:t>
      </w:r>
      <w:r w:rsidRPr="005B23E0">
        <w:rPr>
          <w:rFonts w:asciiTheme="minorHAnsi" w:hAnsiTheme="minorHAnsi" w:cs="Constantia"/>
          <w:bCs/>
          <w:sz w:val="16"/>
          <w:szCs w:val="18"/>
        </w:rPr>
        <w:t>, décembre 2018</w:t>
      </w:r>
    </w:p>
  </w:footnote>
  <w:footnote w:id="23">
    <w:p w14:paraId="0428F04D" w14:textId="77777777" w:rsidR="00651752" w:rsidRPr="00EC7707" w:rsidRDefault="00651752" w:rsidP="00A02FA8">
      <w:pPr>
        <w:pStyle w:val="Notedebasdepage"/>
        <w:ind w:left="284" w:hanging="284"/>
        <w:rPr>
          <w:sz w:val="16"/>
          <w:szCs w:val="16"/>
        </w:rPr>
      </w:pPr>
      <w:r>
        <w:rPr>
          <w:rStyle w:val="Appelnotedebasdep"/>
          <w:rFonts w:eastAsia="Trebuchet MS"/>
        </w:rPr>
        <w:footnoteRef/>
      </w:r>
      <w:r>
        <w:t xml:space="preserve"> </w:t>
      </w:r>
      <w:r w:rsidRPr="00EC7707">
        <w:rPr>
          <w:rFonts w:cs="Constantia"/>
          <w:bCs/>
          <w:sz w:val="16"/>
          <w:szCs w:val="16"/>
        </w:rPr>
        <w:t xml:space="preserve">République de Guinée, ministère de l’enseignement supérieur et de la recherche scientifique, </w:t>
      </w:r>
      <w:r w:rsidRPr="00EC7707">
        <w:rPr>
          <w:rFonts w:cs="Constantia"/>
          <w:bCs/>
          <w:i/>
          <w:sz w:val="16"/>
          <w:szCs w:val="16"/>
        </w:rPr>
        <w:t xml:space="preserve">étude sur </w:t>
      </w:r>
      <w:r>
        <w:rPr>
          <w:rFonts w:cs="Constantia"/>
          <w:bCs/>
          <w:i/>
          <w:sz w:val="16"/>
          <w:szCs w:val="16"/>
        </w:rPr>
        <w:t xml:space="preserve">la réforme de    l’enseignement </w:t>
      </w:r>
      <w:r w:rsidRPr="00EC7707">
        <w:rPr>
          <w:rFonts w:cs="Constantia"/>
          <w:bCs/>
          <w:i/>
          <w:sz w:val="16"/>
          <w:szCs w:val="16"/>
        </w:rPr>
        <w:t>et de la recherche en santé rapport</w:t>
      </w:r>
      <w:r w:rsidRPr="00EC7707">
        <w:rPr>
          <w:rFonts w:cs="Constantia"/>
          <w:bCs/>
          <w:sz w:val="16"/>
          <w:szCs w:val="16"/>
        </w:rPr>
        <w:t>, Juillet 2017</w:t>
      </w:r>
    </w:p>
  </w:footnote>
  <w:footnote w:id="24">
    <w:p w14:paraId="319760B6" w14:textId="77777777" w:rsidR="00651752" w:rsidRPr="00EC7707" w:rsidRDefault="00651752" w:rsidP="00FC685C">
      <w:pPr>
        <w:pStyle w:val="Notedebasdepage"/>
        <w:ind w:left="284" w:hanging="284"/>
        <w:rPr>
          <w:sz w:val="16"/>
          <w:szCs w:val="16"/>
        </w:rPr>
      </w:pPr>
      <w:r w:rsidRPr="00EC7707">
        <w:rPr>
          <w:rStyle w:val="Appelnotedebasdep"/>
          <w:rFonts w:eastAsia="Trebuchet MS"/>
          <w:sz w:val="16"/>
          <w:szCs w:val="16"/>
        </w:rPr>
        <w:footnoteRef/>
      </w:r>
      <w:r w:rsidRPr="00EC7707">
        <w:rPr>
          <w:sz w:val="16"/>
          <w:szCs w:val="16"/>
        </w:rPr>
        <w:t xml:space="preserve"> </w:t>
      </w:r>
      <w:r w:rsidRPr="00EC7707">
        <w:rPr>
          <w:rFonts w:cs="Constantia"/>
          <w:bCs/>
          <w:sz w:val="16"/>
          <w:szCs w:val="16"/>
        </w:rPr>
        <w:t xml:space="preserve">République de Guinée, ministère de l’enseignement supérieur et de la recherche scientifique, </w:t>
      </w:r>
      <w:r w:rsidRPr="00EC7707">
        <w:rPr>
          <w:rFonts w:cs="Constantia"/>
          <w:bCs/>
          <w:i/>
          <w:sz w:val="16"/>
          <w:szCs w:val="16"/>
        </w:rPr>
        <w:t>étude sur la réforme de l’enseignement et de la recherche en santé rapport</w:t>
      </w:r>
      <w:r w:rsidRPr="00EC7707">
        <w:rPr>
          <w:rFonts w:cs="Constantia"/>
          <w:bCs/>
          <w:sz w:val="16"/>
          <w:szCs w:val="16"/>
        </w:rPr>
        <w:t>, Juillet 2017</w:t>
      </w:r>
    </w:p>
  </w:footnote>
  <w:footnote w:id="25">
    <w:p w14:paraId="1765FC70" w14:textId="77777777" w:rsidR="00651752" w:rsidRPr="00EC7707" w:rsidRDefault="00651752" w:rsidP="00102A28">
      <w:pPr>
        <w:spacing w:after="0" w:line="240" w:lineRule="auto"/>
        <w:rPr>
          <w:rFonts w:eastAsia="Calibri"/>
          <w:color w:val="000000"/>
          <w:sz w:val="16"/>
          <w:szCs w:val="16"/>
        </w:rPr>
      </w:pPr>
      <w:r w:rsidRPr="00EC7707">
        <w:rPr>
          <w:rStyle w:val="Appelnotedebasdep"/>
          <w:sz w:val="16"/>
          <w:szCs w:val="16"/>
        </w:rPr>
        <w:footnoteRef/>
      </w:r>
      <w:r w:rsidRPr="00EC7707">
        <w:rPr>
          <w:sz w:val="16"/>
          <w:szCs w:val="16"/>
        </w:rPr>
        <w:t xml:space="preserve"> </w:t>
      </w:r>
      <w:r w:rsidRPr="00EC7707">
        <w:rPr>
          <w:rFonts w:eastAsia="Times New Roman"/>
          <w:sz w:val="16"/>
          <w:szCs w:val="16"/>
        </w:rPr>
        <w:t>Ministère de l’Enseignement Technique, de la Formation Professionnelle, de l’Emploi et du Travail, Etat de situation du Secteur, 2015</w:t>
      </w:r>
    </w:p>
  </w:footnote>
  <w:footnote w:id="26">
    <w:p w14:paraId="3E9211C1" w14:textId="77777777" w:rsidR="00651752" w:rsidRPr="00EC7707" w:rsidRDefault="00651752" w:rsidP="00FC685C">
      <w:pPr>
        <w:pStyle w:val="Notedebasdepage"/>
        <w:ind w:left="284" w:hanging="284"/>
        <w:rPr>
          <w:sz w:val="16"/>
          <w:szCs w:val="16"/>
        </w:rPr>
      </w:pPr>
      <w:r w:rsidRPr="00EC7707">
        <w:rPr>
          <w:rStyle w:val="Appelnotedebasdep"/>
          <w:rFonts w:eastAsia="Trebuchet MS"/>
          <w:sz w:val="16"/>
          <w:szCs w:val="16"/>
        </w:rPr>
        <w:footnoteRef/>
      </w:r>
      <w:r w:rsidRPr="00EC7707">
        <w:rPr>
          <w:sz w:val="16"/>
          <w:szCs w:val="16"/>
        </w:rPr>
        <w:t xml:space="preserve"> Rapport de l’Etude sur la réforme de l’enseignement et de la recherche en santé. Ministère de l’enseignement   </w:t>
      </w:r>
      <w:r w:rsidRPr="00EC7707">
        <w:rPr>
          <w:rFonts w:cs="Constantia"/>
          <w:bCs/>
          <w:sz w:val="16"/>
          <w:szCs w:val="16"/>
        </w:rPr>
        <w:t>supérieur</w:t>
      </w:r>
      <w:r w:rsidRPr="00EC7707">
        <w:rPr>
          <w:sz w:val="16"/>
          <w:szCs w:val="16"/>
        </w:rPr>
        <w:t xml:space="preserve">    de la Guinée. Juillet 2017</w:t>
      </w:r>
    </w:p>
  </w:footnote>
  <w:footnote w:id="27">
    <w:p w14:paraId="04BFF461" w14:textId="77777777" w:rsidR="00651752" w:rsidRPr="00EC7707" w:rsidRDefault="00651752" w:rsidP="0041770B">
      <w:pPr>
        <w:pStyle w:val="Notedebasdepage"/>
        <w:rPr>
          <w:sz w:val="18"/>
        </w:rPr>
      </w:pPr>
      <w:r>
        <w:rPr>
          <w:rStyle w:val="Appelnotedebasdep"/>
          <w:rFonts w:eastAsia="Trebuchet MS"/>
        </w:rPr>
        <w:footnoteRef/>
      </w:r>
      <w:r>
        <w:t xml:space="preserve">    </w:t>
      </w:r>
      <w:r w:rsidRPr="00EC7707">
        <w:rPr>
          <w:sz w:val="16"/>
        </w:rPr>
        <w:t>MS, 2018, rapport sur l’état des lieux de la formation continue des ressources humaines de la santé</w:t>
      </w:r>
      <w:r w:rsidRPr="00EC7707">
        <w:rPr>
          <w:sz w:val="18"/>
        </w:rPr>
        <w:t xml:space="preserve"> </w:t>
      </w:r>
    </w:p>
    <w:p w14:paraId="530EE9DB" w14:textId="77777777" w:rsidR="00651752" w:rsidRDefault="00651752" w:rsidP="0041770B">
      <w:pPr>
        <w:pStyle w:val="Notedebasdepage"/>
      </w:pPr>
    </w:p>
  </w:footnote>
  <w:footnote w:id="28">
    <w:p w14:paraId="7E2E4E5F" w14:textId="77777777" w:rsidR="00651752" w:rsidRPr="00EC7707" w:rsidRDefault="00651752" w:rsidP="00CA5F52">
      <w:pPr>
        <w:pStyle w:val="Notedebasdepage"/>
        <w:ind w:left="284" w:hanging="284"/>
        <w:rPr>
          <w:sz w:val="16"/>
          <w:szCs w:val="16"/>
        </w:rPr>
      </w:pPr>
      <w:r>
        <w:rPr>
          <w:rStyle w:val="Appelnotedebasdep"/>
        </w:rPr>
        <w:footnoteRef/>
      </w:r>
      <w:r>
        <w:t xml:space="preserve">  </w:t>
      </w:r>
      <w:r w:rsidRPr="00EC7707">
        <w:rPr>
          <w:rFonts w:cs="Constantia"/>
          <w:bCs/>
          <w:sz w:val="16"/>
          <w:szCs w:val="16"/>
        </w:rPr>
        <w:t>République de Guinée, ministère de l’enseignement supérieur et de la recherche scientifique, étude sur la réforme de l’enseignement et de la recherche en santé, rapport, Juillet 2017</w:t>
      </w:r>
    </w:p>
  </w:footnote>
  <w:footnote w:id="29">
    <w:p w14:paraId="51818E38" w14:textId="77777777" w:rsidR="00651752" w:rsidRPr="00EC7707" w:rsidRDefault="00651752" w:rsidP="00895E4E">
      <w:pPr>
        <w:pStyle w:val="Notedebasdepage"/>
        <w:rPr>
          <w:sz w:val="16"/>
          <w:szCs w:val="16"/>
        </w:rPr>
      </w:pPr>
      <w:r w:rsidRPr="00EC7707">
        <w:rPr>
          <w:rStyle w:val="Appelnotedebasdep"/>
          <w:rFonts w:eastAsia="Trebuchet MS"/>
          <w:sz w:val="16"/>
          <w:szCs w:val="16"/>
        </w:rPr>
        <w:footnoteRef/>
      </w:r>
      <w:r w:rsidRPr="00EC7707">
        <w:rPr>
          <w:sz w:val="16"/>
          <w:szCs w:val="16"/>
        </w:rPr>
        <w:t xml:space="preserve">Loi </w:t>
      </w:r>
      <w:r w:rsidRPr="00EC7707">
        <w:rPr>
          <w:rFonts w:cstheme="minorHAnsi"/>
          <w:sz w:val="16"/>
          <w:szCs w:val="16"/>
        </w:rPr>
        <w:t>L/2001/028/AN du 31 décembre 2001, art. 27, 29, 30 et 31.</w:t>
      </w:r>
    </w:p>
  </w:footnote>
  <w:footnote w:id="30">
    <w:p w14:paraId="7239CFFC" w14:textId="77777777" w:rsidR="00651752" w:rsidRPr="00EC7707" w:rsidRDefault="00651752" w:rsidP="005E7958">
      <w:pPr>
        <w:pStyle w:val="Notedebasdepage"/>
        <w:rPr>
          <w:sz w:val="16"/>
        </w:rPr>
      </w:pPr>
      <w:r>
        <w:rPr>
          <w:rStyle w:val="Appelnotedebasdep"/>
          <w:rFonts w:eastAsia="Trebuchet MS"/>
        </w:rPr>
        <w:footnoteRef/>
      </w:r>
      <w:r>
        <w:rPr>
          <w:rFonts w:ascii="Avenir-Heavy" w:hAnsi="Avenir-Heavy" w:cs="Avenir-Heavy"/>
        </w:rPr>
        <w:t xml:space="preserve"> </w:t>
      </w:r>
      <w:r w:rsidRPr="00EC7707">
        <w:rPr>
          <w:rFonts w:ascii="Avenir-Heavy" w:hAnsi="Avenir-Heavy" w:cs="Avenir-Heavy"/>
          <w:sz w:val="16"/>
        </w:rPr>
        <w:t>Thomas Bossert et al. i</w:t>
      </w:r>
      <w:r w:rsidRPr="00EC7707">
        <w:rPr>
          <w:rFonts w:cstheme="minorHAnsi"/>
          <w:sz w:val="16"/>
        </w:rPr>
        <w:t>n Planification Stratégique des Ressources Humaines pour la Santé : Évaluation des Facteurs  Financiers, Éducationnels, Administratifs et Politiques, Organisation mondiale de la Santé</w:t>
      </w:r>
      <w:r>
        <w:rPr>
          <w:rFonts w:cstheme="minorHAnsi"/>
          <w:sz w:val="16"/>
        </w:rPr>
        <w:t>,</w:t>
      </w:r>
      <w:r w:rsidRPr="00EC7707">
        <w:rPr>
          <w:rFonts w:cstheme="minorHAnsi"/>
          <w:sz w:val="16"/>
        </w:rPr>
        <w:t xml:space="preserve"> 2010</w:t>
      </w:r>
    </w:p>
  </w:footnote>
  <w:footnote w:id="31">
    <w:p w14:paraId="2EECE7FD" w14:textId="77777777" w:rsidR="00651752" w:rsidRPr="00EC7707" w:rsidRDefault="00651752" w:rsidP="008C031E">
      <w:pPr>
        <w:pStyle w:val="Notedebasdepage"/>
        <w:rPr>
          <w:sz w:val="14"/>
        </w:rPr>
      </w:pPr>
      <w:r>
        <w:rPr>
          <w:rStyle w:val="Appelnotedebasdep"/>
          <w:rFonts w:eastAsia="Trebuchet MS"/>
        </w:rPr>
        <w:footnoteRef/>
      </w:r>
      <w:r>
        <w:rPr>
          <w:sz w:val="22"/>
          <w:szCs w:val="22"/>
        </w:rPr>
        <w:t xml:space="preserve"> </w:t>
      </w:r>
      <w:r w:rsidRPr="00EC7707">
        <w:rPr>
          <w:sz w:val="16"/>
          <w:szCs w:val="22"/>
        </w:rPr>
        <w:t>Loi 029 portant principes fondamentaux de création et d’organisation des services publics</w:t>
      </w:r>
    </w:p>
  </w:footnote>
  <w:footnote w:id="32">
    <w:p w14:paraId="518CAF0C" w14:textId="77777777" w:rsidR="00651752" w:rsidRPr="00EC7707" w:rsidRDefault="00651752" w:rsidP="00EF58C1">
      <w:pPr>
        <w:pStyle w:val="Notedebasdepage"/>
        <w:rPr>
          <w:sz w:val="16"/>
          <w:szCs w:val="16"/>
        </w:rPr>
      </w:pPr>
      <w:r>
        <w:rPr>
          <w:rStyle w:val="Appelnotedebasdep"/>
        </w:rPr>
        <w:footnoteRef/>
      </w:r>
      <w:r>
        <w:t xml:space="preserve"> </w:t>
      </w:r>
      <w:r w:rsidRPr="00EC7707">
        <w:rPr>
          <w:sz w:val="16"/>
          <w:szCs w:val="16"/>
        </w:rPr>
        <w:t>Ministère de l’Economie et des finances,</w:t>
      </w:r>
      <w:r>
        <w:t xml:space="preserve"> </w:t>
      </w:r>
      <w:r w:rsidRPr="00EC7707">
        <w:rPr>
          <w:sz w:val="16"/>
          <w:szCs w:val="16"/>
        </w:rPr>
        <w:t xml:space="preserve">Loi </w:t>
      </w:r>
      <w:r w:rsidRPr="00EC7707">
        <w:rPr>
          <w:rFonts w:cstheme="minorHAnsi"/>
          <w:sz w:val="16"/>
          <w:szCs w:val="16"/>
        </w:rPr>
        <w:t>L/2001/028/AN du 31 décembre 2001, art. 110.</w:t>
      </w:r>
    </w:p>
  </w:footnote>
  <w:footnote w:id="33">
    <w:p w14:paraId="1D244CE8" w14:textId="77777777" w:rsidR="00651752" w:rsidRPr="00EC7707" w:rsidRDefault="00651752" w:rsidP="004B5292">
      <w:pPr>
        <w:pStyle w:val="Notedebasdepage"/>
        <w:rPr>
          <w:sz w:val="16"/>
          <w:szCs w:val="16"/>
        </w:rPr>
      </w:pPr>
      <w:r w:rsidRPr="00EC7707">
        <w:rPr>
          <w:rStyle w:val="Appelnotedebasdep"/>
          <w:rFonts w:eastAsia="Trebuchet MS"/>
          <w:sz w:val="16"/>
          <w:szCs w:val="16"/>
        </w:rPr>
        <w:footnoteRef/>
      </w:r>
      <w:r w:rsidRPr="00EC7707">
        <w:rPr>
          <w:sz w:val="16"/>
          <w:szCs w:val="16"/>
        </w:rPr>
        <w:t xml:space="preserve"> </w:t>
      </w:r>
      <w:r>
        <w:rPr>
          <w:sz w:val="16"/>
          <w:szCs w:val="16"/>
        </w:rPr>
        <w:t xml:space="preserve">Ministère de la santé, </w:t>
      </w:r>
      <w:r w:rsidRPr="00EC7707">
        <w:rPr>
          <w:sz w:val="16"/>
          <w:szCs w:val="16"/>
        </w:rPr>
        <w:t xml:space="preserve">Annuaire </w:t>
      </w:r>
      <w:r>
        <w:rPr>
          <w:sz w:val="16"/>
          <w:szCs w:val="16"/>
        </w:rPr>
        <w:t xml:space="preserve">des </w:t>
      </w:r>
      <w:r w:rsidRPr="00EC7707">
        <w:rPr>
          <w:sz w:val="16"/>
          <w:szCs w:val="16"/>
        </w:rPr>
        <w:t>stat</w:t>
      </w:r>
      <w:r>
        <w:rPr>
          <w:sz w:val="16"/>
          <w:szCs w:val="16"/>
        </w:rPr>
        <w:t>istiques sanitaires,</w:t>
      </w:r>
      <w:r w:rsidRPr="00EC7707">
        <w:rPr>
          <w:sz w:val="16"/>
          <w:szCs w:val="16"/>
        </w:rPr>
        <w:t xml:space="preserve"> 2014</w:t>
      </w:r>
    </w:p>
  </w:footnote>
  <w:footnote w:id="34">
    <w:p w14:paraId="14A72930" w14:textId="77777777" w:rsidR="00651752" w:rsidRPr="00EC7707" w:rsidRDefault="00651752" w:rsidP="004B5292">
      <w:pPr>
        <w:pStyle w:val="Notedebasdepage"/>
        <w:rPr>
          <w:sz w:val="16"/>
          <w:szCs w:val="16"/>
        </w:rPr>
      </w:pPr>
      <w:r w:rsidRPr="00EC7707">
        <w:rPr>
          <w:rStyle w:val="Appelnotedebasdep"/>
          <w:rFonts w:eastAsia="Trebuchet MS"/>
          <w:sz w:val="16"/>
          <w:szCs w:val="16"/>
        </w:rPr>
        <w:footnoteRef/>
      </w:r>
      <w:r w:rsidRPr="00EC7707">
        <w:rPr>
          <w:sz w:val="16"/>
          <w:szCs w:val="16"/>
        </w:rPr>
        <w:t xml:space="preserve"> </w:t>
      </w:r>
      <w:r>
        <w:rPr>
          <w:sz w:val="16"/>
          <w:szCs w:val="16"/>
        </w:rPr>
        <w:t xml:space="preserve">Ministère de la santé, </w:t>
      </w:r>
      <w:r w:rsidRPr="00EC7707">
        <w:rPr>
          <w:sz w:val="16"/>
          <w:szCs w:val="16"/>
        </w:rPr>
        <w:t xml:space="preserve">Annuaire </w:t>
      </w:r>
      <w:r>
        <w:rPr>
          <w:sz w:val="16"/>
          <w:szCs w:val="16"/>
        </w:rPr>
        <w:t xml:space="preserve">des </w:t>
      </w:r>
      <w:r w:rsidRPr="00EC7707">
        <w:rPr>
          <w:sz w:val="16"/>
          <w:szCs w:val="16"/>
        </w:rPr>
        <w:t>stat</w:t>
      </w:r>
      <w:r>
        <w:rPr>
          <w:sz w:val="16"/>
          <w:szCs w:val="16"/>
        </w:rPr>
        <w:t>istiques sanitaires,</w:t>
      </w:r>
      <w:r w:rsidRPr="00EC7707">
        <w:rPr>
          <w:sz w:val="16"/>
          <w:szCs w:val="16"/>
        </w:rPr>
        <w:t xml:space="preserve"> 2015</w:t>
      </w:r>
    </w:p>
  </w:footnote>
  <w:footnote w:id="35">
    <w:p w14:paraId="6BE3E629" w14:textId="77777777" w:rsidR="00651752" w:rsidRPr="00EC7707" w:rsidRDefault="00651752" w:rsidP="004B5292">
      <w:pPr>
        <w:pStyle w:val="Notedebasdepage"/>
        <w:rPr>
          <w:sz w:val="16"/>
          <w:szCs w:val="16"/>
        </w:rPr>
      </w:pPr>
      <w:r w:rsidRPr="00EC7707">
        <w:rPr>
          <w:rStyle w:val="Appelnotedebasdep"/>
          <w:rFonts w:eastAsia="Trebuchet MS"/>
          <w:sz w:val="16"/>
          <w:szCs w:val="16"/>
        </w:rPr>
        <w:footnoteRef/>
      </w:r>
      <w:r w:rsidRPr="00EC7707">
        <w:rPr>
          <w:sz w:val="16"/>
          <w:szCs w:val="16"/>
        </w:rPr>
        <w:t xml:space="preserve"> </w:t>
      </w:r>
      <w:r>
        <w:rPr>
          <w:sz w:val="16"/>
          <w:szCs w:val="16"/>
        </w:rPr>
        <w:t xml:space="preserve">Ministère de la santé, </w:t>
      </w:r>
      <w:r w:rsidRPr="00EC7707">
        <w:rPr>
          <w:sz w:val="16"/>
          <w:szCs w:val="16"/>
        </w:rPr>
        <w:t xml:space="preserve">Annuaire </w:t>
      </w:r>
      <w:r>
        <w:rPr>
          <w:sz w:val="16"/>
          <w:szCs w:val="16"/>
        </w:rPr>
        <w:t xml:space="preserve">des </w:t>
      </w:r>
      <w:r w:rsidRPr="00EC7707">
        <w:rPr>
          <w:sz w:val="16"/>
          <w:szCs w:val="16"/>
        </w:rPr>
        <w:t>stat</w:t>
      </w:r>
      <w:r>
        <w:rPr>
          <w:sz w:val="16"/>
          <w:szCs w:val="16"/>
        </w:rPr>
        <w:t>istiques sanitaires,</w:t>
      </w:r>
      <w:r w:rsidRPr="00EC7707">
        <w:rPr>
          <w:sz w:val="16"/>
          <w:szCs w:val="16"/>
        </w:rPr>
        <w:t xml:space="preserve"> 2016</w:t>
      </w:r>
    </w:p>
  </w:footnote>
  <w:footnote w:id="36">
    <w:p w14:paraId="210196ED" w14:textId="77777777" w:rsidR="00651752" w:rsidRPr="00EC7707" w:rsidRDefault="00651752" w:rsidP="004B5292">
      <w:pPr>
        <w:pStyle w:val="Notedebasdepage"/>
        <w:rPr>
          <w:sz w:val="16"/>
          <w:szCs w:val="16"/>
        </w:rPr>
      </w:pPr>
      <w:r w:rsidRPr="00EC7707">
        <w:rPr>
          <w:rStyle w:val="Appelnotedebasdep"/>
          <w:rFonts w:eastAsia="Trebuchet MS"/>
          <w:sz w:val="16"/>
          <w:szCs w:val="16"/>
        </w:rPr>
        <w:footnoteRef/>
      </w:r>
      <w:r w:rsidRPr="00EC7707">
        <w:rPr>
          <w:sz w:val="16"/>
          <w:szCs w:val="16"/>
        </w:rPr>
        <w:t xml:space="preserve"> </w:t>
      </w:r>
      <w:r>
        <w:rPr>
          <w:sz w:val="16"/>
          <w:szCs w:val="16"/>
        </w:rPr>
        <w:t xml:space="preserve">Ministère de la santé, </w:t>
      </w:r>
      <w:r w:rsidRPr="00EC7707">
        <w:rPr>
          <w:sz w:val="16"/>
          <w:szCs w:val="16"/>
        </w:rPr>
        <w:t xml:space="preserve">Annuaire </w:t>
      </w:r>
      <w:r>
        <w:rPr>
          <w:sz w:val="16"/>
          <w:szCs w:val="16"/>
        </w:rPr>
        <w:t xml:space="preserve">des </w:t>
      </w:r>
      <w:r w:rsidRPr="00EC7707">
        <w:rPr>
          <w:sz w:val="16"/>
          <w:szCs w:val="16"/>
        </w:rPr>
        <w:t>stat</w:t>
      </w:r>
      <w:r>
        <w:rPr>
          <w:sz w:val="16"/>
          <w:szCs w:val="16"/>
        </w:rPr>
        <w:t>istiques sanitaires,</w:t>
      </w:r>
      <w:r w:rsidRPr="00EC7707">
        <w:rPr>
          <w:sz w:val="16"/>
          <w:szCs w:val="16"/>
        </w:rPr>
        <w:t xml:space="preserve"> 2017</w:t>
      </w:r>
    </w:p>
  </w:footnote>
  <w:footnote w:id="37">
    <w:p w14:paraId="5507C874" w14:textId="77777777" w:rsidR="00651752" w:rsidRPr="00EC7707" w:rsidRDefault="00651752" w:rsidP="004B5292">
      <w:pPr>
        <w:pStyle w:val="Notedebasdepage"/>
        <w:rPr>
          <w:sz w:val="16"/>
          <w:szCs w:val="16"/>
        </w:rPr>
      </w:pPr>
      <w:r w:rsidRPr="00EC7707">
        <w:rPr>
          <w:rStyle w:val="Appelnotedebasdep"/>
          <w:rFonts w:eastAsia="Trebuchet MS"/>
          <w:sz w:val="16"/>
          <w:szCs w:val="16"/>
        </w:rPr>
        <w:footnoteRef/>
      </w:r>
      <w:r w:rsidRPr="00EC7707">
        <w:rPr>
          <w:sz w:val="16"/>
          <w:szCs w:val="16"/>
        </w:rPr>
        <w:t xml:space="preserve"> </w:t>
      </w:r>
      <w:r>
        <w:rPr>
          <w:sz w:val="16"/>
          <w:szCs w:val="16"/>
        </w:rPr>
        <w:t xml:space="preserve">Ministère du plan et du développement économique, </w:t>
      </w:r>
      <w:r w:rsidRPr="00EC7707">
        <w:rPr>
          <w:sz w:val="16"/>
          <w:szCs w:val="16"/>
        </w:rPr>
        <w:t>MICS 2016</w:t>
      </w:r>
    </w:p>
  </w:footnote>
  <w:footnote w:id="38">
    <w:p w14:paraId="26A1F97C" w14:textId="77777777" w:rsidR="00651752" w:rsidRDefault="00651752" w:rsidP="004B5292">
      <w:pPr>
        <w:pStyle w:val="Notedebasdepage"/>
      </w:pPr>
      <w:r w:rsidRPr="00EC7707">
        <w:rPr>
          <w:rStyle w:val="Appelnotedebasdep"/>
          <w:rFonts w:eastAsia="Trebuchet MS"/>
          <w:sz w:val="16"/>
          <w:szCs w:val="16"/>
        </w:rPr>
        <w:footnoteRef/>
      </w:r>
      <w:r>
        <w:rPr>
          <w:sz w:val="16"/>
          <w:szCs w:val="16"/>
        </w:rPr>
        <w:t xml:space="preserve"> Ministère du plan et du développement économique,</w:t>
      </w:r>
      <w:r w:rsidRPr="00EC7707">
        <w:rPr>
          <w:sz w:val="16"/>
          <w:szCs w:val="16"/>
        </w:rPr>
        <w:t xml:space="preserve"> EDS5, 2018</w:t>
      </w:r>
    </w:p>
  </w:footnote>
  <w:footnote w:id="39">
    <w:p w14:paraId="2EECE0BE" w14:textId="77777777" w:rsidR="00651752" w:rsidRPr="00EC7707" w:rsidRDefault="00651752" w:rsidP="004B5292">
      <w:pPr>
        <w:pStyle w:val="Notedebasdepage"/>
        <w:rPr>
          <w:sz w:val="16"/>
        </w:rPr>
      </w:pPr>
      <w:r>
        <w:rPr>
          <w:rStyle w:val="Appelnotedebasdep"/>
          <w:rFonts w:eastAsia="Trebuchet MS"/>
        </w:rPr>
        <w:footnoteRef/>
      </w:r>
      <w:r>
        <w:t xml:space="preserve"> </w:t>
      </w:r>
      <w:r w:rsidRPr="00EC7707">
        <w:rPr>
          <w:sz w:val="16"/>
        </w:rPr>
        <w:t>Ministère du plan et du développement économique, EDS, 2018</w:t>
      </w:r>
    </w:p>
  </w:footnote>
  <w:footnote w:id="40">
    <w:p w14:paraId="50769291" w14:textId="77777777" w:rsidR="00651752" w:rsidRPr="00EC7707" w:rsidRDefault="00651752" w:rsidP="004B5292">
      <w:pPr>
        <w:pStyle w:val="Notedebasdepage"/>
        <w:rPr>
          <w:sz w:val="16"/>
        </w:rPr>
      </w:pPr>
      <w:r w:rsidRPr="00EC7707">
        <w:rPr>
          <w:rStyle w:val="Appelnotedebasdep"/>
          <w:rFonts w:eastAsia="Trebuchet MS"/>
          <w:sz w:val="16"/>
        </w:rPr>
        <w:footnoteRef/>
      </w:r>
      <w:r w:rsidRPr="00EC7707">
        <w:rPr>
          <w:sz w:val="16"/>
        </w:rPr>
        <w:t xml:space="preserve"> Ministère du plan et du développement économique, MICS, 2016</w:t>
      </w:r>
    </w:p>
  </w:footnote>
  <w:footnote w:id="41">
    <w:p w14:paraId="6FE1B1B2" w14:textId="77777777" w:rsidR="00651752" w:rsidRPr="00EC7707" w:rsidRDefault="00651752" w:rsidP="004B5292">
      <w:pPr>
        <w:pStyle w:val="Notedebasdepage"/>
        <w:rPr>
          <w:sz w:val="16"/>
        </w:rPr>
      </w:pPr>
      <w:r w:rsidRPr="00EC7707">
        <w:rPr>
          <w:rStyle w:val="Appelnotedebasdep"/>
          <w:rFonts w:eastAsia="Trebuchet MS"/>
          <w:sz w:val="16"/>
        </w:rPr>
        <w:footnoteRef/>
      </w:r>
      <w:r w:rsidRPr="00EC7707">
        <w:rPr>
          <w:sz w:val="16"/>
        </w:rPr>
        <w:t xml:space="preserve"> Ministère de la santé, </w:t>
      </w:r>
      <w:r w:rsidRPr="00EC7707">
        <w:rPr>
          <w:rFonts w:ascii="Arial Narrow" w:hAnsi="Arial Narrow" w:cs="Arial"/>
          <w:i/>
          <w:sz w:val="16"/>
          <w:szCs w:val="24"/>
        </w:rPr>
        <w:t>Revue du plan de relance et de résilience du système de santé 2015-2017, 2018</w:t>
      </w:r>
    </w:p>
  </w:footnote>
  <w:footnote w:id="42">
    <w:p w14:paraId="406ADE85" w14:textId="77777777" w:rsidR="00651752" w:rsidRPr="00EC7707" w:rsidRDefault="00651752" w:rsidP="004B5292">
      <w:pPr>
        <w:pStyle w:val="Notedebasdepage"/>
        <w:rPr>
          <w:sz w:val="16"/>
        </w:rPr>
      </w:pPr>
      <w:r w:rsidRPr="00EC7707">
        <w:rPr>
          <w:rStyle w:val="Appelnotedebasdep"/>
          <w:rFonts w:eastAsia="Trebuchet MS"/>
          <w:sz w:val="16"/>
        </w:rPr>
        <w:footnoteRef/>
      </w:r>
      <w:r w:rsidRPr="00EC7707">
        <w:rPr>
          <w:sz w:val="16"/>
        </w:rPr>
        <w:t xml:space="preserve"> Ministère de la santé, </w:t>
      </w:r>
      <w:r w:rsidRPr="00EC7707">
        <w:rPr>
          <w:rFonts w:ascii="Arial Narrow" w:hAnsi="Arial Narrow" w:cs="Arial"/>
          <w:i/>
          <w:sz w:val="16"/>
          <w:szCs w:val="24"/>
        </w:rPr>
        <w:t>Revue du plan de relance et de résilience du système de santé 2015-2017, 2018</w:t>
      </w:r>
    </w:p>
  </w:footnote>
  <w:footnote w:id="43">
    <w:p w14:paraId="5EE75AAC" w14:textId="77777777" w:rsidR="00651752" w:rsidRDefault="00651752" w:rsidP="004B5292">
      <w:pPr>
        <w:pStyle w:val="Notedebasdepage"/>
      </w:pPr>
      <w:r w:rsidRPr="00EC7707">
        <w:rPr>
          <w:rStyle w:val="Appelnotedebasdep"/>
          <w:rFonts w:eastAsia="Trebuchet MS"/>
          <w:sz w:val="16"/>
        </w:rPr>
        <w:footnoteRef/>
      </w:r>
      <w:r w:rsidRPr="00EC7707">
        <w:rPr>
          <w:sz w:val="16"/>
        </w:rPr>
        <w:t xml:space="preserve"> Ministère de la santé, </w:t>
      </w:r>
      <w:r w:rsidRPr="00EC7707">
        <w:rPr>
          <w:rFonts w:ascii="Arial Narrow" w:hAnsi="Arial Narrow" w:cs="Arial"/>
          <w:i/>
          <w:sz w:val="16"/>
          <w:szCs w:val="24"/>
        </w:rPr>
        <w:t>Revue du plan de relance et de résilience du système de santé 2015-2017, 201</w:t>
      </w:r>
      <w:r>
        <w:rPr>
          <w:rFonts w:ascii="Arial Narrow" w:hAnsi="Arial Narrow" w:cs="Arial"/>
          <w:i/>
          <w:szCs w:val="24"/>
        </w:rPr>
        <w:t>8</w:t>
      </w:r>
    </w:p>
  </w:footnote>
  <w:footnote w:id="44">
    <w:p w14:paraId="6C8E67D3" w14:textId="77777777" w:rsidR="00651752" w:rsidRDefault="00651752">
      <w:pPr>
        <w:pStyle w:val="Notedebasdepage"/>
      </w:pPr>
      <w:r>
        <w:rPr>
          <w:rStyle w:val="Appelnotedebasdep"/>
        </w:rPr>
        <w:footnoteRef/>
      </w:r>
      <w:r>
        <w:t xml:space="preserve"> </w:t>
      </w:r>
      <w:r w:rsidRPr="00EC7707">
        <w:rPr>
          <w:rFonts w:eastAsiaTheme="minorHAnsi"/>
          <w:sz w:val="16"/>
          <w:szCs w:val="16"/>
        </w:rPr>
        <w:t>Ministère de l’administration du territoire et de la décentralisation,</w:t>
      </w:r>
      <w:r>
        <w:t xml:space="preserve"> </w:t>
      </w:r>
      <w:r w:rsidRPr="00676B42">
        <w:rPr>
          <w:rFonts w:eastAsiaTheme="minorHAnsi"/>
          <w:sz w:val="16"/>
          <w:szCs w:val="16"/>
        </w:rPr>
        <w:t>Code de</w:t>
      </w:r>
      <w:r>
        <w:rPr>
          <w:rFonts w:eastAsiaTheme="minorHAnsi"/>
          <w:sz w:val="16"/>
          <w:szCs w:val="16"/>
        </w:rPr>
        <w:t>s</w:t>
      </w:r>
      <w:r w:rsidRPr="00676B42">
        <w:rPr>
          <w:rFonts w:eastAsiaTheme="minorHAnsi"/>
          <w:sz w:val="16"/>
          <w:szCs w:val="16"/>
        </w:rPr>
        <w:t xml:space="preserve"> Collectivités Locales</w:t>
      </w:r>
      <w:r>
        <w:rPr>
          <w:rFonts w:eastAsiaTheme="minorHAnsi"/>
          <w:sz w:val="16"/>
          <w:szCs w:val="16"/>
        </w:rPr>
        <w:t>,</w:t>
      </w:r>
      <w:r w:rsidRPr="00676B42">
        <w:rPr>
          <w:rFonts w:eastAsiaTheme="minorHAnsi"/>
          <w:sz w:val="16"/>
          <w:szCs w:val="16"/>
        </w:rPr>
        <w:t xml:space="preserve"> Article 29.</w:t>
      </w:r>
    </w:p>
  </w:footnote>
  <w:footnote w:id="45">
    <w:p w14:paraId="2E3206B6" w14:textId="77777777" w:rsidR="00651752" w:rsidRPr="002F2D28" w:rsidRDefault="00651752">
      <w:pPr>
        <w:pStyle w:val="Notedebasdepage"/>
        <w:rPr>
          <w:rFonts w:eastAsiaTheme="minorHAnsi"/>
          <w:sz w:val="16"/>
          <w:szCs w:val="16"/>
        </w:rPr>
      </w:pPr>
      <w:r>
        <w:rPr>
          <w:rStyle w:val="Appelnotedebasdep"/>
        </w:rPr>
        <w:footnoteRef/>
      </w:r>
      <w:r>
        <w:t xml:space="preserve"> </w:t>
      </w:r>
      <w:r w:rsidRPr="002F2D28">
        <w:rPr>
          <w:rFonts w:eastAsiaTheme="minorHAnsi"/>
          <w:sz w:val="16"/>
          <w:szCs w:val="16"/>
        </w:rPr>
        <w:t>Les fonctions ou piliers du système de santé, selon l’OMS, sont : la gouvernance (ou administration générale), le financement, les ressources humaines pour la santé, les produits de santé, les infrastructures et la technologie, l’information sanitaire et les prestations.</w:t>
      </w:r>
    </w:p>
  </w:footnote>
  <w:footnote w:id="46">
    <w:p w14:paraId="50382DBD" w14:textId="77777777" w:rsidR="00651752" w:rsidRDefault="00651752" w:rsidP="006A0EC1">
      <w:pPr>
        <w:pStyle w:val="Notedebasdepage"/>
      </w:pPr>
      <w:r>
        <w:rPr>
          <w:rStyle w:val="Appelnotedebasdep"/>
        </w:rPr>
        <w:footnoteRef/>
      </w:r>
      <w:r>
        <w:rPr>
          <w:sz w:val="22"/>
          <w:szCs w:val="22"/>
        </w:rPr>
        <w:t xml:space="preserve"> </w:t>
      </w:r>
      <w:r w:rsidRPr="00A670A2">
        <w:rPr>
          <w:sz w:val="16"/>
          <w:szCs w:val="22"/>
        </w:rPr>
        <w:t>Loi 029 portant principes fondamentaux de création et d’organisation des services publics</w:t>
      </w:r>
    </w:p>
  </w:footnote>
  <w:footnote w:id="47">
    <w:p w14:paraId="163F794A" w14:textId="77777777" w:rsidR="00651752" w:rsidRPr="00A670A2" w:rsidRDefault="00651752" w:rsidP="00671946">
      <w:pPr>
        <w:pStyle w:val="Notedebasdepage"/>
        <w:rPr>
          <w:sz w:val="16"/>
        </w:rPr>
      </w:pPr>
      <w:r w:rsidRPr="00A670A2">
        <w:rPr>
          <w:rStyle w:val="Appelnotedebasdep"/>
          <w:sz w:val="16"/>
        </w:rPr>
        <w:footnoteRef/>
      </w:r>
      <w:r w:rsidRPr="008F78F9">
        <w:t xml:space="preserve"> </w:t>
      </w:r>
      <w:r w:rsidRPr="00A670A2">
        <w:rPr>
          <w:sz w:val="16"/>
        </w:rPr>
        <w:t>William B. Werther, JR., Keith Davis, Hélène Lee-Gosselin, La gestion des ressources humaines, 2</w:t>
      </w:r>
      <w:r w:rsidRPr="00A670A2">
        <w:rPr>
          <w:sz w:val="16"/>
          <w:vertAlign w:val="superscript"/>
        </w:rPr>
        <w:t>ème</w:t>
      </w:r>
      <w:r w:rsidRPr="00A670A2">
        <w:rPr>
          <w:sz w:val="16"/>
        </w:rPr>
        <w:t xml:space="preserve"> édition, McGraw-Hill, éditeurs, 1990</w:t>
      </w:r>
    </w:p>
  </w:footnote>
  <w:footnote w:id="48">
    <w:p w14:paraId="1C1CC641" w14:textId="77777777" w:rsidR="00651752" w:rsidRPr="00A670A2" w:rsidRDefault="00651752" w:rsidP="00335D5F">
      <w:pPr>
        <w:pStyle w:val="Notedebasdepage"/>
        <w:rPr>
          <w:sz w:val="16"/>
        </w:rPr>
      </w:pPr>
      <w:r w:rsidRPr="00A670A2">
        <w:rPr>
          <w:rStyle w:val="Appelnotedebasdep"/>
          <w:sz w:val="16"/>
        </w:rPr>
        <w:footnoteRef/>
      </w:r>
      <w:r w:rsidRPr="00A670A2">
        <w:rPr>
          <w:sz w:val="16"/>
        </w:rPr>
        <w:t xml:space="preserve"> Emploi Québec, Guide, GRH, </w:t>
      </w:r>
      <w:proofErr w:type="spellStart"/>
      <w:r w:rsidRPr="00A670A2">
        <w:rPr>
          <w:sz w:val="16"/>
        </w:rPr>
        <w:t>TECHNOCompétences</w:t>
      </w:r>
      <w:proofErr w:type="spellEnd"/>
      <w:r w:rsidRPr="00A670A2">
        <w:rPr>
          <w:sz w:val="16"/>
        </w:rPr>
        <w:t>, 2013</w:t>
      </w:r>
    </w:p>
  </w:footnote>
  <w:footnote w:id="49">
    <w:p w14:paraId="16EE7233" w14:textId="77777777" w:rsidR="00651752" w:rsidRDefault="00651752" w:rsidP="00335D5F">
      <w:pPr>
        <w:pStyle w:val="Notedebasdepage"/>
      </w:pPr>
      <w:r w:rsidRPr="00A670A2">
        <w:rPr>
          <w:rStyle w:val="Appelnotedebasdep"/>
          <w:sz w:val="16"/>
        </w:rPr>
        <w:footnoteRef/>
      </w:r>
      <w:r w:rsidRPr="00A670A2">
        <w:rPr>
          <w:sz w:val="16"/>
        </w:rPr>
        <w:t xml:space="preserve"> Emploi Québec, Guide, GRH, </w:t>
      </w:r>
      <w:proofErr w:type="spellStart"/>
      <w:r w:rsidRPr="00A670A2">
        <w:rPr>
          <w:sz w:val="16"/>
        </w:rPr>
        <w:t>TECHNOCompétences</w:t>
      </w:r>
      <w:proofErr w:type="spellEnd"/>
      <w:r w:rsidRPr="00A670A2">
        <w:rPr>
          <w:sz w:val="16"/>
        </w:rPr>
        <w:t>,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14"/>
    <w:multiLevelType w:val="hybridMultilevel"/>
    <w:tmpl w:val="1C8C90FA"/>
    <w:lvl w:ilvl="0" w:tplc="F5AC7A1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A1575"/>
    <w:multiLevelType w:val="hybridMultilevel"/>
    <w:tmpl w:val="9678E978"/>
    <w:lvl w:ilvl="0" w:tplc="3C6C681E">
      <w:start w:val="1"/>
      <w:numFmt w:val="bullet"/>
      <w:lvlText w:val="•"/>
      <w:lvlJc w:val="left"/>
      <w:pPr>
        <w:tabs>
          <w:tab w:val="num" w:pos="720"/>
        </w:tabs>
        <w:ind w:left="720" w:hanging="360"/>
      </w:pPr>
      <w:rPr>
        <w:rFonts w:ascii="Arial" w:hAnsi="Arial" w:hint="default"/>
      </w:rPr>
    </w:lvl>
    <w:lvl w:ilvl="1" w:tplc="9F32BD68">
      <w:start w:val="98"/>
      <w:numFmt w:val="bullet"/>
      <w:lvlText w:val="–"/>
      <w:lvlJc w:val="left"/>
      <w:pPr>
        <w:tabs>
          <w:tab w:val="num" w:pos="1440"/>
        </w:tabs>
        <w:ind w:left="1440" w:hanging="360"/>
      </w:pPr>
      <w:rPr>
        <w:rFonts w:ascii="Arial" w:hAnsi="Arial" w:hint="default"/>
      </w:rPr>
    </w:lvl>
    <w:lvl w:ilvl="2" w:tplc="F97A4B30">
      <w:start w:val="1"/>
      <w:numFmt w:val="bullet"/>
      <w:lvlText w:val="•"/>
      <w:lvlJc w:val="left"/>
      <w:pPr>
        <w:tabs>
          <w:tab w:val="num" w:pos="2160"/>
        </w:tabs>
        <w:ind w:left="2160" w:hanging="360"/>
      </w:pPr>
      <w:rPr>
        <w:rFonts w:ascii="Arial" w:hAnsi="Arial" w:hint="default"/>
      </w:rPr>
    </w:lvl>
    <w:lvl w:ilvl="3" w:tplc="006099CE">
      <w:start w:val="1"/>
      <w:numFmt w:val="bullet"/>
      <w:lvlText w:val="•"/>
      <w:lvlJc w:val="left"/>
      <w:pPr>
        <w:tabs>
          <w:tab w:val="num" w:pos="2880"/>
        </w:tabs>
        <w:ind w:left="2880" w:hanging="360"/>
      </w:pPr>
      <w:rPr>
        <w:rFonts w:ascii="Arial" w:hAnsi="Arial" w:hint="default"/>
      </w:rPr>
    </w:lvl>
    <w:lvl w:ilvl="4" w:tplc="002CD52C" w:tentative="1">
      <w:start w:val="1"/>
      <w:numFmt w:val="bullet"/>
      <w:lvlText w:val="•"/>
      <w:lvlJc w:val="left"/>
      <w:pPr>
        <w:tabs>
          <w:tab w:val="num" w:pos="3600"/>
        </w:tabs>
        <w:ind w:left="3600" w:hanging="360"/>
      </w:pPr>
      <w:rPr>
        <w:rFonts w:ascii="Arial" w:hAnsi="Arial" w:hint="default"/>
      </w:rPr>
    </w:lvl>
    <w:lvl w:ilvl="5" w:tplc="A01CBF50" w:tentative="1">
      <w:start w:val="1"/>
      <w:numFmt w:val="bullet"/>
      <w:lvlText w:val="•"/>
      <w:lvlJc w:val="left"/>
      <w:pPr>
        <w:tabs>
          <w:tab w:val="num" w:pos="4320"/>
        </w:tabs>
        <w:ind w:left="4320" w:hanging="360"/>
      </w:pPr>
      <w:rPr>
        <w:rFonts w:ascii="Arial" w:hAnsi="Arial" w:hint="default"/>
      </w:rPr>
    </w:lvl>
    <w:lvl w:ilvl="6" w:tplc="18DE3F12" w:tentative="1">
      <w:start w:val="1"/>
      <w:numFmt w:val="bullet"/>
      <w:lvlText w:val="•"/>
      <w:lvlJc w:val="left"/>
      <w:pPr>
        <w:tabs>
          <w:tab w:val="num" w:pos="5040"/>
        </w:tabs>
        <w:ind w:left="5040" w:hanging="360"/>
      </w:pPr>
      <w:rPr>
        <w:rFonts w:ascii="Arial" w:hAnsi="Arial" w:hint="default"/>
      </w:rPr>
    </w:lvl>
    <w:lvl w:ilvl="7" w:tplc="001ED4A8" w:tentative="1">
      <w:start w:val="1"/>
      <w:numFmt w:val="bullet"/>
      <w:lvlText w:val="•"/>
      <w:lvlJc w:val="left"/>
      <w:pPr>
        <w:tabs>
          <w:tab w:val="num" w:pos="5760"/>
        </w:tabs>
        <w:ind w:left="5760" w:hanging="360"/>
      </w:pPr>
      <w:rPr>
        <w:rFonts w:ascii="Arial" w:hAnsi="Arial" w:hint="default"/>
      </w:rPr>
    </w:lvl>
    <w:lvl w:ilvl="8" w:tplc="D1C623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3007C0"/>
    <w:multiLevelType w:val="hybridMultilevel"/>
    <w:tmpl w:val="F39089CC"/>
    <w:lvl w:ilvl="0" w:tplc="8054AA8C">
      <w:start w:val="5"/>
      <w:numFmt w:val="bullet"/>
      <w:lvlText w:val="-"/>
      <w:lvlJc w:val="left"/>
      <w:pPr>
        <w:ind w:left="720" w:hanging="360"/>
      </w:pPr>
      <w:rPr>
        <w:rFonts w:ascii="Consolas" w:eastAsia="ヒラギノ角ゴ Pro W3" w:hAnsi="Consolas" w:cs="Consola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B6172"/>
    <w:multiLevelType w:val="hybridMultilevel"/>
    <w:tmpl w:val="C142AAB4"/>
    <w:lvl w:ilvl="0" w:tplc="442A798E">
      <w:start w:val="1"/>
      <w:numFmt w:val="lowerRoman"/>
      <w:lvlText w:val="(%1)"/>
      <w:lvlJc w:val="left"/>
      <w:pPr>
        <w:ind w:left="1145" w:hanging="720"/>
      </w:pPr>
      <w:rPr>
        <w:rFonts w:cstheme="minorBidi" w:hint="default"/>
        <w:i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04F96808"/>
    <w:multiLevelType w:val="hybridMultilevel"/>
    <w:tmpl w:val="1C8C90FA"/>
    <w:lvl w:ilvl="0" w:tplc="F5AC7A1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802D39"/>
    <w:multiLevelType w:val="hybridMultilevel"/>
    <w:tmpl w:val="2968F2DE"/>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242F2C"/>
    <w:multiLevelType w:val="multilevel"/>
    <w:tmpl w:val="C4903C3E"/>
    <w:lvl w:ilvl="0">
      <w:start w:val="1"/>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b/>
        <w:sz w:val="24"/>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7" w15:restartNumberingAfterBreak="0">
    <w:nsid w:val="0B4D4BAB"/>
    <w:multiLevelType w:val="hybridMultilevel"/>
    <w:tmpl w:val="35E875C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BA9126D"/>
    <w:multiLevelType w:val="hybridMultilevel"/>
    <w:tmpl w:val="054E04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627E4"/>
    <w:multiLevelType w:val="hybridMultilevel"/>
    <w:tmpl w:val="5C0498CE"/>
    <w:lvl w:ilvl="0" w:tplc="A20AE39A">
      <w:start w:val="98"/>
      <w:numFmt w:val="bullet"/>
      <w:lvlText w:val="–"/>
      <w:lvlJc w:val="left"/>
      <w:pPr>
        <w:ind w:left="1800" w:hanging="360"/>
      </w:pPr>
      <w:rPr>
        <w:rFonts w:ascii="Arial" w:hAnsi="Arial" w:hint="default"/>
        <w:color w:val="auto"/>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127412D4"/>
    <w:multiLevelType w:val="hybridMultilevel"/>
    <w:tmpl w:val="5B203B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B671FA"/>
    <w:multiLevelType w:val="hybridMultilevel"/>
    <w:tmpl w:val="5A68BC28"/>
    <w:lvl w:ilvl="0" w:tplc="D8D03CA0">
      <w:start w:val="1"/>
      <w:numFmt w:val="lowerRoman"/>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3B35C09"/>
    <w:multiLevelType w:val="hybridMultilevel"/>
    <w:tmpl w:val="00C86B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9A62D5"/>
    <w:multiLevelType w:val="hybridMultilevel"/>
    <w:tmpl w:val="15BC1ADA"/>
    <w:lvl w:ilvl="0" w:tplc="4CC23AD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1B362D00"/>
    <w:multiLevelType w:val="hybridMultilevel"/>
    <w:tmpl w:val="4A0E5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486E81"/>
    <w:multiLevelType w:val="hybridMultilevel"/>
    <w:tmpl w:val="9D4AC6C4"/>
    <w:lvl w:ilvl="0" w:tplc="DC7645D2">
      <w:start w:val="1"/>
      <w:numFmt w:val="bullet"/>
      <w:lvlText w:val="•"/>
      <w:lvlJc w:val="left"/>
      <w:pPr>
        <w:tabs>
          <w:tab w:val="num" w:pos="720"/>
        </w:tabs>
        <w:ind w:left="720" w:hanging="360"/>
      </w:pPr>
      <w:rPr>
        <w:rFonts w:ascii="Arial" w:hAnsi="Arial" w:hint="default"/>
      </w:rPr>
    </w:lvl>
    <w:lvl w:ilvl="1" w:tplc="040C000B">
      <w:start w:val="1"/>
      <w:numFmt w:val="bullet"/>
      <w:lvlText w:val=""/>
      <w:lvlJc w:val="left"/>
      <w:pPr>
        <w:tabs>
          <w:tab w:val="num" w:pos="1440"/>
        </w:tabs>
        <w:ind w:left="1440" w:hanging="360"/>
      </w:pPr>
      <w:rPr>
        <w:rFonts w:ascii="Wingdings" w:hAnsi="Wingdings" w:hint="default"/>
      </w:rPr>
    </w:lvl>
    <w:lvl w:ilvl="2" w:tplc="1534B0EE" w:tentative="1">
      <w:start w:val="1"/>
      <w:numFmt w:val="bullet"/>
      <w:lvlText w:val="•"/>
      <w:lvlJc w:val="left"/>
      <w:pPr>
        <w:tabs>
          <w:tab w:val="num" w:pos="2160"/>
        </w:tabs>
        <w:ind w:left="2160" w:hanging="360"/>
      </w:pPr>
      <w:rPr>
        <w:rFonts w:ascii="Arial" w:hAnsi="Arial" w:hint="default"/>
      </w:rPr>
    </w:lvl>
    <w:lvl w:ilvl="3" w:tplc="25A47B92" w:tentative="1">
      <w:start w:val="1"/>
      <w:numFmt w:val="bullet"/>
      <w:lvlText w:val="•"/>
      <w:lvlJc w:val="left"/>
      <w:pPr>
        <w:tabs>
          <w:tab w:val="num" w:pos="2880"/>
        </w:tabs>
        <w:ind w:left="2880" w:hanging="360"/>
      </w:pPr>
      <w:rPr>
        <w:rFonts w:ascii="Arial" w:hAnsi="Arial" w:hint="default"/>
      </w:rPr>
    </w:lvl>
    <w:lvl w:ilvl="4" w:tplc="0E2E73F2" w:tentative="1">
      <w:start w:val="1"/>
      <w:numFmt w:val="bullet"/>
      <w:lvlText w:val="•"/>
      <w:lvlJc w:val="left"/>
      <w:pPr>
        <w:tabs>
          <w:tab w:val="num" w:pos="3600"/>
        </w:tabs>
        <w:ind w:left="3600" w:hanging="360"/>
      </w:pPr>
      <w:rPr>
        <w:rFonts w:ascii="Arial" w:hAnsi="Arial" w:hint="default"/>
      </w:rPr>
    </w:lvl>
    <w:lvl w:ilvl="5" w:tplc="A6A49256" w:tentative="1">
      <w:start w:val="1"/>
      <w:numFmt w:val="bullet"/>
      <w:lvlText w:val="•"/>
      <w:lvlJc w:val="left"/>
      <w:pPr>
        <w:tabs>
          <w:tab w:val="num" w:pos="4320"/>
        </w:tabs>
        <w:ind w:left="4320" w:hanging="360"/>
      </w:pPr>
      <w:rPr>
        <w:rFonts w:ascii="Arial" w:hAnsi="Arial" w:hint="default"/>
      </w:rPr>
    </w:lvl>
    <w:lvl w:ilvl="6" w:tplc="94FE780E" w:tentative="1">
      <w:start w:val="1"/>
      <w:numFmt w:val="bullet"/>
      <w:lvlText w:val="•"/>
      <w:lvlJc w:val="left"/>
      <w:pPr>
        <w:tabs>
          <w:tab w:val="num" w:pos="5040"/>
        </w:tabs>
        <w:ind w:left="5040" w:hanging="360"/>
      </w:pPr>
      <w:rPr>
        <w:rFonts w:ascii="Arial" w:hAnsi="Arial" w:hint="default"/>
      </w:rPr>
    </w:lvl>
    <w:lvl w:ilvl="7" w:tplc="44862648" w:tentative="1">
      <w:start w:val="1"/>
      <w:numFmt w:val="bullet"/>
      <w:lvlText w:val="•"/>
      <w:lvlJc w:val="left"/>
      <w:pPr>
        <w:tabs>
          <w:tab w:val="num" w:pos="5760"/>
        </w:tabs>
        <w:ind w:left="5760" w:hanging="360"/>
      </w:pPr>
      <w:rPr>
        <w:rFonts w:ascii="Arial" w:hAnsi="Arial" w:hint="default"/>
      </w:rPr>
    </w:lvl>
    <w:lvl w:ilvl="8" w:tplc="253027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7366D4"/>
    <w:multiLevelType w:val="multilevel"/>
    <w:tmpl w:val="53E4C228"/>
    <w:lvl w:ilvl="0">
      <w:start w:val="2"/>
      <w:numFmt w:val="decimal"/>
      <w:lvlText w:val="%1."/>
      <w:lvlJc w:val="left"/>
      <w:pPr>
        <w:ind w:left="450" w:hanging="450"/>
      </w:pPr>
      <w:rPr>
        <w:rFonts w:asciiTheme="majorHAnsi" w:hAnsiTheme="majorHAnsi"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95155BE"/>
    <w:multiLevelType w:val="multilevel"/>
    <w:tmpl w:val="39A0000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2A3A3812"/>
    <w:multiLevelType w:val="hybridMultilevel"/>
    <w:tmpl w:val="B88C6DC0"/>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1622BD"/>
    <w:multiLevelType w:val="hybridMultilevel"/>
    <w:tmpl w:val="AE683A92"/>
    <w:lvl w:ilvl="0" w:tplc="3AE6F4FE">
      <w:start w:val="1"/>
      <w:numFmt w:val="bullet"/>
      <w:lvlText w:val=""/>
      <w:lvlJc w:val="left"/>
      <w:pPr>
        <w:ind w:left="1856" w:hanging="360"/>
      </w:pPr>
      <w:rPr>
        <w:rFonts w:ascii="Symbol" w:hAnsi="Symbol" w:hint="default"/>
        <w:caps w:val="0"/>
        <w:strike w:val="0"/>
        <w:dstrike w:val="0"/>
        <w:vanish w:val="0"/>
        <w:color w:val="auto"/>
        <w:vertAlign w:val="baseline"/>
      </w:rPr>
    </w:lvl>
    <w:lvl w:ilvl="1" w:tplc="040C0003" w:tentative="1">
      <w:start w:val="1"/>
      <w:numFmt w:val="bullet"/>
      <w:lvlText w:val="o"/>
      <w:lvlJc w:val="left"/>
      <w:pPr>
        <w:ind w:left="2576" w:hanging="360"/>
      </w:pPr>
      <w:rPr>
        <w:rFonts w:ascii="Courier New" w:hAnsi="Courier New" w:cs="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cs="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cs="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20" w15:restartNumberingAfterBreak="0">
    <w:nsid w:val="386F36CB"/>
    <w:multiLevelType w:val="hybridMultilevel"/>
    <w:tmpl w:val="7D2A28B6"/>
    <w:lvl w:ilvl="0" w:tplc="A3B4A9E0">
      <w:start w:val="1"/>
      <w:numFmt w:val="bullet"/>
      <w:lvlText w:val="o"/>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A2EFE"/>
    <w:multiLevelType w:val="hybridMultilevel"/>
    <w:tmpl w:val="9EACA426"/>
    <w:lvl w:ilvl="0" w:tplc="60ECB13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4B76659"/>
    <w:multiLevelType w:val="hybridMultilevel"/>
    <w:tmpl w:val="7F6E2488"/>
    <w:lvl w:ilvl="0" w:tplc="AB9029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540471"/>
    <w:multiLevelType w:val="multilevel"/>
    <w:tmpl w:val="445013EA"/>
    <w:lvl w:ilvl="0">
      <w:start w:val="3"/>
      <w:numFmt w:val="decimal"/>
      <w:lvlText w:val="%1."/>
      <w:lvlJc w:val="left"/>
      <w:pPr>
        <w:ind w:left="630" w:hanging="630"/>
      </w:pPr>
      <w:rPr>
        <w:rFonts w:ascii="Arial Black" w:hAnsi="Arial Black" w:hint="default"/>
        <w:b/>
        <w:sz w:val="32"/>
      </w:rPr>
    </w:lvl>
    <w:lvl w:ilvl="1">
      <w:start w:val="1"/>
      <w:numFmt w:val="decimal"/>
      <w:lvlText w:val="%1.%2."/>
      <w:lvlJc w:val="left"/>
      <w:pPr>
        <w:ind w:left="1440" w:hanging="720"/>
      </w:pPr>
      <w:rPr>
        <w:rFonts w:ascii="Calibri" w:hAnsi="Calibri" w:hint="default"/>
        <w:b/>
        <w:color w:val="548DD4" w:themeColor="text2" w:themeTint="99"/>
        <w:sz w:val="28"/>
      </w:rPr>
    </w:lvl>
    <w:lvl w:ilvl="2">
      <w:start w:val="1"/>
      <w:numFmt w:val="decimal"/>
      <w:lvlText w:val="%1.%2.%3."/>
      <w:lvlJc w:val="left"/>
      <w:pPr>
        <w:ind w:left="2160" w:hanging="720"/>
      </w:pPr>
      <w:rPr>
        <w:rFonts w:ascii="Arial Black" w:hAnsi="Arial Black" w:hint="default"/>
        <w:b/>
        <w:sz w:val="32"/>
      </w:rPr>
    </w:lvl>
    <w:lvl w:ilvl="3">
      <w:start w:val="1"/>
      <w:numFmt w:val="decimal"/>
      <w:lvlText w:val="%1.%2.%3.%4."/>
      <w:lvlJc w:val="left"/>
      <w:pPr>
        <w:ind w:left="3240" w:hanging="1080"/>
      </w:pPr>
      <w:rPr>
        <w:rFonts w:ascii="Arial Black" w:hAnsi="Arial Black" w:hint="default"/>
        <w:b/>
        <w:sz w:val="32"/>
      </w:rPr>
    </w:lvl>
    <w:lvl w:ilvl="4">
      <w:start w:val="1"/>
      <w:numFmt w:val="decimal"/>
      <w:lvlText w:val="%1.%2.%3.%4.%5."/>
      <w:lvlJc w:val="left"/>
      <w:pPr>
        <w:ind w:left="3960" w:hanging="1080"/>
      </w:pPr>
      <w:rPr>
        <w:rFonts w:ascii="Arial Black" w:hAnsi="Arial Black" w:hint="default"/>
        <w:b/>
        <w:sz w:val="32"/>
      </w:rPr>
    </w:lvl>
    <w:lvl w:ilvl="5">
      <w:start w:val="1"/>
      <w:numFmt w:val="decimal"/>
      <w:lvlText w:val="%1.%2.%3.%4.%5.%6."/>
      <w:lvlJc w:val="left"/>
      <w:pPr>
        <w:ind w:left="5040" w:hanging="1440"/>
      </w:pPr>
      <w:rPr>
        <w:rFonts w:ascii="Arial Black" w:hAnsi="Arial Black" w:hint="default"/>
        <w:b/>
        <w:sz w:val="32"/>
      </w:rPr>
    </w:lvl>
    <w:lvl w:ilvl="6">
      <w:start w:val="1"/>
      <w:numFmt w:val="decimal"/>
      <w:lvlText w:val="%1.%2.%3.%4.%5.%6.%7."/>
      <w:lvlJc w:val="left"/>
      <w:pPr>
        <w:ind w:left="6120" w:hanging="1800"/>
      </w:pPr>
      <w:rPr>
        <w:rFonts w:ascii="Arial Black" w:hAnsi="Arial Black" w:hint="default"/>
        <w:b/>
        <w:sz w:val="32"/>
      </w:rPr>
    </w:lvl>
    <w:lvl w:ilvl="7">
      <w:start w:val="1"/>
      <w:numFmt w:val="decimal"/>
      <w:lvlText w:val="%1.%2.%3.%4.%5.%6.%7.%8."/>
      <w:lvlJc w:val="left"/>
      <w:pPr>
        <w:ind w:left="6840" w:hanging="1800"/>
      </w:pPr>
      <w:rPr>
        <w:rFonts w:ascii="Arial Black" w:hAnsi="Arial Black" w:hint="default"/>
        <w:b/>
        <w:sz w:val="32"/>
      </w:rPr>
    </w:lvl>
    <w:lvl w:ilvl="8">
      <w:start w:val="1"/>
      <w:numFmt w:val="decimal"/>
      <w:lvlText w:val="%1.%2.%3.%4.%5.%6.%7.%8.%9."/>
      <w:lvlJc w:val="left"/>
      <w:pPr>
        <w:ind w:left="7920" w:hanging="2160"/>
      </w:pPr>
      <w:rPr>
        <w:rFonts w:ascii="Arial Black" w:hAnsi="Arial Black" w:hint="default"/>
        <w:b/>
        <w:sz w:val="32"/>
      </w:rPr>
    </w:lvl>
  </w:abstractNum>
  <w:abstractNum w:abstractNumId="24" w15:restartNumberingAfterBreak="0">
    <w:nsid w:val="490D3EF6"/>
    <w:multiLevelType w:val="multilevel"/>
    <w:tmpl w:val="39A0000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2A83D67"/>
    <w:multiLevelType w:val="hybridMultilevel"/>
    <w:tmpl w:val="D1C6327C"/>
    <w:lvl w:ilvl="0" w:tplc="0409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553D5941"/>
    <w:multiLevelType w:val="hybridMultilevel"/>
    <w:tmpl w:val="C5CE0672"/>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7" w15:restartNumberingAfterBreak="0">
    <w:nsid w:val="55987345"/>
    <w:multiLevelType w:val="hybridMultilevel"/>
    <w:tmpl w:val="C6846D6C"/>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CC5AFE"/>
    <w:multiLevelType w:val="hybridMultilevel"/>
    <w:tmpl w:val="213C6C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AC7572"/>
    <w:multiLevelType w:val="hybridMultilevel"/>
    <w:tmpl w:val="8B641A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496277"/>
    <w:multiLevelType w:val="multilevel"/>
    <w:tmpl w:val="C4903C3E"/>
    <w:lvl w:ilvl="0">
      <w:start w:val="1"/>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b/>
        <w:sz w:val="24"/>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31" w15:restartNumberingAfterBreak="0">
    <w:nsid w:val="628961E0"/>
    <w:multiLevelType w:val="hybridMultilevel"/>
    <w:tmpl w:val="28A0FCA2"/>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6D1545"/>
    <w:multiLevelType w:val="hybridMultilevel"/>
    <w:tmpl w:val="987653D4"/>
    <w:lvl w:ilvl="0" w:tplc="7AD824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F9874F5"/>
    <w:multiLevelType w:val="hybridMultilevel"/>
    <w:tmpl w:val="D12E8784"/>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7C2188"/>
    <w:multiLevelType w:val="multilevel"/>
    <w:tmpl w:val="53E4C228"/>
    <w:lvl w:ilvl="0">
      <w:start w:val="2"/>
      <w:numFmt w:val="decimal"/>
      <w:lvlText w:val="%1."/>
      <w:lvlJc w:val="left"/>
      <w:pPr>
        <w:ind w:left="450" w:hanging="450"/>
      </w:pPr>
      <w:rPr>
        <w:rFonts w:asciiTheme="majorHAnsi" w:hAnsiTheme="majorHAnsi"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6057523"/>
    <w:multiLevelType w:val="hybridMultilevel"/>
    <w:tmpl w:val="0590BC7A"/>
    <w:lvl w:ilvl="0" w:tplc="A20AE39A">
      <w:start w:val="9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D96F19"/>
    <w:multiLevelType w:val="hybridMultilevel"/>
    <w:tmpl w:val="DA5813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9B1AB1"/>
    <w:multiLevelType w:val="hybridMultilevel"/>
    <w:tmpl w:val="BF2A4418"/>
    <w:lvl w:ilvl="0" w:tplc="F5AC7A1E">
      <w:start w:val="1"/>
      <w:numFmt w:val="upperRoman"/>
      <w:lvlText w:val="%1."/>
      <w:lvlJc w:val="left"/>
      <w:pPr>
        <w:ind w:left="1080" w:hanging="720"/>
      </w:pPr>
      <w:rPr>
        <w:rFonts w:hint="default"/>
      </w:rPr>
    </w:lvl>
    <w:lvl w:ilvl="1" w:tplc="9F32BD68">
      <w:start w:val="98"/>
      <w:numFmt w:val="bullet"/>
      <w:lvlText w:val="–"/>
      <w:lvlJc w:val="left"/>
      <w:pPr>
        <w:ind w:left="1440" w:hanging="360"/>
      </w:pPr>
      <w:rPr>
        <w:rFonts w:ascii="Arial" w:hAnsi="Arial" w:hint="default"/>
      </w:rPr>
    </w:lvl>
    <w:lvl w:ilvl="2" w:tplc="040C001B">
      <w:start w:val="1"/>
      <w:numFmt w:val="lowerRoman"/>
      <w:lvlText w:val="%3."/>
      <w:lvlJc w:val="right"/>
      <w:pPr>
        <w:ind w:left="2160" w:hanging="180"/>
      </w:pPr>
    </w:lvl>
    <w:lvl w:ilvl="3" w:tplc="A8B24DAA">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F730EB"/>
    <w:multiLevelType w:val="multilevel"/>
    <w:tmpl w:val="53E4C228"/>
    <w:lvl w:ilvl="0">
      <w:start w:val="2"/>
      <w:numFmt w:val="decimal"/>
      <w:lvlText w:val="%1."/>
      <w:lvlJc w:val="left"/>
      <w:pPr>
        <w:ind w:left="450" w:hanging="450"/>
      </w:pPr>
      <w:rPr>
        <w:rFonts w:asciiTheme="majorHAnsi" w:hAnsiTheme="majorHAnsi"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F040D21"/>
    <w:multiLevelType w:val="hybridMultilevel"/>
    <w:tmpl w:val="B5DC722A"/>
    <w:lvl w:ilvl="0" w:tplc="70641F06">
      <w:numFmt w:val="bullet"/>
      <w:lvlText w:val="-"/>
      <w:lvlJc w:val="left"/>
      <w:pPr>
        <w:ind w:left="774" w:hanging="360"/>
      </w:pPr>
      <w:rPr>
        <w:rFonts w:ascii="Calibri" w:eastAsia="Times New Roman" w:hAnsi="Calibri"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0" w15:restartNumberingAfterBreak="0">
    <w:nsid w:val="7F663F71"/>
    <w:multiLevelType w:val="hybridMultilevel"/>
    <w:tmpl w:val="880CA004"/>
    <w:lvl w:ilvl="0" w:tplc="9F32BD68">
      <w:start w:val="98"/>
      <w:numFmt w:val="bullet"/>
      <w:lvlText w:val="–"/>
      <w:lvlJc w:val="left"/>
      <w:pPr>
        <w:ind w:left="3192" w:hanging="360"/>
      </w:pPr>
      <w:rPr>
        <w:rFonts w:ascii="Arial" w:hAnsi="Arial" w:hint="default"/>
      </w:rPr>
    </w:lvl>
    <w:lvl w:ilvl="1" w:tplc="040C000D">
      <w:start w:val="1"/>
      <w:numFmt w:val="bullet"/>
      <w:lvlText w:val=""/>
      <w:lvlJc w:val="left"/>
      <w:pPr>
        <w:ind w:left="3912" w:hanging="360"/>
      </w:pPr>
      <w:rPr>
        <w:rFonts w:ascii="Wingdings" w:hAnsi="Wingdings" w:hint="default"/>
      </w:rPr>
    </w:lvl>
    <w:lvl w:ilvl="2" w:tplc="040C0005">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5"/>
  </w:num>
  <w:num w:numId="2">
    <w:abstractNumId w:val="28"/>
  </w:num>
  <w:num w:numId="3">
    <w:abstractNumId w:val="1"/>
  </w:num>
  <w:num w:numId="4">
    <w:abstractNumId w:val="0"/>
  </w:num>
  <w:num w:numId="5">
    <w:abstractNumId w:val="24"/>
  </w:num>
  <w:num w:numId="6">
    <w:abstractNumId w:val="40"/>
  </w:num>
  <w:num w:numId="7">
    <w:abstractNumId w:val="9"/>
  </w:num>
  <w:num w:numId="8">
    <w:abstractNumId w:val="30"/>
  </w:num>
  <w:num w:numId="9">
    <w:abstractNumId w:val="36"/>
  </w:num>
  <w:num w:numId="10">
    <w:abstractNumId w:val="32"/>
  </w:num>
  <w:num w:numId="11">
    <w:abstractNumId w:val="10"/>
  </w:num>
  <w:num w:numId="12">
    <w:abstractNumId w:val="3"/>
  </w:num>
  <w:num w:numId="13">
    <w:abstractNumId w:val="11"/>
  </w:num>
  <w:num w:numId="14">
    <w:abstractNumId w:val="13"/>
  </w:num>
  <w:num w:numId="15">
    <w:abstractNumId w:val="22"/>
  </w:num>
  <w:num w:numId="16">
    <w:abstractNumId w:val="35"/>
  </w:num>
  <w:num w:numId="17">
    <w:abstractNumId w:val="18"/>
  </w:num>
  <w:num w:numId="18">
    <w:abstractNumId w:val="31"/>
  </w:num>
  <w:num w:numId="19">
    <w:abstractNumId w:val="5"/>
  </w:num>
  <w:num w:numId="20">
    <w:abstractNumId w:val="27"/>
  </w:num>
  <w:num w:numId="21">
    <w:abstractNumId w:val="33"/>
  </w:num>
  <w:num w:numId="22">
    <w:abstractNumId w:val="16"/>
  </w:num>
  <w:num w:numId="23">
    <w:abstractNumId w:val="29"/>
  </w:num>
  <w:num w:numId="24">
    <w:abstractNumId w:val="14"/>
  </w:num>
  <w:num w:numId="25">
    <w:abstractNumId w:val="7"/>
  </w:num>
  <w:num w:numId="26">
    <w:abstractNumId w:val="2"/>
  </w:num>
  <w:num w:numId="27">
    <w:abstractNumId w:val="19"/>
  </w:num>
  <w:num w:numId="28">
    <w:abstractNumId w:val="8"/>
  </w:num>
  <w:num w:numId="29">
    <w:abstractNumId w:val="20"/>
  </w:num>
  <w:num w:numId="30">
    <w:abstractNumId w:val="37"/>
  </w:num>
  <w:num w:numId="31">
    <w:abstractNumId w:val="25"/>
  </w:num>
  <w:num w:numId="32">
    <w:abstractNumId w:val="21"/>
  </w:num>
  <w:num w:numId="33">
    <w:abstractNumId w:val="23"/>
  </w:num>
  <w:num w:numId="34">
    <w:abstractNumId w:val="26"/>
  </w:num>
  <w:num w:numId="35">
    <w:abstractNumId w:val="6"/>
  </w:num>
  <w:num w:numId="36">
    <w:abstractNumId w:val="34"/>
  </w:num>
  <w:num w:numId="37">
    <w:abstractNumId w:val="38"/>
  </w:num>
  <w:num w:numId="38">
    <w:abstractNumId w:val="39"/>
  </w:num>
  <w:num w:numId="39">
    <w:abstractNumId w:val="12"/>
  </w:num>
  <w:num w:numId="40">
    <w:abstractNumId w:val="17"/>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8"/>
    <w:rsid w:val="00002BA6"/>
    <w:rsid w:val="00005CB8"/>
    <w:rsid w:val="000107A0"/>
    <w:rsid w:val="00010C05"/>
    <w:rsid w:val="000142F6"/>
    <w:rsid w:val="00020D5E"/>
    <w:rsid w:val="000220F7"/>
    <w:rsid w:val="00031710"/>
    <w:rsid w:val="00037024"/>
    <w:rsid w:val="00037080"/>
    <w:rsid w:val="000429CE"/>
    <w:rsid w:val="00045032"/>
    <w:rsid w:val="00054140"/>
    <w:rsid w:val="00054878"/>
    <w:rsid w:val="00057474"/>
    <w:rsid w:val="00060E98"/>
    <w:rsid w:val="000654C0"/>
    <w:rsid w:val="000665F8"/>
    <w:rsid w:val="00076E85"/>
    <w:rsid w:val="00084B19"/>
    <w:rsid w:val="00085E6D"/>
    <w:rsid w:val="000902AC"/>
    <w:rsid w:val="00091B65"/>
    <w:rsid w:val="00096BB7"/>
    <w:rsid w:val="000A0E9B"/>
    <w:rsid w:val="000A6362"/>
    <w:rsid w:val="000A6FDC"/>
    <w:rsid w:val="000B6AFB"/>
    <w:rsid w:val="000B6C30"/>
    <w:rsid w:val="000D0741"/>
    <w:rsid w:val="000E0266"/>
    <w:rsid w:val="000F1506"/>
    <w:rsid w:val="000F45C7"/>
    <w:rsid w:val="000F67F8"/>
    <w:rsid w:val="000F6A10"/>
    <w:rsid w:val="00102A28"/>
    <w:rsid w:val="001118C0"/>
    <w:rsid w:val="0011268A"/>
    <w:rsid w:val="0011509F"/>
    <w:rsid w:val="0012002C"/>
    <w:rsid w:val="001207FC"/>
    <w:rsid w:val="00136761"/>
    <w:rsid w:val="001367A9"/>
    <w:rsid w:val="001420F0"/>
    <w:rsid w:val="00144D84"/>
    <w:rsid w:val="00145067"/>
    <w:rsid w:val="00147C93"/>
    <w:rsid w:val="00152DF0"/>
    <w:rsid w:val="0015397B"/>
    <w:rsid w:val="0015439E"/>
    <w:rsid w:val="00157628"/>
    <w:rsid w:val="001666DC"/>
    <w:rsid w:val="00174C7A"/>
    <w:rsid w:val="001812AA"/>
    <w:rsid w:val="00183DAE"/>
    <w:rsid w:val="00190758"/>
    <w:rsid w:val="001A061A"/>
    <w:rsid w:val="001B28E6"/>
    <w:rsid w:val="001B36C1"/>
    <w:rsid w:val="001C5163"/>
    <w:rsid w:val="001C7A44"/>
    <w:rsid w:val="001D0049"/>
    <w:rsid w:val="001D299F"/>
    <w:rsid w:val="001D738E"/>
    <w:rsid w:val="001E3212"/>
    <w:rsid w:val="001E3A3C"/>
    <w:rsid w:val="001E62FF"/>
    <w:rsid w:val="001F0F73"/>
    <w:rsid w:val="001F2737"/>
    <w:rsid w:val="001F2A9C"/>
    <w:rsid w:val="001F7466"/>
    <w:rsid w:val="00201D81"/>
    <w:rsid w:val="00204A79"/>
    <w:rsid w:val="00212180"/>
    <w:rsid w:val="002149C2"/>
    <w:rsid w:val="00223FD9"/>
    <w:rsid w:val="00231ED2"/>
    <w:rsid w:val="00233152"/>
    <w:rsid w:val="002400A6"/>
    <w:rsid w:val="0024352A"/>
    <w:rsid w:val="00243A21"/>
    <w:rsid w:val="00243B92"/>
    <w:rsid w:val="002546F5"/>
    <w:rsid w:val="00256769"/>
    <w:rsid w:val="002633DE"/>
    <w:rsid w:val="002662E8"/>
    <w:rsid w:val="00271541"/>
    <w:rsid w:val="002721CE"/>
    <w:rsid w:val="00272A35"/>
    <w:rsid w:val="00275B00"/>
    <w:rsid w:val="00281396"/>
    <w:rsid w:val="00285399"/>
    <w:rsid w:val="00285F61"/>
    <w:rsid w:val="00295AC4"/>
    <w:rsid w:val="002A3B9A"/>
    <w:rsid w:val="002B4445"/>
    <w:rsid w:val="002C01E2"/>
    <w:rsid w:val="002D0A19"/>
    <w:rsid w:val="002D0C5B"/>
    <w:rsid w:val="002D5AE1"/>
    <w:rsid w:val="002D7D9E"/>
    <w:rsid w:val="002E29B3"/>
    <w:rsid w:val="002E6C28"/>
    <w:rsid w:val="002F2D28"/>
    <w:rsid w:val="002F414C"/>
    <w:rsid w:val="002F57A8"/>
    <w:rsid w:val="002F6842"/>
    <w:rsid w:val="002F6917"/>
    <w:rsid w:val="0030337E"/>
    <w:rsid w:val="00305222"/>
    <w:rsid w:val="003070BC"/>
    <w:rsid w:val="00315CBE"/>
    <w:rsid w:val="00322029"/>
    <w:rsid w:val="00326F73"/>
    <w:rsid w:val="003341FD"/>
    <w:rsid w:val="00335D5F"/>
    <w:rsid w:val="00340DD1"/>
    <w:rsid w:val="00341053"/>
    <w:rsid w:val="0034275A"/>
    <w:rsid w:val="00343253"/>
    <w:rsid w:val="00346382"/>
    <w:rsid w:val="00347606"/>
    <w:rsid w:val="003516F7"/>
    <w:rsid w:val="00352FD4"/>
    <w:rsid w:val="003543EA"/>
    <w:rsid w:val="00360BC0"/>
    <w:rsid w:val="00365F67"/>
    <w:rsid w:val="0037110F"/>
    <w:rsid w:val="003735DD"/>
    <w:rsid w:val="00374560"/>
    <w:rsid w:val="0037704F"/>
    <w:rsid w:val="00385CD9"/>
    <w:rsid w:val="00386EF8"/>
    <w:rsid w:val="00387F75"/>
    <w:rsid w:val="003B1E83"/>
    <w:rsid w:val="003B4886"/>
    <w:rsid w:val="003B492A"/>
    <w:rsid w:val="003B5A09"/>
    <w:rsid w:val="003B5E10"/>
    <w:rsid w:val="003B62CB"/>
    <w:rsid w:val="003C38AF"/>
    <w:rsid w:val="003C558F"/>
    <w:rsid w:val="003C754C"/>
    <w:rsid w:val="003D1725"/>
    <w:rsid w:val="003D361E"/>
    <w:rsid w:val="003D3725"/>
    <w:rsid w:val="003D3BBA"/>
    <w:rsid w:val="003D4BD9"/>
    <w:rsid w:val="003D7663"/>
    <w:rsid w:val="003E3CF5"/>
    <w:rsid w:val="00402177"/>
    <w:rsid w:val="0040617D"/>
    <w:rsid w:val="00406DBD"/>
    <w:rsid w:val="004143D0"/>
    <w:rsid w:val="00416F33"/>
    <w:rsid w:val="0041770B"/>
    <w:rsid w:val="00425212"/>
    <w:rsid w:val="00430832"/>
    <w:rsid w:val="00432F79"/>
    <w:rsid w:val="00437947"/>
    <w:rsid w:val="0044436E"/>
    <w:rsid w:val="00445B9B"/>
    <w:rsid w:val="00451A3C"/>
    <w:rsid w:val="004559EF"/>
    <w:rsid w:val="00455A33"/>
    <w:rsid w:val="004600CD"/>
    <w:rsid w:val="00460DD8"/>
    <w:rsid w:val="00461C89"/>
    <w:rsid w:val="00461CA0"/>
    <w:rsid w:val="00461CDB"/>
    <w:rsid w:val="0046325A"/>
    <w:rsid w:val="00464F68"/>
    <w:rsid w:val="00467BA9"/>
    <w:rsid w:val="004733D6"/>
    <w:rsid w:val="004817F2"/>
    <w:rsid w:val="00485099"/>
    <w:rsid w:val="00491472"/>
    <w:rsid w:val="004944CA"/>
    <w:rsid w:val="0049468E"/>
    <w:rsid w:val="00494F9C"/>
    <w:rsid w:val="004967EB"/>
    <w:rsid w:val="004A2A3A"/>
    <w:rsid w:val="004A551C"/>
    <w:rsid w:val="004A58CE"/>
    <w:rsid w:val="004B1A0E"/>
    <w:rsid w:val="004B5292"/>
    <w:rsid w:val="004C2E9B"/>
    <w:rsid w:val="004D046C"/>
    <w:rsid w:val="004D2BBE"/>
    <w:rsid w:val="004E38A4"/>
    <w:rsid w:val="004F582E"/>
    <w:rsid w:val="004F5AB8"/>
    <w:rsid w:val="004F745C"/>
    <w:rsid w:val="00500632"/>
    <w:rsid w:val="005012D4"/>
    <w:rsid w:val="0050195D"/>
    <w:rsid w:val="00501B8E"/>
    <w:rsid w:val="005159CF"/>
    <w:rsid w:val="00520F7C"/>
    <w:rsid w:val="00525AF8"/>
    <w:rsid w:val="00527877"/>
    <w:rsid w:val="005302A3"/>
    <w:rsid w:val="00533237"/>
    <w:rsid w:val="00534090"/>
    <w:rsid w:val="00541D95"/>
    <w:rsid w:val="0054510D"/>
    <w:rsid w:val="005525EC"/>
    <w:rsid w:val="00552B14"/>
    <w:rsid w:val="00556082"/>
    <w:rsid w:val="005576E7"/>
    <w:rsid w:val="00557CBB"/>
    <w:rsid w:val="005657CD"/>
    <w:rsid w:val="0056636D"/>
    <w:rsid w:val="005824AD"/>
    <w:rsid w:val="005843B1"/>
    <w:rsid w:val="005919B9"/>
    <w:rsid w:val="005943A3"/>
    <w:rsid w:val="00595CC4"/>
    <w:rsid w:val="005B0D4B"/>
    <w:rsid w:val="005B1256"/>
    <w:rsid w:val="005B1B39"/>
    <w:rsid w:val="005B23E0"/>
    <w:rsid w:val="005B3201"/>
    <w:rsid w:val="005B4B15"/>
    <w:rsid w:val="005B4D70"/>
    <w:rsid w:val="005C34F4"/>
    <w:rsid w:val="005C6215"/>
    <w:rsid w:val="005D17E9"/>
    <w:rsid w:val="005D6E06"/>
    <w:rsid w:val="005D75B8"/>
    <w:rsid w:val="005E2345"/>
    <w:rsid w:val="005E7958"/>
    <w:rsid w:val="005E7B62"/>
    <w:rsid w:val="005F233B"/>
    <w:rsid w:val="005F5E20"/>
    <w:rsid w:val="005F5EA1"/>
    <w:rsid w:val="0060171E"/>
    <w:rsid w:val="006028F3"/>
    <w:rsid w:val="00617F57"/>
    <w:rsid w:val="00621F50"/>
    <w:rsid w:val="006257BC"/>
    <w:rsid w:val="00626BCF"/>
    <w:rsid w:val="00626FFF"/>
    <w:rsid w:val="00627710"/>
    <w:rsid w:val="006356B5"/>
    <w:rsid w:val="00637306"/>
    <w:rsid w:val="0064109B"/>
    <w:rsid w:val="00642B17"/>
    <w:rsid w:val="00643283"/>
    <w:rsid w:val="006440E9"/>
    <w:rsid w:val="0064464F"/>
    <w:rsid w:val="00651752"/>
    <w:rsid w:val="00657660"/>
    <w:rsid w:val="00662E03"/>
    <w:rsid w:val="00671946"/>
    <w:rsid w:val="00676770"/>
    <w:rsid w:val="00676B42"/>
    <w:rsid w:val="00680FFA"/>
    <w:rsid w:val="006829A8"/>
    <w:rsid w:val="006851CB"/>
    <w:rsid w:val="006872A9"/>
    <w:rsid w:val="00687DB6"/>
    <w:rsid w:val="00692863"/>
    <w:rsid w:val="00692FAA"/>
    <w:rsid w:val="00693B74"/>
    <w:rsid w:val="006958E1"/>
    <w:rsid w:val="00695AE1"/>
    <w:rsid w:val="00697C2D"/>
    <w:rsid w:val="006A0EC1"/>
    <w:rsid w:val="006A40D1"/>
    <w:rsid w:val="006A545D"/>
    <w:rsid w:val="006A5B16"/>
    <w:rsid w:val="006A769B"/>
    <w:rsid w:val="006B0206"/>
    <w:rsid w:val="006C27B5"/>
    <w:rsid w:val="006C4C15"/>
    <w:rsid w:val="006C5BE8"/>
    <w:rsid w:val="006D55D5"/>
    <w:rsid w:val="006D5ECF"/>
    <w:rsid w:val="006E41A6"/>
    <w:rsid w:val="006F089C"/>
    <w:rsid w:val="006F0F7C"/>
    <w:rsid w:val="006F4A63"/>
    <w:rsid w:val="006F4B76"/>
    <w:rsid w:val="007037FA"/>
    <w:rsid w:val="0070487C"/>
    <w:rsid w:val="0071041B"/>
    <w:rsid w:val="00717929"/>
    <w:rsid w:val="00717E7B"/>
    <w:rsid w:val="00720FBC"/>
    <w:rsid w:val="00721750"/>
    <w:rsid w:val="007269FB"/>
    <w:rsid w:val="00730729"/>
    <w:rsid w:val="00734097"/>
    <w:rsid w:val="007374B6"/>
    <w:rsid w:val="00747EDA"/>
    <w:rsid w:val="00750BFF"/>
    <w:rsid w:val="00760B90"/>
    <w:rsid w:val="00761095"/>
    <w:rsid w:val="00762B95"/>
    <w:rsid w:val="00764FD7"/>
    <w:rsid w:val="00775E26"/>
    <w:rsid w:val="00790398"/>
    <w:rsid w:val="007935A5"/>
    <w:rsid w:val="00793C75"/>
    <w:rsid w:val="00795740"/>
    <w:rsid w:val="007979B7"/>
    <w:rsid w:val="007A27DB"/>
    <w:rsid w:val="007A4D21"/>
    <w:rsid w:val="007A4DDC"/>
    <w:rsid w:val="007A5665"/>
    <w:rsid w:val="007A7548"/>
    <w:rsid w:val="007B3004"/>
    <w:rsid w:val="007B4639"/>
    <w:rsid w:val="007B74AC"/>
    <w:rsid w:val="007C017B"/>
    <w:rsid w:val="007C022A"/>
    <w:rsid w:val="007D6994"/>
    <w:rsid w:val="007D7214"/>
    <w:rsid w:val="007E20F5"/>
    <w:rsid w:val="007E6ADE"/>
    <w:rsid w:val="007E7E2A"/>
    <w:rsid w:val="007F3970"/>
    <w:rsid w:val="007F5158"/>
    <w:rsid w:val="00802A6F"/>
    <w:rsid w:val="00802FF9"/>
    <w:rsid w:val="00803071"/>
    <w:rsid w:val="00806101"/>
    <w:rsid w:val="00806927"/>
    <w:rsid w:val="00811F69"/>
    <w:rsid w:val="0082134E"/>
    <w:rsid w:val="00836465"/>
    <w:rsid w:val="00836CF4"/>
    <w:rsid w:val="00841600"/>
    <w:rsid w:val="00856C08"/>
    <w:rsid w:val="008666E0"/>
    <w:rsid w:val="00867296"/>
    <w:rsid w:val="00870A30"/>
    <w:rsid w:val="00875C71"/>
    <w:rsid w:val="00875E55"/>
    <w:rsid w:val="00881F6C"/>
    <w:rsid w:val="00883958"/>
    <w:rsid w:val="008845E6"/>
    <w:rsid w:val="0088543E"/>
    <w:rsid w:val="00890744"/>
    <w:rsid w:val="00890EAD"/>
    <w:rsid w:val="00894106"/>
    <w:rsid w:val="00895E4E"/>
    <w:rsid w:val="008B4E4C"/>
    <w:rsid w:val="008B59A1"/>
    <w:rsid w:val="008B764E"/>
    <w:rsid w:val="008C031E"/>
    <w:rsid w:val="008C69F3"/>
    <w:rsid w:val="008C7B46"/>
    <w:rsid w:val="008D117C"/>
    <w:rsid w:val="008D38FE"/>
    <w:rsid w:val="008E1052"/>
    <w:rsid w:val="008E1F4E"/>
    <w:rsid w:val="008E33D1"/>
    <w:rsid w:val="008E3512"/>
    <w:rsid w:val="008E4BF4"/>
    <w:rsid w:val="008F1E23"/>
    <w:rsid w:val="008F27C5"/>
    <w:rsid w:val="008F31B2"/>
    <w:rsid w:val="008F78F9"/>
    <w:rsid w:val="009049BD"/>
    <w:rsid w:val="00904B1A"/>
    <w:rsid w:val="00905976"/>
    <w:rsid w:val="00907AC0"/>
    <w:rsid w:val="009151E9"/>
    <w:rsid w:val="009164AF"/>
    <w:rsid w:val="00925DC3"/>
    <w:rsid w:val="00930A1E"/>
    <w:rsid w:val="00930C5C"/>
    <w:rsid w:val="00945601"/>
    <w:rsid w:val="009473A0"/>
    <w:rsid w:val="009475CF"/>
    <w:rsid w:val="00950C0C"/>
    <w:rsid w:val="00957680"/>
    <w:rsid w:val="00960555"/>
    <w:rsid w:val="00961244"/>
    <w:rsid w:val="009623E8"/>
    <w:rsid w:val="00963EE5"/>
    <w:rsid w:val="009646F8"/>
    <w:rsid w:val="00967484"/>
    <w:rsid w:val="00967A95"/>
    <w:rsid w:val="00971412"/>
    <w:rsid w:val="00972AC4"/>
    <w:rsid w:val="0097670B"/>
    <w:rsid w:val="009864AA"/>
    <w:rsid w:val="00986E20"/>
    <w:rsid w:val="0099233E"/>
    <w:rsid w:val="0099254A"/>
    <w:rsid w:val="009A2ED4"/>
    <w:rsid w:val="009A4255"/>
    <w:rsid w:val="009B0793"/>
    <w:rsid w:val="009B2F78"/>
    <w:rsid w:val="009B3327"/>
    <w:rsid w:val="009C0DA9"/>
    <w:rsid w:val="009C3ECC"/>
    <w:rsid w:val="009C4B42"/>
    <w:rsid w:val="009C5369"/>
    <w:rsid w:val="009C7F54"/>
    <w:rsid w:val="009D251F"/>
    <w:rsid w:val="009D7113"/>
    <w:rsid w:val="009E3ADA"/>
    <w:rsid w:val="009E4108"/>
    <w:rsid w:val="009F04EA"/>
    <w:rsid w:val="009F0F07"/>
    <w:rsid w:val="009F19DD"/>
    <w:rsid w:val="009F23A5"/>
    <w:rsid w:val="009F389D"/>
    <w:rsid w:val="00A006C9"/>
    <w:rsid w:val="00A02FA8"/>
    <w:rsid w:val="00A05142"/>
    <w:rsid w:val="00A05D1E"/>
    <w:rsid w:val="00A062A8"/>
    <w:rsid w:val="00A06490"/>
    <w:rsid w:val="00A16914"/>
    <w:rsid w:val="00A20023"/>
    <w:rsid w:val="00A4742B"/>
    <w:rsid w:val="00A53838"/>
    <w:rsid w:val="00A54A6D"/>
    <w:rsid w:val="00A65316"/>
    <w:rsid w:val="00A65ECF"/>
    <w:rsid w:val="00A66068"/>
    <w:rsid w:val="00A670A2"/>
    <w:rsid w:val="00A67B76"/>
    <w:rsid w:val="00A67FBF"/>
    <w:rsid w:val="00A71565"/>
    <w:rsid w:val="00A7387B"/>
    <w:rsid w:val="00A75E13"/>
    <w:rsid w:val="00A8598E"/>
    <w:rsid w:val="00A9386C"/>
    <w:rsid w:val="00AA30DF"/>
    <w:rsid w:val="00AA545D"/>
    <w:rsid w:val="00AB276A"/>
    <w:rsid w:val="00AB64D8"/>
    <w:rsid w:val="00AC016F"/>
    <w:rsid w:val="00AC064E"/>
    <w:rsid w:val="00AC1AD0"/>
    <w:rsid w:val="00AD439F"/>
    <w:rsid w:val="00AD7163"/>
    <w:rsid w:val="00AD7BFC"/>
    <w:rsid w:val="00AE1242"/>
    <w:rsid w:val="00AE28B4"/>
    <w:rsid w:val="00AE4B1F"/>
    <w:rsid w:val="00AF13E9"/>
    <w:rsid w:val="00B00038"/>
    <w:rsid w:val="00B00525"/>
    <w:rsid w:val="00B04A96"/>
    <w:rsid w:val="00B0790B"/>
    <w:rsid w:val="00B10500"/>
    <w:rsid w:val="00B15176"/>
    <w:rsid w:val="00B17D13"/>
    <w:rsid w:val="00B24E25"/>
    <w:rsid w:val="00B2526E"/>
    <w:rsid w:val="00B34545"/>
    <w:rsid w:val="00B3596D"/>
    <w:rsid w:val="00B36FD4"/>
    <w:rsid w:val="00B37E12"/>
    <w:rsid w:val="00B40857"/>
    <w:rsid w:val="00B41104"/>
    <w:rsid w:val="00B423B1"/>
    <w:rsid w:val="00B45E39"/>
    <w:rsid w:val="00B5482C"/>
    <w:rsid w:val="00B54F83"/>
    <w:rsid w:val="00B64E86"/>
    <w:rsid w:val="00B748CF"/>
    <w:rsid w:val="00B84C5B"/>
    <w:rsid w:val="00B85B34"/>
    <w:rsid w:val="00B91ECF"/>
    <w:rsid w:val="00B9392D"/>
    <w:rsid w:val="00B94E34"/>
    <w:rsid w:val="00BB0297"/>
    <w:rsid w:val="00BB27A3"/>
    <w:rsid w:val="00BC22B2"/>
    <w:rsid w:val="00BD189B"/>
    <w:rsid w:val="00BD2ABB"/>
    <w:rsid w:val="00BD7969"/>
    <w:rsid w:val="00BE2F77"/>
    <w:rsid w:val="00BE5995"/>
    <w:rsid w:val="00BE6CCB"/>
    <w:rsid w:val="00BE6D6A"/>
    <w:rsid w:val="00BF0111"/>
    <w:rsid w:val="00BF07D9"/>
    <w:rsid w:val="00BF10F0"/>
    <w:rsid w:val="00BF2249"/>
    <w:rsid w:val="00BF2E79"/>
    <w:rsid w:val="00BF6DEA"/>
    <w:rsid w:val="00C0415B"/>
    <w:rsid w:val="00C07474"/>
    <w:rsid w:val="00C1098C"/>
    <w:rsid w:val="00C12CCD"/>
    <w:rsid w:val="00C143A7"/>
    <w:rsid w:val="00C168B1"/>
    <w:rsid w:val="00C17D60"/>
    <w:rsid w:val="00C22223"/>
    <w:rsid w:val="00C2246D"/>
    <w:rsid w:val="00C23EA8"/>
    <w:rsid w:val="00C25BEE"/>
    <w:rsid w:val="00C272A0"/>
    <w:rsid w:val="00C3747D"/>
    <w:rsid w:val="00C43587"/>
    <w:rsid w:val="00C43DBF"/>
    <w:rsid w:val="00C46382"/>
    <w:rsid w:val="00C50324"/>
    <w:rsid w:val="00C5396D"/>
    <w:rsid w:val="00C5777A"/>
    <w:rsid w:val="00C61FC9"/>
    <w:rsid w:val="00C673B8"/>
    <w:rsid w:val="00C76CAA"/>
    <w:rsid w:val="00C8040C"/>
    <w:rsid w:val="00C81656"/>
    <w:rsid w:val="00C82FC0"/>
    <w:rsid w:val="00C84A2F"/>
    <w:rsid w:val="00C95C1B"/>
    <w:rsid w:val="00CA4BDA"/>
    <w:rsid w:val="00CA5F52"/>
    <w:rsid w:val="00CA6427"/>
    <w:rsid w:val="00CB07F1"/>
    <w:rsid w:val="00CB3135"/>
    <w:rsid w:val="00CB69B2"/>
    <w:rsid w:val="00CB6E76"/>
    <w:rsid w:val="00CC5609"/>
    <w:rsid w:val="00CC695A"/>
    <w:rsid w:val="00CD5419"/>
    <w:rsid w:val="00CD7A23"/>
    <w:rsid w:val="00CD7C6F"/>
    <w:rsid w:val="00CE7D85"/>
    <w:rsid w:val="00CE7E0A"/>
    <w:rsid w:val="00CF1996"/>
    <w:rsid w:val="00CF249E"/>
    <w:rsid w:val="00D04EFA"/>
    <w:rsid w:val="00D11447"/>
    <w:rsid w:val="00D15FBD"/>
    <w:rsid w:val="00D16BED"/>
    <w:rsid w:val="00D23391"/>
    <w:rsid w:val="00D27892"/>
    <w:rsid w:val="00D27D22"/>
    <w:rsid w:val="00D308EA"/>
    <w:rsid w:val="00D313F1"/>
    <w:rsid w:val="00D32B57"/>
    <w:rsid w:val="00D33A9A"/>
    <w:rsid w:val="00D350CF"/>
    <w:rsid w:val="00D366EF"/>
    <w:rsid w:val="00D4087F"/>
    <w:rsid w:val="00D4241C"/>
    <w:rsid w:val="00D457DB"/>
    <w:rsid w:val="00D50530"/>
    <w:rsid w:val="00D50600"/>
    <w:rsid w:val="00D52E18"/>
    <w:rsid w:val="00D5306E"/>
    <w:rsid w:val="00D5441B"/>
    <w:rsid w:val="00D628F3"/>
    <w:rsid w:val="00D6393E"/>
    <w:rsid w:val="00D64144"/>
    <w:rsid w:val="00D65EA4"/>
    <w:rsid w:val="00D71230"/>
    <w:rsid w:val="00D754EC"/>
    <w:rsid w:val="00D8002E"/>
    <w:rsid w:val="00D8005F"/>
    <w:rsid w:val="00D8467D"/>
    <w:rsid w:val="00D875E3"/>
    <w:rsid w:val="00DA2E23"/>
    <w:rsid w:val="00DA4FFE"/>
    <w:rsid w:val="00DA5605"/>
    <w:rsid w:val="00DB00E3"/>
    <w:rsid w:val="00DB4E41"/>
    <w:rsid w:val="00DC07EE"/>
    <w:rsid w:val="00DD29B7"/>
    <w:rsid w:val="00DF5AEB"/>
    <w:rsid w:val="00E004F7"/>
    <w:rsid w:val="00E02B32"/>
    <w:rsid w:val="00E04813"/>
    <w:rsid w:val="00E04C82"/>
    <w:rsid w:val="00E07446"/>
    <w:rsid w:val="00E0791A"/>
    <w:rsid w:val="00E10B48"/>
    <w:rsid w:val="00E10C97"/>
    <w:rsid w:val="00E12B36"/>
    <w:rsid w:val="00E15546"/>
    <w:rsid w:val="00E228A0"/>
    <w:rsid w:val="00E30664"/>
    <w:rsid w:val="00E32588"/>
    <w:rsid w:val="00E435A9"/>
    <w:rsid w:val="00E43D72"/>
    <w:rsid w:val="00E4480C"/>
    <w:rsid w:val="00E44EF9"/>
    <w:rsid w:val="00E501F5"/>
    <w:rsid w:val="00E5056D"/>
    <w:rsid w:val="00E51187"/>
    <w:rsid w:val="00E51BB4"/>
    <w:rsid w:val="00E55677"/>
    <w:rsid w:val="00E6376C"/>
    <w:rsid w:val="00E64834"/>
    <w:rsid w:val="00E673E9"/>
    <w:rsid w:val="00E716A3"/>
    <w:rsid w:val="00E73D71"/>
    <w:rsid w:val="00E745C2"/>
    <w:rsid w:val="00E74A08"/>
    <w:rsid w:val="00E86F1D"/>
    <w:rsid w:val="00E91045"/>
    <w:rsid w:val="00EA1927"/>
    <w:rsid w:val="00EA2A9C"/>
    <w:rsid w:val="00EA3525"/>
    <w:rsid w:val="00EA39B2"/>
    <w:rsid w:val="00EA4DB7"/>
    <w:rsid w:val="00EA7C63"/>
    <w:rsid w:val="00EB67D0"/>
    <w:rsid w:val="00EC0415"/>
    <w:rsid w:val="00EC7707"/>
    <w:rsid w:val="00EE4814"/>
    <w:rsid w:val="00EE49F4"/>
    <w:rsid w:val="00EE634D"/>
    <w:rsid w:val="00EE6845"/>
    <w:rsid w:val="00EF1903"/>
    <w:rsid w:val="00EF58C1"/>
    <w:rsid w:val="00F00B44"/>
    <w:rsid w:val="00F013E1"/>
    <w:rsid w:val="00F277F4"/>
    <w:rsid w:val="00F30BA8"/>
    <w:rsid w:val="00F35199"/>
    <w:rsid w:val="00F376D8"/>
    <w:rsid w:val="00F37832"/>
    <w:rsid w:val="00F40126"/>
    <w:rsid w:val="00F46F03"/>
    <w:rsid w:val="00F522F5"/>
    <w:rsid w:val="00F532B7"/>
    <w:rsid w:val="00F54A2F"/>
    <w:rsid w:val="00F60C46"/>
    <w:rsid w:val="00F61398"/>
    <w:rsid w:val="00F80191"/>
    <w:rsid w:val="00F8164A"/>
    <w:rsid w:val="00F9089A"/>
    <w:rsid w:val="00F9473F"/>
    <w:rsid w:val="00FA235B"/>
    <w:rsid w:val="00FA623A"/>
    <w:rsid w:val="00FA6624"/>
    <w:rsid w:val="00FA7996"/>
    <w:rsid w:val="00FB6D2D"/>
    <w:rsid w:val="00FB72EB"/>
    <w:rsid w:val="00FC685C"/>
    <w:rsid w:val="00FC7D2F"/>
    <w:rsid w:val="00FD3752"/>
    <w:rsid w:val="00FD577F"/>
    <w:rsid w:val="00FE2A72"/>
    <w:rsid w:val="00FE32AD"/>
    <w:rsid w:val="00FF10A6"/>
    <w:rsid w:val="00FF3628"/>
    <w:rsid w:val="00FF4036"/>
    <w:rsid w:val="00FF678C"/>
    <w:rsid w:val="00FF73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F2C1"/>
  <w15:docId w15:val="{3CE7F8C7-1A90-4FE4-9574-AAC87EC7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64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24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54140"/>
    <w:pPr>
      <w:keepNext/>
      <w:keepLines/>
      <w:spacing w:before="200" w:after="0"/>
      <w:jc w:val="both"/>
      <w:outlineLvl w:val="2"/>
    </w:pPr>
    <w:rPr>
      <w:rFonts w:asciiTheme="majorHAnsi" w:eastAsiaTheme="majorEastAsia" w:hAnsiTheme="majorHAnsi" w:cstheme="majorBidi"/>
      <w:b/>
      <w:b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6F8"/>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qFormat/>
    <w:rsid w:val="009646F8"/>
    <w:pPr>
      <w:ind w:left="720"/>
      <w:contextualSpacing/>
    </w:pPr>
  </w:style>
  <w:style w:type="character" w:customStyle="1" w:styleId="Titre2Car">
    <w:name w:val="Titre 2 Car"/>
    <w:basedOn w:val="Policepardfaut"/>
    <w:link w:val="Titre2"/>
    <w:uiPriority w:val="9"/>
    <w:rsid w:val="005824A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1666DC"/>
    <w:pPr>
      <w:tabs>
        <w:tab w:val="center" w:pos="4536"/>
        <w:tab w:val="right" w:pos="9072"/>
      </w:tabs>
      <w:spacing w:after="0" w:line="240" w:lineRule="auto"/>
    </w:pPr>
  </w:style>
  <w:style w:type="character" w:customStyle="1" w:styleId="En-tteCar">
    <w:name w:val="En-tête Car"/>
    <w:basedOn w:val="Policepardfaut"/>
    <w:link w:val="En-tte"/>
    <w:uiPriority w:val="99"/>
    <w:rsid w:val="001666DC"/>
  </w:style>
  <w:style w:type="paragraph" w:styleId="Pieddepage">
    <w:name w:val="footer"/>
    <w:basedOn w:val="Normal"/>
    <w:link w:val="PieddepageCar"/>
    <w:uiPriority w:val="99"/>
    <w:unhideWhenUsed/>
    <w:rsid w:val="00166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6DC"/>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S,fn,ADB,f,Footnote Text Char"/>
    <w:basedOn w:val="Normal"/>
    <w:link w:val="NotedebasdepageCar"/>
    <w:uiPriority w:val="99"/>
    <w:unhideWhenUsed/>
    <w:qFormat/>
    <w:rsid w:val="00963EE5"/>
    <w:pPr>
      <w:spacing w:after="0" w:line="240" w:lineRule="auto"/>
      <w:jc w:val="both"/>
    </w:pPr>
    <w:rPr>
      <w:rFonts w:eastAsia="Times New Roman"/>
      <w:sz w:val="20"/>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fn Car"/>
    <w:basedOn w:val="Policepardfaut"/>
    <w:link w:val="Notedebasdepage"/>
    <w:uiPriority w:val="99"/>
    <w:rsid w:val="00963EE5"/>
    <w:rPr>
      <w:rFonts w:eastAsia="Times New Roman"/>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iPriority w:val="99"/>
    <w:unhideWhenUsed/>
    <w:rsid w:val="00963EE5"/>
    <w:rPr>
      <w:rFonts w:cs="Times New Roman"/>
      <w:vertAlign w:val="superscript"/>
    </w:rPr>
  </w:style>
  <w:style w:type="character" w:customStyle="1" w:styleId="A3">
    <w:name w:val="A3"/>
    <w:uiPriority w:val="99"/>
    <w:rsid w:val="001E3A3C"/>
    <w:rPr>
      <w:rFonts w:cs="Univers 45 Light"/>
      <w:color w:val="000000"/>
    </w:r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rsid w:val="00E32588"/>
  </w:style>
  <w:style w:type="character" w:customStyle="1" w:styleId="hps">
    <w:name w:val="hps"/>
    <w:basedOn w:val="Policepardfaut"/>
    <w:rsid w:val="00E32588"/>
    <w:rPr>
      <w:rFonts w:cs="Times New Roman"/>
    </w:rPr>
  </w:style>
  <w:style w:type="character" w:styleId="Marquedecommentaire">
    <w:name w:val="annotation reference"/>
    <w:basedOn w:val="Policepardfaut"/>
    <w:uiPriority w:val="99"/>
    <w:semiHidden/>
    <w:unhideWhenUsed/>
    <w:rsid w:val="00D32B57"/>
    <w:rPr>
      <w:sz w:val="16"/>
      <w:szCs w:val="16"/>
    </w:rPr>
  </w:style>
  <w:style w:type="paragraph" w:styleId="Commentaire">
    <w:name w:val="annotation text"/>
    <w:basedOn w:val="Normal"/>
    <w:link w:val="CommentaireCar"/>
    <w:uiPriority w:val="99"/>
    <w:unhideWhenUsed/>
    <w:rsid w:val="00D32B57"/>
    <w:pPr>
      <w:spacing w:line="240" w:lineRule="auto"/>
    </w:pPr>
    <w:rPr>
      <w:sz w:val="20"/>
      <w:szCs w:val="20"/>
    </w:rPr>
  </w:style>
  <w:style w:type="character" w:customStyle="1" w:styleId="CommentaireCar">
    <w:name w:val="Commentaire Car"/>
    <w:basedOn w:val="Policepardfaut"/>
    <w:link w:val="Commentaire"/>
    <w:uiPriority w:val="99"/>
    <w:rsid w:val="00D32B57"/>
    <w:rPr>
      <w:sz w:val="20"/>
      <w:szCs w:val="20"/>
    </w:rPr>
  </w:style>
  <w:style w:type="paragraph" w:styleId="Objetducommentaire">
    <w:name w:val="annotation subject"/>
    <w:basedOn w:val="Commentaire"/>
    <w:next w:val="Commentaire"/>
    <w:link w:val="ObjetducommentaireCar"/>
    <w:uiPriority w:val="99"/>
    <w:semiHidden/>
    <w:unhideWhenUsed/>
    <w:rsid w:val="00D32B57"/>
    <w:rPr>
      <w:b/>
      <w:bCs/>
    </w:rPr>
  </w:style>
  <w:style w:type="character" w:customStyle="1" w:styleId="ObjetducommentaireCar">
    <w:name w:val="Objet du commentaire Car"/>
    <w:basedOn w:val="CommentaireCar"/>
    <w:link w:val="Objetducommentaire"/>
    <w:uiPriority w:val="99"/>
    <w:semiHidden/>
    <w:rsid w:val="00D32B57"/>
    <w:rPr>
      <w:b/>
      <w:bCs/>
      <w:sz w:val="20"/>
      <w:szCs w:val="20"/>
    </w:rPr>
  </w:style>
  <w:style w:type="paragraph" w:styleId="Textedebulles">
    <w:name w:val="Balloon Text"/>
    <w:basedOn w:val="Normal"/>
    <w:link w:val="TextedebullesCar"/>
    <w:uiPriority w:val="99"/>
    <w:semiHidden/>
    <w:unhideWhenUsed/>
    <w:rsid w:val="00D32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B57"/>
    <w:rPr>
      <w:rFonts w:ascii="Tahoma" w:hAnsi="Tahoma" w:cs="Tahoma"/>
      <w:sz w:val="16"/>
      <w:szCs w:val="16"/>
    </w:rPr>
  </w:style>
  <w:style w:type="paragraph" w:customStyle="1" w:styleId="Default">
    <w:name w:val="Default"/>
    <w:rsid w:val="00E43D72"/>
    <w:pPr>
      <w:autoSpaceDE w:val="0"/>
      <w:autoSpaceDN w:val="0"/>
      <w:adjustRightInd w:val="0"/>
      <w:spacing w:after="0" w:line="240" w:lineRule="auto"/>
    </w:pPr>
    <w:rPr>
      <w:rFonts w:ascii="Calibri" w:hAnsi="Calibri" w:cs="Calibri"/>
      <w:color w:val="000000"/>
      <w:sz w:val="24"/>
      <w:szCs w:val="24"/>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6A0EC1"/>
    <w:pPr>
      <w:spacing w:after="160" w:line="240" w:lineRule="exact"/>
      <w:ind w:left="2160"/>
      <w:jc w:val="both"/>
    </w:pPr>
    <w:rPr>
      <w:rFonts w:cs="Times New Roman"/>
      <w:vertAlign w:val="superscript"/>
    </w:rPr>
  </w:style>
  <w:style w:type="paragraph" w:styleId="Corpsdetexte">
    <w:name w:val="Body Text"/>
    <w:basedOn w:val="Normal"/>
    <w:link w:val="CorpsdetexteCar"/>
    <w:uiPriority w:val="1"/>
    <w:qFormat/>
    <w:rsid w:val="00642B17"/>
    <w:pPr>
      <w:widowControl w:val="0"/>
      <w:autoSpaceDE w:val="0"/>
      <w:autoSpaceDN w:val="0"/>
      <w:spacing w:after="0" w:line="240" w:lineRule="auto"/>
    </w:pPr>
    <w:rPr>
      <w:rFonts w:ascii="Trebuchet MS" w:eastAsia="Trebuchet MS" w:hAnsi="Trebuchet MS" w:cs="Trebuchet MS"/>
      <w:sz w:val="23"/>
      <w:szCs w:val="23"/>
      <w:lang w:val="en-US"/>
    </w:rPr>
  </w:style>
  <w:style w:type="character" w:customStyle="1" w:styleId="CorpsdetexteCar">
    <w:name w:val="Corps de texte Car"/>
    <w:basedOn w:val="Policepardfaut"/>
    <w:link w:val="Corpsdetexte"/>
    <w:uiPriority w:val="1"/>
    <w:rsid w:val="00642B17"/>
    <w:rPr>
      <w:rFonts w:ascii="Trebuchet MS" w:eastAsia="Trebuchet MS" w:hAnsi="Trebuchet MS" w:cs="Trebuchet MS"/>
      <w:sz w:val="23"/>
      <w:szCs w:val="23"/>
      <w:lang w:val="en-US"/>
    </w:rPr>
  </w:style>
  <w:style w:type="paragraph" w:styleId="NormalWeb">
    <w:name w:val="Normal (Web)"/>
    <w:basedOn w:val="Normal"/>
    <w:uiPriority w:val="99"/>
    <w:semiHidden/>
    <w:unhideWhenUsed/>
    <w:rsid w:val="009D71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054140"/>
    <w:rPr>
      <w:rFonts w:asciiTheme="majorHAnsi" w:eastAsiaTheme="majorEastAsia" w:hAnsiTheme="majorHAnsi" w:cstheme="majorBidi"/>
      <w:b/>
      <w:bCs/>
      <w:color w:val="4F81BD" w:themeColor="accent1"/>
      <w:sz w:val="24"/>
      <w:szCs w:val="24"/>
    </w:rPr>
  </w:style>
  <w:style w:type="paragraph" w:styleId="Lgende">
    <w:name w:val="caption"/>
    <w:aliases w:val="Légende1,Légende21,Légende111,Car111,Car Car Car Car Car Car Car Car Car111,Car Car Car Car Car111,Car Car Car Car111,Car Car Car Car Car Car Car Car211,Car Car Car Car Car Car Car Car Car Car Car Car Car Car Car11"/>
    <w:basedOn w:val="Normal"/>
    <w:next w:val="Normal"/>
    <w:link w:val="LgendeCar"/>
    <w:uiPriority w:val="35"/>
    <w:qFormat/>
    <w:rsid w:val="004B5292"/>
    <w:pPr>
      <w:tabs>
        <w:tab w:val="left" w:pos="0"/>
      </w:tabs>
      <w:spacing w:before="100" w:after="100" w:line="240" w:lineRule="auto"/>
      <w:ind w:right="50"/>
      <w:jc w:val="both"/>
    </w:pPr>
    <w:rPr>
      <w:rFonts w:ascii="Arial" w:eastAsia="Times New Roman" w:hAnsi="Arial" w:cs="Times New Roman"/>
      <w:b/>
      <w:bCs/>
      <w:sz w:val="24"/>
      <w:szCs w:val="24"/>
      <w:lang w:eastAsia="fr-FR"/>
    </w:rPr>
  </w:style>
  <w:style w:type="character" w:customStyle="1" w:styleId="LgendeCar">
    <w:name w:val="Légende Car"/>
    <w:aliases w:val="Légende1 Car,Légende21 Car,Légende111 Car,Car111 Car,Car Car Car Car Car Car Car Car Car111 Car,Car Car Car Car Car111 Car,Car Car Car Car111 Car,Car Car Car Car Car Car Car Car211 Car"/>
    <w:link w:val="Lgende"/>
    <w:uiPriority w:val="35"/>
    <w:rsid w:val="004B5292"/>
    <w:rPr>
      <w:rFonts w:ascii="Arial" w:eastAsia="Times New Roman" w:hAnsi="Arial" w:cs="Times New Roman"/>
      <w:b/>
      <w:bCs/>
      <w:sz w:val="24"/>
      <w:szCs w:val="24"/>
      <w:lang w:eastAsia="fr-FR"/>
    </w:rPr>
  </w:style>
  <w:style w:type="paragraph" w:styleId="Titre">
    <w:name w:val="Title"/>
    <w:basedOn w:val="Normal"/>
    <w:next w:val="Normal"/>
    <w:link w:val="TitreCar"/>
    <w:uiPriority w:val="10"/>
    <w:qFormat/>
    <w:rsid w:val="003C558F"/>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reCar">
    <w:name w:val="Titre Car"/>
    <w:basedOn w:val="Policepardfaut"/>
    <w:link w:val="Titre"/>
    <w:uiPriority w:val="10"/>
    <w:rsid w:val="003C558F"/>
    <w:rPr>
      <w:rFonts w:asciiTheme="majorHAnsi" w:eastAsiaTheme="majorEastAsia" w:hAnsiTheme="majorHAnsi" w:cstheme="majorBidi"/>
      <w:spacing w:val="-10"/>
      <w:kern w:val="28"/>
      <w:sz w:val="56"/>
      <w:szCs w:val="56"/>
      <w:lang w:val="en-US"/>
    </w:rPr>
  </w:style>
  <w:style w:type="paragraph" w:styleId="En-ttedetabledesmatires">
    <w:name w:val="TOC Heading"/>
    <w:basedOn w:val="Titre1"/>
    <w:next w:val="Normal"/>
    <w:uiPriority w:val="39"/>
    <w:unhideWhenUsed/>
    <w:qFormat/>
    <w:rsid w:val="000142F6"/>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0142F6"/>
    <w:pPr>
      <w:spacing w:after="100"/>
    </w:pPr>
  </w:style>
  <w:style w:type="paragraph" w:styleId="TM2">
    <w:name w:val="toc 2"/>
    <w:basedOn w:val="Normal"/>
    <w:next w:val="Normal"/>
    <w:autoRedefine/>
    <w:uiPriority w:val="39"/>
    <w:unhideWhenUsed/>
    <w:rsid w:val="000142F6"/>
    <w:pPr>
      <w:spacing w:after="100"/>
      <w:ind w:left="220"/>
    </w:pPr>
  </w:style>
  <w:style w:type="character" w:styleId="Lienhypertexte">
    <w:name w:val="Hyperlink"/>
    <w:basedOn w:val="Policepardfaut"/>
    <w:uiPriority w:val="99"/>
    <w:unhideWhenUsed/>
    <w:rsid w:val="00014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265">
      <w:bodyDiv w:val="1"/>
      <w:marLeft w:val="0"/>
      <w:marRight w:val="0"/>
      <w:marTop w:val="0"/>
      <w:marBottom w:val="0"/>
      <w:divBdr>
        <w:top w:val="none" w:sz="0" w:space="0" w:color="auto"/>
        <w:left w:val="none" w:sz="0" w:space="0" w:color="auto"/>
        <w:bottom w:val="none" w:sz="0" w:space="0" w:color="auto"/>
        <w:right w:val="none" w:sz="0" w:space="0" w:color="auto"/>
      </w:divBdr>
      <w:divsChild>
        <w:div w:id="253516410">
          <w:marLeft w:val="547"/>
          <w:marRight w:val="0"/>
          <w:marTop w:val="144"/>
          <w:marBottom w:val="0"/>
          <w:divBdr>
            <w:top w:val="none" w:sz="0" w:space="0" w:color="auto"/>
            <w:left w:val="none" w:sz="0" w:space="0" w:color="auto"/>
            <w:bottom w:val="none" w:sz="0" w:space="0" w:color="auto"/>
            <w:right w:val="none" w:sz="0" w:space="0" w:color="auto"/>
          </w:divBdr>
        </w:div>
        <w:div w:id="703097847">
          <w:marLeft w:val="547"/>
          <w:marRight w:val="0"/>
          <w:marTop w:val="144"/>
          <w:marBottom w:val="360"/>
          <w:divBdr>
            <w:top w:val="none" w:sz="0" w:space="0" w:color="auto"/>
            <w:left w:val="none" w:sz="0" w:space="0" w:color="auto"/>
            <w:bottom w:val="none" w:sz="0" w:space="0" w:color="auto"/>
            <w:right w:val="none" w:sz="0" w:space="0" w:color="auto"/>
          </w:divBdr>
        </w:div>
        <w:div w:id="1469546481">
          <w:marLeft w:val="547"/>
          <w:marRight w:val="0"/>
          <w:marTop w:val="144"/>
          <w:marBottom w:val="360"/>
          <w:divBdr>
            <w:top w:val="none" w:sz="0" w:space="0" w:color="auto"/>
            <w:left w:val="none" w:sz="0" w:space="0" w:color="auto"/>
            <w:bottom w:val="none" w:sz="0" w:space="0" w:color="auto"/>
            <w:right w:val="none" w:sz="0" w:space="0" w:color="auto"/>
          </w:divBdr>
        </w:div>
      </w:divsChild>
    </w:div>
    <w:div w:id="346375022">
      <w:bodyDiv w:val="1"/>
      <w:marLeft w:val="0"/>
      <w:marRight w:val="0"/>
      <w:marTop w:val="0"/>
      <w:marBottom w:val="0"/>
      <w:divBdr>
        <w:top w:val="none" w:sz="0" w:space="0" w:color="auto"/>
        <w:left w:val="none" w:sz="0" w:space="0" w:color="auto"/>
        <w:bottom w:val="none" w:sz="0" w:space="0" w:color="auto"/>
        <w:right w:val="none" w:sz="0" w:space="0" w:color="auto"/>
      </w:divBdr>
    </w:div>
    <w:div w:id="392314197">
      <w:bodyDiv w:val="1"/>
      <w:marLeft w:val="0"/>
      <w:marRight w:val="0"/>
      <w:marTop w:val="0"/>
      <w:marBottom w:val="0"/>
      <w:divBdr>
        <w:top w:val="none" w:sz="0" w:space="0" w:color="auto"/>
        <w:left w:val="none" w:sz="0" w:space="0" w:color="auto"/>
        <w:bottom w:val="none" w:sz="0" w:space="0" w:color="auto"/>
        <w:right w:val="none" w:sz="0" w:space="0" w:color="auto"/>
      </w:divBdr>
    </w:div>
    <w:div w:id="449477324">
      <w:bodyDiv w:val="1"/>
      <w:marLeft w:val="0"/>
      <w:marRight w:val="0"/>
      <w:marTop w:val="0"/>
      <w:marBottom w:val="0"/>
      <w:divBdr>
        <w:top w:val="none" w:sz="0" w:space="0" w:color="auto"/>
        <w:left w:val="none" w:sz="0" w:space="0" w:color="auto"/>
        <w:bottom w:val="none" w:sz="0" w:space="0" w:color="auto"/>
        <w:right w:val="none" w:sz="0" w:space="0" w:color="auto"/>
      </w:divBdr>
      <w:divsChild>
        <w:div w:id="36439478">
          <w:marLeft w:val="1699"/>
          <w:marRight w:val="0"/>
          <w:marTop w:val="134"/>
          <w:marBottom w:val="0"/>
          <w:divBdr>
            <w:top w:val="none" w:sz="0" w:space="0" w:color="auto"/>
            <w:left w:val="none" w:sz="0" w:space="0" w:color="auto"/>
            <w:bottom w:val="none" w:sz="0" w:space="0" w:color="auto"/>
            <w:right w:val="none" w:sz="0" w:space="0" w:color="auto"/>
          </w:divBdr>
        </w:div>
        <w:div w:id="189607445">
          <w:marLeft w:val="706"/>
          <w:marRight w:val="0"/>
          <w:marTop w:val="154"/>
          <w:marBottom w:val="0"/>
          <w:divBdr>
            <w:top w:val="none" w:sz="0" w:space="0" w:color="auto"/>
            <w:left w:val="none" w:sz="0" w:space="0" w:color="auto"/>
            <w:bottom w:val="none" w:sz="0" w:space="0" w:color="auto"/>
            <w:right w:val="none" w:sz="0" w:space="0" w:color="auto"/>
          </w:divBdr>
        </w:div>
        <w:div w:id="525487589">
          <w:marLeft w:val="706"/>
          <w:marRight w:val="0"/>
          <w:marTop w:val="154"/>
          <w:marBottom w:val="0"/>
          <w:divBdr>
            <w:top w:val="none" w:sz="0" w:space="0" w:color="auto"/>
            <w:left w:val="none" w:sz="0" w:space="0" w:color="auto"/>
            <w:bottom w:val="none" w:sz="0" w:space="0" w:color="auto"/>
            <w:right w:val="none" w:sz="0" w:space="0" w:color="auto"/>
          </w:divBdr>
        </w:div>
        <w:div w:id="972566382">
          <w:marLeft w:val="1699"/>
          <w:marRight w:val="0"/>
          <w:marTop w:val="134"/>
          <w:marBottom w:val="0"/>
          <w:divBdr>
            <w:top w:val="none" w:sz="0" w:space="0" w:color="auto"/>
            <w:left w:val="none" w:sz="0" w:space="0" w:color="auto"/>
            <w:bottom w:val="none" w:sz="0" w:space="0" w:color="auto"/>
            <w:right w:val="none" w:sz="0" w:space="0" w:color="auto"/>
          </w:divBdr>
        </w:div>
        <w:div w:id="1106583478">
          <w:marLeft w:val="1699"/>
          <w:marRight w:val="0"/>
          <w:marTop w:val="134"/>
          <w:marBottom w:val="0"/>
          <w:divBdr>
            <w:top w:val="none" w:sz="0" w:space="0" w:color="auto"/>
            <w:left w:val="none" w:sz="0" w:space="0" w:color="auto"/>
            <w:bottom w:val="none" w:sz="0" w:space="0" w:color="auto"/>
            <w:right w:val="none" w:sz="0" w:space="0" w:color="auto"/>
          </w:divBdr>
        </w:div>
      </w:divsChild>
    </w:div>
    <w:div w:id="483475438">
      <w:bodyDiv w:val="1"/>
      <w:marLeft w:val="0"/>
      <w:marRight w:val="0"/>
      <w:marTop w:val="0"/>
      <w:marBottom w:val="0"/>
      <w:divBdr>
        <w:top w:val="none" w:sz="0" w:space="0" w:color="auto"/>
        <w:left w:val="none" w:sz="0" w:space="0" w:color="auto"/>
        <w:bottom w:val="none" w:sz="0" w:space="0" w:color="auto"/>
        <w:right w:val="none" w:sz="0" w:space="0" w:color="auto"/>
      </w:divBdr>
      <w:divsChild>
        <w:div w:id="478806376">
          <w:marLeft w:val="547"/>
          <w:marRight w:val="0"/>
          <w:marTop w:val="154"/>
          <w:marBottom w:val="120"/>
          <w:divBdr>
            <w:top w:val="none" w:sz="0" w:space="0" w:color="auto"/>
            <w:left w:val="none" w:sz="0" w:space="0" w:color="auto"/>
            <w:bottom w:val="none" w:sz="0" w:space="0" w:color="auto"/>
            <w:right w:val="none" w:sz="0" w:space="0" w:color="auto"/>
          </w:divBdr>
        </w:div>
        <w:div w:id="521364664">
          <w:marLeft w:val="1166"/>
          <w:marRight w:val="0"/>
          <w:marTop w:val="154"/>
          <w:marBottom w:val="240"/>
          <w:divBdr>
            <w:top w:val="none" w:sz="0" w:space="0" w:color="auto"/>
            <w:left w:val="none" w:sz="0" w:space="0" w:color="auto"/>
            <w:bottom w:val="none" w:sz="0" w:space="0" w:color="auto"/>
            <w:right w:val="none" w:sz="0" w:space="0" w:color="auto"/>
          </w:divBdr>
        </w:div>
        <w:div w:id="853424407">
          <w:marLeft w:val="1166"/>
          <w:marRight w:val="0"/>
          <w:marTop w:val="154"/>
          <w:marBottom w:val="360"/>
          <w:divBdr>
            <w:top w:val="none" w:sz="0" w:space="0" w:color="auto"/>
            <w:left w:val="none" w:sz="0" w:space="0" w:color="auto"/>
            <w:bottom w:val="none" w:sz="0" w:space="0" w:color="auto"/>
            <w:right w:val="none" w:sz="0" w:space="0" w:color="auto"/>
          </w:divBdr>
        </w:div>
      </w:divsChild>
    </w:div>
    <w:div w:id="554897532">
      <w:bodyDiv w:val="1"/>
      <w:marLeft w:val="0"/>
      <w:marRight w:val="0"/>
      <w:marTop w:val="0"/>
      <w:marBottom w:val="0"/>
      <w:divBdr>
        <w:top w:val="none" w:sz="0" w:space="0" w:color="auto"/>
        <w:left w:val="none" w:sz="0" w:space="0" w:color="auto"/>
        <w:bottom w:val="none" w:sz="0" w:space="0" w:color="auto"/>
        <w:right w:val="none" w:sz="0" w:space="0" w:color="auto"/>
      </w:divBdr>
      <w:divsChild>
        <w:div w:id="64765577">
          <w:marLeft w:val="562"/>
          <w:marRight w:val="0"/>
          <w:marTop w:val="154"/>
          <w:marBottom w:val="0"/>
          <w:divBdr>
            <w:top w:val="none" w:sz="0" w:space="0" w:color="auto"/>
            <w:left w:val="none" w:sz="0" w:space="0" w:color="auto"/>
            <w:bottom w:val="none" w:sz="0" w:space="0" w:color="auto"/>
            <w:right w:val="none" w:sz="0" w:space="0" w:color="auto"/>
          </w:divBdr>
        </w:div>
        <w:div w:id="2133132690">
          <w:marLeft w:val="562"/>
          <w:marRight w:val="0"/>
          <w:marTop w:val="154"/>
          <w:marBottom w:val="360"/>
          <w:divBdr>
            <w:top w:val="none" w:sz="0" w:space="0" w:color="auto"/>
            <w:left w:val="none" w:sz="0" w:space="0" w:color="auto"/>
            <w:bottom w:val="none" w:sz="0" w:space="0" w:color="auto"/>
            <w:right w:val="none" w:sz="0" w:space="0" w:color="auto"/>
          </w:divBdr>
        </w:div>
      </w:divsChild>
    </w:div>
    <w:div w:id="679625599">
      <w:bodyDiv w:val="1"/>
      <w:marLeft w:val="0"/>
      <w:marRight w:val="0"/>
      <w:marTop w:val="0"/>
      <w:marBottom w:val="0"/>
      <w:divBdr>
        <w:top w:val="none" w:sz="0" w:space="0" w:color="auto"/>
        <w:left w:val="none" w:sz="0" w:space="0" w:color="auto"/>
        <w:bottom w:val="none" w:sz="0" w:space="0" w:color="auto"/>
        <w:right w:val="none" w:sz="0" w:space="0" w:color="auto"/>
      </w:divBdr>
      <w:divsChild>
        <w:div w:id="802846020">
          <w:marLeft w:val="1166"/>
          <w:marRight w:val="0"/>
          <w:marTop w:val="154"/>
          <w:marBottom w:val="360"/>
          <w:divBdr>
            <w:top w:val="none" w:sz="0" w:space="0" w:color="auto"/>
            <w:left w:val="none" w:sz="0" w:space="0" w:color="auto"/>
            <w:bottom w:val="none" w:sz="0" w:space="0" w:color="auto"/>
            <w:right w:val="none" w:sz="0" w:space="0" w:color="auto"/>
          </w:divBdr>
        </w:div>
        <w:div w:id="842473328">
          <w:marLeft w:val="1166"/>
          <w:marRight w:val="0"/>
          <w:marTop w:val="154"/>
          <w:marBottom w:val="0"/>
          <w:divBdr>
            <w:top w:val="none" w:sz="0" w:space="0" w:color="auto"/>
            <w:left w:val="none" w:sz="0" w:space="0" w:color="auto"/>
            <w:bottom w:val="none" w:sz="0" w:space="0" w:color="auto"/>
            <w:right w:val="none" w:sz="0" w:space="0" w:color="auto"/>
          </w:divBdr>
        </w:div>
        <w:div w:id="1586259439">
          <w:marLeft w:val="547"/>
          <w:marRight w:val="0"/>
          <w:marTop w:val="154"/>
          <w:marBottom w:val="120"/>
          <w:divBdr>
            <w:top w:val="none" w:sz="0" w:space="0" w:color="auto"/>
            <w:left w:val="none" w:sz="0" w:space="0" w:color="auto"/>
            <w:bottom w:val="none" w:sz="0" w:space="0" w:color="auto"/>
            <w:right w:val="none" w:sz="0" w:space="0" w:color="auto"/>
          </w:divBdr>
        </w:div>
      </w:divsChild>
    </w:div>
    <w:div w:id="755828937">
      <w:bodyDiv w:val="1"/>
      <w:marLeft w:val="0"/>
      <w:marRight w:val="0"/>
      <w:marTop w:val="0"/>
      <w:marBottom w:val="0"/>
      <w:divBdr>
        <w:top w:val="none" w:sz="0" w:space="0" w:color="auto"/>
        <w:left w:val="none" w:sz="0" w:space="0" w:color="auto"/>
        <w:bottom w:val="none" w:sz="0" w:space="0" w:color="auto"/>
        <w:right w:val="none" w:sz="0" w:space="0" w:color="auto"/>
      </w:divBdr>
      <w:divsChild>
        <w:div w:id="1377007032">
          <w:marLeft w:val="2117"/>
          <w:marRight w:val="0"/>
          <w:marTop w:val="134"/>
          <w:marBottom w:val="0"/>
          <w:divBdr>
            <w:top w:val="none" w:sz="0" w:space="0" w:color="auto"/>
            <w:left w:val="none" w:sz="0" w:space="0" w:color="auto"/>
            <w:bottom w:val="none" w:sz="0" w:space="0" w:color="auto"/>
            <w:right w:val="none" w:sz="0" w:space="0" w:color="auto"/>
          </w:divBdr>
        </w:div>
        <w:div w:id="1391999845">
          <w:marLeft w:val="691"/>
          <w:marRight w:val="0"/>
          <w:marTop w:val="154"/>
          <w:marBottom w:val="120"/>
          <w:divBdr>
            <w:top w:val="none" w:sz="0" w:space="0" w:color="auto"/>
            <w:left w:val="none" w:sz="0" w:space="0" w:color="auto"/>
            <w:bottom w:val="none" w:sz="0" w:space="0" w:color="auto"/>
            <w:right w:val="none" w:sz="0" w:space="0" w:color="auto"/>
          </w:divBdr>
        </w:div>
        <w:div w:id="1959994081">
          <w:marLeft w:val="2117"/>
          <w:marRight w:val="0"/>
          <w:marTop w:val="134"/>
          <w:marBottom w:val="240"/>
          <w:divBdr>
            <w:top w:val="none" w:sz="0" w:space="0" w:color="auto"/>
            <w:left w:val="none" w:sz="0" w:space="0" w:color="auto"/>
            <w:bottom w:val="none" w:sz="0" w:space="0" w:color="auto"/>
            <w:right w:val="none" w:sz="0" w:space="0" w:color="auto"/>
          </w:divBdr>
        </w:div>
      </w:divsChild>
    </w:div>
    <w:div w:id="820122433">
      <w:bodyDiv w:val="1"/>
      <w:marLeft w:val="0"/>
      <w:marRight w:val="0"/>
      <w:marTop w:val="0"/>
      <w:marBottom w:val="0"/>
      <w:divBdr>
        <w:top w:val="none" w:sz="0" w:space="0" w:color="auto"/>
        <w:left w:val="none" w:sz="0" w:space="0" w:color="auto"/>
        <w:bottom w:val="none" w:sz="0" w:space="0" w:color="auto"/>
        <w:right w:val="none" w:sz="0" w:space="0" w:color="auto"/>
      </w:divBdr>
    </w:div>
    <w:div w:id="857964205">
      <w:bodyDiv w:val="1"/>
      <w:marLeft w:val="0"/>
      <w:marRight w:val="0"/>
      <w:marTop w:val="0"/>
      <w:marBottom w:val="0"/>
      <w:divBdr>
        <w:top w:val="none" w:sz="0" w:space="0" w:color="auto"/>
        <w:left w:val="none" w:sz="0" w:space="0" w:color="auto"/>
        <w:bottom w:val="none" w:sz="0" w:space="0" w:color="auto"/>
        <w:right w:val="none" w:sz="0" w:space="0" w:color="auto"/>
      </w:divBdr>
    </w:div>
    <w:div w:id="987251550">
      <w:bodyDiv w:val="1"/>
      <w:marLeft w:val="0"/>
      <w:marRight w:val="0"/>
      <w:marTop w:val="0"/>
      <w:marBottom w:val="0"/>
      <w:divBdr>
        <w:top w:val="none" w:sz="0" w:space="0" w:color="auto"/>
        <w:left w:val="none" w:sz="0" w:space="0" w:color="auto"/>
        <w:bottom w:val="none" w:sz="0" w:space="0" w:color="auto"/>
        <w:right w:val="none" w:sz="0" w:space="0" w:color="auto"/>
      </w:divBdr>
    </w:div>
    <w:div w:id="995230070">
      <w:bodyDiv w:val="1"/>
      <w:marLeft w:val="0"/>
      <w:marRight w:val="0"/>
      <w:marTop w:val="0"/>
      <w:marBottom w:val="0"/>
      <w:divBdr>
        <w:top w:val="none" w:sz="0" w:space="0" w:color="auto"/>
        <w:left w:val="none" w:sz="0" w:space="0" w:color="auto"/>
        <w:bottom w:val="none" w:sz="0" w:space="0" w:color="auto"/>
        <w:right w:val="none" w:sz="0" w:space="0" w:color="auto"/>
      </w:divBdr>
      <w:divsChild>
        <w:div w:id="1075785069">
          <w:marLeft w:val="1843"/>
          <w:marRight w:val="0"/>
          <w:marTop w:val="134"/>
          <w:marBottom w:val="240"/>
          <w:divBdr>
            <w:top w:val="none" w:sz="0" w:space="0" w:color="auto"/>
            <w:left w:val="none" w:sz="0" w:space="0" w:color="auto"/>
            <w:bottom w:val="none" w:sz="0" w:space="0" w:color="auto"/>
            <w:right w:val="none" w:sz="0" w:space="0" w:color="auto"/>
          </w:divBdr>
        </w:div>
        <w:div w:id="1993101209">
          <w:marLeft w:val="1843"/>
          <w:marRight w:val="0"/>
          <w:marTop w:val="134"/>
          <w:marBottom w:val="0"/>
          <w:divBdr>
            <w:top w:val="none" w:sz="0" w:space="0" w:color="auto"/>
            <w:left w:val="none" w:sz="0" w:space="0" w:color="auto"/>
            <w:bottom w:val="none" w:sz="0" w:space="0" w:color="auto"/>
            <w:right w:val="none" w:sz="0" w:space="0" w:color="auto"/>
          </w:divBdr>
        </w:div>
      </w:divsChild>
    </w:div>
    <w:div w:id="1128163530">
      <w:bodyDiv w:val="1"/>
      <w:marLeft w:val="0"/>
      <w:marRight w:val="0"/>
      <w:marTop w:val="0"/>
      <w:marBottom w:val="0"/>
      <w:divBdr>
        <w:top w:val="none" w:sz="0" w:space="0" w:color="auto"/>
        <w:left w:val="none" w:sz="0" w:space="0" w:color="auto"/>
        <w:bottom w:val="none" w:sz="0" w:space="0" w:color="auto"/>
        <w:right w:val="none" w:sz="0" w:space="0" w:color="auto"/>
      </w:divBdr>
    </w:div>
    <w:div w:id="1206680152">
      <w:bodyDiv w:val="1"/>
      <w:marLeft w:val="0"/>
      <w:marRight w:val="0"/>
      <w:marTop w:val="0"/>
      <w:marBottom w:val="0"/>
      <w:divBdr>
        <w:top w:val="none" w:sz="0" w:space="0" w:color="auto"/>
        <w:left w:val="none" w:sz="0" w:space="0" w:color="auto"/>
        <w:bottom w:val="none" w:sz="0" w:space="0" w:color="auto"/>
        <w:right w:val="none" w:sz="0" w:space="0" w:color="auto"/>
      </w:divBdr>
      <w:divsChild>
        <w:div w:id="988897936">
          <w:marLeft w:val="706"/>
          <w:marRight w:val="0"/>
          <w:marTop w:val="154"/>
          <w:marBottom w:val="0"/>
          <w:divBdr>
            <w:top w:val="none" w:sz="0" w:space="0" w:color="auto"/>
            <w:left w:val="none" w:sz="0" w:space="0" w:color="auto"/>
            <w:bottom w:val="none" w:sz="0" w:space="0" w:color="auto"/>
            <w:right w:val="none" w:sz="0" w:space="0" w:color="auto"/>
          </w:divBdr>
        </w:div>
      </w:divsChild>
    </w:div>
    <w:div w:id="1288243188">
      <w:bodyDiv w:val="1"/>
      <w:marLeft w:val="0"/>
      <w:marRight w:val="0"/>
      <w:marTop w:val="0"/>
      <w:marBottom w:val="0"/>
      <w:divBdr>
        <w:top w:val="none" w:sz="0" w:space="0" w:color="auto"/>
        <w:left w:val="none" w:sz="0" w:space="0" w:color="auto"/>
        <w:bottom w:val="none" w:sz="0" w:space="0" w:color="auto"/>
        <w:right w:val="none" w:sz="0" w:space="0" w:color="auto"/>
      </w:divBdr>
    </w:div>
    <w:div w:id="1578704635">
      <w:bodyDiv w:val="1"/>
      <w:marLeft w:val="0"/>
      <w:marRight w:val="0"/>
      <w:marTop w:val="0"/>
      <w:marBottom w:val="0"/>
      <w:divBdr>
        <w:top w:val="none" w:sz="0" w:space="0" w:color="auto"/>
        <w:left w:val="none" w:sz="0" w:space="0" w:color="auto"/>
        <w:bottom w:val="none" w:sz="0" w:space="0" w:color="auto"/>
        <w:right w:val="none" w:sz="0" w:space="0" w:color="auto"/>
      </w:divBdr>
      <w:divsChild>
        <w:div w:id="288780724">
          <w:marLeft w:val="1166"/>
          <w:marRight w:val="0"/>
          <w:marTop w:val="134"/>
          <w:marBottom w:val="360"/>
          <w:divBdr>
            <w:top w:val="none" w:sz="0" w:space="0" w:color="auto"/>
            <w:left w:val="none" w:sz="0" w:space="0" w:color="auto"/>
            <w:bottom w:val="none" w:sz="0" w:space="0" w:color="auto"/>
            <w:right w:val="none" w:sz="0" w:space="0" w:color="auto"/>
          </w:divBdr>
        </w:div>
        <w:div w:id="402460015">
          <w:marLeft w:val="547"/>
          <w:marRight w:val="0"/>
          <w:marTop w:val="154"/>
          <w:marBottom w:val="120"/>
          <w:divBdr>
            <w:top w:val="none" w:sz="0" w:space="0" w:color="auto"/>
            <w:left w:val="none" w:sz="0" w:space="0" w:color="auto"/>
            <w:bottom w:val="none" w:sz="0" w:space="0" w:color="auto"/>
            <w:right w:val="none" w:sz="0" w:space="0" w:color="auto"/>
          </w:divBdr>
        </w:div>
        <w:div w:id="466778246">
          <w:marLeft w:val="1166"/>
          <w:marRight w:val="0"/>
          <w:marTop w:val="134"/>
          <w:marBottom w:val="0"/>
          <w:divBdr>
            <w:top w:val="none" w:sz="0" w:space="0" w:color="auto"/>
            <w:left w:val="none" w:sz="0" w:space="0" w:color="auto"/>
            <w:bottom w:val="none" w:sz="0" w:space="0" w:color="auto"/>
            <w:right w:val="none" w:sz="0" w:space="0" w:color="auto"/>
          </w:divBdr>
        </w:div>
        <w:div w:id="750272391">
          <w:marLeft w:val="1166"/>
          <w:marRight w:val="0"/>
          <w:marTop w:val="154"/>
          <w:marBottom w:val="360"/>
          <w:divBdr>
            <w:top w:val="none" w:sz="0" w:space="0" w:color="auto"/>
            <w:left w:val="none" w:sz="0" w:space="0" w:color="auto"/>
            <w:bottom w:val="none" w:sz="0" w:space="0" w:color="auto"/>
            <w:right w:val="none" w:sz="0" w:space="0" w:color="auto"/>
          </w:divBdr>
        </w:div>
        <w:div w:id="2097360259">
          <w:marLeft w:val="1166"/>
          <w:marRight w:val="0"/>
          <w:marTop w:val="134"/>
          <w:marBottom w:val="360"/>
          <w:divBdr>
            <w:top w:val="none" w:sz="0" w:space="0" w:color="auto"/>
            <w:left w:val="none" w:sz="0" w:space="0" w:color="auto"/>
            <w:bottom w:val="none" w:sz="0" w:space="0" w:color="auto"/>
            <w:right w:val="none" w:sz="0" w:space="0" w:color="auto"/>
          </w:divBdr>
        </w:div>
      </w:divsChild>
    </w:div>
    <w:div w:id="1604649828">
      <w:bodyDiv w:val="1"/>
      <w:marLeft w:val="0"/>
      <w:marRight w:val="0"/>
      <w:marTop w:val="0"/>
      <w:marBottom w:val="0"/>
      <w:divBdr>
        <w:top w:val="none" w:sz="0" w:space="0" w:color="auto"/>
        <w:left w:val="none" w:sz="0" w:space="0" w:color="auto"/>
        <w:bottom w:val="none" w:sz="0" w:space="0" w:color="auto"/>
        <w:right w:val="none" w:sz="0" w:space="0" w:color="auto"/>
      </w:divBdr>
      <w:divsChild>
        <w:div w:id="41634997">
          <w:marLeft w:val="1282"/>
          <w:marRight w:val="0"/>
          <w:marTop w:val="154"/>
          <w:marBottom w:val="0"/>
          <w:divBdr>
            <w:top w:val="none" w:sz="0" w:space="0" w:color="auto"/>
            <w:left w:val="none" w:sz="0" w:space="0" w:color="auto"/>
            <w:bottom w:val="none" w:sz="0" w:space="0" w:color="auto"/>
            <w:right w:val="none" w:sz="0" w:space="0" w:color="auto"/>
          </w:divBdr>
        </w:div>
        <w:div w:id="323439007">
          <w:marLeft w:val="2002"/>
          <w:marRight w:val="0"/>
          <w:marTop w:val="134"/>
          <w:marBottom w:val="0"/>
          <w:divBdr>
            <w:top w:val="none" w:sz="0" w:space="0" w:color="auto"/>
            <w:left w:val="none" w:sz="0" w:space="0" w:color="auto"/>
            <w:bottom w:val="none" w:sz="0" w:space="0" w:color="auto"/>
            <w:right w:val="none" w:sz="0" w:space="0" w:color="auto"/>
          </w:divBdr>
        </w:div>
        <w:div w:id="1962372953">
          <w:marLeft w:val="2002"/>
          <w:marRight w:val="0"/>
          <w:marTop w:val="134"/>
          <w:marBottom w:val="0"/>
          <w:divBdr>
            <w:top w:val="none" w:sz="0" w:space="0" w:color="auto"/>
            <w:left w:val="none" w:sz="0" w:space="0" w:color="auto"/>
            <w:bottom w:val="none" w:sz="0" w:space="0" w:color="auto"/>
            <w:right w:val="none" w:sz="0" w:space="0" w:color="auto"/>
          </w:divBdr>
        </w:div>
      </w:divsChild>
    </w:div>
    <w:div w:id="1783958038">
      <w:bodyDiv w:val="1"/>
      <w:marLeft w:val="0"/>
      <w:marRight w:val="0"/>
      <w:marTop w:val="0"/>
      <w:marBottom w:val="0"/>
      <w:divBdr>
        <w:top w:val="none" w:sz="0" w:space="0" w:color="auto"/>
        <w:left w:val="none" w:sz="0" w:space="0" w:color="auto"/>
        <w:bottom w:val="none" w:sz="0" w:space="0" w:color="auto"/>
        <w:right w:val="none" w:sz="0" w:space="0" w:color="auto"/>
      </w:divBdr>
    </w:div>
    <w:div w:id="1940604116">
      <w:bodyDiv w:val="1"/>
      <w:marLeft w:val="0"/>
      <w:marRight w:val="0"/>
      <w:marTop w:val="0"/>
      <w:marBottom w:val="0"/>
      <w:divBdr>
        <w:top w:val="none" w:sz="0" w:space="0" w:color="auto"/>
        <w:left w:val="none" w:sz="0" w:space="0" w:color="auto"/>
        <w:bottom w:val="none" w:sz="0" w:space="0" w:color="auto"/>
        <w:right w:val="none" w:sz="0" w:space="0" w:color="auto"/>
      </w:divBdr>
      <w:divsChild>
        <w:div w:id="1176115421">
          <w:marLeft w:val="835"/>
          <w:marRight w:val="0"/>
          <w:marTop w:val="154"/>
          <w:marBottom w:val="0"/>
          <w:divBdr>
            <w:top w:val="none" w:sz="0" w:space="0" w:color="auto"/>
            <w:left w:val="none" w:sz="0" w:space="0" w:color="auto"/>
            <w:bottom w:val="none" w:sz="0" w:space="0" w:color="auto"/>
            <w:right w:val="none" w:sz="0" w:space="0" w:color="auto"/>
          </w:divBdr>
        </w:div>
        <w:div w:id="1427921959">
          <w:marLeft w:val="1699"/>
          <w:marRight w:val="0"/>
          <w:marTop w:val="134"/>
          <w:marBottom w:val="0"/>
          <w:divBdr>
            <w:top w:val="none" w:sz="0" w:space="0" w:color="auto"/>
            <w:left w:val="none" w:sz="0" w:space="0" w:color="auto"/>
            <w:bottom w:val="none" w:sz="0" w:space="0" w:color="auto"/>
            <w:right w:val="none" w:sz="0" w:space="0" w:color="auto"/>
          </w:divBdr>
        </w:div>
        <w:div w:id="1560167427">
          <w:marLeft w:val="835"/>
          <w:marRight w:val="0"/>
          <w:marTop w:val="154"/>
          <w:marBottom w:val="120"/>
          <w:divBdr>
            <w:top w:val="none" w:sz="0" w:space="0" w:color="auto"/>
            <w:left w:val="none" w:sz="0" w:space="0" w:color="auto"/>
            <w:bottom w:val="none" w:sz="0" w:space="0" w:color="auto"/>
            <w:right w:val="none" w:sz="0" w:space="0" w:color="auto"/>
          </w:divBdr>
        </w:div>
        <w:div w:id="1772777726">
          <w:marLeft w:val="1699"/>
          <w:marRight w:val="0"/>
          <w:marTop w:val="134"/>
          <w:marBottom w:val="360"/>
          <w:divBdr>
            <w:top w:val="none" w:sz="0" w:space="0" w:color="auto"/>
            <w:left w:val="none" w:sz="0" w:space="0" w:color="auto"/>
            <w:bottom w:val="none" w:sz="0" w:space="0" w:color="auto"/>
            <w:right w:val="none" w:sz="0" w:space="0" w:color="auto"/>
          </w:divBdr>
        </w:div>
      </w:divsChild>
    </w:div>
    <w:div w:id="2015036004">
      <w:bodyDiv w:val="1"/>
      <w:marLeft w:val="0"/>
      <w:marRight w:val="0"/>
      <w:marTop w:val="0"/>
      <w:marBottom w:val="0"/>
      <w:divBdr>
        <w:top w:val="none" w:sz="0" w:space="0" w:color="auto"/>
        <w:left w:val="none" w:sz="0" w:space="0" w:color="auto"/>
        <w:bottom w:val="none" w:sz="0" w:space="0" w:color="auto"/>
        <w:right w:val="none" w:sz="0" w:space="0" w:color="auto"/>
      </w:divBdr>
    </w:div>
    <w:div w:id="2082554366">
      <w:bodyDiv w:val="1"/>
      <w:marLeft w:val="0"/>
      <w:marRight w:val="0"/>
      <w:marTop w:val="0"/>
      <w:marBottom w:val="0"/>
      <w:divBdr>
        <w:top w:val="none" w:sz="0" w:space="0" w:color="auto"/>
        <w:left w:val="none" w:sz="0" w:space="0" w:color="auto"/>
        <w:bottom w:val="none" w:sz="0" w:space="0" w:color="auto"/>
        <w:right w:val="none" w:sz="0" w:space="0" w:color="auto"/>
      </w:divBdr>
      <w:divsChild>
        <w:div w:id="371198162">
          <w:marLeft w:val="1699"/>
          <w:marRight w:val="0"/>
          <w:marTop w:val="134"/>
          <w:marBottom w:val="360"/>
          <w:divBdr>
            <w:top w:val="none" w:sz="0" w:space="0" w:color="auto"/>
            <w:left w:val="none" w:sz="0" w:space="0" w:color="auto"/>
            <w:bottom w:val="none" w:sz="0" w:space="0" w:color="auto"/>
            <w:right w:val="none" w:sz="0" w:space="0" w:color="auto"/>
          </w:divBdr>
        </w:div>
        <w:div w:id="970672476">
          <w:marLeft w:val="57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CF0B-5305-4DC2-BD60-E43442FD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11570</Words>
  <Characters>63640</Characters>
  <Application>Microsoft Office Word</Application>
  <DocSecurity>0</DocSecurity>
  <Lines>530</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Camara YeroBoye</dc:creator>
  <cp:lastModifiedBy>Huber, Goetz GIZ GN</cp:lastModifiedBy>
  <cp:revision>5</cp:revision>
  <cp:lastPrinted>2022-01-03T11:51:00Z</cp:lastPrinted>
  <dcterms:created xsi:type="dcterms:W3CDTF">2022-01-03T11:51:00Z</dcterms:created>
  <dcterms:modified xsi:type="dcterms:W3CDTF">2022-01-03T14:51:00Z</dcterms:modified>
</cp:coreProperties>
</file>